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15" w:rsidRDefault="00CD4F15" w:rsidP="00CD4F15">
      <w:pPr>
        <w:spacing w:after="0"/>
        <w:jc w:val="center"/>
        <w:rPr>
          <w:rFonts w:ascii="Times New Roman" w:hAnsi="Times New Roman"/>
          <w:b/>
          <w:sz w:val="24"/>
          <w:szCs w:val="24"/>
          <w:lang w:val="sq-AL"/>
        </w:rPr>
      </w:pPr>
      <w:bookmarkStart w:id="0" w:name="_GoBack"/>
      <w:bookmarkEnd w:id="0"/>
      <w:r w:rsidRPr="00CD4F15">
        <w:rPr>
          <w:rFonts w:ascii="Times New Roman" w:hAnsi="Times New Roman"/>
          <w:b/>
          <w:sz w:val="24"/>
          <w:szCs w:val="24"/>
          <w:lang w:val="sq-AL"/>
        </w:rPr>
        <w:t xml:space="preserve">RELACION SHPJEGUES </w:t>
      </w:r>
    </w:p>
    <w:p w:rsidR="004E23BA" w:rsidRPr="00CD4F15" w:rsidRDefault="004E23BA" w:rsidP="00CD4F15">
      <w:pPr>
        <w:spacing w:after="0"/>
        <w:jc w:val="center"/>
        <w:rPr>
          <w:rFonts w:ascii="Times New Roman" w:hAnsi="Times New Roman"/>
          <w:b/>
          <w:sz w:val="24"/>
          <w:szCs w:val="24"/>
          <w:lang w:val="sq-AL"/>
        </w:rPr>
      </w:pPr>
    </w:p>
    <w:p w:rsidR="004E23BA" w:rsidRDefault="00CD4F15" w:rsidP="004E23BA">
      <w:pPr>
        <w:spacing w:after="0"/>
        <w:jc w:val="center"/>
        <w:rPr>
          <w:rFonts w:ascii="Times New Roman" w:eastAsia="Times New Roman" w:hAnsi="Times New Roman"/>
          <w:b/>
          <w:caps/>
          <w:sz w:val="24"/>
          <w:szCs w:val="24"/>
          <w:lang w:val="sq-AL" w:eastAsia="x-none"/>
        </w:rPr>
      </w:pPr>
      <w:r w:rsidRPr="00CD4F15">
        <w:rPr>
          <w:rFonts w:ascii="Times New Roman" w:hAnsi="Times New Roman"/>
          <w:b/>
          <w:sz w:val="24"/>
          <w:szCs w:val="24"/>
          <w:lang w:val="sq-AL"/>
        </w:rPr>
        <w:t xml:space="preserve">PËR </w:t>
      </w:r>
      <w:r w:rsidRPr="00CD4F15">
        <w:rPr>
          <w:rFonts w:ascii="Times New Roman" w:eastAsia="Times New Roman" w:hAnsi="Times New Roman"/>
          <w:b/>
          <w:caps/>
          <w:sz w:val="24"/>
          <w:szCs w:val="24"/>
          <w:lang w:val="sq-AL" w:eastAsia="x-none"/>
        </w:rPr>
        <w:t xml:space="preserve">PROJEKT-LIGJIN </w:t>
      </w:r>
    </w:p>
    <w:p w:rsidR="004E23BA" w:rsidRDefault="00CD4F15" w:rsidP="004E23BA">
      <w:pPr>
        <w:spacing w:after="0"/>
        <w:jc w:val="center"/>
        <w:rPr>
          <w:rFonts w:ascii="Times New Roman" w:eastAsia="Times New Roman" w:hAnsi="Times New Roman"/>
          <w:b/>
          <w:bCs/>
          <w:noProof/>
          <w:color w:val="000000"/>
          <w:sz w:val="24"/>
          <w:szCs w:val="24"/>
          <w:lang w:eastAsia="x-none"/>
        </w:rPr>
      </w:pPr>
      <w:r w:rsidRPr="00CD4F15">
        <w:rPr>
          <w:rFonts w:ascii="Times New Roman" w:eastAsia="Times New Roman" w:hAnsi="Times New Roman"/>
          <w:b/>
          <w:bCs/>
          <w:noProof/>
          <w:color w:val="000000"/>
          <w:sz w:val="24"/>
          <w:szCs w:val="24"/>
          <w:lang w:val="x-none" w:eastAsia="x-none"/>
        </w:rPr>
        <w:t xml:space="preserve">“PËR DISA SHTESA DHE NDRYSHIME NË LIGJIN NR.9936 DATË 26.06.2008 “PËR MENAXHIMIN E SISTEMIT BUXHETOR </w:t>
      </w:r>
    </w:p>
    <w:p w:rsidR="00CD4F15" w:rsidRPr="00CD4F15" w:rsidRDefault="00CD4F15" w:rsidP="004E23BA">
      <w:pPr>
        <w:spacing w:after="0"/>
        <w:jc w:val="center"/>
        <w:rPr>
          <w:rFonts w:ascii="Times New Roman" w:eastAsia="Times New Roman" w:hAnsi="Times New Roman"/>
          <w:b/>
          <w:caps/>
          <w:sz w:val="24"/>
          <w:szCs w:val="24"/>
          <w:lang w:val="sq-AL" w:eastAsia="x-none"/>
        </w:rPr>
      </w:pPr>
      <w:r w:rsidRPr="00CD4F15">
        <w:rPr>
          <w:rFonts w:ascii="Times New Roman" w:eastAsia="Times New Roman" w:hAnsi="Times New Roman"/>
          <w:b/>
          <w:bCs/>
          <w:noProof/>
          <w:color w:val="000000"/>
          <w:sz w:val="24"/>
          <w:szCs w:val="24"/>
          <w:lang w:val="x-none" w:eastAsia="x-none"/>
        </w:rPr>
        <w:t>NË REPUBLIKËN E SHQIPËRISË”</w:t>
      </w:r>
    </w:p>
    <w:p w:rsidR="00CD4F15" w:rsidRPr="00CD4F15" w:rsidRDefault="00CD4F15" w:rsidP="00CD4F15">
      <w:pPr>
        <w:spacing w:after="0"/>
        <w:rPr>
          <w:rFonts w:ascii="Times New Roman" w:hAnsi="Times New Roman"/>
          <w:b/>
          <w:caps/>
          <w:sz w:val="24"/>
          <w:szCs w:val="16"/>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 xml:space="preserve">QËLLIMI I PROJEKT-AKTIT DHE OBJEKTIVAT QË SYNOHEN TË ARRIHEN. </w:t>
      </w:r>
    </w:p>
    <w:p w:rsidR="00CD4F15" w:rsidRPr="00CD4F15" w:rsidRDefault="00CD4F15" w:rsidP="00CD4F15">
      <w:pPr>
        <w:spacing w:after="0"/>
        <w:ind w:left="720" w:firstLine="720"/>
        <w:jc w:val="both"/>
        <w:rPr>
          <w:rFonts w:ascii="Times New Roman" w:hAnsi="Times New Roman"/>
          <w:sz w:val="24"/>
          <w:szCs w:val="24"/>
          <w:lang w:val="sq-AL"/>
        </w:rPr>
      </w:pPr>
      <w:r w:rsidRPr="00CD4F15">
        <w:rPr>
          <w:rFonts w:ascii="Times New Roman" w:hAnsi="Times New Roman"/>
          <w:sz w:val="24"/>
          <w:szCs w:val="24"/>
          <w:lang w:val="sq-AL"/>
        </w:rPr>
        <w:t xml:space="preserve">Gjatë vitit 2015 dhe fillimit të vitit 2016, Ministria e Financave ndërmori proçesin e rishikimit të Ligjit Organik të Buxhetit (LOB), ndryshe Ligji nr.9936 datë 26.06.2008 “Për menaxhimin e sistemit buxhetor në Republikën e Shqipërisë”. Për këtë qëllim, në Ministrinë e Financave u ngrit një grup pune i asistuar nga konsulentë të FMN, BB dhe OECD, ndaj përmirësimet dhe ndryshimet e propozuara për t’u reflektuar në Ligjin e ri Organik të Buxhetit, janë koordinuar dhe konsultuar intensivisht mes grupit të punës së Ministrisë së Financave ngritur për këtë qëllim dhe konsulentëve të huaj në fjalë, kontributet e të cilëve janë gjithashtu të reflektuara në këtë draft. Për rrjedhojë, shumë nga përcaktimet e këtij drafti janë mbështetur në praktikat më të mira ndërkombëtare dhe janë pjesë e detyrimeve të ndërmarra nga Qeveria në disa dokumente e marrëveshje të rëndësishme, të tilla si: Strategjia e Financave Publike, Marrëveshja me BE, Marreveshja me FMN, etj. </w:t>
      </w:r>
    </w:p>
    <w:p w:rsidR="00CD4F15" w:rsidRPr="00CD4F15" w:rsidRDefault="00CD4F15" w:rsidP="00CD4F15">
      <w:pPr>
        <w:spacing w:after="0"/>
        <w:ind w:left="720" w:firstLine="720"/>
        <w:jc w:val="both"/>
        <w:rPr>
          <w:rFonts w:ascii="Times New Roman" w:hAnsi="Times New Roman"/>
          <w:sz w:val="24"/>
          <w:szCs w:val="24"/>
          <w:lang w:val="sq-AL"/>
        </w:rPr>
      </w:pPr>
      <w:r w:rsidRPr="00CD4F15">
        <w:rPr>
          <w:rFonts w:ascii="Times New Roman" w:hAnsi="Times New Roman"/>
          <w:sz w:val="24"/>
          <w:szCs w:val="24"/>
          <w:lang w:val="sq-AL"/>
        </w:rPr>
        <w:t xml:space="preserve">Amendimet  legjislative, të përfshira në draftin që po paraqesim për miratim, përfshijnë një sërë shtesash, përmirësimesh dhe riformulimesh, të cilat synojnë harmonizimin e këtij ligji me ligje të tjera të miratuara rishtazi, si edhe azhornimin e tij me zhvillimet e reja në fushën e menaxhimit të financave publike, të ndodhura që prej miratimit të tij në vitin 2008. Nevoja për ndërhyrje në LOB u kushtëzua nga: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Zbatimi në praktikë i cilievidentoi nevojën për ndryshime të ligjit ekzistues, që prej miratimit të tij në vitin 2008.</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Krijimi i detyrimeve të prapambetura që u vërtetua si një pikë e dobët e sistemit tonë buxhetor.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Strategjia e menaxhimit te financave publike e cila përmban disa detyrime të cilat duhet të reflektohen gjithashtu në ligjin e ri.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Harmonizimi i bazës ligjore i cili nënkupton edhe domosdoshmërinë e përputhshmërisë me ligjet e tjera të financave publike (të ndryshuara se fundmi), si psh: ligji për menaxhimin financiar dhe kontrollin, ligji i auditit të brendshëm, ligji për inspektimin financiar dhe ligji për borxhin publik).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Njëkohësisht, rishikimi i LOB vjen edhe si një detyrim që buron nga Marrëveshja me institucionet financiare ndërkombëtare (FMN, BB, BE, etj.)</w:t>
      </w:r>
    </w:p>
    <w:p w:rsidR="00CD4F15" w:rsidRPr="00CD4F15" w:rsidRDefault="00CD4F15" w:rsidP="00CD4F15">
      <w:pPr>
        <w:autoSpaceDE w:val="0"/>
        <w:autoSpaceDN w:val="0"/>
        <w:adjustRightInd w:val="0"/>
        <w:spacing w:after="0" w:line="240" w:lineRule="auto"/>
        <w:ind w:left="720"/>
        <w:jc w:val="both"/>
        <w:rPr>
          <w:rFonts w:ascii="Times New Roman" w:hAnsi="Times New Roman"/>
          <w:bCs/>
          <w:sz w:val="16"/>
          <w:szCs w:val="16"/>
          <w:lang w:val="sq-AL"/>
        </w:rPr>
      </w:pPr>
    </w:p>
    <w:p w:rsidR="00CD4F15" w:rsidRPr="00CD4F15" w:rsidRDefault="00CD4F15" w:rsidP="00CD4F15">
      <w:pPr>
        <w:autoSpaceDE w:val="0"/>
        <w:autoSpaceDN w:val="0"/>
        <w:adjustRightInd w:val="0"/>
        <w:spacing w:after="0" w:line="240" w:lineRule="auto"/>
        <w:ind w:left="720"/>
        <w:jc w:val="both"/>
        <w:rPr>
          <w:rFonts w:ascii="Times New Roman" w:hAnsi="Times New Roman"/>
          <w:bCs/>
          <w:sz w:val="24"/>
          <w:szCs w:val="24"/>
          <w:lang w:val="sq-AL"/>
        </w:rPr>
      </w:pPr>
      <w:r w:rsidRPr="00CD4F15">
        <w:rPr>
          <w:rFonts w:ascii="Times New Roman" w:hAnsi="Times New Roman"/>
          <w:bCs/>
          <w:sz w:val="24"/>
          <w:szCs w:val="24"/>
          <w:lang w:val="sq-AL"/>
        </w:rPr>
        <w:t>Më konkretisht, ndryshimet specifike konsistojnë në:</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Parimet e reja fiskale, parashikojnë vendosjen e rregullave fiskalë të përshtatshëm për të siguruar: </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lastRenderedPageBreak/>
        <w:t>Qëndrueshmërinë afatgjatë të borxhit publik me impakt të drejtpërdrejtë në stabilitetin makroekonomik të vendit dhe zhvillimin e qëndrueshëm të tij. Ky është njëkohësisht edhe një prej objektivave madhorë të strategjisë së menaxhimit të financave publike. Gjithashtu, është në linjë edhe me rekomandimet e FMN sa i takon stabilitetit afatgjatë të financave publike dhe qëndrueshmërisë makroekonomike.</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 xml:space="preserve">Të ardhurat nga privatizimi nuk janë pjesë e programimit buxhetor, dhe në rast arkëtimi ato do të përdoren jo më pak se 50% për uljen e borxhit publik, pjesa tjetër për investime. </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Ndryshimet e ligjeve fiskale me efekt në të ardhurat buxhetore do të bëhen një herë në vit, jo më vone se tre muaj përpara fillimit të vitit të ri fiskal. Ato duhet të konsultohen paraprakisht me përfaqësuesit e biznesit dhe grupet e interest. Ndërkohë që, për ndryshime të nivelit të taksave vendore, KM duhet të njoftojë njësitë e qeverisjes vendore për politikën e re fiskale.</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Masa e deficitit buxhetor nuk mund të tejkalojë masën e shpenzimeve kapitale të parashikuara cdo vit në ligjin e buxhetit.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Kontrolli i shpenzimeve ne vitet kur ka zgjedhje – Ky përcaktim synon të normoje deficitin ne vitet kur ka zgjedhje per pushtetin qendror dhe te eleminojë rastet e  pershpejtimit te shpenzimeve dhe mosangazhimit të duhur ne realizimin e te ardhurave buxhetore.</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Veprimtarite ekstra-buxhetore, perfshire PPP – Qëllimi është forcimi i disiplinës për veprimtaritë që mund të rezultojnë jashtë-buxhetore, si edhe menaxhimi efektiv i risqeve që mund të burojnë nga angazhimi i institucioneve buxhetore në partneritete të ndryshme publike/private (PPP</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Buxhetimi tre-vjeçar – Projektligji parashikon miratimin e tavaneve të shpenzimeve buxhetore edhe për dy vitet e ardhshme, së bashku me ligjin vjetor. Kjo procedure, e cila është realizuar tashmë që në ligjin e buxhetit 2015, është e domosdoshme të ketë një bazë rregullatore ligjore. Ajo do ndikojë në rritjen e parashikueshmërisë dhe cilësisë së buxhetit, duke shërbyer si mekanizëm për kontrollin e angazhimeve buxhetore shumëvjeçare.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 xml:space="preserve">Kontrolli i angazhimeve shumë-vjeçare – Buxheti tre-vjecar miratuar ne Kuvend siguron bazën për kontrollin e angazhimeve shumëvjeçare, por ndërkohë drafti parashikon për këtë qëllim edhe rregullat për kontrollin e tyre, nëpërmjet regjistrimit në sistemin informatik financiar të Qeverisë, si edhe miratimin paraprak nga dega e thesarit, përpara zhvillimit të çdo procedure prokurimi.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t>Transparenca – Drafti parashikon rregulla e procedura të reja, që rrisin transparencën e buxhetit, të tilla si:</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Buxheti faktik do të publikohet që në muajin Qershor, pra jo më në Tetor si deri tani;</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 xml:space="preserve">Raporti i mes-vitit, i cili më parë nuk publikohej, do të publikohet tashmë në muajin Qershor. </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 xml:space="preserve">Konsultimi me grupet e interesit, do të zhvillohet rregullisht në muajin Qershor.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sz w:val="24"/>
          <w:szCs w:val="24"/>
          <w:lang w:val="sq-AL"/>
        </w:rPr>
        <w:lastRenderedPageBreak/>
        <w:t>Koordinimi buxhet-investime publike – Nëpërmjet përcaktimeve të draftit të ri, do të:</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Harmonizohet proçesi i planifikimit dhe zbatimit/rialokimit të projekteve të investimeve publike;</w:t>
      </w:r>
    </w:p>
    <w:p w:rsidR="00CD4F15" w:rsidRPr="00CD4F15" w:rsidRDefault="00CD4F15" w:rsidP="00CD4F15">
      <w:pPr>
        <w:numPr>
          <w:ilvl w:val="0"/>
          <w:numId w:val="9"/>
        </w:numPr>
        <w:spacing w:after="0" w:line="240" w:lineRule="auto"/>
        <w:contextualSpacing/>
        <w:jc w:val="both"/>
        <w:rPr>
          <w:rFonts w:ascii="Times New Roman" w:hAnsi="Times New Roman"/>
          <w:bCs/>
          <w:i/>
          <w:sz w:val="24"/>
          <w:szCs w:val="24"/>
          <w:lang w:val="sq-AL"/>
        </w:rPr>
      </w:pPr>
      <w:r w:rsidRPr="00CD4F15">
        <w:rPr>
          <w:rFonts w:ascii="Times New Roman" w:hAnsi="Times New Roman"/>
          <w:bCs/>
          <w:i/>
          <w:sz w:val="24"/>
          <w:szCs w:val="24"/>
          <w:lang w:val="sq-AL"/>
        </w:rPr>
        <w:t>Vendosen rregulla për vlerësimin e plotë të projekteve të investimeve publike, mbi një vlerë të caktuar limit.</w:t>
      </w:r>
    </w:p>
    <w:p w:rsidR="00CD4F15" w:rsidRPr="00CD4F15" w:rsidRDefault="00CD4F15" w:rsidP="00CD4F15">
      <w:pPr>
        <w:spacing w:after="0"/>
        <w:ind w:left="720"/>
        <w:jc w:val="both"/>
        <w:rPr>
          <w:rFonts w:ascii="Times New Roman" w:hAnsi="Times New Roman"/>
          <w:b/>
          <w:sz w:val="16"/>
          <w:szCs w:val="16"/>
          <w:lang w:val="sq-AL"/>
        </w:rPr>
      </w:pPr>
    </w:p>
    <w:p w:rsidR="00CD4F15" w:rsidRPr="00CD4F15" w:rsidRDefault="00CD4F15" w:rsidP="00CD4F15">
      <w:pPr>
        <w:spacing w:after="0"/>
        <w:ind w:left="720"/>
        <w:jc w:val="both"/>
        <w:rPr>
          <w:rFonts w:ascii="Times New Roman" w:hAnsi="Times New Roman"/>
          <w:b/>
          <w:sz w:val="24"/>
          <w:szCs w:val="24"/>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VLERËSIMI I PROJEKT-AKTIT NË RAPORT ME PROGRAMIN POLITIK TË KËSHILLIT TË MINISTRAVE, ME PROGRAMIN ANALITIK TË AKTEVE DHE DOKUMENTE TË TJERA POLITIKE.</w:t>
      </w: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t xml:space="preserve">Projekt-ligji i propozuar përputhet me programin politik të Këshillit të Ministrave për menaxhimin e financave publike, duke kontribuar në forcimin e stabilitetit makro-fiskal dhe buxhetor në Republikën e Shqipërisë. </w:t>
      </w:r>
    </w:p>
    <w:p w:rsidR="00CD4F15" w:rsidRPr="00CD4F15" w:rsidRDefault="00CD4F15" w:rsidP="00CD4F15">
      <w:pPr>
        <w:spacing w:after="0"/>
        <w:ind w:left="720"/>
        <w:jc w:val="both"/>
        <w:rPr>
          <w:rFonts w:ascii="Times New Roman" w:hAnsi="Times New Roman"/>
          <w:sz w:val="24"/>
          <w:szCs w:val="24"/>
          <w:lang w:val="sq-AL"/>
        </w:rPr>
      </w:pPr>
    </w:p>
    <w:p w:rsidR="00CD4F15" w:rsidRPr="00CD4F15" w:rsidRDefault="00CD4F15" w:rsidP="00CD4F15">
      <w:pPr>
        <w:spacing w:after="0"/>
        <w:ind w:left="720"/>
        <w:jc w:val="both"/>
        <w:rPr>
          <w:rFonts w:ascii="Times New Roman" w:hAnsi="Times New Roman"/>
          <w:sz w:val="24"/>
          <w:szCs w:val="24"/>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 xml:space="preserve">ARGUMENTIMI I PROJEKT-AKTIT LIDHUR ME PËRPARËSITË, PROBLEMATIKAT, EFEKTET E PRITSHME. </w:t>
      </w: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t>Për sa më sipër, vëmë në vëmendjen Tuaj se të gjitha përmirësimet dhe ndryshimet e reflektuara në këtë draft të Ligjit të ri Organik të Buxhetit, janë koordinuar dhe konsultuar mes grupit të punës së Ministrisë së Financave ngritur për këtë qëllim dhe konsulentëve të huaj që e asistojnë atë, kontributet e të cilëve janë gjithashtu të reflektuara në këtë draft. Njëkohësisht, shumë nga përcaktimet e këtij drafti janë mbështetur në praktikat më të mira ndërkombëtare dhe janë pjesë e detyrimeve të ndërmarra nga Qeveria në disa dokumente e marrëveshje të tjera, të tilla si: Strategjia e Financave Publike, Marrëveshja me BE, Marrëveshja me FMN, etj. Objektivat që synohen të arrihen nëpërmjet projekt-ligjit janë si më poshtë:</w:t>
      </w:r>
    </w:p>
    <w:p w:rsidR="00CD4F15" w:rsidRPr="00CD4F15" w:rsidRDefault="00CD4F15" w:rsidP="00CD4F15">
      <w:pPr>
        <w:numPr>
          <w:ilvl w:val="1"/>
          <w:numId w:val="10"/>
        </w:numPr>
        <w:tabs>
          <w:tab w:val="left" w:pos="1134"/>
        </w:tabs>
        <w:spacing w:after="0"/>
        <w:jc w:val="both"/>
        <w:rPr>
          <w:rFonts w:ascii="Times New Roman" w:hAnsi="Times New Roman"/>
          <w:sz w:val="24"/>
          <w:szCs w:val="24"/>
          <w:lang w:val="sq-AL"/>
        </w:rPr>
      </w:pPr>
      <w:r w:rsidRPr="00CD4F15">
        <w:rPr>
          <w:rFonts w:ascii="Times New Roman" w:hAnsi="Times New Roman"/>
          <w:b/>
          <w:sz w:val="24"/>
          <w:szCs w:val="24"/>
          <w:lang w:val="sq-AL"/>
        </w:rPr>
        <w:t>Forcimi i disiplines finaciare</w:t>
      </w:r>
      <w:r w:rsidRPr="00CD4F15">
        <w:rPr>
          <w:rFonts w:ascii="Times New Roman" w:hAnsi="Times New Roman"/>
          <w:sz w:val="24"/>
          <w:szCs w:val="24"/>
          <w:lang w:val="sq-AL"/>
        </w:rPr>
        <w:t xml:space="preserve"> nepermjet vendosjes se parimeve fiskale, miratimit te buxhetit trevjecar dhe kontrollit te angazhimeve shumevjecare</w:t>
      </w:r>
    </w:p>
    <w:p w:rsidR="00CD4F15" w:rsidRPr="00CD4F15" w:rsidRDefault="00CD4F15" w:rsidP="00CD4F15">
      <w:pPr>
        <w:numPr>
          <w:ilvl w:val="1"/>
          <w:numId w:val="10"/>
        </w:numPr>
        <w:tabs>
          <w:tab w:val="left" w:pos="1134"/>
        </w:tabs>
        <w:spacing w:after="0"/>
        <w:jc w:val="both"/>
        <w:rPr>
          <w:rFonts w:ascii="Times New Roman" w:hAnsi="Times New Roman"/>
          <w:sz w:val="24"/>
          <w:szCs w:val="24"/>
          <w:lang w:val="sq-AL"/>
        </w:rPr>
      </w:pPr>
      <w:r w:rsidRPr="00CD4F15">
        <w:rPr>
          <w:rFonts w:ascii="Times New Roman" w:hAnsi="Times New Roman"/>
          <w:b/>
          <w:sz w:val="24"/>
          <w:szCs w:val="24"/>
          <w:lang w:val="sq-AL"/>
        </w:rPr>
        <w:t xml:space="preserve">Rritja e Transparencës </w:t>
      </w:r>
      <w:r w:rsidRPr="00CD4F15">
        <w:rPr>
          <w:rFonts w:ascii="Times New Roman" w:hAnsi="Times New Roman"/>
          <w:sz w:val="24"/>
          <w:szCs w:val="24"/>
          <w:lang w:val="sq-AL"/>
        </w:rPr>
        <w:t xml:space="preserve">– Përfshirja e disa elementeve të reja që rrisin transparencën e proçesit të buxhetimit, te cilat sigurojne edhe nje perceptim me transparent nga institucionet vleresuese (OBS etj), të tilla si: </w:t>
      </w:r>
    </w:p>
    <w:p w:rsidR="00CD4F15" w:rsidRPr="00CD4F15" w:rsidRDefault="00CD4F15" w:rsidP="00CD4F15">
      <w:pPr>
        <w:numPr>
          <w:ilvl w:val="2"/>
          <w:numId w:val="11"/>
        </w:numPr>
        <w:spacing w:after="0"/>
        <w:jc w:val="both"/>
        <w:rPr>
          <w:rFonts w:ascii="Times New Roman" w:hAnsi="Times New Roman"/>
          <w:i/>
          <w:sz w:val="24"/>
          <w:szCs w:val="24"/>
          <w:lang w:val="sq-AL"/>
        </w:rPr>
      </w:pPr>
      <w:r w:rsidRPr="00CD4F15">
        <w:rPr>
          <w:rFonts w:ascii="Times New Roman" w:hAnsi="Times New Roman"/>
          <w:i/>
          <w:sz w:val="24"/>
          <w:szCs w:val="24"/>
          <w:lang w:val="sq-AL"/>
        </w:rPr>
        <w:t xml:space="preserve">Publikimi në kohë i raporteve vjetore dhe 6-mujore, </w:t>
      </w:r>
    </w:p>
    <w:p w:rsidR="00CD4F15" w:rsidRPr="00CD4F15" w:rsidRDefault="00CD4F15" w:rsidP="00CD4F15">
      <w:pPr>
        <w:numPr>
          <w:ilvl w:val="2"/>
          <w:numId w:val="11"/>
        </w:numPr>
        <w:spacing w:after="0"/>
        <w:jc w:val="both"/>
        <w:rPr>
          <w:rFonts w:ascii="Times New Roman" w:hAnsi="Times New Roman"/>
          <w:i/>
          <w:sz w:val="24"/>
          <w:szCs w:val="24"/>
          <w:lang w:val="sq-AL"/>
        </w:rPr>
      </w:pPr>
      <w:r w:rsidRPr="00CD4F15">
        <w:rPr>
          <w:rFonts w:ascii="Times New Roman" w:hAnsi="Times New Roman"/>
          <w:i/>
          <w:sz w:val="24"/>
          <w:szCs w:val="24"/>
          <w:lang w:val="sq-AL"/>
        </w:rPr>
        <w:t xml:space="preserve">Konsultimi me shoqerinë civile, etj. </w:t>
      </w:r>
    </w:p>
    <w:p w:rsidR="00CD4F15" w:rsidRPr="00CD4F15" w:rsidRDefault="00CD4F15" w:rsidP="00CD4F15">
      <w:pPr>
        <w:numPr>
          <w:ilvl w:val="1"/>
          <w:numId w:val="10"/>
        </w:numPr>
        <w:tabs>
          <w:tab w:val="left" w:pos="1134"/>
        </w:tabs>
        <w:spacing w:after="0"/>
        <w:jc w:val="both"/>
        <w:rPr>
          <w:rFonts w:ascii="Times New Roman" w:hAnsi="Times New Roman"/>
          <w:sz w:val="24"/>
          <w:szCs w:val="24"/>
          <w:lang w:val="sq-AL"/>
        </w:rPr>
      </w:pPr>
      <w:r w:rsidRPr="00CD4F15">
        <w:rPr>
          <w:rFonts w:ascii="Times New Roman" w:hAnsi="Times New Roman"/>
          <w:b/>
          <w:sz w:val="24"/>
          <w:szCs w:val="24"/>
          <w:lang w:val="sq-AL"/>
        </w:rPr>
        <w:t xml:space="preserve">Unifikimi </w:t>
      </w:r>
      <w:r w:rsidRPr="00CD4F15">
        <w:rPr>
          <w:rFonts w:ascii="Times New Roman" w:hAnsi="Times New Roman"/>
          <w:sz w:val="24"/>
          <w:szCs w:val="24"/>
          <w:lang w:val="sq-AL"/>
        </w:rPr>
        <w:t xml:space="preserve">– Harmonizimi dhe unifikimi i përkufizimeve të këtij ligji me ligjet e tjera të menaxhimit financiar, si edhe shmangia e përsëritjeve në to. </w:t>
      </w:r>
    </w:p>
    <w:p w:rsidR="00CD4F15" w:rsidRPr="00CD4F15" w:rsidRDefault="00CD4F15" w:rsidP="00CD4F15">
      <w:pPr>
        <w:spacing w:after="0"/>
        <w:jc w:val="both"/>
        <w:rPr>
          <w:rFonts w:ascii="Times New Roman" w:hAnsi="Times New Roman"/>
          <w:sz w:val="24"/>
          <w:szCs w:val="24"/>
          <w:lang w:val="sq-AL"/>
        </w:rPr>
      </w:pPr>
    </w:p>
    <w:p w:rsidR="00CD4F15" w:rsidRPr="00CD4F15" w:rsidRDefault="00CD4F15" w:rsidP="00CD4F15">
      <w:pPr>
        <w:spacing w:after="0"/>
        <w:jc w:val="both"/>
        <w:rPr>
          <w:rFonts w:ascii="Times New Roman" w:hAnsi="Times New Roman"/>
          <w:sz w:val="24"/>
          <w:szCs w:val="24"/>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 xml:space="preserve">VLERËSIMI I LIGJSHMËRISË, KUSHTETUTESHMËRISË DHE HARMONIZIMI ME LEGJISLACIONIN NË FUQI VENDAS E NDËRKOMBËTAR. </w:t>
      </w:r>
    </w:p>
    <w:p w:rsidR="00CD4F15" w:rsidRPr="00CD4F15" w:rsidRDefault="00CD4F15" w:rsidP="00CD4F15">
      <w:pPr>
        <w:autoSpaceDE w:val="0"/>
        <w:autoSpaceDN w:val="0"/>
        <w:adjustRightInd w:val="0"/>
        <w:spacing w:after="0" w:line="240" w:lineRule="auto"/>
        <w:ind w:left="720"/>
        <w:jc w:val="both"/>
        <w:rPr>
          <w:rFonts w:ascii="Times New Roman" w:eastAsia="Times New Roman" w:hAnsi="Times New Roman"/>
          <w:sz w:val="24"/>
          <w:szCs w:val="24"/>
          <w:lang w:val="sq-AL"/>
        </w:rPr>
      </w:pPr>
      <w:r w:rsidRPr="00CD4F15">
        <w:rPr>
          <w:rFonts w:ascii="Times New Roman" w:eastAsia="Times New Roman" w:hAnsi="Times New Roman"/>
          <w:sz w:val="24"/>
          <w:szCs w:val="24"/>
          <w:lang w:val="sq-AL"/>
        </w:rPr>
        <w:t>Miratimi i këtij projekt-ligji është në përputhje me legjislacion kombëtar dhe ndërkombëtar. Burimi dhe referencat kryesore të përfshira në hartimin e tij janë si vijon:</w:t>
      </w:r>
    </w:p>
    <w:p w:rsidR="00CD4F15" w:rsidRPr="00CD4F15" w:rsidRDefault="00CD4F15" w:rsidP="00CD4F15">
      <w:pPr>
        <w:numPr>
          <w:ilvl w:val="1"/>
          <w:numId w:val="10"/>
        </w:numPr>
        <w:tabs>
          <w:tab w:val="left" w:pos="1134"/>
        </w:tabs>
        <w:spacing w:after="0"/>
        <w:jc w:val="both"/>
        <w:rPr>
          <w:rFonts w:ascii="Times New Roman" w:eastAsia="Times New Roman" w:hAnsi="Times New Roman"/>
          <w:sz w:val="24"/>
          <w:szCs w:val="24"/>
          <w:lang w:val="sq-AL"/>
        </w:rPr>
      </w:pPr>
      <w:r w:rsidRPr="00CD4F15">
        <w:rPr>
          <w:rFonts w:ascii="Times New Roman" w:hAnsi="Times New Roman"/>
          <w:sz w:val="24"/>
          <w:szCs w:val="24"/>
          <w:lang w:val="sq-AL"/>
        </w:rPr>
        <w:lastRenderedPageBreak/>
        <w:t>Neni 90 “Bashkëpunimi për auditimin dhe kontrollin financiar” i Marrëveshjes së Stabilizim Asociimit;</w:t>
      </w:r>
    </w:p>
    <w:p w:rsidR="00CD4F15" w:rsidRPr="00CD4F15" w:rsidRDefault="00CD4F15" w:rsidP="00CD4F15">
      <w:pPr>
        <w:numPr>
          <w:ilvl w:val="1"/>
          <w:numId w:val="10"/>
        </w:numPr>
        <w:tabs>
          <w:tab w:val="left" w:pos="1134"/>
        </w:tabs>
        <w:spacing w:after="0"/>
        <w:jc w:val="both"/>
        <w:rPr>
          <w:rFonts w:ascii="Times New Roman" w:eastAsia="Times New Roman" w:hAnsi="Times New Roman"/>
          <w:sz w:val="24"/>
          <w:szCs w:val="24"/>
          <w:lang w:val="sq-AL"/>
        </w:rPr>
      </w:pPr>
      <w:r w:rsidRPr="00CD4F15">
        <w:rPr>
          <w:rFonts w:ascii="Times New Roman" w:hAnsi="Times New Roman"/>
          <w:sz w:val="24"/>
          <w:szCs w:val="24"/>
          <w:lang w:val="sq-AL"/>
        </w:rPr>
        <w:t xml:space="preserve">Rekomandimet e Këshillit të Europës. </w:t>
      </w:r>
    </w:p>
    <w:p w:rsidR="00CD4F15" w:rsidRPr="00CD4F15" w:rsidRDefault="00CD4F15" w:rsidP="00CD4F15">
      <w:pPr>
        <w:tabs>
          <w:tab w:val="left" w:pos="1134"/>
        </w:tabs>
        <w:spacing w:after="0"/>
        <w:ind w:left="1440"/>
        <w:jc w:val="both"/>
        <w:rPr>
          <w:rFonts w:ascii="Times New Roman" w:eastAsia="Times New Roman" w:hAnsi="Times New Roman"/>
          <w:sz w:val="24"/>
          <w:szCs w:val="16"/>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VLERËSIMI I SHKALLËS SË PËRAFRIMIT ME ACQUIS COMMUNAUITAIRE (PËR PROJEKT-AKTET NORMATIVE).</w:t>
      </w:r>
    </w:p>
    <w:p w:rsidR="00CD4F15" w:rsidRPr="00CD4F15" w:rsidRDefault="00CD4F15" w:rsidP="00CD4F15">
      <w:pPr>
        <w:autoSpaceDE w:val="0"/>
        <w:autoSpaceDN w:val="0"/>
        <w:adjustRightInd w:val="0"/>
        <w:spacing w:after="0" w:line="240" w:lineRule="auto"/>
        <w:ind w:left="720"/>
        <w:jc w:val="both"/>
        <w:rPr>
          <w:rFonts w:ascii="Times New Roman" w:eastAsia="Times New Roman" w:hAnsi="Times New Roman"/>
          <w:sz w:val="24"/>
          <w:szCs w:val="24"/>
          <w:lang w:val="sq-AL"/>
        </w:rPr>
      </w:pPr>
      <w:r w:rsidRPr="00CD4F15">
        <w:rPr>
          <w:rFonts w:ascii="Times New Roman" w:eastAsia="Times New Roman" w:hAnsi="Times New Roman"/>
          <w:sz w:val="24"/>
          <w:szCs w:val="24"/>
          <w:lang w:val="sq-AL"/>
        </w:rPr>
        <w:t>Ky ligj nuk kërkon përafrimin me Acquis.</w:t>
      </w:r>
    </w:p>
    <w:p w:rsidR="00CD4F15" w:rsidRPr="00CD4F15" w:rsidRDefault="00CD4F15" w:rsidP="00CD4F15">
      <w:pPr>
        <w:spacing w:after="0"/>
        <w:ind w:left="720"/>
        <w:jc w:val="both"/>
        <w:rPr>
          <w:rFonts w:ascii="Times New Roman" w:hAnsi="Times New Roman"/>
          <w:b/>
          <w:sz w:val="24"/>
          <w:szCs w:val="24"/>
          <w:lang w:val="sq-AL"/>
        </w:rPr>
      </w:pPr>
    </w:p>
    <w:p w:rsidR="00CD4F15" w:rsidRPr="00CD4F15" w:rsidRDefault="00CD4F15" w:rsidP="00CD4F15">
      <w:pPr>
        <w:numPr>
          <w:ilvl w:val="0"/>
          <w:numId w:val="7"/>
        </w:numPr>
        <w:spacing w:after="0"/>
        <w:ind w:left="720"/>
        <w:contextualSpacing/>
        <w:jc w:val="both"/>
        <w:rPr>
          <w:rFonts w:ascii="Times New Roman" w:hAnsi="Times New Roman"/>
          <w:b/>
          <w:sz w:val="24"/>
          <w:szCs w:val="24"/>
          <w:lang w:val="sq-AL"/>
        </w:rPr>
      </w:pPr>
      <w:r w:rsidRPr="00CD4F15">
        <w:rPr>
          <w:rFonts w:ascii="Times New Roman" w:hAnsi="Times New Roman"/>
          <w:b/>
          <w:sz w:val="24"/>
          <w:szCs w:val="24"/>
          <w:lang w:val="sq-AL"/>
        </w:rPr>
        <w:t xml:space="preserve">PËRMBLEDHJE SHPJEGUESE E PËRMBAJTJES SË PROJEKT-AKTIT. </w:t>
      </w:r>
    </w:p>
    <w:p w:rsidR="00CD4F15" w:rsidRPr="00CD4F15" w:rsidRDefault="00CD4F15" w:rsidP="00CD4F15">
      <w:pPr>
        <w:autoSpaceDE w:val="0"/>
        <w:autoSpaceDN w:val="0"/>
        <w:adjustRightInd w:val="0"/>
        <w:spacing w:after="0"/>
        <w:ind w:left="720"/>
        <w:jc w:val="both"/>
        <w:rPr>
          <w:rFonts w:ascii="Times New Roman" w:eastAsia="Times New Roman" w:hAnsi="Times New Roman"/>
          <w:sz w:val="24"/>
          <w:szCs w:val="24"/>
          <w:lang w:val="sq-AL"/>
        </w:rPr>
      </w:pPr>
      <w:r w:rsidRPr="00CD4F15">
        <w:rPr>
          <w:rFonts w:ascii="Times New Roman" w:eastAsia="Times New Roman" w:hAnsi="Times New Roman"/>
          <w:sz w:val="24"/>
          <w:szCs w:val="24"/>
          <w:lang w:val="sq-AL"/>
        </w:rPr>
        <w:t xml:space="preserve">Në tërësinë e tij ky projekt-ligj paraqitet me </w:t>
      </w:r>
      <w:r w:rsidRPr="00CD4F15">
        <w:rPr>
          <w:rFonts w:ascii="Times New Roman" w:eastAsia="Times New Roman" w:hAnsi="Times New Roman"/>
          <w:b/>
          <w:sz w:val="24"/>
          <w:szCs w:val="24"/>
          <w:lang w:val="sq-AL"/>
        </w:rPr>
        <w:t>37 nene</w:t>
      </w:r>
      <w:r w:rsidRPr="00CD4F15">
        <w:rPr>
          <w:rFonts w:ascii="Times New Roman" w:eastAsia="Times New Roman" w:hAnsi="Times New Roman"/>
          <w:sz w:val="24"/>
          <w:szCs w:val="24"/>
          <w:lang w:val="sq-AL"/>
        </w:rPr>
        <w:t xml:space="preserve">, në të cilat propozohen shtesa, ndryshime të pjesshme apo të plota, të pothuajse të gjitha neneve të Ligjit </w:t>
      </w:r>
      <w:r w:rsidRPr="00CD4F15">
        <w:rPr>
          <w:rFonts w:ascii="Times New Roman" w:hAnsi="Times New Roman"/>
          <w:sz w:val="24"/>
          <w:szCs w:val="24"/>
          <w:lang w:val="sq-AL"/>
        </w:rPr>
        <w:t>nr.9936 datë 26.06.2008 “Për menaxhimin e sistemit buxhetor në Republikën e Shqipërisë”</w:t>
      </w:r>
      <w:r w:rsidRPr="00CD4F15">
        <w:rPr>
          <w:rFonts w:ascii="Times New Roman" w:eastAsia="Times New Roman" w:hAnsi="Times New Roman"/>
          <w:sz w:val="24"/>
          <w:szCs w:val="24"/>
          <w:lang w:val="sq-AL"/>
        </w:rPr>
        <w:t xml:space="preserve">. Më konkretisht: </w:t>
      </w:r>
    </w:p>
    <w:p w:rsidR="00CD4F15" w:rsidRPr="00CD4F15" w:rsidRDefault="00CD4F15" w:rsidP="00CD4F15">
      <w:pPr>
        <w:autoSpaceDE w:val="0"/>
        <w:autoSpaceDN w:val="0"/>
        <w:adjustRightInd w:val="0"/>
        <w:spacing w:after="0" w:line="240" w:lineRule="auto"/>
        <w:ind w:left="720"/>
        <w:jc w:val="both"/>
        <w:rPr>
          <w:rFonts w:ascii="Times New Roman" w:eastAsia="Times New Roman" w:hAnsi="Times New Roman"/>
          <w:sz w:val="16"/>
          <w:szCs w:val="16"/>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Neni 1 parashikon ndryshime në nenin 3, të cilat konsistojnë kryesisht në:</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Pikat 34 dhe 35</w:t>
      </w:r>
      <w:r w:rsidRPr="00CD4F15">
        <w:rPr>
          <w:rFonts w:ascii="Times New Roman" w:eastAsia="Times New Roman" w:hAnsi="Times New Roman"/>
          <w:sz w:val="24"/>
          <w:szCs w:val="24"/>
          <w:lang w:val="sq-AL"/>
        </w:rPr>
        <w:t xml:space="preserve"> – Perkufizimi i “Menaxhimit Financiar dhe Kontrollit” eshte pershtatur sipas standardeve nderkombetare COSO, standarde ne te cilat bazohet e gjitha baza ligjore/nenligjore fushes se Menaxhimit Financiar dhe Kontrollit.</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Shtohet Pika 45</w:t>
      </w:r>
      <w:r w:rsidRPr="00CD4F15">
        <w:rPr>
          <w:rFonts w:ascii="Times New Roman" w:eastAsia="Times New Roman" w:hAnsi="Times New Roman"/>
          <w:sz w:val="24"/>
          <w:szCs w:val="24"/>
          <w:lang w:val="sq-AL"/>
        </w:rPr>
        <w:t xml:space="preserve"> – Kjo pikë përkufizon sistemin informatik financiar të Qeverisë, si një rijësi e këtij ligji.</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Shtohet Pika 46</w:t>
      </w:r>
      <w:r w:rsidRPr="00CD4F15">
        <w:rPr>
          <w:rFonts w:ascii="Times New Roman" w:eastAsia="Times New Roman" w:hAnsi="Times New Roman"/>
          <w:sz w:val="24"/>
          <w:szCs w:val="24"/>
          <w:lang w:val="sq-AL"/>
        </w:rPr>
        <w:t xml:space="preserve"> – Ajo përkufizon ligjet fiskale dhe të procedurave tatimore, në kuptim të këtij ligji.</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Shtohet Pika 47</w:t>
      </w:r>
      <w:r w:rsidRPr="00CD4F15">
        <w:rPr>
          <w:rFonts w:ascii="Times New Roman" w:eastAsia="Times New Roman" w:hAnsi="Times New Roman"/>
          <w:sz w:val="24"/>
          <w:szCs w:val="24"/>
          <w:lang w:val="sq-AL"/>
        </w:rPr>
        <w:t xml:space="preserve"> – Kjo pikë përkufizon garancitë shtetërore që lëshon qeverisja e përgjithshme gjatë një viti buxhetor, gjë që mungonte në ligjin ekzistues.</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Shtohet Pika 48</w:t>
      </w:r>
      <w:r w:rsidRPr="00CD4F15">
        <w:rPr>
          <w:rFonts w:ascii="Times New Roman" w:eastAsia="Times New Roman" w:hAnsi="Times New Roman"/>
          <w:sz w:val="24"/>
          <w:szCs w:val="24"/>
          <w:lang w:val="sq-AL"/>
        </w:rPr>
        <w:t xml:space="preserve"> – Kjo pikë i referohet veprimtarive të quajtura “thuajse-fiskale”, të cilat shpesh kanë një impakt të konsiderueshëm buxhetor. Në këto tipologji përfshihet psh: kreditimi që banka qendrore i jep qeverisjes qendrore, me norma interesi më të ulta se ato të tregut; Kreditë që përfitojnë kompanitë publike sh.a; garancitë e kurseve të këmbimit; Subvencionimi i normave të interesit; tavanet e krediutimit të sektorëve. Praktikat e mira kërkojnë që këto veprimtari të kuantifikohen në formulimin e paketave fiskale të qeverisë, duke u përfshirë në llogaritë e konsoliduara me qëllim llogaritjen më të saktë dhe reale të deficitit buxhetor. Më tej, aty ku është e mundur, ato duhet të transformohen gradualisht në zëra të mirëfilltë buxhetorë, përmes zëvendësimit të taksave dhe subvencioneve thuajse-fiskale në taksa dhe subvencione të mirëfillta buxhetore.   </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u w:val="single"/>
          <w:lang w:val="sq-AL"/>
        </w:rPr>
      </w:pPr>
      <w:r w:rsidRPr="00CD4F15">
        <w:rPr>
          <w:rFonts w:ascii="Times New Roman" w:eastAsia="Times New Roman" w:hAnsi="Times New Roman"/>
          <w:sz w:val="24"/>
          <w:szCs w:val="24"/>
          <w:u w:val="single"/>
          <w:lang w:val="sq-AL"/>
        </w:rPr>
        <w:t>Shtohet Pika 49</w:t>
      </w:r>
      <w:r w:rsidRPr="00CD4F15">
        <w:rPr>
          <w:rFonts w:ascii="Times New Roman" w:eastAsia="Times New Roman" w:hAnsi="Times New Roman"/>
          <w:sz w:val="24"/>
          <w:szCs w:val="24"/>
          <w:lang w:val="sq-AL"/>
        </w:rPr>
        <w:t xml:space="preserve"> – Kjo pikë i referohet përkufizimit të projektit të investimit, si një seri punimesh, aktivitetesh apo shërbimesh që synojnë të përmbushin një objektiv të pandashëm të një natyre specifike ekonomike apo teknike, me qëllime qartësisht të identifikuara. Përkufizimi është mbështetur gjerësisht në standartin e përdorur nga Komisioni Europian (për referencë, linku që vijon: </w:t>
      </w:r>
      <w:r w:rsidRPr="00CD4F15">
        <w:rPr>
          <w:rFonts w:ascii="Times New Roman" w:eastAsia="Times New Roman" w:hAnsi="Times New Roman"/>
          <w:sz w:val="18"/>
          <w:szCs w:val="24"/>
        </w:rPr>
        <w:fldChar w:fldCharType="begin"/>
      </w:r>
      <w:r w:rsidRPr="00CD4F15">
        <w:rPr>
          <w:rFonts w:ascii="Times New Roman" w:eastAsia="Times New Roman" w:hAnsi="Times New Roman"/>
          <w:sz w:val="18"/>
          <w:szCs w:val="24"/>
        </w:rPr>
        <w:instrText xml:space="preserve"> HYPERLINK "http://ec.europa.eu/43E13CC1-A2BB-4956-AD04-39759EDE2B63/FinalDownload/DownloadId-AB8F8A0D7CEBDF713CCF4FB1751F7EBD/43E13CC1-A2BB-4956-AD04-39759EDE2B63/regional_policy/sources/docgener/studies/pdf/cba_guide.pdf" </w:instrText>
      </w:r>
      <w:r w:rsidRPr="00CD4F15">
        <w:rPr>
          <w:rFonts w:ascii="Times New Roman" w:eastAsia="Times New Roman" w:hAnsi="Times New Roman"/>
          <w:sz w:val="18"/>
          <w:szCs w:val="24"/>
        </w:rPr>
        <w:fldChar w:fldCharType="separate"/>
      </w:r>
      <w:r w:rsidRPr="00CD4F15">
        <w:rPr>
          <w:rFonts w:ascii="Times New Roman" w:eastAsia="Times New Roman" w:hAnsi="Times New Roman"/>
          <w:color w:val="0000FF"/>
          <w:sz w:val="18"/>
          <w:szCs w:val="24"/>
          <w:u w:val="single"/>
        </w:rPr>
        <w:t>http://ec.europa.eu/43E13CC1-A2BB-4956-AD04-39759EDE2B63/FinalDownload/DownloadId-AB8F8A0D7CEBDF713CCF4FB1751F7EBD/43E13CC1-A2BB-4956-AD04-39759EDE2B63/regional_policy/sources/docgener/studies/pdf/cba_guide.pdf</w:t>
      </w:r>
      <w:r w:rsidRPr="00CD4F15">
        <w:rPr>
          <w:rFonts w:ascii="Times New Roman" w:eastAsia="Times New Roman" w:hAnsi="Times New Roman"/>
          <w:sz w:val="18"/>
          <w:szCs w:val="24"/>
        </w:rPr>
        <w:fldChar w:fldCharType="end"/>
      </w:r>
      <w:r w:rsidRPr="00CD4F15">
        <w:rPr>
          <w:rFonts w:ascii="Times New Roman" w:eastAsia="Times New Roman" w:hAnsi="Times New Roman"/>
          <w:sz w:val="24"/>
          <w:szCs w:val="24"/>
        </w:rPr>
        <w:t>).</w:t>
      </w:r>
      <w:r w:rsidRPr="00CD4F15">
        <w:rPr>
          <w:rFonts w:ascii="Times New Roman" w:eastAsia="Times New Roman" w:hAnsi="Times New Roman"/>
          <w:sz w:val="24"/>
          <w:szCs w:val="24"/>
          <w:u w:val="single"/>
          <w:lang w:val="sq-AL"/>
        </w:rPr>
        <w:t xml:space="preserve"> </w:t>
      </w: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lastRenderedPageBreak/>
        <w:t xml:space="preserve">Neni 2 parashikon shtimin e neneve 4/1, 4/2, 4/3 dhe 4/4, të cilët kanë për qëllim: </w:t>
      </w:r>
    </w:p>
    <w:p w:rsidR="00CD4F15" w:rsidRPr="00CD4F15" w:rsidRDefault="00CD4F15" w:rsidP="00CD4F15">
      <w:pPr>
        <w:numPr>
          <w:ilvl w:val="0"/>
          <w:numId w:val="12"/>
        </w:numPr>
        <w:autoSpaceDE w:val="0"/>
        <w:autoSpaceDN w:val="0"/>
        <w:adjustRightInd w:val="0"/>
        <w:spacing w:after="0"/>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Neni 4/1:</w:t>
      </w:r>
    </w:p>
    <w:p w:rsidR="00CD4F15" w:rsidRPr="00CD4F15" w:rsidRDefault="00CD4F15" w:rsidP="00CD4F15">
      <w:pPr>
        <w:numPr>
          <w:ilvl w:val="0"/>
          <w:numId w:val="13"/>
        </w:numPr>
        <w:tabs>
          <w:tab w:val="left" w:pos="1701"/>
        </w:tabs>
        <w:autoSpaceDE w:val="0"/>
        <w:autoSpaceDN w:val="0"/>
        <w:adjustRightInd w:val="0"/>
        <w:spacing w:after="0"/>
        <w:ind w:left="1701" w:hanging="425"/>
        <w:jc w:val="both"/>
        <w:rPr>
          <w:rFonts w:ascii="Times New Roman" w:eastAsia="Times New Roman" w:hAnsi="Times New Roman"/>
          <w:i/>
          <w:sz w:val="24"/>
          <w:szCs w:val="24"/>
          <w:lang w:val="sq-AL"/>
        </w:rPr>
      </w:pPr>
      <w:r w:rsidRPr="00CD4F15">
        <w:rPr>
          <w:rFonts w:ascii="Times New Roman" w:eastAsia="Times New Roman" w:hAnsi="Times New Roman"/>
          <w:i/>
          <w:sz w:val="24"/>
          <w:szCs w:val="24"/>
          <w:lang w:val="sq-AL"/>
        </w:rPr>
        <w:t>Pika 1 – Ka për qëllim vendosjen e rregullave fiskalë të përshtatshëm për të siguruar qëndrueshmërinë afatgjatë të borxhit publik me impakt të drejtpërdrejtë në stabilitetin makroekonomik të vendit dhe zhvillimin e qëndrueshëm të tij. Ky është njëkohësisht edhe një prej objektivave madhorë të strategjisë së menaxhimit të financave publike. Gjithashtu, është në linjë edhe me rekomandimet e FMN sa i takon stabilitetit afatgjatë të financave publike dhe qëndrueshmërisë makroekonomike.</w:t>
      </w:r>
    </w:p>
    <w:p w:rsidR="00CD4F15" w:rsidRPr="00CD4F15" w:rsidRDefault="00CD4F15" w:rsidP="00CD4F15">
      <w:pPr>
        <w:numPr>
          <w:ilvl w:val="0"/>
          <w:numId w:val="13"/>
        </w:numPr>
        <w:tabs>
          <w:tab w:val="left" w:pos="1701"/>
        </w:tabs>
        <w:autoSpaceDE w:val="0"/>
        <w:autoSpaceDN w:val="0"/>
        <w:adjustRightInd w:val="0"/>
        <w:spacing w:after="0"/>
        <w:ind w:left="1701" w:hanging="425"/>
        <w:jc w:val="both"/>
        <w:rPr>
          <w:rFonts w:ascii="Times New Roman" w:eastAsia="Times New Roman" w:hAnsi="Times New Roman"/>
          <w:i/>
          <w:sz w:val="24"/>
          <w:szCs w:val="24"/>
          <w:lang w:val="sq-AL"/>
        </w:rPr>
      </w:pPr>
      <w:r w:rsidRPr="00CD4F15">
        <w:rPr>
          <w:rFonts w:ascii="Times New Roman" w:eastAsia="Times New Roman" w:hAnsi="Times New Roman"/>
          <w:i/>
          <w:sz w:val="24"/>
          <w:szCs w:val="24"/>
          <w:lang w:val="sq-AL"/>
        </w:rPr>
        <w:t xml:space="preserve">Pika 2 – Synohet që programimi buxhetor të zhvishet nga cdo lloj planifikimi që ka një risk të konsiderueshëm të mos materializimit në praktikë, sic është privatizimi i aseteve publike. Gjithashtu, në kuadër të miëmenaxhimit të burimeve publike dhe të synimit për uljen e nivelit të borxhit publik, propozohet që 50% e të ardhurave nga privatizimi të shkojnë ekskluzivisht për këtë qëllim dhe pjesa e mbetur për investime publike. Ky propozim është në linjë të plotë me rekomandimet e inbstitucioneve prestigjoze si FMN, BB dhe SIGMA (OECD). </w:t>
      </w:r>
    </w:p>
    <w:p w:rsidR="00CD4F15" w:rsidRPr="00CD4F15" w:rsidRDefault="00CD4F15" w:rsidP="00CD4F15">
      <w:pPr>
        <w:numPr>
          <w:ilvl w:val="0"/>
          <w:numId w:val="13"/>
        </w:numPr>
        <w:tabs>
          <w:tab w:val="left" w:pos="1701"/>
        </w:tabs>
        <w:autoSpaceDE w:val="0"/>
        <w:autoSpaceDN w:val="0"/>
        <w:adjustRightInd w:val="0"/>
        <w:spacing w:after="0" w:line="240" w:lineRule="auto"/>
        <w:ind w:left="1701" w:hanging="425"/>
        <w:jc w:val="both"/>
        <w:rPr>
          <w:rFonts w:ascii="Times New Roman" w:eastAsia="Times New Roman" w:hAnsi="Times New Roman"/>
          <w:i/>
          <w:sz w:val="24"/>
          <w:szCs w:val="24"/>
          <w:lang w:val="sq-AL"/>
        </w:rPr>
      </w:pPr>
      <w:r w:rsidRPr="00CD4F15">
        <w:rPr>
          <w:rFonts w:ascii="Times New Roman" w:eastAsia="Times New Roman" w:hAnsi="Times New Roman"/>
          <w:i/>
          <w:sz w:val="24"/>
          <w:szCs w:val="24"/>
          <w:lang w:val="sq-AL"/>
        </w:rPr>
        <w:t>Pika 3 – Arsyeja e këtij propozimi lidhet ngushtë me dhënien e kohës së nevojshme për bizneset që të përshtasin në kohë planet e tyre financiare sipas ndryshimeve në regjimin fiskal, duke mënjanuar kësisoj ndryshime “surprizë” që do ta vinin biznesin në vështirësi adaptimi dhe do të rezultonin me një efektshmëri më të ulët nga pikëpamja e vjeljes së të ardhurave fiskale.</w:t>
      </w:r>
    </w:p>
    <w:p w:rsidR="00CD4F15" w:rsidRPr="00CD4F15" w:rsidRDefault="00CD4F15" w:rsidP="00CD4F15">
      <w:pPr>
        <w:numPr>
          <w:ilvl w:val="0"/>
          <w:numId w:val="13"/>
        </w:numPr>
        <w:tabs>
          <w:tab w:val="left" w:pos="1701"/>
        </w:tabs>
        <w:autoSpaceDE w:val="0"/>
        <w:autoSpaceDN w:val="0"/>
        <w:adjustRightInd w:val="0"/>
        <w:spacing w:after="0" w:line="240" w:lineRule="auto"/>
        <w:ind w:left="1701" w:hanging="425"/>
        <w:jc w:val="both"/>
        <w:rPr>
          <w:rFonts w:ascii="Times New Roman" w:eastAsia="Times New Roman" w:hAnsi="Times New Roman"/>
          <w:i/>
          <w:sz w:val="24"/>
          <w:szCs w:val="24"/>
          <w:lang w:val="sq-AL"/>
        </w:rPr>
      </w:pPr>
      <w:r w:rsidRPr="00CD4F15">
        <w:rPr>
          <w:rFonts w:ascii="Times New Roman" w:eastAsia="Times New Roman" w:hAnsi="Times New Roman"/>
          <w:i/>
          <w:sz w:val="24"/>
          <w:szCs w:val="24"/>
          <w:lang w:val="sq-AL"/>
        </w:rPr>
        <w:t>Pika 4 – Përfshirja e kësaj pike ka për qëllim garantimin e plotë të Rregullit të Artë (Golden Rule) në menaxhimin e financave publike, i cili nuk lejon planifikimin e një deficiti buxhetor më të lartë sesa niveli i parashikuar i investimeve të përgjithshme publike, në një vit buxhetor.</w:t>
      </w:r>
    </w:p>
    <w:p w:rsidR="00CD4F15" w:rsidRPr="00CD4F15" w:rsidRDefault="00CD4F15" w:rsidP="00CD4F15">
      <w:pPr>
        <w:numPr>
          <w:ilvl w:val="0"/>
          <w:numId w:val="12"/>
        </w:numPr>
        <w:autoSpaceDE w:val="0"/>
        <w:autoSpaceDN w:val="0"/>
        <w:adjustRightInd w:val="0"/>
        <w:spacing w:after="0" w:line="240" w:lineRule="auto"/>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Neni 4/2</w:t>
      </w:r>
      <w:r w:rsidRPr="00CD4F15">
        <w:rPr>
          <w:rFonts w:ascii="Times New Roman" w:eastAsia="Times New Roman" w:hAnsi="Times New Roman"/>
          <w:sz w:val="24"/>
          <w:szCs w:val="24"/>
          <w:lang w:val="sq-AL"/>
        </w:rPr>
        <w:t xml:space="preserve"> – Paragrafi i parë dhe i dytë rregullon me ligj aplikimin e standardeve më të mira ndërkombëtare lidhur me mënyrën se si duhen trajtuar garancitë shtetërore në kuadër të impaktit që ato kanë në fiancat publike. Paragrafi i tretë përcakton se gjitha entitetet publike jo buxhetore duhet t’i nënshtrohen të njëjtave rregulla dhe procedura për shqyrtimin dhe miratimin e investimeve publike, njësoj si institucionet buxhetore. Paragrafi i katërt përcakton që Ministria e Financave duhet të vlerësojë dhe miratojë paraprakisht të gjitha propozimet konçesionare/PPP të qeverisjes së përgjithshme. Paragrafi i fundit, bazuar edhe në rekomandimet e FMN, BB, etj, sanksionon një limit tavan prej 5% të të ardhurave buxhetore për totalin e pagesave vjetore që kryhen për projektet konçesionare/PPP, me qëllim kufizimin e ekspozimit të buxhetit të shtetit ndaj risqeve që shoqërojnë këto projekte. </w:t>
      </w:r>
    </w:p>
    <w:p w:rsidR="00CD4F15" w:rsidRPr="00CD4F15" w:rsidRDefault="00CD4F15" w:rsidP="00CD4F15">
      <w:pPr>
        <w:numPr>
          <w:ilvl w:val="0"/>
          <w:numId w:val="12"/>
        </w:numPr>
        <w:autoSpaceDE w:val="0"/>
        <w:autoSpaceDN w:val="0"/>
        <w:adjustRightInd w:val="0"/>
        <w:spacing w:after="0" w:line="240" w:lineRule="auto"/>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Neni 4/3</w:t>
      </w:r>
      <w:r w:rsidRPr="00CD4F15">
        <w:rPr>
          <w:rFonts w:ascii="Times New Roman" w:eastAsia="Times New Roman" w:hAnsi="Times New Roman"/>
          <w:sz w:val="24"/>
          <w:szCs w:val="24"/>
          <w:lang w:val="sq-AL"/>
        </w:rPr>
        <w:t xml:space="preserve"> – Ky nen i ri ka për qëllim disiplinimin e shpenzimeve në vitet elektrorale, si edhe përputhshmërinë e kritereve të zbatueshme me ato të përcaktuara në strategjinë e financave publike. Qëllimi është eleminimi i praktikave të mëparshme që rezultonin me një ezaurim të nivelit të deficitit buxhetor që në gjashtëmujorine parë të vitit, për kryerjen e shpenzimeve </w:t>
      </w:r>
      <w:r w:rsidRPr="00CD4F15">
        <w:rPr>
          <w:rFonts w:ascii="Times New Roman" w:eastAsia="Times New Roman" w:hAnsi="Times New Roman"/>
          <w:sz w:val="24"/>
          <w:szCs w:val="24"/>
          <w:lang w:val="sq-AL"/>
        </w:rPr>
        <w:lastRenderedPageBreak/>
        <w:t xml:space="preserve">buxhetore për qëllime elektorale, në kurriz të mirëmenaxhimit të financave publike. </w:t>
      </w:r>
    </w:p>
    <w:p w:rsidR="00CD4F15" w:rsidRPr="00CD4F15" w:rsidRDefault="00CD4F15" w:rsidP="00CD4F15">
      <w:pPr>
        <w:numPr>
          <w:ilvl w:val="0"/>
          <w:numId w:val="12"/>
        </w:numPr>
        <w:autoSpaceDE w:val="0"/>
        <w:autoSpaceDN w:val="0"/>
        <w:adjustRightInd w:val="0"/>
        <w:spacing w:after="0" w:line="240" w:lineRule="auto"/>
        <w:ind w:left="1276" w:hanging="283"/>
        <w:jc w:val="both"/>
        <w:rPr>
          <w:rFonts w:ascii="Times New Roman" w:eastAsia="Times New Roman" w:hAnsi="Times New Roman"/>
          <w:sz w:val="24"/>
          <w:szCs w:val="24"/>
          <w:lang w:val="sq-AL"/>
        </w:rPr>
      </w:pPr>
      <w:r w:rsidRPr="00CD4F15">
        <w:rPr>
          <w:rFonts w:ascii="Times New Roman" w:eastAsia="Times New Roman" w:hAnsi="Times New Roman"/>
          <w:sz w:val="24"/>
          <w:szCs w:val="24"/>
          <w:u w:val="single"/>
          <w:lang w:val="sq-AL"/>
        </w:rPr>
        <w:t>Neni 4/4</w:t>
      </w:r>
      <w:r w:rsidRPr="00CD4F15">
        <w:rPr>
          <w:rFonts w:ascii="Times New Roman" w:eastAsia="Times New Roman" w:hAnsi="Times New Roman"/>
          <w:sz w:val="24"/>
          <w:szCs w:val="24"/>
          <w:lang w:val="sq-AL"/>
        </w:rPr>
        <w:t xml:space="preserve"> – Përcakton rastet e vecanta, të ashtuquajtura “rrethana të jashtëzakonshme për efekt të këtij ligji”, se kur mund të devijohet nga rregullat fiskalë të saksionuara nga ky ligj.</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16"/>
          <w:szCs w:val="16"/>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3 parashikon ndryshimin e nenit 5 – </w:t>
      </w:r>
      <w:r w:rsidRPr="00CD4F15">
        <w:rPr>
          <w:rFonts w:ascii="Times New Roman" w:eastAsia="Times New Roman" w:hAnsi="Times New Roman"/>
          <w:sz w:val="24"/>
          <w:szCs w:val="24"/>
          <w:lang w:val="sq-AL"/>
        </w:rPr>
        <w:t>Qëllimi është disiplinimi i përdorimit të fondit të kontigjencës për arsye strikte që lidhen me mosrealizimin e të ardhurave. Kjo, pasi ligji ekzistues linte hapësirë interpretimi që është shfrytëzuar për ta përdorur këtë fond edhe për qëllime të tjera.</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16"/>
          <w:szCs w:val="16"/>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4 parashikon ndryshimin e nenit 6 – </w:t>
      </w:r>
      <w:r w:rsidRPr="00CD4F15">
        <w:rPr>
          <w:rFonts w:ascii="Times New Roman" w:eastAsia="Times New Roman" w:hAnsi="Times New Roman"/>
          <w:sz w:val="24"/>
          <w:szCs w:val="24"/>
          <w:lang w:val="sq-AL"/>
        </w:rPr>
        <w:t>Sipas tij, n</w:t>
      </w:r>
      <w:proofErr w:type="spellStart"/>
      <w:r w:rsidRPr="00CD4F15">
        <w:rPr>
          <w:rFonts w:ascii="Times New Roman" w:eastAsia="Times New Roman" w:hAnsi="Times New Roman"/>
          <w:sz w:val="24"/>
          <w:szCs w:val="24"/>
          <w:lang w:val="es-CL"/>
        </w:rPr>
        <w:t>jësia</w:t>
      </w:r>
      <w:proofErr w:type="spellEnd"/>
      <w:r w:rsidRPr="00CD4F15">
        <w:rPr>
          <w:rFonts w:ascii="Times New Roman" w:eastAsia="Times New Roman" w:hAnsi="Times New Roman"/>
          <w:sz w:val="24"/>
          <w:szCs w:val="24"/>
          <w:lang w:val="es-CL"/>
        </w:rPr>
        <w:t xml:space="preserve"> e </w:t>
      </w:r>
      <w:proofErr w:type="spellStart"/>
      <w:r w:rsidRPr="00CD4F15">
        <w:rPr>
          <w:rFonts w:ascii="Times New Roman" w:eastAsia="Times New Roman" w:hAnsi="Times New Roman"/>
          <w:sz w:val="24"/>
          <w:szCs w:val="24"/>
          <w:lang w:val="es-CL"/>
        </w:rPr>
        <w:t>qeverisjes</w:t>
      </w:r>
      <w:proofErr w:type="spellEnd"/>
      <w:r w:rsidRPr="00CD4F15">
        <w:rPr>
          <w:rFonts w:ascii="Times New Roman" w:eastAsia="Times New Roman" w:hAnsi="Times New Roman"/>
          <w:sz w:val="24"/>
          <w:szCs w:val="24"/>
          <w:lang w:val="es-CL"/>
        </w:rPr>
        <w:t xml:space="preserve"> </w:t>
      </w:r>
      <w:proofErr w:type="spellStart"/>
      <w:r w:rsidRPr="00CD4F15">
        <w:rPr>
          <w:rFonts w:ascii="Times New Roman" w:eastAsia="Times New Roman" w:hAnsi="Times New Roman"/>
          <w:sz w:val="24"/>
          <w:szCs w:val="24"/>
          <w:lang w:val="es-CL"/>
        </w:rPr>
        <w:t>vendore</w:t>
      </w:r>
      <w:proofErr w:type="spellEnd"/>
      <w:r w:rsidRPr="00CD4F15">
        <w:rPr>
          <w:rFonts w:ascii="Times New Roman" w:eastAsia="Times New Roman" w:hAnsi="Times New Roman"/>
          <w:sz w:val="24"/>
          <w:szCs w:val="24"/>
          <w:lang w:val="es-CL"/>
        </w:rPr>
        <w:t xml:space="preserve"> </w:t>
      </w:r>
      <w:proofErr w:type="spellStart"/>
      <w:r w:rsidRPr="00CD4F15">
        <w:rPr>
          <w:rFonts w:ascii="Times New Roman" w:eastAsia="Times New Roman" w:hAnsi="Times New Roman"/>
          <w:sz w:val="24"/>
          <w:szCs w:val="24"/>
          <w:lang w:val="es-CL"/>
        </w:rPr>
        <w:t>mund</w:t>
      </w:r>
      <w:proofErr w:type="spellEnd"/>
      <w:r w:rsidRPr="00CD4F15">
        <w:rPr>
          <w:rFonts w:ascii="Times New Roman" w:eastAsia="Times New Roman" w:hAnsi="Times New Roman"/>
          <w:sz w:val="24"/>
          <w:szCs w:val="24"/>
          <w:lang w:val="es-CL"/>
        </w:rPr>
        <w:t xml:space="preserve"> </w:t>
      </w:r>
      <w:proofErr w:type="spellStart"/>
      <w:r w:rsidRPr="00CD4F15">
        <w:rPr>
          <w:rFonts w:ascii="Times New Roman" w:eastAsia="Times New Roman" w:hAnsi="Times New Roman"/>
          <w:sz w:val="24"/>
          <w:szCs w:val="24"/>
          <w:lang w:val="es-CL"/>
        </w:rPr>
        <w:t>të</w:t>
      </w:r>
      <w:proofErr w:type="spellEnd"/>
      <w:r w:rsidRPr="00CD4F15">
        <w:rPr>
          <w:rFonts w:ascii="Times New Roman" w:eastAsia="Times New Roman" w:hAnsi="Times New Roman"/>
          <w:sz w:val="24"/>
          <w:szCs w:val="24"/>
          <w:lang w:val="es-CL"/>
        </w:rPr>
        <w:t xml:space="preserve"> </w:t>
      </w:r>
      <w:proofErr w:type="spellStart"/>
      <w:r w:rsidRPr="00CD4F15">
        <w:rPr>
          <w:rFonts w:ascii="Times New Roman" w:eastAsia="Times New Roman" w:hAnsi="Times New Roman"/>
          <w:sz w:val="24"/>
          <w:szCs w:val="24"/>
          <w:lang w:val="es-CL"/>
        </w:rPr>
        <w:t>krijojë</w:t>
      </w:r>
      <w:proofErr w:type="spellEnd"/>
      <w:r w:rsidRPr="00CD4F15">
        <w:rPr>
          <w:rFonts w:ascii="Times New Roman" w:eastAsia="Times New Roman" w:hAnsi="Times New Roman"/>
          <w:sz w:val="24"/>
          <w:szCs w:val="24"/>
          <w:lang w:val="es-CL"/>
        </w:rPr>
        <w:t xml:space="preserve"> </w:t>
      </w:r>
      <w:proofErr w:type="spellStart"/>
      <w:r w:rsidRPr="00CD4F15">
        <w:rPr>
          <w:rFonts w:ascii="Times New Roman" w:eastAsia="Times New Roman" w:hAnsi="Times New Roman"/>
          <w:sz w:val="24"/>
          <w:szCs w:val="24"/>
          <w:lang w:val="es-CL"/>
        </w:rPr>
        <w:t>fondin</w:t>
      </w:r>
      <w:proofErr w:type="spellEnd"/>
      <w:r w:rsidRPr="00CD4F15">
        <w:rPr>
          <w:rFonts w:ascii="Times New Roman" w:eastAsia="Times New Roman" w:hAnsi="Times New Roman"/>
          <w:sz w:val="24"/>
          <w:szCs w:val="24"/>
          <w:lang w:val="es-CL"/>
        </w:rPr>
        <w:t xml:space="preserve"> e </w:t>
      </w:r>
      <w:proofErr w:type="spellStart"/>
      <w:r w:rsidRPr="00CD4F15">
        <w:rPr>
          <w:rFonts w:ascii="Times New Roman" w:eastAsia="Times New Roman" w:hAnsi="Times New Roman"/>
          <w:sz w:val="24"/>
          <w:szCs w:val="24"/>
          <w:lang w:val="es-CL"/>
        </w:rPr>
        <w:t>kontigjencës</w:t>
      </w:r>
      <w:proofErr w:type="spellEnd"/>
      <w:r w:rsidRPr="00CD4F15">
        <w:rPr>
          <w:rFonts w:ascii="Times New Roman" w:eastAsia="Times New Roman" w:hAnsi="Times New Roman"/>
          <w:sz w:val="24"/>
          <w:szCs w:val="24"/>
          <w:lang w:val="es-CL"/>
        </w:rPr>
        <w:t xml:space="preserve">, me </w:t>
      </w:r>
      <w:proofErr w:type="spellStart"/>
      <w:r w:rsidRPr="00CD4F15">
        <w:rPr>
          <w:rFonts w:ascii="Times New Roman" w:eastAsia="Times New Roman" w:hAnsi="Times New Roman"/>
          <w:sz w:val="24"/>
          <w:szCs w:val="24"/>
          <w:lang w:val="es-CL"/>
        </w:rPr>
        <w:t>qëllim</w:t>
      </w:r>
      <w:proofErr w:type="spellEnd"/>
      <w:r w:rsidRPr="00CD4F15">
        <w:rPr>
          <w:rFonts w:ascii="Times New Roman" w:eastAsia="Times New Roman" w:hAnsi="Times New Roman"/>
          <w:sz w:val="24"/>
          <w:szCs w:val="24"/>
          <w:lang w:val="es-CL"/>
        </w:rPr>
        <w:t xml:space="preserve"> </w:t>
      </w:r>
      <w:r w:rsidRPr="00CD4F15">
        <w:rPr>
          <w:rFonts w:ascii="Times New Roman" w:eastAsia="Times New Roman" w:hAnsi="Times New Roman"/>
          <w:sz w:val="24"/>
          <w:szCs w:val="24"/>
          <w:lang w:val="sq-AL"/>
        </w:rPr>
        <w:t>përdorimin e tij për arsye që lidhen me mosrealizimin e të ardhurave.</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16"/>
          <w:szCs w:val="16"/>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5 parashikon heqjen e paragrafit të fundit të nenit 8 </w:t>
      </w:r>
      <w:r w:rsidRPr="00CD4F15">
        <w:rPr>
          <w:rFonts w:ascii="Times New Roman" w:eastAsia="Times New Roman" w:hAnsi="Times New Roman"/>
          <w:sz w:val="24"/>
          <w:szCs w:val="24"/>
          <w:lang w:val="sq-AL"/>
        </w:rPr>
        <w:t>– Paragrafi i hequr përcaktonte se “Njësitë e qeverisjes vendore gëzojnë të drejtën e përfitimit të interesit për mjetet e tyre monetare, përkohësisht të lira, në llogarinë e unifikuar të thesarit. Kushtet dhe masa e përfitimit të interesave përcaktohen me udhëzim të Ministrit të Financave”. Propozimi për heqjen e tij bazohet në pamundësinë praktike të përllogaritjes së masës së përfitimit të interesave nga njësitë e qeverisjes vendore, gjë që ka sjellë e moszbatimin asnjëherë në praktikë të kësaj procedure.</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Neni 6 parashikon riformulimin e nenit 12</w:t>
      </w:r>
      <w:r w:rsidRPr="00CD4F15">
        <w:rPr>
          <w:rFonts w:ascii="Times New Roman" w:eastAsia="Times New Roman" w:hAnsi="Times New Roman"/>
          <w:sz w:val="24"/>
          <w:szCs w:val="24"/>
          <w:lang w:val="sq-AL"/>
        </w:rPr>
        <w:t xml:space="preserve"> – Qëllimi i këtij ndryshimi është “pastrimi” i këtij neni nga formulime të përsëritura, të cilat gjejnë vend më të zgjeruar dhe të përshtatshëm në nene të tjera më specifike të këtij ligji.</w:t>
      </w:r>
    </w:p>
    <w:p w:rsidR="00CD4F15" w:rsidRPr="00CD4F15" w:rsidRDefault="00CD4F15" w:rsidP="00CD4F15">
      <w:pPr>
        <w:autoSpaceDE w:val="0"/>
        <w:autoSpaceDN w:val="0"/>
        <w:adjustRightInd w:val="0"/>
        <w:spacing w:after="0" w:line="240" w:lineRule="auto"/>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7 parashikon shtimin e një fjalie në nenin 16 – </w:t>
      </w:r>
      <w:r w:rsidRPr="00CD4F15">
        <w:rPr>
          <w:rFonts w:ascii="Times New Roman" w:eastAsia="Times New Roman" w:hAnsi="Times New Roman"/>
          <w:sz w:val="24"/>
          <w:szCs w:val="24"/>
          <w:lang w:val="sq-AL"/>
        </w:rPr>
        <w:t>Kjo shtesë mundëson një rregullim të nevojshëm ligjor përsa i përket zbatueshmërisë së akteve nënligjore të KM (VKM) nga e gjithë qeverisja e përgjithshme, përcaktim ky që deri më sot ka qenë parashikuar vetëm në ligjin vjetor të buxhetit.</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8 parashikon heqjen e paragrafit të fundit të nenit 18 </w:t>
      </w:r>
      <w:r w:rsidRPr="00CD4F15">
        <w:rPr>
          <w:rFonts w:ascii="Times New Roman" w:eastAsia="Times New Roman" w:hAnsi="Times New Roman"/>
          <w:sz w:val="24"/>
          <w:szCs w:val="24"/>
          <w:lang w:val="sq-AL"/>
        </w:rPr>
        <w:t xml:space="preserve">– Paragrafi i hequr parashikonte paraqitjen e nëpunësit të parë autorizues përpara kuvendit dhe komisioneve kuvendore, lidhur me raportimin periodik mbi çështjet e zbatimit të buxhetit dhe kontrollit të brendshëm financiar publik. Gjë që, është kompetencë ekskluzive vetëm e Ministrit të Financave.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9 parashikon ndryshimin e nenit 19 – </w:t>
      </w:r>
      <w:proofErr w:type="spellStart"/>
      <w:r w:rsidRPr="00CD4F15">
        <w:rPr>
          <w:rFonts w:ascii="Times New Roman" w:eastAsia="Times New Roman" w:hAnsi="Times New Roman"/>
          <w:sz w:val="24"/>
          <w:szCs w:val="24"/>
        </w:rPr>
        <w:t>Rishikimi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ketij</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neni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eshte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nevojshem</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si</w:t>
      </w:r>
      <w:proofErr w:type="spellEnd"/>
      <w:r w:rsidRPr="00CD4F15">
        <w:rPr>
          <w:rFonts w:ascii="Times New Roman" w:eastAsia="Times New Roman" w:hAnsi="Times New Roman"/>
          <w:sz w:val="24"/>
          <w:szCs w:val="24"/>
        </w:rPr>
        <w:t xml:space="preserve"> per </w:t>
      </w:r>
      <w:proofErr w:type="spellStart"/>
      <w:r w:rsidRPr="00CD4F15">
        <w:rPr>
          <w:rFonts w:ascii="Times New Roman" w:eastAsia="Times New Roman" w:hAnsi="Times New Roman"/>
          <w:sz w:val="24"/>
          <w:szCs w:val="24"/>
        </w:rPr>
        <w:t>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qene</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perputhje</w:t>
      </w:r>
      <w:proofErr w:type="spellEnd"/>
      <w:r w:rsidRPr="00CD4F15">
        <w:rPr>
          <w:rFonts w:ascii="Times New Roman" w:eastAsia="Times New Roman" w:hAnsi="Times New Roman"/>
          <w:sz w:val="24"/>
          <w:szCs w:val="24"/>
        </w:rPr>
        <w:t xml:space="preserve"> me </w:t>
      </w:r>
      <w:proofErr w:type="spellStart"/>
      <w:r w:rsidRPr="00CD4F15">
        <w:rPr>
          <w:rFonts w:ascii="Times New Roman" w:eastAsia="Times New Roman" w:hAnsi="Times New Roman"/>
          <w:sz w:val="24"/>
          <w:szCs w:val="24"/>
        </w:rPr>
        <w:t>ligjin</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menaxhimit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financiar</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dhe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kontrollit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ashtu</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edhe</w:t>
      </w:r>
      <w:proofErr w:type="spellEnd"/>
      <w:r w:rsidRPr="00CD4F15">
        <w:rPr>
          <w:rFonts w:ascii="Times New Roman" w:eastAsia="Times New Roman" w:hAnsi="Times New Roman"/>
          <w:sz w:val="24"/>
          <w:szCs w:val="24"/>
        </w:rPr>
        <w:t xml:space="preserve"> per </w:t>
      </w:r>
      <w:proofErr w:type="spellStart"/>
      <w:r w:rsidRPr="00CD4F15">
        <w:rPr>
          <w:rFonts w:ascii="Times New Roman" w:eastAsia="Times New Roman" w:hAnsi="Times New Roman"/>
          <w:sz w:val="24"/>
          <w:szCs w:val="24"/>
        </w:rPr>
        <w:t>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qartesuar</w:t>
      </w:r>
      <w:proofErr w:type="spellEnd"/>
      <w:r w:rsidRPr="00CD4F15">
        <w:rPr>
          <w:rFonts w:ascii="Times New Roman" w:eastAsia="Times New Roman" w:hAnsi="Times New Roman"/>
          <w:sz w:val="24"/>
          <w:szCs w:val="24"/>
        </w:rPr>
        <w:t xml:space="preserve"> se </w:t>
      </w:r>
      <w:proofErr w:type="spellStart"/>
      <w:r w:rsidRPr="00CD4F15">
        <w:rPr>
          <w:rFonts w:ascii="Times New Roman" w:eastAsia="Times New Roman" w:hAnsi="Times New Roman"/>
          <w:sz w:val="24"/>
          <w:szCs w:val="24"/>
        </w:rPr>
        <w:t>kush</w:t>
      </w:r>
      <w:proofErr w:type="spellEnd"/>
      <w:r w:rsidRPr="00CD4F15">
        <w:rPr>
          <w:rFonts w:ascii="Times New Roman" w:eastAsia="Times New Roman" w:hAnsi="Times New Roman"/>
          <w:sz w:val="24"/>
          <w:szCs w:val="24"/>
        </w:rPr>
        <w:t xml:space="preserve"> jane </w:t>
      </w:r>
      <w:proofErr w:type="spellStart"/>
      <w:r w:rsidRPr="00CD4F15">
        <w:rPr>
          <w:rFonts w:ascii="Times New Roman" w:eastAsia="Times New Roman" w:hAnsi="Times New Roman"/>
          <w:sz w:val="24"/>
          <w:szCs w:val="24"/>
        </w:rPr>
        <w:t>firmat</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autorizuara</w:t>
      </w:r>
      <w:proofErr w:type="spellEnd"/>
      <w:r w:rsidRPr="00CD4F15">
        <w:rPr>
          <w:rFonts w:ascii="Times New Roman" w:eastAsia="Times New Roman" w:hAnsi="Times New Roman"/>
          <w:sz w:val="24"/>
          <w:szCs w:val="24"/>
        </w:rPr>
        <w:t xml:space="preserve"> per </w:t>
      </w:r>
      <w:proofErr w:type="spellStart"/>
      <w:r w:rsidRPr="00CD4F15">
        <w:rPr>
          <w:rFonts w:ascii="Times New Roman" w:eastAsia="Times New Roman" w:hAnsi="Times New Roman"/>
          <w:sz w:val="24"/>
          <w:szCs w:val="24"/>
        </w:rPr>
        <w:t>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vepruar</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thesar</w:t>
      </w:r>
      <w:proofErr w:type="spellEnd"/>
      <w:r w:rsidRPr="00CD4F15">
        <w:rPr>
          <w:rFonts w:ascii="Times New Roman" w:eastAsia="Times New Roman" w:hAnsi="Times New Roman"/>
          <w:sz w:val="24"/>
          <w:szCs w:val="24"/>
        </w:rPr>
        <w:t xml:space="preserve"> per </w:t>
      </w:r>
      <w:proofErr w:type="spellStart"/>
      <w:r w:rsidRPr="00CD4F15">
        <w:rPr>
          <w:rFonts w:ascii="Times New Roman" w:eastAsia="Times New Roman" w:hAnsi="Times New Roman"/>
          <w:sz w:val="24"/>
          <w:szCs w:val="24"/>
        </w:rPr>
        <w:t>njesite</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qeverisjes</w:t>
      </w:r>
      <w:proofErr w:type="spellEnd"/>
      <w:r w:rsidRPr="00CD4F15">
        <w:rPr>
          <w:rFonts w:ascii="Times New Roman" w:eastAsia="Times New Roman" w:hAnsi="Times New Roman"/>
          <w:sz w:val="24"/>
          <w:szCs w:val="24"/>
        </w:rPr>
        <w:t xml:space="preserve"> se </w:t>
      </w:r>
      <w:proofErr w:type="spellStart"/>
      <w:r w:rsidRPr="00CD4F15">
        <w:rPr>
          <w:rFonts w:ascii="Times New Roman" w:eastAsia="Times New Roman" w:hAnsi="Times New Roman"/>
          <w:sz w:val="24"/>
          <w:szCs w:val="24"/>
        </w:rPr>
        <w:t>pergjithshme</w:t>
      </w:r>
      <w:proofErr w:type="spellEnd"/>
      <w:r w:rsidRPr="00CD4F15">
        <w:rPr>
          <w:rFonts w:ascii="Times New Roman" w:eastAsia="Times New Roman" w:hAnsi="Times New Roman"/>
          <w:sz w:val="24"/>
          <w:szCs w:val="24"/>
        </w:rPr>
        <w:t>.</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rPr>
      </w:pPr>
      <w:r w:rsidRPr="00CD4F15">
        <w:rPr>
          <w:rFonts w:ascii="Times New Roman" w:eastAsia="Times New Roman" w:hAnsi="Times New Roman"/>
          <w:b/>
          <w:sz w:val="24"/>
          <w:szCs w:val="24"/>
          <w:lang w:val="sq-AL"/>
        </w:rPr>
        <w:t xml:space="preserve">Neni 10 parashikon ndryshimin e nenit 20 – </w:t>
      </w:r>
      <w:r w:rsidRPr="00CD4F15">
        <w:rPr>
          <w:rFonts w:ascii="Times New Roman" w:eastAsia="Times New Roman" w:hAnsi="Times New Roman"/>
          <w:sz w:val="24"/>
          <w:szCs w:val="24"/>
        </w:rPr>
        <w:t xml:space="preserve">Ne </w:t>
      </w:r>
      <w:proofErr w:type="spellStart"/>
      <w:r w:rsidRPr="00CD4F15">
        <w:rPr>
          <w:rFonts w:ascii="Times New Roman" w:eastAsia="Times New Roman" w:hAnsi="Times New Roman"/>
          <w:sz w:val="24"/>
          <w:szCs w:val="24"/>
        </w:rPr>
        <w:t>kete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nen</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percaktohet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shkurtimisht</w:t>
      </w:r>
      <w:proofErr w:type="spellEnd"/>
      <w:r w:rsidRPr="00CD4F15">
        <w:rPr>
          <w:rFonts w:ascii="Times New Roman" w:eastAsia="Times New Roman" w:hAnsi="Times New Roman"/>
          <w:sz w:val="24"/>
          <w:szCs w:val="24"/>
        </w:rPr>
        <w:t xml:space="preserve"> se </w:t>
      </w:r>
      <w:proofErr w:type="spellStart"/>
      <w:r w:rsidRPr="00CD4F15">
        <w:rPr>
          <w:rFonts w:ascii="Times New Roman" w:eastAsia="Times New Roman" w:hAnsi="Times New Roman"/>
          <w:sz w:val="24"/>
          <w:szCs w:val="24"/>
        </w:rPr>
        <w:t>cili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pozicion</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mban</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firmen</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nepunesit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zbatues</w:t>
      </w:r>
      <w:proofErr w:type="spellEnd"/>
      <w:r w:rsidRPr="00CD4F15">
        <w:rPr>
          <w:rFonts w:ascii="Times New Roman" w:eastAsia="Times New Roman" w:hAnsi="Times New Roman"/>
          <w:sz w:val="24"/>
          <w:szCs w:val="24"/>
        </w:rPr>
        <w:t xml:space="preserve"> per </w:t>
      </w:r>
      <w:proofErr w:type="spellStart"/>
      <w:r w:rsidRPr="00CD4F15">
        <w:rPr>
          <w:rFonts w:ascii="Times New Roman" w:eastAsia="Times New Roman" w:hAnsi="Times New Roman"/>
          <w:sz w:val="24"/>
          <w:szCs w:val="24"/>
        </w:rPr>
        <w:t>veprimet</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thesar</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Nderkohe</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ligjin</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menaxhmit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financiar</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dhe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kontrollit</w:t>
      </w:r>
      <w:proofErr w:type="spellEnd"/>
      <w:r w:rsidRPr="00CD4F15">
        <w:rPr>
          <w:rFonts w:ascii="Times New Roman" w:eastAsia="Times New Roman" w:hAnsi="Times New Roman"/>
          <w:sz w:val="24"/>
          <w:szCs w:val="24"/>
        </w:rPr>
        <w:t xml:space="preserve"> </w:t>
      </w:r>
      <w:proofErr w:type="gramStart"/>
      <w:r w:rsidRPr="00CD4F15">
        <w:rPr>
          <w:rFonts w:ascii="Times New Roman" w:eastAsia="Times New Roman" w:hAnsi="Times New Roman"/>
          <w:sz w:val="24"/>
          <w:szCs w:val="24"/>
        </w:rPr>
        <w:t>jane</w:t>
      </w:r>
      <w:proofErr w:type="gram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percaktuar</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detaje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kriteret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si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dhe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rolet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dhe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pergjegjesite</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ketij</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funksioni</w:t>
      </w:r>
      <w:proofErr w:type="spellEnd"/>
      <w:r w:rsidRPr="00CD4F15">
        <w:rPr>
          <w:rFonts w:ascii="Times New Roman" w:eastAsia="Times New Roman" w:hAnsi="Times New Roman"/>
          <w:sz w:val="24"/>
          <w:szCs w:val="24"/>
        </w:rPr>
        <w:t>.</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rPr>
      </w:pPr>
      <w:r w:rsidRPr="00CD4F15">
        <w:rPr>
          <w:rFonts w:ascii="Times New Roman" w:eastAsia="Times New Roman" w:hAnsi="Times New Roman"/>
          <w:b/>
          <w:sz w:val="24"/>
          <w:szCs w:val="24"/>
          <w:lang w:val="sq-AL"/>
        </w:rPr>
        <w:t>Neni 11 parashikon ndryshimin e nenit 23</w:t>
      </w:r>
      <w:r w:rsidRPr="00CD4F15">
        <w:rPr>
          <w:rFonts w:ascii="Times New Roman" w:eastAsia="Times New Roman" w:hAnsi="Times New Roman"/>
          <w:sz w:val="24"/>
          <w:szCs w:val="24"/>
          <w:lang w:val="sq-AL"/>
        </w:rPr>
        <w:t xml:space="preserve"> – Ky riformulim ka për qëllim disiplinimin dhe qartësimin e hapave për miratimin nga ana e Këshillit të </w:t>
      </w:r>
      <w:r w:rsidRPr="00CD4F15">
        <w:rPr>
          <w:rFonts w:ascii="Times New Roman" w:eastAsia="Times New Roman" w:hAnsi="Times New Roman"/>
          <w:sz w:val="24"/>
          <w:szCs w:val="24"/>
          <w:lang w:val="sq-AL"/>
        </w:rPr>
        <w:lastRenderedPageBreak/>
        <w:t>Ministrave, si të parashikimeve makro-fiskale, ashtu edhe të tavaneve përgatitore të programit buxhetor afatmesëm. Kjo, duke përcaktuar shprehimisht se këto të fundit miratohen pas miratimit të kuadrit makro-fiskal.</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rPr>
      </w:pPr>
    </w:p>
    <w:p w:rsidR="00CD4F15" w:rsidRPr="00CD4F15" w:rsidRDefault="00CD4F15" w:rsidP="00CD4F15">
      <w:pPr>
        <w:numPr>
          <w:ilvl w:val="2"/>
          <w:numId w:val="7"/>
        </w:numPr>
        <w:autoSpaceDE w:val="0"/>
        <w:autoSpaceDN w:val="0"/>
        <w:adjustRightInd w:val="0"/>
        <w:spacing w:line="240" w:lineRule="auto"/>
        <w:ind w:left="993" w:hanging="284"/>
        <w:jc w:val="both"/>
        <w:rPr>
          <w:rFonts w:ascii="Times New Roman" w:eastAsia="Times New Roman" w:hAnsi="Times New Roman"/>
          <w:bCs/>
          <w:sz w:val="24"/>
          <w:szCs w:val="24"/>
          <w:lang w:val="sq-AL"/>
        </w:rPr>
      </w:pPr>
      <w:r w:rsidRPr="00CD4F15">
        <w:rPr>
          <w:rFonts w:ascii="Times New Roman" w:eastAsia="Times New Roman" w:hAnsi="Times New Roman"/>
          <w:b/>
          <w:sz w:val="24"/>
          <w:szCs w:val="24"/>
          <w:lang w:val="sq-AL"/>
        </w:rPr>
        <w:t xml:space="preserve">Neni 12 parashikon ndryshimin e nenit 24 – </w:t>
      </w:r>
      <w:r w:rsidRPr="00CD4F15">
        <w:rPr>
          <w:rFonts w:ascii="Times New Roman" w:eastAsia="Times New Roman" w:hAnsi="Times New Roman"/>
          <w:sz w:val="24"/>
          <w:szCs w:val="24"/>
          <w:lang w:val="sq-AL"/>
        </w:rPr>
        <w:t xml:space="preserve">Riformulimi i këtij neni </w:t>
      </w:r>
      <w:r w:rsidRPr="00CD4F15">
        <w:rPr>
          <w:rFonts w:ascii="Times New Roman" w:eastAsia="Times New Roman" w:hAnsi="Times New Roman"/>
          <w:bCs/>
          <w:sz w:val="24"/>
          <w:szCs w:val="24"/>
          <w:lang w:val="sq-AL"/>
        </w:rPr>
        <w:t>synon saktesimin e faktit se rregullat dhe procedurat baze te pergatitjes se PBA percaktohen me udhezim te vecante (te perhershem) te Ministrit te Financave, si edhe detajon me imtësi përmbajtjen e udhëzimit për përgatitjen e buxhetit vendor, krahas atij për buxhetin qendror.</w:t>
      </w: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rPr>
      </w:pPr>
      <w:r w:rsidRPr="00CD4F15">
        <w:rPr>
          <w:rFonts w:ascii="Times New Roman" w:eastAsia="Times New Roman" w:hAnsi="Times New Roman"/>
          <w:b/>
          <w:sz w:val="24"/>
          <w:szCs w:val="24"/>
          <w:lang w:val="sq-AL"/>
        </w:rPr>
        <w:t xml:space="preserve">Neni 13 parashikon ndryshimin e nenit 25 – </w:t>
      </w:r>
      <w:r w:rsidRPr="00CD4F15">
        <w:rPr>
          <w:rFonts w:ascii="Times New Roman" w:eastAsia="Times New Roman" w:hAnsi="Times New Roman"/>
          <w:sz w:val="24"/>
          <w:szCs w:val="24"/>
          <w:lang w:val="sq-AL"/>
        </w:rPr>
        <w:t xml:space="preserve">Riformulimi i këtij neni synon përfshirjen e domosdoshme të konsultimit me shoqërinë civile në procesin e përgatitjes së programit buxhetor afatmesëm si nga ministritë e linjës ashtu edhe nga ministria e financave. Kjo, në kuadër të arritjes së parimit të transparencës, si edhe të rritjes së cilësisë së programimit dhe zbatimit të buxhetit. Njëkohësisht, shtesa e paragrafit të dyte synon  forcimin e rregullave të përgatitjes dhe vlerësimit të fish-projekteve të investimeve publike, përmes përcaktimit të tyre tashmë me VKM dhe jo udhëzim. Si edhe, përmes përcaktimit të vlerave monetare kufi, përtej së cilave cdo projekt investimi duhet t’i nënshtrohet një shqyrtimi më të imtësishëm nga ana e Minisrisë së Financave.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14 parashikon riformulimin e nenit 26 – </w:t>
      </w:r>
      <w:r w:rsidRPr="00CD4F15">
        <w:rPr>
          <w:rFonts w:ascii="Times New Roman" w:eastAsia="Times New Roman" w:hAnsi="Times New Roman"/>
          <w:sz w:val="24"/>
          <w:szCs w:val="24"/>
          <w:lang w:val="sq-AL"/>
        </w:rPr>
        <w:t>Riformulimi në tërësi i këtij neni siguron reflektimin e të gjitha rijësive proceduriale të procesit të përgatitjes së programit buxhetor afatmesëm, duke renditur specifikisht përmbajtjen e tij. Pra, ndryshe nga varianti ekzistues, i bën të detyrueshëm elementët bazë të PBA-së.</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15 parashikon një ndryshim në nenin 27 </w:t>
      </w:r>
      <w:r w:rsidRPr="00CD4F15">
        <w:rPr>
          <w:rFonts w:ascii="Times New Roman" w:eastAsia="Times New Roman" w:hAnsi="Times New Roman"/>
          <w:sz w:val="24"/>
          <w:szCs w:val="24"/>
          <w:lang w:val="sq-AL"/>
        </w:rPr>
        <w:t>– Ky nen është riformuluar për rrjedhojë, në vijim të ndryshimeve të reflektuara në nenin 24 (shiko mësipër).</w:t>
      </w:r>
    </w:p>
    <w:p w:rsidR="00CD4F15" w:rsidRPr="00CD4F15" w:rsidRDefault="00CD4F15" w:rsidP="00CD4F15">
      <w:pPr>
        <w:autoSpaceDE w:val="0"/>
        <w:autoSpaceDN w:val="0"/>
        <w:adjustRightInd w:val="0"/>
        <w:spacing w:after="0" w:line="240" w:lineRule="auto"/>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16 parashikon ndryshimin e nenit 29 – </w:t>
      </w:r>
      <w:r w:rsidRPr="00CD4F15">
        <w:rPr>
          <w:rFonts w:ascii="Times New Roman" w:eastAsia="Times New Roman" w:hAnsi="Times New Roman"/>
          <w:sz w:val="24"/>
          <w:szCs w:val="24"/>
          <w:lang w:val="sq-AL"/>
        </w:rPr>
        <w:t>Ky nen është riformuluar me qëllim saktësimin dhe përforcimin e elmentëve të domosdoshëm të ligjit vjetor të buxhetit, përfshirë edhe sanksionimin e buxhetimit shumëvjecar. Si edhe të përmbushë disa kërkesa</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të transparencës buxhetore</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(OBI), që kërkojnë informacion për vitet e shkuara dhe vitet e ardhshme të treguesve fiskalë dhe buxhetorë, risqet fiskale, detyrimet kontingjente, aktivitetet thuajse-fiskale dhe shpenzimet e taksave.</w:t>
      </w:r>
      <w:r w:rsidRPr="00CD4F15">
        <w:rPr>
          <w:rFonts w:ascii="Times New Roman" w:eastAsia="Times New Roman" w:hAnsi="Times New Roman"/>
          <w:b/>
          <w:sz w:val="24"/>
          <w:szCs w:val="24"/>
          <w:lang w:val="sq-AL"/>
        </w:rPr>
        <w:t xml:space="preserv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17 parashikon ndryshimin e nenit 30 – </w:t>
      </w:r>
      <w:r w:rsidRPr="00CD4F15">
        <w:rPr>
          <w:rFonts w:ascii="Times New Roman" w:eastAsia="Times New Roman" w:hAnsi="Times New Roman"/>
          <w:sz w:val="24"/>
          <w:szCs w:val="24"/>
          <w:lang w:val="sq-AL"/>
        </w:rPr>
        <w:t>Ky nen është riformuluar me qëllim reflektimin e ndryshimeve në nenin 29 mësipër.</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 </w:t>
      </w: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18 parashikon ndryshimin e nenit 32 – </w:t>
      </w:r>
      <w:r w:rsidRPr="00CD4F15">
        <w:rPr>
          <w:rFonts w:ascii="Times New Roman" w:eastAsia="Times New Roman" w:hAnsi="Times New Roman"/>
          <w:sz w:val="24"/>
          <w:szCs w:val="24"/>
          <w:lang w:val="sq-AL"/>
        </w:rPr>
        <w:t>Në këtë nen është shtuar që: “</w:t>
      </w:r>
      <w:r w:rsidRPr="00CD4F15">
        <w:rPr>
          <w:rFonts w:ascii="Times New Roman" w:eastAsia="Times New Roman" w:hAnsi="Times New Roman"/>
          <w:i/>
          <w:sz w:val="24"/>
          <w:szCs w:val="24"/>
          <w:lang w:val="sq-AL"/>
        </w:rPr>
        <w:t>Për funksione dhe kompetenca që ndërthuren me ato te pushtetit qendror, organet e qeverisjes vendore bashkëpunojnë me ministritë dhe institucionet</w:t>
      </w:r>
      <w:r w:rsidRPr="00CD4F15">
        <w:rPr>
          <w:rFonts w:ascii="Times New Roman" w:eastAsia="Times New Roman" w:hAnsi="Times New Roman"/>
          <w:sz w:val="24"/>
          <w:szCs w:val="24"/>
          <w:lang w:val="sq-AL"/>
        </w:rPr>
        <w:t>”. Gjithashtu në këtë nen afati i miaratimit të buxhetit vendor është ndryshuar nga 31 dhjetor në 25 dhejtor.</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19 parashikon ndryshimin e nenit 37 – </w:t>
      </w:r>
      <w:r w:rsidRPr="00CD4F15">
        <w:rPr>
          <w:rFonts w:ascii="Times New Roman" w:eastAsia="Times New Roman" w:hAnsi="Times New Roman"/>
          <w:sz w:val="24"/>
          <w:szCs w:val="24"/>
          <w:lang w:val="sq-AL"/>
        </w:rPr>
        <w:t xml:space="preserve">Ky nen është riformuluar duke saktësuar që kur buxhette vendore nuk miratohen në kohë dhe operojnë me buxhet të përkohshëm, 1/12 e shpenzimeve faktike të njësisë së qeverisjes vendore janë shpenzimet që kanë si burime financimi transfertën e  pakushtezuar, dhe të ardhurat </w:t>
      </w:r>
      <w:r w:rsidRPr="00CD4F15">
        <w:rPr>
          <w:rFonts w:ascii="Times New Roman" w:eastAsia="Times New Roman" w:hAnsi="Times New Roman"/>
          <w:sz w:val="24"/>
          <w:szCs w:val="24"/>
          <w:lang w:val="sq-AL"/>
        </w:rPr>
        <w:lastRenderedPageBreak/>
        <w:t xml:space="preserve">e veta të njesise vendore të vitit buxhetor paraardhës. Gjithashtu, në këtë nen është shtuar që: </w:t>
      </w:r>
      <w:r w:rsidRPr="00CD4F15">
        <w:rPr>
          <w:rFonts w:ascii="Times New Roman" w:eastAsia="Times New Roman" w:hAnsi="Times New Roman"/>
          <w:i/>
          <w:sz w:val="24"/>
          <w:szCs w:val="24"/>
          <w:lang w:val="sq-AL"/>
        </w:rPr>
        <w:t>“Fondet nga transferta e kushtezuar, grantet apo projektet specifike, financohen teresisht sipas destinacionit te institucionit që i akordon”.</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20 parashikon riformulimin e nenit 40 </w:t>
      </w:r>
      <w:r w:rsidRPr="00CD4F15">
        <w:rPr>
          <w:rFonts w:ascii="Times New Roman" w:eastAsia="Times New Roman" w:hAnsi="Times New Roman"/>
          <w:sz w:val="24"/>
          <w:szCs w:val="24"/>
          <w:lang w:val="sq-AL"/>
        </w:rPr>
        <w:t>– Riformulimi synon reflektimin në përmbajtje të këtij neni të nocionit të angazhimeve shumëvjecare, kontrollit  dhe mënyrës së regjistrimit të tyre në sistemin e thesarit. Gjithashtu, ky nen bën lidhjen e kontrollit të angazhimeve me qëndrueshmërinë e borxhit publik dhe mbajtjes së rezervës përkatëse për këtë qëllim.</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21 parashikon ndryshimin e nenit 41 – </w:t>
      </w:r>
      <w:r w:rsidRPr="00CD4F15">
        <w:rPr>
          <w:rFonts w:ascii="Times New Roman" w:eastAsia="Times New Roman" w:hAnsi="Times New Roman"/>
          <w:sz w:val="24"/>
          <w:szCs w:val="24"/>
          <w:lang w:val="sq-AL"/>
        </w:rPr>
        <w:t>Ndryshimi qëndron në heqjen e pasazhit ekzistues që rregullohet me akte të brendshme të ministrisë së financave dhe jo si pjesë e ligjit.</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22 parashikon ndryshimin e paragrafit të parë të nenit 46 </w:t>
      </w:r>
      <w:r w:rsidRPr="00CD4F15">
        <w:rPr>
          <w:rFonts w:ascii="Times New Roman" w:eastAsia="Times New Roman" w:hAnsi="Times New Roman"/>
          <w:sz w:val="24"/>
          <w:szCs w:val="24"/>
          <w:lang w:val="sq-AL"/>
        </w:rPr>
        <w:t xml:space="preserve">– Neni është riformuluar për të saktësuar qartë detyrimin e publikimit të raportit të zbatimit të buxhetit të vitit korent, nga ana e ministrisë së financave në kuadër të rritjes së transparencës në procesin buxhetor.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tabs>
          <w:tab w:val="left" w:pos="709"/>
        </w:tabs>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23 parashikon shtimin e një paragrafi në nenin 51 </w:t>
      </w:r>
      <w:r w:rsidRPr="00CD4F15">
        <w:rPr>
          <w:rFonts w:ascii="Times New Roman" w:eastAsia="Times New Roman" w:hAnsi="Times New Roman"/>
          <w:sz w:val="24"/>
          <w:szCs w:val="24"/>
          <w:lang w:val="sq-AL"/>
        </w:rPr>
        <w:t xml:space="preserve">– Kjo shtesë synon disiplinimin në kohë të ndërmarrjes së angazhimeve nga ana e njësive të qeverisjes së përgjithshme, për të shmangur fenomenet e hasura më parë që e ngjeshin këtë proces në dy muajt e fundit të vitit, nga “frika” e djegies së fondeve. </w:t>
      </w:r>
    </w:p>
    <w:p w:rsidR="00CD4F15" w:rsidRPr="00CD4F15" w:rsidRDefault="00CD4F15" w:rsidP="00CD4F15">
      <w:pPr>
        <w:tabs>
          <w:tab w:val="left" w:pos="709"/>
        </w:tabs>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tabs>
          <w:tab w:val="left" w:pos="709"/>
        </w:tabs>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24 parashikon shtimin e një paragrafi në nenin 52 </w:t>
      </w:r>
      <w:r w:rsidRPr="00CD4F15">
        <w:rPr>
          <w:rFonts w:ascii="Times New Roman" w:eastAsia="Times New Roman" w:hAnsi="Times New Roman"/>
          <w:sz w:val="24"/>
          <w:szCs w:val="24"/>
          <w:lang w:val="sq-AL"/>
        </w:rPr>
        <w:t>– Kjo shtesë synon disiplinimin e afateve proceduriale të nëpunësve zbatues të njësive të qeverisjes së përgjithshme.</w:t>
      </w:r>
    </w:p>
    <w:p w:rsidR="00CD4F15" w:rsidRPr="00CD4F15" w:rsidRDefault="00CD4F15" w:rsidP="00CD4F15">
      <w:pPr>
        <w:tabs>
          <w:tab w:val="left" w:pos="709"/>
        </w:tabs>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25 parashikon ndryshimin e nenit 53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proofErr w:type="spellStart"/>
      <w:r w:rsidRPr="00CD4F15">
        <w:rPr>
          <w:rFonts w:ascii="Times New Roman" w:eastAsia="Times New Roman" w:hAnsi="Times New Roman"/>
          <w:sz w:val="24"/>
          <w:szCs w:val="24"/>
          <w:lang w:val="en-GB"/>
        </w:rPr>
        <w:t>Trajtimi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rimbursimit</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si</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ardhur</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mbeshtet</w:t>
      </w:r>
      <w:proofErr w:type="spellEnd"/>
      <w:r w:rsidRPr="00CD4F15">
        <w:rPr>
          <w:rFonts w:ascii="Times New Roman" w:eastAsia="Times New Roman" w:hAnsi="Times New Roman"/>
          <w:sz w:val="24"/>
          <w:szCs w:val="24"/>
          <w:lang w:val="en-GB"/>
        </w:rPr>
        <w:t xml:space="preserve"> ne </w:t>
      </w:r>
      <w:proofErr w:type="spellStart"/>
      <w:r w:rsidRPr="00CD4F15">
        <w:rPr>
          <w:rFonts w:ascii="Times New Roman" w:eastAsia="Times New Roman" w:hAnsi="Times New Roman"/>
          <w:sz w:val="24"/>
          <w:szCs w:val="24"/>
          <w:lang w:val="en-GB"/>
        </w:rPr>
        <w:t>logjiken</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ekonomike</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kontabile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te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natyres</w:t>
      </w:r>
      <w:proofErr w:type="spellEnd"/>
      <w:r w:rsidRPr="00CD4F15">
        <w:rPr>
          <w:rFonts w:ascii="Times New Roman" w:eastAsia="Times New Roman" w:hAnsi="Times New Roman"/>
          <w:sz w:val="24"/>
          <w:szCs w:val="24"/>
          <w:lang w:val="en-GB"/>
        </w:rPr>
        <w:t xml:space="preserve"> se </w:t>
      </w:r>
      <w:proofErr w:type="spellStart"/>
      <w:r w:rsidRPr="00CD4F15">
        <w:rPr>
          <w:rFonts w:ascii="Times New Roman" w:eastAsia="Times New Roman" w:hAnsi="Times New Roman"/>
          <w:sz w:val="24"/>
          <w:szCs w:val="24"/>
          <w:lang w:val="en-GB"/>
        </w:rPr>
        <w:t>transaksioneve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financiare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Rimbursimi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eshte</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hyre</w:t>
      </w:r>
      <w:proofErr w:type="spellEnd"/>
      <w:r w:rsidRPr="00CD4F15">
        <w:rPr>
          <w:rFonts w:ascii="Times New Roman" w:eastAsia="Times New Roman" w:hAnsi="Times New Roman"/>
          <w:sz w:val="24"/>
          <w:szCs w:val="24"/>
          <w:lang w:val="en-GB"/>
        </w:rPr>
        <w:t xml:space="preserve"> ne </w:t>
      </w:r>
      <w:proofErr w:type="spellStart"/>
      <w:r w:rsidRPr="00CD4F15">
        <w:rPr>
          <w:rFonts w:ascii="Times New Roman" w:eastAsia="Times New Roman" w:hAnsi="Times New Roman"/>
          <w:sz w:val="24"/>
          <w:szCs w:val="24"/>
          <w:lang w:val="en-GB"/>
        </w:rPr>
        <w:t>buxhet</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dhe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sherben</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burim</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financimi</w:t>
      </w:r>
      <w:proofErr w:type="spellEnd"/>
      <w:r w:rsidRPr="00CD4F15">
        <w:rPr>
          <w:rFonts w:ascii="Times New Roman" w:eastAsia="Times New Roman" w:hAnsi="Times New Roman"/>
          <w:sz w:val="24"/>
          <w:szCs w:val="24"/>
          <w:lang w:val="en-GB"/>
        </w:rPr>
        <w:t xml:space="preserve"> per </w:t>
      </w:r>
      <w:proofErr w:type="spellStart"/>
      <w:r w:rsidRPr="00CD4F15">
        <w:rPr>
          <w:rFonts w:ascii="Times New Roman" w:eastAsia="Times New Roman" w:hAnsi="Times New Roman"/>
          <w:sz w:val="24"/>
          <w:szCs w:val="24"/>
          <w:lang w:val="en-GB"/>
        </w:rPr>
        <w:t>nje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shpenzim</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realisht</w:t>
      </w:r>
      <w:proofErr w:type="spellEnd"/>
      <w:r w:rsidRPr="00CD4F15">
        <w:rPr>
          <w:rFonts w:ascii="Times New Roman" w:eastAsia="Times New Roman" w:hAnsi="Times New Roman"/>
          <w:sz w:val="24"/>
          <w:szCs w:val="24"/>
          <w:lang w:val="en-GB"/>
        </w:rPr>
        <w:t xml:space="preserve"> </w:t>
      </w:r>
      <w:proofErr w:type="spellStart"/>
      <w:proofErr w:type="gramStart"/>
      <w:r w:rsidRPr="00CD4F15">
        <w:rPr>
          <w:rFonts w:ascii="Times New Roman" w:eastAsia="Times New Roman" w:hAnsi="Times New Roman"/>
          <w:sz w:val="24"/>
          <w:szCs w:val="24"/>
          <w:lang w:val="en-GB"/>
        </w:rPr>
        <w:t>te</w:t>
      </w:r>
      <w:proofErr w:type="spellEnd"/>
      <w:proofErr w:type="gram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ekzekutuar</w:t>
      </w:r>
      <w:proofErr w:type="spellEnd"/>
      <w:r w:rsidRPr="00CD4F15">
        <w:rPr>
          <w:rFonts w:ascii="Times New Roman" w:eastAsia="Times New Roman" w:hAnsi="Times New Roman"/>
          <w:sz w:val="24"/>
          <w:szCs w:val="24"/>
          <w:lang w:val="en-GB"/>
        </w:rPr>
        <w:t>/</w:t>
      </w:r>
      <w:proofErr w:type="spellStart"/>
      <w:r w:rsidRPr="00CD4F15">
        <w:rPr>
          <w:rFonts w:ascii="Times New Roman" w:eastAsia="Times New Roman" w:hAnsi="Times New Roman"/>
          <w:sz w:val="24"/>
          <w:szCs w:val="24"/>
          <w:lang w:val="en-GB"/>
        </w:rPr>
        <w:t>paguar</w:t>
      </w:r>
      <w:proofErr w:type="spellEnd"/>
      <w:r w:rsidRPr="00CD4F15">
        <w:rPr>
          <w:rFonts w:ascii="Times New Roman" w:eastAsia="Times New Roman" w:hAnsi="Times New Roman"/>
          <w:sz w:val="24"/>
          <w:szCs w:val="24"/>
          <w:lang w:val="en-GB"/>
        </w:rPr>
        <w:t xml:space="preserve"> me pare </w:t>
      </w:r>
      <w:proofErr w:type="spellStart"/>
      <w:r w:rsidRPr="00CD4F15">
        <w:rPr>
          <w:rFonts w:ascii="Times New Roman" w:eastAsia="Times New Roman" w:hAnsi="Times New Roman"/>
          <w:sz w:val="24"/>
          <w:szCs w:val="24"/>
          <w:lang w:val="en-GB"/>
        </w:rPr>
        <w:t>nga</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fondet</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buxhetore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dhe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raportuar</w:t>
      </w:r>
      <w:proofErr w:type="spellEnd"/>
      <w:r w:rsidRPr="00CD4F15">
        <w:rPr>
          <w:rFonts w:ascii="Times New Roman" w:eastAsia="Times New Roman" w:hAnsi="Times New Roman"/>
          <w:sz w:val="24"/>
          <w:szCs w:val="24"/>
          <w:lang w:val="en-GB"/>
        </w:rPr>
        <w:t xml:space="preserve"> ne </w:t>
      </w:r>
      <w:proofErr w:type="spellStart"/>
      <w:r w:rsidRPr="00CD4F15">
        <w:rPr>
          <w:rFonts w:ascii="Times New Roman" w:eastAsia="Times New Roman" w:hAnsi="Times New Roman"/>
          <w:sz w:val="24"/>
          <w:szCs w:val="24"/>
          <w:lang w:val="en-GB"/>
        </w:rPr>
        <w:t>pasqyrat</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financiare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shpenzim</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kryer</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dhe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kjo</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nuk</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kthehet</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mbrapsht</w:t>
      </w:r>
      <w:proofErr w:type="spellEnd"/>
      <w:r w:rsidRPr="00CD4F15">
        <w:rPr>
          <w:rFonts w:ascii="Times New Roman" w:eastAsia="Times New Roman" w:hAnsi="Times New Roman"/>
          <w:sz w:val="24"/>
          <w:szCs w:val="24"/>
          <w:lang w:val="en-GB"/>
        </w:rPr>
        <w:t xml:space="preserve">. Ne </w:t>
      </w:r>
      <w:proofErr w:type="spellStart"/>
      <w:r w:rsidRPr="00CD4F15">
        <w:rPr>
          <w:rFonts w:ascii="Times New Roman" w:eastAsia="Times New Roman" w:hAnsi="Times New Roman"/>
          <w:sz w:val="24"/>
          <w:szCs w:val="24"/>
          <w:lang w:val="en-GB"/>
        </w:rPr>
        <w:t>konceptin</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financiar</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kontabel</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shpenzimet</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paguara</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pakesohen</w:t>
      </w:r>
      <w:proofErr w:type="spellEnd"/>
      <w:r w:rsidRPr="00CD4F15">
        <w:rPr>
          <w:rFonts w:ascii="Times New Roman" w:eastAsia="Times New Roman" w:hAnsi="Times New Roman"/>
          <w:sz w:val="24"/>
          <w:szCs w:val="24"/>
          <w:lang w:val="en-GB"/>
        </w:rPr>
        <w:t>/</w:t>
      </w:r>
      <w:proofErr w:type="spellStart"/>
      <w:r w:rsidRPr="00CD4F15">
        <w:rPr>
          <w:rFonts w:ascii="Times New Roman" w:eastAsia="Times New Roman" w:hAnsi="Times New Roman"/>
          <w:sz w:val="24"/>
          <w:szCs w:val="24"/>
          <w:lang w:val="en-GB"/>
        </w:rPr>
        <w:t>anullohen</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vetem</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atehere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kur</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pagesa</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kryer</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kthehet</w:t>
      </w:r>
      <w:proofErr w:type="spellEnd"/>
      <w:r w:rsidRPr="00CD4F15">
        <w:rPr>
          <w:rFonts w:ascii="Times New Roman" w:eastAsia="Times New Roman" w:hAnsi="Times New Roman"/>
          <w:sz w:val="24"/>
          <w:szCs w:val="24"/>
          <w:lang w:val="en-GB"/>
        </w:rPr>
        <w:t xml:space="preserve"> ne </w:t>
      </w:r>
      <w:proofErr w:type="spellStart"/>
      <w:r w:rsidRPr="00CD4F15">
        <w:rPr>
          <w:rFonts w:ascii="Times New Roman" w:eastAsia="Times New Roman" w:hAnsi="Times New Roman"/>
          <w:sz w:val="24"/>
          <w:szCs w:val="24"/>
          <w:lang w:val="en-GB"/>
        </w:rPr>
        <w:t>llogarine</w:t>
      </w:r>
      <w:proofErr w:type="spellEnd"/>
      <w:r w:rsidRPr="00CD4F15">
        <w:rPr>
          <w:rFonts w:ascii="Times New Roman" w:eastAsia="Times New Roman" w:hAnsi="Times New Roman"/>
          <w:sz w:val="24"/>
          <w:szCs w:val="24"/>
          <w:lang w:val="en-GB"/>
        </w:rPr>
        <w:t xml:space="preserve"> e </w:t>
      </w:r>
      <w:proofErr w:type="spellStart"/>
      <w:r w:rsidRPr="00CD4F15">
        <w:rPr>
          <w:rFonts w:ascii="Times New Roman" w:eastAsia="Times New Roman" w:hAnsi="Times New Roman"/>
          <w:sz w:val="24"/>
          <w:szCs w:val="24"/>
          <w:lang w:val="en-GB"/>
        </w:rPr>
        <w:t>Qeverise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nga</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perfituesi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ose</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sistemi</w:t>
      </w:r>
      <w:proofErr w:type="spellEnd"/>
      <w:r w:rsidRPr="00CD4F15">
        <w:rPr>
          <w:rFonts w:ascii="Times New Roman" w:eastAsia="Times New Roman" w:hAnsi="Times New Roman"/>
          <w:sz w:val="24"/>
          <w:szCs w:val="24"/>
          <w:lang w:val="en-GB"/>
        </w:rPr>
        <w:t xml:space="preserve"> </w:t>
      </w:r>
      <w:proofErr w:type="spellStart"/>
      <w:r w:rsidRPr="00CD4F15">
        <w:rPr>
          <w:rFonts w:ascii="Times New Roman" w:eastAsia="Times New Roman" w:hAnsi="Times New Roman"/>
          <w:sz w:val="24"/>
          <w:szCs w:val="24"/>
          <w:lang w:val="en-GB"/>
        </w:rPr>
        <w:t>bankar</w:t>
      </w:r>
      <w:proofErr w:type="spellEnd"/>
      <w:r w:rsidRPr="00CD4F15">
        <w:rPr>
          <w:rFonts w:ascii="Times New Roman" w:eastAsia="Times New Roman" w:hAnsi="Times New Roman"/>
          <w:sz w:val="24"/>
          <w:szCs w:val="24"/>
          <w:lang w:val="en-GB"/>
        </w:rPr>
        <w:t xml:space="preserv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26 parashikon ndryshimin e paragrafit të parë të nenit 54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Ndryshimet jane ne te njejten linje me ligjin e rishikuar te MFK, si edhe.pjese e  shtylles 5 te PFM.</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27 parashikon ndryshimin e nenit 57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 xml:space="preserve">Neni eshte riformuluar per te qene ne perputhje me Ligjin </w:t>
      </w:r>
      <w:r w:rsidRPr="00CD4F15">
        <w:rPr>
          <w:lang w:val="sq-AL"/>
        </w:rPr>
        <w:t>për “Huamarrjen Shtetërore, Borxhin Shtetëror dhe Garancitë Shtetërore të Huasë në Republikën e Shqipërisë”</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28 parashikon ndryshimin e nenit 58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Ndryshimi eshte bere per te perfshire ne kufijte e borxhit publik, borxhin qe emetohet per mbulimin e humbjeve te Bankes se Shqiperise nga rivleresimi i valutave</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Ky ndryshim eshte bere per te</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 xml:space="preserve">siguruar perputhje me Ligjin per Banken e Shqiperise.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29 parashikon ndryshimin e nenit 59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 xml:space="preserve">Neni eshte riformuluar per te qene ne perputhje me Ligjin </w:t>
      </w:r>
      <w:r w:rsidRPr="00CD4F15">
        <w:rPr>
          <w:lang w:val="sq-AL"/>
        </w:rPr>
        <w:t>për “Huamarrjen Shtetërore, Borxhin Shtetëror dhe Garancitë Shtetërore të Huasë në Republikën e Shqipërisë, te ndryshuar si dhe Ligjin per “Huamarrjen e Qeverisjes Vendore”.</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30 parashikon ndryshimin e nenit 61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Neni është riformuluar në përputhje me përcaktimet e reja të ligjit MFK.</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31 parashikon ndryshimin e nenit 63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Riformulimi i nenit synon të rrisë nivelin e përgjegjshmërisë dhe llogaridhënies përpara Kuvendit të titullarëve të njësive të qeverisjes qendrore, lidhur me ecurisë së zbatimit të buxhetit të tyre për vitin paraardhës dhe realizimit të objektivave të vendosura në kuadër të PBA-së. Gjithashtu, sanksionohet edhe detyrimi i ministrisë së financave për të publikuar raportin e buxhetit të konsoliduar, në kuadër të rritjes së transparencës së procesit të buxhetimit.</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32 parashikon ndryshimin e nenit 65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 xml:space="preserve">Rijësia qëndron në rritjen e përputhshmërisë së procesit të monitorimit me atë të programimit buxhetor, duke përcaktuar që raportet e monitorimit të bëhen cdo katermujor. Si edhe, përcaktohet detyrimi përcdo njësi të qeverisjes qendrore për të publikuar raportin e saj të monitorimit në faqen zyrtare përkatëse.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rPr>
      </w:pPr>
      <w:r w:rsidRPr="00CD4F15">
        <w:rPr>
          <w:rFonts w:ascii="Times New Roman" w:eastAsia="Times New Roman" w:hAnsi="Times New Roman"/>
          <w:b/>
          <w:sz w:val="24"/>
          <w:szCs w:val="24"/>
          <w:lang w:val="sq-AL"/>
        </w:rPr>
        <w:t xml:space="preserve">Neni 33 parashikon ndryshimin e nenit 66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rPr>
        <w:t xml:space="preserve">Duke </w:t>
      </w:r>
      <w:proofErr w:type="spellStart"/>
      <w:r w:rsidRPr="00CD4F15">
        <w:rPr>
          <w:rFonts w:ascii="Times New Roman" w:eastAsia="Times New Roman" w:hAnsi="Times New Roman"/>
          <w:sz w:val="24"/>
          <w:szCs w:val="24"/>
        </w:rPr>
        <w:t>qene</w:t>
      </w:r>
      <w:proofErr w:type="spellEnd"/>
      <w:r w:rsidRPr="00CD4F15">
        <w:rPr>
          <w:rFonts w:ascii="Times New Roman" w:eastAsia="Times New Roman" w:hAnsi="Times New Roman"/>
          <w:sz w:val="24"/>
          <w:szCs w:val="24"/>
        </w:rPr>
        <w:t xml:space="preserve"> se LOB </w:t>
      </w:r>
      <w:proofErr w:type="spellStart"/>
      <w:r w:rsidRPr="00CD4F15">
        <w:rPr>
          <w:rFonts w:ascii="Times New Roman" w:eastAsia="Times New Roman" w:hAnsi="Times New Roman"/>
          <w:sz w:val="24"/>
          <w:szCs w:val="24"/>
        </w:rPr>
        <w:t>eshte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ligji</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kuader</w:t>
      </w:r>
      <w:proofErr w:type="spellEnd"/>
      <w:r w:rsidRPr="00CD4F15">
        <w:rPr>
          <w:rFonts w:ascii="Times New Roman" w:eastAsia="Times New Roman" w:hAnsi="Times New Roman"/>
          <w:sz w:val="24"/>
          <w:szCs w:val="24"/>
        </w:rPr>
        <w:t xml:space="preserve">, per MFK, </w:t>
      </w:r>
      <w:proofErr w:type="spellStart"/>
      <w:r w:rsidRPr="00CD4F15">
        <w:rPr>
          <w:rFonts w:ascii="Times New Roman" w:eastAsia="Times New Roman" w:hAnsi="Times New Roman"/>
          <w:sz w:val="24"/>
          <w:szCs w:val="24"/>
        </w:rPr>
        <w:t>auditimin</w:t>
      </w:r>
      <w:proofErr w:type="spellEnd"/>
      <w:r w:rsidRPr="00CD4F15">
        <w:rPr>
          <w:rFonts w:ascii="Times New Roman" w:eastAsia="Times New Roman" w:hAnsi="Times New Roman"/>
          <w:sz w:val="24"/>
          <w:szCs w:val="24"/>
        </w:rPr>
        <w:t xml:space="preserve"> e </w:t>
      </w:r>
      <w:proofErr w:type="spellStart"/>
      <w:r w:rsidRPr="00CD4F15">
        <w:rPr>
          <w:rFonts w:ascii="Times New Roman" w:eastAsia="Times New Roman" w:hAnsi="Times New Roman"/>
          <w:sz w:val="24"/>
          <w:szCs w:val="24"/>
        </w:rPr>
        <w:t>brendshem</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inspektimin</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financiar</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publik</w:t>
      </w:r>
      <w:proofErr w:type="spellEnd"/>
      <w:r w:rsidRPr="00CD4F15">
        <w:rPr>
          <w:rFonts w:ascii="Times New Roman" w:eastAsia="Times New Roman" w:hAnsi="Times New Roman"/>
          <w:sz w:val="24"/>
          <w:szCs w:val="24"/>
        </w:rPr>
        <w:t xml:space="preserve"> jane </w:t>
      </w:r>
      <w:proofErr w:type="spellStart"/>
      <w:r w:rsidRPr="00CD4F15">
        <w:rPr>
          <w:rFonts w:ascii="Times New Roman" w:eastAsia="Times New Roman" w:hAnsi="Times New Roman"/>
          <w:sz w:val="24"/>
          <w:szCs w:val="24"/>
        </w:rPr>
        <w:t>percaktuar</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vetem</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perkufizime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baze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te</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cilat</w:t>
      </w:r>
      <w:proofErr w:type="spellEnd"/>
      <w:r w:rsidRPr="00CD4F15">
        <w:rPr>
          <w:rFonts w:ascii="Times New Roman" w:eastAsia="Times New Roman" w:hAnsi="Times New Roman"/>
          <w:sz w:val="24"/>
          <w:szCs w:val="24"/>
        </w:rPr>
        <w:t xml:space="preserve"> jane </w:t>
      </w:r>
      <w:proofErr w:type="spellStart"/>
      <w:r w:rsidRPr="00CD4F15">
        <w:rPr>
          <w:rFonts w:ascii="Times New Roman" w:eastAsia="Times New Roman" w:hAnsi="Times New Roman"/>
          <w:sz w:val="24"/>
          <w:szCs w:val="24"/>
        </w:rPr>
        <w:t>vendosur</w:t>
      </w:r>
      <w:proofErr w:type="spellEnd"/>
      <w:r w:rsidRPr="00CD4F15">
        <w:rPr>
          <w:rFonts w:ascii="Times New Roman" w:eastAsia="Times New Roman" w:hAnsi="Times New Roman"/>
          <w:sz w:val="24"/>
          <w:szCs w:val="24"/>
        </w:rPr>
        <w:t xml:space="preserve"> ne </w:t>
      </w:r>
      <w:proofErr w:type="spellStart"/>
      <w:r w:rsidRPr="00CD4F15">
        <w:rPr>
          <w:rFonts w:ascii="Times New Roman" w:eastAsia="Times New Roman" w:hAnsi="Times New Roman"/>
          <w:sz w:val="24"/>
          <w:szCs w:val="24"/>
        </w:rPr>
        <w:t>perputhje</w:t>
      </w:r>
      <w:proofErr w:type="spellEnd"/>
      <w:r w:rsidRPr="00CD4F15">
        <w:rPr>
          <w:rFonts w:ascii="Times New Roman" w:eastAsia="Times New Roman" w:hAnsi="Times New Roman"/>
          <w:sz w:val="24"/>
          <w:szCs w:val="24"/>
        </w:rPr>
        <w:t xml:space="preserve"> me </w:t>
      </w:r>
      <w:proofErr w:type="spellStart"/>
      <w:r w:rsidRPr="00CD4F15">
        <w:rPr>
          <w:rFonts w:ascii="Times New Roman" w:eastAsia="Times New Roman" w:hAnsi="Times New Roman"/>
          <w:sz w:val="24"/>
          <w:szCs w:val="24"/>
        </w:rPr>
        <w:t>standardet</w:t>
      </w:r>
      <w:proofErr w:type="spellEnd"/>
      <w:r w:rsidRPr="00CD4F15">
        <w:rPr>
          <w:rFonts w:ascii="Times New Roman" w:eastAsia="Times New Roman" w:hAnsi="Times New Roman"/>
          <w:sz w:val="24"/>
          <w:szCs w:val="24"/>
        </w:rPr>
        <w:t xml:space="preserve"> </w:t>
      </w:r>
      <w:proofErr w:type="spellStart"/>
      <w:r w:rsidRPr="00CD4F15">
        <w:rPr>
          <w:rFonts w:ascii="Times New Roman" w:eastAsia="Times New Roman" w:hAnsi="Times New Roman"/>
          <w:sz w:val="24"/>
          <w:szCs w:val="24"/>
        </w:rPr>
        <w:t>nderkombetare</w:t>
      </w:r>
      <w:proofErr w:type="spellEnd"/>
      <w:r w:rsidRPr="00CD4F15">
        <w:rPr>
          <w:rFonts w:ascii="Times New Roman" w:eastAsia="Times New Roman" w:hAnsi="Times New Roman"/>
          <w:sz w:val="24"/>
          <w:szCs w:val="24"/>
        </w:rPr>
        <w:t xml:space="preserve">.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rPr>
      </w:pPr>
    </w:p>
    <w:p w:rsidR="00CD4F15" w:rsidRPr="00CD4F15" w:rsidRDefault="00CD4F15" w:rsidP="00CD4F15">
      <w:pPr>
        <w:numPr>
          <w:ilvl w:val="2"/>
          <w:numId w:val="7"/>
        </w:numPr>
        <w:autoSpaceDE w:val="0"/>
        <w:autoSpaceDN w:val="0"/>
        <w:adjustRightInd w:val="0"/>
        <w:spacing w:after="0" w:line="240" w:lineRule="auto"/>
        <w:ind w:left="993" w:hanging="284"/>
        <w:jc w:val="both"/>
        <w:rPr>
          <w:rFonts w:ascii="Times New Roman" w:eastAsia="Times New Roman" w:hAnsi="Times New Roman"/>
          <w:sz w:val="24"/>
          <w:szCs w:val="24"/>
        </w:rPr>
      </w:pPr>
      <w:r w:rsidRPr="00CD4F15">
        <w:rPr>
          <w:rFonts w:ascii="Times New Roman" w:eastAsia="Times New Roman" w:hAnsi="Times New Roman"/>
          <w:b/>
          <w:sz w:val="24"/>
          <w:szCs w:val="24"/>
          <w:lang w:val="sq-AL"/>
        </w:rPr>
        <w:t xml:space="preserve">Neni 34 parashikon ndryshimin e nenit 69 </w:t>
      </w:r>
      <w:r w:rsidRPr="00CD4F15">
        <w:rPr>
          <w:rFonts w:ascii="Times New Roman" w:eastAsia="Times New Roman" w:hAnsi="Times New Roman"/>
          <w:sz w:val="24"/>
          <w:szCs w:val="24"/>
          <w:lang w:val="sq-AL"/>
        </w:rPr>
        <w:t>–</w:t>
      </w:r>
      <w:r w:rsidRPr="00CD4F15">
        <w:rPr>
          <w:rFonts w:ascii="Times New Roman" w:eastAsia="Times New Roman" w:hAnsi="Times New Roman"/>
          <w:b/>
          <w:sz w:val="24"/>
          <w:szCs w:val="24"/>
          <w:lang w:val="sq-AL"/>
        </w:rPr>
        <w:t xml:space="preserve"> </w:t>
      </w:r>
      <w:r w:rsidRPr="00CD4F15">
        <w:rPr>
          <w:rFonts w:ascii="Times New Roman" w:eastAsia="Times New Roman" w:hAnsi="Times New Roman"/>
          <w:sz w:val="24"/>
          <w:szCs w:val="24"/>
          <w:lang w:val="sq-AL"/>
        </w:rPr>
        <w:t xml:space="preserve">Ndryshimi i nenit është kryer pasi fusha e inspektimit financiar publik aktualisht është rregulluar me ligjin nr.112/2015 “Për inspektimin financiar publik” dhe dublimi i normës juridike do të sillte paqartësi dhe pengesë në realizimin e këtij shërbimi. Në nenin e riformuluar jepen vetëm elementët që në rastet e mos zbatimit të drejtë të këtij ligji do të çonin në kryerjen e inspektimit financiar publik.      </w:t>
      </w:r>
    </w:p>
    <w:p w:rsidR="00CD4F15" w:rsidRPr="00CD4F15" w:rsidRDefault="00CD4F15" w:rsidP="00CD4F15">
      <w:pPr>
        <w:autoSpaceDE w:val="0"/>
        <w:autoSpaceDN w:val="0"/>
        <w:adjustRightInd w:val="0"/>
        <w:spacing w:after="0" w:line="240" w:lineRule="auto"/>
        <w:ind w:left="993"/>
        <w:jc w:val="both"/>
        <w:rPr>
          <w:rFonts w:ascii="Times New Roman" w:eastAsia="Times New Roman" w:hAnsi="Times New Roman"/>
          <w:sz w:val="24"/>
          <w:szCs w:val="24"/>
          <w:lang w:val="sq-AL"/>
        </w:rPr>
      </w:pPr>
    </w:p>
    <w:p w:rsidR="00CD4F15" w:rsidRPr="00CD4F15" w:rsidRDefault="00CD4F15" w:rsidP="00CD4F15">
      <w:pPr>
        <w:numPr>
          <w:ilvl w:val="2"/>
          <w:numId w:val="7"/>
        </w:numPr>
        <w:tabs>
          <w:tab w:val="left" w:pos="709"/>
        </w:tabs>
        <w:autoSpaceDE w:val="0"/>
        <w:autoSpaceDN w:val="0"/>
        <w:adjustRightInd w:val="0"/>
        <w:spacing w:after="0" w:line="240" w:lineRule="auto"/>
        <w:ind w:left="993" w:hanging="284"/>
        <w:jc w:val="both"/>
        <w:rPr>
          <w:rFonts w:ascii="Times New Roman" w:eastAsia="Times New Roman" w:hAnsi="Times New Roman"/>
          <w:b/>
          <w:sz w:val="24"/>
          <w:szCs w:val="24"/>
          <w:lang w:val="sq-AL"/>
        </w:rPr>
      </w:pPr>
      <w:r w:rsidRPr="00CD4F15">
        <w:rPr>
          <w:rFonts w:ascii="Times New Roman" w:eastAsia="Times New Roman" w:hAnsi="Times New Roman"/>
          <w:b/>
          <w:sz w:val="24"/>
          <w:szCs w:val="24"/>
          <w:lang w:val="sq-AL"/>
        </w:rPr>
        <w:t xml:space="preserve">Neni 35 parashikon shtimin e tre pikave f), g) dhe h) në nenin 71 </w:t>
      </w:r>
      <w:r w:rsidRPr="00CD4F15">
        <w:rPr>
          <w:rFonts w:ascii="Times New Roman" w:eastAsia="Times New Roman" w:hAnsi="Times New Roman"/>
          <w:sz w:val="24"/>
          <w:szCs w:val="24"/>
          <w:lang w:val="sq-AL"/>
        </w:rPr>
        <w:t xml:space="preserve">– Shtimi i këtye pikave synon disiplinimin dhe parandalimin e rasteve të mosrespektimit të afatit të përcaktuar për regjistrimin në SIFQ të anagazhimeve shumëvjecare nga ana e nëpunësve autorizues dhe atyre zbatyes, të njësive të qeverisjes së përgjithshme.   </w:t>
      </w:r>
    </w:p>
    <w:p w:rsidR="00CD4F15" w:rsidRPr="00CD4F15" w:rsidRDefault="00CD4F15" w:rsidP="00CD4F15">
      <w:pPr>
        <w:tabs>
          <w:tab w:val="left" w:pos="709"/>
        </w:tabs>
        <w:autoSpaceDE w:val="0"/>
        <w:autoSpaceDN w:val="0"/>
        <w:adjustRightInd w:val="0"/>
        <w:spacing w:after="0" w:line="240" w:lineRule="auto"/>
        <w:ind w:left="993"/>
        <w:jc w:val="both"/>
        <w:rPr>
          <w:rFonts w:ascii="Times New Roman" w:eastAsia="Times New Roman" w:hAnsi="Times New Roman"/>
          <w:b/>
          <w:sz w:val="24"/>
          <w:szCs w:val="24"/>
          <w:lang w:val="sq-AL"/>
        </w:rPr>
      </w:pPr>
    </w:p>
    <w:p w:rsidR="00CD4F15" w:rsidRPr="00CD4F15" w:rsidRDefault="00CD4F15" w:rsidP="00CD4F15">
      <w:pPr>
        <w:numPr>
          <w:ilvl w:val="2"/>
          <w:numId w:val="7"/>
        </w:numPr>
        <w:tabs>
          <w:tab w:val="left" w:pos="709"/>
        </w:tabs>
        <w:autoSpaceDE w:val="0"/>
        <w:autoSpaceDN w:val="0"/>
        <w:adjustRightInd w:val="0"/>
        <w:spacing w:after="0" w:line="240" w:lineRule="auto"/>
        <w:ind w:left="993" w:hanging="284"/>
        <w:jc w:val="both"/>
        <w:rPr>
          <w:rFonts w:ascii="Times New Roman" w:eastAsia="Times New Roman" w:hAnsi="Times New Roman"/>
          <w:sz w:val="24"/>
          <w:szCs w:val="24"/>
          <w:lang w:val="sq-AL"/>
        </w:rPr>
      </w:pPr>
      <w:r w:rsidRPr="00CD4F15">
        <w:rPr>
          <w:rFonts w:ascii="Times New Roman" w:eastAsia="Times New Roman" w:hAnsi="Times New Roman"/>
          <w:b/>
          <w:sz w:val="24"/>
          <w:szCs w:val="24"/>
          <w:lang w:val="sq-AL"/>
        </w:rPr>
        <w:t xml:space="preserve">Neni 36 parashikon aktet nënligjore, </w:t>
      </w:r>
      <w:r w:rsidRPr="00CD4F15">
        <w:rPr>
          <w:rFonts w:ascii="Times New Roman" w:eastAsia="Times New Roman" w:hAnsi="Times New Roman"/>
          <w:sz w:val="24"/>
          <w:szCs w:val="24"/>
          <w:lang w:val="sq-AL"/>
        </w:rPr>
        <w:t xml:space="preserve">në zbatim neneve specifike të këtij ligji, që citohen në secilën prej këtyre pikave. </w:t>
      </w:r>
    </w:p>
    <w:p w:rsidR="00CD4F15" w:rsidRPr="00CD4F15" w:rsidRDefault="00CD4F15" w:rsidP="00CD4F15">
      <w:pPr>
        <w:tabs>
          <w:tab w:val="left" w:pos="709"/>
        </w:tabs>
        <w:autoSpaceDE w:val="0"/>
        <w:autoSpaceDN w:val="0"/>
        <w:adjustRightInd w:val="0"/>
        <w:spacing w:after="0" w:line="240" w:lineRule="auto"/>
        <w:ind w:left="1440"/>
        <w:jc w:val="both"/>
        <w:rPr>
          <w:rFonts w:ascii="Times New Roman" w:eastAsia="Times New Roman" w:hAnsi="Times New Roman"/>
          <w:b/>
          <w:sz w:val="16"/>
          <w:szCs w:val="16"/>
          <w:lang w:val="sq-AL"/>
        </w:rPr>
      </w:pPr>
    </w:p>
    <w:p w:rsidR="00CD4F15" w:rsidRPr="00CD4F15" w:rsidRDefault="00CD4F15" w:rsidP="00CD4F15">
      <w:pPr>
        <w:spacing w:after="0"/>
        <w:ind w:left="720"/>
        <w:contextualSpacing/>
        <w:jc w:val="both"/>
        <w:rPr>
          <w:rFonts w:ascii="Times New Roman" w:hAnsi="Times New Roman"/>
          <w:b/>
          <w:sz w:val="24"/>
          <w:szCs w:val="24"/>
          <w:lang w:val="sq-AL"/>
        </w:rPr>
      </w:pPr>
    </w:p>
    <w:p w:rsidR="00CD4F15" w:rsidRPr="00CD4F15" w:rsidRDefault="00CD4F15" w:rsidP="00CD4F15">
      <w:pPr>
        <w:numPr>
          <w:ilvl w:val="0"/>
          <w:numId w:val="7"/>
        </w:numPr>
        <w:spacing w:after="0"/>
        <w:ind w:left="720"/>
        <w:contextualSpacing/>
        <w:jc w:val="both"/>
        <w:rPr>
          <w:rFonts w:ascii="Times New Roman" w:hAnsi="Times New Roman"/>
          <w:b/>
          <w:sz w:val="24"/>
          <w:szCs w:val="24"/>
          <w:lang w:val="sq-AL"/>
        </w:rPr>
      </w:pPr>
      <w:r w:rsidRPr="00CD4F15">
        <w:rPr>
          <w:rFonts w:ascii="Times New Roman" w:hAnsi="Times New Roman"/>
          <w:b/>
          <w:sz w:val="24"/>
          <w:szCs w:val="24"/>
          <w:lang w:val="sq-AL"/>
        </w:rPr>
        <w:t>INSTITUCIONET DHE ORGANET QË NGARKOHEN ME ZBATIMIN E AKTIT.</w:t>
      </w: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lastRenderedPageBreak/>
        <w:t>Këshilli i Ministrave, Ministria e Financave, Njësitë e Qeverisjes Qendrore dhe Njësitë e Qeverisjes Vendore, janë organet dhe subjektet përgjegjëse për zbatimin e këtij projekt-ligji.</w:t>
      </w:r>
    </w:p>
    <w:p w:rsidR="00CD4F15" w:rsidRPr="00CD4F15" w:rsidRDefault="00CD4F15" w:rsidP="00CD4F15">
      <w:pPr>
        <w:spacing w:after="0"/>
        <w:ind w:left="720"/>
        <w:jc w:val="both"/>
        <w:rPr>
          <w:rFonts w:ascii="Times New Roman" w:hAnsi="Times New Roman"/>
          <w:b/>
          <w:sz w:val="16"/>
          <w:szCs w:val="16"/>
          <w:lang w:val="sq-AL"/>
        </w:rPr>
      </w:pPr>
    </w:p>
    <w:p w:rsidR="00CD4F15" w:rsidRPr="00CD4F15" w:rsidRDefault="00CD4F15" w:rsidP="00CD4F15">
      <w:pPr>
        <w:spacing w:after="0"/>
        <w:ind w:left="720"/>
        <w:jc w:val="both"/>
        <w:rPr>
          <w:rFonts w:ascii="Times New Roman" w:hAnsi="Times New Roman"/>
          <w:b/>
          <w:sz w:val="24"/>
          <w:szCs w:val="24"/>
          <w:lang w:val="sq-AL"/>
        </w:rPr>
      </w:pPr>
    </w:p>
    <w:p w:rsidR="00CD4F15" w:rsidRPr="00CD4F15" w:rsidRDefault="00CD4F15" w:rsidP="00CD4F15">
      <w:pPr>
        <w:numPr>
          <w:ilvl w:val="0"/>
          <w:numId w:val="7"/>
        </w:numPr>
        <w:spacing w:after="0"/>
        <w:ind w:left="720"/>
        <w:jc w:val="both"/>
        <w:rPr>
          <w:rFonts w:ascii="Times New Roman" w:hAnsi="Times New Roman"/>
          <w:b/>
          <w:sz w:val="24"/>
          <w:szCs w:val="24"/>
          <w:lang w:val="sq-AL"/>
        </w:rPr>
      </w:pPr>
      <w:r w:rsidRPr="00CD4F15">
        <w:rPr>
          <w:rFonts w:ascii="Times New Roman" w:hAnsi="Times New Roman"/>
          <w:b/>
          <w:sz w:val="24"/>
          <w:szCs w:val="24"/>
          <w:lang w:val="sq-AL"/>
        </w:rPr>
        <w:t xml:space="preserve">MINISTRITË, INSTITUCIONET DHE PERSONAT QË KANË KONTRIBUAR NË HARTIMIN E PROJEKT-AKTIT. </w:t>
      </w: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t>Institucioni që ka punuar për hartimin e projektligjit është Ministria e Financave. Projektligji është konsultuar me përfaqësues të Fondit Monetar Ndërkombëtar, Bankës Botërore, Bashkimit Europian. Si edhe, me përfaqësues të njësive të pushtetit vendor, grupeve të interesit dhe shoqërisë civile. Ky projektligj iu është dërguar të gjitha ministrive të linjës, Kontrollit të Lartë të Shtetit dhe Bankës së Shqipërisë për mendim me shkresën nr.17688 datë 18.12.2015. Deri në këtë moment, kanë ardhur mendimet si më poshtë vijon:</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Shëndetësisë</w:t>
      </w:r>
      <w:r w:rsidRPr="00CD4F15">
        <w:rPr>
          <w:rFonts w:ascii="Times New Roman" w:hAnsi="Times New Roman"/>
          <w:sz w:val="24"/>
          <w:szCs w:val="24"/>
          <w:lang w:val="sq-AL"/>
        </w:rPr>
        <w:t xml:space="preserve"> me shkresën e saj nr.5969/1 datë 24.12.2015,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Zhvillimit Urban</w:t>
      </w:r>
      <w:r w:rsidRPr="00CD4F15">
        <w:rPr>
          <w:rFonts w:ascii="Times New Roman" w:hAnsi="Times New Roman"/>
          <w:sz w:val="24"/>
          <w:szCs w:val="24"/>
          <w:lang w:val="sq-AL"/>
        </w:rPr>
        <w:t xml:space="preserve"> me shkresën e saj nr.6716/1 datë 23.12.2015,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Kulturës</w:t>
      </w:r>
      <w:r w:rsidRPr="00CD4F15">
        <w:rPr>
          <w:rFonts w:ascii="Times New Roman" w:hAnsi="Times New Roman"/>
          <w:sz w:val="24"/>
          <w:szCs w:val="24"/>
          <w:lang w:val="sq-AL"/>
        </w:rPr>
        <w:t xml:space="preserve"> me shkresën e saj nr.6434 datë 29.12.2015,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Mbrojtjes</w:t>
      </w:r>
      <w:r w:rsidRPr="00CD4F15">
        <w:rPr>
          <w:rFonts w:ascii="Times New Roman" w:hAnsi="Times New Roman"/>
          <w:sz w:val="24"/>
          <w:szCs w:val="24"/>
          <w:lang w:val="sq-AL"/>
        </w:rPr>
        <w:t xml:space="preserve"> me shkresën e saj nr.9825/1 datë 30.12.2015,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Bujqësisë</w:t>
      </w:r>
      <w:r w:rsidRPr="00CD4F15">
        <w:rPr>
          <w:rFonts w:ascii="Times New Roman" w:hAnsi="Times New Roman"/>
          <w:sz w:val="24"/>
          <w:szCs w:val="24"/>
          <w:lang w:val="sq-AL"/>
        </w:rPr>
        <w:t xml:space="preserve"> me shkresën e saj nr.9860/1 datë 29.12.2015,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Integrimit Europian</w:t>
      </w:r>
      <w:r w:rsidRPr="00CD4F15">
        <w:rPr>
          <w:rFonts w:ascii="Times New Roman" w:hAnsi="Times New Roman"/>
          <w:sz w:val="24"/>
          <w:szCs w:val="24"/>
          <w:lang w:val="sq-AL"/>
        </w:rPr>
        <w:t xml:space="preserve"> me shkresën e saj nr.2299/1 datë 24.12.2015, shprehet parimisht dakort.</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Drejtësisë</w:t>
      </w:r>
      <w:r w:rsidRPr="00CD4F15">
        <w:rPr>
          <w:rFonts w:ascii="Times New Roman" w:hAnsi="Times New Roman"/>
          <w:sz w:val="24"/>
          <w:szCs w:val="24"/>
          <w:lang w:val="sq-AL"/>
        </w:rPr>
        <w:t xml:space="preserve"> me shkresën e saj nr.8119/1 datë 28.12.2016 ka sugjeruar rikonceptimin e relacionit shpjegues, gjë që është reflektuar. Gjithashtu, janë marë parasysh edhe të gjitha sugjerimet e tjera të kësaj ministrie, sipas neneve përkatëse.</w:t>
      </w:r>
    </w:p>
    <w:p w:rsidR="00CD4F15" w:rsidRPr="00CD4F15" w:rsidRDefault="00CD4F15" w:rsidP="00CD4F15">
      <w:pPr>
        <w:spacing w:after="0"/>
        <w:ind w:left="1440"/>
        <w:jc w:val="both"/>
        <w:rPr>
          <w:rFonts w:ascii="Times New Roman" w:hAnsi="Times New Roman"/>
          <w:sz w:val="16"/>
          <w:szCs w:val="16"/>
          <w:lang w:val="sq-AL"/>
        </w:rPr>
      </w:pP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Punëve të Brendshme</w:t>
      </w:r>
      <w:r w:rsidRPr="00CD4F15">
        <w:rPr>
          <w:rFonts w:ascii="Times New Roman" w:hAnsi="Times New Roman"/>
          <w:sz w:val="24"/>
          <w:szCs w:val="24"/>
          <w:lang w:val="sq-AL"/>
        </w:rPr>
        <w:t xml:space="preserve"> me shkresën e saj nr.9411/1 datë 28.12.2015, ka sugjeruar që të bëhen disa plotësime dhe ndryshime për të cilat Ministrisë së Financave shprehet se:</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nenin 8</w:t>
      </w:r>
      <w:r w:rsidRPr="00CD4F15">
        <w:rPr>
          <w:rFonts w:ascii="Times New Roman" w:hAnsi="Times New Roman"/>
          <w:bCs/>
          <w:sz w:val="24"/>
          <w:szCs w:val="24"/>
          <w:lang w:val="sq-AL"/>
        </w:rPr>
        <w:t>, Nepunesi autorizues i cdo njesie publike eshte pergjegjes per menaxhimin financiar dhe kontrollin per njesine publike perkatese. Ne baze te ligjit aktual te menaxhimit financiar dhe kontrollit (MFK) Nepunesi Autorizues caktohet per cdo njesi shpenzuese me buxhet te vecante. Gjithashtu, ky ligj (neni 9, pika 5) lejon delegimin e nje pjese te konsiderueshme te pergjegjesive te NA tek menaxheret e tjere te njesise publike. Cdo njesi shpenzuese ka nje organ epror nga i cili varet dhe ketu nuk behet fjale per varesi ne strukturen organike por per organin tek i cili raporton nga ana funksionale njesia shpenzuese perkatese. Shtesa e bere ne nenin 9, te ligjit per menaxhimin financiar dhe kontrollin si me poshte, qarteson caktimin e NA te niveleve te ndryshme:</w:t>
      </w:r>
    </w:p>
    <w:p w:rsidR="00CD4F15" w:rsidRPr="00CD4F15" w:rsidRDefault="00CD4F15" w:rsidP="00CD4F15">
      <w:pPr>
        <w:spacing w:after="0" w:line="240" w:lineRule="auto"/>
        <w:ind w:left="1800"/>
        <w:rPr>
          <w:rFonts w:ascii="Times New Roman" w:hAnsi="Times New Roman"/>
          <w:i/>
          <w:iCs/>
        </w:rPr>
      </w:pPr>
      <w:r w:rsidRPr="00CD4F15">
        <w:rPr>
          <w:rFonts w:ascii="Times New Roman" w:hAnsi="Times New Roman"/>
          <w:i/>
          <w:iCs/>
        </w:rPr>
        <w:lastRenderedPageBreak/>
        <w:t xml:space="preserve">“2/1. </w:t>
      </w:r>
      <w:proofErr w:type="spellStart"/>
      <w:r w:rsidRPr="00CD4F15">
        <w:rPr>
          <w:rFonts w:ascii="Times New Roman" w:hAnsi="Times New Roman"/>
          <w:i/>
          <w:iCs/>
        </w:rPr>
        <w:t>Nëpunësi</w:t>
      </w:r>
      <w:proofErr w:type="spellEnd"/>
      <w:r w:rsidRPr="00CD4F15">
        <w:rPr>
          <w:rFonts w:ascii="Times New Roman" w:hAnsi="Times New Roman"/>
          <w:i/>
          <w:iCs/>
        </w:rPr>
        <w:t xml:space="preserve"> </w:t>
      </w:r>
      <w:proofErr w:type="spellStart"/>
      <w:r w:rsidRPr="00CD4F15">
        <w:rPr>
          <w:rFonts w:ascii="Times New Roman" w:hAnsi="Times New Roman"/>
          <w:i/>
          <w:iCs/>
        </w:rPr>
        <w:t>autorizues</w:t>
      </w:r>
      <w:proofErr w:type="spellEnd"/>
      <w:r w:rsidRPr="00CD4F15">
        <w:rPr>
          <w:rFonts w:ascii="Times New Roman" w:hAnsi="Times New Roman"/>
          <w:i/>
          <w:iCs/>
        </w:rPr>
        <w:t xml:space="preserve"> </w:t>
      </w:r>
      <w:proofErr w:type="spellStart"/>
      <w:r w:rsidRPr="00CD4F15">
        <w:rPr>
          <w:rFonts w:ascii="Times New Roman" w:hAnsi="Times New Roman"/>
          <w:i/>
          <w:iCs/>
        </w:rPr>
        <w:t>i</w:t>
      </w:r>
      <w:proofErr w:type="spellEnd"/>
      <w:r w:rsidRPr="00CD4F15">
        <w:rPr>
          <w:rFonts w:ascii="Times New Roman" w:hAnsi="Times New Roman"/>
          <w:i/>
          <w:iCs/>
        </w:rPr>
        <w:t xml:space="preserve"> </w:t>
      </w:r>
      <w:proofErr w:type="spellStart"/>
      <w:r w:rsidRPr="00CD4F15">
        <w:rPr>
          <w:rFonts w:ascii="Times New Roman" w:hAnsi="Times New Roman"/>
          <w:i/>
          <w:iCs/>
        </w:rPr>
        <w:t>njësisë</w:t>
      </w:r>
      <w:proofErr w:type="spellEnd"/>
      <w:r w:rsidRPr="00CD4F15">
        <w:rPr>
          <w:rFonts w:ascii="Times New Roman" w:hAnsi="Times New Roman"/>
          <w:i/>
          <w:iCs/>
        </w:rPr>
        <w:t xml:space="preserve"> </w:t>
      </w:r>
      <w:proofErr w:type="spellStart"/>
      <w:r w:rsidRPr="00CD4F15">
        <w:rPr>
          <w:rFonts w:ascii="Times New Roman" w:hAnsi="Times New Roman"/>
          <w:i/>
          <w:iCs/>
        </w:rPr>
        <w:t>publike</w:t>
      </w:r>
      <w:proofErr w:type="spellEnd"/>
      <w:r w:rsidRPr="00CD4F15">
        <w:rPr>
          <w:rFonts w:ascii="Times New Roman" w:hAnsi="Times New Roman"/>
          <w:i/>
          <w:iCs/>
        </w:rPr>
        <w:t xml:space="preserve">, </w:t>
      </w:r>
      <w:proofErr w:type="spellStart"/>
      <w:r w:rsidRPr="00CD4F15">
        <w:rPr>
          <w:rFonts w:ascii="Times New Roman" w:hAnsi="Times New Roman"/>
          <w:i/>
          <w:iCs/>
        </w:rPr>
        <w:t>për</w:t>
      </w:r>
      <w:proofErr w:type="spellEnd"/>
      <w:r w:rsidRPr="00CD4F15">
        <w:rPr>
          <w:rFonts w:ascii="Times New Roman" w:hAnsi="Times New Roman"/>
          <w:i/>
          <w:iCs/>
        </w:rPr>
        <w:t xml:space="preserve"> </w:t>
      </w:r>
      <w:proofErr w:type="spellStart"/>
      <w:r w:rsidRPr="00CD4F15">
        <w:rPr>
          <w:rFonts w:ascii="Times New Roman" w:hAnsi="Times New Roman"/>
          <w:i/>
          <w:iCs/>
        </w:rPr>
        <w:t>efekt</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menaxhimit</w:t>
      </w:r>
      <w:proofErr w:type="spellEnd"/>
      <w:r w:rsidRPr="00CD4F15">
        <w:rPr>
          <w:rFonts w:ascii="Times New Roman" w:hAnsi="Times New Roman"/>
          <w:i/>
          <w:iCs/>
        </w:rPr>
        <w:t xml:space="preserve"> </w:t>
      </w:r>
      <w:proofErr w:type="spellStart"/>
      <w:r w:rsidRPr="00CD4F15">
        <w:rPr>
          <w:rFonts w:ascii="Times New Roman" w:hAnsi="Times New Roman"/>
          <w:i/>
          <w:iCs/>
        </w:rPr>
        <w:t>financiar</w:t>
      </w:r>
      <w:proofErr w:type="spellEnd"/>
      <w:r w:rsidRPr="00CD4F15">
        <w:rPr>
          <w:rFonts w:ascii="Times New Roman" w:hAnsi="Times New Roman"/>
          <w:i/>
          <w:iCs/>
        </w:rPr>
        <w:t xml:space="preserve"> </w:t>
      </w:r>
      <w:proofErr w:type="spellStart"/>
      <w:r w:rsidRPr="00CD4F15">
        <w:rPr>
          <w:rFonts w:ascii="Times New Roman" w:hAnsi="Times New Roman"/>
          <w:i/>
          <w:iCs/>
        </w:rPr>
        <w:t>dhe</w:t>
      </w:r>
      <w:proofErr w:type="spellEnd"/>
      <w:r w:rsidRPr="00CD4F15">
        <w:rPr>
          <w:rFonts w:ascii="Times New Roman" w:hAnsi="Times New Roman"/>
          <w:i/>
          <w:iCs/>
        </w:rPr>
        <w:t xml:space="preserve"> </w:t>
      </w:r>
      <w:proofErr w:type="spellStart"/>
      <w:r w:rsidRPr="00CD4F15">
        <w:rPr>
          <w:rFonts w:ascii="Times New Roman" w:hAnsi="Times New Roman"/>
          <w:i/>
          <w:iCs/>
        </w:rPr>
        <w:t>kontrollit</w:t>
      </w:r>
      <w:proofErr w:type="spellEnd"/>
      <w:r w:rsidRPr="00CD4F15">
        <w:rPr>
          <w:rFonts w:ascii="Times New Roman" w:hAnsi="Times New Roman"/>
          <w:i/>
          <w:iCs/>
        </w:rPr>
        <w:t xml:space="preserve">, </w:t>
      </w:r>
      <w:proofErr w:type="spellStart"/>
      <w:r w:rsidRPr="00CD4F15">
        <w:rPr>
          <w:rFonts w:ascii="Times New Roman" w:hAnsi="Times New Roman"/>
          <w:i/>
          <w:iCs/>
        </w:rPr>
        <w:t>cakton</w:t>
      </w:r>
      <w:proofErr w:type="spellEnd"/>
      <w:r w:rsidRPr="00CD4F15">
        <w:rPr>
          <w:rFonts w:ascii="Times New Roman" w:hAnsi="Times New Roman"/>
          <w:i/>
          <w:iCs/>
        </w:rPr>
        <w:t xml:space="preserve"> </w:t>
      </w:r>
      <w:proofErr w:type="spellStart"/>
      <w:r w:rsidRPr="00CD4F15">
        <w:rPr>
          <w:rFonts w:ascii="Times New Roman" w:hAnsi="Times New Roman"/>
          <w:i/>
          <w:iCs/>
        </w:rPr>
        <w:t>nëpunës</w:t>
      </w:r>
      <w:proofErr w:type="spellEnd"/>
      <w:r w:rsidRPr="00CD4F15">
        <w:rPr>
          <w:rFonts w:ascii="Times New Roman" w:hAnsi="Times New Roman"/>
          <w:i/>
          <w:iCs/>
        </w:rPr>
        <w:t xml:space="preserve"> </w:t>
      </w:r>
      <w:proofErr w:type="spellStart"/>
      <w:r w:rsidRPr="00CD4F15">
        <w:rPr>
          <w:rFonts w:ascii="Times New Roman" w:hAnsi="Times New Roman"/>
          <w:i/>
          <w:iCs/>
        </w:rPr>
        <w:t>autorizues</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nivelit</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dytë</w:t>
      </w:r>
      <w:proofErr w:type="spellEnd"/>
      <w:r w:rsidRPr="00CD4F15">
        <w:rPr>
          <w:rFonts w:ascii="Times New Roman" w:hAnsi="Times New Roman"/>
          <w:i/>
          <w:iCs/>
        </w:rPr>
        <w:t xml:space="preserve"> </w:t>
      </w:r>
      <w:proofErr w:type="spellStart"/>
      <w:r w:rsidRPr="00CD4F15">
        <w:rPr>
          <w:rFonts w:ascii="Times New Roman" w:hAnsi="Times New Roman"/>
          <w:i/>
          <w:iCs/>
        </w:rPr>
        <w:t>drejtuesit</w:t>
      </w:r>
      <w:proofErr w:type="spellEnd"/>
      <w:r w:rsidRPr="00CD4F15">
        <w:rPr>
          <w:rFonts w:ascii="Times New Roman" w:hAnsi="Times New Roman"/>
          <w:i/>
          <w:iCs/>
        </w:rPr>
        <w:t xml:space="preserve"> e </w:t>
      </w:r>
      <w:proofErr w:type="spellStart"/>
      <w:r w:rsidRPr="00CD4F15">
        <w:rPr>
          <w:rFonts w:ascii="Times New Roman" w:hAnsi="Times New Roman"/>
          <w:i/>
          <w:iCs/>
        </w:rPr>
        <w:t>programeve</w:t>
      </w:r>
      <w:proofErr w:type="spellEnd"/>
      <w:r w:rsidRPr="00CD4F15">
        <w:rPr>
          <w:rFonts w:ascii="Times New Roman" w:hAnsi="Times New Roman"/>
          <w:i/>
          <w:iCs/>
        </w:rPr>
        <w:t xml:space="preserve"> e </w:t>
      </w:r>
      <w:proofErr w:type="spellStart"/>
      <w:r w:rsidRPr="00CD4F15">
        <w:rPr>
          <w:rFonts w:ascii="Times New Roman" w:hAnsi="Times New Roman"/>
          <w:i/>
          <w:iCs/>
        </w:rPr>
        <w:t>nënprogrameve</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çdo</w:t>
      </w:r>
      <w:proofErr w:type="spellEnd"/>
      <w:r w:rsidRPr="00CD4F15">
        <w:rPr>
          <w:rFonts w:ascii="Times New Roman" w:hAnsi="Times New Roman"/>
          <w:i/>
          <w:iCs/>
        </w:rPr>
        <w:t xml:space="preserve"> </w:t>
      </w:r>
      <w:proofErr w:type="spellStart"/>
      <w:r w:rsidRPr="00CD4F15">
        <w:rPr>
          <w:rFonts w:ascii="Times New Roman" w:hAnsi="Times New Roman"/>
          <w:i/>
          <w:iCs/>
        </w:rPr>
        <w:t>strukture</w:t>
      </w:r>
      <w:proofErr w:type="spellEnd"/>
      <w:r w:rsidRPr="00CD4F15">
        <w:rPr>
          <w:rFonts w:ascii="Times New Roman" w:hAnsi="Times New Roman"/>
          <w:i/>
          <w:iCs/>
        </w:rPr>
        <w:t xml:space="preserve"> </w:t>
      </w:r>
      <w:proofErr w:type="spellStart"/>
      <w:r w:rsidRPr="00CD4F15">
        <w:rPr>
          <w:rFonts w:ascii="Times New Roman" w:hAnsi="Times New Roman"/>
          <w:i/>
          <w:iCs/>
        </w:rPr>
        <w:t>dhe</w:t>
      </w:r>
      <w:proofErr w:type="spellEnd"/>
      <w:r w:rsidRPr="00CD4F15">
        <w:rPr>
          <w:rFonts w:ascii="Times New Roman" w:hAnsi="Times New Roman"/>
          <w:i/>
          <w:iCs/>
        </w:rPr>
        <w:t xml:space="preserve"> </w:t>
      </w:r>
      <w:proofErr w:type="spellStart"/>
      <w:r w:rsidRPr="00CD4F15">
        <w:rPr>
          <w:rFonts w:ascii="Times New Roman" w:hAnsi="Times New Roman"/>
          <w:i/>
          <w:iCs/>
        </w:rPr>
        <w:t>njësie</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varësisë</w:t>
      </w:r>
      <w:proofErr w:type="spellEnd"/>
      <w:r w:rsidRPr="00CD4F15">
        <w:rPr>
          <w:rFonts w:ascii="Times New Roman" w:hAnsi="Times New Roman"/>
          <w:i/>
          <w:iCs/>
        </w:rPr>
        <w:t xml:space="preserve"> </w:t>
      </w:r>
      <w:proofErr w:type="spellStart"/>
      <w:r w:rsidRPr="00CD4F15">
        <w:rPr>
          <w:rFonts w:ascii="Times New Roman" w:hAnsi="Times New Roman"/>
          <w:i/>
          <w:iCs/>
        </w:rPr>
        <w:t>direkte</w:t>
      </w:r>
      <w:proofErr w:type="spellEnd"/>
      <w:r w:rsidRPr="00CD4F15">
        <w:rPr>
          <w:rFonts w:ascii="Times New Roman" w:hAnsi="Times New Roman"/>
          <w:i/>
          <w:iCs/>
        </w:rPr>
        <w:t xml:space="preserve">, </w:t>
      </w:r>
      <w:proofErr w:type="spellStart"/>
      <w:r w:rsidRPr="00CD4F15">
        <w:rPr>
          <w:rFonts w:ascii="Times New Roman" w:hAnsi="Times New Roman"/>
          <w:i/>
          <w:iCs/>
        </w:rPr>
        <w:t>për</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cilat</w:t>
      </w:r>
      <w:proofErr w:type="spellEnd"/>
      <w:r w:rsidRPr="00CD4F15">
        <w:rPr>
          <w:rFonts w:ascii="Times New Roman" w:hAnsi="Times New Roman"/>
          <w:i/>
          <w:iCs/>
        </w:rPr>
        <w:t xml:space="preserve"> </w:t>
      </w:r>
      <w:proofErr w:type="spellStart"/>
      <w:r w:rsidRPr="00CD4F15">
        <w:rPr>
          <w:rFonts w:ascii="Times New Roman" w:hAnsi="Times New Roman"/>
          <w:i/>
          <w:iCs/>
        </w:rPr>
        <w:t>identifikohet</w:t>
      </w:r>
      <w:proofErr w:type="spellEnd"/>
      <w:r w:rsidRPr="00CD4F15">
        <w:rPr>
          <w:rFonts w:ascii="Times New Roman" w:hAnsi="Times New Roman"/>
          <w:i/>
          <w:iCs/>
        </w:rPr>
        <w:t xml:space="preserve"> </w:t>
      </w:r>
      <w:proofErr w:type="spellStart"/>
      <w:r w:rsidRPr="00CD4F15">
        <w:rPr>
          <w:rFonts w:ascii="Times New Roman" w:hAnsi="Times New Roman"/>
          <w:i/>
          <w:iCs/>
        </w:rPr>
        <w:t>buxhet</w:t>
      </w:r>
      <w:proofErr w:type="spellEnd"/>
      <w:r w:rsidRPr="00CD4F15">
        <w:rPr>
          <w:rFonts w:ascii="Times New Roman" w:hAnsi="Times New Roman"/>
          <w:i/>
          <w:iCs/>
        </w:rPr>
        <w:t xml:space="preserve"> </w:t>
      </w:r>
      <w:proofErr w:type="spellStart"/>
      <w:r w:rsidRPr="00CD4F15">
        <w:rPr>
          <w:rFonts w:ascii="Times New Roman" w:hAnsi="Times New Roman"/>
          <w:i/>
          <w:iCs/>
        </w:rPr>
        <w:t>i</w:t>
      </w:r>
      <w:proofErr w:type="spellEnd"/>
      <w:r w:rsidRPr="00CD4F15">
        <w:rPr>
          <w:rFonts w:ascii="Times New Roman" w:hAnsi="Times New Roman"/>
          <w:i/>
          <w:iCs/>
        </w:rPr>
        <w:t xml:space="preserve"> </w:t>
      </w:r>
      <w:proofErr w:type="spellStart"/>
      <w:r w:rsidRPr="00CD4F15">
        <w:rPr>
          <w:rFonts w:ascii="Times New Roman" w:hAnsi="Times New Roman"/>
          <w:i/>
          <w:iCs/>
        </w:rPr>
        <w:t>veçantë</w:t>
      </w:r>
      <w:proofErr w:type="spellEnd"/>
      <w:r w:rsidRPr="00CD4F15">
        <w:rPr>
          <w:rFonts w:ascii="Times New Roman" w:hAnsi="Times New Roman"/>
          <w:i/>
          <w:iCs/>
        </w:rPr>
        <w:t xml:space="preserve">. </w:t>
      </w:r>
      <w:proofErr w:type="spellStart"/>
      <w:r w:rsidRPr="00CD4F15">
        <w:rPr>
          <w:rFonts w:ascii="Times New Roman" w:hAnsi="Times New Roman"/>
          <w:i/>
          <w:iCs/>
        </w:rPr>
        <w:t>Në</w:t>
      </w:r>
      <w:proofErr w:type="spellEnd"/>
      <w:r w:rsidRPr="00CD4F15">
        <w:rPr>
          <w:rFonts w:ascii="Times New Roman" w:hAnsi="Times New Roman"/>
          <w:i/>
          <w:iCs/>
        </w:rPr>
        <w:t xml:space="preserve"> </w:t>
      </w:r>
      <w:proofErr w:type="spellStart"/>
      <w:r w:rsidRPr="00CD4F15">
        <w:rPr>
          <w:rFonts w:ascii="Times New Roman" w:hAnsi="Times New Roman"/>
          <w:i/>
          <w:iCs/>
        </w:rPr>
        <w:t>njësitë</w:t>
      </w:r>
      <w:proofErr w:type="spellEnd"/>
      <w:r w:rsidRPr="00CD4F15">
        <w:rPr>
          <w:rFonts w:ascii="Times New Roman" w:hAnsi="Times New Roman"/>
          <w:i/>
          <w:iCs/>
        </w:rPr>
        <w:t xml:space="preserve"> </w:t>
      </w:r>
      <w:proofErr w:type="spellStart"/>
      <w:r w:rsidRPr="00CD4F15">
        <w:rPr>
          <w:rFonts w:ascii="Times New Roman" w:hAnsi="Times New Roman"/>
          <w:i/>
          <w:iCs/>
        </w:rPr>
        <w:t>publike</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përshkallëzuara</w:t>
      </w:r>
      <w:proofErr w:type="spellEnd"/>
      <w:r w:rsidRPr="00CD4F15">
        <w:rPr>
          <w:rFonts w:ascii="Times New Roman" w:hAnsi="Times New Roman"/>
          <w:i/>
          <w:iCs/>
        </w:rPr>
        <w:t xml:space="preserve"> me </w:t>
      </w:r>
      <w:proofErr w:type="spellStart"/>
      <w:r w:rsidRPr="00CD4F15">
        <w:rPr>
          <w:rFonts w:ascii="Times New Roman" w:hAnsi="Times New Roman"/>
          <w:i/>
          <w:iCs/>
        </w:rPr>
        <w:t>disa</w:t>
      </w:r>
      <w:proofErr w:type="spellEnd"/>
      <w:r w:rsidRPr="00CD4F15">
        <w:rPr>
          <w:rFonts w:ascii="Times New Roman" w:hAnsi="Times New Roman"/>
          <w:i/>
          <w:iCs/>
        </w:rPr>
        <w:t xml:space="preserve"> </w:t>
      </w:r>
      <w:proofErr w:type="spellStart"/>
      <w:r w:rsidRPr="00CD4F15">
        <w:rPr>
          <w:rFonts w:ascii="Times New Roman" w:hAnsi="Times New Roman"/>
          <w:i/>
          <w:iCs/>
        </w:rPr>
        <w:t>nivele</w:t>
      </w:r>
      <w:proofErr w:type="spellEnd"/>
      <w:r w:rsidRPr="00CD4F15">
        <w:rPr>
          <w:rFonts w:ascii="Times New Roman" w:hAnsi="Times New Roman"/>
          <w:i/>
          <w:iCs/>
        </w:rPr>
        <w:t xml:space="preserve"> </w:t>
      </w:r>
      <w:proofErr w:type="spellStart"/>
      <w:r w:rsidRPr="00CD4F15">
        <w:rPr>
          <w:rFonts w:ascii="Times New Roman" w:hAnsi="Times New Roman"/>
          <w:i/>
          <w:iCs/>
        </w:rPr>
        <w:t>njësish</w:t>
      </w:r>
      <w:proofErr w:type="spellEnd"/>
      <w:r w:rsidRPr="00CD4F15">
        <w:rPr>
          <w:rFonts w:ascii="Times New Roman" w:hAnsi="Times New Roman"/>
          <w:i/>
          <w:iCs/>
        </w:rPr>
        <w:t xml:space="preserve"> </w:t>
      </w:r>
      <w:proofErr w:type="spellStart"/>
      <w:r w:rsidRPr="00CD4F15">
        <w:rPr>
          <w:rFonts w:ascii="Times New Roman" w:hAnsi="Times New Roman"/>
          <w:i/>
          <w:iCs/>
        </w:rPr>
        <w:t>shpenzuese</w:t>
      </w:r>
      <w:proofErr w:type="spellEnd"/>
      <w:r w:rsidRPr="00CD4F15">
        <w:rPr>
          <w:rFonts w:ascii="Times New Roman" w:hAnsi="Times New Roman"/>
          <w:i/>
          <w:iCs/>
        </w:rPr>
        <w:t xml:space="preserve">, </w:t>
      </w:r>
      <w:proofErr w:type="spellStart"/>
      <w:r w:rsidRPr="00CD4F15">
        <w:rPr>
          <w:rFonts w:ascii="Times New Roman" w:hAnsi="Times New Roman"/>
          <w:i/>
          <w:iCs/>
        </w:rPr>
        <w:t>nëpunësit</w:t>
      </w:r>
      <w:proofErr w:type="spellEnd"/>
      <w:r w:rsidRPr="00CD4F15">
        <w:rPr>
          <w:rFonts w:ascii="Times New Roman" w:hAnsi="Times New Roman"/>
          <w:i/>
          <w:iCs/>
        </w:rPr>
        <w:t xml:space="preserve"> </w:t>
      </w:r>
      <w:proofErr w:type="spellStart"/>
      <w:r w:rsidRPr="00CD4F15">
        <w:rPr>
          <w:rFonts w:ascii="Times New Roman" w:hAnsi="Times New Roman"/>
          <w:i/>
          <w:iCs/>
        </w:rPr>
        <w:t>autorizues</w:t>
      </w:r>
      <w:proofErr w:type="spellEnd"/>
      <w:r w:rsidRPr="00CD4F15">
        <w:rPr>
          <w:rFonts w:ascii="Times New Roman" w:hAnsi="Times New Roman"/>
          <w:i/>
          <w:iCs/>
        </w:rPr>
        <w:t xml:space="preserve"> </w:t>
      </w:r>
      <w:proofErr w:type="spellStart"/>
      <w:r w:rsidRPr="00CD4F15">
        <w:rPr>
          <w:rFonts w:ascii="Times New Roman" w:hAnsi="Times New Roman"/>
          <w:i/>
          <w:iCs/>
        </w:rPr>
        <w:t>caktohen</w:t>
      </w:r>
      <w:proofErr w:type="spellEnd"/>
      <w:r w:rsidRPr="00CD4F15">
        <w:rPr>
          <w:rFonts w:ascii="Times New Roman" w:hAnsi="Times New Roman"/>
          <w:i/>
          <w:iCs/>
        </w:rPr>
        <w:t xml:space="preserve"> </w:t>
      </w:r>
      <w:proofErr w:type="spellStart"/>
      <w:r w:rsidRPr="00CD4F15">
        <w:rPr>
          <w:rFonts w:ascii="Times New Roman" w:hAnsi="Times New Roman"/>
          <w:i/>
          <w:iCs/>
        </w:rPr>
        <w:t>nga</w:t>
      </w:r>
      <w:proofErr w:type="spellEnd"/>
      <w:r w:rsidRPr="00CD4F15">
        <w:rPr>
          <w:rFonts w:ascii="Times New Roman" w:hAnsi="Times New Roman"/>
          <w:i/>
          <w:iCs/>
        </w:rPr>
        <w:t xml:space="preserve"> </w:t>
      </w:r>
      <w:proofErr w:type="spellStart"/>
      <w:r w:rsidRPr="00CD4F15">
        <w:rPr>
          <w:rFonts w:ascii="Times New Roman" w:hAnsi="Times New Roman"/>
          <w:i/>
          <w:iCs/>
        </w:rPr>
        <w:t>organi</w:t>
      </w:r>
      <w:proofErr w:type="spellEnd"/>
      <w:r w:rsidRPr="00CD4F15">
        <w:rPr>
          <w:rFonts w:ascii="Times New Roman" w:hAnsi="Times New Roman"/>
          <w:i/>
          <w:iCs/>
        </w:rPr>
        <w:t xml:space="preserve"> </w:t>
      </w:r>
      <w:proofErr w:type="spellStart"/>
      <w:r w:rsidRPr="00CD4F15">
        <w:rPr>
          <w:rFonts w:ascii="Times New Roman" w:hAnsi="Times New Roman"/>
          <w:i/>
          <w:iCs/>
        </w:rPr>
        <w:t>epror</w:t>
      </w:r>
      <w:proofErr w:type="spellEnd"/>
      <w:r w:rsidRPr="00CD4F15">
        <w:rPr>
          <w:rFonts w:ascii="Times New Roman" w:hAnsi="Times New Roman"/>
          <w:i/>
          <w:iCs/>
        </w:rPr>
        <w:t xml:space="preserve"> </w:t>
      </w:r>
      <w:proofErr w:type="spellStart"/>
      <w:r w:rsidRPr="00CD4F15">
        <w:rPr>
          <w:rFonts w:ascii="Times New Roman" w:hAnsi="Times New Roman"/>
          <w:i/>
          <w:iCs/>
        </w:rPr>
        <w:t>direkt</w:t>
      </w:r>
      <w:proofErr w:type="spellEnd"/>
      <w:r w:rsidRPr="00CD4F15">
        <w:rPr>
          <w:rFonts w:ascii="Times New Roman" w:hAnsi="Times New Roman"/>
          <w:i/>
          <w:iCs/>
        </w:rPr>
        <w:t xml:space="preserve"> </w:t>
      </w:r>
      <w:proofErr w:type="spellStart"/>
      <w:r w:rsidRPr="00CD4F15">
        <w:rPr>
          <w:rFonts w:ascii="Times New Roman" w:hAnsi="Times New Roman"/>
          <w:i/>
          <w:iCs/>
        </w:rPr>
        <w:t>dhe</w:t>
      </w:r>
      <w:proofErr w:type="spellEnd"/>
      <w:r w:rsidRPr="00CD4F15">
        <w:rPr>
          <w:rFonts w:ascii="Times New Roman" w:hAnsi="Times New Roman"/>
          <w:i/>
          <w:iCs/>
        </w:rPr>
        <w:t xml:space="preserve"> </w:t>
      </w:r>
      <w:proofErr w:type="spellStart"/>
      <w:r w:rsidRPr="00CD4F15">
        <w:rPr>
          <w:rFonts w:ascii="Times New Roman" w:hAnsi="Times New Roman"/>
          <w:i/>
          <w:iCs/>
        </w:rPr>
        <w:t>emërtohen</w:t>
      </w:r>
      <w:proofErr w:type="spellEnd"/>
      <w:r w:rsidRPr="00CD4F15">
        <w:rPr>
          <w:rFonts w:ascii="Times New Roman" w:hAnsi="Times New Roman"/>
          <w:i/>
          <w:iCs/>
        </w:rPr>
        <w:t xml:space="preserve"> </w:t>
      </w:r>
      <w:proofErr w:type="spellStart"/>
      <w:r w:rsidRPr="00CD4F15">
        <w:rPr>
          <w:rFonts w:ascii="Times New Roman" w:hAnsi="Times New Roman"/>
          <w:i/>
          <w:iCs/>
        </w:rPr>
        <w:t>sipas</w:t>
      </w:r>
      <w:proofErr w:type="spellEnd"/>
      <w:r w:rsidRPr="00CD4F15">
        <w:rPr>
          <w:rFonts w:ascii="Times New Roman" w:hAnsi="Times New Roman"/>
          <w:i/>
          <w:iCs/>
        </w:rPr>
        <w:t xml:space="preserve"> </w:t>
      </w:r>
      <w:proofErr w:type="spellStart"/>
      <w:r w:rsidRPr="00CD4F15">
        <w:rPr>
          <w:rFonts w:ascii="Times New Roman" w:hAnsi="Times New Roman"/>
          <w:i/>
          <w:iCs/>
        </w:rPr>
        <w:t>nivelit</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varësisë</w:t>
      </w:r>
      <w:proofErr w:type="spellEnd"/>
      <w:r w:rsidRPr="00CD4F15">
        <w:rPr>
          <w:rFonts w:ascii="Times New Roman" w:hAnsi="Times New Roman"/>
          <w:i/>
          <w:iCs/>
        </w:rPr>
        <w:t xml:space="preserve"> </w:t>
      </w:r>
      <w:proofErr w:type="spellStart"/>
      <w:r w:rsidRPr="00CD4F15">
        <w:rPr>
          <w:rFonts w:ascii="Times New Roman" w:hAnsi="Times New Roman"/>
          <w:i/>
          <w:iCs/>
        </w:rPr>
        <w:t>në</w:t>
      </w:r>
      <w:proofErr w:type="spellEnd"/>
      <w:r w:rsidRPr="00CD4F15">
        <w:rPr>
          <w:rFonts w:ascii="Times New Roman" w:hAnsi="Times New Roman"/>
          <w:i/>
          <w:iCs/>
        </w:rPr>
        <w:t xml:space="preserve"> </w:t>
      </w:r>
      <w:proofErr w:type="spellStart"/>
      <w:r w:rsidRPr="00CD4F15">
        <w:rPr>
          <w:rFonts w:ascii="Times New Roman" w:hAnsi="Times New Roman"/>
          <w:i/>
          <w:iCs/>
        </w:rPr>
        <w:t>nëpunës</w:t>
      </w:r>
      <w:proofErr w:type="spellEnd"/>
      <w:r w:rsidRPr="00CD4F15">
        <w:rPr>
          <w:rFonts w:ascii="Times New Roman" w:hAnsi="Times New Roman"/>
          <w:i/>
          <w:iCs/>
        </w:rPr>
        <w:t xml:space="preserve"> </w:t>
      </w:r>
      <w:proofErr w:type="spellStart"/>
      <w:r w:rsidRPr="00CD4F15">
        <w:rPr>
          <w:rFonts w:ascii="Times New Roman" w:hAnsi="Times New Roman"/>
          <w:i/>
          <w:iCs/>
        </w:rPr>
        <w:t>autorizues</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nivelit</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dytë</w:t>
      </w:r>
      <w:proofErr w:type="spellEnd"/>
      <w:r w:rsidRPr="00CD4F15">
        <w:rPr>
          <w:rFonts w:ascii="Times New Roman" w:hAnsi="Times New Roman"/>
          <w:i/>
          <w:iCs/>
        </w:rPr>
        <w:t xml:space="preserv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tretë</w:t>
      </w:r>
      <w:proofErr w:type="spellEnd"/>
      <w:r w:rsidRPr="00CD4F15">
        <w:rPr>
          <w:rFonts w:ascii="Times New Roman" w:hAnsi="Times New Roman"/>
          <w:i/>
          <w:iCs/>
        </w:rPr>
        <w:t xml:space="preserve"> e </w:t>
      </w:r>
      <w:proofErr w:type="spellStart"/>
      <w:r w:rsidRPr="00CD4F15">
        <w:rPr>
          <w:rFonts w:ascii="Times New Roman" w:hAnsi="Times New Roman"/>
          <w:i/>
          <w:iCs/>
        </w:rPr>
        <w:t>të</w:t>
      </w:r>
      <w:proofErr w:type="spellEnd"/>
      <w:r w:rsidRPr="00CD4F15">
        <w:rPr>
          <w:rFonts w:ascii="Times New Roman" w:hAnsi="Times New Roman"/>
          <w:i/>
          <w:iCs/>
        </w:rPr>
        <w:t xml:space="preserve"> </w:t>
      </w:r>
      <w:proofErr w:type="spellStart"/>
      <w:r w:rsidRPr="00CD4F15">
        <w:rPr>
          <w:rFonts w:ascii="Times New Roman" w:hAnsi="Times New Roman"/>
          <w:i/>
          <w:iCs/>
        </w:rPr>
        <w:t>katërt</w:t>
      </w:r>
      <w:proofErr w:type="spellEnd"/>
      <w:r w:rsidRPr="00CD4F15">
        <w:rPr>
          <w:rFonts w:ascii="Times New Roman" w:hAnsi="Times New Roman"/>
          <w:i/>
          <w:iCs/>
        </w:rPr>
        <w:t>.”</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nenin 9</w:t>
      </w:r>
      <w:r w:rsidRPr="00CD4F15">
        <w:rPr>
          <w:rFonts w:ascii="Times New Roman" w:hAnsi="Times New Roman"/>
          <w:bCs/>
          <w:sz w:val="24"/>
          <w:szCs w:val="24"/>
          <w:lang w:val="sq-AL"/>
        </w:rPr>
        <w:t xml:space="preserve">, shtesa e sugjeruar nuk eshte e nevojshme pasi, ne ligjin per MFK, ne nenin 12 te tij percaktohet qe: “Nëpunës zbatues i njësisë publike është drejtuesi i strukturës përgjegjëse për financat e njësisë publike në vartësi direkte nga nëpunësi autorizues i njësisë….”, cka do te thote se ne cdo njesi te qeverisjes se pergjithshme, per te cilen alokohet buxhet i vecante (pra cdo njesi shpenzuese) ka te caktuar Nepunes Autorizues dhe Nepunes Zbatues. Ne ligjin per MFK gjithashtu, percaktohet qe nepunesit zbatues te niveleve te poshtme te varesise raportojne sipas nivelit hierarkik. </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sugjerimin</w:t>
      </w:r>
      <w:r w:rsidRPr="00CD4F15">
        <w:rPr>
          <w:rFonts w:ascii="Times New Roman" w:hAnsi="Times New Roman"/>
          <w:bCs/>
          <w:sz w:val="24"/>
          <w:szCs w:val="24"/>
          <w:lang w:val="sq-AL"/>
        </w:rPr>
        <w:t xml:space="preserve"> per nxjerrjen e nje udhezimi per percaktimin e pergjegjesive dhe kompetencave te Nepunesve Autorizues dhe Nepunesve Zbatues, ky detyrim percaktohet ne ligjin per menaxhimit financiar dhe kontrollin.</w:t>
      </w:r>
    </w:p>
    <w:p w:rsidR="00CD4F15" w:rsidRPr="00CD4F15" w:rsidRDefault="00CD4F15" w:rsidP="00CD4F15">
      <w:pPr>
        <w:spacing w:after="0"/>
        <w:ind w:left="1440"/>
        <w:jc w:val="both"/>
        <w:rPr>
          <w:rFonts w:ascii="Times New Roman" w:hAnsi="Times New Roman"/>
          <w:sz w:val="24"/>
          <w:szCs w:val="24"/>
          <w:lang w:val="sq-AL"/>
        </w:rPr>
      </w:pP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Ministria e Zhvillimit Ekonomik, Turizmit, Tregtisë dhe Sipërmarrjes</w:t>
      </w:r>
      <w:r w:rsidRPr="00CD4F15">
        <w:rPr>
          <w:rFonts w:ascii="Times New Roman" w:hAnsi="Times New Roman"/>
          <w:sz w:val="24"/>
          <w:szCs w:val="24"/>
          <w:lang w:val="sq-AL"/>
        </w:rPr>
        <w:t xml:space="preserve"> me shkresën e saj nr.9939/1 datë 29.12.2015, shprehet parimisht dakort, por sugjeron disa saktësime e ndryshime për të cilat Ministria e Financave shprehet si më poshtë:</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ndryshimin e termit</w:t>
      </w:r>
      <w:r w:rsidRPr="00CD4F15">
        <w:rPr>
          <w:rFonts w:ascii="Times New Roman" w:hAnsi="Times New Roman"/>
          <w:bCs/>
          <w:sz w:val="24"/>
          <w:szCs w:val="24"/>
          <w:lang w:val="sq-AL"/>
        </w:rPr>
        <w:t xml:space="preserve"> “ministri përgjegjës për financat” me termin ekzistues “Ministri i Financave”, gjykojmë që ndryshimi që propozojmë bëhet për të evituar cdo përplasje që mund të ketë në të ardhmen midis emërtimit të ministrisë së linjës që ka në përgjegjësinë e saj financat publike, me emërtimin e tij strikt në këtë ligj.</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sugjerimin për ndryshimin e nenit 1/pika 2</w:t>
      </w:r>
      <w:r w:rsidRPr="00CD4F15">
        <w:rPr>
          <w:rFonts w:ascii="Times New Roman" w:hAnsi="Times New Roman"/>
          <w:bCs/>
          <w:sz w:val="24"/>
          <w:szCs w:val="24"/>
          <w:lang w:val="sq-AL"/>
        </w:rPr>
        <w:t>, gjykojmë që përcaktimi në fjalë të mbetet sikurse është pasi është transpozuar si i tillë nga Ligji ekzistues për Menaxhimin Financiar dhe Kontrollit.</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sugjerimin për ndryshimin e nenit 2</w:t>
      </w:r>
      <w:r w:rsidRPr="00CD4F15">
        <w:rPr>
          <w:rFonts w:ascii="Times New Roman" w:hAnsi="Times New Roman"/>
          <w:bCs/>
          <w:sz w:val="24"/>
          <w:szCs w:val="24"/>
          <w:lang w:val="sq-AL"/>
        </w:rPr>
        <w:t xml:space="preserve"> “Fondi i Kontingjencës”, gjykojmë që të mbetet përcaktimi i propozuar nga ana jonë, pasi është një kërkesë e vazhdueshme e Kontrollit të Lartë të Shtetit për ta kufizuar përdorimin e këtij fondi më këtë ligj.</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sugjerimin në nenin 10</w:t>
      </w:r>
      <w:r w:rsidRPr="00CD4F15">
        <w:rPr>
          <w:rFonts w:ascii="Times New Roman" w:hAnsi="Times New Roman"/>
          <w:bCs/>
          <w:sz w:val="24"/>
          <w:szCs w:val="24"/>
          <w:lang w:val="sq-AL"/>
        </w:rPr>
        <w:t xml:space="preserve">, shprehemi se kemi të bëjmë me konsultime që Ministria e Financave do te kryeje me perfaqesues të shoqërisë civile apo institucione nderkombëtare që zhvillojne aktivitetin e tyre ne Shqipëri dhe që kanë interes te angazhohen në procesin e buxhetimit. </w:t>
      </w:r>
    </w:p>
    <w:p w:rsidR="00CD4F15" w:rsidRPr="00CD4F15" w:rsidRDefault="00CD4F15" w:rsidP="00CD4F15">
      <w:pPr>
        <w:numPr>
          <w:ilvl w:val="0"/>
          <w:numId w:val="9"/>
        </w:numPr>
        <w:spacing w:after="0" w:line="240" w:lineRule="auto"/>
        <w:contextualSpacing/>
        <w:jc w:val="both"/>
        <w:rPr>
          <w:rFonts w:ascii="Times New Roman" w:hAnsi="Times New Roman"/>
          <w:bCs/>
          <w:sz w:val="24"/>
          <w:szCs w:val="24"/>
          <w:lang w:val="sq-AL"/>
        </w:rPr>
      </w:pPr>
      <w:r w:rsidRPr="00CD4F15">
        <w:rPr>
          <w:rFonts w:ascii="Times New Roman" w:hAnsi="Times New Roman"/>
          <w:b/>
          <w:bCs/>
          <w:sz w:val="24"/>
          <w:szCs w:val="24"/>
          <w:lang w:val="sq-AL"/>
        </w:rPr>
        <w:t>Lidhur me sugjerimin e bërë për nenin 5</w:t>
      </w:r>
      <w:r w:rsidRPr="00CD4F15">
        <w:rPr>
          <w:rFonts w:ascii="Times New Roman" w:hAnsi="Times New Roman"/>
          <w:bCs/>
          <w:sz w:val="24"/>
          <w:szCs w:val="24"/>
          <w:lang w:val="sq-AL"/>
        </w:rPr>
        <w:t>, shprehemi se termi “në komitetin përkatës ndërministror” duhet të qëndrojë pasi termi i propozuar nga MZHETTS është tepër specifik dhe mund të ndryshojë në të ardhmen duke sjellë vështirësi në zbatim.</w:t>
      </w:r>
    </w:p>
    <w:p w:rsidR="00CD4F15" w:rsidRPr="00CD4F15" w:rsidRDefault="00CD4F15" w:rsidP="00CD4F15">
      <w:pPr>
        <w:spacing w:after="0" w:line="360" w:lineRule="auto"/>
        <w:jc w:val="both"/>
        <w:rPr>
          <w:rFonts w:ascii="Times New Roman" w:hAnsi="Times New Roman"/>
          <w:noProof/>
          <w:sz w:val="16"/>
          <w:szCs w:val="16"/>
          <w:lang w:val="sq-AL"/>
        </w:rPr>
      </w:pP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lastRenderedPageBreak/>
        <w:t>Ministria e Mirëqenies Sociale dhe Rinisë</w:t>
      </w:r>
      <w:r w:rsidRPr="00CD4F15">
        <w:rPr>
          <w:rFonts w:ascii="Times New Roman" w:hAnsi="Times New Roman"/>
          <w:sz w:val="24"/>
          <w:szCs w:val="24"/>
          <w:lang w:val="sq-AL"/>
        </w:rPr>
        <w:t xml:space="preserve"> me shkresën nr.6588/1 datë 05.02.2016 ka sugjeruar shtimin e një pike në nenin 1 të projektligjit lidhur pikërisht me nocionin e barazisë gjinore, gjë që nuk është marrë parasysh nga ana jonë në këtë draft, pasi aktualisht ajo është e rregulluar me akte të tjera nënligjore.</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Kontrolli i Lartë i Shtetit</w:t>
      </w:r>
      <w:r w:rsidRPr="00CD4F15">
        <w:rPr>
          <w:rFonts w:ascii="Times New Roman" w:hAnsi="Times New Roman"/>
          <w:sz w:val="24"/>
          <w:szCs w:val="24"/>
          <w:lang w:val="sq-AL"/>
        </w:rPr>
        <w:t xml:space="preserve"> me shkresën 1173/1 datë 30.12.2015 ka propozuar dy ndryshime, të cilat janë marrë parasysh në tërësi. I vetmi ndryshim i referohet nenit 63, ku shprehja “brenda muajit maj” është rishikuar në “brenda muajit qershor”, me qëllim respektimin e skedulit kohor të përmendur në tërësinë e nenit në fjalë. </w:t>
      </w:r>
    </w:p>
    <w:p w:rsidR="00CD4F15" w:rsidRPr="00CD4F15" w:rsidRDefault="00CD4F15" w:rsidP="00CD4F15">
      <w:pPr>
        <w:numPr>
          <w:ilvl w:val="0"/>
          <w:numId w:val="8"/>
        </w:numPr>
        <w:spacing w:after="0"/>
        <w:jc w:val="both"/>
        <w:rPr>
          <w:rFonts w:ascii="Times New Roman" w:hAnsi="Times New Roman"/>
          <w:sz w:val="24"/>
          <w:szCs w:val="24"/>
          <w:lang w:val="sq-AL"/>
        </w:rPr>
      </w:pPr>
      <w:r w:rsidRPr="00CD4F15">
        <w:rPr>
          <w:rFonts w:ascii="Times New Roman" w:hAnsi="Times New Roman"/>
          <w:b/>
          <w:sz w:val="24"/>
          <w:szCs w:val="24"/>
          <w:lang w:val="sq-AL"/>
        </w:rPr>
        <w:t>Banka e Shqipërisë</w:t>
      </w:r>
      <w:r w:rsidRPr="00CD4F15">
        <w:rPr>
          <w:rFonts w:ascii="Times New Roman" w:hAnsi="Times New Roman"/>
          <w:sz w:val="24"/>
          <w:szCs w:val="24"/>
          <w:lang w:val="sq-AL"/>
        </w:rPr>
        <w:t xml:space="preserve"> me shkresën e saj nr.6351 datë 23.12.2015, ka propozuar disa ndryshime sidomos për sa i përket aktivitetit të huamarrjes dhe menaxhimit të borxhit publik, sugjerime te cilat janë reflektuar plotësisht në draftin e paraqitur Këshillit të Ministrave.</w:t>
      </w:r>
    </w:p>
    <w:p w:rsidR="00CD4F15" w:rsidRPr="00CD4F15" w:rsidRDefault="00CD4F15" w:rsidP="00CD4F15">
      <w:pPr>
        <w:spacing w:after="0"/>
        <w:ind w:left="360"/>
        <w:rPr>
          <w:rFonts w:ascii="Times New Roman" w:hAnsi="Times New Roman"/>
          <w:sz w:val="24"/>
          <w:szCs w:val="24"/>
          <w:lang w:val="sq-AL"/>
        </w:rPr>
      </w:pPr>
    </w:p>
    <w:p w:rsidR="00CD4F15" w:rsidRPr="00CD4F15" w:rsidRDefault="00CD4F15" w:rsidP="00CD4F15">
      <w:pPr>
        <w:numPr>
          <w:ilvl w:val="0"/>
          <w:numId w:val="7"/>
        </w:numPr>
        <w:spacing w:after="0"/>
        <w:ind w:left="720" w:hanging="540"/>
        <w:jc w:val="both"/>
        <w:rPr>
          <w:rFonts w:ascii="Times New Roman" w:hAnsi="Times New Roman"/>
          <w:b/>
          <w:sz w:val="24"/>
          <w:szCs w:val="24"/>
          <w:lang w:val="sq-AL"/>
        </w:rPr>
      </w:pPr>
      <w:r w:rsidRPr="00CD4F15">
        <w:rPr>
          <w:rFonts w:ascii="Times New Roman" w:hAnsi="Times New Roman"/>
          <w:b/>
          <w:sz w:val="24"/>
          <w:szCs w:val="24"/>
          <w:lang w:val="sq-AL"/>
        </w:rPr>
        <w:t xml:space="preserve">RAPORTI I VLERËSIMIT TË TË ARDHURAVE DHE SHPENZIMEVE BUXHETORE. </w:t>
      </w:r>
    </w:p>
    <w:p w:rsidR="00CD4F15" w:rsidRPr="00CD4F15" w:rsidRDefault="00CD4F15" w:rsidP="00CD4F15">
      <w:pPr>
        <w:spacing w:after="0" w:line="240" w:lineRule="auto"/>
        <w:ind w:left="720"/>
        <w:jc w:val="both"/>
        <w:rPr>
          <w:rFonts w:ascii="Times New Roman" w:hAnsi="Times New Roman"/>
          <w:sz w:val="24"/>
          <w:szCs w:val="24"/>
          <w:lang w:val="sq-AL"/>
        </w:rPr>
      </w:pP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t xml:space="preserve">Projekt-ligji nuk sjell efekte financiare shtesë në buxhetin e shtetit. </w:t>
      </w:r>
    </w:p>
    <w:p w:rsidR="00CD4F15" w:rsidRPr="00CD4F15" w:rsidRDefault="00CD4F15" w:rsidP="00CD4F15">
      <w:pPr>
        <w:spacing w:after="0" w:line="240" w:lineRule="auto"/>
        <w:ind w:left="720"/>
        <w:jc w:val="both"/>
        <w:rPr>
          <w:rFonts w:ascii="Times New Roman" w:hAnsi="Times New Roman"/>
          <w:sz w:val="24"/>
          <w:szCs w:val="24"/>
          <w:lang w:val="sq-AL"/>
        </w:rPr>
      </w:pPr>
    </w:p>
    <w:p w:rsidR="00CD4F15" w:rsidRPr="00CD4F15" w:rsidRDefault="00CD4F15" w:rsidP="00CD4F15">
      <w:pPr>
        <w:spacing w:after="0" w:line="240" w:lineRule="auto"/>
        <w:ind w:left="720"/>
        <w:jc w:val="both"/>
        <w:rPr>
          <w:rFonts w:ascii="Times New Roman" w:hAnsi="Times New Roman"/>
          <w:sz w:val="24"/>
          <w:szCs w:val="24"/>
          <w:lang w:val="sq-AL"/>
        </w:rPr>
      </w:pPr>
      <w:r w:rsidRPr="00CD4F15">
        <w:rPr>
          <w:rFonts w:ascii="Times New Roman" w:hAnsi="Times New Roman"/>
          <w:sz w:val="24"/>
          <w:szCs w:val="24"/>
          <w:lang w:val="sq-AL"/>
        </w:rPr>
        <w:t>Në zbatim të nenit 78 dhe 83 pika 1 të Kushtetutës, ky projekt-ligj i paraqitet Këshillit të Ministrave për miratim.</w:t>
      </w:r>
    </w:p>
    <w:p w:rsidR="00CD4F15" w:rsidRPr="00CD4F15" w:rsidRDefault="00CD4F15" w:rsidP="00CD4F15">
      <w:pPr>
        <w:spacing w:after="0" w:line="240" w:lineRule="auto"/>
        <w:ind w:left="720"/>
        <w:jc w:val="both"/>
        <w:rPr>
          <w:rFonts w:ascii="Times New Roman" w:hAnsi="Times New Roman"/>
          <w:sz w:val="24"/>
          <w:szCs w:val="24"/>
          <w:lang w:val="sq-AL"/>
        </w:rPr>
      </w:pPr>
    </w:p>
    <w:p w:rsidR="00CD4F15" w:rsidRPr="00CD4F15" w:rsidRDefault="00CD4F15" w:rsidP="00CD4F15">
      <w:pPr>
        <w:spacing w:after="0" w:line="240" w:lineRule="auto"/>
        <w:ind w:left="720"/>
        <w:jc w:val="both"/>
        <w:rPr>
          <w:rFonts w:ascii="Times New Roman" w:hAnsi="Times New Roman"/>
          <w:sz w:val="24"/>
          <w:szCs w:val="24"/>
          <w:lang w:val="sq-AL"/>
        </w:rPr>
      </w:pPr>
    </w:p>
    <w:p w:rsidR="00CD4F15" w:rsidRPr="00CD4F15" w:rsidRDefault="00CD4F15" w:rsidP="00CD4F15">
      <w:pPr>
        <w:spacing w:after="0"/>
        <w:jc w:val="right"/>
        <w:rPr>
          <w:rFonts w:ascii="Times New Roman" w:hAnsi="Times New Roman"/>
          <w:b/>
          <w:sz w:val="24"/>
          <w:szCs w:val="24"/>
          <w:lang w:val="sq-AL"/>
        </w:rPr>
      </w:pPr>
    </w:p>
    <w:p w:rsidR="00D137FB" w:rsidRPr="00CD4F15" w:rsidRDefault="00D137FB" w:rsidP="00CD4F15"/>
    <w:sectPr w:rsidR="00D137FB" w:rsidRPr="00CD4F15" w:rsidSect="00D137FB">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290" w:rsidRDefault="00906290" w:rsidP="00D137FB">
      <w:pPr>
        <w:spacing w:after="0" w:line="240" w:lineRule="auto"/>
      </w:pPr>
      <w:r>
        <w:separator/>
      </w:r>
    </w:p>
  </w:endnote>
  <w:endnote w:type="continuationSeparator" w:id="0">
    <w:p w:rsidR="00906290" w:rsidRDefault="00906290" w:rsidP="00D1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F15" w:rsidRPr="00E60D55" w:rsidRDefault="00D137FB" w:rsidP="00CD4F15">
    <w:pPr>
      <w:pStyle w:val="Footer"/>
      <w:pBdr>
        <w:top w:val="thinThickSmallGap" w:sz="24" w:space="1" w:color="622423"/>
      </w:pBdr>
      <w:jc w:val="both"/>
      <w:rPr>
        <w:rFonts w:ascii="Times New Roman" w:hAnsi="Times New Roman"/>
      </w:rPr>
    </w:pPr>
    <w:proofErr w:type="spellStart"/>
    <w:r w:rsidRPr="003425D0">
      <w:rPr>
        <w:rFonts w:ascii="Times New Roman" w:eastAsia="Times New Roman" w:hAnsi="Times New Roman"/>
      </w:rPr>
      <w:t>Relacion</w:t>
    </w:r>
    <w:proofErr w:type="spellEnd"/>
    <w:r w:rsidRPr="003425D0">
      <w:rPr>
        <w:rFonts w:ascii="Times New Roman" w:eastAsia="Times New Roman" w:hAnsi="Times New Roman"/>
      </w:rPr>
      <w:t xml:space="preserve"> </w:t>
    </w:r>
    <w:proofErr w:type="spellStart"/>
    <w:r w:rsidRPr="003425D0">
      <w:rPr>
        <w:rFonts w:ascii="Times New Roman" w:eastAsia="Times New Roman" w:hAnsi="Times New Roman"/>
      </w:rPr>
      <w:t>shpjegues</w:t>
    </w:r>
    <w:proofErr w:type="spellEnd"/>
    <w:r w:rsidRPr="003425D0">
      <w:rPr>
        <w:rFonts w:ascii="Times New Roman" w:eastAsia="Times New Roman" w:hAnsi="Times New Roman"/>
      </w:rPr>
      <w:t xml:space="preserve"> </w:t>
    </w:r>
    <w:proofErr w:type="spellStart"/>
    <w:r w:rsidRPr="003425D0">
      <w:rPr>
        <w:rFonts w:ascii="Times New Roman" w:eastAsia="Times New Roman" w:hAnsi="Times New Roman"/>
      </w:rPr>
      <w:t>për</w:t>
    </w:r>
    <w:proofErr w:type="spellEnd"/>
    <w:r w:rsidRPr="003425D0">
      <w:rPr>
        <w:rFonts w:ascii="Times New Roman" w:eastAsia="Times New Roman" w:hAnsi="Times New Roman"/>
      </w:rPr>
      <w:t xml:space="preserve"> </w:t>
    </w:r>
    <w:proofErr w:type="spellStart"/>
    <w:r w:rsidR="00CD4F15" w:rsidRPr="00E60D55">
      <w:rPr>
        <w:rFonts w:ascii="Times New Roman" w:hAnsi="Times New Roman"/>
      </w:rPr>
      <w:t>Projekt-</w:t>
    </w:r>
    <w:r w:rsidR="00CD4F15">
      <w:rPr>
        <w:rFonts w:ascii="Times New Roman" w:hAnsi="Times New Roman"/>
      </w:rPr>
      <w:t>ligjin</w:t>
    </w:r>
    <w:proofErr w:type="spellEnd"/>
    <w:r w:rsidR="00CD4F15" w:rsidRPr="00E60D55">
      <w:rPr>
        <w:rFonts w:ascii="Times New Roman" w:hAnsi="Times New Roman"/>
      </w:rPr>
      <w:t xml:space="preserve"> </w:t>
    </w:r>
    <w:r w:rsidR="00CD4F15">
      <w:rPr>
        <w:rFonts w:ascii="Times New Roman" w:hAnsi="Times New Roman"/>
        <w:lang w:val="sq-AL"/>
      </w:rPr>
      <w:t>“P</w:t>
    </w:r>
    <w:r w:rsidR="00CD4F15" w:rsidRPr="007D6355">
      <w:rPr>
        <w:rFonts w:ascii="Times New Roman" w:hAnsi="Times New Roman"/>
        <w:lang w:val="sq-AL"/>
      </w:rPr>
      <w:t>ër disa shtesa dhe ndryshime në ligjin nr.9936 datë 26.06</w:t>
    </w:r>
    <w:r w:rsidR="00CD4F15">
      <w:rPr>
        <w:rFonts w:ascii="Times New Roman" w:hAnsi="Times New Roman"/>
        <w:lang w:val="sq-AL"/>
      </w:rPr>
      <w:t>.2008 “P</w:t>
    </w:r>
    <w:r w:rsidR="00CD4F15" w:rsidRPr="007D6355">
      <w:rPr>
        <w:rFonts w:ascii="Times New Roman" w:hAnsi="Times New Roman"/>
        <w:lang w:val="sq-AL"/>
      </w:rPr>
      <w:t xml:space="preserve">ër menaxhimin e sistemit buxhetor në </w:t>
    </w:r>
    <w:r w:rsidR="00CD4F15">
      <w:rPr>
        <w:rFonts w:ascii="Times New Roman" w:hAnsi="Times New Roman"/>
        <w:lang w:val="sq-AL"/>
      </w:rPr>
      <w:t>R</w:t>
    </w:r>
    <w:r w:rsidR="00CD4F15" w:rsidRPr="007D6355">
      <w:rPr>
        <w:rFonts w:ascii="Times New Roman" w:hAnsi="Times New Roman"/>
        <w:lang w:val="sq-AL"/>
      </w:rPr>
      <w:t xml:space="preserve">epublikën e </w:t>
    </w:r>
    <w:r w:rsidR="00CD4F15">
      <w:rPr>
        <w:rFonts w:ascii="Times New Roman" w:hAnsi="Times New Roman"/>
        <w:lang w:val="sq-AL"/>
      </w:rPr>
      <w:t>S</w:t>
    </w:r>
    <w:r w:rsidR="00CD4F15" w:rsidRPr="007D6355">
      <w:rPr>
        <w:rFonts w:ascii="Times New Roman" w:hAnsi="Times New Roman"/>
        <w:lang w:val="sq-AL"/>
      </w:rPr>
      <w:t>hqipërisë”</w:t>
    </w:r>
  </w:p>
  <w:p w:rsidR="00D137FB" w:rsidRPr="003425D0" w:rsidRDefault="00D137FB" w:rsidP="00D137FB">
    <w:pPr>
      <w:pStyle w:val="Footer"/>
      <w:pBdr>
        <w:top w:val="thinThickSmallGap" w:sz="24" w:space="1" w:color="622423"/>
      </w:pBdr>
      <w:tabs>
        <w:tab w:val="clear" w:pos="4680"/>
      </w:tabs>
      <w:rPr>
        <w:rFonts w:ascii="Times New Roman" w:eastAsia="Times New Roman" w:hAnsi="Times New Roman"/>
      </w:rPr>
    </w:pPr>
    <w:r w:rsidRPr="004B7907">
      <w:rPr>
        <w:rFonts w:ascii="Times New Roman" w:eastAsia="Times New Roman" w:hAnsi="Times New Roman"/>
      </w:rPr>
      <w:tab/>
    </w:r>
  </w:p>
  <w:p w:rsidR="00D137FB" w:rsidRDefault="00D1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290" w:rsidRDefault="00906290" w:rsidP="00D137FB">
      <w:pPr>
        <w:spacing w:after="0" w:line="240" w:lineRule="auto"/>
      </w:pPr>
      <w:r>
        <w:separator/>
      </w:r>
    </w:p>
  </w:footnote>
  <w:footnote w:type="continuationSeparator" w:id="0">
    <w:p w:rsidR="00906290" w:rsidRDefault="00906290" w:rsidP="00D13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E0A9A"/>
    <w:multiLevelType w:val="hybridMultilevel"/>
    <w:tmpl w:val="E244D87A"/>
    <w:lvl w:ilvl="0" w:tplc="04090001">
      <w:start w:val="1"/>
      <w:numFmt w:val="bullet"/>
      <w:lvlText w:val=""/>
      <w:lvlJc w:val="left"/>
      <w:pPr>
        <w:ind w:left="720" w:hanging="360"/>
      </w:pPr>
      <w:rPr>
        <w:rFonts w:ascii="Symbol" w:hAnsi="Symbol" w:hint="default"/>
      </w:rPr>
    </w:lvl>
    <w:lvl w:ilvl="1" w:tplc="041C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1C3D"/>
    <w:multiLevelType w:val="hybridMultilevel"/>
    <w:tmpl w:val="C9AAFBB0"/>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1C000B">
      <w:start w:val="1"/>
      <w:numFmt w:val="bullet"/>
      <w:lvlText w:val=""/>
      <w:lvlJc w:val="left"/>
      <w:pPr>
        <w:ind w:left="2340" w:hanging="360"/>
      </w:pPr>
      <w:rPr>
        <w:rFonts w:ascii="Wingdings" w:hAnsi="Wingding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D50B4"/>
    <w:multiLevelType w:val="hybridMultilevel"/>
    <w:tmpl w:val="B5B2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83971"/>
    <w:multiLevelType w:val="hybridMultilevel"/>
    <w:tmpl w:val="BA140BC2"/>
    <w:lvl w:ilvl="0" w:tplc="041C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48A294D"/>
    <w:multiLevelType w:val="hybridMultilevel"/>
    <w:tmpl w:val="50B48AD6"/>
    <w:lvl w:ilvl="0" w:tplc="041C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9E07A0"/>
    <w:multiLevelType w:val="hybridMultilevel"/>
    <w:tmpl w:val="703E7752"/>
    <w:lvl w:ilvl="0" w:tplc="E878CA36">
      <w:start w:val="1"/>
      <w:numFmt w:val="upperLetter"/>
      <w:lvlText w:val="%1."/>
      <w:lvlJc w:val="left"/>
      <w:pPr>
        <w:ind w:left="720" w:hanging="360"/>
      </w:pPr>
      <w:rPr>
        <w:rFonts w:hint="default"/>
        <w:i/>
      </w:rPr>
    </w:lvl>
    <w:lvl w:ilvl="1" w:tplc="0CEC18CE" w:tentative="1">
      <w:start w:val="1"/>
      <w:numFmt w:val="lowerLetter"/>
      <w:lvlText w:val="%2."/>
      <w:lvlJc w:val="left"/>
      <w:pPr>
        <w:ind w:left="1440" w:hanging="360"/>
      </w:pPr>
    </w:lvl>
    <w:lvl w:ilvl="2" w:tplc="F8706E3A" w:tentative="1">
      <w:start w:val="1"/>
      <w:numFmt w:val="lowerRoman"/>
      <w:lvlText w:val="%3."/>
      <w:lvlJc w:val="right"/>
      <w:pPr>
        <w:ind w:left="2160" w:hanging="180"/>
      </w:pPr>
    </w:lvl>
    <w:lvl w:ilvl="3" w:tplc="2E0611EA" w:tentative="1">
      <w:start w:val="1"/>
      <w:numFmt w:val="decimal"/>
      <w:lvlText w:val="%4."/>
      <w:lvlJc w:val="left"/>
      <w:pPr>
        <w:ind w:left="2880" w:hanging="360"/>
      </w:pPr>
    </w:lvl>
    <w:lvl w:ilvl="4" w:tplc="8F68034E" w:tentative="1">
      <w:start w:val="1"/>
      <w:numFmt w:val="lowerLetter"/>
      <w:lvlText w:val="%5."/>
      <w:lvlJc w:val="left"/>
      <w:pPr>
        <w:ind w:left="3600" w:hanging="360"/>
      </w:pPr>
    </w:lvl>
    <w:lvl w:ilvl="5" w:tplc="32D47358" w:tentative="1">
      <w:start w:val="1"/>
      <w:numFmt w:val="lowerRoman"/>
      <w:lvlText w:val="%6."/>
      <w:lvlJc w:val="right"/>
      <w:pPr>
        <w:ind w:left="4320" w:hanging="180"/>
      </w:pPr>
    </w:lvl>
    <w:lvl w:ilvl="6" w:tplc="988CDA06" w:tentative="1">
      <w:start w:val="1"/>
      <w:numFmt w:val="decimal"/>
      <w:lvlText w:val="%7."/>
      <w:lvlJc w:val="left"/>
      <w:pPr>
        <w:ind w:left="5040" w:hanging="360"/>
      </w:pPr>
    </w:lvl>
    <w:lvl w:ilvl="7" w:tplc="CA2204A6" w:tentative="1">
      <w:start w:val="1"/>
      <w:numFmt w:val="lowerLetter"/>
      <w:lvlText w:val="%8."/>
      <w:lvlJc w:val="left"/>
      <w:pPr>
        <w:ind w:left="5760" w:hanging="360"/>
      </w:pPr>
    </w:lvl>
    <w:lvl w:ilvl="8" w:tplc="B1F0D432" w:tentative="1">
      <w:start w:val="1"/>
      <w:numFmt w:val="lowerRoman"/>
      <w:lvlText w:val="%9."/>
      <w:lvlJc w:val="right"/>
      <w:pPr>
        <w:ind w:left="6480" w:hanging="180"/>
      </w:pPr>
    </w:lvl>
  </w:abstractNum>
  <w:abstractNum w:abstractNumId="7" w15:restartNumberingAfterBreak="0">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64399C"/>
    <w:multiLevelType w:val="hybridMultilevel"/>
    <w:tmpl w:val="574A3526"/>
    <w:lvl w:ilvl="0" w:tplc="EE946D2A">
      <w:start w:val="1"/>
      <w:numFmt w:val="upperRoman"/>
      <w:lvlText w:val="%1."/>
      <w:lvlJc w:val="left"/>
      <w:pPr>
        <w:ind w:left="1080" w:hanging="720"/>
      </w:pPr>
      <w:rPr>
        <w:rFonts w:hint="default"/>
      </w:rPr>
    </w:lvl>
    <w:lvl w:ilvl="1" w:tplc="6AA2269C" w:tentative="1">
      <w:start w:val="1"/>
      <w:numFmt w:val="lowerLetter"/>
      <w:lvlText w:val="%2."/>
      <w:lvlJc w:val="left"/>
      <w:pPr>
        <w:ind w:left="1440" w:hanging="360"/>
      </w:pPr>
    </w:lvl>
    <w:lvl w:ilvl="2" w:tplc="943EB90E" w:tentative="1">
      <w:start w:val="1"/>
      <w:numFmt w:val="lowerRoman"/>
      <w:lvlText w:val="%3."/>
      <w:lvlJc w:val="right"/>
      <w:pPr>
        <w:ind w:left="2160" w:hanging="180"/>
      </w:pPr>
    </w:lvl>
    <w:lvl w:ilvl="3" w:tplc="D8467F00" w:tentative="1">
      <w:start w:val="1"/>
      <w:numFmt w:val="decimal"/>
      <w:lvlText w:val="%4."/>
      <w:lvlJc w:val="left"/>
      <w:pPr>
        <w:ind w:left="2880" w:hanging="360"/>
      </w:pPr>
    </w:lvl>
    <w:lvl w:ilvl="4" w:tplc="9A1E0646" w:tentative="1">
      <w:start w:val="1"/>
      <w:numFmt w:val="lowerLetter"/>
      <w:lvlText w:val="%5."/>
      <w:lvlJc w:val="left"/>
      <w:pPr>
        <w:ind w:left="3600" w:hanging="360"/>
      </w:pPr>
    </w:lvl>
    <w:lvl w:ilvl="5" w:tplc="F3ACCEF6" w:tentative="1">
      <w:start w:val="1"/>
      <w:numFmt w:val="lowerRoman"/>
      <w:lvlText w:val="%6."/>
      <w:lvlJc w:val="right"/>
      <w:pPr>
        <w:ind w:left="4320" w:hanging="180"/>
      </w:pPr>
    </w:lvl>
    <w:lvl w:ilvl="6" w:tplc="339A2990" w:tentative="1">
      <w:start w:val="1"/>
      <w:numFmt w:val="decimal"/>
      <w:lvlText w:val="%7."/>
      <w:lvlJc w:val="left"/>
      <w:pPr>
        <w:ind w:left="5040" w:hanging="360"/>
      </w:pPr>
    </w:lvl>
    <w:lvl w:ilvl="7" w:tplc="07CC644A" w:tentative="1">
      <w:start w:val="1"/>
      <w:numFmt w:val="lowerLetter"/>
      <w:lvlText w:val="%8."/>
      <w:lvlJc w:val="left"/>
      <w:pPr>
        <w:ind w:left="5760" w:hanging="360"/>
      </w:pPr>
    </w:lvl>
    <w:lvl w:ilvl="8" w:tplc="043A6CC8" w:tentative="1">
      <w:start w:val="1"/>
      <w:numFmt w:val="lowerRoman"/>
      <w:lvlText w:val="%9."/>
      <w:lvlJc w:val="right"/>
      <w:pPr>
        <w:ind w:left="6480" w:hanging="180"/>
      </w:pPr>
    </w:lvl>
  </w:abstractNum>
  <w:abstractNum w:abstractNumId="9" w15:restartNumberingAfterBreak="0">
    <w:nsid w:val="551D0CFF"/>
    <w:multiLevelType w:val="hybridMultilevel"/>
    <w:tmpl w:val="6A98CE76"/>
    <w:lvl w:ilvl="0" w:tplc="041C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8B00534"/>
    <w:multiLevelType w:val="hybridMultilevel"/>
    <w:tmpl w:val="8DB49C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C3B673A"/>
    <w:multiLevelType w:val="hybridMultilevel"/>
    <w:tmpl w:val="F908643E"/>
    <w:lvl w:ilvl="0" w:tplc="BD5AD614">
      <w:start w:val="1"/>
      <w:numFmt w:val="upperLetter"/>
      <w:lvlText w:val="%1."/>
      <w:lvlJc w:val="left"/>
      <w:pPr>
        <w:ind w:left="1440" w:hanging="360"/>
      </w:pPr>
      <w:rPr>
        <w:rFonts w:ascii="Cambria" w:hAnsi="Cambria" w:cs="Times New Roman" w:hint="default"/>
      </w:rPr>
    </w:lvl>
    <w:lvl w:ilvl="1" w:tplc="4DBA5F54" w:tentative="1">
      <w:start w:val="1"/>
      <w:numFmt w:val="lowerLetter"/>
      <w:lvlText w:val="%2."/>
      <w:lvlJc w:val="left"/>
      <w:pPr>
        <w:ind w:left="2160" w:hanging="360"/>
      </w:pPr>
    </w:lvl>
    <w:lvl w:ilvl="2" w:tplc="B43ACB94" w:tentative="1">
      <w:start w:val="1"/>
      <w:numFmt w:val="lowerRoman"/>
      <w:lvlText w:val="%3."/>
      <w:lvlJc w:val="right"/>
      <w:pPr>
        <w:ind w:left="2880" w:hanging="180"/>
      </w:pPr>
    </w:lvl>
    <w:lvl w:ilvl="3" w:tplc="94864FC2" w:tentative="1">
      <w:start w:val="1"/>
      <w:numFmt w:val="decimal"/>
      <w:lvlText w:val="%4."/>
      <w:lvlJc w:val="left"/>
      <w:pPr>
        <w:ind w:left="3600" w:hanging="360"/>
      </w:pPr>
    </w:lvl>
    <w:lvl w:ilvl="4" w:tplc="5B309214" w:tentative="1">
      <w:start w:val="1"/>
      <w:numFmt w:val="lowerLetter"/>
      <w:lvlText w:val="%5."/>
      <w:lvlJc w:val="left"/>
      <w:pPr>
        <w:ind w:left="4320" w:hanging="360"/>
      </w:pPr>
    </w:lvl>
    <w:lvl w:ilvl="5" w:tplc="8376B17A" w:tentative="1">
      <w:start w:val="1"/>
      <w:numFmt w:val="lowerRoman"/>
      <w:lvlText w:val="%6."/>
      <w:lvlJc w:val="right"/>
      <w:pPr>
        <w:ind w:left="5040" w:hanging="180"/>
      </w:pPr>
    </w:lvl>
    <w:lvl w:ilvl="6" w:tplc="18D2B562" w:tentative="1">
      <w:start w:val="1"/>
      <w:numFmt w:val="decimal"/>
      <w:lvlText w:val="%7."/>
      <w:lvlJc w:val="left"/>
      <w:pPr>
        <w:ind w:left="5760" w:hanging="360"/>
      </w:pPr>
    </w:lvl>
    <w:lvl w:ilvl="7" w:tplc="1BB6804E" w:tentative="1">
      <w:start w:val="1"/>
      <w:numFmt w:val="lowerLetter"/>
      <w:lvlText w:val="%8."/>
      <w:lvlJc w:val="left"/>
      <w:pPr>
        <w:ind w:left="6480" w:hanging="360"/>
      </w:pPr>
    </w:lvl>
    <w:lvl w:ilvl="8" w:tplc="B7E20D34" w:tentative="1">
      <w:start w:val="1"/>
      <w:numFmt w:val="lowerRoman"/>
      <w:lvlText w:val="%9."/>
      <w:lvlJc w:val="right"/>
      <w:pPr>
        <w:ind w:left="7200" w:hanging="180"/>
      </w:pPr>
    </w:lvl>
  </w:abstractNum>
  <w:abstractNum w:abstractNumId="12" w15:restartNumberingAfterBreak="0">
    <w:nsid w:val="79D109F6"/>
    <w:multiLevelType w:val="hybridMultilevel"/>
    <w:tmpl w:val="1FB0E2CE"/>
    <w:lvl w:ilvl="0" w:tplc="A0FC6A42">
      <w:start w:val="1"/>
      <w:numFmt w:val="decimal"/>
      <w:lvlText w:val="%1."/>
      <w:lvlJc w:val="left"/>
      <w:pPr>
        <w:ind w:left="720" w:hanging="360"/>
      </w:pPr>
      <w:rPr>
        <w:rFonts w:hint="default"/>
      </w:rPr>
    </w:lvl>
    <w:lvl w:ilvl="1" w:tplc="C7D25DD2" w:tentative="1">
      <w:start w:val="1"/>
      <w:numFmt w:val="lowerLetter"/>
      <w:lvlText w:val="%2."/>
      <w:lvlJc w:val="left"/>
      <w:pPr>
        <w:ind w:left="1440" w:hanging="360"/>
      </w:pPr>
    </w:lvl>
    <w:lvl w:ilvl="2" w:tplc="A7C82E7C" w:tentative="1">
      <w:start w:val="1"/>
      <w:numFmt w:val="lowerRoman"/>
      <w:lvlText w:val="%3."/>
      <w:lvlJc w:val="right"/>
      <w:pPr>
        <w:ind w:left="2160" w:hanging="180"/>
      </w:pPr>
    </w:lvl>
    <w:lvl w:ilvl="3" w:tplc="BBFADEAE" w:tentative="1">
      <w:start w:val="1"/>
      <w:numFmt w:val="decimal"/>
      <w:lvlText w:val="%4."/>
      <w:lvlJc w:val="left"/>
      <w:pPr>
        <w:ind w:left="2880" w:hanging="360"/>
      </w:pPr>
    </w:lvl>
    <w:lvl w:ilvl="4" w:tplc="3B5CBCEE" w:tentative="1">
      <w:start w:val="1"/>
      <w:numFmt w:val="lowerLetter"/>
      <w:lvlText w:val="%5."/>
      <w:lvlJc w:val="left"/>
      <w:pPr>
        <w:ind w:left="3600" w:hanging="360"/>
      </w:pPr>
    </w:lvl>
    <w:lvl w:ilvl="5" w:tplc="96DCDC8C" w:tentative="1">
      <w:start w:val="1"/>
      <w:numFmt w:val="lowerRoman"/>
      <w:lvlText w:val="%6."/>
      <w:lvlJc w:val="right"/>
      <w:pPr>
        <w:ind w:left="4320" w:hanging="180"/>
      </w:pPr>
    </w:lvl>
    <w:lvl w:ilvl="6" w:tplc="A3846926" w:tentative="1">
      <w:start w:val="1"/>
      <w:numFmt w:val="decimal"/>
      <w:lvlText w:val="%7."/>
      <w:lvlJc w:val="left"/>
      <w:pPr>
        <w:ind w:left="5040" w:hanging="360"/>
      </w:pPr>
    </w:lvl>
    <w:lvl w:ilvl="7" w:tplc="3328FA32" w:tentative="1">
      <w:start w:val="1"/>
      <w:numFmt w:val="lowerLetter"/>
      <w:lvlText w:val="%8."/>
      <w:lvlJc w:val="left"/>
      <w:pPr>
        <w:ind w:left="5760" w:hanging="360"/>
      </w:pPr>
    </w:lvl>
    <w:lvl w:ilvl="8" w:tplc="EE640852"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6"/>
  </w:num>
  <w:num w:numId="5">
    <w:abstractNumId w:val="12"/>
  </w:num>
  <w:num w:numId="6">
    <w:abstractNumId w:val="0"/>
  </w:num>
  <w:num w:numId="7">
    <w:abstractNumId w:val="2"/>
  </w:num>
  <w:num w:numId="8">
    <w:abstractNumId w:val="5"/>
  </w:num>
  <w:num w:numId="9">
    <w:abstractNumId w:val="9"/>
  </w:num>
  <w:num w:numId="10">
    <w:abstractNumId w:val="1"/>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4E"/>
    <w:rsid w:val="00010D4E"/>
    <w:rsid w:val="00061435"/>
    <w:rsid w:val="004E23BA"/>
    <w:rsid w:val="008C2F68"/>
    <w:rsid w:val="00906290"/>
    <w:rsid w:val="00CD4F15"/>
    <w:rsid w:val="00D137FB"/>
    <w:rsid w:val="00DE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F56F92-595F-42E4-BDFB-448BA23E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5284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14A9C0580F2A304FB28D74C56F664668" ma:contentTypeVersion="" ma:contentTypeDescription="" ma:contentTypeScope="" ma:versionID="a40f30b4b5d3124de64f9772100b312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465CD-C889-4158-A92D-B0E7BE8A06C9}">
  <ds:schemaRefs>
    <ds:schemaRef ds:uri="http://schemas.microsoft.com/office/2006/metadata/longProperties"/>
  </ds:schemaRefs>
</ds:datastoreItem>
</file>

<file path=customXml/itemProps2.xml><?xml version="1.0" encoding="utf-8"?>
<ds:datastoreItem xmlns:ds="http://schemas.openxmlformats.org/officeDocument/2006/customXml" ds:itemID="{73440E31-621B-4ABF-B6C1-B54E10FD522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5177AD3-D0B3-4B9D-B39F-324506C7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31706</CharactersWithSpaces>
  <SharedDoc>false</SharedDoc>
  <HLinks>
    <vt:vector size="6" baseType="variant">
      <vt:variant>
        <vt:i4>7864443</vt:i4>
      </vt:variant>
      <vt:variant>
        <vt:i4>0</vt:i4>
      </vt:variant>
      <vt:variant>
        <vt:i4>0</vt:i4>
      </vt:variant>
      <vt:variant>
        <vt:i4>5</vt:i4>
      </vt:variant>
      <vt:variant>
        <vt:lpwstr>http://ec.europa.eu/43E13CC1-A2BB-4956-AD04-39759EDE2B63/FinalDownload/DownloadId-AB8F8A0D7CEBDF713CCF4FB1751F7EBD/43E13CC1-A2BB-4956-AD04-39759EDE2B63/regional_policy/sources/docgener/studies/pdf/cba_guide.pdf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user</cp:lastModifiedBy>
  <cp:revision>2</cp:revision>
  <cp:lastPrinted>1899-12-31T22:00:00Z</cp:lastPrinted>
  <dcterms:created xsi:type="dcterms:W3CDTF">2016-05-19T12:22:00Z</dcterms:created>
  <dcterms:modified xsi:type="dcterms:W3CDTF">2016-05-19T12:22:00Z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