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551" w:rsidRPr="001256B8" w:rsidRDefault="00907372" w:rsidP="00907372">
      <w:pPr>
        <w:rPr>
          <w:b/>
          <w:color w:val="1F497D" w:themeColor="text2"/>
          <w:lang w:val="sq-AL"/>
        </w:rPr>
      </w:pPr>
      <w:bookmarkStart w:id="0" w:name="_GoBack"/>
      <w:bookmarkEnd w:id="0"/>
      <w:r w:rsidRPr="00930147">
        <w:rPr>
          <w:b/>
          <w:color w:val="1F497D" w:themeColor="text2"/>
          <w:lang w:val="sq-AL"/>
        </w:rPr>
        <w:t>ANEKS 1</w:t>
      </w:r>
    </w:p>
    <w:p w:rsidR="00907372" w:rsidRPr="00930147" w:rsidRDefault="00907372" w:rsidP="00907372">
      <w:pPr>
        <w:jc w:val="center"/>
        <w:rPr>
          <w:rFonts w:ascii="Arial" w:hAnsi="Arial"/>
          <w:sz w:val="20"/>
          <w:lang w:val="sq-AL"/>
        </w:rPr>
      </w:pPr>
    </w:p>
    <w:p w:rsidR="00907372" w:rsidRDefault="00474176" w:rsidP="00907372">
      <w:pPr>
        <w:jc w:val="center"/>
        <w:rPr>
          <w:rFonts w:ascii="Arial" w:hAnsi="Arial"/>
          <w:b/>
          <w:color w:val="1F497D" w:themeColor="text2"/>
          <w:sz w:val="20"/>
          <w:lang w:val="sq-AL"/>
        </w:rPr>
      </w:pPr>
      <w:r w:rsidRPr="00930147">
        <w:rPr>
          <w:rFonts w:ascii="Arial" w:hAnsi="Arial"/>
          <w:b/>
          <w:color w:val="1F497D" w:themeColor="text2"/>
          <w:sz w:val="20"/>
          <w:lang w:val="sq-AL"/>
        </w:rPr>
        <w:t>FORMULA E TRANSFERTËS SË PAKUSHT</w:t>
      </w:r>
      <w:r w:rsidR="00217E5B" w:rsidRPr="00930147">
        <w:rPr>
          <w:rFonts w:ascii="Arial" w:hAnsi="Arial"/>
          <w:b/>
          <w:color w:val="1F497D" w:themeColor="text2"/>
          <w:sz w:val="20"/>
          <w:lang w:val="sq-AL"/>
        </w:rPr>
        <w:t>Ë</w:t>
      </w:r>
      <w:r w:rsidR="004C4D4E" w:rsidRPr="00930147">
        <w:rPr>
          <w:rFonts w:ascii="Arial" w:hAnsi="Arial"/>
          <w:b/>
          <w:color w:val="1F497D" w:themeColor="text2"/>
          <w:sz w:val="20"/>
          <w:lang w:val="sq-AL"/>
        </w:rPr>
        <w:t>ZUAR,</w:t>
      </w:r>
      <w:r w:rsidRPr="00930147">
        <w:rPr>
          <w:rFonts w:ascii="Arial" w:hAnsi="Arial"/>
          <w:b/>
          <w:color w:val="1F497D" w:themeColor="text2"/>
          <w:sz w:val="20"/>
          <w:lang w:val="sq-AL"/>
        </w:rPr>
        <w:t xml:space="preserve"> KRITERET DHE KOEFICIENTËT</w:t>
      </w:r>
      <w:r w:rsidR="00991ADD" w:rsidRPr="00930147">
        <w:rPr>
          <w:rFonts w:ascii="Arial" w:hAnsi="Arial"/>
          <w:b/>
          <w:color w:val="1F497D" w:themeColor="text2"/>
          <w:sz w:val="20"/>
          <w:lang w:val="sq-AL"/>
        </w:rPr>
        <w:t xml:space="preserve">  2016</w:t>
      </w:r>
    </w:p>
    <w:p w:rsidR="00B32AC2" w:rsidRPr="00930147" w:rsidRDefault="00B32AC2" w:rsidP="001256B8">
      <w:pPr>
        <w:rPr>
          <w:rFonts w:ascii="Arial" w:hAnsi="Arial"/>
          <w:b/>
          <w:sz w:val="20"/>
          <w:lang w:val="sq-AL"/>
        </w:rPr>
      </w:pPr>
    </w:p>
    <w:p w:rsidR="00A16153" w:rsidRPr="00A16153" w:rsidRDefault="00A16153" w:rsidP="00A16153">
      <w:pPr>
        <w:pStyle w:val="ListParagraph"/>
        <w:numPr>
          <w:ilvl w:val="0"/>
          <w:numId w:val="27"/>
        </w:numPr>
        <w:rPr>
          <w:rFonts w:asciiTheme="minorHAnsi" w:hAnsiTheme="minorHAnsi"/>
          <w:b/>
          <w:bCs/>
          <w:color w:val="002060"/>
          <w:szCs w:val="20"/>
          <w:lang w:val="sq-AL"/>
        </w:rPr>
      </w:pPr>
      <w:r w:rsidRPr="00A16153">
        <w:rPr>
          <w:rFonts w:asciiTheme="minorHAnsi" w:hAnsiTheme="minorHAnsi"/>
          <w:b/>
          <w:bCs/>
          <w:color w:val="002060"/>
          <w:szCs w:val="20"/>
          <w:lang w:val="sq-AL"/>
        </w:rPr>
        <w:t xml:space="preserve">Transferta e pakushtëzuar </w:t>
      </w:r>
    </w:p>
    <w:p w:rsidR="00A16153" w:rsidRPr="00D119F5" w:rsidRDefault="00A16153" w:rsidP="00A16153">
      <w:pPr>
        <w:jc w:val="center"/>
        <w:rPr>
          <w:rFonts w:ascii="Arial" w:hAnsi="Arial"/>
          <w:b/>
          <w:sz w:val="20"/>
          <w:lang w:val="sq-AL"/>
        </w:rPr>
      </w:pPr>
    </w:p>
    <w:p w:rsidR="00A16153" w:rsidRPr="00A16153" w:rsidRDefault="00A16153" w:rsidP="00A16153">
      <w:pPr>
        <w:jc w:val="both"/>
        <w:rPr>
          <w:sz w:val="22"/>
          <w:lang w:val="sq-AL"/>
        </w:rPr>
      </w:pPr>
      <w:r w:rsidRPr="00A16153">
        <w:rPr>
          <w:sz w:val="22"/>
          <w:lang w:val="sq-AL"/>
        </w:rPr>
        <w:t xml:space="preserve">Si rregull i përgjithshëm, transferta e pakushtëzuar duhet t’u sigurojë NJQV-ve diferencën mes kostos së ushtrimit të funksioneve (nevojat për shpenzime) dhe të ardhurave që ato krijojnë në mënyrë të pavarur (kapaciteti fiskal). Duke qenë se NJQV-të janë të ndryshëm për sa i përket nevojave dhe kapacitetit fiskal, në një sistem efikas dhe të barabartë të ndarjes së transfertes se pakushtëzuar duhet të merren parasysh diferencat tek të dy dimensionet. </w:t>
      </w:r>
    </w:p>
    <w:p w:rsidR="00A16153" w:rsidRPr="00A16153" w:rsidRDefault="00A16153" w:rsidP="00A16153">
      <w:pPr>
        <w:jc w:val="both"/>
        <w:rPr>
          <w:sz w:val="22"/>
          <w:lang w:val="sq-AL"/>
        </w:rPr>
      </w:pPr>
    </w:p>
    <w:p w:rsidR="00A16153" w:rsidRPr="00FE7448" w:rsidRDefault="00A16153" w:rsidP="00A16153">
      <w:pPr>
        <w:jc w:val="both"/>
        <w:rPr>
          <w:sz w:val="22"/>
          <w:lang w:val="sq-AL"/>
        </w:rPr>
      </w:pPr>
      <w:r w:rsidRPr="00A16153">
        <w:rPr>
          <w:sz w:val="22"/>
          <w:lang w:val="sq-AL"/>
        </w:rPr>
        <w:t>Formula e re e ndarjes së transfertës së pakushtëzuar identifikon nevojat për shpenzime të bashkive duke u bazuar tek popullsia relative, dendësia e popullsisë për çdo njësi (që kap diferencat në koston e ushtrimit të funksioneve ndërmjet bashkive) dhe tek numri faktik i nxënësve në shkollat 9-vjeçare dhe të mesme në çdo bashki. Përveç ekualizimit të kostove që bëhet nëpërmjet komponentit të dendësisë, formula e re e ndarjes së transferues se pakushtëzuar sjell edhe ekualizimin e kapacitetit fiskal (të matur nga të ardhurat faktike nga taksat e ndara ndërmjet qeverisë qendrore dhe asaj vendore, të cilat mblidhen dhe u transferohen plotësisht ose pjesërisht bashkive nga administrata tatimore qendrore. Ekualizimi fiskal bazohet në të ardhurat faktike nga tatim fitimi i thjeshtuar i biznesit të vogël, nga taksa vjetore e automjeteve të përdorura dhe taksa e kalimit të pasurisë për pasuritë e paluajtshme të shitura nga personat juridikë.</w:t>
      </w:r>
      <w:r w:rsidRPr="00A91BF8">
        <w:rPr>
          <w:sz w:val="22"/>
          <w:lang w:val="sq-AL"/>
        </w:rPr>
        <w:t xml:space="preserve"> </w:t>
      </w:r>
    </w:p>
    <w:p w:rsidR="00A16153" w:rsidRDefault="00A16153" w:rsidP="00A16153">
      <w:pPr>
        <w:jc w:val="both"/>
        <w:rPr>
          <w:sz w:val="22"/>
          <w:lang w:val="sq-AL"/>
        </w:rPr>
      </w:pPr>
    </w:p>
    <w:p w:rsidR="00B32AC2" w:rsidRPr="00930147" w:rsidRDefault="00B32AC2" w:rsidP="00907372">
      <w:pPr>
        <w:jc w:val="center"/>
        <w:rPr>
          <w:rFonts w:ascii="Arial" w:hAnsi="Arial"/>
          <w:b/>
          <w:sz w:val="20"/>
          <w:lang w:val="sq-AL"/>
        </w:rPr>
      </w:pPr>
    </w:p>
    <w:p w:rsidR="00E64CA0" w:rsidRPr="00930147" w:rsidRDefault="00991ADD" w:rsidP="00F4625C">
      <w:pPr>
        <w:pStyle w:val="ListParagraph"/>
        <w:numPr>
          <w:ilvl w:val="0"/>
          <w:numId w:val="27"/>
        </w:numPr>
        <w:rPr>
          <w:rFonts w:ascii="Arial" w:hAnsi="Arial"/>
          <w:b/>
          <w:color w:val="002060"/>
          <w:sz w:val="28"/>
          <w:lang w:val="sq-AL"/>
        </w:rPr>
      </w:pPr>
      <w:r w:rsidRPr="00930147">
        <w:rPr>
          <w:rFonts w:asciiTheme="minorHAnsi" w:hAnsiTheme="minorHAnsi"/>
          <w:b/>
          <w:bCs/>
          <w:color w:val="002060"/>
          <w:szCs w:val="20"/>
          <w:lang w:val="sq-AL"/>
        </w:rPr>
        <w:t xml:space="preserve">Shuma totale e </w:t>
      </w:r>
      <w:r w:rsidR="004F3F6D" w:rsidRPr="00930147">
        <w:rPr>
          <w:rFonts w:asciiTheme="minorHAnsi" w:hAnsiTheme="minorHAnsi"/>
          <w:b/>
          <w:bCs/>
          <w:color w:val="002060"/>
          <w:szCs w:val="20"/>
          <w:lang w:val="sq-AL"/>
        </w:rPr>
        <w:t>transfert</w:t>
      </w:r>
      <w:r w:rsidR="00CD22DE" w:rsidRPr="00930147">
        <w:rPr>
          <w:rFonts w:asciiTheme="minorHAnsi" w:hAnsiTheme="minorHAnsi"/>
          <w:b/>
          <w:bCs/>
          <w:color w:val="002060"/>
          <w:szCs w:val="20"/>
          <w:lang w:val="sq-AL"/>
        </w:rPr>
        <w:t>ë</w:t>
      </w:r>
      <w:r w:rsidR="004F3F6D" w:rsidRPr="00930147">
        <w:rPr>
          <w:rFonts w:asciiTheme="minorHAnsi" w:hAnsiTheme="minorHAnsi"/>
          <w:b/>
          <w:bCs/>
          <w:color w:val="002060"/>
          <w:szCs w:val="20"/>
          <w:lang w:val="sq-AL"/>
        </w:rPr>
        <w:t>s s</w:t>
      </w:r>
      <w:r w:rsidR="00CD22DE" w:rsidRPr="00930147">
        <w:rPr>
          <w:rFonts w:asciiTheme="minorHAnsi" w:hAnsiTheme="minorHAnsi"/>
          <w:b/>
          <w:bCs/>
          <w:color w:val="002060"/>
          <w:szCs w:val="20"/>
          <w:lang w:val="sq-AL"/>
        </w:rPr>
        <w:t>ë</w:t>
      </w:r>
      <w:r w:rsidR="004F3F6D" w:rsidRPr="00930147">
        <w:rPr>
          <w:rFonts w:asciiTheme="minorHAnsi" w:hAnsiTheme="minorHAnsi"/>
          <w:b/>
          <w:bCs/>
          <w:color w:val="002060"/>
          <w:szCs w:val="20"/>
          <w:lang w:val="sq-AL"/>
        </w:rPr>
        <w:t xml:space="preserve"> pakushtëzuar për vitin 2016</w:t>
      </w:r>
    </w:p>
    <w:p w:rsidR="00E64CA0" w:rsidRPr="00930147" w:rsidRDefault="00E64CA0" w:rsidP="00907372">
      <w:pPr>
        <w:jc w:val="center"/>
        <w:rPr>
          <w:rFonts w:ascii="Arial" w:hAnsi="Arial"/>
          <w:b/>
          <w:sz w:val="20"/>
          <w:lang w:val="sq-AL"/>
        </w:rPr>
      </w:pPr>
    </w:p>
    <w:p w:rsidR="00A93F4C" w:rsidRPr="00930147" w:rsidRDefault="00A16153" w:rsidP="00A93F4C">
      <w:pPr>
        <w:jc w:val="both"/>
        <w:rPr>
          <w:sz w:val="22"/>
          <w:lang w:val="sq-AL"/>
        </w:rPr>
      </w:pPr>
      <w:r>
        <w:rPr>
          <w:sz w:val="22"/>
          <w:lang w:val="sq-AL"/>
        </w:rPr>
        <w:t>Madhësia e transfe</w:t>
      </w:r>
      <w:r w:rsidR="00094E0F">
        <w:rPr>
          <w:sz w:val="22"/>
          <w:lang w:val="sq-AL"/>
        </w:rPr>
        <w:t>rtës</w:t>
      </w:r>
      <w:r>
        <w:rPr>
          <w:sz w:val="22"/>
          <w:lang w:val="sq-AL"/>
        </w:rPr>
        <w:t xml:space="preserve"> së pakushtëzuar për vitin 2016 është </w:t>
      </w:r>
      <w:r w:rsidR="009B467D">
        <w:rPr>
          <w:sz w:val="22"/>
          <w:lang w:val="sq-AL"/>
        </w:rPr>
        <w:t>5</w:t>
      </w:r>
      <w:r>
        <w:rPr>
          <w:sz w:val="22"/>
          <w:lang w:val="sq-AL"/>
        </w:rPr>
        <w:t xml:space="preserve">.6% e të ardhurave publike faktike nga tatimet dhe doganat të vitit 2014. </w:t>
      </w:r>
      <w:r w:rsidR="00A93F4C" w:rsidRPr="00930147">
        <w:rPr>
          <w:sz w:val="22"/>
          <w:lang w:val="sq-AL"/>
        </w:rPr>
        <w:t xml:space="preserve">Transferta e pakushtëzuar për një bashki ose qark është e barabartë me shumën përkatëse që rezulton nga aplikimi i formulës </w:t>
      </w:r>
      <w:r w:rsidR="00A63E56" w:rsidRPr="00930147">
        <w:rPr>
          <w:sz w:val="22"/>
          <w:lang w:val="sq-AL"/>
        </w:rPr>
        <w:t>s</w:t>
      </w:r>
      <w:r w:rsidR="00844006" w:rsidRPr="00930147">
        <w:rPr>
          <w:sz w:val="22"/>
          <w:lang w:val="sq-AL"/>
        </w:rPr>
        <w:t>ë</w:t>
      </w:r>
      <w:r w:rsidR="00A63E56" w:rsidRPr="00930147">
        <w:rPr>
          <w:sz w:val="22"/>
          <w:lang w:val="sq-AL"/>
        </w:rPr>
        <w:t xml:space="preserve"> re </w:t>
      </w:r>
      <w:r w:rsidR="00A93F4C" w:rsidRPr="00930147">
        <w:rPr>
          <w:sz w:val="22"/>
          <w:lang w:val="sq-AL"/>
        </w:rPr>
        <w:t>për shpërndarjen e transfertës së pakushtëzuar p</w:t>
      </w:r>
      <w:r w:rsidR="00D13688" w:rsidRPr="00930147">
        <w:rPr>
          <w:sz w:val="22"/>
          <w:lang w:val="sq-AL"/>
        </w:rPr>
        <w:t>ë</w:t>
      </w:r>
      <w:r w:rsidR="00A93F4C" w:rsidRPr="00930147">
        <w:rPr>
          <w:sz w:val="22"/>
          <w:lang w:val="sq-AL"/>
        </w:rPr>
        <w:t xml:space="preserve">r bashkitë dhe qarqet. </w:t>
      </w:r>
    </w:p>
    <w:p w:rsidR="00E667C1" w:rsidRPr="00930147" w:rsidRDefault="00E667C1" w:rsidP="00A93F4C">
      <w:pPr>
        <w:jc w:val="both"/>
        <w:rPr>
          <w:sz w:val="22"/>
          <w:lang w:val="sq-AL"/>
        </w:rPr>
      </w:pPr>
    </w:p>
    <w:tbl>
      <w:tblPr>
        <w:tblW w:w="9837" w:type="dxa"/>
        <w:tblInd w:w="108" w:type="dxa"/>
        <w:tblLook w:val="04A0" w:firstRow="1" w:lastRow="0" w:firstColumn="1" w:lastColumn="0" w:noHBand="0" w:noVBand="1"/>
      </w:tblPr>
      <w:tblGrid>
        <w:gridCol w:w="7958"/>
        <w:gridCol w:w="1879"/>
      </w:tblGrid>
      <w:tr w:rsidR="00E667C1" w:rsidRPr="00441046" w:rsidTr="00441046">
        <w:trPr>
          <w:trHeight w:val="249"/>
        </w:trPr>
        <w:tc>
          <w:tcPr>
            <w:tcW w:w="7958" w:type="dxa"/>
            <w:tcBorders>
              <w:top w:val="nil"/>
              <w:left w:val="single" w:sz="8" w:space="0" w:color="auto"/>
              <w:bottom w:val="nil"/>
              <w:right w:val="nil"/>
            </w:tcBorders>
            <w:shd w:val="clear" w:color="000000" w:fill="003366"/>
            <w:noWrap/>
            <w:vAlign w:val="center"/>
            <w:hideMark/>
          </w:tcPr>
          <w:p w:rsidR="00E667C1" w:rsidRPr="00441046" w:rsidRDefault="00E667C1" w:rsidP="00E667C1">
            <w:pPr>
              <w:rPr>
                <w:sz w:val="20"/>
                <w:lang w:val="sq-AL"/>
              </w:rPr>
            </w:pPr>
            <w:r w:rsidRPr="00441046">
              <w:rPr>
                <w:rFonts w:ascii="Calibri" w:hAnsi="Calibri" w:cs="Calibri"/>
                <w:b/>
                <w:bCs/>
                <w:sz w:val="20"/>
                <w:lang w:val="sq-AL"/>
              </w:rPr>
              <w:t>Të ardhurat faktike nga tatimet dhe doganat (TATD) në vitin 2014</w:t>
            </w:r>
          </w:p>
        </w:tc>
        <w:tc>
          <w:tcPr>
            <w:tcW w:w="1879" w:type="dxa"/>
            <w:tcBorders>
              <w:top w:val="nil"/>
              <w:left w:val="single" w:sz="8" w:space="0" w:color="auto"/>
              <w:bottom w:val="nil"/>
              <w:right w:val="single" w:sz="8" w:space="0" w:color="auto"/>
            </w:tcBorders>
            <w:shd w:val="clear" w:color="000000" w:fill="003366"/>
            <w:noWrap/>
            <w:vAlign w:val="center"/>
            <w:hideMark/>
          </w:tcPr>
          <w:p w:rsidR="00E667C1" w:rsidRPr="00441046" w:rsidRDefault="00E667C1" w:rsidP="00441046">
            <w:pPr>
              <w:ind w:firstLineChars="100" w:firstLine="201"/>
              <w:jc w:val="right"/>
              <w:rPr>
                <w:rFonts w:ascii="Calibri" w:hAnsi="Calibri"/>
                <w:b/>
                <w:bCs/>
                <w:sz w:val="20"/>
                <w:lang w:val="sq-AL"/>
              </w:rPr>
            </w:pPr>
            <w:r w:rsidRPr="00441046">
              <w:rPr>
                <w:rFonts w:ascii="Calibri" w:hAnsi="Calibri"/>
                <w:b/>
                <w:bCs/>
                <w:sz w:val="20"/>
                <w:lang w:val="sq-AL"/>
              </w:rPr>
              <w:t>253.534.000.000</w:t>
            </w:r>
          </w:p>
        </w:tc>
      </w:tr>
      <w:tr w:rsidR="00E667C1" w:rsidRPr="00441046" w:rsidTr="00441046">
        <w:trPr>
          <w:trHeight w:val="229"/>
        </w:trPr>
        <w:tc>
          <w:tcPr>
            <w:tcW w:w="7958" w:type="dxa"/>
            <w:tcBorders>
              <w:top w:val="nil"/>
              <w:left w:val="single" w:sz="8" w:space="0" w:color="auto"/>
              <w:bottom w:val="nil"/>
              <w:right w:val="nil"/>
            </w:tcBorders>
            <w:shd w:val="clear" w:color="auto" w:fill="auto"/>
            <w:noWrap/>
            <w:vAlign w:val="center"/>
            <w:hideMark/>
          </w:tcPr>
          <w:p w:rsidR="00E667C1" w:rsidRPr="00441046" w:rsidRDefault="00E667C1" w:rsidP="00E667C1">
            <w:pPr>
              <w:rPr>
                <w:sz w:val="20"/>
                <w:lang w:val="sq-AL"/>
              </w:rPr>
            </w:pPr>
            <w:r w:rsidRPr="00441046">
              <w:rPr>
                <w:rFonts w:ascii="Calibri" w:hAnsi="Calibri" w:cs="Calibri"/>
                <w:sz w:val="20"/>
                <w:szCs w:val="20"/>
                <w:lang w:val="sq-AL"/>
              </w:rPr>
              <w:t>Transferta e pakushtëzuar e shpërndarë sipas formulës ne vitin 2014, në lekë</w:t>
            </w:r>
          </w:p>
        </w:tc>
        <w:tc>
          <w:tcPr>
            <w:tcW w:w="1879" w:type="dxa"/>
            <w:tcBorders>
              <w:top w:val="nil"/>
              <w:left w:val="nil"/>
              <w:bottom w:val="nil"/>
              <w:right w:val="single" w:sz="8" w:space="0" w:color="auto"/>
            </w:tcBorders>
            <w:shd w:val="clear" w:color="auto" w:fill="auto"/>
            <w:noWrap/>
            <w:vAlign w:val="center"/>
            <w:hideMark/>
          </w:tcPr>
          <w:p w:rsidR="00E667C1" w:rsidRPr="00441046" w:rsidRDefault="00E667C1" w:rsidP="00441046">
            <w:pPr>
              <w:jc w:val="right"/>
              <w:rPr>
                <w:b/>
                <w:sz w:val="20"/>
                <w:lang w:val="sq-AL"/>
              </w:rPr>
            </w:pPr>
            <w:r w:rsidRPr="00441046">
              <w:rPr>
                <w:rFonts w:ascii="Calibri" w:hAnsi="Calibri" w:cs="Calibri"/>
                <w:b/>
                <w:sz w:val="20"/>
                <w:szCs w:val="20"/>
                <w:lang w:val="sq-AL"/>
              </w:rPr>
              <w:t>12,582,915,000</w:t>
            </w:r>
          </w:p>
        </w:tc>
      </w:tr>
      <w:tr w:rsidR="00E667C1" w:rsidRPr="00441046" w:rsidTr="00441046">
        <w:trPr>
          <w:trHeight w:val="258"/>
        </w:trPr>
        <w:tc>
          <w:tcPr>
            <w:tcW w:w="7958" w:type="dxa"/>
            <w:tcBorders>
              <w:top w:val="nil"/>
              <w:left w:val="single" w:sz="8" w:space="0" w:color="auto"/>
              <w:bottom w:val="single" w:sz="8" w:space="0" w:color="auto"/>
              <w:right w:val="nil"/>
            </w:tcBorders>
            <w:shd w:val="clear" w:color="auto" w:fill="auto"/>
            <w:noWrap/>
            <w:vAlign w:val="center"/>
            <w:hideMark/>
          </w:tcPr>
          <w:p w:rsidR="00E667C1" w:rsidRPr="00441046" w:rsidRDefault="00E667C1" w:rsidP="00E667C1">
            <w:pPr>
              <w:rPr>
                <w:sz w:val="20"/>
                <w:lang w:val="sq-AL"/>
              </w:rPr>
            </w:pPr>
            <w:r w:rsidRPr="00441046">
              <w:rPr>
                <w:rFonts w:ascii="Calibri" w:hAnsi="Calibri" w:cs="Calibri"/>
                <w:sz w:val="20"/>
                <w:szCs w:val="20"/>
                <w:lang w:val="sq-AL"/>
              </w:rPr>
              <w:t>Transferta e pakushtëzuar e shpërndarë sipas formulës ne vitin 2014, në % ndaj TATD në 2014</w:t>
            </w:r>
          </w:p>
        </w:tc>
        <w:tc>
          <w:tcPr>
            <w:tcW w:w="1879" w:type="dxa"/>
            <w:tcBorders>
              <w:top w:val="nil"/>
              <w:left w:val="nil"/>
              <w:bottom w:val="single" w:sz="8" w:space="0" w:color="auto"/>
              <w:right w:val="single" w:sz="8" w:space="0" w:color="auto"/>
            </w:tcBorders>
            <w:shd w:val="clear" w:color="auto" w:fill="auto"/>
            <w:noWrap/>
            <w:vAlign w:val="center"/>
            <w:hideMark/>
          </w:tcPr>
          <w:p w:rsidR="00E667C1" w:rsidRPr="00441046" w:rsidRDefault="00E667C1">
            <w:pPr>
              <w:jc w:val="right"/>
              <w:rPr>
                <w:rFonts w:ascii="Calibri" w:hAnsi="Calibri"/>
                <w:b/>
                <w:sz w:val="20"/>
                <w:lang w:val="sq-AL"/>
              </w:rPr>
            </w:pPr>
            <w:r w:rsidRPr="00441046">
              <w:rPr>
                <w:rFonts w:ascii="Calibri" w:hAnsi="Calibri"/>
                <w:b/>
                <w:sz w:val="20"/>
                <w:lang w:val="sq-AL"/>
              </w:rPr>
              <w:t>4,96%</w:t>
            </w:r>
          </w:p>
        </w:tc>
      </w:tr>
      <w:tr w:rsidR="00E667C1" w:rsidRPr="00441046" w:rsidTr="00441046">
        <w:trPr>
          <w:trHeight w:val="249"/>
        </w:trPr>
        <w:tc>
          <w:tcPr>
            <w:tcW w:w="7958" w:type="dxa"/>
            <w:tcBorders>
              <w:top w:val="single" w:sz="8" w:space="0" w:color="auto"/>
              <w:left w:val="single" w:sz="8" w:space="0" w:color="auto"/>
              <w:bottom w:val="nil"/>
              <w:right w:val="nil"/>
            </w:tcBorders>
            <w:shd w:val="clear" w:color="000000" w:fill="003366"/>
            <w:noWrap/>
            <w:vAlign w:val="center"/>
            <w:hideMark/>
          </w:tcPr>
          <w:p w:rsidR="00E667C1" w:rsidRPr="00441046" w:rsidRDefault="00E667C1" w:rsidP="00E667C1">
            <w:pPr>
              <w:rPr>
                <w:sz w:val="20"/>
                <w:lang w:val="sq-AL"/>
              </w:rPr>
            </w:pPr>
            <w:r w:rsidRPr="00441046">
              <w:rPr>
                <w:rFonts w:ascii="Calibri" w:hAnsi="Calibri" w:cs="Calibri"/>
                <w:b/>
                <w:bCs/>
                <w:sz w:val="20"/>
                <w:szCs w:val="20"/>
                <w:lang w:val="sq-AL"/>
              </w:rPr>
              <w:t>Transferta e pakushtëzuar për tu shpërndarë sipas formulës në vitin 2016, në % ndaj TATD të vitit 2014</w:t>
            </w:r>
          </w:p>
        </w:tc>
        <w:tc>
          <w:tcPr>
            <w:tcW w:w="1879" w:type="dxa"/>
            <w:tcBorders>
              <w:top w:val="nil"/>
              <w:left w:val="single" w:sz="8" w:space="0" w:color="auto"/>
              <w:bottom w:val="nil"/>
              <w:right w:val="single" w:sz="8" w:space="0" w:color="auto"/>
            </w:tcBorders>
            <w:shd w:val="clear" w:color="000000" w:fill="003366"/>
            <w:noWrap/>
            <w:vAlign w:val="center"/>
            <w:hideMark/>
          </w:tcPr>
          <w:p w:rsidR="00E667C1" w:rsidRPr="00441046" w:rsidRDefault="009B467D" w:rsidP="00441046">
            <w:pPr>
              <w:ind w:firstLineChars="100" w:firstLine="201"/>
              <w:jc w:val="right"/>
              <w:rPr>
                <w:rFonts w:ascii="Calibri" w:hAnsi="Calibri"/>
                <w:b/>
                <w:bCs/>
                <w:sz w:val="20"/>
                <w:lang w:val="sq-AL"/>
              </w:rPr>
            </w:pPr>
            <w:r w:rsidRPr="00441046">
              <w:rPr>
                <w:rFonts w:ascii="Calibri" w:hAnsi="Calibri"/>
                <w:b/>
                <w:bCs/>
                <w:sz w:val="20"/>
                <w:lang w:val="sq-AL"/>
              </w:rPr>
              <w:t>5.18</w:t>
            </w:r>
            <w:r w:rsidR="00E667C1" w:rsidRPr="00441046">
              <w:rPr>
                <w:rFonts w:ascii="Calibri" w:hAnsi="Calibri"/>
                <w:b/>
                <w:bCs/>
                <w:sz w:val="20"/>
                <w:lang w:val="sq-AL"/>
              </w:rPr>
              <w:t>%</w:t>
            </w:r>
          </w:p>
        </w:tc>
      </w:tr>
      <w:tr w:rsidR="00E667C1" w:rsidRPr="00441046" w:rsidTr="00441046">
        <w:trPr>
          <w:trHeight w:val="249"/>
        </w:trPr>
        <w:tc>
          <w:tcPr>
            <w:tcW w:w="7958" w:type="dxa"/>
            <w:tcBorders>
              <w:top w:val="nil"/>
              <w:left w:val="single" w:sz="8" w:space="0" w:color="auto"/>
              <w:bottom w:val="nil"/>
              <w:right w:val="nil"/>
            </w:tcBorders>
            <w:shd w:val="clear" w:color="000000" w:fill="003366"/>
            <w:noWrap/>
            <w:vAlign w:val="center"/>
            <w:hideMark/>
          </w:tcPr>
          <w:p w:rsidR="00E667C1" w:rsidRPr="00441046" w:rsidRDefault="00E667C1" w:rsidP="00E667C1">
            <w:pPr>
              <w:rPr>
                <w:sz w:val="20"/>
                <w:lang w:val="sq-AL"/>
              </w:rPr>
            </w:pPr>
            <w:r w:rsidRPr="00441046">
              <w:rPr>
                <w:rFonts w:ascii="Calibri" w:hAnsi="Calibri" w:cs="Calibri"/>
                <w:b/>
                <w:bCs/>
                <w:sz w:val="20"/>
                <w:szCs w:val="20"/>
                <w:lang w:val="sq-AL"/>
              </w:rPr>
              <w:t>Transferta e pakushtëzuar për tu shpërndarë sipas formulës në vitin 2016, në lekë</w:t>
            </w:r>
          </w:p>
        </w:tc>
        <w:tc>
          <w:tcPr>
            <w:tcW w:w="1879" w:type="dxa"/>
            <w:tcBorders>
              <w:top w:val="nil"/>
              <w:left w:val="single" w:sz="8" w:space="0" w:color="auto"/>
              <w:bottom w:val="nil"/>
              <w:right w:val="single" w:sz="8" w:space="0" w:color="auto"/>
            </w:tcBorders>
            <w:shd w:val="clear" w:color="000000" w:fill="003366"/>
            <w:noWrap/>
            <w:vAlign w:val="center"/>
            <w:hideMark/>
          </w:tcPr>
          <w:p w:rsidR="00E667C1" w:rsidRPr="00441046" w:rsidRDefault="009B467D" w:rsidP="00441046">
            <w:pPr>
              <w:ind w:firstLineChars="100" w:firstLine="201"/>
              <w:jc w:val="right"/>
              <w:rPr>
                <w:rFonts w:ascii="Calibri" w:hAnsi="Calibri"/>
                <w:b/>
                <w:bCs/>
                <w:sz w:val="20"/>
                <w:lang w:val="sq-AL"/>
              </w:rPr>
            </w:pPr>
            <w:r w:rsidRPr="00441046">
              <w:rPr>
                <w:rFonts w:ascii="Calibri" w:hAnsi="Calibri"/>
                <w:b/>
                <w:bCs/>
                <w:sz w:val="20"/>
                <w:lang w:val="sq-AL"/>
              </w:rPr>
              <w:t>13.133.248.132</w:t>
            </w:r>
          </w:p>
        </w:tc>
      </w:tr>
      <w:tr w:rsidR="00E667C1" w:rsidRPr="00441046" w:rsidTr="00441046">
        <w:trPr>
          <w:trHeight w:val="229"/>
        </w:trPr>
        <w:tc>
          <w:tcPr>
            <w:tcW w:w="7958" w:type="dxa"/>
            <w:tcBorders>
              <w:top w:val="nil"/>
              <w:left w:val="single" w:sz="8" w:space="0" w:color="auto"/>
              <w:bottom w:val="nil"/>
              <w:right w:val="nil"/>
            </w:tcBorders>
            <w:shd w:val="clear" w:color="auto" w:fill="auto"/>
            <w:noWrap/>
            <w:vAlign w:val="center"/>
            <w:hideMark/>
          </w:tcPr>
          <w:p w:rsidR="00E667C1" w:rsidRPr="00441046" w:rsidRDefault="00E667C1" w:rsidP="00E667C1">
            <w:pPr>
              <w:jc w:val="right"/>
              <w:rPr>
                <w:sz w:val="20"/>
                <w:lang w:val="sq-AL"/>
              </w:rPr>
            </w:pPr>
            <w:r w:rsidRPr="00441046">
              <w:rPr>
                <w:rFonts w:ascii="Calibri" w:hAnsi="Calibri" w:cs="Calibri"/>
                <w:i/>
                <w:iCs/>
                <w:sz w:val="20"/>
                <w:szCs w:val="20"/>
                <w:lang w:val="sq-AL"/>
              </w:rPr>
              <w:t>Fondi rezervë</w:t>
            </w:r>
          </w:p>
        </w:tc>
        <w:tc>
          <w:tcPr>
            <w:tcW w:w="1879" w:type="dxa"/>
            <w:tcBorders>
              <w:top w:val="nil"/>
              <w:left w:val="nil"/>
              <w:bottom w:val="nil"/>
              <w:right w:val="single" w:sz="8" w:space="0" w:color="auto"/>
            </w:tcBorders>
            <w:shd w:val="clear" w:color="auto" w:fill="auto"/>
            <w:noWrap/>
            <w:vAlign w:val="center"/>
            <w:hideMark/>
          </w:tcPr>
          <w:p w:rsidR="00E667C1" w:rsidRPr="00441046" w:rsidRDefault="00E667C1" w:rsidP="00441046">
            <w:pPr>
              <w:ind w:firstLineChars="100" w:firstLine="200"/>
              <w:jc w:val="right"/>
              <w:rPr>
                <w:rFonts w:ascii="Calibri" w:hAnsi="Calibri"/>
                <w:i/>
                <w:iCs/>
                <w:sz w:val="20"/>
                <w:lang w:val="sq-AL"/>
              </w:rPr>
            </w:pPr>
            <w:r w:rsidRPr="00441046">
              <w:rPr>
                <w:rFonts w:ascii="Calibri" w:hAnsi="Calibri"/>
                <w:i/>
                <w:iCs/>
                <w:sz w:val="20"/>
                <w:lang w:val="sq-AL"/>
              </w:rPr>
              <w:t>100.000.000</w:t>
            </w:r>
          </w:p>
        </w:tc>
      </w:tr>
      <w:tr w:rsidR="00E667C1" w:rsidRPr="00441046" w:rsidTr="00441046">
        <w:trPr>
          <w:trHeight w:val="229"/>
        </w:trPr>
        <w:tc>
          <w:tcPr>
            <w:tcW w:w="7958" w:type="dxa"/>
            <w:tcBorders>
              <w:top w:val="nil"/>
              <w:left w:val="single" w:sz="8" w:space="0" w:color="auto"/>
              <w:bottom w:val="nil"/>
              <w:right w:val="nil"/>
            </w:tcBorders>
            <w:shd w:val="clear" w:color="auto" w:fill="auto"/>
            <w:noWrap/>
            <w:vAlign w:val="center"/>
            <w:hideMark/>
          </w:tcPr>
          <w:p w:rsidR="00E667C1" w:rsidRPr="00441046" w:rsidRDefault="00E667C1" w:rsidP="00E667C1">
            <w:pPr>
              <w:jc w:val="right"/>
              <w:rPr>
                <w:sz w:val="20"/>
                <w:lang w:val="sq-AL"/>
              </w:rPr>
            </w:pPr>
            <w:r w:rsidRPr="00441046">
              <w:rPr>
                <w:rFonts w:ascii="Calibri" w:hAnsi="Calibri" w:cs="Calibri"/>
                <w:i/>
                <w:iCs/>
                <w:sz w:val="20"/>
                <w:szCs w:val="20"/>
                <w:lang w:val="sq-AL"/>
              </w:rPr>
              <w:t>Fondet për Konviktet dhe Qendrat e Shërbimeve Sociale</w:t>
            </w:r>
          </w:p>
        </w:tc>
        <w:tc>
          <w:tcPr>
            <w:tcW w:w="1879" w:type="dxa"/>
            <w:tcBorders>
              <w:top w:val="nil"/>
              <w:left w:val="nil"/>
              <w:bottom w:val="nil"/>
              <w:right w:val="single" w:sz="8" w:space="0" w:color="auto"/>
            </w:tcBorders>
            <w:shd w:val="clear" w:color="auto" w:fill="auto"/>
            <w:noWrap/>
            <w:vAlign w:val="center"/>
            <w:hideMark/>
          </w:tcPr>
          <w:p w:rsidR="00E667C1" w:rsidRPr="00441046" w:rsidRDefault="00E667C1" w:rsidP="00441046">
            <w:pPr>
              <w:ind w:firstLineChars="100" w:firstLine="200"/>
              <w:jc w:val="right"/>
              <w:rPr>
                <w:rFonts w:ascii="Calibri" w:hAnsi="Calibri"/>
                <w:i/>
                <w:iCs/>
                <w:sz w:val="20"/>
                <w:lang w:val="sq-AL"/>
              </w:rPr>
            </w:pPr>
            <w:r w:rsidRPr="00441046">
              <w:rPr>
                <w:rFonts w:ascii="Calibri" w:hAnsi="Calibri"/>
                <w:i/>
                <w:iCs/>
                <w:sz w:val="20"/>
                <w:lang w:val="sq-AL"/>
              </w:rPr>
              <w:t>566.039.000</w:t>
            </w:r>
          </w:p>
        </w:tc>
      </w:tr>
      <w:tr w:rsidR="00E667C1" w:rsidRPr="00441046" w:rsidTr="00441046">
        <w:trPr>
          <w:trHeight w:val="229"/>
        </w:trPr>
        <w:tc>
          <w:tcPr>
            <w:tcW w:w="7958" w:type="dxa"/>
            <w:tcBorders>
              <w:top w:val="nil"/>
              <w:left w:val="single" w:sz="8" w:space="0" w:color="auto"/>
              <w:bottom w:val="nil"/>
              <w:right w:val="nil"/>
            </w:tcBorders>
            <w:shd w:val="clear" w:color="auto" w:fill="auto"/>
            <w:noWrap/>
            <w:vAlign w:val="center"/>
            <w:hideMark/>
          </w:tcPr>
          <w:p w:rsidR="00E667C1" w:rsidRPr="00441046" w:rsidRDefault="00E667C1" w:rsidP="00E667C1">
            <w:pPr>
              <w:jc w:val="right"/>
              <w:rPr>
                <w:sz w:val="20"/>
                <w:lang w:val="sq-AL"/>
              </w:rPr>
            </w:pPr>
            <w:r w:rsidRPr="00441046">
              <w:rPr>
                <w:rFonts w:ascii="Calibri" w:hAnsi="Calibri" w:cs="Calibri"/>
                <w:i/>
                <w:iCs/>
                <w:sz w:val="20"/>
                <w:szCs w:val="20"/>
                <w:lang w:val="sq-AL"/>
              </w:rPr>
              <w:t>Fondet për rrugët rurale të transferuara nga Qarqet tek Bashkitë</w:t>
            </w:r>
          </w:p>
        </w:tc>
        <w:tc>
          <w:tcPr>
            <w:tcW w:w="1879" w:type="dxa"/>
            <w:tcBorders>
              <w:top w:val="nil"/>
              <w:left w:val="nil"/>
              <w:bottom w:val="nil"/>
              <w:right w:val="single" w:sz="8" w:space="0" w:color="auto"/>
            </w:tcBorders>
            <w:shd w:val="clear" w:color="auto" w:fill="auto"/>
            <w:noWrap/>
            <w:vAlign w:val="center"/>
            <w:hideMark/>
          </w:tcPr>
          <w:p w:rsidR="00E667C1" w:rsidRPr="00441046" w:rsidRDefault="00E667C1" w:rsidP="00441046">
            <w:pPr>
              <w:ind w:firstLineChars="100" w:firstLine="200"/>
              <w:jc w:val="right"/>
              <w:rPr>
                <w:rFonts w:ascii="Calibri" w:hAnsi="Calibri"/>
                <w:i/>
                <w:iCs/>
                <w:sz w:val="20"/>
                <w:lang w:val="sq-AL"/>
              </w:rPr>
            </w:pPr>
            <w:r w:rsidRPr="00441046">
              <w:rPr>
                <w:rFonts w:ascii="Calibri" w:hAnsi="Calibri"/>
                <w:i/>
                <w:iCs/>
                <w:sz w:val="20"/>
                <w:lang w:val="sq-AL"/>
              </w:rPr>
              <w:t>500.712.868</w:t>
            </w:r>
          </w:p>
        </w:tc>
      </w:tr>
      <w:tr w:rsidR="00E667C1" w:rsidRPr="00441046" w:rsidTr="00441046">
        <w:trPr>
          <w:trHeight w:val="343"/>
        </w:trPr>
        <w:tc>
          <w:tcPr>
            <w:tcW w:w="7958" w:type="dxa"/>
            <w:tcBorders>
              <w:top w:val="nil"/>
              <w:left w:val="single" w:sz="8" w:space="0" w:color="auto"/>
              <w:bottom w:val="single" w:sz="8" w:space="0" w:color="auto"/>
              <w:right w:val="nil"/>
            </w:tcBorders>
            <w:shd w:val="clear" w:color="auto" w:fill="auto"/>
            <w:vAlign w:val="center"/>
            <w:hideMark/>
          </w:tcPr>
          <w:p w:rsidR="00A16153" w:rsidRPr="00441046" w:rsidRDefault="00E667C1" w:rsidP="00A16153">
            <w:pPr>
              <w:rPr>
                <w:rFonts w:ascii="Calibri" w:hAnsi="Calibri" w:cs="Calibri"/>
                <w:sz w:val="20"/>
                <w:szCs w:val="20"/>
                <w:lang w:val="sq-AL"/>
              </w:rPr>
            </w:pPr>
            <w:r w:rsidRPr="00441046">
              <w:rPr>
                <w:rFonts w:ascii="Calibri" w:hAnsi="Calibri" w:cs="Calibri"/>
                <w:sz w:val="20"/>
                <w:szCs w:val="20"/>
                <w:lang w:val="sq-AL"/>
              </w:rPr>
              <w:t>Transferta e Pakushtëzuar për vitin 2016, përfshirë fondin</w:t>
            </w:r>
            <w:r w:rsidR="00A16153" w:rsidRPr="00441046">
              <w:rPr>
                <w:rFonts w:ascii="Calibri" w:hAnsi="Calibri" w:cs="Calibri"/>
                <w:sz w:val="20"/>
                <w:szCs w:val="20"/>
                <w:lang w:val="sq-AL"/>
              </w:rPr>
              <w:t xml:space="preserve"> rezervë, fondet për konviktet dhe </w:t>
            </w:r>
            <w:r w:rsidRPr="00441046">
              <w:rPr>
                <w:rFonts w:ascii="Calibri" w:hAnsi="Calibri" w:cs="Calibri"/>
                <w:sz w:val="20"/>
                <w:szCs w:val="20"/>
                <w:lang w:val="sq-AL"/>
              </w:rPr>
              <w:t xml:space="preserve">qendrat </w:t>
            </w:r>
            <w:r w:rsidR="00A16153" w:rsidRPr="00441046">
              <w:rPr>
                <w:rFonts w:ascii="Calibri" w:hAnsi="Calibri" w:cs="Calibri"/>
                <w:sz w:val="20"/>
                <w:szCs w:val="20"/>
                <w:lang w:val="sq-AL"/>
              </w:rPr>
              <w:t xml:space="preserve"> sociale</w:t>
            </w:r>
          </w:p>
        </w:tc>
        <w:tc>
          <w:tcPr>
            <w:tcW w:w="1879" w:type="dxa"/>
            <w:tcBorders>
              <w:top w:val="nil"/>
              <w:left w:val="nil"/>
              <w:bottom w:val="single" w:sz="8" w:space="0" w:color="auto"/>
              <w:right w:val="single" w:sz="8" w:space="0" w:color="auto"/>
            </w:tcBorders>
            <w:shd w:val="clear" w:color="auto" w:fill="auto"/>
            <w:noWrap/>
            <w:vAlign w:val="center"/>
            <w:hideMark/>
          </w:tcPr>
          <w:p w:rsidR="00E667C1" w:rsidRPr="00441046" w:rsidRDefault="009B467D" w:rsidP="00441046">
            <w:pPr>
              <w:ind w:firstLineChars="100" w:firstLine="201"/>
              <w:jc w:val="right"/>
              <w:rPr>
                <w:rFonts w:ascii="Calibri" w:hAnsi="Calibri"/>
                <w:b/>
                <w:sz w:val="20"/>
                <w:lang w:val="sq-AL"/>
              </w:rPr>
            </w:pPr>
            <w:r w:rsidRPr="00441046">
              <w:rPr>
                <w:rFonts w:ascii="Calibri" w:hAnsi="Calibri"/>
                <w:b/>
                <w:sz w:val="20"/>
                <w:lang w:val="sq-AL"/>
              </w:rPr>
              <w:t>14</w:t>
            </w:r>
            <w:r w:rsidR="00E667C1" w:rsidRPr="00441046">
              <w:rPr>
                <w:rFonts w:ascii="Calibri" w:hAnsi="Calibri"/>
                <w:b/>
                <w:sz w:val="20"/>
                <w:lang w:val="sq-AL"/>
              </w:rPr>
              <w:t>.</w:t>
            </w:r>
            <w:r w:rsidRPr="00441046">
              <w:rPr>
                <w:rFonts w:ascii="Calibri" w:hAnsi="Calibri"/>
                <w:b/>
                <w:sz w:val="20"/>
                <w:lang w:val="sq-AL"/>
              </w:rPr>
              <w:t>3</w:t>
            </w:r>
            <w:r w:rsidR="00E667C1" w:rsidRPr="00441046">
              <w:rPr>
                <w:rFonts w:ascii="Calibri" w:hAnsi="Calibri"/>
                <w:b/>
                <w:sz w:val="20"/>
                <w:lang w:val="sq-AL"/>
              </w:rPr>
              <w:t>00.000.000</w:t>
            </w:r>
          </w:p>
        </w:tc>
      </w:tr>
    </w:tbl>
    <w:p w:rsidR="00F16DAC" w:rsidRPr="00930147" w:rsidRDefault="00F16DAC" w:rsidP="00907372">
      <w:pPr>
        <w:jc w:val="both"/>
        <w:rPr>
          <w:sz w:val="22"/>
          <w:lang w:val="sq-AL"/>
        </w:rPr>
      </w:pPr>
    </w:p>
    <w:p w:rsidR="00903244" w:rsidRPr="00930147" w:rsidRDefault="00866AE1" w:rsidP="00907372">
      <w:pPr>
        <w:jc w:val="both"/>
        <w:rPr>
          <w:sz w:val="22"/>
          <w:lang w:val="sq-AL"/>
        </w:rPr>
      </w:pPr>
      <w:r w:rsidRPr="00930147">
        <w:rPr>
          <w:sz w:val="22"/>
          <w:lang w:val="sq-AL"/>
        </w:rPr>
        <w:t xml:space="preserve">Transferta e </w:t>
      </w:r>
      <w:r w:rsidR="002C618E" w:rsidRPr="00930147">
        <w:rPr>
          <w:sz w:val="22"/>
          <w:lang w:val="sq-AL"/>
        </w:rPr>
        <w:t xml:space="preserve">pakushtëzuar </w:t>
      </w:r>
      <w:r w:rsidR="00202079" w:rsidRPr="00930147">
        <w:rPr>
          <w:sz w:val="22"/>
          <w:lang w:val="sq-AL"/>
        </w:rPr>
        <w:t xml:space="preserve">(TP) </w:t>
      </w:r>
      <w:r w:rsidR="005C76DF" w:rsidRPr="00930147">
        <w:rPr>
          <w:sz w:val="22"/>
          <w:lang w:val="sq-AL"/>
        </w:rPr>
        <w:t>për vitin 2016 e shp</w:t>
      </w:r>
      <w:r w:rsidR="00202079" w:rsidRPr="00930147">
        <w:rPr>
          <w:sz w:val="22"/>
          <w:lang w:val="sq-AL"/>
        </w:rPr>
        <w:t>ë</w:t>
      </w:r>
      <w:r w:rsidR="005C76DF" w:rsidRPr="00930147">
        <w:rPr>
          <w:sz w:val="22"/>
          <w:lang w:val="sq-AL"/>
        </w:rPr>
        <w:t>rndar</w:t>
      </w:r>
      <w:r w:rsidR="00202079" w:rsidRPr="00930147">
        <w:rPr>
          <w:sz w:val="22"/>
          <w:lang w:val="sq-AL"/>
        </w:rPr>
        <w:t>ë</w:t>
      </w:r>
      <w:r w:rsidR="005C76DF" w:rsidRPr="00930147">
        <w:rPr>
          <w:sz w:val="22"/>
          <w:lang w:val="sq-AL"/>
        </w:rPr>
        <w:t xml:space="preserve"> sipas formulës</w:t>
      </w:r>
      <w:r w:rsidR="00001EFF" w:rsidRPr="00930147">
        <w:rPr>
          <w:sz w:val="22"/>
          <w:lang w:val="sq-AL"/>
        </w:rPr>
        <w:t xml:space="preserve"> s</w:t>
      </w:r>
      <w:r w:rsidR="00844006" w:rsidRPr="00930147">
        <w:rPr>
          <w:sz w:val="22"/>
          <w:lang w:val="sq-AL"/>
        </w:rPr>
        <w:t>ë</w:t>
      </w:r>
      <w:r w:rsidR="00001EFF" w:rsidRPr="00930147">
        <w:rPr>
          <w:sz w:val="22"/>
          <w:lang w:val="sq-AL"/>
        </w:rPr>
        <w:t xml:space="preserve"> re,</w:t>
      </w:r>
      <w:r w:rsidR="005C76DF" w:rsidRPr="00930147">
        <w:rPr>
          <w:sz w:val="22"/>
          <w:lang w:val="sq-AL"/>
        </w:rPr>
        <w:t xml:space="preserve"> </w:t>
      </w:r>
      <w:r w:rsidR="00991ADD" w:rsidRPr="00930147">
        <w:rPr>
          <w:sz w:val="22"/>
          <w:lang w:val="sq-AL"/>
        </w:rPr>
        <w:t>është</w:t>
      </w:r>
      <w:r w:rsidR="002C618E" w:rsidRPr="00930147">
        <w:rPr>
          <w:sz w:val="22"/>
          <w:lang w:val="sq-AL"/>
        </w:rPr>
        <w:t xml:space="preserve"> </w:t>
      </w:r>
      <w:r w:rsidR="009B467D">
        <w:rPr>
          <w:b/>
          <w:sz w:val="22"/>
          <w:lang w:val="sq-AL"/>
        </w:rPr>
        <w:t>5.18</w:t>
      </w:r>
      <w:r w:rsidR="002C618E" w:rsidRPr="006C090E">
        <w:rPr>
          <w:b/>
          <w:sz w:val="22"/>
          <w:lang w:val="sq-AL"/>
        </w:rPr>
        <w:t>%</w:t>
      </w:r>
      <w:r w:rsidR="002C618E" w:rsidRPr="00930147">
        <w:rPr>
          <w:sz w:val="22"/>
          <w:lang w:val="sq-AL"/>
        </w:rPr>
        <w:t xml:space="preserve"> </w:t>
      </w:r>
      <w:r w:rsidR="00991ADD" w:rsidRPr="00930147">
        <w:rPr>
          <w:sz w:val="22"/>
          <w:lang w:val="sq-AL"/>
        </w:rPr>
        <w:t>e</w:t>
      </w:r>
      <w:r w:rsidR="002C618E" w:rsidRPr="00930147">
        <w:rPr>
          <w:sz w:val="22"/>
          <w:lang w:val="sq-AL"/>
        </w:rPr>
        <w:t xml:space="preserve"> të ardhurave faktike nga tatimet dhe doganat</w:t>
      </w:r>
      <w:r w:rsidR="00202079" w:rsidRPr="00930147">
        <w:rPr>
          <w:sz w:val="22"/>
          <w:lang w:val="sq-AL"/>
        </w:rPr>
        <w:t xml:space="preserve"> (TATD)</w:t>
      </w:r>
      <w:r w:rsidR="002C618E" w:rsidRPr="00930147">
        <w:rPr>
          <w:sz w:val="22"/>
          <w:lang w:val="sq-AL"/>
        </w:rPr>
        <w:t xml:space="preserve"> </w:t>
      </w:r>
      <w:r w:rsidR="005C76DF" w:rsidRPr="00930147">
        <w:rPr>
          <w:sz w:val="22"/>
          <w:lang w:val="sq-AL"/>
        </w:rPr>
        <w:t>t</w:t>
      </w:r>
      <w:r w:rsidR="002C618E" w:rsidRPr="00930147">
        <w:rPr>
          <w:sz w:val="22"/>
          <w:lang w:val="sq-AL"/>
        </w:rPr>
        <w:t>ë viti</w:t>
      </w:r>
      <w:r w:rsidR="005C76DF" w:rsidRPr="00930147">
        <w:rPr>
          <w:sz w:val="22"/>
          <w:lang w:val="sq-AL"/>
        </w:rPr>
        <w:t>t</w:t>
      </w:r>
      <w:r w:rsidR="002C618E" w:rsidRPr="00930147">
        <w:rPr>
          <w:sz w:val="22"/>
          <w:lang w:val="sq-AL"/>
        </w:rPr>
        <w:t xml:space="preserve"> 2014, sipas treguesve fiskal</w:t>
      </w:r>
      <w:r w:rsidR="0032588B" w:rsidRPr="00930147">
        <w:rPr>
          <w:sz w:val="22"/>
          <w:lang w:val="sq-AL"/>
        </w:rPr>
        <w:t>ë</w:t>
      </w:r>
      <w:r w:rsidR="002C618E" w:rsidRPr="00930147">
        <w:rPr>
          <w:sz w:val="22"/>
          <w:lang w:val="sq-AL"/>
        </w:rPr>
        <w:t xml:space="preserve"> të konsoliduar të </w:t>
      </w:r>
      <w:r w:rsidR="005C76DF" w:rsidRPr="00930147">
        <w:rPr>
          <w:sz w:val="22"/>
          <w:lang w:val="sq-AL"/>
        </w:rPr>
        <w:t>publikuar</w:t>
      </w:r>
      <w:r w:rsidR="002C618E" w:rsidRPr="00930147">
        <w:rPr>
          <w:sz w:val="22"/>
          <w:lang w:val="sq-AL"/>
        </w:rPr>
        <w:t xml:space="preserve"> nga Ministria e Financave. </w:t>
      </w:r>
      <w:r w:rsidR="00704CDC" w:rsidRPr="00930147">
        <w:rPr>
          <w:sz w:val="22"/>
          <w:lang w:val="sq-AL"/>
        </w:rPr>
        <w:t>Gjithsej transferta e pakushtëzuar</w:t>
      </w:r>
      <w:r w:rsidR="0046781D" w:rsidRPr="00930147">
        <w:rPr>
          <w:sz w:val="22"/>
          <w:lang w:val="sq-AL"/>
        </w:rPr>
        <w:t xml:space="preserve"> q</w:t>
      </w:r>
      <w:r w:rsidR="0032588B" w:rsidRPr="00930147">
        <w:rPr>
          <w:sz w:val="22"/>
          <w:lang w:val="sq-AL"/>
        </w:rPr>
        <w:t>ë</w:t>
      </w:r>
      <w:r w:rsidR="0046781D" w:rsidRPr="00930147">
        <w:rPr>
          <w:sz w:val="22"/>
          <w:lang w:val="sq-AL"/>
        </w:rPr>
        <w:t xml:space="preserve"> shpërndahet n</w:t>
      </w:r>
      <w:r w:rsidR="0032588B" w:rsidRPr="00930147">
        <w:rPr>
          <w:sz w:val="22"/>
          <w:lang w:val="sq-AL"/>
        </w:rPr>
        <w:t>ë</w:t>
      </w:r>
      <w:r w:rsidR="0046781D" w:rsidRPr="00930147">
        <w:rPr>
          <w:sz w:val="22"/>
          <w:lang w:val="sq-AL"/>
        </w:rPr>
        <w:t>p</w:t>
      </w:r>
      <w:r w:rsidR="0032588B" w:rsidRPr="00930147">
        <w:rPr>
          <w:sz w:val="22"/>
          <w:lang w:val="sq-AL"/>
        </w:rPr>
        <w:t>ë</w:t>
      </w:r>
      <w:r w:rsidR="0046781D" w:rsidRPr="00930147">
        <w:rPr>
          <w:sz w:val="22"/>
          <w:lang w:val="sq-AL"/>
        </w:rPr>
        <w:t xml:space="preserve">rmjet formulës </w:t>
      </w:r>
      <w:r w:rsidR="0032588B" w:rsidRPr="00930147">
        <w:rPr>
          <w:sz w:val="22"/>
          <w:lang w:val="sq-AL"/>
        </w:rPr>
        <w:t>ë</w:t>
      </w:r>
      <w:r w:rsidR="0046781D" w:rsidRPr="00930147">
        <w:rPr>
          <w:sz w:val="22"/>
          <w:lang w:val="sq-AL"/>
        </w:rPr>
        <w:t>sht</w:t>
      </w:r>
      <w:r w:rsidR="0032588B" w:rsidRPr="00930147">
        <w:rPr>
          <w:sz w:val="22"/>
          <w:lang w:val="sq-AL"/>
        </w:rPr>
        <w:t>ë</w:t>
      </w:r>
      <w:r w:rsidR="0046781D" w:rsidRPr="00930147">
        <w:rPr>
          <w:sz w:val="22"/>
          <w:lang w:val="sq-AL"/>
        </w:rPr>
        <w:t xml:space="preserve"> </w:t>
      </w:r>
      <w:r w:rsidR="009B467D" w:rsidRPr="009B467D">
        <w:rPr>
          <w:b/>
          <w:sz w:val="22"/>
          <w:lang w:val="sq-AL"/>
        </w:rPr>
        <w:t>13.133.248.132</w:t>
      </w:r>
      <w:r w:rsidR="009B467D">
        <w:rPr>
          <w:b/>
          <w:sz w:val="22"/>
          <w:lang w:val="sq-AL"/>
        </w:rPr>
        <w:t xml:space="preserve"> </w:t>
      </w:r>
      <w:r w:rsidR="0046781D" w:rsidRPr="00930147">
        <w:rPr>
          <w:sz w:val="22"/>
          <w:lang w:val="sq-AL"/>
        </w:rPr>
        <w:t>lek</w:t>
      </w:r>
      <w:r w:rsidR="0032588B" w:rsidRPr="00930147">
        <w:rPr>
          <w:sz w:val="22"/>
          <w:lang w:val="sq-AL"/>
        </w:rPr>
        <w:t>ë</w:t>
      </w:r>
      <w:r w:rsidR="006B5605" w:rsidRPr="00930147">
        <w:rPr>
          <w:sz w:val="22"/>
          <w:lang w:val="sq-AL"/>
        </w:rPr>
        <w:t>. Kjo shum</w:t>
      </w:r>
      <w:r w:rsidR="00202079" w:rsidRPr="00930147">
        <w:rPr>
          <w:sz w:val="22"/>
          <w:lang w:val="sq-AL"/>
        </w:rPr>
        <w:t>ë</w:t>
      </w:r>
      <w:r w:rsidR="006B5605" w:rsidRPr="00930147">
        <w:rPr>
          <w:sz w:val="22"/>
          <w:lang w:val="sq-AL"/>
        </w:rPr>
        <w:t xml:space="preserve"> nuk përfshin fondet e transferuara p</w:t>
      </w:r>
      <w:r w:rsidR="00202079" w:rsidRPr="00930147">
        <w:rPr>
          <w:sz w:val="22"/>
          <w:lang w:val="sq-AL"/>
        </w:rPr>
        <w:t>ë</w:t>
      </w:r>
      <w:r w:rsidR="006B5605" w:rsidRPr="00930147">
        <w:rPr>
          <w:sz w:val="22"/>
          <w:lang w:val="sq-AL"/>
        </w:rPr>
        <w:t xml:space="preserve">r </w:t>
      </w:r>
      <w:r w:rsidR="00991ADD" w:rsidRPr="00930147">
        <w:rPr>
          <w:sz w:val="22"/>
          <w:lang w:val="sq-AL"/>
        </w:rPr>
        <w:t>konviktet, shërbimet sociale,</w:t>
      </w:r>
      <w:r w:rsidR="006B5605" w:rsidRPr="00930147">
        <w:rPr>
          <w:sz w:val="22"/>
          <w:lang w:val="sq-AL"/>
        </w:rPr>
        <w:t xml:space="preserve"> bashkitë të regjistruara në Listën e Trashëgimisë Botërore të</w:t>
      </w:r>
      <w:r w:rsidR="00081FBE" w:rsidRPr="00930147">
        <w:rPr>
          <w:sz w:val="22"/>
          <w:lang w:val="sq-AL"/>
        </w:rPr>
        <w:t xml:space="preserve"> </w:t>
      </w:r>
      <w:r w:rsidR="006B5605" w:rsidRPr="00930147">
        <w:rPr>
          <w:sz w:val="22"/>
          <w:lang w:val="sq-AL"/>
        </w:rPr>
        <w:t>UNESCO-s</w:t>
      </w:r>
      <w:r w:rsidR="00CD22DE" w:rsidRPr="00930147">
        <w:rPr>
          <w:sz w:val="22"/>
          <w:lang w:val="sq-AL"/>
        </w:rPr>
        <w:t>,</w:t>
      </w:r>
      <w:r w:rsidR="007A5036" w:rsidRPr="00930147">
        <w:rPr>
          <w:sz w:val="22"/>
          <w:lang w:val="sq-AL"/>
        </w:rPr>
        <w:t xml:space="preserve"> </w:t>
      </w:r>
      <w:r w:rsidR="00991ADD" w:rsidRPr="00930147">
        <w:rPr>
          <w:sz w:val="22"/>
          <w:lang w:val="sq-AL"/>
        </w:rPr>
        <w:t xml:space="preserve">dhe fondet e rrugëve rurale rajonale, </w:t>
      </w:r>
      <w:r w:rsidR="007A5036" w:rsidRPr="00930147">
        <w:rPr>
          <w:sz w:val="22"/>
          <w:lang w:val="sq-AL"/>
        </w:rPr>
        <w:t>të cilat</w:t>
      </w:r>
      <w:r w:rsidR="00081FBE" w:rsidRPr="00930147">
        <w:rPr>
          <w:sz w:val="22"/>
          <w:lang w:val="sq-AL"/>
        </w:rPr>
        <w:t xml:space="preserve"> </w:t>
      </w:r>
      <w:r w:rsidR="006B5605" w:rsidRPr="00930147">
        <w:rPr>
          <w:sz w:val="22"/>
          <w:lang w:val="sq-AL"/>
        </w:rPr>
        <w:t xml:space="preserve">vitet e fundit </w:t>
      </w:r>
      <w:r w:rsidR="00081FBE" w:rsidRPr="00930147">
        <w:rPr>
          <w:sz w:val="22"/>
          <w:lang w:val="sq-AL"/>
        </w:rPr>
        <w:t>kan</w:t>
      </w:r>
      <w:r w:rsidR="00202079" w:rsidRPr="00930147">
        <w:rPr>
          <w:sz w:val="22"/>
          <w:lang w:val="sq-AL"/>
        </w:rPr>
        <w:t>ë</w:t>
      </w:r>
      <w:r w:rsidR="00081FBE" w:rsidRPr="00930147">
        <w:rPr>
          <w:sz w:val="22"/>
          <w:lang w:val="sq-AL"/>
        </w:rPr>
        <w:t xml:space="preserve"> q</w:t>
      </w:r>
      <w:r w:rsidR="00202079" w:rsidRPr="00930147">
        <w:rPr>
          <w:sz w:val="22"/>
          <w:lang w:val="sq-AL"/>
        </w:rPr>
        <w:t>e</w:t>
      </w:r>
      <w:r w:rsidR="00081FBE" w:rsidRPr="00930147">
        <w:rPr>
          <w:sz w:val="22"/>
          <w:lang w:val="sq-AL"/>
        </w:rPr>
        <w:t>n</w:t>
      </w:r>
      <w:r w:rsidR="00202079" w:rsidRPr="00930147">
        <w:rPr>
          <w:sz w:val="22"/>
          <w:lang w:val="sq-AL"/>
        </w:rPr>
        <w:t>ë</w:t>
      </w:r>
      <w:r w:rsidR="006B5605" w:rsidRPr="00930147">
        <w:rPr>
          <w:sz w:val="22"/>
          <w:lang w:val="sq-AL"/>
        </w:rPr>
        <w:t xml:space="preserve"> përfshirë në transfertën e pakushtëzuar</w:t>
      </w:r>
      <w:r w:rsidR="00081FBE" w:rsidRPr="00930147">
        <w:rPr>
          <w:sz w:val="22"/>
          <w:lang w:val="sq-AL"/>
        </w:rPr>
        <w:t>, pasi k</w:t>
      </w:r>
      <w:r w:rsidR="00202079" w:rsidRPr="00930147">
        <w:rPr>
          <w:sz w:val="22"/>
          <w:lang w:val="sq-AL"/>
        </w:rPr>
        <w:t>ë</w:t>
      </w:r>
      <w:r w:rsidR="00081FBE" w:rsidRPr="00930147">
        <w:rPr>
          <w:sz w:val="22"/>
          <w:lang w:val="sq-AL"/>
        </w:rPr>
        <w:t>to fonde</w:t>
      </w:r>
      <w:r w:rsidR="006B5605" w:rsidRPr="00930147">
        <w:rPr>
          <w:sz w:val="22"/>
          <w:lang w:val="sq-AL"/>
        </w:rPr>
        <w:t xml:space="preserve"> do të alokohen vetëm tek bashkitë përfituese si transfertë specifike, sikurse paraqitur në </w:t>
      </w:r>
      <w:r w:rsidR="006B5605" w:rsidRPr="006C090E">
        <w:rPr>
          <w:b/>
          <w:sz w:val="22"/>
          <w:lang w:val="sq-AL"/>
        </w:rPr>
        <w:t>tabelën nr. 3</w:t>
      </w:r>
      <w:r w:rsidR="006B5605" w:rsidRPr="00930147">
        <w:rPr>
          <w:sz w:val="22"/>
          <w:lang w:val="sq-AL"/>
        </w:rPr>
        <w:t xml:space="preserve"> </w:t>
      </w:r>
      <w:r w:rsidR="006C090E">
        <w:rPr>
          <w:sz w:val="22"/>
          <w:lang w:val="sq-AL"/>
        </w:rPr>
        <w:t xml:space="preserve"> </w:t>
      </w:r>
      <w:r w:rsidR="00FD10CB" w:rsidRPr="00930147">
        <w:rPr>
          <w:sz w:val="22"/>
          <w:lang w:val="sq-AL"/>
        </w:rPr>
        <w:t>pjes</w:t>
      </w:r>
      <w:r w:rsidR="00202079" w:rsidRPr="00930147">
        <w:rPr>
          <w:sz w:val="22"/>
          <w:lang w:val="sq-AL"/>
        </w:rPr>
        <w:t>ë</w:t>
      </w:r>
      <w:r w:rsidR="00FD10CB" w:rsidRPr="00930147">
        <w:rPr>
          <w:sz w:val="22"/>
          <w:lang w:val="sq-AL"/>
        </w:rPr>
        <w:t xml:space="preserve"> p</w:t>
      </w:r>
      <w:r w:rsidR="00202079" w:rsidRPr="00930147">
        <w:rPr>
          <w:sz w:val="22"/>
          <w:lang w:val="sq-AL"/>
        </w:rPr>
        <w:t>ë</w:t>
      </w:r>
      <w:r w:rsidR="00FD10CB" w:rsidRPr="00930147">
        <w:rPr>
          <w:sz w:val="22"/>
          <w:lang w:val="sq-AL"/>
        </w:rPr>
        <w:t>rb</w:t>
      </w:r>
      <w:r w:rsidR="00202079" w:rsidRPr="00930147">
        <w:rPr>
          <w:sz w:val="22"/>
          <w:lang w:val="sq-AL"/>
        </w:rPr>
        <w:t>ë</w:t>
      </w:r>
      <w:r w:rsidR="00FD10CB" w:rsidRPr="00930147">
        <w:rPr>
          <w:sz w:val="22"/>
          <w:lang w:val="sq-AL"/>
        </w:rPr>
        <w:t>r</w:t>
      </w:r>
      <w:r w:rsidR="00202079" w:rsidRPr="00930147">
        <w:rPr>
          <w:sz w:val="22"/>
          <w:lang w:val="sq-AL"/>
        </w:rPr>
        <w:t>ë</w:t>
      </w:r>
      <w:r w:rsidR="00FD10CB" w:rsidRPr="00930147">
        <w:rPr>
          <w:sz w:val="22"/>
          <w:lang w:val="sq-AL"/>
        </w:rPr>
        <w:t xml:space="preserve">se e </w:t>
      </w:r>
      <w:r w:rsidR="006B5605" w:rsidRPr="00930147">
        <w:rPr>
          <w:sz w:val="22"/>
          <w:lang w:val="sq-AL"/>
        </w:rPr>
        <w:t xml:space="preserve">ligjit vjetor të buxhetit të </w:t>
      </w:r>
      <w:r w:rsidR="00991ADD" w:rsidRPr="00930147">
        <w:rPr>
          <w:sz w:val="22"/>
          <w:lang w:val="sq-AL"/>
        </w:rPr>
        <w:t>vitit 2016</w:t>
      </w:r>
      <w:r w:rsidR="006B5605" w:rsidRPr="00930147">
        <w:rPr>
          <w:sz w:val="22"/>
          <w:lang w:val="sq-AL"/>
        </w:rPr>
        <w:t>.</w:t>
      </w:r>
      <w:r w:rsidR="00CD22DE" w:rsidRPr="00930147">
        <w:rPr>
          <w:sz w:val="22"/>
          <w:lang w:val="sq-AL"/>
        </w:rPr>
        <w:t xml:space="preserve"> </w:t>
      </w:r>
    </w:p>
    <w:p w:rsidR="00F4625C" w:rsidRPr="00930147" w:rsidRDefault="00F4625C" w:rsidP="00907372">
      <w:pPr>
        <w:jc w:val="both"/>
        <w:rPr>
          <w:sz w:val="22"/>
          <w:lang w:val="sq-AL"/>
        </w:rPr>
      </w:pPr>
    </w:p>
    <w:p w:rsidR="00F4625C" w:rsidRPr="00930147" w:rsidRDefault="00F4625C" w:rsidP="004F3F6D">
      <w:pPr>
        <w:pStyle w:val="ListParagraph"/>
        <w:numPr>
          <w:ilvl w:val="0"/>
          <w:numId w:val="27"/>
        </w:numPr>
        <w:rPr>
          <w:rFonts w:asciiTheme="minorHAnsi" w:hAnsiTheme="minorHAnsi"/>
          <w:b/>
          <w:bCs/>
          <w:color w:val="002060"/>
          <w:szCs w:val="20"/>
          <w:lang w:val="sq-AL"/>
        </w:rPr>
      </w:pPr>
      <w:r w:rsidRPr="00930147">
        <w:rPr>
          <w:rFonts w:asciiTheme="minorHAnsi" w:hAnsiTheme="minorHAnsi"/>
          <w:b/>
          <w:bCs/>
          <w:color w:val="002060"/>
          <w:szCs w:val="20"/>
          <w:lang w:val="sq-AL"/>
        </w:rPr>
        <w:t>Ndarja e Transfertës së Pakushtëzuar ndërmjet dy niveleve të Qeverisjes Vendore</w:t>
      </w:r>
    </w:p>
    <w:p w:rsidR="00A16153" w:rsidRDefault="00A16153" w:rsidP="00907372">
      <w:pPr>
        <w:jc w:val="both"/>
        <w:rPr>
          <w:rFonts w:ascii="Arial" w:hAnsi="Arial"/>
          <w:lang w:val="sq-AL"/>
        </w:rPr>
      </w:pPr>
    </w:p>
    <w:p w:rsidR="00A16153" w:rsidRPr="00A16153" w:rsidRDefault="00A16153" w:rsidP="00907372">
      <w:pPr>
        <w:jc w:val="both"/>
        <w:rPr>
          <w:sz w:val="22"/>
          <w:lang w:val="sq-AL"/>
        </w:rPr>
      </w:pPr>
      <w:r w:rsidRPr="00930147">
        <w:rPr>
          <w:sz w:val="22"/>
          <w:lang w:val="sq-AL"/>
        </w:rPr>
        <w:t>Për vitin 2016, për financimin e funksioneve të veta Bashkitë marrin 96.</w:t>
      </w:r>
      <w:r w:rsidR="009B467D">
        <w:rPr>
          <w:sz w:val="22"/>
          <w:lang w:val="sq-AL"/>
        </w:rPr>
        <w:t>6</w:t>
      </w:r>
      <w:r w:rsidRPr="00930147">
        <w:rPr>
          <w:sz w:val="22"/>
          <w:lang w:val="sq-AL"/>
        </w:rPr>
        <w:t xml:space="preserve">% të totalit të transfertës së pakushtëzuar, ose </w:t>
      </w:r>
      <w:r w:rsidR="009B467D">
        <w:rPr>
          <w:sz w:val="22"/>
          <w:lang w:val="sq-AL"/>
        </w:rPr>
        <w:t>12.693.248.132</w:t>
      </w:r>
      <w:r w:rsidRPr="00930147">
        <w:rPr>
          <w:sz w:val="22"/>
          <w:lang w:val="sq-AL"/>
        </w:rPr>
        <w:t xml:space="preserve"> Lekë. Funksionet e reja të transferuara te bashkitë financohen nëpërmjet transfertave specifike, për një periudhë tranzitore deri në tre vjet. Fondet e nevojshme për ushtrimin e funksioneve të reja paraqiten në tabelën nr. 3, pjesë përbërëse e ligjit vjetor të buxhetit të vitit 2016. </w:t>
      </w:r>
    </w:p>
    <w:p w:rsidR="00E667C1" w:rsidRPr="00930147" w:rsidRDefault="00E667C1" w:rsidP="00907372">
      <w:pPr>
        <w:jc w:val="both"/>
        <w:rPr>
          <w:rFonts w:ascii="Arial" w:hAnsi="Arial"/>
          <w:lang w:val="sq-AL"/>
        </w:rPr>
      </w:pPr>
    </w:p>
    <w:tbl>
      <w:tblPr>
        <w:tblW w:w="5000" w:type="pct"/>
        <w:tblLook w:val="04A0" w:firstRow="1" w:lastRow="0" w:firstColumn="1" w:lastColumn="0" w:noHBand="0" w:noVBand="1"/>
      </w:tblPr>
      <w:tblGrid>
        <w:gridCol w:w="6434"/>
        <w:gridCol w:w="1942"/>
        <w:gridCol w:w="2330"/>
      </w:tblGrid>
      <w:tr w:rsidR="00E667C1" w:rsidRPr="00441046" w:rsidTr="00441046">
        <w:trPr>
          <w:trHeight w:val="418"/>
        </w:trPr>
        <w:tc>
          <w:tcPr>
            <w:tcW w:w="3005" w:type="pct"/>
            <w:tcBorders>
              <w:top w:val="single" w:sz="8" w:space="0" w:color="auto"/>
              <w:left w:val="single" w:sz="8" w:space="0" w:color="auto"/>
              <w:bottom w:val="nil"/>
              <w:right w:val="single" w:sz="8" w:space="0" w:color="000000"/>
            </w:tcBorders>
            <w:shd w:val="clear" w:color="000000" w:fill="003366"/>
            <w:noWrap/>
            <w:vAlign w:val="center"/>
            <w:hideMark/>
          </w:tcPr>
          <w:p w:rsidR="00E667C1" w:rsidRPr="00441046" w:rsidRDefault="00E667C1" w:rsidP="00E667C1">
            <w:pPr>
              <w:rPr>
                <w:sz w:val="18"/>
                <w:szCs w:val="22"/>
                <w:lang w:val="sq-AL"/>
              </w:rPr>
            </w:pPr>
            <w:r w:rsidRPr="00441046">
              <w:rPr>
                <w:rFonts w:ascii="Calibri" w:hAnsi="Calibri" w:cs="Calibri"/>
                <w:b/>
                <w:bCs/>
                <w:color w:val="FFFFFF"/>
                <w:sz w:val="18"/>
                <w:szCs w:val="22"/>
                <w:lang w:val="sq-AL"/>
              </w:rPr>
              <w:t>Ndarja e Transfertës së Pakushtëzuar ndërmjet dy niveleve të Qeverisjes</w:t>
            </w:r>
          </w:p>
        </w:tc>
        <w:tc>
          <w:tcPr>
            <w:tcW w:w="907" w:type="pct"/>
            <w:tcBorders>
              <w:top w:val="single" w:sz="8" w:space="0" w:color="auto"/>
              <w:left w:val="nil"/>
              <w:bottom w:val="nil"/>
              <w:right w:val="single" w:sz="8" w:space="0" w:color="auto"/>
            </w:tcBorders>
            <w:shd w:val="clear" w:color="000000" w:fill="003366"/>
            <w:vAlign w:val="center"/>
            <w:hideMark/>
          </w:tcPr>
          <w:p w:rsidR="00E667C1" w:rsidRPr="00441046" w:rsidRDefault="00E667C1">
            <w:pPr>
              <w:jc w:val="center"/>
              <w:rPr>
                <w:rFonts w:ascii="Calibri" w:hAnsi="Calibri"/>
                <w:b/>
                <w:bCs/>
                <w:color w:val="FFFFFF"/>
                <w:sz w:val="18"/>
                <w:lang w:val="sq-AL"/>
              </w:rPr>
            </w:pPr>
            <w:r w:rsidRPr="00441046">
              <w:rPr>
                <w:rFonts w:ascii="Calibri" w:hAnsi="Calibri"/>
                <w:b/>
                <w:bCs/>
                <w:color w:val="FFFFFF"/>
                <w:sz w:val="18"/>
                <w:lang w:val="sq-AL"/>
              </w:rPr>
              <w:t>N</w:t>
            </w:r>
            <w:r w:rsidR="00886A90" w:rsidRPr="00441046">
              <w:rPr>
                <w:rFonts w:ascii="Calibri" w:hAnsi="Calibri"/>
                <w:b/>
                <w:bCs/>
                <w:color w:val="FFFFFF"/>
                <w:sz w:val="18"/>
                <w:lang w:val="sq-AL"/>
              </w:rPr>
              <w:t>ë</w:t>
            </w:r>
            <w:r w:rsidRPr="00441046">
              <w:rPr>
                <w:rFonts w:ascii="Calibri" w:hAnsi="Calibri"/>
                <w:b/>
                <w:bCs/>
                <w:color w:val="FFFFFF"/>
                <w:sz w:val="18"/>
                <w:lang w:val="sq-AL"/>
              </w:rPr>
              <w:t xml:space="preserve"> p</w:t>
            </w:r>
            <w:r w:rsidR="00886A90" w:rsidRPr="00441046">
              <w:rPr>
                <w:rFonts w:ascii="Calibri" w:hAnsi="Calibri"/>
                <w:b/>
                <w:bCs/>
                <w:color w:val="FFFFFF"/>
                <w:sz w:val="18"/>
                <w:lang w:val="sq-AL"/>
              </w:rPr>
              <w:t>ë</w:t>
            </w:r>
            <w:r w:rsidRPr="00441046">
              <w:rPr>
                <w:rFonts w:ascii="Calibri" w:hAnsi="Calibri"/>
                <w:b/>
                <w:bCs/>
                <w:color w:val="FFFFFF"/>
                <w:sz w:val="18"/>
                <w:lang w:val="sq-AL"/>
              </w:rPr>
              <w:t>rqindje</w:t>
            </w:r>
          </w:p>
        </w:tc>
        <w:tc>
          <w:tcPr>
            <w:tcW w:w="1088" w:type="pct"/>
            <w:tcBorders>
              <w:top w:val="single" w:sz="8" w:space="0" w:color="auto"/>
              <w:left w:val="nil"/>
              <w:bottom w:val="nil"/>
              <w:right w:val="single" w:sz="8" w:space="0" w:color="auto"/>
            </w:tcBorders>
            <w:shd w:val="clear" w:color="000000" w:fill="003366"/>
            <w:noWrap/>
            <w:vAlign w:val="center"/>
            <w:hideMark/>
          </w:tcPr>
          <w:p w:rsidR="00E667C1" w:rsidRPr="00441046" w:rsidRDefault="00E667C1">
            <w:pPr>
              <w:jc w:val="center"/>
              <w:rPr>
                <w:rFonts w:ascii="Calibri" w:hAnsi="Calibri"/>
                <w:b/>
                <w:bCs/>
                <w:color w:val="FFFFFF"/>
                <w:sz w:val="18"/>
                <w:lang w:val="sq-AL"/>
              </w:rPr>
            </w:pPr>
            <w:r w:rsidRPr="00441046">
              <w:rPr>
                <w:rFonts w:ascii="Calibri" w:hAnsi="Calibri"/>
                <w:b/>
                <w:bCs/>
                <w:color w:val="FFFFFF"/>
                <w:sz w:val="18"/>
                <w:lang w:val="sq-AL"/>
              </w:rPr>
              <w:t>Vlera n</w:t>
            </w:r>
            <w:r w:rsidR="00886A90" w:rsidRPr="00441046">
              <w:rPr>
                <w:rFonts w:ascii="Calibri" w:hAnsi="Calibri"/>
                <w:b/>
                <w:bCs/>
                <w:color w:val="FFFFFF"/>
                <w:sz w:val="18"/>
                <w:lang w:val="sq-AL"/>
              </w:rPr>
              <w:t>ë</w:t>
            </w:r>
            <w:r w:rsidRPr="00441046">
              <w:rPr>
                <w:rFonts w:ascii="Calibri" w:hAnsi="Calibri"/>
                <w:b/>
                <w:bCs/>
                <w:color w:val="FFFFFF"/>
                <w:sz w:val="18"/>
                <w:lang w:val="sq-AL"/>
              </w:rPr>
              <w:t xml:space="preserve"> LEK</w:t>
            </w:r>
            <w:r w:rsidR="00886A90" w:rsidRPr="00441046">
              <w:rPr>
                <w:rFonts w:ascii="Calibri" w:hAnsi="Calibri"/>
                <w:b/>
                <w:bCs/>
                <w:color w:val="FFFFFF"/>
                <w:sz w:val="18"/>
                <w:lang w:val="sq-AL"/>
              </w:rPr>
              <w:t>Ë</w:t>
            </w:r>
          </w:p>
        </w:tc>
      </w:tr>
      <w:tr w:rsidR="00E667C1" w:rsidRPr="00441046" w:rsidTr="00441046">
        <w:trPr>
          <w:trHeight w:val="458"/>
        </w:trPr>
        <w:tc>
          <w:tcPr>
            <w:tcW w:w="3005" w:type="pct"/>
            <w:tcBorders>
              <w:top w:val="nil"/>
              <w:left w:val="single" w:sz="8" w:space="0" w:color="auto"/>
              <w:bottom w:val="nil"/>
              <w:right w:val="nil"/>
            </w:tcBorders>
            <w:shd w:val="clear" w:color="000000" w:fill="FFCC99"/>
            <w:noWrap/>
            <w:vAlign w:val="bottom"/>
            <w:hideMark/>
          </w:tcPr>
          <w:p w:rsidR="00E667C1" w:rsidRPr="00441046" w:rsidRDefault="00E667C1" w:rsidP="00E667C1">
            <w:pPr>
              <w:rPr>
                <w:sz w:val="18"/>
                <w:szCs w:val="22"/>
                <w:lang w:val="sq-AL"/>
              </w:rPr>
            </w:pPr>
            <w:r w:rsidRPr="00441046">
              <w:rPr>
                <w:rFonts w:ascii="Calibri" w:hAnsi="Calibri" w:cs="Calibri"/>
                <w:b/>
                <w:bCs/>
                <w:color w:val="C00000"/>
                <w:sz w:val="18"/>
                <w:szCs w:val="22"/>
                <w:lang w:val="sq-AL"/>
              </w:rPr>
              <w:t>Transferta e Pakushtëzuar për Bashkitë</w:t>
            </w:r>
          </w:p>
        </w:tc>
        <w:tc>
          <w:tcPr>
            <w:tcW w:w="907" w:type="pct"/>
            <w:tcBorders>
              <w:top w:val="nil"/>
              <w:left w:val="single" w:sz="8" w:space="0" w:color="auto"/>
              <w:bottom w:val="nil"/>
              <w:right w:val="single" w:sz="8" w:space="0" w:color="auto"/>
            </w:tcBorders>
            <w:shd w:val="clear" w:color="000000" w:fill="0066CC"/>
            <w:noWrap/>
            <w:vAlign w:val="bottom"/>
            <w:hideMark/>
          </w:tcPr>
          <w:p w:rsidR="00E667C1" w:rsidRPr="00441046" w:rsidRDefault="00E667C1" w:rsidP="009B467D">
            <w:pPr>
              <w:jc w:val="center"/>
              <w:rPr>
                <w:rFonts w:ascii="Calibri" w:hAnsi="Calibri"/>
                <w:b/>
                <w:bCs/>
                <w:color w:val="FFFFFF"/>
                <w:sz w:val="18"/>
                <w:szCs w:val="22"/>
                <w:lang w:val="sq-AL"/>
              </w:rPr>
            </w:pPr>
            <w:r w:rsidRPr="00441046">
              <w:rPr>
                <w:rFonts w:ascii="Calibri" w:hAnsi="Calibri"/>
                <w:b/>
                <w:bCs/>
                <w:color w:val="FFFFFF"/>
                <w:sz w:val="18"/>
                <w:szCs w:val="22"/>
                <w:lang w:val="sq-AL"/>
              </w:rPr>
              <w:t>96,</w:t>
            </w:r>
            <w:r w:rsidR="009B467D" w:rsidRPr="00441046">
              <w:rPr>
                <w:rFonts w:ascii="Calibri" w:hAnsi="Calibri"/>
                <w:b/>
                <w:bCs/>
                <w:color w:val="FFFFFF"/>
                <w:sz w:val="18"/>
                <w:szCs w:val="22"/>
                <w:lang w:val="sq-AL"/>
              </w:rPr>
              <w:t>6</w:t>
            </w:r>
            <w:r w:rsidRPr="00441046">
              <w:rPr>
                <w:rFonts w:ascii="Calibri" w:hAnsi="Calibri"/>
                <w:b/>
                <w:bCs/>
                <w:color w:val="FFFFFF"/>
                <w:sz w:val="18"/>
                <w:szCs w:val="22"/>
                <w:lang w:val="sq-AL"/>
              </w:rPr>
              <w:t>%</w:t>
            </w:r>
          </w:p>
        </w:tc>
        <w:tc>
          <w:tcPr>
            <w:tcW w:w="1088" w:type="pct"/>
            <w:tcBorders>
              <w:top w:val="nil"/>
              <w:left w:val="nil"/>
              <w:bottom w:val="nil"/>
              <w:right w:val="single" w:sz="8" w:space="0" w:color="auto"/>
            </w:tcBorders>
            <w:shd w:val="clear" w:color="000000" w:fill="FFCC99"/>
            <w:noWrap/>
            <w:vAlign w:val="bottom"/>
            <w:hideMark/>
          </w:tcPr>
          <w:p w:rsidR="00E667C1" w:rsidRPr="00441046" w:rsidRDefault="009B467D" w:rsidP="00441046">
            <w:pPr>
              <w:ind w:firstLineChars="100" w:firstLine="181"/>
              <w:jc w:val="right"/>
              <w:rPr>
                <w:rFonts w:ascii="Calibri" w:hAnsi="Calibri"/>
                <w:b/>
                <w:bCs/>
                <w:sz w:val="18"/>
                <w:szCs w:val="22"/>
                <w:lang w:val="sq-AL"/>
              </w:rPr>
            </w:pPr>
            <w:r w:rsidRPr="00441046">
              <w:rPr>
                <w:rFonts w:ascii="Calibri" w:hAnsi="Calibri"/>
                <w:b/>
                <w:bCs/>
                <w:sz w:val="18"/>
                <w:szCs w:val="22"/>
                <w:lang w:val="sq-AL"/>
              </w:rPr>
              <w:t>12.693.248.132</w:t>
            </w:r>
          </w:p>
        </w:tc>
      </w:tr>
      <w:tr w:rsidR="00E667C1" w:rsidRPr="00441046" w:rsidTr="00441046">
        <w:trPr>
          <w:trHeight w:val="477"/>
        </w:trPr>
        <w:tc>
          <w:tcPr>
            <w:tcW w:w="3005" w:type="pct"/>
            <w:tcBorders>
              <w:top w:val="nil"/>
              <w:left w:val="single" w:sz="8" w:space="0" w:color="auto"/>
              <w:bottom w:val="single" w:sz="8" w:space="0" w:color="auto"/>
              <w:right w:val="nil"/>
            </w:tcBorders>
            <w:shd w:val="clear" w:color="000000" w:fill="FFCC99"/>
            <w:noWrap/>
            <w:vAlign w:val="bottom"/>
            <w:hideMark/>
          </w:tcPr>
          <w:p w:rsidR="00E667C1" w:rsidRPr="00441046" w:rsidRDefault="00E667C1" w:rsidP="00E667C1">
            <w:pPr>
              <w:rPr>
                <w:sz w:val="18"/>
                <w:szCs w:val="22"/>
                <w:lang w:val="sq-AL"/>
              </w:rPr>
            </w:pPr>
            <w:r w:rsidRPr="00441046">
              <w:rPr>
                <w:rFonts w:ascii="Calibri" w:hAnsi="Calibri" w:cs="Calibri"/>
                <w:b/>
                <w:bCs/>
                <w:color w:val="C00000"/>
                <w:sz w:val="18"/>
                <w:szCs w:val="22"/>
                <w:lang w:val="sq-AL"/>
              </w:rPr>
              <w:t>Transferta e Pakushtëzuar për Qarqet</w:t>
            </w:r>
          </w:p>
        </w:tc>
        <w:tc>
          <w:tcPr>
            <w:tcW w:w="907" w:type="pct"/>
            <w:tcBorders>
              <w:top w:val="nil"/>
              <w:left w:val="single" w:sz="8" w:space="0" w:color="auto"/>
              <w:bottom w:val="single" w:sz="8" w:space="0" w:color="auto"/>
              <w:right w:val="single" w:sz="8" w:space="0" w:color="auto"/>
            </w:tcBorders>
            <w:shd w:val="clear" w:color="000000" w:fill="0066CC"/>
            <w:noWrap/>
            <w:vAlign w:val="bottom"/>
            <w:hideMark/>
          </w:tcPr>
          <w:p w:rsidR="00E667C1" w:rsidRPr="00441046" w:rsidRDefault="009B467D" w:rsidP="006D2247">
            <w:pPr>
              <w:jc w:val="center"/>
              <w:rPr>
                <w:rFonts w:ascii="Calibri" w:hAnsi="Calibri"/>
                <w:b/>
                <w:bCs/>
                <w:color w:val="FFFFFF"/>
                <w:sz w:val="18"/>
                <w:szCs w:val="22"/>
                <w:lang w:val="sq-AL"/>
              </w:rPr>
            </w:pPr>
            <w:r w:rsidRPr="00441046">
              <w:rPr>
                <w:rFonts w:ascii="Calibri" w:hAnsi="Calibri"/>
                <w:b/>
                <w:bCs/>
                <w:color w:val="FFFFFF"/>
                <w:sz w:val="18"/>
                <w:szCs w:val="22"/>
                <w:lang w:val="sq-AL"/>
              </w:rPr>
              <w:t>3.4</w:t>
            </w:r>
            <w:r w:rsidR="00E667C1" w:rsidRPr="00441046">
              <w:rPr>
                <w:rFonts w:ascii="Calibri" w:hAnsi="Calibri"/>
                <w:b/>
                <w:bCs/>
                <w:color w:val="FFFFFF"/>
                <w:sz w:val="18"/>
                <w:szCs w:val="22"/>
                <w:lang w:val="sq-AL"/>
              </w:rPr>
              <w:t>%</w:t>
            </w:r>
          </w:p>
        </w:tc>
        <w:tc>
          <w:tcPr>
            <w:tcW w:w="1088" w:type="pct"/>
            <w:tcBorders>
              <w:top w:val="nil"/>
              <w:left w:val="nil"/>
              <w:bottom w:val="single" w:sz="8" w:space="0" w:color="auto"/>
              <w:right w:val="single" w:sz="8" w:space="0" w:color="auto"/>
            </w:tcBorders>
            <w:shd w:val="clear" w:color="000000" w:fill="FFCC99"/>
            <w:noWrap/>
            <w:vAlign w:val="bottom"/>
            <w:hideMark/>
          </w:tcPr>
          <w:p w:rsidR="00E667C1" w:rsidRPr="00441046" w:rsidRDefault="00E667C1" w:rsidP="00441046">
            <w:pPr>
              <w:ind w:firstLineChars="100" w:firstLine="181"/>
              <w:jc w:val="right"/>
              <w:rPr>
                <w:rFonts w:ascii="Calibri" w:hAnsi="Calibri"/>
                <w:b/>
                <w:bCs/>
                <w:sz w:val="18"/>
                <w:szCs w:val="22"/>
                <w:lang w:val="sq-AL"/>
              </w:rPr>
            </w:pPr>
            <w:r w:rsidRPr="00441046">
              <w:rPr>
                <w:rFonts w:ascii="Calibri" w:hAnsi="Calibri"/>
                <w:b/>
                <w:bCs/>
                <w:sz w:val="18"/>
                <w:szCs w:val="22"/>
                <w:lang w:val="sq-AL"/>
              </w:rPr>
              <w:t>4</w:t>
            </w:r>
            <w:r w:rsidR="006D2247" w:rsidRPr="00441046">
              <w:rPr>
                <w:rFonts w:ascii="Calibri" w:hAnsi="Calibri"/>
                <w:b/>
                <w:bCs/>
                <w:sz w:val="18"/>
                <w:szCs w:val="22"/>
                <w:lang w:val="sq-AL"/>
              </w:rPr>
              <w:t>4</w:t>
            </w:r>
            <w:r w:rsidRPr="00441046">
              <w:rPr>
                <w:rFonts w:ascii="Calibri" w:hAnsi="Calibri"/>
                <w:b/>
                <w:bCs/>
                <w:sz w:val="18"/>
                <w:szCs w:val="22"/>
                <w:lang w:val="sq-AL"/>
              </w:rPr>
              <w:t>0.000.000</w:t>
            </w:r>
          </w:p>
        </w:tc>
      </w:tr>
    </w:tbl>
    <w:p w:rsidR="00F16DAC" w:rsidRPr="00930147" w:rsidRDefault="00F16DAC" w:rsidP="00907372">
      <w:pPr>
        <w:jc w:val="both"/>
        <w:rPr>
          <w:sz w:val="22"/>
          <w:lang w:val="sq-AL"/>
        </w:rPr>
      </w:pPr>
    </w:p>
    <w:p w:rsidR="00BF3AA8" w:rsidRPr="00930147" w:rsidRDefault="00C25AD0" w:rsidP="005678F6">
      <w:pPr>
        <w:jc w:val="both"/>
        <w:rPr>
          <w:sz w:val="22"/>
          <w:lang w:val="sq-AL"/>
        </w:rPr>
      </w:pPr>
      <w:r w:rsidRPr="00930147">
        <w:rPr>
          <w:sz w:val="22"/>
          <w:lang w:val="sq-AL"/>
        </w:rPr>
        <w:t>P</w:t>
      </w:r>
      <w:r w:rsidR="00474176" w:rsidRPr="00930147">
        <w:rPr>
          <w:sz w:val="22"/>
          <w:lang w:val="sq-AL"/>
        </w:rPr>
        <w:t>ë</w:t>
      </w:r>
      <w:r w:rsidRPr="00930147">
        <w:rPr>
          <w:sz w:val="22"/>
          <w:lang w:val="sq-AL"/>
        </w:rPr>
        <w:t xml:space="preserve">r vitin 2016, Qarqet marrin </w:t>
      </w:r>
      <w:r w:rsidRPr="006C090E">
        <w:rPr>
          <w:b/>
          <w:sz w:val="22"/>
          <w:lang w:val="sq-AL"/>
        </w:rPr>
        <w:t>3.</w:t>
      </w:r>
      <w:r w:rsidR="009B467D">
        <w:rPr>
          <w:b/>
          <w:sz w:val="22"/>
          <w:lang w:val="sq-AL"/>
        </w:rPr>
        <w:t>4</w:t>
      </w:r>
      <w:r w:rsidRPr="006C090E">
        <w:rPr>
          <w:b/>
          <w:sz w:val="22"/>
          <w:lang w:val="sq-AL"/>
        </w:rPr>
        <w:t>%</w:t>
      </w:r>
      <w:r w:rsidRPr="00930147">
        <w:rPr>
          <w:sz w:val="22"/>
          <w:lang w:val="sq-AL"/>
        </w:rPr>
        <w:t xml:space="preserve"> të transfertës s</w:t>
      </w:r>
      <w:r w:rsidR="00474176" w:rsidRPr="00930147">
        <w:rPr>
          <w:sz w:val="22"/>
          <w:lang w:val="sq-AL"/>
        </w:rPr>
        <w:t>ë</w:t>
      </w:r>
      <w:r w:rsidRPr="00930147">
        <w:rPr>
          <w:sz w:val="22"/>
          <w:lang w:val="sq-AL"/>
        </w:rPr>
        <w:t xml:space="preserve"> pakushtëzuar ose </w:t>
      </w:r>
      <w:r w:rsidR="008C1926" w:rsidRPr="006C090E">
        <w:rPr>
          <w:b/>
          <w:sz w:val="22"/>
          <w:lang w:val="sq-AL"/>
        </w:rPr>
        <w:t>440</w:t>
      </w:r>
      <w:r w:rsidRPr="006C090E">
        <w:rPr>
          <w:b/>
          <w:sz w:val="22"/>
          <w:lang w:val="sq-AL"/>
        </w:rPr>
        <w:t xml:space="preserve"> milion lek</w:t>
      </w:r>
      <w:r w:rsidR="00474176" w:rsidRPr="006C090E">
        <w:rPr>
          <w:b/>
          <w:sz w:val="22"/>
          <w:lang w:val="sq-AL"/>
        </w:rPr>
        <w:t>ë</w:t>
      </w:r>
      <w:r w:rsidRPr="00930147">
        <w:rPr>
          <w:sz w:val="22"/>
          <w:lang w:val="sq-AL"/>
        </w:rPr>
        <w:t xml:space="preserve">. </w:t>
      </w:r>
      <w:r w:rsidR="00572D55" w:rsidRPr="00930147">
        <w:rPr>
          <w:sz w:val="22"/>
          <w:lang w:val="sq-AL"/>
        </w:rPr>
        <w:t>Në vijim të transferimit të funksionit të rrug</w:t>
      </w:r>
      <w:r w:rsidR="00474176" w:rsidRPr="00930147">
        <w:rPr>
          <w:sz w:val="22"/>
          <w:lang w:val="sq-AL"/>
        </w:rPr>
        <w:t>ë</w:t>
      </w:r>
      <w:r w:rsidR="00572D55" w:rsidRPr="00930147">
        <w:rPr>
          <w:sz w:val="22"/>
          <w:lang w:val="sq-AL"/>
        </w:rPr>
        <w:t>ve rurale nga qarqet tek bashkitë, fondet e shpenzuara nga qarqet p</w:t>
      </w:r>
      <w:r w:rsidR="00474176" w:rsidRPr="00930147">
        <w:rPr>
          <w:sz w:val="22"/>
          <w:lang w:val="sq-AL"/>
        </w:rPr>
        <w:t>ë</w:t>
      </w:r>
      <w:r w:rsidR="00572D55" w:rsidRPr="00930147">
        <w:rPr>
          <w:sz w:val="22"/>
          <w:lang w:val="sq-AL"/>
        </w:rPr>
        <w:t>r k</w:t>
      </w:r>
      <w:r w:rsidR="00474176" w:rsidRPr="00930147">
        <w:rPr>
          <w:sz w:val="22"/>
          <w:lang w:val="sq-AL"/>
        </w:rPr>
        <w:t>ë</w:t>
      </w:r>
      <w:r w:rsidR="00572D55" w:rsidRPr="00930147">
        <w:rPr>
          <w:sz w:val="22"/>
          <w:lang w:val="sq-AL"/>
        </w:rPr>
        <w:t>t</w:t>
      </w:r>
      <w:r w:rsidR="00474176" w:rsidRPr="00930147">
        <w:rPr>
          <w:sz w:val="22"/>
          <w:lang w:val="sq-AL"/>
        </w:rPr>
        <w:t>ë</w:t>
      </w:r>
      <w:r w:rsidR="00572D55" w:rsidRPr="00930147">
        <w:rPr>
          <w:sz w:val="22"/>
          <w:lang w:val="sq-AL"/>
        </w:rPr>
        <w:t xml:space="preserve"> funksion i transferohen bashkive sipas </w:t>
      </w:r>
      <w:r w:rsidR="005678F6" w:rsidRPr="00930147">
        <w:rPr>
          <w:sz w:val="22"/>
          <w:lang w:val="sq-AL"/>
        </w:rPr>
        <w:t xml:space="preserve">tabelës nr. 3, pjesë përbërëse e ligjit vjetor të buxhetit të </w:t>
      </w:r>
      <w:r w:rsidR="00BF3AA8" w:rsidRPr="00930147">
        <w:rPr>
          <w:sz w:val="22"/>
          <w:lang w:val="sq-AL"/>
        </w:rPr>
        <w:t>vitit 2016.</w:t>
      </w:r>
    </w:p>
    <w:p w:rsidR="00FD10CB" w:rsidRPr="00930147" w:rsidRDefault="00FD10CB" w:rsidP="00907372">
      <w:pPr>
        <w:jc w:val="both"/>
        <w:rPr>
          <w:rFonts w:ascii="Arial" w:hAnsi="Arial"/>
          <w:lang w:val="sq-AL"/>
        </w:rPr>
      </w:pPr>
    </w:p>
    <w:p w:rsidR="00FD10CB" w:rsidRPr="00930147" w:rsidRDefault="005678F6" w:rsidP="004F3F6D">
      <w:pPr>
        <w:pStyle w:val="ListParagraph"/>
        <w:numPr>
          <w:ilvl w:val="0"/>
          <w:numId w:val="27"/>
        </w:numPr>
        <w:rPr>
          <w:rFonts w:asciiTheme="minorHAnsi" w:hAnsiTheme="minorHAnsi"/>
          <w:b/>
          <w:bCs/>
          <w:color w:val="002060"/>
          <w:szCs w:val="20"/>
          <w:lang w:val="sq-AL"/>
        </w:rPr>
      </w:pPr>
      <w:r w:rsidRPr="00930147">
        <w:rPr>
          <w:rFonts w:asciiTheme="minorHAnsi" w:hAnsiTheme="minorHAnsi"/>
          <w:b/>
          <w:bCs/>
          <w:color w:val="002060"/>
          <w:szCs w:val="20"/>
          <w:lang w:val="sq-AL"/>
        </w:rPr>
        <w:t>Koeficienti i përshtatjes së të dhënave të popullsisë</w:t>
      </w:r>
    </w:p>
    <w:p w:rsidR="00FD10CB" w:rsidRPr="00930147" w:rsidRDefault="00FD10CB" w:rsidP="00907372">
      <w:pPr>
        <w:jc w:val="both"/>
        <w:rPr>
          <w:rFonts w:ascii="Arial" w:hAnsi="Arial"/>
          <w:lang w:val="sq-AL"/>
        </w:rPr>
      </w:pPr>
    </w:p>
    <w:p w:rsidR="00E86C85" w:rsidRPr="00930147" w:rsidRDefault="00762CDB" w:rsidP="00907372">
      <w:pPr>
        <w:jc w:val="both"/>
        <w:rPr>
          <w:sz w:val="22"/>
          <w:lang w:val="sq-AL"/>
        </w:rPr>
      </w:pPr>
      <w:r w:rsidRPr="00930147">
        <w:rPr>
          <w:sz w:val="22"/>
          <w:lang w:val="sq-AL"/>
        </w:rPr>
        <w:t xml:space="preserve">Popullsia </w:t>
      </w:r>
      <w:r w:rsidR="00844006" w:rsidRPr="00930147">
        <w:rPr>
          <w:sz w:val="22"/>
          <w:lang w:val="sq-AL"/>
        </w:rPr>
        <w:t>ë</w:t>
      </w:r>
      <w:r w:rsidRPr="00930147">
        <w:rPr>
          <w:sz w:val="22"/>
          <w:lang w:val="sq-AL"/>
        </w:rPr>
        <w:t>sht</w:t>
      </w:r>
      <w:r w:rsidR="00844006" w:rsidRPr="00930147">
        <w:rPr>
          <w:sz w:val="22"/>
          <w:lang w:val="sq-AL"/>
        </w:rPr>
        <w:t>ë</w:t>
      </w:r>
      <w:r w:rsidRPr="00930147">
        <w:rPr>
          <w:sz w:val="22"/>
          <w:lang w:val="sq-AL"/>
        </w:rPr>
        <w:t xml:space="preserve"> nj</w:t>
      </w:r>
      <w:r w:rsidR="00844006" w:rsidRPr="00930147">
        <w:rPr>
          <w:sz w:val="22"/>
          <w:lang w:val="sq-AL"/>
        </w:rPr>
        <w:t>ë</w:t>
      </w:r>
      <w:r w:rsidRPr="00930147">
        <w:rPr>
          <w:sz w:val="22"/>
          <w:lang w:val="sq-AL"/>
        </w:rPr>
        <w:t xml:space="preserve"> tregues i lidhur ngusht</w:t>
      </w:r>
      <w:r w:rsidR="00844006" w:rsidRPr="00930147">
        <w:rPr>
          <w:sz w:val="22"/>
          <w:lang w:val="sq-AL"/>
        </w:rPr>
        <w:t>ë</w:t>
      </w:r>
      <w:r w:rsidRPr="00930147">
        <w:rPr>
          <w:sz w:val="22"/>
          <w:lang w:val="sq-AL"/>
        </w:rPr>
        <w:t xml:space="preserve"> me shpenzimet dhe nevojat p</w:t>
      </w:r>
      <w:r w:rsidR="00844006" w:rsidRPr="00930147">
        <w:rPr>
          <w:sz w:val="22"/>
          <w:lang w:val="sq-AL"/>
        </w:rPr>
        <w:t>ë</w:t>
      </w:r>
      <w:r w:rsidRPr="00930147">
        <w:rPr>
          <w:sz w:val="22"/>
          <w:lang w:val="sq-AL"/>
        </w:rPr>
        <w:t>r shërbime. Për rrjedhoj</w:t>
      </w:r>
      <w:r w:rsidR="00844006" w:rsidRPr="00930147">
        <w:rPr>
          <w:sz w:val="22"/>
          <w:lang w:val="sq-AL"/>
        </w:rPr>
        <w:t>ë</w:t>
      </w:r>
      <w:r w:rsidRPr="00930147">
        <w:rPr>
          <w:sz w:val="22"/>
          <w:lang w:val="sq-AL"/>
        </w:rPr>
        <w:t xml:space="preserve"> p</w:t>
      </w:r>
      <w:r w:rsidR="0098404A" w:rsidRPr="00930147">
        <w:rPr>
          <w:sz w:val="22"/>
          <w:lang w:val="sq-AL"/>
        </w:rPr>
        <w:t>opullsia do të vazhdoj</w:t>
      </w:r>
      <w:r w:rsidR="00844006" w:rsidRPr="00930147">
        <w:rPr>
          <w:sz w:val="22"/>
          <w:lang w:val="sq-AL"/>
        </w:rPr>
        <w:t>ë</w:t>
      </w:r>
      <w:r w:rsidR="0098404A" w:rsidRPr="00930147">
        <w:rPr>
          <w:sz w:val="22"/>
          <w:lang w:val="sq-AL"/>
        </w:rPr>
        <w:t xml:space="preserve"> të mbetet kriteri kryesor p</w:t>
      </w:r>
      <w:r w:rsidR="00844006" w:rsidRPr="00930147">
        <w:rPr>
          <w:sz w:val="22"/>
          <w:lang w:val="sq-AL"/>
        </w:rPr>
        <w:t>ë</w:t>
      </w:r>
      <w:r w:rsidR="0098404A" w:rsidRPr="00930147">
        <w:rPr>
          <w:sz w:val="22"/>
          <w:lang w:val="sq-AL"/>
        </w:rPr>
        <w:t>r ndarjen e transfertës s</w:t>
      </w:r>
      <w:r w:rsidR="00844006" w:rsidRPr="00930147">
        <w:rPr>
          <w:sz w:val="22"/>
          <w:lang w:val="sq-AL"/>
        </w:rPr>
        <w:t>ë</w:t>
      </w:r>
      <w:r w:rsidR="0098404A" w:rsidRPr="00930147">
        <w:rPr>
          <w:sz w:val="22"/>
          <w:lang w:val="sq-AL"/>
        </w:rPr>
        <w:t xml:space="preserve"> pakushtëzuar ndërmjet njësive të qeverisjes vendore. </w:t>
      </w:r>
    </w:p>
    <w:p w:rsidR="00E86C85" w:rsidRPr="00930147" w:rsidRDefault="00E86C85" w:rsidP="00907372">
      <w:pPr>
        <w:jc w:val="both"/>
        <w:rPr>
          <w:sz w:val="22"/>
          <w:lang w:val="sq-AL"/>
        </w:rPr>
      </w:pPr>
    </w:p>
    <w:tbl>
      <w:tblPr>
        <w:tblW w:w="5000" w:type="pct"/>
        <w:tblLook w:val="04A0" w:firstRow="1" w:lastRow="0" w:firstColumn="1" w:lastColumn="0" w:noHBand="0" w:noVBand="1"/>
      </w:tblPr>
      <w:tblGrid>
        <w:gridCol w:w="7117"/>
        <w:gridCol w:w="1360"/>
        <w:gridCol w:w="2229"/>
      </w:tblGrid>
      <w:tr w:rsidR="00E667C1" w:rsidRPr="00441046" w:rsidTr="00441046">
        <w:trPr>
          <w:trHeight w:val="415"/>
        </w:trPr>
        <w:tc>
          <w:tcPr>
            <w:tcW w:w="3324" w:type="pct"/>
            <w:tcBorders>
              <w:top w:val="single" w:sz="8" w:space="0" w:color="auto"/>
              <w:left w:val="single" w:sz="8" w:space="0" w:color="auto"/>
              <w:bottom w:val="nil"/>
              <w:right w:val="single" w:sz="8" w:space="0" w:color="000000"/>
            </w:tcBorders>
            <w:shd w:val="clear" w:color="000000" w:fill="003366"/>
            <w:noWrap/>
            <w:vAlign w:val="center"/>
            <w:hideMark/>
          </w:tcPr>
          <w:p w:rsidR="00E667C1" w:rsidRPr="00441046" w:rsidRDefault="00E667C1" w:rsidP="00E667C1">
            <w:pPr>
              <w:rPr>
                <w:color w:val="FFFFFF" w:themeColor="background1"/>
                <w:sz w:val="20"/>
                <w:lang w:val="sq-AL"/>
              </w:rPr>
            </w:pPr>
            <w:r w:rsidRPr="00441046">
              <w:rPr>
                <w:rFonts w:ascii="Calibri" w:hAnsi="Calibri" w:cs="Calibri"/>
                <w:b/>
                <w:bCs/>
                <w:color w:val="FFFFFF" w:themeColor="background1"/>
                <w:sz w:val="20"/>
                <w:lang w:val="sq-AL"/>
              </w:rPr>
              <w:t>Koeficienti i përshtatjes së të dhënave të popullsisë</w:t>
            </w:r>
          </w:p>
        </w:tc>
        <w:tc>
          <w:tcPr>
            <w:tcW w:w="634" w:type="pct"/>
            <w:tcBorders>
              <w:top w:val="single" w:sz="8" w:space="0" w:color="auto"/>
              <w:left w:val="nil"/>
              <w:bottom w:val="nil"/>
              <w:right w:val="nil"/>
            </w:tcBorders>
            <w:shd w:val="clear" w:color="000000" w:fill="003366"/>
            <w:noWrap/>
            <w:vAlign w:val="center"/>
            <w:hideMark/>
          </w:tcPr>
          <w:p w:rsidR="00E667C1" w:rsidRPr="00441046" w:rsidRDefault="00E667C1" w:rsidP="005A789C">
            <w:pPr>
              <w:rPr>
                <w:rFonts w:ascii="Calibri" w:hAnsi="Calibri"/>
                <w:b/>
                <w:bCs/>
                <w:color w:val="FFFFFF"/>
                <w:sz w:val="20"/>
                <w:lang w:val="sq-AL"/>
              </w:rPr>
            </w:pPr>
          </w:p>
        </w:tc>
        <w:tc>
          <w:tcPr>
            <w:tcW w:w="1041" w:type="pct"/>
            <w:tcBorders>
              <w:top w:val="single" w:sz="8" w:space="0" w:color="auto"/>
              <w:left w:val="single" w:sz="8" w:space="0" w:color="auto"/>
              <w:bottom w:val="nil"/>
              <w:right w:val="single" w:sz="8" w:space="0" w:color="auto"/>
            </w:tcBorders>
            <w:shd w:val="clear" w:color="000000" w:fill="003366"/>
            <w:noWrap/>
            <w:vAlign w:val="center"/>
            <w:hideMark/>
          </w:tcPr>
          <w:p w:rsidR="00E667C1" w:rsidRPr="00441046" w:rsidRDefault="00E667C1">
            <w:pPr>
              <w:jc w:val="center"/>
              <w:rPr>
                <w:rFonts w:ascii="Calibri" w:hAnsi="Calibri"/>
                <w:b/>
                <w:bCs/>
                <w:color w:val="FFFFFF"/>
                <w:sz w:val="20"/>
                <w:lang w:val="sq-AL"/>
              </w:rPr>
            </w:pPr>
            <w:r w:rsidRPr="00441046">
              <w:rPr>
                <w:rFonts w:ascii="Calibri" w:hAnsi="Calibri"/>
                <w:b/>
                <w:bCs/>
                <w:color w:val="FFFFFF"/>
                <w:sz w:val="20"/>
                <w:lang w:val="sq-AL"/>
              </w:rPr>
              <w:t>30%</w:t>
            </w:r>
          </w:p>
        </w:tc>
      </w:tr>
      <w:tr w:rsidR="00E667C1" w:rsidRPr="00441046" w:rsidTr="00441046">
        <w:trPr>
          <w:trHeight w:val="433"/>
        </w:trPr>
        <w:tc>
          <w:tcPr>
            <w:tcW w:w="3959" w:type="pct"/>
            <w:gridSpan w:val="2"/>
            <w:tcBorders>
              <w:top w:val="nil"/>
              <w:left w:val="single" w:sz="8" w:space="0" w:color="auto"/>
              <w:bottom w:val="single" w:sz="8" w:space="0" w:color="auto"/>
              <w:right w:val="nil"/>
            </w:tcBorders>
            <w:shd w:val="clear" w:color="auto" w:fill="auto"/>
            <w:noWrap/>
            <w:vAlign w:val="center"/>
            <w:hideMark/>
          </w:tcPr>
          <w:p w:rsidR="00E667C1" w:rsidRPr="00441046" w:rsidRDefault="005A789C" w:rsidP="005A789C">
            <w:pPr>
              <w:rPr>
                <w:sz w:val="20"/>
                <w:lang w:val="sq-AL"/>
              </w:rPr>
            </w:pPr>
            <w:r w:rsidRPr="00441046">
              <w:rPr>
                <w:rFonts w:ascii="Calibri" w:hAnsi="Calibri" w:cs="Calibri"/>
                <w:color w:val="000000"/>
                <w:sz w:val="20"/>
                <w:lang w:val="sq-AL"/>
              </w:rPr>
              <w:t>Banorë rezidentë efektivë</w:t>
            </w:r>
            <w:r w:rsidRPr="00441046">
              <w:rPr>
                <w:sz w:val="20"/>
                <w:lang w:val="sq-AL"/>
              </w:rPr>
              <w:t xml:space="preserve"> </w:t>
            </w:r>
            <w:r w:rsidRPr="00441046">
              <w:rPr>
                <w:rFonts w:ascii="Calibri" w:hAnsi="Calibri"/>
                <w:color w:val="000000"/>
                <w:sz w:val="20"/>
                <w:lang w:val="sq-AL"/>
              </w:rPr>
              <w:t>[</w:t>
            </w:r>
            <w:r w:rsidR="00E667C1" w:rsidRPr="00441046">
              <w:rPr>
                <w:rFonts w:ascii="Calibri" w:hAnsi="Calibri"/>
                <w:color w:val="000000"/>
                <w:sz w:val="20"/>
                <w:lang w:val="sq-AL"/>
              </w:rPr>
              <w:t>CEN</w:t>
            </w:r>
            <w:r w:rsidRPr="00441046">
              <w:rPr>
                <w:rFonts w:ascii="Calibri" w:hAnsi="Calibri"/>
                <w:color w:val="000000"/>
                <w:sz w:val="20"/>
                <w:lang w:val="sq-AL"/>
              </w:rPr>
              <w:t>SUS + (Regjistri i gjendjes civile – Census)</w:t>
            </w:r>
            <w:r w:rsidR="00E667C1" w:rsidRPr="00441046">
              <w:rPr>
                <w:rFonts w:ascii="Calibri" w:hAnsi="Calibri"/>
                <w:color w:val="000000"/>
                <w:sz w:val="20"/>
                <w:lang w:val="sq-AL"/>
              </w:rPr>
              <w:t>*30%</w:t>
            </w:r>
            <w:r w:rsidRPr="00441046">
              <w:rPr>
                <w:rFonts w:ascii="Calibri" w:hAnsi="Calibri"/>
                <w:color w:val="000000"/>
                <w:sz w:val="20"/>
                <w:lang w:val="sq-AL"/>
              </w:rPr>
              <w:t>]</w:t>
            </w:r>
          </w:p>
        </w:tc>
        <w:tc>
          <w:tcPr>
            <w:tcW w:w="1041" w:type="pct"/>
            <w:tcBorders>
              <w:top w:val="nil"/>
              <w:left w:val="single" w:sz="8" w:space="0" w:color="auto"/>
              <w:bottom w:val="single" w:sz="8" w:space="0" w:color="auto"/>
              <w:right w:val="single" w:sz="8" w:space="0" w:color="auto"/>
            </w:tcBorders>
            <w:shd w:val="clear" w:color="auto" w:fill="auto"/>
            <w:noWrap/>
            <w:vAlign w:val="center"/>
            <w:hideMark/>
          </w:tcPr>
          <w:p w:rsidR="00E667C1" w:rsidRPr="00441046" w:rsidRDefault="005A789C">
            <w:pPr>
              <w:jc w:val="center"/>
              <w:rPr>
                <w:rFonts w:ascii="Calibri" w:hAnsi="Calibri"/>
                <w:b/>
                <w:color w:val="000000"/>
                <w:sz w:val="20"/>
                <w:lang w:val="sq-AL"/>
              </w:rPr>
            </w:pPr>
            <w:r w:rsidRPr="00441046">
              <w:rPr>
                <w:rFonts w:ascii="Calibri" w:hAnsi="Calibri"/>
                <w:b/>
                <w:color w:val="000000"/>
                <w:sz w:val="20"/>
                <w:lang w:val="sq-AL"/>
              </w:rPr>
              <w:t>3.335.004</w:t>
            </w:r>
          </w:p>
        </w:tc>
      </w:tr>
    </w:tbl>
    <w:p w:rsidR="00E86C85" w:rsidRPr="00930147" w:rsidRDefault="00E86C85" w:rsidP="00907372">
      <w:pPr>
        <w:jc w:val="both"/>
        <w:rPr>
          <w:sz w:val="22"/>
          <w:lang w:val="sq-AL"/>
        </w:rPr>
      </w:pPr>
    </w:p>
    <w:p w:rsidR="009429A6" w:rsidRDefault="0098404A" w:rsidP="00907372">
      <w:pPr>
        <w:jc w:val="both"/>
        <w:rPr>
          <w:sz w:val="22"/>
          <w:lang w:val="sq-AL"/>
        </w:rPr>
      </w:pPr>
      <w:r w:rsidRPr="00930147">
        <w:rPr>
          <w:sz w:val="22"/>
          <w:lang w:val="sq-AL"/>
        </w:rPr>
        <w:t>P</w:t>
      </w:r>
      <w:r w:rsidR="00844006" w:rsidRPr="00930147">
        <w:rPr>
          <w:sz w:val="22"/>
          <w:lang w:val="sq-AL"/>
        </w:rPr>
        <w:t>ë</w:t>
      </w:r>
      <w:r w:rsidRPr="00930147">
        <w:rPr>
          <w:sz w:val="22"/>
          <w:lang w:val="sq-AL"/>
        </w:rPr>
        <w:t>r të adresuar problemin e diferencave të m</w:t>
      </w:r>
      <w:r w:rsidR="00844006" w:rsidRPr="00930147">
        <w:rPr>
          <w:sz w:val="22"/>
          <w:lang w:val="sq-AL"/>
        </w:rPr>
        <w:t>ë</w:t>
      </w:r>
      <w:r w:rsidRPr="00930147">
        <w:rPr>
          <w:sz w:val="22"/>
          <w:lang w:val="sq-AL"/>
        </w:rPr>
        <w:t>dha në numrat e popullsis</w:t>
      </w:r>
      <w:r w:rsidR="00844006" w:rsidRPr="00930147">
        <w:rPr>
          <w:sz w:val="22"/>
          <w:lang w:val="sq-AL"/>
        </w:rPr>
        <w:t>ë</w:t>
      </w:r>
      <w:r w:rsidRPr="00930147">
        <w:rPr>
          <w:sz w:val="22"/>
          <w:lang w:val="sq-AL"/>
        </w:rPr>
        <w:t xml:space="preserve"> s</w:t>
      </w:r>
      <w:r w:rsidR="00844006" w:rsidRPr="00930147">
        <w:rPr>
          <w:sz w:val="22"/>
          <w:lang w:val="sq-AL"/>
        </w:rPr>
        <w:t>ë</w:t>
      </w:r>
      <w:r w:rsidRPr="00930147">
        <w:rPr>
          <w:sz w:val="22"/>
          <w:lang w:val="sq-AL"/>
        </w:rPr>
        <w:t xml:space="preserve"> ofruara nga Regjistri i Gjendjes Civile</w:t>
      </w:r>
      <w:r w:rsidR="00A16153">
        <w:rPr>
          <w:sz w:val="22"/>
          <w:lang w:val="sq-AL"/>
        </w:rPr>
        <w:t xml:space="preserve"> (RGJC) </w:t>
      </w:r>
      <w:r w:rsidRPr="00930147">
        <w:rPr>
          <w:sz w:val="22"/>
          <w:lang w:val="sq-AL"/>
        </w:rPr>
        <w:t xml:space="preserve"> dhe Censusi i vitit 2011, në </w:t>
      </w:r>
      <w:r w:rsidR="00762CDB" w:rsidRPr="00930147">
        <w:rPr>
          <w:sz w:val="22"/>
          <w:lang w:val="sq-AL"/>
        </w:rPr>
        <w:t>formul</w:t>
      </w:r>
      <w:r w:rsidR="00844006" w:rsidRPr="00930147">
        <w:rPr>
          <w:sz w:val="22"/>
          <w:lang w:val="sq-AL"/>
        </w:rPr>
        <w:t>ë</w:t>
      </w:r>
      <w:r w:rsidR="00762CDB" w:rsidRPr="00930147">
        <w:rPr>
          <w:sz w:val="22"/>
          <w:lang w:val="sq-AL"/>
        </w:rPr>
        <w:t xml:space="preserve">n e re </w:t>
      </w:r>
      <w:r w:rsidR="00CE266B" w:rsidRPr="00930147">
        <w:rPr>
          <w:sz w:val="22"/>
          <w:lang w:val="sq-AL"/>
        </w:rPr>
        <w:t>është bërë</w:t>
      </w:r>
      <w:r w:rsidR="00762CDB" w:rsidRPr="00930147">
        <w:rPr>
          <w:sz w:val="22"/>
          <w:lang w:val="sq-AL"/>
        </w:rPr>
        <w:t xml:space="preserve"> nj</w:t>
      </w:r>
      <w:r w:rsidR="00844006" w:rsidRPr="00930147">
        <w:rPr>
          <w:sz w:val="22"/>
          <w:lang w:val="sq-AL"/>
        </w:rPr>
        <w:t>ë</w:t>
      </w:r>
      <w:r w:rsidR="00762CDB" w:rsidRPr="00930147">
        <w:rPr>
          <w:sz w:val="22"/>
          <w:lang w:val="sq-AL"/>
        </w:rPr>
        <w:t xml:space="preserve"> zgjidhje kompromisi q</w:t>
      </w:r>
      <w:r w:rsidR="00844006" w:rsidRPr="00930147">
        <w:rPr>
          <w:sz w:val="22"/>
          <w:lang w:val="sq-AL"/>
        </w:rPr>
        <w:t>ë</w:t>
      </w:r>
      <w:r w:rsidR="00762CDB" w:rsidRPr="00930147">
        <w:rPr>
          <w:sz w:val="22"/>
          <w:lang w:val="sq-AL"/>
        </w:rPr>
        <w:t xml:space="preserve"> harmonizon të dhënat p</w:t>
      </w:r>
      <w:r w:rsidR="00844006" w:rsidRPr="00930147">
        <w:rPr>
          <w:sz w:val="22"/>
          <w:lang w:val="sq-AL"/>
        </w:rPr>
        <w:t>ë</w:t>
      </w:r>
      <w:r w:rsidR="00762CDB" w:rsidRPr="00930147">
        <w:rPr>
          <w:sz w:val="22"/>
          <w:lang w:val="sq-AL"/>
        </w:rPr>
        <w:t xml:space="preserve">r popullsinë. </w:t>
      </w:r>
      <w:r w:rsidR="004B6391" w:rsidRPr="00930147">
        <w:rPr>
          <w:sz w:val="22"/>
          <w:lang w:val="sq-AL"/>
        </w:rPr>
        <w:t>T</w:t>
      </w:r>
      <w:r w:rsidR="00064549" w:rsidRPr="00930147">
        <w:rPr>
          <w:sz w:val="22"/>
          <w:lang w:val="sq-AL"/>
        </w:rPr>
        <w:t>ë dhënat p</w:t>
      </w:r>
      <w:r w:rsidR="00CD22DE" w:rsidRPr="00930147">
        <w:rPr>
          <w:sz w:val="22"/>
          <w:lang w:val="sq-AL"/>
        </w:rPr>
        <w:t>ë</w:t>
      </w:r>
      <w:r w:rsidR="00064549" w:rsidRPr="00930147">
        <w:rPr>
          <w:sz w:val="22"/>
          <w:lang w:val="sq-AL"/>
        </w:rPr>
        <w:t>r popullsinë q</w:t>
      </w:r>
      <w:r w:rsidR="00CD22DE" w:rsidRPr="00930147">
        <w:rPr>
          <w:sz w:val="22"/>
          <w:lang w:val="sq-AL"/>
        </w:rPr>
        <w:t>ë</w:t>
      </w:r>
      <w:r w:rsidR="00064549" w:rsidRPr="00930147">
        <w:rPr>
          <w:sz w:val="22"/>
          <w:lang w:val="sq-AL"/>
        </w:rPr>
        <w:t xml:space="preserve"> përdoren në aplikimin e formulës bazohen kryesisht </w:t>
      </w:r>
      <w:r w:rsidR="004B6391" w:rsidRPr="00930147">
        <w:rPr>
          <w:sz w:val="22"/>
          <w:lang w:val="sq-AL"/>
        </w:rPr>
        <w:t>në</w:t>
      </w:r>
      <w:r w:rsidR="00064549" w:rsidRPr="00930147">
        <w:rPr>
          <w:sz w:val="22"/>
          <w:lang w:val="sq-AL"/>
        </w:rPr>
        <w:t xml:space="preserve"> të dhënat e Censusit të vitit 2011, të azh</w:t>
      </w:r>
      <w:r w:rsidR="004B6391" w:rsidRPr="00930147">
        <w:rPr>
          <w:sz w:val="22"/>
          <w:lang w:val="sq-AL"/>
        </w:rPr>
        <w:t>o</w:t>
      </w:r>
      <w:r w:rsidR="00064549" w:rsidRPr="00930147">
        <w:rPr>
          <w:sz w:val="22"/>
          <w:lang w:val="sq-AL"/>
        </w:rPr>
        <w:t>rnuara me norm</w:t>
      </w:r>
      <w:r w:rsidR="00CD22DE" w:rsidRPr="00930147">
        <w:rPr>
          <w:sz w:val="22"/>
          <w:lang w:val="sq-AL"/>
        </w:rPr>
        <w:t>ë</w:t>
      </w:r>
      <w:r w:rsidR="00064549" w:rsidRPr="00930147">
        <w:rPr>
          <w:sz w:val="22"/>
          <w:lang w:val="sq-AL"/>
        </w:rPr>
        <w:t>n e rritjes s</w:t>
      </w:r>
      <w:r w:rsidR="00CD22DE" w:rsidRPr="00930147">
        <w:rPr>
          <w:sz w:val="22"/>
          <w:lang w:val="sq-AL"/>
        </w:rPr>
        <w:t>ë</w:t>
      </w:r>
      <w:r w:rsidR="00064549" w:rsidRPr="00930147">
        <w:rPr>
          <w:sz w:val="22"/>
          <w:lang w:val="sq-AL"/>
        </w:rPr>
        <w:t xml:space="preserve"> popullsis</w:t>
      </w:r>
      <w:r w:rsidR="00CD22DE" w:rsidRPr="00930147">
        <w:rPr>
          <w:sz w:val="22"/>
          <w:lang w:val="sq-AL"/>
        </w:rPr>
        <w:t>ë</w:t>
      </w:r>
      <w:r w:rsidR="00064549" w:rsidRPr="00930147">
        <w:rPr>
          <w:sz w:val="22"/>
          <w:lang w:val="sq-AL"/>
        </w:rPr>
        <w:t xml:space="preserve"> në nivel qarku</w:t>
      </w:r>
      <w:r w:rsidR="009429A6" w:rsidRPr="00930147">
        <w:rPr>
          <w:sz w:val="22"/>
          <w:lang w:val="sq-AL"/>
        </w:rPr>
        <w:t xml:space="preserve"> sipas vlerësimit të b</w:t>
      </w:r>
      <w:r w:rsidR="00844006" w:rsidRPr="00930147">
        <w:rPr>
          <w:sz w:val="22"/>
          <w:lang w:val="sq-AL"/>
        </w:rPr>
        <w:t>ë</w:t>
      </w:r>
      <w:r w:rsidR="009429A6" w:rsidRPr="00930147">
        <w:rPr>
          <w:sz w:val="22"/>
          <w:lang w:val="sq-AL"/>
        </w:rPr>
        <w:t>r</w:t>
      </w:r>
      <w:r w:rsidR="00844006" w:rsidRPr="00930147">
        <w:rPr>
          <w:sz w:val="22"/>
          <w:lang w:val="sq-AL"/>
        </w:rPr>
        <w:t>ë</w:t>
      </w:r>
      <w:r w:rsidR="009429A6" w:rsidRPr="00930147">
        <w:rPr>
          <w:sz w:val="22"/>
          <w:lang w:val="sq-AL"/>
        </w:rPr>
        <w:t xml:space="preserve"> nga INSTAT në vitin 2014</w:t>
      </w:r>
      <w:r w:rsidR="00A66C45" w:rsidRPr="00930147">
        <w:rPr>
          <w:sz w:val="22"/>
          <w:lang w:val="sq-AL"/>
        </w:rPr>
        <w:t xml:space="preserve">. </w:t>
      </w:r>
      <w:r w:rsidR="00762CDB" w:rsidRPr="00930147">
        <w:rPr>
          <w:sz w:val="22"/>
          <w:lang w:val="sq-AL"/>
        </w:rPr>
        <w:t>K</w:t>
      </w:r>
      <w:r w:rsidR="00844006" w:rsidRPr="00930147">
        <w:rPr>
          <w:sz w:val="22"/>
          <w:lang w:val="sq-AL"/>
        </w:rPr>
        <w:t>ë</w:t>
      </w:r>
      <w:r w:rsidR="00762CDB" w:rsidRPr="00930147">
        <w:rPr>
          <w:sz w:val="22"/>
          <w:lang w:val="sq-AL"/>
        </w:rPr>
        <w:t>tyre</w:t>
      </w:r>
      <w:r w:rsidR="00A66C45" w:rsidRPr="00930147">
        <w:rPr>
          <w:sz w:val="22"/>
          <w:lang w:val="sq-AL"/>
        </w:rPr>
        <w:t xml:space="preserve"> </w:t>
      </w:r>
      <w:r w:rsidR="00B717B6" w:rsidRPr="00930147">
        <w:rPr>
          <w:sz w:val="22"/>
          <w:lang w:val="sq-AL"/>
        </w:rPr>
        <w:t>t</w:t>
      </w:r>
      <w:r w:rsidR="00CD22DE" w:rsidRPr="00930147">
        <w:rPr>
          <w:sz w:val="22"/>
          <w:lang w:val="sq-AL"/>
        </w:rPr>
        <w:t>ë</w:t>
      </w:r>
      <w:r w:rsidR="00B717B6" w:rsidRPr="00930147">
        <w:rPr>
          <w:sz w:val="22"/>
          <w:lang w:val="sq-AL"/>
        </w:rPr>
        <w:t xml:space="preserve"> dhënave u shtohet 30% e diferencës midis të dhënave të Censusit dhe Gjendjes Civile </w:t>
      </w:r>
      <w:r w:rsidR="00696728" w:rsidRPr="00930147">
        <w:rPr>
          <w:sz w:val="22"/>
          <w:lang w:val="sq-AL"/>
        </w:rPr>
        <w:t xml:space="preserve">(të vitit 2014) </w:t>
      </w:r>
      <w:r w:rsidR="00B717B6" w:rsidRPr="00930147">
        <w:rPr>
          <w:sz w:val="22"/>
          <w:lang w:val="sq-AL"/>
        </w:rPr>
        <w:t>p</w:t>
      </w:r>
      <w:r w:rsidR="00CD22DE" w:rsidRPr="00930147">
        <w:rPr>
          <w:sz w:val="22"/>
          <w:lang w:val="sq-AL"/>
        </w:rPr>
        <w:t>ë</w:t>
      </w:r>
      <w:r w:rsidR="00B717B6" w:rsidRPr="00930147">
        <w:rPr>
          <w:sz w:val="22"/>
          <w:lang w:val="sq-AL"/>
        </w:rPr>
        <w:t>r secil</w:t>
      </w:r>
      <w:r w:rsidR="00CD22DE" w:rsidRPr="00930147">
        <w:rPr>
          <w:sz w:val="22"/>
          <w:lang w:val="sq-AL"/>
        </w:rPr>
        <w:t>ë</w:t>
      </w:r>
      <w:r w:rsidR="00B717B6" w:rsidRPr="00930147">
        <w:rPr>
          <w:sz w:val="22"/>
          <w:lang w:val="sq-AL"/>
        </w:rPr>
        <w:t>n njësi të qeverisjes vendore. K</w:t>
      </w:r>
      <w:r w:rsidR="00CD22DE" w:rsidRPr="00930147">
        <w:rPr>
          <w:sz w:val="22"/>
          <w:lang w:val="sq-AL"/>
        </w:rPr>
        <w:t>ë</w:t>
      </w:r>
      <w:r w:rsidR="00B717B6" w:rsidRPr="00930147">
        <w:rPr>
          <w:sz w:val="22"/>
          <w:lang w:val="sq-AL"/>
        </w:rPr>
        <w:t>shtu, n</w:t>
      </w:r>
      <w:r w:rsidR="00CD22DE" w:rsidRPr="00930147">
        <w:rPr>
          <w:sz w:val="22"/>
          <w:lang w:val="sq-AL"/>
        </w:rPr>
        <w:t>ë</w:t>
      </w:r>
      <w:r w:rsidR="00B717B6" w:rsidRPr="00930147">
        <w:rPr>
          <w:sz w:val="22"/>
          <w:lang w:val="sq-AL"/>
        </w:rPr>
        <w:t>se nj</w:t>
      </w:r>
      <w:r w:rsidR="00CD22DE" w:rsidRPr="00930147">
        <w:rPr>
          <w:sz w:val="22"/>
          <w:lang w:val="sq-AL"/>
        </w:rPr>
        <w:t>ë</w:t>
      </w:r>
      <w:r w:rsidR="00B717B6" w:rsidRPr="00930147">
        <w:rPr>
          <w:sz w:val="22"/>
          <w:lang w:val="sq-AL"/>
        </w:rPr>
        <w:t xml:space="preserve"> njësi </w:t>
      </w:r>
      <w:r w:rsidR="00696728" w:rsidRPr="00930147">
        <w:rPr>
          <w:sz w:val="22"/>
          <w:lang w:val="sq-AL"/>
        </w:rPr>
        <w:t xml:space="preserve">e qeverisjes </w:t>
      </w:r>
      <w:r w:rsidR="00B717B6" w:rsidRPr="00930147">
        <w:rPr>
          <w:sz w:val="22"/>
          <w:lang w:val="sq-AL"/>
        </w:rPr>
        <w:t>vendore sipas Censusit</w:t>
      </w:r>
      <w:r w:rsidR="00F97249" w:rsidRPr="00930147">
        <w:rPr>
          <w:sz w:val="22"/>
          <w:lang w:val="sq-AL"/>
        </w:rPr>
        <w:t xml:space="preserve"> të vitit 2011 (të azh</w:t>
      </w:r>
      <w:r w:rsidR="004B6391" w:rsidRPr="00930147">
        <w:rPr>
          <w:sz w:val="22"/>
          <w:lang w:val="sq-AL"/>
        </w:rPr>
        <w:t>o</w:t>
      </w:r>
      <w:r w:rsidR="00F97249" w:rsidRPr="00930147">
        <w:rPr>
          <w:sz w:val="22"/>
          <w:lang w:val="sq-AL"/>
        </w:rPr>
        <w:t>rnuar me norm</w:t>
      </w:r>
      <w:r w:rsidR="00844006" w:rsidRPr="00930147">
        <w:rPr>
          <w:sz w:val="22"/>
          <w:lang w:val="sq-AL"/>
        </w:rPr>
        <w:t>ë</w:t>
      </w:r>
      <w:r w:rsidR="00F97249" w:rsidRPr="00930147">
        <w:rPr>
          <w:sz w:val="22"/>
          <w:lang w:val="sq-AL"/>
        </w:rPr>
        <w:t>n rajonale të rritjes s</w:t>
      </w:r>
      <w:r w:rsidR="00844006" w:rsidRPr="00930147">
        <w:rPr>
          <w:sz w:val="22"/>
          <w:lang w:val="sq-AL"/>
        </w:rPr>
        <w:t>ë</w:t>
      </w:r>
      <w:r w:rsidR="00F97249" w:rsidRPr="00930147">
        <w:rPr>
          <w:sz w:val="22"/>
          <w:lang w:val="sq-AL"/>
        </w:rPr>
        <w:t xml:space="preserve"> popullsis</w:t>
      </w:r>
      <w:r w:rsidR="00844006" w:rsidRPr="00930147">
        <w:rPr>
          <w:sz w:val="22"/>
          <w:lang w:val="sq-AL"/>
        </w:rPr>
        <w:t>ë</w:t>
      </w:r>
      <w:r w:rsidR="00F97249" w:rsidRPr="00930147">
        <w:rPr>
          <w:sz w:val="22"/>
          <w:lang w:val="sq-AL"/>
        </w:rPr>
        <w:t xml:space="preserve"> në vitin 2014) </w:t>
      </w:r>
      <w:r w:rsidR="00B717B6" w:rsidRPr="00930147">
        <w:rPr>
          <w:sz w:val="22"/>
          <w:lang w:val="sq-AL"/>
        </w:rPr>
        <w:t>ka 30.000 banor</w:t>
      </w:r>
      <w:r w:rsidR="00CD22DE" w:rsidRPr="00930147">
        <w:rPr>
          <w:sz w:val="22"/>
          <w:lang w:val="sq-AL"/>
        </w:rPr>
        <w:t>ë</w:t>
      </w:r>
      <w:r w:rsidR="00B717B6" w:rsidRPr="00930147">
        <w:rPr>
          <w:sz w:val="22"/>
          <w:lang w:val="sq-AL"/>
        </w:rPr>
        <w:t xml:space="preserve">, ndërsa sipas gjendjes civile </w:t>
      </w:r>
      <w:r w:rsidR="00696728" w:rsidRPr="00930147">
        <w:rPr>
          <w:sz w:val="22"/>
          <w:lang w:val="sq-AL"/>
        </w:rPr>
        <w:t>rezulton të ket</w:t>
      </w:r>
      <w:r w:rsidR="00844006" w:rsidRPr="00930147">
        <w:rPr>
          <w:sz w:val="22"/>
          <w:lang w:val="sq-AL"/>
        </w:rPr>
        <w:t>ë</w:t>
      </w:r>
      <w:r w:rsidR="00B717B6" w:rsidRPr="00930147">
        <w:rPr>
          <w:sz w:val="22"/>
          <w:lang w:val="sq-AL"/>
        </w:rPr>
        <w:t xml:space="preserve"> 45.000 banor</w:t>
      </w:r>
      <w:r w:rsidR="00CD22DE" w:rsidRPr="00930147">
        <w:rPr>
          <w:sz w:val="22"/>
          <w:lang w:val="sq-AL"/>
        </w:rPr>
        <w:t>ë</w:t>
      </w:r>
      <w:r w:rsidR="00B717B6" w:rsidRPr="00930147">
        <w:rPr>
          <w:sz w:val="22"/>
          <w:lang w:val="sq-AL"/>
        </w:rPr>
        <w:t>, at</w:t>
      </w:r>
      <w:r w:rsidR="00CD22DE" w:rsidRPr="00930147">
        <w:rPr>
          <w:sz w:val="22"/>
          <w:lang w:val="sq-AL"/>
        </w:rPr>
        <w:t>ë</w:t>
      </w:r>
      <w:r w:rsidR="00B717B6" w:rsidRPr="00930147">
        <w:rPr>
          <w:sz w:val="22"/>
          <w:lang w:val="sq-AL"/>
        </w:rPr>
        <w:t>her</w:t>
      </w:r>
      <w:r w:rsidR="00CD22DE" w:rsidRPr="00930147">
        <w:rPr>
          <w:sz w:val="22"/>
          <w:lang w:val="sq-AL"/>
        </w:rPr>
        <w:t>ë</w:t>
      </w:r>
      <w:r w:rsidR="00B717B6" w:rsidRPr="00930147">
        <w:rPr>
          <w:sz w:val="22"/>
          <w:lang w:val="sq-AL"/>
        </w:rPr>
        <w:t>, numri i popullsis</w:t>
      </w:r>
      <w:r w:rsidR="00CD22DE" w:rsidRPr="00930147">
        <w:rPr>
          <w:sz w:val="22"/>
          <w:lang w:val="sq-AL"/>
        </w:rPr>
        <w:t>ë</w:t>
      </w:r>
      <w:r w:rsidR="00B717B6" w:rsidRPr="00930147">
        <w:rPr>
          <w:sz w:val="22"/>
          <w:lang w:val="sq-AL"/>
        </w:rPr>
        <w:t xml:space="preserve"> s</w:t>
      </w:r>
      <w:r w:rsidR="00CD22DE" w:rsidRPr="00930147">
        <w:rPr>
          <w:sz w:val="22"/>
          <w:lang w:val="sq-AL"/>
        </w:rPr>
        <w:t>ë</w:t>
      </w:r>
      <w:r w:rsidR="00B717B6" w:rsidRPr="00930147">
        <w:rPr>
          <w:sz w:val="22"/>
          <w:lang w:val="sq-AL"/>
        </w:rPr>
        <w:t xml:space="preserve"> përdorur p</w:t>
      </w:r>
      <w:r w:rsidR="00CD22DE" w:rsidRPr="00930147">
        <w:rPr>
          <w:sz w:val="22"/>
          <w:lang w:val="sq-AL"/>
        </w:rPr>
        <w:t>ë</w:t>
      </w:r>
      <w:r w:rsidR="00B717B6" w:rsidRPr="00930147">
        <w:rPr>
          <w:sz w:val="22"/>
          <w:lang w:val="sq-AL"/>
        </w:rPr>
        <w:t>r alokimin e fondeve p</w:t>
      </w:r>
      <w:r w:rsidR="00CD22DE" w:rsidRPr="00930147">
        <w:rPr>
          <w:sz w:val="22"/>
          <w:lang w:val="sq-AL"/>
        </w:rPr>
        <w:t>ë</w:t>
      </w:r>
      <w:r w:rsidR="00B717B6" w:rsidRPr="00930147">
        <w:rPr>
          <w:sz w:val="22"/>
          <w:lang w:val="sq-AL"/>
        </w:rPr>
        <w:t>r k</w:t>
      </w:r>
      <w:r w:rsidR="00CD22DE" w:rsidRPr="00930147">
        <w:rPr>
          <w:sz w:val="22"/>
          <w:lang w:val="sq-AL"/>
        </w:rPr>
        <w:t>ë</w:t>
      </w:r>
      <w:r w:rsidR="00B717B6" w:rsidRPr="00930147">
        <w:rPr>
          <w:sz w:val="22"/>
          <w:lang w:val="sq-AL"/>
        </w:rPr>
        <w:t>t</w:t>
      </w:r>
      <w:r w:rsidR="00CD22DE" w:rsidRPr="00930147">
        <w:rPr>
          <w:sz w:val="22"/>
          <w:lang w:val="sq-AL"/>
        </w:rPr>
        <w:t>ë</w:t>
      </w:r>
      <w:r w:rsidR="00B717B6" w:rsidRPr="00930147">
        <w:rPr>
          <w:sz w:val="22"/>
          <w:lang w:val="sq-AL"/>
        </w:rPr>
        <w:t xml:space="preserve"> bashki do të jet</w:t>
      </w:r>
      <w:r w:rsidR="00CD22DE" w:rsidRPr="00930147">
        <w:rPr>
          <w:sz w:val="22"/>
          <w:lang w:val="sq-AL"/>
        </w:rPr>
        <w:t>ë</w:t>
      </w:r>
      <w:r w:rsidR="00B717B6" w:rsidRPr="00930147">
        <w:rPr>
          <w:sz w:val="22"/>
          <w:lang w:val="sq-AL"/>
        </w:rPr>
        <w:t xml:space="preserve"> 30.000 + </w:t>
      </w:r>
      <w:r w:rsidR="0082119A" w:rsidRPr="00930147">
        <w:rPr>
          <w:sz w:val="22"/>
          <w:lang w:val="sq-AL"/>
        </w:rPr>
        <w:t>(</w:t>
      </w:r>
      <w:r w:rsidR="00B717B6" w:rsidRPr="00930147">
        <w:rPr>
          <w:sz w:val="22"/>
          <w:lang w:val="sq-AL"/>
        </w:rPr>
        <w:t>(45.000-30.000)</w:t>
      </w:r>
      <w:r w:rsidR="00167D10" w:rsidRPr="00930147">
        <w:rPr>
          <w:sz w:val="22"/>
          <w:lang w:val="sq-AL"/>
        </w:rPr>
        <w:t>*30%</w:t>
      </w:r>
      <w:r w:rsidR="0082119A" w:rsidRPr="00930147">
        <w:rPr>
          <w:sz w:val="22"/>
          <w:lang w:val="sq-AL"/>
        </w:rPr>
        <w:t>)</w:t>
      </w:r>
      <w:r w:rsidR="00B717B6" w:rsidRPr="00930147">
        <w:rPr>
          <w:sz w:val="22"/>
          <w:lang w:val="sq-AL"/>
        </w:rPr>
        <w:t xml:space="preserve"> = </w:t>
      </w:r>
      <w:r w:rsidR="00C336AD" w:rsidRPr="00930147">
        <w:rPr>
          <w:sz w:val="22"/>
          <w:lang w:val="sq-AL"/>
        </w:rPr>
        <w:t>34.500 banor</w:t>
      </w:r>
      <w:r w:rsidR="00CD22DE" w:rsidRPr="00930147">
        <w:rPr>
          <w:sz w:val="22"/>
          <w:lang w:val="sq-AL"/>
        </w:rPr>
        <w:t>ë</w:t>
      </w:r>
      <w:r w:rsidR="00C336AD" w:rsidRPr="00930147">
        <w:rPr>
          <w:sz w:val="22"/>
          <w:lang w:val="sq-AL"/>
        </w:rPr>
        <w:t xml:space="preserve"> të konsideruar rezident</w:t>
      </w:r>
      <w:r w:rsidR="00CD22DE" w:rsidRPr="00930147">
        <w:rPr>
          <w:sz w:val="22"/>
          <w:lang w:val="sq-AL"/>
        </w:rPr>
        <w:t>ë</w:t>
      </w:r>
      <w:r w:rsidR="00C336AD" w:rsidRPr="00930147">
        <w:rPr>
          <w:sz w:val="22"/>
          <w:lang w:val="sq-AL"/>
        </w:rPr>
        <w:t xml:space="preserve"> efektiv</w:t>
      </w:r>
      <w:r w:rsidR="00CD22DE" w:rsidRPr="00930147">
        <w:rPr>
          <w:sz w:val="22"/>
          <w:lang w:val="sq-AL"/>
        </w:rPr>
        <w:t>ë</w:t>
      </w:r>
      <w:r w:rsidR="00C336AD" w:rsidRPr="00930147">
        <w:rPr>
          <w:sz w:val="22"/>
          <w:lang w:val="sq-AL"/>
        </w:rPr>
        <w:t xml:space="preserve"> në at</w:t>
      </w:r>
      <w:r w:rsidR="00CD22DE" w:rsidRPr="00930147">
        <w:rPr>
          <w:sz w:val="22"/>
          <w:lang w:val="sq-AL"/>
        </w:rPr>
        <w:t>ë</w:t>
      </w:r>
      <w:r w:rsidR="00C336AD" w:rsidRPr="00930147">
        <w:rPr>
          <w:sz w:val="22"/>
          <w:lang w:val="sq-AL"/>
        </w:rPr>
        <w:t xml:space="preserve"> njësi të</w:t>
      </w:r>
      <w:r w:rsidR="00696728" w:rsidRPr="00930147">
        <w:rPr>
          <w:sz w:val="22"/>
          <w:lang w:val="sq-AL"/>
        </w:rPr>
        <w:t xml:space="preserve"> qeverisjes vendore. Në </w:t>
      </w:r>
      <w:r w:rsidR="00A63E56" w:rsidRPr="00930147">
        <w:rPr>
          <w:sz w:val="22"/>
          <w:lang w:val="sq-AL"/>
        </w:rPr>
        <w:t>k</w:t>
      </w:r>
      <w:r w:rsidR="00844006" w:rsidRPr="00930147">
        <w:rPr>
          <w:sz w:val="22"/>
          <w:lang w:val="sq-AL"/>
        </w:rPr>
        <w:t>ë</w:t>
      </w:r>
      <w:r w:rsidR="00A63E56" w:rsidRPr="00930147">
        <w:rPr>
          <w:sz w:val="22"/>
          <w:lang w:val="sq-AL"/>
        </w:rPr>
        <w:t>t</w:t>
      </w:r>
      <w:r w:rsidR="00844006" w:rsidRPr="00930147">
        <w:rPr>
          <w:sz w:val="22"/>
          <w:lang w:val="sq-AL"/>
        </w:rPr>
        <w:t>ë</w:t>
      </w:r>
      <w:r w:rsidR="00A63E56" w:rsidRPr="00930147">
        <w:rPr>
          <w:sz w:val="22"/>
          <w:lang w:val="sq-AL"/>
        </w:rPr>
        <w:t xml:space="preserve"> m</w:t>
      </w:r>
      <w:r w:rsidR="00844006" w:rsidRPr="00930147">
        <w:rPr>
          <w:sz w:val="22"/>
          <w:lang w:val="sq-AL"/>
        </w:rPr>
        <w:t>ë</w:t>
      </w:r>
      <w:r w:rsidR="00A63E56" w:rsidRPr="00930147">
        <w:rPr>
          <w:sz w:val="22"/>
          <w:lang w:val="sq-AL"/>
        </w:rPr>
        <w:t>nyr</w:t>
      </w:r>
      <w:r w:rsidR="00844006" w:rsidRPr="00930147">
        <w:rPr>
          <w:sz w:val="22"/>
          <w:lang w:val="sq-AL"/>
        </w:rPr>
        <w:t>ë</w:t>
      </w:r>
      <w:r w:rsidR="00A63E56" w:rsidRPr="00930147">
        <w:rPr>
          <w:sz w:val="22"/>
          <w:lang w:val="sq-AL"/>
        </w:rPr>
        <w:t xml:space="preserve">, </w:t>
      </w:r>
      <w:r w:rsidR="00F97249" w:rsidRPr="00930147">
        <w:rPr>
          <w:sz w:val="22"/>
          <w:lang w:val="sq-AL"/>
        </w:rPr>
        <w:t>popullsia rezidente rezulton rreth 3.3 milion banor</w:t>
      </w:r>
      <w:r w:rsidR="00844006" w:rsidRPr="00930147">
        <w:rPr>
          <w:sz w:val="22"/>
          <w:lang w:val="sq-AL"/>
        </w:rPr>
        <w:t>ë</w:t>
      </w:r>
      <w:r w:rsidR="005E23FF" w:rsidRPr="00930147">
        <w:rPr>
          <w:sz w:val="22"/>
          <w:lang w:val="sq-AL"/>
        </w:rPr>
        <w:t>, nga 2.9 milion q</w:t>
      </w:r>
      <w:r w:rsidR="00844006" w:rsidRPr="00930147">
        <w:rPr>
          <w:sz w:val="22"/>
          <w:lang w:val="sq-AL"/>
        </w:rPr>
        <w:t>ë</w:t>
      </w:r>
      <w:r w:rsidR="005E23FF" w:rsidRPr="00930147">
        <w:rPr>
          <w:sz w:val="22"/>
          <w:lang w:val="sq-AL"/>
        </w:rPr>
        <w:t xml:space="preserve"> raportohet nga Censusi dhe 4.3 milion q</w:t>
      </w:r>
      <w:r w:rsidR="00844006" w:rsidRPr="00930147">
        <w:rPr>
          <w:sz w:val="22"/>
          <w:lang w:val="sq-AL"/>
        </w:rPr>
        <w:t>ë</w:t>
      </w:r>
      <w:r w:rsidR="005E23FF" w:rsidRPr="00930147">
        <w:rPr>
          <w:sz w:val="22"/>
          <w:lang w:val="sq-AL"/>
        </w:rPr>
        <w:t xml:space="preserve"> raportohet nga Regjistri i Gjendjes Civile</w:t>
      </w:r>
      <w:r w:rsidR="00F97249" w:rsidRPr="00930147">
        <w:rPr>
          <w:sz w:val="22"/>
          <w:lang w:val="sq-AL"/>
        </w:rPr>
        <w:t>. Vler</w:t>
      </w:r>
      <w:r w:rsidR="00844006" w:rsidRPr="00930147">
        <w:rPr>
          <w:sz w:val="22"/>
          <w:lang w:val="sq-AL"/>
        </w:rPr>
        <w:t>ë</w:t>
      </w:r>
      <w:r w:rsidR="00F97249" w:rsidRPr="00930147">
        <w:rPr>
          <w:sz w:val="22"/>
          <w:lang w:val="sq-AL"/>
        </w:rPr>
        <w:t>sohet se nj</w:t>
      </w:r>
      <w:r w:rsidR="00844006" w:rsidRPr="00930147">
        <w:rPr>
          <w:sz w:val="22"/>
          <w:lang w:val="sq-AL"/>
        </w:rPr>
        <w:t>ë</w:t>
      </w:r>
      <w:r w:rsidR="00F97249" w:rsidRPr="00930147">
        <w:rPr>
          <w:sz w:val="22"/>
          <w:lang w:val="sq-AL"/>
        </w:rPr>
        <w:t xml:space="preserve"> kompromis midis dy burimeve të të dhënave </w:t>
      </w:r>
      <w:r w:rsidR="00844006" w:rsidRPr="00930147">
        <w:rPr>
          <w:sz w:val="22"/>
          <w:lang w:val="sq-AL"/>
        </w:rPr>
        <w:t>ë</w:t>
      </w:r>
      <w:r w:rsidR="00F97249" w:rsidRPr="00930147">
        <w:rPr>
          <w:sz w:val="22"/>
          <w:lang w:val="sq-AL"/>
        </w:rPr>
        <w:t>sht</w:t>
      </w:r>
      <w:r w:rsidR="00844006" w:rsidRPr="00930147">
        <w:rPr>
          <w:sz w:val="22"/>
          <w:lang w:val="sq-AL"/>
        </w:rPr>
        <w:t>ë</w:t>
      </w:r>
      <w:r w:rsidR="00F97249" w:rsidRPr="00930147">
        <w:rPr>
          <w:sz w:val="22"/>
          <w:lang w:val="sq-AL"/>
        </w:rPr>
        <w:t xml:space="preserve"> i nevojshëm</w:t>
      </w:r>
      <w:r w:rsidR="008B77D0" w:rsidRPr="00930147">
        <w:rPr>
          <w:sz w:val="22"/>
          <w:lang w:val="sq-AL"/>
        </w:rPr>
        <w:t>, dhe rregullimi me 30% të diferencës midis të dhënave të Gjendjes Civile dhe Censusit amortizo</w:t>
      </w:r>
      <w:r w:rsidR="00A63E56" w:rsidRPr="00930147">
        <w:rPr>
          <w:sz w:val="22"/>
          <w:lang w:val="sq-AL"/>
        </w:rPr>
        <w:t xml:space="preserve">n ndryshimet në </w:t>
      </w:r>
      <w:r w:rsidR="008B77D0" w:rsidRPr="00930147">
        <w:rPr>
          <w:sz w:val="22"/>
          <w:lang w:val="sq-AL"/>
        </w:rPr>
        <w:t>transfert</w:t>
      </w:r>
      <w:r w:rsidR="00844006" w:rsidRPr="00930147">
        <w:rPr>
          <w:sz w:val="22"/>
          <w:lang w:val="sq-AL"/>
        </w:rPr>
        <w:t>ë</w:t>
      </w:r>
      <w:r w:rsidR="008B77D0" w:rsidRPr="00930147">
        <w:rPr>
          <w:sz w:val="22"/>
          <w:lang w:val="sq-AL"/>
        </w:rPr>
        <w:t xml:space="preserve"> </w:t>
      </w:r>
      <w:r w:rsidR="00A63E56" w:rsidRPr="00930147">
        <w:rPr>
          <w:sz w:val="22"/>
          <w:lang w:val="sq-AL"/>
        </w:rPr>
        <w:t>q</w:t>
      </w:r>
      <w:r w:rsidR="00844006" w:rsidRPr="00930147">
        <w:rPr>
          <w:sz w:val="22"/>
          <w:lang w:val="sq-AL"/>
        </w:rPr>
        <w:t>ë</w:t>
      </w:r>
      <w:r w:rsidR="00A63E56" w:rsidRPr="00930147">
        <w:rPr>
          <w:sz w:val="22"/>
          <w:lang w:val="sq-AL"/>
        </w:rPr>
        <w:t xml:space="preserve"> do të p</w:t>
      </w:r>
      <w:r w:rsidR="00844006" w:rsidRPr="00930147">
        <w:rPr>
          <w:sz w:val="22"/>
          <w:lang w:val="sq-AL"/>
        </w:rPr>
        <w:t>ë</w:t>
      </w:r>
      <w:r w:rsidR="00A63E56" w:rsidRPr="00930147">
        <w:rPr>
          <w:sz w:val="22"/>
          <w:lang w:val="sq-AL"/>
        </w:rPr>
        <w:t>sont</w:t>
      </w:r>
      <w:r w:rsidR="004B6391" w:rsidRPr="00930147">
        <w:rPr>
          <w:sz w:val="22"/>
          <w:lang w:val="sq-AL"/>
        </w:rPr>
        <w:t>e</w:t>
      </w:r>
      <w:r w:rsidR="00A63E56" w:rsidRPr="00930147">
        <w:rPr>
          <w:sz w:val="22"/>
          <w:lang w:val="sq-AL"/>
        </w:rPr>
        <w:t xml:space="preserve"> nj</w:t>
      </w:r>
      <w:r w:rsidR="00844006" w:rsidRPr="00930147">
        <w:rPr>
          <w:sz w:val="22"/>
          <w:lang w:val="sq-AL"/>
        </w:rPr>
        <w:t>ë</w:t>
      </w:r>
      <w:r w:rsidR="00A63E56" w:rsidRPr="00930147">
        <w:rPr>
          <w:sz w:val="22"/>
          <w:lang w:val="sq-AL"/>
        </w:rPr>
        <w:t xml:space="preserve"> njësi nga kalimi nga nj</w:t>
      </w:r>
      <w:r w:rsidR="00844006" w:rsidRPr="00930147">
        <w:rPr>
          <w:sz w:val="22"/>
          <w:lang w:val="sq-AL"/>
        </w:rPr>
        <w:t>ë</w:t>
      </w:r>
      <w:r w:rsidR="00A63E56" w:rsidRPr="00930147">
        <w:rPr>
          <w:sz w:val="22"/>
          <w:lang w:val="sq-AL"/>
        </w:rPr>
        <w:t xml:space="preserve"> formul</w:t>
      </w:r>
      <w:r w:rsidR="00844006" w:rsidRPr="00930147">
        <w:rPr>
          <w:sz w:val="22"/>
          <w:lang w:val="sq-AL"/>
        </w:rPr>
        <w:t>ë</w:t>
      </w:r>
      <w:r w:rsidR="00A63E56" w:rsidRPr="00930147">
        <w:rPr>
          <w:sz w:val="22"/>
          <w:lang w:val="sq-AL"/>
        </w:rPr>
        <w:t xml:space="preserve"> në tjetr</w:t>
      </w:r>
      <w:r w:rsidR="00844006" w:rsidRPr="00930147">
        <w:rPr>
          <w:sz w:val="22"/>
          <w:lang w:val="sq-AL"/>
        </w:rPr>
        <w:t>ë</w:t>
      </w:r>
      <w:r w:rsidR="00A63E56" w:rsidRPr="00930147">
        <w:rPr>
          <w:sz w:val="22"/>
          <w:lang w:val="sq-AL"/>
        </w:rPr>
        <w:t xml:space="preserve">n. </w:t>
      </w:r>
    </w:p>
    <w:p w:rsidR="009B467D" w:rsidRPr="00930147" w:rsidRDefault="009B467D" w:rsidP="00907372">
      <w:pPr>
        <w:jc w:val="both"/>
        <w:rPr>
          <w:sz w:val="22"/>
          <w:lang w:val="sq-AL"/>
        </w:rPr>
      </w:pPr>
    </w:p>
    <w:p w:rsidR="009429A6" w:rsidRPr="00930147" w:rsidRDefault="00A63E56" w:rsidP="00001EFF">
      <w:pPr>
        <w:pStyle w:val="ListParagraph"/>
        <w:numPr>
          <w:ilvl w:val="0"/>
          <w:numId w:val="27"/>
        </w:numPr>
        <w:rPr>
          <w:rFonts w:asciiTheme="minorHAnsi" w:hAnsiTheme="minorHAnsi"/>
          <w:b/>
          <w:bCs/>
          <w:color w:val="002060"/>
          <w:szCs w:val="20"/>
          <w:lang w:val="sq-AL"/>
        </w:rPr>
      </w:pPr>
      <w:r w:rsidRPr="00930147">
        <w:rPr>
          <w:rFonts w:asciiTheme="minorHAnsi" w:hAnsiTheme="minorHAnsi"/>
          <w:b/>
          <w:bCs/>
          <w:color w:val="002060"/>
          <w:szCs w:val="20"/>
          <w:lang w:val="sq-AL"/>
        </w:rPr>
        <w:t>Shp</w:t>
      </w:r>
      <w:r w:rsidR="00844006" w:rsidRPr="00930147">
        <w:rPr>
          <w:rFonts w:asciiTheme="minorHAnsi" w:hAnsiTheme="minorHAnsi"/>
          <w:b/>
          <w:bCs/>
          <w:color w:val="002060"/>
          <w:szCs w:val="20"/>
          <w:lang w:val="sq-AL"/>
        </w:rPr>
        <w:t>ë</w:t>
      </w:r>
      <w:r w:rsidRPr="00930147">
        <w:rPr>
          <w:rFonts w:asciiTheme="minorHAnsi" w:hAnsiTheme="minorHAnsi"/>
          <w:b/>
          <w:bCs/>
          <w:color w:val="002060"/>
          <w:szCs w:val="20"/>
          <w:lang w:val="sq-AL"/>
        </w:rPr>
        <w:t>rndarja e transfertës s</w:t>
      </w:r>
      <w:r w:rsidR="00844006" w:rsidRPr="00930147">
        <w:rPr>
          <w:rFonts w:asciiTheme="minorHAnsi" w:hAnsiTheme="minorHAnsi"/>
          <w:b/>
          <w:bCs/>
          <w:color w:val="002060"/>
          <w:szCs w:val="20"/>
          <w:lang w:val="sq-AL"/>
        </w:rPr>
        <w:t>ë</w:t>
      </w:r>
      <w:r w:rsidRPr="00930147">
        <w:rPr>
          <w:rFonts w:asciiTheme="minorHAnsi" w:hAnsiTheme="minorHAnsi"/>
          <w:b/>
          <w:bCs/>
          <w:color w:val="002060"/>
          <w:szCs w:val="20"/>
          <w:lang w:val="sq-AL"/>
        </w:rPr>
        <w:t xml:space="preserve"> pakushtëzuar p</w:t>
      </w:r>
      <w:r w:rsidR="00844006" w:rsidRPr="00930147">
        <w:rPr>
          <w:rFonts w:asciiTheme="minorHAnsi" w:hAnsiTheme="minorHAnsi"/>
          <w:b/>
          <w:bCs/>
          <w:color w:val="002060"/>
          <w:szCs w:val="20"/>
          <w:lang w:val="sq-AL"/>
        </w:rPr>
        <w:t>ë</w:t>
      </w:r>
      <w:r w:rsidRPr="00930147">
        <w:rPr>
          <w:rFonts w:asciiTheme="minorHAnsi" w:hAnsiTheme="minorHAnsi"/>
          <w:b/>
          <w:bCs/>
          <w:color w:val="002060"/>
          <w:szCs w:val="20"/>
          <w:lang w:val="sq-AL"/>
        </w:rPr>
        <w:t>r Bashkit</w:t>
      </w:r>
      <w:r w:rsidR="00844006" w:rsidRPr="00930147">
        <w:rPr>
          <w:rFonts w:asciiTheme="minorHAnsi" w:hAnsiTheme="minorHAnsi"/>
          <w:b/>
          <w:bCs/>
          <w:color w:val="002060"/>
          <w:szCs w:val="20"/>
          <w:lang w:val="sq-AL"/>
        </w:rPr>
        <w:t>ë</w:t>
      </w:r>
      <w:r w:rsidRPr="00930147">
        <w:rPr>
          <w:rFonts w:asciiTheme="minorHAnsi" w:hAnsiTheme="minorHAnsi"/>
          <w:b/>
          <w:bCs/>
          <w:color w:val="002060"/>
          <w:szCs w:val="20"/>
          <w:lang w:val="sq-AL"/>
        </w:rPr>
        <w:t xml:space="preserve">. </w:t>
      </w:r>
    </w:p>
    <w:p w:rsidR="00A63E56" w:rsidRPr="00930147" w:rsidRDefault="00A63E56" w:rsidP="00A63E56">
      <w:pPr>
        <w:jc w:val="both"/>
        <w:rPr>
          <w:sz w:val="22"/>
          <w:lang w:val="sq-AL"/>
        </w:rPr>
      </w:pPr>
    </w:p>
    <w:p w:rsidR="005E5454" w:rsidRPr="0078491E" w:rsidRDefault="005E5454" w:rsidP="00907372">
      <w:pPr>
        <w:jc w:val="both"/>
        <w:rPr>
          <w:sz w:val="22"/>
          <w:szCs w:val="22"/>
          <w:lang w:val="sq-AL"/>
        </w:rPr>
      </w:pPr>
      <w:r w:rsidRPr="0078491E">
        <w:rPr>
          <w:sz w:val="22"/>
          <w:szCs w:val="22"/>
          <w:lang w:val="sq-AL"/>
        </w:rPr>
        <w:t>P</w:t>
      </w:r>
      <w:r w:rsidR="00844006" w:rsidRPr="0078491E">
        <w:rPr>
          <w:sz w:val="22"/>
          <w:szCs w:val="22"/>
          <w:lang w:val="sq-AL"/>
        </w:rPr>
        <w:t>ë</w:t>
      </w:r>
      <w:r w:rsidRPr="0078491E">
        <w:rPr>
          <w:sz w:val="22"/>
          <w:szCs w:val="22"/>
          <w:lang w:val="sq-AL"/>
        </w:rPr>
        <w:t>r vitin 2016, transferta e pakushtëzuar e cila ndahet sipas formulës p</w:t>
      </w:r>
      <w:r w:rsidR="00844006" w:rsidRPr="0078491E">
        <w:rPr>
          <w:sz w:val="22"/>
          <w:szCs w:val="22"/>
          <w:lang w:val="sq-AL"/>
        </w:rPr>
        <w:t>ë</w:t>
      </w:r>
      <w:r w:rsidRPr="0078491E">
        <w:rPr>
          <w:sz w:val="22"/>
          <w:szCs w:val="22"/>
          <w:lang w:val="sq-AL"/>
        </w:rPr>
        <w:t>r 61 bashkit</w:t>
      </w:r>
      <w:r w:rsidR="00844006" w:rsidRPr="0078491E">
        <w:rPr>
          <w:sz w:val="22"/>
          <w:szCs w:val="22"/>
          <w:lang w:val="sq-AL"/>
        </w:rPr>
        <w:t>ë</w:t>
      </w:r>
      <w:r w:rsidRPr="0078491E">
        <w:rPr>
          <w:sz w:val="22"/>
          <w:szCs w:val="22"/>
          <w:lang w:val="sq-AL"/>
        </w:rPr>
        <w:t xml:space="preserve"> e reja </w:t>
      </w:r>
      <w:r w:rsidR="004B6391" w:rsidRPr="0078491E">
        <w:rPr>
          <w:sz w:val="22"/>
          <w:szCs w:val="22"/>
          <w:lang w:val="sq-AL"/>
        </w:rPr>
        <w:t>është</w:t>
      </w:r>
      <w:r w:rsidRPr="0078491E">
        <w:rPr>
          <w:sz w:val="22"/>
          <w:szCs w:val="22"/>
          <w:lang w:val="sq-AL"/>
        </w:rPr>
        <w:t xml:space="preserve"> </w:t>
      </w:r>
      <w:r w:rsidR="009B467D">
        <w:rPr>
          <w:sz w:val="22"/>
          <w:lang w:val="sq-AL"/>
        </w:rPr>
        <w:t>12.693.248.132</w:t>
      </w:r>
      <w:r w:rsidR="009B467D" w:rsidRPr="00930147">
        <w:rPr>
          <w:sz w:val="22"/>
          <w:lang w:val="sq-AL"/>
        </w:rPr>
        <w:t xml:space="preserve"> </w:t>
      </w:r>
      <w:r w:rsidR="00E86C85" w:rsidRPr="009B467D">
        <w:rPr>
          <w:sz w:val="22"/>
          <w:szCs w:val="22"/>
          <w:lang w:val="sq-AL"/>
        </w:rPr>
        <w:t>Lek</w:t>
      </w:r>
      <w:r w:rsidR="00844006" w:rsidRPr="009B467D">
        <w:rPr>
          <w:sz w:val="22"/>
          <w:szCs w:val="22"/>
          <w:lang w:val="sq-AL"/>
        </w:rPr>
        <w:t>ë</w:t>
      </w:r>
      <w:r w:rsidR="00E86C85" w:rsidRPr="0078491E">
        <w:rPr>
          <w:sz w:val="22"/>
          <w:szCs w:val="22"/>
          <w:lang w:val="sq-AL"/>
        </w:rPr>
        <w:t xml:space="preserve"> dhe do të ndahet sipas kritereve të mëposhtme</w:t>
      </w:r>
      <w:r w:rsidR="003E04FF" w:rsidRPr="0078491E">
        <w:rPr>
          <w:sz w:val="22"/>
          <w:szCs w:val="22"/>
          <w:lang w:val="sq-AL"/>
        </w:rPr>
        <w:t xml:space="preserve">. </w:t>
      </w:r>
      <w:r w:rsidR="00A16153" w:rsidRPr="0078491E">
        <w:rPr>
          <w:sz w:val="22"/>
          <w:szCs w:val="22"/>
          <w:lang w:val="sq-AL"/>
        </w:rPr>
        <w:t>Kriteret e shpërndarjes së fondeve në formulën e re kërkojnë të identifikojnë nevojat reale të shpenzimeve të njësive të ndryshme qeverisjes mbi bazën e popullsisë, dendësisë së popullsisë dhe numrit të nxënësve në shkollat publike 9-vjeçare dhe të mesme në territorin e një bashkie.</w:t>
      </w:r>
    </w:p>
    <w:p w:rsidR="00B207C5" w:rsidRPr="0078491E" w:rsidRDefault="00B207C5" w:rsidP="00B207C5">
      <w:pPr>
        <w:jc w:val="both"/>
        <w:rPr>
          <w:sz w:val="22"/>
          <w:szCs w:val="22"/>
          <w:lang w:val="sq-AL"/>
        </w:rPr>
      </w:pPr>
    </w:p>
    <w:p w:rsidR="00B207C5" w:rsidRPr="0078491E" w:rsidRDefault="00B207C5" w:rsidP="00B207C5">
      <w:pPr>
        <w:jc w:val="both"/>
        <w:rPr>
          <w:sz w:val="22"/>
          <w:szCs w:val="22"/>
          <w:lang w:val="sq-AL"/>
        </w:rPr>
      </w:pPr>
      <w:r w:rsidRPr="0078491E">
        <w:rPr>
          <w:sz w:val="22"/>
          <w:szCs w:val="22"/>
          <w:lang w:val="sq-AL"/>
        </w:rPr>
        <w:t>Në formul</w:t>
      </w:r>
      <w:r w:rsidR="00844006" w:rsidRPr="0078491E">
        <w:rPr>
          <w:sz w:val="22"/>
          <w:szCs w:val="22"/>
          <w:lang w:val="sq-AL"/>
        </w:rPr>
        <w:t>ë</w:t>
      </w:r>
      <w:r w:rsidRPr="0078491E">
        <w:rPr>
          <w:sz w:val="22"/>
          <w:szCs w:val="22"/>
          <w:lang w:val="sq-AL"/>
        </w:rPr>
        <w:t>n e re 80% e transfertës p</w:t>
      </w:r>
      <w:r w:rsidR="00844006" w:rsidRPr="0078491E">
        <w:rPr>
          <w:sz w:val="22"/>
          <w:szCs w:val="22"/>
          <w:lang w:val="sq-AL"/>
        </w:rPr>
        <w:t>ë</w:t>
      </w:r>
      <w:r w:rsidRPr="0078491E">
        <w:rPr>
          <w:sz w:val="22"/>
          <w:szCs w:val="22"/>
          <w:lang w:val="sq-AL"/>
        </w:rPr>
        <w:t>r bashkitë alokohet mbi baz</w:t>
      </w:r>
      <w:r w:rsidR="00844006" w:rsidRPr="0078491E">
        <w:rPr>
          <w:sz w:val="22"/>
          <w:szCs w:val="22"/>
          <w:lang w:val="sq-AL"/>
        </w:rPr>
        <w:t>ë</w:t>
      </w:r>
      <w:r w:rsidRPr="0078491E">
        <w:rPr>
          <w:sz w:val="22"/>
          <w:szCs w:val="22"/>
          <w:lang w:val="sq-AL"/>
        </w:rPr>
        <w:t>n e popullsis</w:t>
      </w:r>
      <w:r w:rsidR="00844006" w:rsidRPr="0078491E">
        <w:rPr>
          <w:sz w:val="22"/>
          <w:szCs w:val="22"/>
          <w:lang w:val="sq-AL"/>
        </w:rPr>
        <w:t>ë</w:t>
      </w:r>
      <w:r w:rsidRPr="0078491E">
        <w:rPr>
          <w:sz w:val="22"/>
          <w:szCs w:val="22"/>
          <w:lang w:val="sq-AL"/>
        </w:rPr>
        <w:t xml:space="preserve"> relative. Në vijim të rregullimit të numrit të popullsis</w:t>
      </w:r>
      <w:r w:rsidR="00844006" w:rsidRPr="0078491E">
        <w:rPr>
          <w:sz w:val="22"/>
          <w:szCs w:val="22"/>
          <w:lang w:val="sq-AL"/>
        </w:rPr>
        <w:t>ë</w:t>
      </w:r>
      <w:r w:rsidRPr="0078491E">
        <w:rPr>
          <w:sz w:val="22"/>
          <w:szCs w:val="22"/>
          <w:lang w:val="sq-AL"/>
        </w:rPr>
        <w:t xml:space="preserve"> s</w:t>
      </w:r>
      <w:r w:rsidR="00844006" w:rsidRPr="0078491E">
        <w:rPr>
          <w:sz w:val="22"/>
          <w:szCs w:val="22"/>
          <w:lang w:val="sq-AL"/>
        </w:rPr>
        <w:t>ë</w:t>
      </w:r>
      <w:r w:rsidRPr="0078491E">
        <w:rPr>
          <w:sz w:val="22"/>
          <w:szCs w:val="22"/>
          <w:lang w:val="sq-AL"/>
        </w:rPr>
        <w:t xml:space="preserve"> Censusit duke i shtuar atij edhe 30% të diferencës midis të dhënave të Gjendjes Civile dhe të dhënave të Censusit, </w:t>
      </w:r>
      <w:r w:rsidR="004B6391" w:rsidRPr="0078491E">
        <w:rPr>
          <w:sz w:val="22"/>
          <w:szCs w:val="22"/>
          <w:lang w:val="sq-AL"/>
        </w:rPr>
        <w:t>çdo</w:t>
      </w:r>
      <w:r w:rsidRPr="0078491E">
        <w:rPr>
          <w:sz w:val="22"/>
          <w:szCs w:val="22"/>
          <w:lang w:val="sq-AL"/>
        </w:rPr>
        <w:t xml:space="preserve"> njësi e qeverisjes vendore </w:t>
      </w:r>
      <w:r w:rsidR="004B6391" w:rsidRPr="0078491E">
        <w:rPr>
          <w:sz w:val="22"/>
          <w:szCs w:val="22"/>
          <w:lang w:val="sq-AL"/>
        </w:rPr>
        <w:t>m</w:t>
      </w:r>
      <w:r w:rsidR="009B467D">
        <w:rPr>
          <w:sz w:val="22"/>
          <w:szCs w:val="22"/>
          <w:lang w:val="sq-AL"/>
        </w:rPr>
        <w:t>a</w:t>
      </w:r>
      <w:r w:rsidR="004B6391" w:rsidRPr="0078491E">
        <w:rPr>
          <w:sz w:val="22"/>
          <w:szCs w:val="22"/>
          <w:lang w:val="sq-AL"/>
        </w:rPr>
        <w:t>rre</w:t>
      </w:r>
      <w:r w:rsidRPr="0078491E">
        <w:rPr>
          <w:sz w:val="22"/>
          <w:szCs w:val="22"/>
          <w:lang w:val="sq-AL"/>
        </w:rPr>
        <w:t xml:space="preserve"> nj</w:t>
      </w:r>
      <w:r w:rsidR="00844006" w:rsidRPr="0078491E">
        <w:rPr>
          <w:sz w:val="22"/>
          <w:szCs w:val="22"/>
          <w:lang w:val="sq-AL"/>
        </w:rPr>
        <w:t>ë</w:t>
      </w:r>
      <w:r w:rsidRPr="0078491E">
        <w:rPr>
          <w:sz w:val="22"/>
          <w:szCs w:val="22"/>
          <w:lang w:val="sq-AL"/>
        </w:rPr>
        <w:t xml:space="preserve"> transfert</w:t>
      </w:r>
      <w:r w:rsidR="00844006" w:rsidRPr="0078491E">
        <w:rPr>
          <w:sz w:val="22"/>
          <w:szCs w:val="22"/>
          <w:lang w:val="sq-AL"/>
        </w:rPr>
        <w:t>ë</w:t>
      </w:r>
      <w:r w:rsidRPr="0078491E">
        <w:rPr>
          <w:sz w:val="22"/>
          <w:szCs w:val="22"/>
          <w:lang w:val="sq-AL"/>
        </w:rPr>
        <w:t xml:space="preserve"> të pakushtëzuar prej 3.0</w:t>
      </w:r>
      <w:r w:rsidR="009B467D">
        <w:rPr>
          <w:sz w:val="22"/>
          <w:szCs w:val="22"/>
          <w:lang w:val="sq-AL"/>
        </w:rPr>
        <w:t>45</w:t>
      </w:r>
      <w:r w:rsidRPr="0078491E">
        <w:rPr>
          <w:sz w:val="22"/>
          <w:szCs w:val="22"/>
          <w:lang w:val="sq-AL"/>
        </w:rPr>
        <w:t xml:space="preserve"> lek</w:t>
      </w:r>
      <w:r w:rsidR="00844006" w:rsidRPr="0078491E">
        <w:rPr>
          <w:sz w:val="22"/>
          <w:szCs w:val="22"/>
          <w:lang w:val="sq-AL"/>
        </w:rPr>
        <w:t>ë</w:t>
      </w:r>
      <w:r w:rsidRPr="0078491E">
        <w:rPr>
          <w:sz w:val="22"/>
          <w:szCs w:val="22"/>
          <w:lang w:val="sq-AL"/>
        </w:rPr>
        <w:t>, p</w:t>
      </w:r>
      <w:r w:rsidR="00844006" w:rsidRPr="0078491E">
        <w:rPr>
          <w:sz w:val="22"/>
          <w:szCs w:val="22"/>
          <w:lang w:val="sq-AL"/>
        </w:rPr>
        <w:t>ë</w:t>
      </w:r>
      <w:r w:rsidRPr="0078491E">
        <w:rPr>
          <w:sz w:val="22"/>
          <w:szCs w:val="22"/>
          <w:lang w:val="sq-AL"/>
        </w:rPr>
        <w:t>r çdo banor rezident në nj</w:t>
      </w:r>
      <w:r w:rsidR="00844006" w:rsidRPr="0078491E">
        <w:rPr>
          <w:sz w:val="22"/>
          <w:szCs w:val="22"/>
          <w:lang w:val="sq-AL"/>
        </w:rPr>
        <w:t>ë</w:t>
      </w:r>
      <w:r w:rsidRPr="0078491E">
        <w:rPr>
          <w:sz w:val="22"/>
          <w:szCs w:val="22"/>
          <w:lang w:val="sq-AL"/>
        </w:rPr>
        <w:t>sin</w:t>
      </w:r>
      <w:r w:rsidR="00844006" w:rsidRPr="0078491E">
        <w:rPr>
          <w:sz w:val="22"/>
          <w:szCs w:val="22"/>
          <w:lang w:val="sq-AL"/>
        </w:rPr>
        <w:t>ë</w:t>
      </w:r>
      <w:r w:rsidRPr="0078491E">
        <w:rPr>
          <w:sz w:val="22"/>
          <w:szCs w:val="22"/>
          <w:lang w:val="sq-AL"/>
        </w:rPr>
        <w:t xml:space="preserve"> e qeverisjes vendore. </w:t>
      </w:r>
    </w:p>
    <w:p w:rsidR="003E04FF" w:rsidRPr="00930147" w:rsidRDefault="003E04FF" w:rsidP="00907372">
      <w:pPr>
        <w:jc w:val="both"/>
        <w:rPr>
          <w:sz w:val="22"/>
          <w:lang w:val="sq-AL"/>
        </w:rPr>
      </w:pPr>
    </w:p>
    <w:tbl>
      <w:tblPr>
        <w:tblW w:w="9770" w:type="dxa"/>
        <w:tblInd w:w="108" w:type="dxa"/>
        <w:tblLook w:val="04A0" w:firstRow="1" w:lastRow="0" w:firstColumn="1" w:lastColumn="0" w:noHBand="0" w:noVBand="1"/>
      </w:tblPr>
      <w:tblGrid>
        <w:gridCol w:w="7830"/>
        <w:gridCol w:w="1940"/>
      </w:tblGrid>
      <w:tr w:rsidR="005A789C" w:rsidRPr="00441046" w:rsidTr="00441046">
        <w:trPr>
          <w:trHeight w:val="434"/>
        </w:trPr>
        <w:tc>
          <w:tcPr>
            <w:tcW w:w="7830" w:type="dxa"/>
            <w:tcBorders>
              <w:top w:val="single" w:sz="8" w:space="0" w:color="auto"/>
              <w:left w:val="single" w:sz="8" w:space="0" w:color="auto"/>
              <w:bottom w:val="single" w:sz="8" w:space="0" w:color="auto"/>
              <w:right w:val="nil"/>
            </w:tcBorders>
            <w:shd w:val="clear" w:color="000000" w:fill="003366"/>
            <w:noWrap/>
            <w:vAlign w:val="center"/>
            <w:hideMark/>
          </w:tcPr>
          <w:p w:rsidR="005A789C" w:rsidRPr="00441046" w:rsidRDefault="005A789C" w:rsidP="00441046">
            <w:pPr>
              <w:ind w:firstLineChars="100" w:firstLine="201"/>
              <w:rPr>
                <w:rFonts w:ascii="Calibri" w:hAnsi="Calibri"/>
                <w:b/>
                <w:bCs/>
                <w:color w:val="FFFFFF"/>
                <w:sz w:val="20"/>
                <w:lang w:val="sq-AL"/>
              </w:rPr>
            </w:pPr>
            <w:r w:rsidRPr="00441046">
              <w:rPr>
                <w:rFonts w:ascii="Calibri" w:hAnsi="Calibri"/>
                <w:b/>
                <w:bCs/>
                <w:color w:val="FFFFFF"/>
                <w:sz w:val="20"/>
                <w:lang w:val="sq-AL"/>
              </w:rPr>
              <w:t>Përbërja e transfertës së pakushtëzuar për bashkitë</w:t>
            </w:r>
          </w:p>
        </w:tc>
        <w:tc>
          <w:tcPr>
            <w:tcW w:w="1940" w:type="dxa"/>
            <w:tcBorders>
              <w:top w:val="single" w:sz="8" w:space="0" w:color="auto"/>
              <w:left w:val="nil"/>
              <w:bottom w:val="single" w:sz="8" w:space="0" w:color="auto"/>
              <w:right w:val="nil"/>
            </w:tcBorders>
            <w:shd w:val="clear" w:color="000000" w:fill="003366"/>
            <w:noWrap/>
            <w:vAlign w:val="center"/>
            <w:hideMark/>
          </w:tcPr>
          <w:p w:rsidR="005A789C" w:rsidRPr="00441046" w:rsidRDefault="009B467D" w:rsidP="00DF1BF0">
            <w:pPr>
              <w:rPr>
                <w:rFonts w:ascii="Calibri" w:hAnsi="Calibri"/>
                <w:b/>
                <w:bCs/>
                <w:color w:val="FFFFFF"/>
                <w:sz w:val="20"/>
                <w:lang w:val="sq-AL"/>
              </w:rPr>
            </w:pPr>
            <w:r w:rsidRPr="00441046">
              <w:rPr>
                <w:rFonts w:ascii="Calibri" w:hAnsi="Calibri"/>
                <w:b/>
                <w:bCs/>
                <w:color w:val="FFFFFF"/>
                <w:sz w:val="20"/>
                <w:lang w:val="sq-AL"/>
              </w:rPr>
              <w:t>12.693.248.132</w:t>
            </w:r>
          </w:p>
        </w:tc>
      </w:tr>
      <w:tr w:rsidR="005A789C" w:rsidRPr="00441046" w:rsidTr="00441046">
        <w:trPr>
          <w:trHeight w:val="384"/>
        </w:trPr>
        <w:tc>
          <w:tcPr>
            <w:tcW w:w="7830" w:type="dxa"/>
            <w:tcBorders>
              <w:top w:val="single" w:sz="8" w:space="0" w:color="auto"/>
              <w:left w:val="single" w:sz="8" w:space="0" w:color="auto"/>
              <w:bottom w:val="single" w:sz="4" w:space="0" w:color="auto"/>
              <w:right w:val="nil"/>
            </w:tcBorders>
            <w:shd w:val="clear" w:color="000000" w:fill="FFCC99"/>
            <w:vAlign w:val="center"/>
            <w:hideMark/>
          </w:tcPr>
          <w:p w:rsidR="005A789C" w:rsidRPr="00441046" w:rsidRDefault="004F6036" w:rsidP="005A789C">
            <w:pPr>
              <w:jc w:val="center"/>
              <w:rPr>
                <w:sz w:val="20"/>
                <w:lang w:val="sq-AL"/>
              </w:rPr>
            </w:pPr>
            <w:r w:rsidRPr="00441046">
              <w:rPr>
                <w:rFonts w:ascii="Calibri" w:hAnsi="Calibri" w:cs="Calibri"/>
                <w:b/>
                <w:bCs/>
                <w:color w:val="C00000"/>
                <w:sz w:val="20"/>
                <w:lang w:val="sq-AL"/>
              </w:rPr>
              <w:t>Komponenti I: N</w:t>
            </w:r>
            <w:r w:rsidR="005A789C" w:rsidRPr="00441046">
              <w:rPr>
                <w:rFonts w:ascii="Calibri" w:hAnsi="Calibri" w:cs="Calibri"/>
                <w:b/>
                <w:bCs/>
                <w:color w:val="C00000"/>
                <w:sz w:val="20"/>
                <w:lang w:val="sq-AL"/>
              </w:rPr>
              <w:t>darja sipas popullsisë (në përqindje)</w:t>
            </w:r>
          </w:p>
        </w:tc>
        <w:tc>
          <w:tcPr>
            <w:tcW w:w="1940" w:type="dxa"/>
            <w:tcBorders>
              <w:top w:val="single" w:sz="8" w:space="0" w:color="auto"/>
              <w:left w:val="nil"/>
              <w:bottom w:val="single" w:sz="4" w:space="0" w:color="auto"/>
              <w:right w:val="single" w:sz="8" w:space="0" w:color="auto"/>
            </w:tcBorders>
            <w:shd w:val="clear" w:color="000000" w:fill="0066CC"/>
            <w:vAlign w:val="center"/>
            <w:hideMark/>
          </w:tcPr>
          <w:p w:rsidR="005A789C" w:rsidRPr="00441046" w:rsidRDefault="005A789C">
            <w:pPr>
              <w:jc w:val="center"/>
              <w:rPr>
                <w:rFonts w:ascii="Calibri" w:hAnsi="Calibri"/>
                <w:b/>
                <w:bCs/>
                <w:color w:val="FFFFFF"/>
                <w:sz w:val="20"/>
                <w:lang w:val="sq-AL"/>
              </w:rPr>
            </w:pPr>
            <w:r w:rsidRPr="00441046">
              <w:rPr>
                <w:rFonts w:ascii="Calibri" w:hAnsi="Calibri"/>
                <w:b/>
                <w:bCs/>
                <w:color w:val="FFFFFF"/>
                <w:sz w:val="20"/>
                <w:lang w:val="sq-AL"/>
              </w:rPr>
              <w:t>80%</w:t>
            </w:r>
          </w:p>
        </w:tc>
      </w:tr>
      <w:tr w:rsidR="005A789C" w:rsidRPr="00441046" w:rsidTr="00441046">
        <w:trPr>
          <w:trHeight w:val="384"/>
        </w:trPr>
        <w:tc>
          <w:tcPr>
            <w:tcW w:w="7830" w:type="dxa"/>
            <w:tcBorders>
              <w:top w:val="single" w:sz="4" w:space="0" w:color="auto"/>
              <w:left w:val="single" w:sz="8" w:space="0" w:color="auto"/>
              <w:bottom w:val="single" w:sz="4" w:space="0" w:color="auto"/>
              <w:right w:val="nil"/>
            </w:tcBorders>
            <w:shd w:val="clear" w:color="auto" w:fill="auto"/>
            <w:noWrap/>
            <w:vAlign w:val="bottom"/>
            <w:hideMark/>
          </w:tcPr>
          <w:p w:rsidR="005A789C" w:rsidRPr="00441046" w:rsidRDefault="005A789C" w:rsidP="005A789C">
            <w:pPr>
              <w:rPr>
                <w:sz w:val="20"/>
                <w:lang w:val="sq-AL"/>
              </w:rPr>
            </w:pPr>
            <w:r w:rsidRPr="00441046">
              <w:rPr>
                <w:rFonts w:ascii="Calibri" w:hAnsi="Calibri" w:cs="Calibri"/>
                <w:color w:val="000000"/>
                <w:sz w:val="20"/>
                <w:lang w:val="sq-AL"/>
              </w:rPr>
              <w:t>Transferta e pakushtëzuar që shpërndahet sipas numrit të banorëve rezidentë efektivë</w:t>
            </w:r>
          </w:p>
        </w:tc>
        <w:tc>
          <w:tcPr>
            <w:tcW w:w="1940" w:type="dxa"/>
            <w:tcBorders>
              <w:top w:val="single" w:sz="4" w:space="0" w:color="auto"/>
              <w:left w:val="nil"/>
              <w:bottom w:val="single" w:sz="4" w:space="0" w:color="auto"/>
              <w:right w:val="single" w:sz="8" w:space="0" w:color="auto"/>
            </w:tcBorders>
            <w:shd w:val="clear" w:color="auto" w:fill="auto"/>
            <w:noWrap/>
            <w:vAlign w:val="bottom"/>
            <w:hideMark/>
          </w:tcPr>
          <w:p w:rsidR="005A789C" w:rsidRPr="00441046" w:rsidRDefault="009B467D" w:rsidP="009B467D">
            <w:pPr>
              <w:jc w:val="right"/>
              <w:rPr>
                <w:rFonts w:ascii="Calibri" w:hAnsi="Calibri"/>
                <w:b/>
                <w:color w:val="000000"/>
                <w:sz w:val="20"/>
                <w:lang w:val="sq-AL"/>
              </w:rPr>
            </w:pPr>
            <w:r w:rsidRPr="00441046">
              <w:rPr>
                <w:rFonts w:ascii="Calibri" w:hAnsi="Calibri"/>
                <w:b/>
                <w:color w:val="000000"/>
                <w:sz w:val="20"/>
                <w:lang w:val="sq-AL"/>
              </w:rPr>
              <w:t>10.154.598.506</w:t>
            </w:r>
          </w:p>
        </w:tc>
      </w:tr>
      <w:tr w:rsidR="005A789C" w:rsidRPr="00441046" w:rsidTr="00441046">
        <w:trPr>
          <w:trHeight w:val="384"/>
        </w:trPr>
        <w:tc>
          <w:tcPr>
            <w:tcW w:w="7830" w:type="dxa"/>
            <w:tcBorders>
              <w:top w:val="single" w:sz="4" w:space="0" w:color="auto"/>
              <w:left w:val="single" w:sz="8" w:space="0" w:color="auto"/>
              <w:bottom w:val="single" w:sz="4" w:space="0" w:color="auto"/>
              <w:right w:val="nil"/>
            </w:tcBorders>
            <w:shd w:val="clear" w:color="auto" w:fill="auto"/>
            <w:noWrap/>
            <w:vAlign w:val="bottom"/>
            <w:hideMark/>
          </w:tcPr>
          <w:p w:rsidR="005A789C" w:rsidRPr="00441046" w:rsidRDefault="005A789C" w:rsidP="005A789C">
            <w:pPr>
              <w:rPr>
                <w:sz w:val="20"/>
                <w:lang w:val="sq-AL"/>
              </w:rPr>
            </w:pPr>
            <w:r w:rsidRPr="00441046">
              <w:rPr>
                <w:rFonts w:ascii="Calibri" w:hAnsi="Calibri" w:cs="Calibri"/>
                <w:color w:val="000000"/>
                <w:sz w:val="20"/>
                <w:lang w:val="sq-AL"/>
              </w:rPr>
              <w:t>Transferta e pakushtëzuar për frymë</w:t>
            </w:r>
          </w:p>
        </w:tc>
        <w:tc>
          <w:tcPr>
            <w:tcW w:w="1940" w:type="dxa"/>
            <w:tcBorders>
              <w:top w:val="single" w:sz="4" w:space="0" w:color="auto"/>
              <w:left w:val="nil"/>
              <w:bottom w:val="single" w:sz="4" w:space="0" w:color="auto"/>
              <w:right w:val="single" w:sz="8" w:space="0" w:color="auto"/>
            </w:tcBorders>
            <w:shd w:val="clear" w:color="auto" w:fill="auto"/>
            <w:noWrap/>
            <w:vAlign w:val="bottom"/>
            <w:hideMark/>
          </w:tcPr>
          <w:p w:rsidR="005A789C" w:rsidRPr="00441046" w:rsidRDefault="009B467D" w:rsidP="00441046">
            <w:pPr>
              <w:ind w:firstLineChars="100" w:firstLine="201"/>
              <w:jc w:val="right"/>
              <w:rPr>
                <w:rFonts w:ascii="Calibri" w:hAnsi="Calibri"/>
                <w:b/>
                <w:color w:val="000000"/>
                <w:sz w:val="20"/>
                <w:lang w:val="sq-AL"/>
              </w:rPr>
            </w:pPr>
            <w:r w:rsidRPr="00441046">
              <w:rPr>
                <w:rFonts w:ascii="Calibri" w:hAnsi="Calibri"/>
                <w:b/>
                <w:color w:val="000000"/>
                <w:sz w:val="20"/>
                <w:lang w:val="sq-AL"/>
              </w:rPr>
              <w:t>3.045</w:t>
            </w:r>
          </w:p>
        </w:tc>
      </w:tr>
    </w:tbl>
    <w:p w:rsidR="005E5454" w:rsidRPr="00930147" w:rsidRDefault="005E5454" w:rsidP="00907372">
      <w:pPr>
        <w:jc w:val="both"/>
        <w:rPr>
          <w:sz w:val="22"/>
          <w:lang w:val="sq-AL"/>
        </w:rPr>
      </w:pPr>
    </w:p>
    <w:p w:rsidR="004B6391" w:rsidRPr="0078491E" w:rsidRDefault="006A54D6" w:rsidP="006A54D6">
      <w:pPr>
        <w:jc w:val="both"/>
        <w:rPr>
          <w:sz w:val="22"/>
          <w:szCs w:val="22"/>
          <w:lang w:val="sq-AL"/>
        </w:rPr>
      </w:pPr>
      <w:r w:rsidRPr="0078491E">
        <w:rPr>
          <w:sz w:val="22"/>
          <w:szCs w:val="22"/>
          <w:lang w:val="sq-AL"/>
        </w:rPr>
        <w:t>Reforma administrative territoriale ka eliminuar dallimet ligjore mes komunave dhe bashkive duke i b</w:t>
      </w:r>
      <w:r w:rsidR="00844006" w:rsidRPr="0078491E">
        <w:rPr>
          <w:sz w:val="22"/>
          <w:szCs w:val="22"/>
          <w:lang w:val="sq-AL"/>
        </w:rPr>
        <w:t>ë</w:t>
      </w:r>
      <w:r w:rsidRPr="0078491E">
        <w:rPr>
          <w:sz w:val="22"/>
          <w:szCs w:val="22"/>
          <w:lang w:val="sq-AL"/>
        </w:rPr>
        <w:t>r</w:t>
      </w:r>
      <w:r w:rsidR="00844006" w:rsidRPr="0078491E">
        <w:rPr>
          <w:sz w:val="22"/>
          <w:szCs w:val="22"/>
          <w:lang w:val="sq-AL"/>
        </w:rPr>
        <w:t>ë</w:t>
      </w:r>
      <w:r w:rsidRPr="0078491E">
        <w:rPr>
          <w:sz w:val="22"/>
          <w:szCs w:val="22"/>
          <w:lang w:val="sq-AL"/>
        </w:rPr>
        <w:t xml:space="preserve"> 61 bashkit</w:t>
      </w:r>
      <w:r w:rsidR="00844006" w:rsidRPr="0078491E">
        <w:rPr>
          <w:sz w:val="22"/>
          <w:szCs w:val="22"/>
          <w:lang w:val="sq-AL"/>
        </w:rPr>
        <w:t>ë</w:t>
      </w:r>
      <w:r w:rsidRPr="0078491E">
        <w:rPr>
          <w:sz w:val="22"/>
          <w:szCs w:val="22"/>
          <w:lang w:val="sq-AL"/>
        </w:rPr>
        <w:t xml:space="preserve"> e reja shumë më të ngjashme me njëra tjetrën për sa i përket sipërfaqes dhe popullsisë nga sa ishin në ndarjen e vjetër territoriale. Si rezultat, sipërfaqja dhe popullsia nuk shprehin më ndryshime thelbësore në strukturën e njësive vendore që mund të nënkuptojnë kosto </w:t>
      </w:r>
      <w:r w:rsidR="00A16153" w:rsidRPr="0078491E">
        <w:rPr>
          <w:sz w:val="22"/>
          <w:szCs w:val="22"/>
          <w:lang w:val="sq-AL"/>
        </w:rPr>
        <w:t xml:space="preserve">– mesatarisht - </w:t>
      </w:r>
      <w:r w:rsidRPr="0078491E">
        <w:rPr>
          <w:sz w:val="22"/>
          <w:szCs w:val="22"/>
          <w:lang w:val="sq-AL"/>
        </w:rPr>
        <w:t xml:space="preserve">më të mëdha ose </w:t>
      </w:r>
      <w:r w:rsidR="00A16153" w:rsidRPr="0078491E">
        <w:rPr>
          <w:sz w:val="22"/>
          <w:szCs w:val="22"/>
          <w:lang w:val="sq-AL"/>
        </w:rPr>
        <w:t>më të ulta se njësitë e tjera</w:t>
      </w:r>
      <w:r w:rsidRPr="0078491E">
        <w:rPr>
          <w:sz w:val="22"/>
          <w:szCs w:val="22"/>
          <w:lang w:val="sq-AL"/>
        </w:rPr>
        <w:t>. P</w:t>
      </w:r>
      <w:r w:rsidR="00844006" w:rsidRPr="0078491E">
        <w:rPr>
          <w:sz w:val="22"/>
          <w:szCs w:val="22"/>
          <w:lang w:val="sq-AL"/>
        </w:rPr>
        <w:t>ë</w:t>
      </w:r>
      <w:r w:rsidRPr="0078491E">
        <w:rPr>
          <w:sz w:val="22"/>
          <w:szCs w:val="22"/>
          <w:lang w:val="sq-AL"/>
        </w:rPr>
        <w:t>r të marr</w:t>
      </w:r>
      <w:r w:rsidR="00844006" w:rsidRPr="0078491E">
        <w:rPr>
          <w:sz w:val="22"/>
          <w:szCs w:val="22"/>
          <w:lang w:val="sq-AL"/>
        </w:rPr>
        <w:t>ë</w:t>
      </w:r>
      <w:r w:rsidRPr="0078491E">
        <w:rPr>
          <w:sz w:val="22"/>
          <w:szCs w:val="22"/>
          <w:lang w:val="sq-AL"/>
        </w:rPr>
        <w:t xml:space="preserve"> në </w:t>
      </w:r>
      <w:r w:rsidR="00844006" w:rsidRPr="0078491E">
        <w:rPr>
          <w:sz w:val="22"/>
          <w:szCs w:val="22"/>
          <w:lang w:val="sq-AL"/>
        </w:rPr>
        <w:t>konsideratë</w:t>
      </w:r>
      <w:r w:rsidRPr="0078491E">
        <w:rPr>
          <w:sz w:val="22"/>
          <w:szCs w:val="22"/>
          <w:lang w:val="sq-AL"/>
        </w:rPr>
        <w:t xml:space="preserve"> diferencat në kostot e ofrimit të shërbimeve në njësi të ndryshme të qeverisjes vendore, nj</w:t>
      </w:r>
      <w:r w:rsidR="00844006" w:rsidRPr="0078491E">
        <w:rPr>
          <w:sz w:val="22"/>
          <w:szCs w:val="22"/>
          <w:lang w:val="sq-AL"/>
        </w:rPr>
        <w:t>ë</w:t>
      </w:r>
      <w:r w:rsidRPr="0078491E">
        <w:rPr>
          <w:sz w:val="22"/>
          <w:szCs w:val="22"/>
          <w:lang w:val="sq-AL"/>
        </w:rPr>
        <w:t>sit</w:t>
      </w:r>
      <w:r w:rsidR="00844006" w:rsidRPr="0078491E">
        <w:rPr>
          <w:sz w:val="22"/>
          <w:szCs w:val="22"/>
          <w:lang w:val="sq-AL"/>
        </w:rPr>
        <w:t>ë</w:t>
      </w:r>
      <w:r w:rsidRPr="0078491E">
        <w:rPr>
          <w:sz w:val="22"/>
          <w:szCs w:val="22"/>
          <w:lang w:val="sq-AL"/>
        </w:rPr>
        <w:t xml:space="preserve"> e qeverisjes vendore diferencohen mbi baz</w:t>
      </w:r>
      <w:r w:rsidR="00844006" w:rsidRPr="0078491E">
        <w:rPr>
          <w:sz w:val="22"/>
          <w:szCs w:val="22"/>
          <w:lang w:val="sq-AL"/>
        </w:rPr>
        <w:t>ën e den</w:t>
      </w:r>
      <w:r w:rsidRPr="0078491E">
        <w:rPr>
          <w:sz w:val="22"/>
          <w:szCs w:val="22"/>
          <w:lang w:val="sq-AL"/>
        </w:rPr>
        <w:t>d</w:t>
      </w:r>
      <w:r w:rsidR="00844006" w:rsidRPr="0078491E">
        <w:rPr>
          <w:sz w:val="22"/>
          <w:szCs w:val="22"/>
          <w:lang w:val="sq-AL"/>
        </w:rPr>
        <w:t>ë</w:t>
      </w:r>
      <w:r w:rsidRPr="0078491E">
        <w:rPr>
          <w:sz w:val="22"/>
          <w:szCs w:val="22"/>
          <w:lang w:val="sq-AL"/>
        </w:rPr>
        <w:t>sis</w:t>
      </w:r>
      <w:r w:rsidR="00844006" w:rsidRPr="0078491E">
        <w:rPr>
          <w:sz w:val="22"/>
          <w:szCs w:val="22"/>
          <w:lang w:val="sq-AL"/>
        </w:rPr>
        <w:t>ë</w:t>
      </w:r>
      <w:r w:rsidRPr="0078491E">
        <w:rPr>
          <w:sz w:val="22"/>
          <w:szCs w:val="22"/>
          <w:lang w:val="sq-AL"/>
        </w:rPr>
        <w:t xml:space="preserve"> s</w:t>
      </w:r>
      <w:r w:rsidR="00844006" w:rsidRPr="0078491E">
        <w:rPr>
          <w:sz w:val="22"/>
          <w:szCs w:val="22"/>
          <w:lang w:val="sq-AL"/>
        </w:rPr>
        <w:t>ë</w:t>
      </w:r>
      <w:r w:rsidRPr="0078491E">
        <w:rPr>
          <w:sz w:val="22"/>
          <w:szCs w:val="22"/>
          <w:lang w:val="sq-AL"/>
        </w:rPr>
        <w:t xml:space="preserve"> popullsis</w:t>
      </w:r>
      <w:r w:rsidR="00844006" w:rsidRPr="0078491E">
        <w:rPr>
          <w:sz w:val="22"/>
          <w:szCs w:val="22"/>
          <w:lang w:val="sq-AL"/>
        </w:rPr>
        <w:t>ë</w:t>
      </w:r>
      <w:r w:rsidRPr="0078491E">
        <w:rPr>
          <w:sz w:val="22"/>
          <w:szCs w:val="22"/>
          <w:lang w:val="sq-AL"/>
        </w:rPr>
        <w:t>.</w:t>
      </w:r>
      <w:r w:rsidR="004B5B8A" w:rsidRPr="0078491E">
        <w:rPr>
          <w:sz w:val="22"/>
          <w:szCs w:val="22"/>
          <w:lang w:val="sq-AL"/>
        </w:rPr>
        <w:t xml:space="preserve"> </w:t>
      </w:r>
    </w:p>
    <w:p w:rsidR="006A54D6" w:rsidRPr="0078491E" w:rsidRDefault="006658BD" w:rsidP="006A54D6">
      <w:pPr>
        <w:jc w:val="both"/>
        <w:rPr>
          <w:sz w:val="22"/>
          <w:szCs w:val="22"/>
          <w:lang w:val="sq-AL"/>
        </w:rPr>
      </w:pPr>
      <w:r w:rsidRPr="0078491E">
        <w:rPr>
          <w:sz w:val="22"/>
          <w:szCs w:val="22"/>
          <w:lang w:val="sq-AL"/>
        </w:rPr>
        <w:t>Në fakt, dendësia e popullsisë është më e ulët në bashkitë e reja që përbëhen kryesisht ose plotësisht nga zona rurale dhe/ose malore. Kjo do të thotë se alokimi i një pjese të transfertës për bashkitë me dendësi të ulët popullsie do të drejtonte fondet në të njëjtat zona të vendit që m</w:t>
      </w:r>
      <w:r w:rsidR="00030362" w:rsidRPr="0078491E">
        <w:rPr>
          <w:sz w:val="22"/>
          <w:szCs w:val="22"/>
          <w:lang w:val="sq-AL"/>
        </w:rPr>
        <w:t>errnin</w:t>
      </w:r>
      <w:r w:rsidRPr="0078491E">
        <w:rPr>
          <w:sz w:val="22"/>
          <w:szCs w:val="22"/>
          <w:lang w:val="sq-AL"/>
        </w:rPr>
        <w:t xml:space="preserve"> financim nga komponenti i sipërfaqes në formulën e vjet</w:t>
      </w:r>
      <w:r w:rsidR="0066775A" w:rsidRPr="0078491E">
        <w:rPr>
          <w:sz w:val="22"/>
          <w:szCs w:val="22"/>
          <w:lang w:val="sq-AL"/>
        </w:rPr>
        <w:t>ë</w:t>
      </w:r>
      <w:r w:rsidRPr="0078491E">
        <w:rPr>
          <w:sz w:val="22"/>
          <w:szCs w:val="22"/>
          <w:lang w:val="sq-AL"/>
        </w:rPr>
        <w:t xml:space="preserve">r, edhe pse sipërfaqja e tyre tashmë është mjaft e ngjashme me ato të bashkive më të populluara. Për më tepër, ka një korrelacion të fortë mes </w:t>
      </w:r>
      <w:r w:rsidR="00030362" w:rsidRPr="0078491E">
        <w:rPr>
          <w:sz w:val="22"/>
          <w:szCs w:val="22"/>
          <w:lang w:val="sq-AL"/>
        </w:rPr>
        <w:t>njësive të qeverisjes vendore</w:t>
      </w:r>
      <w:r w:rsidRPr="0078491E">
        <w:rPr>
          <w:sz w:val="22"/>
          <w:szCs w:val="22"/>
          <w:lang w:val="sq-AL"/>
        </w:rPr>
        <w:t xml:space="preserve"> me dendësi të ulët </w:t>
      </w:r>
      <w:r w:rsidR="00030362" w:rsidRPr="0078491E">
        <w:rPr>
          <w:sz w:val="22"/>
          <w:szCs w:val="22"/>
          <w:lang w:val="sq-AL"/>
        </w:rPr>
        <w:t>dhe atyre</w:t>
      </w:r>
      <w:r w:rsidRPr="0078491E">
        <w:rPr>
          <w:sz w:val="22"/>
          <w:szCs w:val="22"/>
          <w:lang w:val="sq-AL"/>
        </w:rPr>
        <w:t xml:space="preserve"> sipërfaqja e të cilave është mbi 50% </w:t>
      </w:r>
      <w:r w:rsidRPr="0078491E">
        <w:rPr>
          <w:sz w:val="22"/>
          <w:szCs w:val="22"/>
          <w:lang w:val="sq-AL"/>
        </w:rPr>
        <w:lastRenderedPageBreak/>
        <w:t>malore. Si rezultat, koeficienti, “d</w:t>
      </w:r>
      <w:r w:rsidR="004B6391" w:rsidRPr="0078491E">
        <w:rPr>
          <w:sz w:val="22"/>
          <w:szCs w:val="22"/>
          <w:lang w:val="sq-AL"/>
        </w:rPr>
        <w:t xml:space="preserve">endësi e ulët e popullsisë”, </w:t>
      </w:r>
      <w:r w:rsidRPr="0078491E">
        <w:rPr>
          <w:sz w:val="22"/>
          <w:szCs w:val="22"/>
          <w:lang w:val="sq-AL"/>
        </w:rPr>
        <w:t>çon fonde</w:t>
      </w:r>
      <w:r w:rsidR="00030362" w:rsidRPr="0078491E">
        <w:rPr>
          <w:sz w:val="22"/>
          <w:szCs w:val="22"/>
          <w:lang w:val="sq-AL"/>
        </w:rPr>
        <w:t xml:space="preserve"> shtes</w:t>
      </w:r>
      <w:r w:rsidR="0066775A" w:rsidRPr="0078491E">
        <w:rPr>
          <w:sz w:val="22"/>
          <w:szCs w:val="22"/>
          <w:lang w:val="sq-AL"/>
        </w:rPr>
        <w:t>ë</w:t>
      </w:r>
      <w:r w:rsidRPr="0078491E">
        <w:rPr>
          <w:sz w:val="22"/>
          <w:szCs w:val="22"/>
          <w:lang w:val="sq-AL"/>
        </w:rPr>
        <w:t xml:space="preserve"> në të njëjtin drejtim siç bënte formula e vjetër, nëpërmjet përdorimit të koeficientëve shtesë për njësitë vendore malore dhe në vështirësi financiare.</w:t>
      </w:r>
    </w:p>
    <w:p w:rsidR="00844006" w:rsidRPr="0078491E" w:rsidRDefault="00844006" w:rsidP="00BA14AE">
      <w:pPr>
        <w:rPr>
          <w:sz w:val="22"/>
          <w:szCs w:val="22"/>
          <w:lang w:val="sq-AL"/>
        </w:rPr>
      </w:pPr>
    </w:p>
    <w:p w:rsidR="00BA14AE" w:rsidRPr="0078491E" w:rsidRDefault="00BA14AE" w:rsidP="00844006">
      <w:pPr>
        <w:jc w:val="both"/>
        <w:rPr>
          <w:sz w:val="22"/>
          <w:szCs w:val="22"/>
          <w:lang w:val="sq-AL"/>
        </w:rPr>
      </w:pPr>
      <w:r w:rsidRPr="0078491E">
        <w:rPr>
          <w:sz w:val="22"/>
          <w:szCs w:val="22"/>
          <w:lang w:val="sq-AL"/>
        </w:rPr>
        <w:t>Në formul</w:t>
      </w:r>
      <w:r w:rsidR="00844006" w:rsidRPr="0078491E">
        <w:rPr>
          <w:sz w:val="22"/>
          <w:szCs w:val="22"/>
          <w:lang w:val="sq-AL"/>
        </w:rPr>
        <w:t>ë</w:t>
      </w:r>
      <w:r w:rsidRPr="0078491E">
        <w:rPr>
          <w:sz w:val="22"/>
          <w:szCs w:val="22"/>
          <w:lang w:val="sq-AL"/>
        </w:rPr>
        <w:t>n e re, 15% e totalit të fondit p</w:t>
      </w:r>
      <w:r w:rsidR="00844006" w:rsidRPr="0078491E">
        <w:rPr>
          <w:sz w:val="22"/>
          <w:szCs w:val="22"/>
          <w:lang w:val="sq-AL"/>
        </w:rPr>
        <w:t>ë</w:t>
      </w:r>
      <w:r w:rsidRPr="0078491E">
        <w:rPr>
          <w:sz w:val="22"/>
          <w:szCs w:val="22"/>
          <w:lang w:val="sq-AL"/>
        </w:rPr>
        <w:t>r bashkitë,</w:t>
      </w:r>
      <w:r w:rsidR="004B5B8A" w:rsidRPr="0078491E">
        <w:rPr>
          <w:sz w:val="22"/>
          <w:szCs w:val="22"/>
          <w:lang w:val="sq-AL"/>
        </w:rPr>
        <w:t xml:space="preserve"> </w:t>
      </w:r>
      <w:r w:rsidRPr="0078491E">
        <w:rPr>
          <w:sz w:val="22"/>
          <w:szCs w:val="22"/>
          <w:lang w:val="sq-AL"/>
        </w:rPr>
        <w:t>alokohet mbi baz</w:t>
      </w:r>
      <w:r w:rsidR="00844006" w:rsidRPr="0078491E">
        <w:rPr>
          <w:sz w:val="22"/>
          <w:szCs w:val="22"/>
          <w:lang w:val="sq-AL"/>
        </w:rPr>
        <w:t>ë</w:t>
      </w:r>
      <w:r w:rsidRPr="0078491E">
        <w:rPr>
          <w:sz w:val="22"/>
          <w:szCs w:val="22"/>
          <w:lang w:val="sq-AL"/>
        </w:rPr>
        <w:t>n e dend</w:t>
      </w:r>
      <w:r w:rsidR="00844006" w:rsidRPr="0078491E">
        <w:rPr>
          <w:sz w:val="22"/>
          <w:szCs w:val="22"/>
          <w:lang w:val="sq-AL"/>
        </w:rPr>
        <w:t>ë</w:t>
      </w:r>
      <w:r w:rsidRPr="0078491E">
        <w:rPr>
          <w:sz w:val="22"/>
          <w:szCs w:val="22"/>
          <w:lang w:val="sq-AL"/>
        </w:rPr>
        <w:t>sis</w:t>
      </w:r>
      <w:r w:rsidR="00844006" w:rsidRPr="0078491E">
        <w:rPr>
          <w:sz w:val="22"/>
          <w:szCs w:val="22"/>
          <w:lang w:val="sq-AL"/>
        </w:rPr>
        <w:t>ë</w:t>
      </w:r>
      <w:r w:rsidRPr="0078491E">
        <w:rPr>
          <w:sz w:val="22"/>
          <w:szCs w:val="22"/>
          <w:lang w:val="sq-AL"/>
        </w:rPr>
        <w:t xml:space="preserve"> s</w:t>
      </w:r>
      <w:r w:rsidR="00844006" w:rsidRPr="0078491E">
        <w:rPr>
          <w:sz w:val="22"/>
          <w:szCs w:val="22"/>
          <w:lang w:val="sq-AL"/>
        </w:rPr>
        <w:t>ë</w:t>
      </w:r>
      <w:r w:rsidRPr="0078491E">
        <w:rPr>
          <w:sz w:val="22"/>
          <w:szCs w:val="22"/>
          <w:lang w:val="sq-AL"/>
        </w:rPr>
        <w:t xml:space="preserve"> popullsis</w:t>
      </w:r>
      <w:r w:rsidR="00844006" w:rsidRPr="0078491E">
        <w:rPr>
          <w:sz w:val="22"/>
          <w:szCs w:val="22"/>
          <w:lang w:val="sq-AL"/>
        </w:rPr>
        <w:t>ë</w:t>
      </w:r>
      <w:r w:rsidR="006658BD" w:rsidRPr="0078491E">
        <w:rPr>
          <w:sz w:val="22"/>
          <w:szCs w:val="22"/>
          <w:lang w:val="sq-AL"/>
        </w:rPr>
        <w:t xml:space="preserve">, dhe përfituese </w:t>
      </w:r>
      <w:r w:rsidR="004B6391" w:rsidRPr="0078491E">
        <w:rPr>
          <w:sz w:val="22"/>
          <w:szCs w:val="22"/>
          <w:lang w:val="sq-AL"/>
        </w:rPr>
        <w:t>ja</w:t>
      </w:r>
      <w:r w:rsidR="006658BD" w:rsidRPr="0078491E">
        <w:rPr>
          <w:sz w:val="22"/>
          <w:szCs w:val="22"/>
          <w:lang w:val="sq-AL"/>
        </w:rPr>
        <w:t>n</w:t>
      </w:r>
      <w:r w:rsidR="0066775A" w:rsidRPr="0078491E">
        <w:rPr>
          <w:sz w:val="22"/>
          <w:szCs w:val="22"/>
          <w:lang w:val="sq-AL"/>
        </w:rPr>
        <w:t>ë</w:t>
      </w:r>
      <w:r w:rsidR="006658BD" w:rsidRPr="0078491E">
        <w:rPr>
          <w:sz w:val="22"/>
          <w:szCs w:val="22"/>
          <w:lang w:val="sq-AL"/>
        </w:rPr>
        <w:t xml:space="preserve"> nj</w:t>
      </w:r>
      <w:r w:rsidR="0066775A" w:rsidRPr="0078491E">
        <w:rPr>
          <w:sz w:val="22"/>
          <w:szCs w:val="22"/>
          <w:lang w:val="sq-AL"/>
        </w:rPr>
        <w:t>ë</w:t>
      </w:r>
      <w:r w:rsidR="006658BD" w:rsidRPr="0078491E">
        <w:rPr>
          <w:sz w:val="22"/>
          <w:szCs w:val="22"/>
          <w:lang w:val="sq-AL"/>
        </w:rPr>
        <w:t>sit</w:t>
      </w:r>
      <w:r w:rsidR="0066775A" w:rsidRPr="0078491E">
        <w:rPr>
          <w:sz w:val="22"/>
          <w:szCs w:val="22"/>
          <w:lang w:val="sq-AL"/>
        </w:rPr>
        <w:t>ë</w:t>
      </w:r>
      <w:r w:rsidR="006658BD" w:rsidRPr="0078491E">
        <w:rPr>
          <w:sz w:val="22"/>
          <w:szCs w:val="22"/>
          <w:lang w:val="sq-AL"/>
        </w:rPr>
        <w:t xml:space="preserve"> </w:t>
      </w:r>
      <w:r w:rsidR="004B6391" w:rsidRPr="0078491E">
        <w:rPr>
          <w:sz w:val="22"/>
          <w:szCs w:val="22"/>
          <w:lang w:val="sq-AL"/>
        </w:rPr>
        <w:t>e</w:t>
      </w:r>
      <w:r w:rsidR="006658BD" w:rsidRPr="0078491E">
        <w:rPr>
          <w:sz w:val="22"/>
          <w:szCs w:val="22"/>
          <w:lang w:val="sq-AL"/>
        </w:rPr>
        <w:t xml:space="preserve"> qeverisjes vendore q</w:t>
      </w:r>
      <w:r w:rsidR="0066775A" w:rsidRPr="0078491E">
        <w:rPr>
          <w:sz w:val="22"/>
          <w:szCs w:val="22"/>
          <w:lang w:val="sq-AL"/>
        </w:rPr>
        <w:t>ë</w:t>
      </w:r>
      <w:r w:rsidR="006658BD" w:rsidRPr="0078491E">
        <w:rPr>
          <w:sz w:val="22"/>
          <w:szCs w:val="22"/>
          <w:lang w:val="sq-AL"/>
        </w:rPr>
        <w:t xml:space="preserve"> kan</w:t>
      </w:r>
      <w:r w:rsidR="0066775A" w:rsidRPr="0078491E">
        <w:rPr>
          <w:sz w:val="22"/>
          <w:szCs w:val="22"/>
          <w:lang w:val="sq-AL"/>
        </w:rPr>
        <w:t>ë</w:t>
      </w:r>
      <w:r w:rsidR="006658BD" w:rsidRPr="0078491E">
        <w:rPr>
          <w:sz w:val="22"/>
          <w:szCs w:val="22"/>
          <w:lang w:val="sq-AL"/>
        </w:rPr>
        <w:t xml:space="preserve"> nj</w:t>
      </w:r>
      <w:r w:rsidR="0066775A" w:rsidRPr="0078491E">
        <w:rPr>
          <w:sz w:val="22"/>
          <w:szCs w:val="22"/>
          <w:lang w:val="sq-AL"/>
        </w:rPr>
        <w:t>ë</w:t>
      </w:r>
      <w:r w:rsidR="006658BD" w:rsidRPr="0078491E">
        <w:rPr>
          <w:sz w:val="22"/>
          <w:szCs w:val="22"/>
          <w:lang w:val="sq-AL"/>
        </w:rPr>
        <w:t xml:space="preserve"> dendësi popullsie </w:t>
      </w:r>
      <w:r w:rsidR="00117521" w:rsidRPr="0078491E">
        <w:rPr>
          <w:sz w:val="22"/>
          <w:szCs w:val="22"/>
          <w:lang w:val="sq-AL"/>
        </w:rPr>
        <w:t>n</w:t>
      </w:r>
      <w:r w:rsidR="0066775A" w:rsidRPr="0078491E">
        <w:rPr>
          <w:sz w:val="22"/>
          <w:szCs w:val="22"/>
          <w:lang w:val="sq-AL"/>
        </w:rPr>
        <w:t>ë</w:t>
      </w:r>
      <w:r w:rsidR="00117521" w:rsidRPr="0078491E">
        <w:rPr>
          <w:sz w:val="22"/>
          <w:szCs w:val="22"/>
          <w:lang w:val="sq-AL"/>
        </w:rPr>
        <w:t>n</w:t>
      </w:r>
      <w:r w:rsidR="006658BD" w:rsidRPr="0078491E">
        <w:rPr>
          <w:sz w:val="22"/>
          <w:szCs w:val="22"/>
          <w:lang w:val="sq-AL"/>
        </w:rPr>
        <w:t xml:space="preserve"> 110% të mesatares kombëtare prej 118 banor</w:t>
      </w:r>
      <w:r w:rsidR="0066775A" w:rsidRPr="0078491E">
        <w:rPr>
          <w:sz w:val="22"/>
          <w:szCs w:val="22"/>
          <w:lang w:val="sq-AL"/>
        </w:rPr>
        <w:t>ë</w:t>
      </w:r>
      <w:r w:rsidR="006658BD" w:rsidRPr="0078491E">
        <w:rPr>
          <w:sz w:val="22"/>
          <w:szCs w:val="22"/>
          <w:lang w:val="sq-AL"/>
        </w:rPr>
        <w:t xml:space="preserve"> p</w:t>
      </w:r>
      <w:r w:rsidR="0066775A" w:rsidRPr="0078491E">
        <w:rPr>
          <w:sz w:val="22"/>
          <w:szCs w:val="22"/>
          <w:lang w:val="sq-AL"/>
        </w:rPr>
        <w:t>ë</w:t>
      </w:r>
      <w:r w:rsidR="006658BD" w:rsidRPr="0078491E">
        <w:rPr>
          <w:sz w:val="22"/>
          <w:szCs w:val="22"/>
          <w:lang w:val="sq-AL"/>
        </w:rPr>
        <w:t>r km</w:t>
      </w:r>
      <w:r w:rsidR="006658BD" w:rsidRPr="0078491E">
        <w:rPr>
          <w:sz w:val="22"/>
          <w:szCs w:val="22"/>
          <w:vertAlign w:val="superscript"/>
          <w:lang w:val="sq-AL"/>
        </w:rPr>
        <w:t>2</w:t>
      </w:r>
      <w:r w:rsidR="006658BD" w:rsidRPr="0078491E">
        <w:rPr>
          <w:sz w:val="22"/>
          <w:szCs w:val="22"/>
          <w:lang w:val="sq-AL"/>
        </w:rPr>
        <w:t>.</w:t>
      </w:r>
      <w:r w:rsidR="005748FC" w:rsidRPr="0078491E">
        <w:rPr>
          <w:sz w:val="22"/>
          <w:szCs w:val="22"/>
          <w:lang w:val="sq-AL"/>
        </w:rPr>
        <w:t xml:space="preserve"> </w:t>
      </w:r>
    </w:p>
    <w:p w:rsidR="0045735C" w:rsidRPr="00930147" w:rsidRDefault="0045735C" w:rsidP="00907372">
      <w:pPr>
        <w:jc w:val="both"/>
        <w:rPr>
          <w:sz w:val="22"/>
          <w:lang w:val="sq-AL"/>
        </w:rPr>
      </w:pPr>
    </w:p>
    <w:tbl>
      <w:tblPr>
        <w:tblW w:w="9715" w:type="dxa"/>
        <w:tblInd w:w="108" w:type="dxa"/>
        <w:tblLayout w:type="fixed"/>
        <w:tblLook w:val="04A0" w:firstRow="1" w:lastRow="0" w:firstColumn="1" w:lastColumn="0" w:noHBand="0" w:noVBand="1"/>
      </w:tblPr>
      <w:tblGrid>
        <w:gridCol w:w="845"/>
        <w:gridCol w:w="1095"/>
        <w:gridCol w:w="1486"/>
        <w:gridCol w:w="1262"/>
        <w:gridCol w:w="1162"/>
        <w:gridCol w:w="1097"/>
        <w:gridCol w:w="1063"/>
        <w:gridCol w:w="1705"/>
      </w:tblGrid>
      <w:tr w:rsidR="0015266E" w:rsidRPr="00441046" w:rsidTr="00441046">
        <w:trPr>
          <w:trHeight w:val="277"/>
        </w:trPr>
        <w:tc>
          <w:tcPr>
            <w:tcW w:w="8010" w:type="dxa"/>
            <w:gridSpan w:val="7"/>
            <w:tcBorders>
              <w:top w:val="single" w:sz="4" w:space="0" w:color="auto"/>
              <w:left w:val="single" w:sz="8" w:space="0" w:color="auto"/>
              <w:bottom w:val="nil"/>
              <w:right w:val="nil"/>
            </w:tcBorders>
            <w:shd w:val="clear" w:color="000000" w:fill="FFCC99"/>
            <w:vAlign w:val="center"/>
            <w:hideMark/>
          </w:tcPr>
          <w:p w:rsidR="005A789C" w:rsidRPr="00441046" w:rsidRDefault="005A789C" w:rsidP="005A789C">
            <w:pPr>
              <w:rPr>
                <w:rFonts w:asciiTheme="minorHAnsi" w:hAnsiTheme="minorHAnsi"/>
                <w:sz w:val="20"/>
                <w:lang w:val="sq-AL"/>
              </w:rPr>
            </w:pPr>
            <w:r w:rsidRPr="00441046">
              <w:rPr>
                <w:rFonts w:asciiTheme="minorHAnsi" w:hAnsiTheme="minorHAnsi" w:cs="Calibri"/>
                <w:b/>
                <w:bCs/>
                <w:color w:val="C00000"/>
                <w:sz w:val="20"/>
                <w:lang w:val="sq-AL"/>
              </w:rPr>
              <w:t>Komponenti II: ndarja sipas dendësisë së popullsisë (në përqindje)</w:t>
            </w:r>
          </w:p>
        </w:tc>
        <w:tc>
          <w:tcPr>
            <w:tcW w:w="1705" w:type="dxa"/>
            <w:tcBorders>
              <w:top w:val="single" w:sz="4" w:space="0" w:color="auto"/>
              <w:left w:val="nil"/>
              <w:bottom w:val="nil"/>
              <w:right w:val="single" w:sz="8" w:space="0" w:color="auto"/>
            </w:tcBorders>
            <w:shd w:val="clear" w:color="000000" w:fill="0066CC"/>
            <w:noWrap/>
            <w:vAlign w:val="bottom"/>
            <w:hideMark/>
          </w:tcPr>
          <w:p w:rsidR="005A789C" w:rsidRPr="00441046" w:rsidRDefault="005A789C">
            <w:pPr>
              <w:jc w:val="center"/>
              <w:rPr>
                <w:rFonts w:asciiTheme="minorHAnsi" w:hAnsiTheme="minorHAnsi"/>
                <w:b/>
                <w:bCs/>
                <w:color w:val="FFFFFF"/>
                <w:sz w:val="20"/>
                <w:lang w:val="sq-AL"/>
              </w:rPr>
            </w:pPr>
            <w:r w:rsidRPr="00441046">
              <w:rPr>
                <w:rFonts w:asciiTheme="minorHAnsi" w:hAnsiTheme="minorHAnsi"/>
                <w:b/>
                <w:bCs/>
                <w:color w:val="FFFFFF"/>
                <w:sz w:val="20"/>
                <w:lang w:val="sq-AL"/>
              </w:rPr>
              <w:t>15%</w:t>
            </w:r>
          </w:p>
        </w:tc>
      </w:tr>
      <w:tr w:rsidR="0015266E" w:rsidRPr="00441046" w:rsidTr="00441046">
        <w:trPr>
          <w:trHeight w:val="277"/>
        </w:trPr>
        <w:tc>
          <w:tcPr>
            <w:tcW w:w="8010" w:type="dxa"/>
            <w:gridSpan w:val="7"/>
            <w:tcBorders>
              <w:top w:val="nil"/>
              <w:left w:val="single" w:sz="8" w:space="0" w:color="auto"/>
              <w:bottom w:val="nil"/>
              <w:right w:val="nil"/>
            </w:tcBorders>
            <w:shd w:val="clear" w:color="auto" w:fill="auto"/>
            <w:noWrap/>
            <w:vAlign w:val="bottom"/>
            <w:hideMark/>
          </w:tcPr>
          <w:p w:rsidR="005A789C" w:rsidRPr="00441046" w:rsidRDefault="005A789C" w:rsidP="005A789C">
            <w:pPr>
              <w:rPr>
                <w:rFonts w:asciiTheme="minorHAnsi" w:hAnsiTheme="minorHAnsi"/>
                <w:sz w:val="20"/>
                <w:lang w:val="sq-AL"/>
              </w:rPr>
            </w:pPr>
            <w:r w:rsidRPr="00441046">
              <w:rPr>
                <w:rFonts w:asciiTheme="minorHAnsi" w:hAnsiTheme="minorHAnsi" w:cs="Calibri"/>
                <w:color w:val="000000"/>
                <w:sz w:val="20"/>
                <w:lang w:val="sq-AL"/>
              </w:rPr>
              <w:t>Madhësia e Transfertës së Pakushtëzuar që shpërndahet sipas dendësisë së popullsisë</w:t>
            </w:r>
          </w:p>
        </w:tc>
        <w:tc>
          <w:tcPr>
            <w:tcW w:w="1705" w:type="dxa"/>
            <w:tcBorders>
              <w:top w:val="nil"/>
              <w:left w:val="nil"/>
              <w:bottom w:val="nil"/>
              <w:right w:val="single" w:sz="8" w:space="0" w:color="auto"/>
            </w:tcBorders>
            <w:shd w:val="clear" w:color="auto" w:fill="auto"/>
            <w:noWrap/>
            <w:vAlign w:val="bottom"/>
            <w:hideMark/>
          </w:tcPr>
          <w:p w:rsidR="005A789C" w:rsidRPr="00441046" w:rsidRDefault="009B467D" w:rsidP="00441046">
            <w:pPr>
              <w:ind w:firstLineChars="100" w:firstLine="201"/>
              <w:jc w:val="right"/>
              <w:rPr>
                <w:rFonts w:asciiTheme="minorHAnsi" w:hAnsiTheme="minorHAnsi"/>
                <w:b/>
                <w:color w:val="000000"/>
                <w:sz w:val="20"/>
                <w:szCs w:val="20"/>
                <w:lang w:val="sq-AL"/>
              </w:rPr>
            </w:pPr>
            <w:r w:rsidRPr="00441046">
              <w:rPr>
                <w:rFonts w:asciiTheme="minorHAnsi" w:hAnsiTheme="minorHAnsi" w:cs="Calibri"/>
                <w:b/>
                <w:color w:val="000000"/>
                <w:sz w:val="20"/>
                <w:szCs w:val="20"/>
                <w:lang w:val="sq-AL"/>
              </w:rPr>
              <w:t>1.903.987.220</w:t>
            </w:r>
          </w:p>
        </w:tc>
      </w:tr>
      <w:tr w:rsidR="0015266E" w:rsidRPr="00441046" w:rsidTr="00441046">
        <w:trPr>
          <w:trHeight w:val="277"/>
        </w:trPr>
        <w:tc>
          <w:tcPr>
            <w:tcW w:w="8010" w:type="dxa"/>
            <w:gridSpan w:val="7"/>
            <w:tcBorders>
              <w:top w:val="nil"/>
              <w:left w:val="single" w:sz="8" w:space="0" w:color="auto"/>
              <w:bottom w:val="nil"/>
              <w:right w:val="nil"/>
            </w:tcBorders>
            <w:shd w:val="clear" w:color="auto" w:fill="auto"/>
            <w:noWrap/>
            <w:vAlign w:val="bottom"/>
            <w:hideMark/>
          </w:tcPr>
          <w:p w:rsidR="005A789C" w:rsidRPr="00441046" w:rsidRDefault="005A789C" w:rsidP="005A789C">
            <w:pPr>
              <w:rPr>
                <w:rFonts w:asciiTheme="minorHAnsi" w:hAnsiTheme="minorHAnsi"/>
                <w:sz w:val="20"/>
                <w:lang w:val="sq-AL"/>
              </w:rPr>
            </w:pPr>
            <w:r w:rsidRPr="00441046">
              <w:rPr>
                <w:rFonts w:asciiTheme="minorHAnsi" w:hAnsiTheme="minorHAnsi" w:cs="Calibri"/>
                <w:color w:val="000000"/>
                <w:sz w:val="20"/>
                <w:lang w:val="sq-AL"/>
              </w:rPr>
              <w:t>Mesatarja Kombëtare e Dendësisë së Popullsisë</w:t>
            </w:r>
          </w:p>
        </w:tc>
        <w:tc>
          <w:tcPr>
            <w:tcW w:w="1705" w:type="dxa"/>
            <w:tcBorders>
              <w:top w:val="nil"/>
              <w:left w:val="nil"/>
              <w:bottom w:val="nil"/>
              <w:right w:val="single" w:sz="8" w:space="0" w:color="auto"/>
            </w:tcBorders>
            <w:shd w:val="clear" w:color="auto" w:fill="auto"/>
            <w:noWrap/>
            <w:vAlign w:val="bottom"/>
            <w:hideMark/>
          </w:tcPr>
          <w:p w:rsidR="005A789C" w:rsidRPr="00441046" w:rsidRDefault="005A789C" w:rsidP="00441046">
            <w:pPr>
              <w:ind w:firstLineChars="100" w:firstLine="201"/>
              <w:jc w:val="right"/>
              <w:rPr>
                <w:rFonts w:asciiTheme="minorHAnsi" w:hAnsiTheme="minorHAnsi"/>
                <w:b/>
                <w:color w:val="000000"/>
                <w:sz w:val="20"/>
                <w:lang w:val="sq-AL"/>
              </w:rPr>
            </w:pPr>
            <w:r w:rsidRPr="00441046">
              <w:rPr>
                <w:rFonts w:asciiTheme="minorHAnsi" w:hAnsiTheme="minorHAnsi"/>
                <w:b/>
                <w:color w:val="000000"/>
                <w:sz w:val="20"/>
                <w:lang w:val="sq-AL"/>
              </w:rPr>
              <w:t>118</w:t>
            </w:r>
          </w:p>
        </w:tc>
      </w:tr>
      <w:tr w:rsidR="0015266E" w:rsidRPr="00441046" w:rsidTr="00441046">
        <w:trPr>
          <w:trHeight w:val="277"/>
        </w:trPr>
        <w:tc>
          <w:tcPr>
            <w:tcW w:w="8010" w:type="dxa"/>
            <w:gridSpan w:val="7"/>
            <w:tcBorders>
              <w:top w:val="nil"/>
              <w:left w:val="single" w:sz="8" w:space="0" w:color="auto"/>
              <w:bottom w:val="nil"/>
              <w:right w:val="nil"/>
            </w:tcBorders>
            <w:shd w:val="clear" w:color="auto" w:fill="auto"/>
            <w:noWrap/>
            <w:vAlign w:val="bottom"/>
            <w:hideMark/>
          </w:tcPr>
          <w:p w:rsidR="005A789C" w:rsidRPr="00441046" w:rsidRDefault="00637568" w:rsidP="005A789C">
            <w:pPr>
              <w:rPr>
                <w:rFonts w:asciiTheme="minorHAnsi" w:hAnsiTheme="minorHAnsi"/>
                <w:color w:val="000000"/>
                <w:sz w:val="20"/>
                <w:lang w:val="sq-AL"/>
              </w:rPr>
            </w:pPr>
            <w:r w:rsidRPr="00441046">
              <w:rPr>
                <w:rFonts w:asciiTheme="minorHAnsi" w:hAnsiTheme="minorHAnsi"/>
                <w:color w:val="000000"/>
                <w:sz w:val="20"/>
                <w:lang w:val="sq-AL"/>
              </w:rPr>
              <w:t xml:space="preserve">Transferta </w:t>
            </w:r>
            <w:r w:rsidR="006D2247" w:rsidRPr="00441046">
              <w:rPr>
                <w:rFonts w:asciiTheme="minorHAnsi" w:hAnsiTheme="minorHAnsi"/>
                <w:color w:val="000000"/>
                <w:sz w:val="20"/>
                <w:lang w:val="sq-AL"/>
              </w:rPr>
              <w:t xml:space="preserve"> per fryme nga densiteti i popullsis</w:t>
            </w:r>
            <w:r w:rsidR="00886A90" w:rsidRPr="00441046">
              <w:rPr>
                <w:rFonts w:asciiTheme="minorHAnsi" w:hAnsiTheme="minorHAnsi"/>
                <w:color w:val="000000"/>
                <w:sz w:val="20"/>
                <w:lang w:val="sq-AL"/>
              </w:rPr>
              <w:t>ë</w:t>
            </w:r>
            <w:r w:rsidR="006D2247" w:rsidRPr="00441046">
              <w:rPr>
                <w:rFonts w:asciiTheme="minorHAnsi" w:hAnsiTheme="minorHAnsi"/>
                <w:color w:val="000000"/>
                <w:sz w:val="20"/>
                <w:lang w:val="sq-AL"/>
              </w:rPr>
              <w:t xml:space="preserve"> </w:t>
            </w:r>
          </w:p>
        </w:tc>
        <w:tc>
          <w:tcPr>
            <w:tcW w:w="1705" w:type="dxa"/>
            <w:tcBorders>
              <w:top w:val="nil"/>
              <w:left w:val="nil"/>
              <w:bottom w:val="nil"/>
              <w:right w:val="single" w:sz="8" w:space="0" w:color="auto"/>
            </w:tcBorders>
            <w:shd w:val="clear" w:color="auto" w:fill="auto"/>
            <w:noWrap/>
            <w:vAlign w:val="bottom"/>
            <w:hideMark/>
          </w:tcPr>
          <w:p w:rsidR="005A789C" w:rsidRPr="00441046" w:rsidRDefault="009B467D" w:rsidP="006D2247">
            <w:pPr>
              <w:jc w:val="right"/>
              <w:rPr>
                <w:rFonts w:asciiTheme="minorHAnsi" w:hAnsiTheme="minorHAnsi"/>
                <w:b/>
                <w:color w:val="000000"/>
                <w:sz w:val="20"/>
                <w:lang w:val="sq-AL"/>
              </w:rPr>
            </w:pPr>
            <w:r w:rsidRPr="00441046">
              <w:rPr>
                <w:rFonts w:asciiTheme="minorHAnsi" w:hAnsiTheme="minorHAnsi"/>
                <w:b/>
                <w:color w:val="000000"/>
                <w:sz w:val="20"/>
                <w:lang w:val="sq-AL"/>
              </w:rPr>
              <w:t>1.707</w:t>
            </w:r>
          </w:p>
        </w:tc>
      </w:tr>
      <w:tr w:rsidR="0015266E" w:rsidRPr="00441046" w:rsidTr="00441046">
        <w:trPr>
          <w:trHeight w:val="379"/>
        </w:trPr>
        <w:tc>
          <w:tcPr>
            <w:tcW w:w="1940" w:type="dxa"/>
            <w:gridSpan w:val="2"/>
            <w:tcBorders>
              <w:top w:val="single" w:sz="4" w:space="0" w:color="auto"/>
              <w:left w:val="single" w:sz="8" w:space="0" w:color="auto"/>
              <w:bottom w:val="nil"/>
              <w:right w:val="single" w:sz="4" w:space="0" w:color="auto"/>
            </w:tcBorders>
            <w:shd w:val="clear" w:color="000000" w:fill="C0C0C0"/>
            <w:vAlign w:val="center"/>
            <w:hideMark/>
          </w:tcPr>
          <w:p w:rsidR="0015266E" w:rsidRPr="00441046" w:rsidRDefault="0015266E" w:rsidP="0015266E">
            <w:pPr>
              <w:jc w:val="center"/>
              <w:rPr>
                <w:rFonts w:asciiTheme="minorHAnsi" w:hAnsiTheme="minorHAnsi"/>
                <w:b/>
                <w:bCs/>
                <w:color w:val="993300"/>
                <w:sz w:val="20"/>
                <w:lang w:val="sq-AL"/>
              </w:rPr>
            </w:pPr>
            <w:r w:rsidRPr="00441046">
              <w:rPr>
                <w:rFonts w:asciiTheme="minorHAnsi" w:hAnsiTheme="minorHAnsi"/>
                <w:sz w:val="20"/>
                <w:lang w:val="sq-AL"/>
              </w:rPr>
              <w:t>Kufijtë e dëndësisë së popullsisë  si % ndaj mesatares kombëtare</w:t>
            </w:r>
          </w:p>
        </w:tc>
        <w:tc>
          <w:tcPr>
            <w:tcW w:w="1486" w:type="dxa"/>
            <w:tcBorders>
              <w:top w:val="single" w:sz="4" w:space="0" w:color="auto"/>
              <w:left w:val="nil"/>
              <w:bottom w:val="nil"/>
              <w:right w:val="single" w:sz="4" w:space="0" w:color="auto"/>
            </w:tcBorders>
            <w:shd w:val="clear" w:color="000000" w:fill="C0C0C0"/>
            <w:vAlign w:val="center"/>
            <w:hideMark/>
          </w:tcPr>
          <w:p w:rsidR="0015266E" w:rsidRPr="00441046" w:rsidRDefault="0015266E">
            <w:pPr>
              <w:jc w:val="center"/>
              <w:rPr>
                <w:rFonts w:asciiTheme="minorHAnsi" w:hAnsiTheme="minorHAnsi"/>
                <w:b/>
                <w:bCs/>
                <w:color w:val="993300"/>
                <w:sz w:val="20"/>
                <w:lang w:val="sq-AL"/>
              </w:rPr>
            </w:pPr>
            <w:r w:rsidRPr="00441046">
              <w:rPr>
                <w:rFonts w:asciiTheme="minorHAnsi" w:hAnsiTheme="minorHAnsi"/>
                <w:b/>
                <w:bCs/>
                <w:color w:val="993300"/>
                <w:sz w:val="20"/>
                <w:lang w:val="sq-AL"/>
              </w:rPr>
              <w:t>Koefiçentët e rregullimit</w:t>
            </w:r>
          </w:p>
        </w:tc>
        <w:tc>
          <w:tcPr>
            <w:tcW w:w="1262" w:type="dxa"/>
            <w:tcBorders>
              <w:top w:val="single" w:sz="4" w:space="0" w:color="auto"/>
              <w:left w:val="nil"/>
              <w:bottom w:val="nil"/>
              <w:right w:val="single" w:sz="4" w:space="0" w:color="auto"/>
            </w:tcBorders>
            <w:shd w:val="clear" w:color="000000" w:fill="C0C0C0"/>
            <w:vAlign w:val="center"/>
            <w:hideMark/>
          </w:tcPr>
          <w:p w:rsidR="0015266E" w:rsidRPr="00441046" w:rsidRDefault="00DD284D" w:rsidP="00DD284D">
            <w:pPr>
              <w:jc w:val="center"/>
              <w:rPr>
                <w:rFonts w:asciiTheme="minorHAnsi" w:hAnsiTheme="minorHAnsi"/>
                <w:color w:val="000000"/>
                <w:sz w:val="20"/>
                <w:lang w:val="sq-AL"/>
              </w:rPr>
            </w:pPr>
            <w:r w:rsidRPr="00441046">
              <w:rPr>
                <w:rFonts w:asciiTheme="minorHAnsi" w:hAnsiTheme="minorHAnsi"/>
                <w:color w:val="000000"/>
                <w:sz w:val="20"/>
                <w:lang w:val="sq-AL"/>
              </w:rPr>
              <w:t>Numri u</w:t>
            </w:r>
            <w:r w:rsidR="0015266E" w:rsidRPr="00441046">
              <w:rPr>
                <w:rFonts w:asciiTheme="minorHAnsi" w:hAnsiTheme="minorHAnsi"/>
                <w:color w:val="000000"/>
                <w:sz w:val="20"/>
                <w:lang w:val="sq-AL"/>
              </w:rPr>
              <w:t xml:space="preserve"> NJQV-ve përfituese</w:t>
            </w:r>
          </w:p>
        </w:tc>
        <w:tc>
          <w:tcPr>
            <w:tcW w:w="1162" w:type="dxa"/>
            <w:tcBorders>
              <w:top w:val="single" w:sz="4" w:space="0" w:color="auto"/>
              <w:left w:val="nil"/>
              <w:bottom w:val="nil"/>
              <w:right w:val="nil"/>
            </w:tcBorders>
            <w:shd w:val="clear" w:color="000000" w:fill="C0C0C0"/>
            <w:vAlign w:val="center"/>
            <w:hideMark/>
          </w:tcPr>
          <w:p w:rsidR="0015266E" w:rsidRPr="00441046" w:rsidRDefault="0015266E">
            <w:pPr>
              <w:jc w:val="center"/>
              <w:rPr>
                <w:rFonts w:asciiTheme="minorHAnsi" w:hAnsiTheme="minorHAnsi"/>
                <w:color w:val="000000"/>
                <w:sz w:val="20"/>
                <w:lang w:val="sq-AL"/>
              </w:rPr>
            </w:pPr>
            <w:r w:rsidRPr="00441046">
              <w:rPr>
                <w:rFonts w:asciiTheme="minorHAnsi" w:hAnsiTheme="minorHAnsi"/>
                <w:color w:val="000000"/>
                <w:sz w:val="20"/>
                <w:lang w:val="sq-AL"/>
              </w:rPr>
              <w:t>Dëndësia e popullsis korresponduese</w:t>
            </w:r>
          </w:p>
        </w:tc>
        <w:tc>
          <w:tcPr>
            <w:tcW w:w="1097" w:type="dxa"/>
            <w:tcBorders>
              <w:top w:val="single" w:sz="4" w:space="0" w:color="auto"/>
              <w:left w:val="single" w:sz="4" w:space="0" w:color="auto"/>
              <w:bottom w:val="nil"/>
              <w:right w:val="single" w:sz="4" w:space="0" w:color="auto"/>
            </w:tcBorders>
            <w:shd w:val="clear" w:color="000000" w:fill="C0C0C0"/>
            <w:vAlign w:val="center"/>
            <w:hideMark/>
          </w:tcPr>
          <w:p w:rsidR="0015266E" w:rsidRPr="00441046" w:rsidRDefault="0015266E">
            <w:pPr>
              <w:jc w:val="center"/>
              <w:rPr>
                <w:rFonts w:asciiTheme="minorHAnsi" w:hAnsiTheme="minorHAnsi"/>
                <w:color w:val="000000"/>
                <w:sz w:val="20"/>
                <w:lang w:val="sq-AL"/>
              </w:rPr>
            </w:pPr>
            <w:r w:rsidRPr="00441046">
              <w:rPr>
                <w:rFonts w:asciiTheme="minorHAnsi" w:hAnsiTheme="minorHAnsi"/>
                <w:color w:val="000000"/>
                <w:sz w:val="20"/>
                <w:lang w:val="sq-AL"/>
              </w:rPr>
              <w:t>Popullsia në çdo grup</w:t>
            </w:r>
          </w:p>
        </w:tc>
        <w:tc>
          <w:tcPr>
            <w:tcW w:w="1063" w:type="dxa"/>
            <w:tcBorders>
              <w:top w:val="single" w:sz="4" w:space="0" w:color="auto"/>
              <w:left w:val="nil"/>
              <w:bottom w:val="nil"/>
              <w:right w:val="single" w:sz="4" w:space="0" w:color="auto"/>
            </w:tcBorders>
            <w:shd w:val="clear" w:color="000000" w:fill="C0C0C0"/>
            <w:vAlign w:val="center"/>
            <w:hideMark/>
          </w:tcPr>
          <w:p w:rsidR="0015266E" w:rsidRPr="00441046" w:rsidRDefault="0015266E" w:rsidP="0015266E">
            <w:pPr>
              <w:jc w:val="center"/>
              <w:rPr>
                <w:rFonts w:asciiTheme="minorHAnsi" w:hAnsiTheme="minorHAnsi"/>
                <w:color w:val="000000"/>
                <w:sz w:val="20"/>
                <w:lang w:val="sq-AL"/>
              </w:rPr>
            </w:pPr>
            <w:r w:rsidRPr="00441046">
              <w:rPr>
                <w:rFonts w:asciiTheme="minorHAnsi" w:hAnsiTheme="minorHAnsi"/>
                <w:color w:val="000000"/>
                <w:sz w:val="20"/>
                <w:lang w:val="sq-AL"/>
              </w:rPr>
              <w:t xml:space="preserve">% e ndarjes për çdo grup </w:t>
            </w:r>
          </w:p>
        </w:tc>
        <w:tc>
          <w:tcPr>
            <w:tcW w:w="1705" w:type="dxa"/>
            <w:tcBorders>
              <w:top w:val="single" w:sz="4" w:space="0" w:color="auto"/>
              <w:left w:val="nil"/>
              <w:bottom w:val="nil"/>
              <w:right w:val="single" w:sz="8" w:space="0" w:color="auto"/>
            </w:tcBorders>
            <w:shd w:val="clear" w:color="000000" w:fill="C0C0C0"/>
            <w:vAlign w:val="center"/>
            <w:hideMark/>
          </w:tcPr>
          <w:p w:rsidR="0015266E" w:rsidRPr="00441046" w:rsidRDefault="0015266E">
            <w:pPr>
              <w:jc w:val="center"/>
              <w:rPr>
                <w:rFonts w:asciiTheme="minorHAnsi" w:hAnsiTheme="minorHAnsi"/>
                <w:color w:val="000000"/>
                <w:sz w:val="20"/>
                <w:lang w:val="sq-AL"/>
              </w:rPr>
            </w:pPr>
            <w:r w:rsidRPr="00441046">
              <w:rPr>
                <w:rFonts w:asciiTheme="minorHAnsi" w:hAnsiTheme="minorHAnsi"/>
                <w:color w:val="000000"/>
                <w:sz w:val="20"/>
                <w:lang w:val="sq-AL"/>
              </w:rPr>
              <w:t>Shuma e fondeve shtesë për çdo grup</w:t>
            </w:r>
          </w:p>
        </w:tc>
      </w:tr>
      <w:tr w:rsidR="0015266E" w:rsidRPr="00441046" w:rsidTr="00441046">
        <w:trPr>
          <w:trHeight w:val="277"/>
        </w:trPr>
        <w:tc>
          <w:tcPr>
            <w:tcW w:w="845" w:type="dxa"/>
            <w:tcBorders>
              <w:top w:val="nil"/>
              <w:left w:val="single" w:sz="8" w:space="0" w:color="auto"/>
              <w:bottom w:val="nil"/>
              <w:right w:val="single" w:sz="4" w:space="0" w:color="auto"/>
            </w:tcBorders>
            <w:shd w:val="clear" w:color="auto" w:fill="auto"/>
            <w:noWrap/>
            <w:vAlign w:val="bottom"/>
            <w:hideMark/>
          </w:tcPr>
          <w:p w:rsidR="005A789C" w:rsidRPr="00441046" w:rsidRDefault="005A789C">
            <w:pPr>
              <w:jc w:val="center"/>
              <w:rPr>
                <w:rFonts w:asciiTheme="minorHAnsi" w:hAnsiTheme="minorHAnsi"/>
                <w:color w:val="000000"/>
                <w:sz w:val="20"/>
                <w:lang w:val="sq-AL"/>
              </w:rPr>
            </w:pPr>
            <w:r w:rsidRPr="00441046">
              <w:rPr>
                <w:rFonts w:asciiTheme="minorHAnsi" w:hAnsiTheme="minorHAnsi"/>
                <w:color w:val="000000"/>
                <w:sz w:val="20"/>
                <w:lang w:val="sq-AL"/>
              </w:rPr>
              <w:t>Kufiri 1</w:t>
            </w:r>
          </w:p>
        </w:tc>
        <w:tc>
          <w:tcPr>
            <w:tcW w:w="1095" w:type="dxa"/>
            <w:tcBorders>
              <w:top w:val="nil"/>
              <w:left w:val="nil"/>
              <w:bottom w:val="nil"/>
              <w:right w:val="single" w:sz="4" w:space="0" w:color="auto"/>
            </w:tcBorders>
            <w:shd w:val="clear" w:color="auto" w:fill="auto"/>
            <w:noWrap/>
            <w:vAlign w:val="bottom"/>
            <w:hideMark/>
          </w:tcPr>
          <w:p w:rsidR="005A789C" w:rsidRPr="00441046" w:rsidRDefault="005A789C">
            <w:pPr>
              <w:jc w:val="center"/>
              <w:rPr>
                <w:rFonts w:asciiTheme="minorHAnsi" w:hAnsiTheme="minorHAnsi"/>
                <w:b/>
                <w:bCs/>
                <w:color w:val="993300"/>
                <w:sz w:val="20"/>
                <w:lang w:val="sq-AL"/>
              </w:rPr>
            </w:pPr>
            <w:r w:rsidRPr="00441046">
              <w:rPr>
                <w:rFonts w:asciiTheme="minorHAnsi" w:hAnsiTheme="minorHAnsi"/>
                <w:b/>
                <w:bCs/>
                <w:color w:val="993300"/>
                <w:sz w:val="20"/>
                <w:lang w:val="sq-AL"/>
              </w:rPr>
              <w:t>22%</w:t>
            </w:r>
          </w:p>
        </w:tc>
        <w:tc>
          <w:tcPr>
            <w:tcW w:w="1486" w:type="dxa"/>
            <w:tcBorders>
              <w:top w:val="nil"/>
              <w:left w:val="nil"/>
              <w:bottom w:val="nil"/>
              <w:right w:val="single" w:sz="4" w:space="0" w:color="auto"/>
            </w:tcBorders>
            <w:shd w:val="clear" w:color="auto" w:fill="auto"/>
            <w:noWrap/>
            <w:vAlign w:val="bottom"/>
            <w:hideMark/>
          </w:tcPr>
          <w:p w:rsidR="005A789C" w:rsidRPr="00441046" w:rsidRDefault="005A789C">
            <w:pPr>
              <w:jc w:val="center"/>
              <w:rPr>
                <w:rFonts w:asciiTheme="minorHAnsi" w:hAnsiTheme="minorHAnsi"/>
                <w:b/>
                <w:bCs/>
                <w:color w:val="993300"/>
                <w:sz w:val="20"/>
                <w:lang w:val="sq-AL"/>
              </w:rPr>
            </w:pPr>
            <w:r w:rsidRPr="00441046">
              <w:rPr>
                <w:rFonts w:asciiTheme="minorHAnsi" w:hAnsiTheme="minorHAnsi"/>
                <w:b/>
                <w:bCs/>
                <w:color w:val="993300"/>
                <w:sz w:val="20"/>
                <w:lang w:val="sq-AL"/>
              </w:rPr>
              <w:t>2,0</w:t>
            </w:r>
          </w:p>
        </w:tc>
        <w:tc>
          <w:tcPr>
            <w:tcW w:w="1262" w:type="dxa"/>
            <w:tcBorders>
              <w:top w:val="nil"/>
              <w:left w:val="nil"/>
              <w:bottom w:val="nil"/>
              <w:right w:val="single" w:sz="4" w:space="0" w:color="auto"/>
            </w:tcBorders>
            <w:shd w:val="clear" w:color="auto" w:fill="auto"/>
            <w:noWrap/>
            <w:vAlign w:val="bottom"/>
            <w:hideMark/>
          </w:tcPr>
          <w:p w:rsidR="005A789C" w:rsidRPr="00441046" w:rsidRDefault="005A789C">
            <w:pPr>
              <w:jc w:val="right"/>
              <w:rPr>
                <w:rFonts w:asciiTheme="minorHAnsi" w:hAnsiTheme="minorHAnsi"/>
                <w:color w:val="000000"/>
                <w:sz w:val="20"/>
                <w:lang w:val="sq-AL"/>
              </w:rPr>
            </w:pPr>
            <w:r w:rsidRPr="00441046">
              <w:rPr>
                <w:rFonts w:asciiTheme="minorHAnsi" w:hAnsiTheme="minorHAnsi"/>
                <w:color w:val="000000"/>
                <w:sz w:val="20"/>
                <w:lang w:val="sq-AL"/>
              </w:rPr>
              <w:t>11</w:t>
            </w:r>
          </w:p>
        </w:tc>
        <w:tc>
          <w:tcPr>
            <w:tcW w:w="1162" w:type="dxa"/>
            <w:tcBorders>
              <w:top w:val="nil"/>
              <w:left w:val="nil"/>
              <w:bottom w:val="nil"/>
              <w:right w:val="nil"/>
            </w:tcBorders>
            <w:shd w:val="clear" w:color="auto" w:fill="auto"/>
            <w:noWrap/>
            <w:vAlign w:val="bottom"/>
            <w:hideMark/>
          </w:tcPr>
          <w:p w:rsidR="005A789C" w:rsidRPr="00441046" w:rsidRDefault="005A789C">
            <w:pPr>
              <w:jc w:val="right"/>
              <w:rPr>
                <w:rFonts w:asciiTheme="minorHAnsi" w:hAnsiTheme="minorHAnsi"/>
                <w:color w:val="000000"/>
                <w:sz w:val="20"/>
                <w:lang w:val="sq-AL"/>
              </w:rPr>
            </w:pPr>
            <w:r w:rsidRPr="00441046">
              <w:rPr>
                <w:rFonts w:asciiTheme="minorHAnsi" w:hAnsiTheme="minorHAnsi"/>
                <w:color w:val="000000"/>
                <w:sz w:val="20"/>
                <w:lang w:val="sq-AL"/>
              </w:rPr>
              <w:t>25,9</w:t>
            </w:r>
          </w:p>
        </w:tc>
        <w:tc>
          <w:tcPr>
            <w:tcW w:w="1097" w:type="dxa"/>
            <w:tcBorders>
              <w:top w:val="nil"/>
              <w:left w:val="single" w:sz="4" w:space="0" w:color="auto"/>
              <w:bottom w:val="nil"/>
              <w:right w:val="single" w:sz="4" w:space="0" w:color="auto"/>
            </w:tcBorders>
            <w:shd w:val="clear" w:color="auto" w:fill="auto"/>
            <w:noWrap/>
            <w:vAlign w:val="bottom"/>
            <w:hideMark/>
          </w:tcPr>
          <w:p w:rsidR="005A789C" w:rsidRPr="00441046" w:rsidRDefault="006D2247">
            <w:pPr>
              <w:jc w:val="right"/>
              <w:rPr>
                <w:rFonts w:asciiTheme="minorHAnsi" w:hAnsiTheme="minorHAnsi"/>
                <w:color w:val="000000"/>
                <w:sz w:val="20"/>
                <w:lang w:val="sq-AL"/>
              </w:rPr>
            </w:pPr>
            <w:r w:rsidRPr="00441046">
              <w:rPr>
                <w:rFonts w:asciiTheme="minorHAnsi" w:hAnsiTheme="minorHAnsi"/>
                <w:color w:val="000000"/>
                <w:sz w:val="20"/>
                <w:lang w:val="sq-AL"/>
              </w:rPr>
              <w:t>126.862</w:t>
            </w:r>
          </w:p>
        </w:tc>
        <w:tc>
          <w:tcPr>
            <w:tcW w:w="1063" w:type="dxa"/>
            <w:tcBorders>
              <w:top w:val="nil"/>
              <w:left w:val="nil"/>
              <w:bottom w:val="nil"/>
              <w:right w:val="single" w:sz="4" w:space="0" w:color="auto"/>
            </w:tcBorders>
            <w:shd w:val="clear" w:color="auto" w:fill="auto"/>
            <w:noWrap/>
            <w:vAlign w:val="bottom"/>
            <w:hideMark/>
          </w:tcPr>
          <w:p w:rsidR="005A789C" w:rsidRPr="00441046" w:rsidRDefault="00F207E4">
            <w:pPr>
              <w:jc w:val="right"/>
              <w:rPr>
                <w:rFonts w:asciiTheme="minorHAnsi" w:hAnsiTheme="minorHAnsi"/>
                <w:color w:val="000000"/>
                <w:sz w:val="20"/>
                <w:lang w:val="sq-AL"/>
              </w:rPr>
            </w:pPr>
            <w:r w:rsidRPr="00441046">
              <w:rPr>
                <w:rFonts w:asciiTheme="minorHAnsi" w:hAnsiTheme="minorHAnsi"/>
                <w:color w:val="000000"/>
                <w:sz w:val="20"/>
                <w:lang w:val="sq-AL"/>
              </w:rPr>
              <w:t>253.724</w:t>
            </w:r>
          </w:p>
        </w:tc>
        <w:tc>
          <w:tcPr>
            <w:tcW w:w="1705" w:type="dxa"/>
            <w:tcBorders>
              <w:top w:val="nil"/>
              <w:left w:val="nil"/>
              <w:bottom w:val="nil"/>
              <w:right w:val="single" w:sz="8" w:space="0" w:color="auto"/>
            </w:tcBorders>
            <w:shd w:val="clear" w:color="auto" w:fill="auto"/>
            <w:noWrap/>
            <w:vAlign w:val="bottom"/>
            <w:hideMark/>
          </w:tcPr>
          <w:p w:rsidR="005A789C" w:rsidRPr="00441046" w:rsidRDefault="009B467D" w:rsidP="00F207E4">
            <w:pPr>
              <w:jc w:val="right"/>
              <w:rPr>
                <w:rFonts w:asciiTheme="minorHAnsi" w:hAnsiTheme="minorHAnsi"/>
                <w:color w:val="000000"/>
                <w:sz w:val="20"/>
                <w:lang w:val="sq-AL"/>
              </w:rPr>
            </w:pPr>
            <w:r w:rsidRPr="00441046">
              <w:rPr>
                <w:rFonts w:asciiTheme="minorHAnsi" w:hAnsiTheme="minorHAnsi"/>
                <w:color w:val="000000"/>
                <w:sz w:val="20"/>
                <w:lang w:val="sq-AL"/>
              </w:rPr>
              <w:t>433.039.626</w:t>
            </w:r>
          </w:p>
        </w:tc>
      </w:tr>
      <w:tr w:rsidR="0015266E" w:rsidRPr="00441046" w:rsidTr="00441046">
        <w:trPr>
          <w:trHeight w:val="277"/>
        </w:trPr>
        <w:tc>
          <w:tcPr>
            <w:tcW w:w="845" w:type="dxa"/>
            <w:tcBorders>
              <w:top w:val="nil"/>
              <w:left w:val="single" w:sz="8" w:space="0" w:color="auto"/>
              <w:bottom w:val="nil"/>
              <w:right w:val="single" w:sz="4" w:space="0" w:color="auto"/>
            </w:tcBorders>
            <w:shd w:val="clear" w:color="auto" w:fill="auto"/>
            <w:noWrap/>
            <w:vAlign w:val="bottom"/>
            <w:hideMark/>
          </w:tcPr>
          <w:p w:rsidR="005A789C" w:rsidRPr="00441046" w:rsidRDefault="005A789C">
            <w:pPr>
              <w:jc w:val="center"/>
              <w:rPr>
                <w:rFonts w:asciiTheme="minorHAnsi" w:hAnsiTheme="minorHAnsi"/>
                <w:color w:val="000000"/>
                <w:sz w:val="20"/>
                <w:lang w:val="sq-AL"/>
              </w:rPr>
            </w:pPr>
            <w:r w:rsidRPr="00441046">
              <w:rPr>
                <w:rFonts w:asciiTheme="minorHAnsi" w:hAnsiTheme="minorHAnsi"/>
                <w:color w:val="000000"/>
                <w:sz w:val="20"/>
                <w:lang w:val="sq-AL"/>
              </w:rPr>
              <w:t>Kufiri 2</w:t>
            </w:r>
          </w:p>
        </w:tc>
        <w:tc>
          <w:tcPr>
            <w:tcW w:w="1095" w:type="dxa"/>
            <w:tcBorders>
              <w:top w:val="nil"/>
              <w:left w:val="nil"/>
              <w:bottom w:val="nil"/>
              <w:right w:val="single" w:sz="4" w:space="0" w:color="auto"/>
            </w:tcBorders>
            <w:shd w:val="clear" w:color="auto" w:fill="auto"/>
            <w:noWrap/>
            <w:vAlign w:val="bottom"/>
            <w:hideMark/>
          </w:tcPr>
          <w:p w:rsidR="005A789C" w:rsidRPr="00441046" w:rsidRDefault="005A789C">
            <w:pPr>
              <w:jc w:val="center"/>
              <w:rPr>
                <w:rFonts w:asciiTheme="minorHAnsi" w:hAnsiTheme="minorHAnsi"/>
                <w:b/>
                <w:bCs/>
                <w:color w:val="993300"/>
                <w:sz w:val="20"/>
                <w:lang w:val="sq-AL"/>
              </w:rPr>
            </w:pPr>
            <w:r w:rsidRPr="00441046">
              <w:rPr>
                <w:rFonts w:asciiTheme="minorHAnsi" w:hAnsiTheme="minorHAnsi"/>
                <w:b/>
                <w:bCs/>
                <w:color w:val="993300"/>
                <w:sz w:val="20"/>
                <w:lang w:val="sq-AL"/>
              </w:rPr>
              <w:t>44%</w:t>
            </w:r>
          </w:p>
        </w:tc>
        <w:tc>
          <w:tcPr>
            <w:tcW w:w="1486" w:type="dxa"/>
            <w:tcBorders>
              <w:top w:val="nil"/>
              <w:left w:val="nil"/>
              <w:bottom w:val="nil"/>
              <w:right w:val="single" w:sz="4" w:space="0" w:color="auto"/>
            </w:tcBorders>
            <w:shd w:val="clear" w:color="auto" w:fill="auto"/>
            <w:noWrap/>
            <w:vAlign w:val="bottom"/>
            <w:hideMark/>
          </w:tcPr>
          <w:p w:rsidR="005A789C" w:rsidRPr="00441046" w:rsidRDefault="005A789C">
            <w:pPr>
              <w:jc w:val="center"/>
              <w:rPr>
                <w:rFonts w:asciiTheme="minorHAnsi" w:hAnsiTheme="minorHAnsi"/>
                <w:b/>
                <w:bCs/>
                <w:color w:val="993300"/>
                <w:sz w:val="20"/>
                <w:lang w:val="sq-AL"/>
              </w:rPr>
            </w:pPr>
            <w:r w:rsidRPr="00441046">
              <w:rPr>
                <w:rFonts w:asciiTheme="minorHAnsi" w:hAnsiTheme="minorHAnsi"/>
                <w:b/>
                <w:bCs/>
                <w:color w:val="993300"/>
                <w:sz w:val="20"/>
                <w:lang w:val="sq-AL"/>
              </w:rPr>
              <w:t>1,6</w:t>
            </w:r>
          </w:p>
        </w:tc>
        <w:tc>
          <w:tcPr>
            <w:tcW w:w="1262" w:type="dxa"/>
            <w:tcBorders>
              <w:top w:val="nil"/>
              <w:left w:val="nil"/>
              <w:bottom w:val="nil"/>
              <w:right w:val="single" w:sz="4" w:space="0" w:color="auto"/>
            </w:tcBorders>
            <w:shd w:val="clear" w:color="auto" w:fill="auto"/>
            <w:noWrap/>
            <w:vAlign w:val="bottom"/>
            <w:hideMark/>
          </w:tcPr>
          <w:p w:rsidR="005A789C" w:rsidRPr="00441046" w:rsidRDefault="005A789C">
            <w:pPr>
              <w:jc w:val="right"/>
              <w:rPr>
                <w:rFonts w:asciiTheme="minorHAnsi" w:hAnsiTheme="minorHAnsi"/>
                <w:color w:val="000000"/>
                <w:sz w:val="20"/>
                <w:lang w:val="sq-AL"/>
              </w:rPr>
            </w:pPr>
            <w:r w:rsidRPr="00441046">
              <w:rPr>
                <w:rFonts w:asciiTheme="minorHAnsi" w:hAnsiTheme="minorHAnsi"/>
                <w:color w:val="000000"/>
                <w:sz w:val="20"/>
                <w:lang w:val="sq-AL"/>
              </w:rPr>
              <w:t>12</w:t>
            </w:r>
          </w:p>
        </w:tc>
        <w:tc>
          <w:tcPr>
            <w:tcW w:w="1162" w:type="dxa"/>
            <w:tcBorders>
              <w:top w:val="nil"/>
              <w:left w:val="nil"/>
              <w:bottom w:val="nil"/>
              <w:right w:val="nil"/>
            </w:tcBorders>
            <w:shd w:val="clear" w:color="auto" w:fill="auto"/>
            <w:noWrap/>
            <w:vAlign w:val="bottom"/>
            <w:hideMark/>
          </w:tcPr>
          <w:p w:rsidR="005A789C" w:rsidRPr="00441046" w:rsidRDefault="005A789C">
            <w:pPr>
              <w:jc w:val="right"/>
              <w:rPr>
                <w:rFonts w:asciiTheme="minorHAnsi" w:hAnsiTheme="minorHAnsi"/>
                <w:color w:val="000000"/>
                <w:sz w:val="20"/>
                <w:lang w:val="sq-AL"/>
              </w:rPr>
            </w:pPr>
            <w:r w:rsidRPr="00441046">
              <w:rPr>
                <w:rFonts w:asciiTheme="minorHAnsi" w:hAnsiTheme="minorHAnsi"/>
                <w:color w:val="000000"/>
                <w:sz w:val="20"/>
                <w:lang w:val="sq-AL"/>
              </w:rPr>
              <w:t>51,7</w:t>
            </w:r>
          </w:p>
        </w:tc>
        <w:tc>
          <w:tcPr>
            <w:tcW w:w="1097" w:type="dxa"/>
            <w:tcBorders>
              <w:top w:val="nil"/>
              <w:left w:val="single" w:sz="4" w:space="0" w:color="auto"/>
              <w:bottom w:val="nil"/>
              <w:right w:val="single" w:sz="4" w:space="0" w:color="auto"/>
            </w:tcBorders>
            <w:shd w:val="clear" w:color="auto" w:fill="auto"/>
            <w:noWrap/>
            <w:vAlign w:val="bottom"/>
            <w:hideMark/>
          </w:tcPr>
          <w:p w:rsidR="005A789C" w:rsidRPr="00441046" w:rsidRDefault="006D2247">
            <w:pPr>
              <w:jc w:val="right"/>
              <w:rPr>
                <w:rFonts w:asciiTheme="minorHAnsi" w:hAnsiTheme="minorHAnsi"/>
                <w:color w:val="000000"/>
                <w:sz w:val="20"/>
                <w:lang w:val="sq-AL"/>
              </w:rPr>
            </w:pPr>
            <w:r w:rsidRPr="00441046">
              <w:rPr>
                <w:rFonts w:asciiTheme="minorHAnsi" w:hAnsiTheme="minorHAnsi"/>
                <w:color w:val="000000"/>
                <w:sz w:val="20"/>
                <w:lang w:val="sq-AL"/>
              </w:rPr>
              <w:t>278.541</w:t>
            </w:r>
          </w:p>
        </w:tc>
        <w:tc>
          <w:tcPr>
            <w:tcW w:w="1063" w:type="dxa"/>
            <w:tcBorders>
              <w:top w:val="nil"/>
              <w:left w:val="nil"/>
              <w:bottom w:val="nil"/>
              <w:right w:val="single" w:sz="4" w:space="0" w:color="auto"/>
            </w:tcBorders>
            <w:shd w:val="clear" w:color="auto" w:fill="auto"/>
            <w:noWrap/>
            <w:vAlign w:val="bottom"/>
            <w:hideMark/>
          </w:tcPr>
          <w:p w:rsidR="005A789C" w:rsidRPr="00441046" w:rsidRDefault="00F207E4">
            <w:pPr>
              <w:jc w:val="right"/>
              <w:rPr>
                <w:rFonts w:asciiTheme="minorHAnsi" w:hAnsiTheme="minorHAnsi"/>
                <w:color w:val="000000"/>
                <w:sz w:val="20"/>
                <w:lang w:val="sq-AL"/>
              </w:rPr>
            </w:pPr>
            <w:r w:rsidRPr="00441046">
              <w:rPr>
                <w:rFonts w:asciiTheme="minorHAnsi" w:hAnsiTheme="minorHAnsi"/>
                <w:color w:val="000000"/>
                <w:sz w:val="20"/>
                <w:lang w:val="sq-AL"/>
              </w:rPr>
              <w:t>445.665</w:t>
            </w:r>
          </w:p>
        </w:tc>
        <w:tc>
          <w:tcPr>
            <w:tcW w:w="1705" w:type="dxa"/>
            <w:tcBorders>
              <w:top w:val="nil"/>
              <w:left w:val="nil"/>
              <w:bottom w:val="nil"/>
              <w:right w:val="single" w:sz="8" w:space="0" w:color="auto"/>
            </w:tcBorders>
            <w:shd w:val="clear" w:color="auto" w:fill="auto"/>
            <w:noWrap/>
            <w:vAlign w:val="bottom"/>
            <w:hideMark/>
          </w:tcPr>
          <w:p w:rsidR="005A789C" w:rsidRPr="00441046" w:rsidRDefault="009B467D" w:rsidP="00F207E4">
            <w:pPr>
              <w:jc w:val="right"/>
              <w:rPr>
                <w:rFonts w:asciiTheme="minorHAnsi" w:hAnsiTheme="minorHAnsi"/>
                <w:color w:val="000000"/>
                <w:sz w:val="20"/>
                <w:lang w:val="sq-AL"/>
              </w:rPr>
            </w:pPr>
            <w:r w:rsidRPr="00441046">
              <w:rPr>
                <w:rFonts w:asciiTheme="minorHAnsi" w:hAnsiTheme="minorHAnsi"/>
                <w:color w:val="000000"/>
                <w:sz w:val="20"/>
                <w:lang w:val="sq-AL"/>
              </w:rPr>
              <w:t>760.631.308</w:t>
            </w:r>
          </w:p>
        </w:tc>
      </w:tr>
      <w:tr w:rsidR="0015266E" w:rsidRPr="00441046" w:rsidTr="00441046">
        <w:trPr>
          <w:trHeight w:val="277"/>
        </w:trPr>
        <w:tc>
          <w:tcPr>
            <w:tcW w:w="845" w:type="dxa"/>
            <w:tcBorders>
              <w:top w:val="nil"/>
              <w:left w:val="single" w:sz="8" w:space="0" w:color="auto"/>
              <w:bottom w:val="nil"/>
              <w:right w:val="single" w:sz="4" w:space="0" w:color="auto"/>
            </w:tcBorders>
            <w:shd w:val="clear" w:color="auto" w:fill="auto"/>
            <w:noWrap/>
            <w:vAlign w:val="bottom"/>
            <w:hideMark/>
          </w:tcPr>
          <w:p w:rsidR="005A789C" w:rsidRPr="00441046" w:rsidRDefault="005A789C">
            <w:pPr>
              <w:jc w:val="center"/>
              <w:rPr>
                <w:rFonts w:asciiTheme="minorHAnsi" w:hAnsiTheme="minorHAnsi"/>
                <w:color w:val="000000"/>
                <w:sz w:val="20"/>
                <w:lang w:val="sq-AL"/>
              </w:rPr>
            </w:pPr>
            <w:r w:rsidRPr="00441046">
              <w:rPr>
                <w:rFonts w:asciiTheme="minorHAnsi" w:hAnsiTheme="minorHAnsi"/>
                <w:color w:val="000000"/>
                <w:sz w:val="20"/>
                <w:lang w:val="sq-AL"/>
              </w:rPr>
              <w:t>Kufiri 3</w:t>
            </w:r>
          </w:p>
        </w:tc>
        <w:tc>
          <w:tcPr>
            <w:tcW w:w="1095" w:type="dxa"/>
            <w:tcBorders>
              <w:top w:val="nil"/>
              <w:left w:val="nil"/>
              <w:bottom w:val="nil"/>
              <w:right w:val="single" w:sz="4" w:space="0" w:color="auto"/>
            </w:tcBorders>
            <w:shd w:val="clear" w:color="auto" w:fill="auto"/>
            <w:noWrap/>
            <w:vAlign w:val="bottom"/>
            <w:hideMark/>
          </w:tcPr>
          <w:p w:rsidR="005A789C" w:rsidRPr="00441046" w:rsidRDefault="005A789C">
            <w:pPr>
              <w:jc w:val="center"/>
              <w:rPr>
                <w:rFonts w:asciiTheme="minorHAnsi" w:hAnsiTheme="minorHAnsi"/>
                <w:b/>
                <w:bCs/>
                <w:color w:val="993300"/>
                <w:sz w:val="20"/>
                <w:lang w:val="sq-AL"/>
              </w:rPr>
            </w:pPr>
            <w:r w:rsidRPr="00441046">
              <w:rPr>
                <w:rFonts w:asciiTheme="minorHAnsi" w:hAnsiTheme="minorHAnsi"/>
                <w:b/>
                <w:bCs/>
                <w:color w:val="993300"/>
                <w:sz w:val="20"/>
                <w:lang w:val="sq-AL"/>
              </w:rPr>
              <w:t>75%</w:t>
            </w:r>
          </w:p>
        </w:tc>
        <w:tc>
          <w:tcPr>
            <w:tcW w:w="1486" w:type="dxa"/>
            <w:tcBorders>
              <w:top w:val="nil"/>
              <w:left w:val="nil"/>
              <w:bottom w:val="nil"/>
              <w:right w:val="single" w:sz="4" w:space="0" w:color="auto"/>
            </w:tcBorders>
            <w:shd w:val="clear" w:color="auto" w:fill="auto"/>
            <w:noWrap/>
            <w:vAlign w:val="bottom"/>
            <w:hideMark/>
          </w:tcPr>
          <w:p w:rsidR="005A789C" w:rsidRPr="00441046" w:rsidRDefault="005A789C">
            <w:pPr>
              <w:jc w:val="center"/>
              <w:rPr>
                <w:rFonts w:asciiTheme="minorHAnsi" w:hAnsiTheme="minorHAnsi"/>
                <w:b/>
                <w:bCs/>
                <w:color w:val="993300"/>
                <w:sz w:val="20"/>
                <w:lang w:val="sq-AL"/>
              </w:rPr>
            </w:pPr>
            <w:r w:rsidRPr="00441046">
              <w:rPr>
                <w:rFonts w:asciiTheme="minorHAnsi" w:hAnsiTheme="minorHAnsi"/>
                <w:b/>
                <w:bCs/>
                <w:color w:val="993300"/>
                <w:sz w:val="20"/>
                <w:lang w:val="sq-AL"/>
              </w:rPr>
              <w:t>0,9</w:t>
            </w:r>
          </w:p>
        </w:tc>
        <w:tc>
          <w:tcPr>
            <w:tcW w:w="1262" w:type="dxa"/>
            <w:tcBorders>
              <w:top w:val="nil"/>
              <w:left w:val="nil"/>
              <w:bottom w:val="nil"/>
              <w:right w:val="single" w:sz="4" w:space="0" w:color="auto"/>
            </w:tcBorders>
            <w:shd w:val="clear" w:color="auto" w:fill="auto"/>
            <w:noWrap/>
            <w:vAlign w:val="bottom"/>
            <w:hideMark/>
          </w:tcPr>
          <w:p w:rsidR="005A789C" w:rsidRPr="00441046" w:rsidRDefault="005A789C">
            <w:pPr>
              <w:jc w:val="right"/>
              <w:rPr>
                <w:rFonts w:asciiTheme="minorHAnsi" w:hAnsiTheme="minorHAnsi"/>
                <w:color w:val="000000"/>
                <w:sz w:val="20"/>
                <w:lang w:val="sq-AL"/>
              </w:rPr>
            </w:pPr>
            <w:r w:rsidRPr="00441046">
              <w:rPr>
                <w:rFonts w:asciiTheme="minorHAnsi" w:hAnsiTheme="minorHAnsi"/>
                <w:color w:val="000000"/>
                <w:sz w:val="20"/>
                <w:lang w:val="sq-AL"/>
              </w:rPr>
              <w:t>10</w:t>
            </w:r>
          </w:p>
        </w:tc>
        <w:tc>
          <w:tcPr>
            <w:tcW w:w="1162" w:type="dxa"/>
            <w:tcBorders>
              <w:top w:val="nil"/>
              <w:left w:val="nil"/>
              <w:bottom w:val="nil"/>
              <w:right w:val="nil"/>
            </w:tcBorders>
            <w:shd w:val="clear" w:color="auto" w:fill="auto"/>
            <w:noWrap/>
            <w:vAlign w:val="bottom"/>
            <w:hideMark/>
          </w:tcPr>
          <w:p w:rsidR="005A789C" w:rsidRPr="00441046" w:rsidRDefault="005A789C">
            <w:pPr>
              <w:jc w:val="right"/>
              <w:rPr>
                <w:rFonts w:asciiTheme="minorHAnsi" w:hAnsiTheme="minorHAnsi"/>
                <w:color w:val="000000"/>
                <w:sz w:val="20"/>
                <w:lang w:val="sq-AL"/>
              </w:rPr>
            </w:pPr>
            <w:r w:rsidRPr="00441046">
              <w:rPr>
                <w:rFonts w:asciiTheme="minorHAnsi" w:hAnsiTheme="minorHAnsi"/>
                <w:color w:val="000000"/>
                <w:sz w:val="20"/>
                <w:lang w:val="sq-AL"/>
              </w:rPr>
              <w:t>88,1</w:t>
            </w:r>
          </w:p>
        </w:tc>
        <w:tc>
          <w:tcPr>
            <w:tcW w:w="1097" w:type="dxa"/>
            <w:tcBorders>
              <w:top w:val="nil"/>
              <w:left w:val="single" w:sz="4" w:space="0" w:color="auto"/>
              <w:bottom w:val="nil"/>
              <w:right w:val="single" w:sz="4" w:space="0" w:color="auto"/>
            </w:tcBorders>
            <w:shd w:val="clear" w:color="auto" w:fill="auto"/>
            <w:noWrap/>
            <w:vAlign w:val="bottom"/>
            <w:hideMark/>
          </w:tcPr>
          <w:p w:rsidR="005A789C" w:rsidRPr="00441046" w:rsidRDefault="006D2247">
            <w:pPr>
              <w:jc w:val="right"/>
              <w:rPr>
                <w:rFonts w:asciiTheme="minorHAnsi" w:hAnsiTheme="minorHAnsi"/>
                <w:color w:val="000000"/>
                <w:sz w:val="20"/>
                <w:lang w:val="sq-AL"/>
              </w:rPr>
            </w:pPr>
            <w:r w:rsidRPr="00441046">
              <w:rPr>
                <w:rFonts w:asciiTheme="minorHAnsi" w:hAnsiTheme="minorHAnsi"/>
                <w:color w:val="000000"/>
                <w:sz w:val="20"/>
                <w:lang w:val="sq-AL"/>
              </w:rPr>
              <w:t>353.121</w:t>
            </w:r>
          </w:p>
        </w:tc>
        <w:tc>
          <w:tcPr>
            <w:tcW w:w="1063" w:type="dxa"/>
            <w:tcBorders>
              <w:top w:val="nil"/>
              <w:left w:val="nil"/>
              <w:bottom w:val="nil"/>
              <w:right w:val="single" w:sz="4" w:space="0" w:color="auto"/>
            </w:tcBorders>
            <w:shd w:val="clear" w:color="auto" w:fill="auto"/>
            <w:noWrap/>
            <w:vAlign w:val="bottom"/>
            <w:hideMark/>
          </w:tcPr>
          <w:p w:rsidR="005A789C" w:rsidRPr="00441046" w:rsidRDefault="00F207E4">
            <w:pPr>
              <w:jc w:val="right"/>
              <w:rPr>
                <w:rFonts w:asciiTheme="minorHAnsi" w:hAnsiTheme="minorHAnsi"/>
                <w:color w:val="000000"/>
                <w:sz w:val="20"/>
                <w:lang w:val="sq-AL"/>
              </w:rPr>
            </w:pPr>
            <w:r w:rsidRPr="00441046">
              <w:rPr>
                <w:rFonts w:asciiTheme="minorHAnsi" w:hAnsiTheme="minorHAnsi"/>
                <w:color w:val="000000"/>
                <w:sz w:val="20"/>
                <w:lang w:val="sq-AL"/>
              </w:rPr>
              <w:t>300.152</w:t>
            </w:r>
          </w:p>
        </w:tc>
        <w:tc>
          <w:tcPr>
            <w:tcW w:w="1705" w:type="dxa"/>
            <w:tcBorders>
              <w:top w:val="nil"/>
              <w:left w:val="nil"/>
              <w:bottom w:val="nil"/>
              <w:right w:val="single" w:sz="8" w:space="0" w:color="auto"/>
            </w:tcBorders>
            <w:shd w:val="clear" w:color="auto" w:fill="auto"/>
            <w:noWrap/>
            <w:vAlign w:val="bottom"/>
            <w:hideMark/>
          </w:tcPr>
          <w:p w:rsidR="005A789C" w:rsidRPr="00441046" w:rsidRDefault="009B467D" w:rsidP="00F207E4">
            <w:pPr>
              <w:jc w:val="right"/>
              <w:rPr>
                <w:rFonts w:asciiTheme="minorHAnsi" w:hAnsiTheme="minorHAnsi"/>
                <w:color w:val="000000"/>
                <w:sz w:val="20"/>
                <w:lang w:val="sq-AL"/>
              </w:rPr>
            </w:pPr>
            <w:r w:rsidRPr="00441046">
              <w:rPr>
                <w:rFonts w:asciiTheme="minorHAnsi" w:hAnsiTheme="minorHAnsi"/>
                <w:color w:val="000000"/>
                <w:sz w:val="20"/>
                <w:lang w:val="sq-AL"/>
              </w:rPr>
              <w:t>512.280.090</w:t>
            </w:r>
          </w:p>
        </w:tc>
      </w:tr>
      <w:tr w:rsidR="0015266E" w:rsidRPr="00441046" w:rsidTr="00441046">
        <w:trPr>
          <w:trHeight w:val="60"/>
        </w:trPr>
        <w:tc>
          <w:tcPr>
            <w:tcW w:w="845" w:type="dxa"/>
            <w:tcBorders>
              <w:top w:val="nil"/>
              <w:left w:val="single" w:sz="8" w:space="0" w:color="auto"/>
              <w:bottom w:val="nil"/>
              <w:right w:val="single" w:sz="4" w:space="0" w:color="auto"/>
            </w:tcBorders>
            <w:shd w:val="clear" w:color="auto" w:fill="auto"/>
            <w:noWrap/>
            <w:vAlign w:val="bottom"/>
            <w:hideMark/>
          </w:tcPr>
          <w:p w:rsidR="005A789C" w:rsidRPr="00441046" w:rsidRDefault="005A789C">
            <w:pPr>
              <w:jc w:val="center"/>
              <w:rPr>
                <w:rFonts w:asciiTheme="minorHAnsi" w:hAnsiTheme="minorHAnsi"/>
                <w:color w:val="000000"/>
                <w:sz w:val="20"/>
                <w:lang w:val="sq-AL"/>
              </w:rPr>
            </w:pPr>
            <w:r w:rsidRPr="00441046">
              <w:rPr>
                <w:rFonts w:asciiTheme="minorHAnsi" w:hAnsiTheme="minorHAnsi"/>
                <w:color w:val="000000"/>
                <w:sz w:val="20"/>
                <w:lang w:val="sq-AL"/>
              </w:rPr>
              <w:t>Kufiri 4</w:t>
            </w:r>
          </w:p>
        </w:tc>
        <w:tc>
          <w:tcPr>
            <w:tcW w:w="1095" w:type="dxa"/>
            <w:tcBorders>
              <w:top w:val="nil"/>
              <w:left w:val="nil"/>
              <w:bottom w:val="nil"/>
              <w:right w:val="single" w:sz="4" w:space="0" w:color="auto"/>
            </w:tcBorders>
            <w:shd w:val="clear" w:color="auto" w:fill="auto"/>
            <w:noWrap/>
            <w:vAlign w:val="bottom"/>
            <w:hideMark/>
          </w:tcPr>
          <w:p w:rsidR="005A789C" w:rsidRPr="00441046" w:rsidRDefault="005A789C">
            <w:pPr>
              <w:jc w:val="center"/>
              <w:rPr>
                <w:rFonts w:asciiTheme="minorHAnsi" w:hAnsiTheme="minorHAnsi"/>
                <w:b/>
                <w:bCs/>
                <w:color w:val="993300"/>
                <w:sz w:val="20"/>
                <w:lang w:val="sq-AL"/>
              </w:rPr>
            </w:pPr>
            <w:r w:rsidRPr="00441046">
              <w:rPr>
                <w:rFonts w:asciiTheme="minorHAnsi" w:hAnsiTheme="minorHAnsi"/>
                <w:b/>
                <w:bCs/>
                <w:color w:val="993300"/>
                <w:sz w:val="20"/>
                <w:lang w:val="sq-AL"/>
              </w:rPr>
              <w:t>110%</w:t>
            </w:r>
          </w:p>
        </w:tc>
        <w:tc>
          <w:tcPr>
            <w:tcW w:w="1486" w:type="dxa"/>
            <w:tcBorders>
              <w:top w:val="nil"/>
              <w:left w:val="nil"/>
              <w:bottom w:val="nil"/>
              <w:right w:val="single" w:sz="4" w:space="0" w:color="auto"/>
            </w:tcBorders>
            <w:shd w:val="clear" w:color="auto" w:fill="auto"/>
            <w:noWrap/>
            <w:vAlign w:val="bottom"/>
            <w:hideMark/>
          </w:tcPr>
          <w:p w:rsidR="005A789C" w:rsidRPr="00441046" w:rsidRDefault="005A789C">
            <w:pPr>
              <w:jc w:val="center"/>
              <w:rPr>
                <w:rFonts w:asciiTheme="minorHAnsi" w:hAnsiTheme="minorHAnsi"/>
                <w:b/>
                <w:bCs/>
                <w:color w:val="993300"/>
                <w:sz w:val="20"/>
                <w:lang w:val="sq-AL"/>
              </w:rPr>
            </w:pPr>
            <w:r w:rsidRPr="00441046">
              <w:rPr>
                <w:rFonts w:asciiTheme="minorHAnsi" w:hAnsiTheme="minorHAnsi"/>
                <w:b/>
                <w:bCs/>
                <w:color w:val="993300"/>
                <w:sz w:val="20"/>
                <w:lang w:val="sq-AL"/>
              </w:rPr>
              <w:t>0,4</w:t>
            </w:r>
          </w:p>
        </w:tc>
        <w:tc>
          <w:tcPr>
            <w:tcW w:w="1262" w:type="dxa"/>
            <w:tcBorders>
              <w:top w:val="nil"/>
              <w:left w:val="nil"/>
              <w:bottom w:val="nil"/>
              <w:right w:val="single" w:sz="4" w:space="0" w:color="auto"/>
            </w:tcBorders>
            <w:shd w:val="clear" w:color="auto" w:fill="auto"/>
            <w:noWrap/>
            <w:vAlign w:val="bottom"/>
            <w:hideMark/>
          </w:tcPr>
          <w:p w:rsidR="005A789C" w:rsidRPr="00441046" w:rsidRDefault="005A789C">
            <w:pPr>
              <w:jc w:val="right"/>
              <w:rPr>
                <w:rFonts w:asciiTheme="minorHAnsi" w:hAnsiTheme="minorHAnsi"/>
                <w:color w:val="000000"/>
                <w:sz w:val="20"/>
                <w:lang w:val="sq-AL"/>
              </w:rPr>
            </w:pPr>
            <w:r w:rsidRPr="00441046">
              <w:rPr>
                <w:rFonts w:asciiTheme="minorHAnsi" w:hAnsiTheme="minorHAnsi"/>
                <w:color w:val="000000"/>
                <w:sz w:val="20"/>
                <w:lang w:val="sq-AL"/>
              </w:rPr>
              <w:t>6</w:t>
            </w:r>
          </w:p>
        </w:tc>
        <w:tc>
          <w:tcPr>
            <w:tcW w:w="1162" w:type="dxa"/>
            <w:tcBorders>
              <w:top w:val="nil"/>
              <w:left w:val="nil"/>
              <w:bottom w:val="nil"/>
              <w:right w:val="nil"/>
            </w:tcBorders>
            <w:shd w:val="clear" w:color="auto" w:fill="auto"/>
            <w:noWrap/>
            <w:vAlign w:val="bottom"/>
            <w:hideMark/>
          </w:tcPr>
          <w:p w:rsidR="005A789C" w:rsidRPr="00441046" w:rsidRDefault="005A789C">
            <w:pPr>
              <w:jc w:val="right"/>
              <w:rPr>
                <w:rFonts w:asciiTheme="minorHAnsi" w:hAnsiTheme="minorHAnsi"/>
                <w:color w:val="000000"/>
                <w:sz w:val="20"/>
                <w:lang w:val="sq-AL"/>
              </w:rPr>
            </w:pPr>
            <w:r w:rsidRPr="00441046">
              <w:rPr>
                <w:rFonts w:asciiTheme="minorHAnsi" w:hAnsiTheme="minorHAnsi"/>
                <w:color w:val="000000"/>
                <w:sz w:val="20"/>
                <w:lang w:val="sq-AL"/>
              </w:rPr>
              <w:t>129,3</w:t>
            </w:r>
          </w:p>
        </w:tc>
        <w:tc>
          <w:tcPr>
            <w:tcW w:w="1097" w:type="dxa"/>
            <w:tcBorders>
              <w:top w:val="nil"/>
              <w:left w:val="single" w:sz="4" w:space="0" w:color="auto"/>
              <w:bottom w:val="nil"/>
              <w:right w:val="single" w:sz="4" w:space="0" w:color="auto"/>
            </w:tcBorders>
            <w:shd w:val="clear" w:color="auto" w:fill="auto"/>
            <w:noWrap/>
            <w:vAlign w:val="bottom"/>
            <w:hideMark/>
          </w:tcPr>
          <w:p w:rsidR="005A789C" w:rsidRPr="00441046" w:rsidRDefault="006D2247">
            <w:pPr>
              <w:jc w:val="right"/>
              <w:rPr>
                <w:rFonts w:asciiTheme="minorHAnsi" w:hAnsiTheme="minorHAnsi"/>
                <w:color w:val="000000"/>
                <w:sz w:val="20"/>
                <w:lang w:val="sq-AL"/>
              </w:rPr>
            </w:pPr>
            <w:r w:rsidRPr="00441046">
              <w:rPr>
                <w:rFonts w:asciiTheme="minorHAnsi" w:hAnsiTheme="minorHAnsi"/>
                <w:color w:val="000000"/>
                <w:sz w:val="20"/>
                <w:lang w:val="sq-AL"/>
              </w:rPr>
              <w:t>290.081</w:t>
            </w:r>
          </w:p>
        </w:tc>
        <w:tc>
          <w:tcPr>
            <w:tcW w:w="1063" w:type="dxa"/>
            <w:tcBorders>
              <w:top w:val="nil"/>
              <w:left w:val="nil"/>
              <w:bottom w:val="nil"/>
              <w:right w:val="single" w:sz="4" w:space="0" w:color="auto"/>
            </w:tcBorders>
            <w:shd w:val="clear" w:color="auto" w:fill="auto"/>
            <w:noWrap/>
            <w:vAlign w:val="bottom"/>
            <w:hideMark/>
          </w:tcPr>
          <w:p w:rsidR="005A789C" w:rsidRPr="00441046" w:rsidRDefault="00F207E4">
            <w:pPr>
              <w:jc w:val="right"/>
              <w:rPr>
                <w:rFonts w:asciiTheme="minorHAnsi" w:hAnsiTheme="minorHAnsi"/>
                <w:color w:val="000000"/>
                <w:sz w:val="20"/>
                <w:lang w:val="sq-AL"/>
              </w:rPr>
            </w:pPr>
            <w:r w:rsidRPr="00441046">
              <w:rPr>
                <w:rFonts w:asciiTheme="minorHAnsi" w:hAnsiTheme="minorHAnsi"/>
                <w:color w:val="000000"/>
                <w:sz w:val="20"/>
                <w:lang w:val="sq-AL"/>
              </w:rPr>
              <w:t>116.032</w:t>
            </w:r>
          </w:p>
        </w:tc>
        <w:tc>
          <w:tcPr>
            <w:tcW w:w="1705" w:type="dxa"/>
            <w:tcBorders>
              <w:top w:val="nil"/>
              <w:left w:val="nil"/>
              <w:bottom w:val="nil"/>
              <w:right w:val="single" w:sz="8" w:space="0" w:color="auto"/>
            </w:tcBorders>
            <w:shd w:val="clear" w:color="auto" w:fill="auto"/>
            <w:noWrap/>
            <w:vAlign w:val="bottom"/>
            <w:hideMark/>
          </w:tcPr>
          <w:p w:rsidR="005A789C" w:rsidRPr="00441046" w:rsidRDefault="009B467D" w:rsidP="00F207E4">
            <w:pPr>
              <w:jc w:val="right"/>
              <w:rPr>
                <w:rFonts w:asciiTheme="minorHAnsi" w:hAnsiTheme="minorHAnsi"/>
                <w:color w:val="000000"/>
                <w:sz w:val="20"/>
                <w:szCs w:val="22"/>
                <w:lang w:val="sq-AL"/>
              </w:rPr>
            </w:pPr>
            <w:r w:rsidRPr="00441046">
              <w:rPr>
                <w:rFonts w:asciiTheme="minorHAnsi" w:hAnsiTheme="minorHAnsi"/>
                <w:color w:val="000000"/>
                <w:sz w:val="20"/>
                <w:szCs w:val="22"/>
                <w:lang w:val="sq-AL"/>
              </w:rPr>
              <w:t>198.036.196</w:t>
            </w:r>
          </w:p>
        </w:tc>
      </w:tr>
      <w:tr w:rsidR="006D2247" w:rsidRPr="00441046" w:rsidTr="00441046">
        <w:trPr>
          <w:trHeight w:val="52"/>
        </w:trPr>
        <w:tc>
          <w:tcPr>
            <w:tcW w:w="845" w:type="dxa"/>
            <w:tcBorders>
              <w:top w:val="single" w:sz="4" w:space="0" w:color="auto"/>
              <w:left w:val="single" w:sz="8" w:space="0" w:color="auto"/>
              <w:bottom w:val="single" w:sz="4" w:space="0" w:color="auto"/>
              <w:right w:val="single" w:sz="4" w:space="0" w:color="auto"/>
            </w:tcBorders>
            <w:shd w:val="clear" w:color="auto" w:fill="auto"/>
            <w:noWrap/>
            <w:vAlign w:val="bottom"/>
          </w:tcPr>
          <w:p w:rsidR="006D2247" w:rsidRPr="00441046" w:rsidRDefault="006D2247">
            <w:pPr>
              <w:jc w:val="center"/>
              <w:rPr>
                <w:rFonts w:asciiTheme="minorHAnsi" w:hAnsiTheme="minorHAnsi"/>
                <w:b/>
                <w:color w:val="000000"/>
                <w:sz w:val="20"/>
                <w:szCs w:val="22"/>
                <w:lang w:val="sq-AL"/>
              </w:rPr>
            </w:pPr>
            <w:r w:rsidRPr="00441046">
              <w:rPr>
                <w:rFonts w:asciiTheme="minorHAnsi" w:hAnsiTheme="minorHAnsi"/>
                <w:b/>
                <w:color w:val="000000"/>
                <w:sz w:val="20"/>
                <w:szCs w:val="22"/>
                <w:lang w:val="sq-AL"/>
              </w:rPr>
              <w:t>Totali</w:t>
            </w:r>
          </w:p>
        </w:tc>
        <w:tc>
          <w:tcPr>
            <w:tcW w:w="1095" w:type="dxa"/>
            <w:tcBorders>
              <w:top w:val="single" w:sz="4" w:space="0" w:color="auto"/>
              <w:left w:val="nil"/>
              <w:bottom w:val="single" w:sz="4" w:space="0" w:color="auto"/>
              <w:right w:val="single" w:sz="4" w:space="0" w:color="auto"/>
            </w:tcBorders>
            <w:shd w:val="clear" w:color="auto" w:fill="auto"/>
            <w:noWrap/>
            <w:vAlign w:val="bottom"/>
          </w:tcPr>
          <w:p w:rsidR="006D2247" w:rsidRPr="00441046" w:rsidRDefault="006D2247">
            <w:pPr>
              <w:jc w:val="center"/>
              <w:rPr>
                <w:rFonts w:asciiTheme="minorHAnsi" w:hAnsiTheme="minorHAnsi"/>
                <w:b/>
                <w:bCs/>
                <w:color w:val="993300"/>
                <w:sz w:val="20"/>
                <w:szCs w:val="22"/>
                <w:lang w:val="sq-AL"/>
              </w:rPr>
            </w:pPr>
          </w:p>
        </w:tc>
        <w:tc>
          <w:tcPr>
            <w:tcW w:w="1486" w:type="dxa"/>
            <w:tcBorders>
              <w:top w:val="single" w:sz="4" w:space="0" w:color="auto"/>
              <w:left w:val="nil"/>
              <w:bottom w:val="single" w:sz="4" w:space="0" w:color="auto"/>
              <w:right w:val="single" w:sz="4" w:space="0" w:color="auto"/>
            </w:tcBorders>
            <w:shd w:val="clear" w:color="auto" w:fill="auto"/>
            <w:noWrap/>
            <w:vAlign w:val="bottom"/>
          </w:tcPr>
          <w:p w:rsidR="006D2247" w:rsidRPr="00441046" w:rsidRDefault="006D2247">
            <w:pPr>
              <w:jc w:val="center"/>
              <w:rPr>
                <w:rFonts w:asciiTheme="minorHAnsi" w:hAnsiTheme="minorHAnsi"/>
                <w:b/>
                <w:bCs/>
                <w:color w:val="993300"/>
                <w:sz w:val="20"/>
                <w:szCs w:val="22"/>
                <w:lang w:val="sq-AL"/>
              </w:rPr>
            </w:pPr>
          </w:p>
        </w:tc>
        <w:tc>
          <w:tcPr>
            <w:tcW w:w="1262" w:type="dxa"/>
            <w:tcBorders>
              <w:top w:val="single" w:sz="4" w:space="0" w:color="auto"/>
              <w:left w:val="nil"/>
              <w:bottom w:val="single" w:sz="4" w:space="0" w:color="auto"/>
              <w:right w:val="single" w:sz="4" w:space="0" w:color="auto"/>
            </w:tcBorders>
            <w:shd w:val="clear" w:color="auto" w:fill="auto"/>
            <w:noWrap/>
            <w:vAlign w:val="bottom"/>
          </w:tcPr>
          <w:p w:rsidR="006D2247" w:rsidRPr="00441046" w:rsidRDefault="006D2247" w:rsidP="006D2247">
            <w:pPr>
              <w:jc w:val="right"/>
              <w:rPr>
                <w:rFonts w:asciiTheme="minorHAnsi" w:hAnsiTheme="minorHAnsi"/>
                <w:b/>
                <w:color w:val="000000"/>
                <w:sz w:val="20"/>
                <w:szCs w:val="22"/>
                <w:lang w:val="sq-AL"/>
              </w:rPr>
            </w:pPr>
            <w:r w:rsidRPr="00441046">
              <w:rPr>
                <w:rFonts w:asciiTheme="minorHAnsi" w:hAnsiTheme="minorHAnsi"/>
                <w:b/>
                <w:color w:val="000000"/>
                <w:sz w:val="20"/>
                <w:szCs w:val="22"/>
                <w:lang w:val="sq-AL"/>
              </w:rPr>
              <w:t>39</w:t>
            </w:r>
          </w:p>
        </w:tc>
        <w:tc>
          <w:tcPr>
            <w:tcW w:w="1162" w:type="dxa"/>
            <w:tcBorders>
              <w:top w:val="single" w:sz="4" w:space="0" w:color="auto"/>
              <w:left w:val="nil"/>
              <w:bottom w:val="single" w:sz="4" w:space="0" w:color="auto"/>
              <w:right w:val="nil"/>
            </w:tcBorders>
            <w:shd w:val="clear" w:color="auto" w:fill="auto"/>
            <w:noWrap/>
            <w:vAlign w:val="bottom"/>
          </w:tcPr>
          <w:p w:rsidR="006D2247" w:rsidRPr="00441046" w:rsidRDefault="006D2247" w:rsidP="0015266E">
            <w:pPr>
              <w:jc w:val="right"/>
              <w:rPr>
                <w:rFonts w:asciiTheme="minorHAnsi" w:hAnsiTheme="minorHAnsi"/>
                <w:b/>
                <w:color w:val="000000"/>
                <w:sz w:val="20"/>
                <w:szCs w:val="22"/>
                <w:lang w:val="sq-AL"/>
              </w:rPr>
            </w:pP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2247" w:rsidRPr="00441046" w:rsidRDefault="006D2247" w:rsidP="0015266E">
            <w:pPr>
              <w:jc w:val="right"/>
              <w:rPr>
                <w:rFonts w:asciiTheme="minorHAnsi" w:hAnsiTheme="minorHAnsi"/>
                <w:b/>
                <w:color w:val="000000"/>
                <w:sz w:val="20"/>
                <w:szCs w:val="22"/>
                <w:lang w:val="sq-AL"/>
              </w:rPr>
            </w:pPr>
            <w:r w:rsidRPr="00441046">
              <w:rPr>
                <w:rFonts w:asciiTheme="minorHAnsi" w:hAnsiTheme="minorHAnsi"/>
                <w:b/>
                <w:color w:val="000000"/>
                <w:sz w:val="20"/>
                <w:szCs w:val="22"/>
                <w:lang w:val="sq-AL"/>
              </w:rPr>
              <w:t>1.048.604</w:t>
            </w:r>
          </w:p>
        </w:tc>
        <w:tc>
          <w:tcPr>
            <w:tcW w:w="1063" w:type="dxa"/>
            <w:tcBorders>
              <w:top w:val="single" w:sz="4" w:space="0" w:color="auto"/>
              <w:left w:val="nil"/>
              <w:bottom w:val="single" w:sz="4" w:space="0" w:color="auto"/>
              <w:right w:val="single" w:sz="4" w:space="0" w:color="auto"/>
            </w:tcBorders>
            <w:shd w:val="clear" w:color="auto" w:fill="auto"/>
            <w:noWrap/>
            <w:vAlign w:val="bottom"/>
          </w:tcPr>
          <w:p w:rsidR="006D2247" w:rsidRPr="00441046" w:rsidRDefault="00F207E4" w:rsidP="00441046">
            <w:pPr>
              <w:jc w:val="right"/>
              <w:rPr>
                <w:rFonts w:asciiTheme="minorHAnsi" w:hAnsiTheme="minorHAnsi"/>
                <w:b/>
                <w:color w:val="000000"/>
                <w:sz w:val="20"/>
                <w:szCs w:val="22"/>
                <w:lang w:val="sq-AL"/>
              </w:rPr>
            </w:pPr>
            <w:r w:rsidRPr="00441046">
              <w:rPr>
                <w:rFonts w:asciiTheme="minorHAnsi" w:hAnsiTheme="minorHAnsi"/>
                <w:b/>
                <w:color w:val="000000"/>
                <w:sz w:val="20"/>
                <w:szCs w:val="22"/>
                <w:lang w:val="sq-AL"/>
              </w:rPr>
              <w:t>1.115.574</w:t>
            </w:r>
          </w:p>
        </w:tc>
        <w:tc>
          <w:tcPr>
            <w:tcW w:w="1705" w:type="dxa"/>
            <w:tcBorders>
              <w:top w:val="single" w:sz="4" w:space="0" w:color="auto"/>
              <w:left w:val="nil"/>
              <w:bottom w:val="single" w:sz="4" w:space="0" w:color="auto"/>
              <w:right w:val="single" w:sz="8" w:space="0" w:color="auto"/>
            </w:tcBorders>
            <w:shd w:val="clear" w:color="auto" w:fill="auto"/>
            <w:noWrap/>
            <w:vAlign w:val="bottom"/>
          </w:tcPr>
          <w:p w:rsidR="006D2247" w:rsidRPr="00441046" w:rsidRDefault="00F207E4" w:rsidP="009B467D">
            <w:pPr>
              <w:jc w:val="right"/>
              <w:rPr>
                <w:rFonts w:asciiTheme="minorHAnsi" w:hAnsiTheme="minorHAnsi"/>
                <w:b/>
                <w:color w:val="000000"/>
                <w:sz w:val="20"/>
                <w:szCs w:val="22"/>
                <w:lang w:val="sq-AL"/>
              </w:rPr>
            </w:pPr>
            <w:r w:rsidRPr="00441046">
              <w:rPr>
                <w:rFonts w:asciiTheme="minorHAnsi" w:hAnsiTheme="minorHAnsi"/>
                <w:b/>
                <w:color w:val="000000"/>
                <w:sz w:val="20"/>
                <w:szCs w:val="22"/>
                <w:lang w:val="sq-AL"/>
              </w:rPr>
              <w:t>1.</w:t>
            </w:r>
            <w:r w:rsidR="009B467D" w:rsidRPr="00441046">
              <w:rPr>
                <w:rFonts w:asciiTheme="minorHAnsi" w:hAnsiTheme="minorHAnsi"/>
                <w:b/>
                <w:color w:val="000000"/>
                <w:sz w:val="20"/>
                <w:szCs w:val="22"/>
                <w:lang w:val="sq-AL"/>
              </w:rPr>
              <w:t>903.987.220</w:t>
            </w:r>
          </w:p>
        </w:tc>
      </w:tr>
    </w:tbl>
    <w:p w:rsidR="0045735C" w:rsidRPr="00930147" w:rsidRDefault="0045735C" w:rsidP="00907372">
      <w:pPr>
        <w:jc w:val="both"/>
        <w:rPr>
          <w:sz w:val="22"/>
          <w:lang w:val="sq-AL"/>
        </w:rPr>
      </w:pPr>
    </w:p>
    <w:p w:rsidR="0045735C" w:rsidRPr="00930147" w:rsidRDefault="0045735C" w:rsidP="00907372">
      <w:pPr>
        <w:jc w:val="both"/>
        <w:rPr>
          <w:sz w:val="22"/>
          <w:lang w:val="sq-AL"/>
        </w:rPr>
      </w:pPr>
    </w:p>
    <w:p w:rsidR="0006686D" w:rsidRPr="0078491E" w:rsidRDefault="00CE663D" w:rsidP="0087007E">
      <w:pPr>
        <w:jc w:val="both"/>
        <w:rPr>
          <w:sz w:val="22"/>
          <w:szCs w:val="22"/>
          <w:lang w:val="sq-AL"/>
        </w:rPr>
      </w:pPr>
      <w:r w:rsidRPr="0078491E">
        <w:rPr>
          <w:sz w:val="22"/>
          <w:szCs w:val="22"/>
          <w:lang w:val="sq-AL"/>
        </w:rPr>
        <w:t>Nj</w:t>
      </w:r>
      <w:r w:rsidR="0066775A" w:rsidRPr="0078491E">
        <w:rPr>
          <w:sz w:val="22"/>
          <w:szCs w:val="22"/>
          <w:lang w:val="sq-AL"/>
        </w:rPr>
        <w:t>ë</w:t>
      </w:r>
      <w:r w:rsidRPr="0078491E">
        <w:rPr>
          <w:sz w:val="22"/>
          <w:szCs w:val="22"/>
          <w:lang w:val="sq-AL"/>
        </w:rPr>
        <w:t xml:space="preserve"> njësi e qeverisjes vendore me nj</w:t>
      </w:r>
      <w:r w:rsidR="0066775A" w:rsidRPr="0078491E">
        <w:rPr>
          <w:sz w:val="22"/>
          <w:szCs w:val="22"/>
          <w:lang w:val="sq-AL"/>
        </w:rPr>
        <w:t>ë</w:t>
      </w:r>
      <w:r w:rsidRPr="0078491E">
        <w:rPr>
          <w:sz w:val="22"/>
          <w:szCs w:val="22"/>
          <w:lang w:val="sq-AL"/>
        </w:rPr>
        <w:t xml:space="preserve"> sipërfaqe të madhe</w:t>
      </w:r>
      <w:r w:rsidR="00555F2A" w:rsidRPr="0078491E">
        <w:rPr>
          <w:sz w:val="22"/>
          <w:szCs w:val="22"/>
          <w:lang w:val="sq-AL"/>
        </w:rPr>
        <w:t xml:space="preserve"> dhe nj</w:t>
      </w:r>
      <w:r w:rsidR="00A53E93" w:rsidRPr="0078491E">
        <w:rPr>
          <w:sz w:val="22"/>
          <w:szCs w:val="22"/>
          <w:lang w:val="sq-AL"/>
        </w:rPr>
        <w:t>ë</w:t>
      </w:r>
      <w:r w:rsidR="00555F2A" w:rsidRPr="0078491E">
        <w:rPr>
          <w:sz w:val="22"/>
          <w:szCs w:val="22"/>
          <w:lang w:val="sq-AL"/>
        </w:rPr>
        <w:t xml:space="preserve"> popullsi m</w:t>
      </w:r>
      <w:r w:rsidR="00A53E93" w:rsidRPr="0078491E">
        <w:rPr>
          <w:sz w:val="22"/>
          <w:szCs w:val="22"/>
          <w:lang w:val="sq-AL"/>
        </w:rPr>
        <w:t>ë</w:t>
      </w:r>
      <w:r w:rsidR="00555F2A" w:rsidRPr="0078491E">
        <w:rPr>
          <w:sz w:val="22"/>
          <w:szCs w:val="22"/>
          <w:lang w:val="sq-AL"/>
        </w:rPr>
        <w:t xml:space="preserve"> të ul</w:t>
      </w:r>
      <w:r w:rsidR="00A53E93" w:rsidRPr="0078491E">
        <w:rPr>
          <w:sz w:val="22"/>
          <w:szCs w:val="22"/>
          <w:lang w:val="sq-AL"/>
        </w:rPr>
        <w:t>ë</w:t>
      </w:r>
      <w:r w:rsidR="00555F2A" w:rsidRPr="0078491E">
        <w:rPr>
          <w:sz w:val="22"/>
          <w:szCs w:val="22"/>
          <w:lang w:val="sq-AL"/>
        </w:rPr>
        <w:t>t, nënkupton, p</w:t>
      </w:r>
      <w:r w:rsidR="00A53E93" w:rsidRPr="0078491E">
        <w:rPr>
          <w:sz w:val="22"/>
          <w:szCs w:val="22"/>
          <w:lang w:val="sq-AL"/>
        </w:rPr>
        <w:t>ë</w:t>
      </w:r>
      <w:r w:rsidR="00555F2A" w:rsidRPr="0078491E">
        <w:rPr>
          <w:sz w:val="22"/>
          <w:szCs w:val="22"/>
          <w:lang w:val="sq-AL"/>
        </w:rPr>
        <w:t>r të gjitha kushtet e tjera të barabarta, të ketë kosto m</w:t>
      </w:r>
      <w:r w:rsidR="00A53E93" w:rsidRPr="0078491E">
        <w:rPr>
          <w:sz w:val="22"/>
          <w:szCs w:val="22"/>
          <w:lang w:val="sq-AL"/>
        </w:rPr>
        <w:t>ë</w:t>
      </w:r>
      <w:r w:rsidR="00555F2A" w:rsidRPr="0078491E">
        <w:rPr>
          <w:sz w:val="22"/>
          <w:szCs w:val="22"/>
          <w:lang w:val="sq-AL"/>
        </w:rPr>
        <w:t xml:space="preserve"> të larta të ofrimit të shërbimeve, rrug</w:t>
      </w:r>
      <w:r w:rsidR="00A53E93" w:rsidRPr="0078491E">
        <w:rPr>
          <w:sz w:val="22"/>
          <w:szCs w:val="22"/>
          <w:lang w:val="sq-AL"/>
        </w:rPr>
        <w:t>ë</w:t>
      </w:r>
      <w:r w:rsidR="00555F2A" w:rsidRPr="0078491E">
        <w:rPr>
          <w:sz w:val="22"/>
          <w:szCs w:val="22"/>
          <w:lang w:val="sq-AL"/>
        </w:rPr>
        <w:t xml:space="preserve"> m</w:t>
      </w:r>
      <w:r w:rsidR="00A53E93" w:rsidRPr="0078491E">
        <w:rPr>
          <w:sz w:val="22"/>
          <w:szCs w:val="22"/>
          <w:lang w:val="sq-AL"/>
        </w:rPr>
        <w:t>ë</w:t>
      </w:r>
      <w:r w:rsidR="00555F2A" w:rsidRPr="0078491E">
        <w:rPr>
          <w:sz w:val="22"/>
          <w:szCs w:val="22"/>
          <w:lang w:val="sq-AL"/>
        </w:rPr>
        <w:t xml:space="preserve"> të gjata dhe shpenzime të tjera infrastrukturore q</w:t>
      </w:r>
      <w:r w:rsidR="00A53E93" w:rsidRPr="0078491E">
        <w:rPr>
          <w:sz w:val="22"/>
          <w:szCs w:val="22"/>
          <w:lang w:val="sq-AL"/>
        </w:rPr>
        <w:t>ë</w:t>
      </w:r>
      <w:r w:rsidR="00555F2A" w:rsidRPr="0078491E">
        <w:rPr>
          <w:sz w:val="22"/>
          <w:szCs w:val="22"/>
          <w:lang w:val="sq-AL"/>
        </w:rPr>
        <w:t xml:space="preserve"> kushtojnë</w:t>
      </w:r>
      <w:r w:rsidR="000E3F8C" w:rsidRPr="0078491E">
        <w:rPr>
          <w:sz w:val="22"/>
          <w:szCs w:val="22"/>
          <w:lang w:val="sq-AL"/>
        </w:rPr>
        <w:t xml:space="preserve">. </w:t>
      </w:r>
      <w:r w:rsidR="00117521" w:rsidRPr="0078491E">
        <w:rPr>
          <w:sz w:val="22"/>
          <w:szCs w:val="22"/>
          <w:lang w:val="sq-AL"/>
        </w:rPr>
        <w:t>P</w:t>
      </w:r>
      <w:r w:rsidR="0066775A" w:rsidRPr="0078491E">
        <w:rPr>
          <w:sz w:val="22"/>
          <w:szCs w:val="22"/>
          <w:lang w:val="sq-AL"/>
        </w:rPr>
        <w:t>ë</w:t>
      </w:r>
      <w:r w:rsidR="00117521" w:rsidRPr="0078491E">
        <w:rPr>
          <w:sz w:val="22"/>
          <w:szCs w:val="22"/>
          <w:lang w:val="sq-AL"/>
        </w:rPr>
        <w:t>r të kompensuar nj</w:t>
      </w:r>
      <w:r w:rsidR="0066775A" w:rsidRPr="0078491E">
        <w:rPr>
          <w:sz w:val="22"/>
          <w:szCs w:val="22"/>
          <w:lang w:val="sq-AL"/>
        </w:rPr>
        <w:t>ë</w:t>
      </w:r>
      <w:r w:rsidR="00117521" w:rsidRPr="0078491E">
        <w:rPr>
          <w:sz w:val="22"/>
          <w:szCs w:val="22"/>
          <w:lang w:val="sq-AL"/>
        </w:rPr>
        <w:t>sit</w:t>
      </w:r>
      <w:r w:rsidR="0066775A" w:rsidRPr="0078491E">
        <w:rPr>
          <w:sz w:val="22"/>
          <w:szCs w:val="22"/>
          <w:lang w:val="sq-AL"/>
        </w:rPr>
        <w:t>ë</w:t>
      </w:r>
      <w:r w:rsidR="00117521" w:rsidRPr="0078491E">
        <w:rPr>
          <w:sz w:val="22"/>
          <w:szCs w:val="22"/>
          <w:lang w:val="sq-AL"/>
        </w:rPr>
        <w:t xml:space="preserve"> me dendësi m</w:t>
      </w:r>
      <w:r w:rsidR="0066775A" w:rsidRPr="0078491E">
        <w:rPr>
          <w:sz w:val="22"/>
          <w:szCs w:val="22"/>
          <w:lang w:val="sq-AL"/>
        </w:rPr>
        <w:t>ë</w:t>
      </w:r>
      <w:r w:rsidR="00117521" w:rsidRPr="0078491E">
        <w:rPr>
          <w:sz w:val="22"/>
          <w:szCs w:val="22"/>
          <w:lang w:val="sq-AL"/>
        </w:rPr>
        <w:t xml:space="preserve"> të ul</w:t>
      </w:r>
      <w:r w:rsidR="0066775A" w:rsidRPr="0078491E">
        <w:rPr>
          <w:sz w:val="22"/>
          <w:szCs w:val="22"/>
          <w:lang w:val="sq-AL"/>
        </w:rPr>
        <w:t>ë</w:t>
      </w:r>
      <w:r w:rsidR="00117521" w:rsidRPr="0078491E">
        <w:rPr>
          <w:sz w:val="22"/>
          <w:szCs w:val="22"/>
          <w:lang w:val="sq-AL"/>
        </w:rPr>
        <w:t>t p</w:t>
      </w:r>
      <w:r w:rsidR="0066775A" w:rsidRPr="0078491E">
        <w:rPr>
          <w:sz w:val="22"/>
          <w:szCs w:val="22"/>
          <w:lang w:val="sq-AL"/>
        </w:rPr>
        <w:t>ë</w:t>
      </w:r>
      <w:r w:rsidR="00117521" w:rsidRPr="0078491E">
        <w:rPr>
          <w:sz w:val="22"/>
          <w:szCs w:val="22"/>
          <w:lang w:val="sq-AL"/>
        </w:rPr>
        <w:t>r kostot m</w:t>
      </w:r>
      <w:r w:rsidR="0066775A" w:rsidRPr="0078491E">
        <w:rPr>
          <w:sz w:val="22"/>
          <w:szCs w:val="22"/>
          <w:lang w:val="sq-AL"/>
        </w:rPr>
        <w:t>ë</w:t>
      </w:r>
      <w:r w:rsidR="00117521" w:rsidRPr="0078491E">
        <w:rPr>
          <w:sz w:val="22"/>
          <w:szCs w:val="22"/>
          <w:lang w:val="sq-AL"/>
        </w:rPr>
        <w:t xml:space="preserve"> të larta të shërbimit janë krijuar 4 grupime të njësive të qeverisjes vendore sipas </w:t>
      </w:r>
      <w:r w:rsidR="000D4F05" w:rsidRPr="0078491E">
        <w:rPr>
          <w:sz w:val="22"/>
          <w:szCs w:val="22"/>
          <w:lang w:val="sq-AL"/>
        </w:rPr>
        <w:t>ngjashmërisë</w:t>
      </w:r>
      <w:r w:rsidR="00117521" w:rsidRPr="0078491E">
        <w:rPr>
          <w:sz w:val="22"/>
          <w:szCs w:val="22"/>
          <w:lang w:val="sq-AL"/>
        </w:rPr>
        <w:t xml:space="preserve"> m</w:t>
      </w:r>
      <w:r w:rsidR="0066775A" w:rsidRPr="0078491E">
        <w:rPr>
          <w:sz w:val="22"/>
          <w:szCs w:val="22"/>
          <w:lang w:val="sq-AL"/>
        </w:rPr>
        <w:t>ë</w:t>
      </w:r>
      <w:r w:rsidR="00117521" w:rsidRPr="0078491E">
        <w:rPr>
          <w:sz w:val="22"/>
          <w:szCs w:val="22"/>
          <w:lang w:val="sq-AL"/>
        </w:rPr>
        <w:t xml:space="preserve"> të madhe të dend</w:t>
      </w:r>
      <w:r w:rsidR="0066775A" w:rsidRPr="0078491E">
        <w:rPr>
          <w:sz w:val="22"/>
          <w:szCs w:val="22"/>
          <w:lang w:val="sq-AL"/>
        </w:rPr>
        <w:t>ë</w:t>
      </w:r>
      <w:r w:rsidR="00117521" w:rsidRPr="0078491E">
        <w:rPr>
          <w:sz w:val="22"/>
          <w:szCs w:val="22"/>
          <w:lang w:val="sq-AL"/>
        </w:rPr>
        <w:t>sis</w:t>
      </w:r>
      <w:r w:rsidR="0066775A" w:rsidRPr="0078491E">
        <w:rPr>
          <w:sz w:val="22"/>
          <w:szCs w:val="22"/>
          <w:lang w:val="sq-AL"/>
        </w:rPr>
        <w:t>ë</w:t>
      </w:r>
      <w:r w:rsidR="00117521" w:rsidRPr="0078491E">
        <w:rPr>
          <w:sz w:val="22"/>
          <w:szCs w:val="22"/>
          <w:lang w:val="sq-AL"/>
        </w:rPr>
        <w:t>. Nj</w:t>
      </w:r>
      <w:r w:rsidR="0066775A" w:rsidRPr="0078491E">
        <w:rPr>
          <w:sz w:val="22"/>
          <w:szCs w:val="22"/>
          <w:lang w:val="sq-AL"/>
        </w:rPr>
        <w:t>ë</w:t>
      </w:r>
      <w:r w:rsidR="00117521" w:rsidRPr="0078491E">
        <w:rPr>
          <w:sz w:val="22"/>
          <w:szCs w:val="22"/>
          <w:lang w:val="sq-AL"/>
        </w:rPr>
        <w:t>sit</w:t>
      </w:r>
      <w:r w:rsidR="0066775A" w:rsidRPr="0078491E">
        <w:rPr>
          <w:sz w:val="22"/>
          <w:szCs w:val="22"/>
          <w:lang w:val="sq-AL"/>
        </w:rPr>
        <w:t>ë</w:t>
      </w:r>
      <w:r w:rsidR="00117521" w:rsidRPr="0078491E">
        <w:rPr>
          <w:sz w:val="22"/>
          <w:szCs w:val="22"/>
          <w:lang w:val="sq-AL"/>
        </w:rPr>
        <w:t xml:space="preserve"> me dendësi m</w:t>
      </w:r>
      <w:r w:rsidR="0066775A" w:rsidRPr="0078491E">
        <w:rPr>
          <w:sz w:val="22"/>
          <w:szCs w:val="22"/>
          <w:lang w:val="sq-AL"/>
        </w:rPr>
        <w:t>ë</w:t>
      </w:r>
      <w:r w:rsidR="00117521" w:rsidRPr="0078491E">
        <w:rPr>
          <w:sz w:val="22"/>
          <w:szCs w:val="22"/>
          <w:lang w:val="sq-AL"/>
        </w:rPr>
        <w:t xml:space="preserve"> të ul</w:t>
      </w:r>
      <w:r w:rsidR="0066775A" w:rsidRPr="0078491E">
        <w:rPr>
          <w:sz w:val="22"/>
          <w:szCs w:val="22"/>
          <w:lang w:val="sq-AL"/>
        </w:rPr>
        <w:t>ë</w:t>
      </w:r>
      <w:r w:rsidR="00117521" w:rsidRPr="0078491E">
        <w:rPr>
          <w:sz w:val="22"/>
          <w:szCs w:val="22"/>
          <w:lang w:val="sq-AL"/>
        </w:rPr>
        <w:t>t popullsie p</w:t>
      </w:r>
      <w:r w:rsidR="0066775A" w:rsidRPr="0078491E">
        <w:rPr>
          <w:sz w:val="22"/>
          <w:szCs w:val="22"/>
          <w:lang w:val="sq-AL"/>
        </w:rPr>
        <w:t>ë</w:t>
      </w:r>
      <w:r w:rsidR="00117521" w:rsidRPr="0078491E">
        <w:rPr>
          <w:sz w:val="22"/>
          <w:szCs w:val="22"/>
          <w:lang w:val="sq-AL"/>
        </w:rPr>
        <w:t>rfitojn</w:t>
      </w:r>
      <w:r w:rsidR="0066775A" w:rsidRPr="0078491E">
        <w:rPr>
          <w:sz w:val="22"/>
          <w:szCs w:val="22"/>
          <w:lang w:val="sq-AL"/>
        </w:rPr>
        <w:t>ë</w:t>
      </w:r>
      <w:r w:rsidR="00117521" w:rsidRPr="0078491E">
        <w:rPr>
          <w:sz w:val="22"/>
          <w:szCs w:val="22"/>
          <w:lang w:val="sq-AL"/>
        </w:rPr>
        <w:t xml:space="preserve"> nga koeficient</w:t>
      </w:r>
      <w:r w:rsidR="0066775A" w:rsidRPr="0078491E">
        <w:rPr>
          <w:sz w:val="22"/>
          <w:szCs w:val="22"/>
          <w:lang w:val="sq-AL"/>
        </w:rPr>
        <w:t>ë</w:t>
      </w:r>
      <w:r w:rsidR="00117521" w:rsidRPr="0078491E">
        <w:rPr>
          <w:sz w:val="22"/>
          <w:szCs w:val="22"/>
          <w:lang w:val="sq-AL"/>
        </w:rPr>
        <w:t xml:space="preserve"> </w:t>
      </w:r>
      <w:r w:rsidR="000E3F8C" w:rsidRPr="0078491E">
        <w:rPr>
          <w:sz w:val="22"/>
          <w:szCs w:val="22"/>
          <w:lang w:val="sq-AL"/>
        </w:rPr>
        <w:t>shtes</w:t>
      </w:r>
      <w:r w:rsidR="00A53E93" w:rsidRPr="0078491E">
        <w:rPr>
          <w:sz w:val="22"/>
          <w:szCs w:val="22"/>
          <w:lang w:val="sq-AL"/>
        </w:rPr>
        <w:t>ë</w:t>
      </w:r>
      <w:r w:rsidR="000E3F8C" w:rsidRPr="0078491E">
        <w:rPr>
          <w:sz w:val="22"/>
          <w:szCs w:val="22"/>
          <w:lang w:val="sq-AL"/>
        </w:rPr>
        <w:t xml:space="preserve"> </w:t>
      </w:r>
      <w:r w:rsidR="00117521" w:rsidRPr="0078491E">
        <w:rPr>
          <w:sz w:val="22"/>
          <w:szCs w:val="22"/>
          <w:lang w:val="sq-AL"/>
        </w:rPr>
        <w:t>m</w:t>
      </w:r>
      <w:r w:rsidR="0066775A" w:rsidRPr="0078491E">
        <w:rPr>
          <w:sz w:val="22"/>
          <w:szCs w:val="22"/>
          <w:lang w:val="sq-AL"/>
        </w:rPr>
        <w:t>ë</w:t>
      </w:r>
      <w:r w:rsidR="00117521" w:rsidRPr="0078491E">
        <w:rPr>
          <w:sz w:val="22"/>
          <w:szCs w:val="22"/>
          <w:lang w:val="sq-AL"/>
        </w:rPr>
        <w:t xml:space="preserve"> të lart</w:t>
      </w:r>
      <w:r w:rsidR="0066775A" w:rsidRPr="0078491E">
        <w:rPr>
          <w:sz w:val="22"/>
          <w:szCs w:val="22"/>
          <w:lang w:val="sq-AL"/>
        </w:rPr>
        <w:t>ë</w:t>
      </w:r>
      <w:r w:rsidR="00117521" w:rsidRPr="0078491E">
        <w:rPr>
          <w:sz w:val="22"/>
          <w:szCs w:val="22"/>
          <w:lang w:val="sq-AL"/>
        </w:rPr>
        <w:t xml:space="preserve"> se ato njësi të cilat kan</w:t>
      </w:r>
      <w:r w:rsidR="0066775A" w:rsidRPr="0078491E">
        <w:rPr>
          <w:sz w:val="22"/>
          <w:szCs w:val="22"/>
          <w:lang w:val="sq-AL"/>
        </w:rPr>
        <w:t>ë</w:t>
      </w:r>
      <w:r w:rsidR="00117521" w:rsidRPr="0078491E">
        <w:rPr>
          <w:sz w:val="22"/>
          <w:szCs w:val="22"/>
          <w:lang w:val="sq-AL"/>
        </w:rPr>
        <w:t xml:space="preserve"> nj</w:t>
      </w:r>
      <w:r w:rsidR="0066775A" w:rsidRPr="0078491E">
        <w:rPr>
          <w:sz w:val="22"/>
          <w:szCs w:val="22"/>
          <w:lang w:val="sq-AL"/>
        </w:rPr>
        <w:t>ë</w:t>
      </w:r>
      <w:r w:rsidR="00117521" w:rsidRPr="0078491E">
        <w:rPr>
          <w:sz w:val="22"/>
          <w:szCs w:val="22"/>
          <w:lang w:val="sq-AL"/>
        </w:rPr>
        <w:t xml:space="preserve"> afërsi m</w:t>
      </w:r>
      <w:r w:rsidR="0066775A" w:rsidRPr="0078491E">
        <w:rPr>
          <w:sz w:val="22"/>
          <w:szCs w:val="22"/>
          <w:lang w:val="sq-AL"/>
        </w:rPr>
        <w:t>ë</w:t>
      </w:r>
      <w:r w:rsidR="00117521" w:rsidRPr="0078491E">
        <w:rPr>
          <w:sz w:val="22"/>
          <w:szCs w:val="22"/>
          <w:lang w:val="sq-AL"/>
        </w:rPr>
        <w:t xml:space="preserve"> të madhe të dend</w:t>
      </w:r>
      <w:r w:rsidR="0066775A" w:rsidRPr="0078491E">
        <w:rPr>
          <w:sz w:val="22"/>
          <w:szCs w:val="22"/>
          <w:lang w:val="sq-AL"/>
        </w:rPr>
        <w:t>ë</w:t>
      </w:r>
      <w:r w:rsidR="00117521" w:rsidRPr="0078491E">
        <w:rPr>
          <w:sz w:val="22"/>
          <w:szCs w:val="22"/>
          <w:lang w:val="sq-AL"/>
        </w:rPr>
        <w:t>sis</w:t>
      </w:r>
      <w:r w:rsidR="0066775A" w:rsidRPr="0078491E">
        <w:rPr>
          <w:sz w:val="22"/>
          <w:szCs w:val="22"/>
          <w:lang w:val="sq-AL"/>
        </w:rPr>
        <w:t>ë</w:t>
      </w:r>
      <w:r w:rsidR="00117521" w:rsidRPr="0078491E">
        <w:rPr>
          <w:sz w:val="22"/>
          <w:szCs w:val="22"/>
          <w:lang w:val="sq-AL"/>
        </w:rPr>
        <w:t xml:space="preserve"> me </w:t>
      </w:r>
      <w:r w:rsidR="0087007E" w:rsidRPr="0078491E">
        <w:rPr>
          <w:sz w:val="22"/>
          <w:szCs w:val="22"/>
          <w:lang w:val="sq-AL"/>
        </w:rPr>
        <w:t>mesataren kombëtare. Nga ky kriter p</w:t>
      </w:r>
      <w:r w:rsidR="0066775A" w:rsidRPr="0078491E">
        <w:rPr>
          <w:sz w:val="22"/>
          <w:szCs w:val="22"/>
          <w:lang w:val="sq-AL"/>
        </w:rPr>
        <w:t>ë</w:t>
      </w:r>
      <w:r w:rsidR="0087007E" w:rsidRPr="0078491E">
        <w:rPr>
          <w:sz w:val="22"/>
          <w:szCs w:val="22"/>
          <w:lang w:val="sq-AL"/>
        </w:rPr>
        <w:t>rfitojn</w:t>
      </w:r>
      <w:r w:rsidR="0066775A" w:rsidRPr="0078491E">
        <w:rPr>
          <w:sz w:val="22"/>
          <w:szCs w:val="22"/>
          <w:lang w:val="sq-AL"/>
        </w:rPr>
        <w:t>ë</w:t>
      </w:r>
      <w:r w:rsidR="0087007E" w:rsidRPr="0078491E">
        <w:rPr>
          <w:sz w:val="22"/>
          <w:szCs w:val="22"/>
          <w:lang w:val="sq-AL"/>
        </w:rPr>
        <w:t xml:space="preserve"> rreth 39 nj</w:t>
      </w:r>
      <w:r w:rsidR="0066775A" w:rsidRPr="0078491E">
        <w:rPr>
          <w:sz w:val="22"/>
          <w:szCs w:val="22"/>
          <w:lang w:val="sq-AL"/>
        </w:rPr>
        <w:t>ë</w:t>
      </w:r>
      <w:r w:rsidR="0087007E" w:rsidRPr="0078491E">
        <w:rPr>
          <w:sz w:val="22"/>
          <w:szCs w:val="22"/>
          <w:lang w:val="sq-AL"/>
        </w:rPr>
        <w:t>si të qeverisjes vendore, në të cilat banojnë rreth 1 milion banor</w:t>
      </w:r>
      <w:r w:rsidR="0066775A" w:rsidRPr="0078491E">
        <w:rPr>
          <w:sz w:val="22"/>
          <w:szCs w:val="22"/>
          <w:lang w:val="sq-AL"/>
        </w:rPr>
        <w:t>ë</w:t>
      </w:r>
      <w:r w:rsidR="0087007E" w:rsidRPr="0078491E">
        <w:rPr>
          <w:sz w:val="22"/>
          <w:szCs w:val="22"/>
          <w:lang w:val="sq-AL"/>
        </w:rPr>
        <w:t xml:space="preserve"> rezident</w:t>
      </w:r>
      <w:r w:rsidR="0066775A" w:rsidRPr="0078491E">
        <w:rPr>
          <w:sz w:val="22"/>
          <w:szCs w:val="22"/>
          <w:lang w:val="sq-AL"/>
        </w:rPr>
        <w:t>ë</w:t>
      </w:r>
      <w:r w:rsidR="0087007E" w:rsidRPr="0078491E">
        <w:rPr>
          <w:sz w:val="22"/>
          <w:szCs w:val="22"/>
          <w:lang w:val="sq-AL"/>
        </w:rPr>
        <w:t xml:space="preserve"> efektiv</w:t>
      </w:r>
      <w:r w:rsidR="0066775A" w:rsidRPr="0078491E">
        <w:rPr>
          <w:sz w:val="22"/>
          <w:szCs w:val="22"/>
          <w:lang w:val="sq-AL"/>
        </w:rPr>
        <w:t>ë</w:t>
      </w:r>
      <w:r w:rsidR="0087007E" w:rsidRPr="0078491E">
        <w:rPr>
          <w:sz w:val="22"/>
          <w:szCs w:val="22"/>
          <w:lang w:val="sq-AL"/>
        </w:rPr>
        <w:t>.</w:t>
      </w:r>
      <w:r w:rsidR="00DD284D" w:rsidRPr="0078491E">
        <w:rPr>
          <w:sz w:val="22"/>
          <w:szCs w:val="22"/>
          <w:lang w:val="sq-AL"/>
        </w:rPr>
        <w:t xml:space="preserve"> N</w:t>
      </w:r>
      <w:r w:rsidR="00A53E93" w:rsidRPr="0078491E">
        <w:rPr>
          <w:sz w:val="22"/>
          <w:szCs w:val="22"/>
          <w:lang w:val="sq-AL"/>
        </w:rPr>
        <w:t>ë</w:t>
      </w:r>
      <w:r w:rsidR="000E3F8C" w:rsidRPr="0078491E">
        <w:rPr>
          <w:sz w:val="22"/>
          <w:szCs w:val="22"/>
          <w:lang w:val="sq-AL"/>
        </w:rPr>
        <w:t>se nj</w:t>
      </w:r>
      <w:r w:rsidR="00A53E93" w:rsidRPr="0078491E">
        <w:rPr>
          <w:sz w:val="22"/>
          <w:szCs w:val="22"/>
          <w:lang w:val="sq-AL"/>
        </w:rPr>
        <w:t>ë</w:t>
      </w:r>
      <w:r w:rsidR="000E3F8C" w:rsidRPr="0078491E">
        <w:rPr>
          <w:sz w:val="22"/>
          <w:szCs w:val="22"/>
          <w:lang w:val="sq-AL"/>
        </w:rPr>
        <w:t xml:space="preserve"> njësi e qeverisjes vendore ka nj</w:t>
      </w:r>
      <w:r w:rsidR="00A53E93" w:rsidRPr="0078491E">
        <w:rPr>
          <w:sz w:val="22"/>
          <w:szCs w:val="22"/>
          <w:lang w:val="sq-AL"/>
        </w:rPr>
        <w:t>ë</w:t>
      </w:r>
      <w:r w:rsidR="000E3F8C" w:rsidRPr="0078491E">
        <w:rPr>
          <w:sz w:val="22"/>
          <w:szCs w:val="22"/>
          <w:lang w:val="sq-AL"/>
        </w:rPr>
        <w:t xml:space="preserve"> dendësi mesatare </w:t>
      </w:r>
      <w:r w:rsidR="00C86F4B" w:rsidRPr="0078491E">
        <w:rPr>
          <w:sz w:val="22"/>
          <w:szCs w:val="22"/>
          <w:lang w:val="sq-AL"/>
        </w:rPr>
        <w:t>n</w:t>
      </w:r>
      <w:r w:rsidR="00A53E93" w:rsidRPr="0078491E">
        <w:rPr>
          <w:sz w:val="22"/>
          <w:szCs w:val="22"/>
          <w:lang w:val="sq-AL"/>
        </w:rPr>
        <w:t>ë</w:t>
      </w:r>
      <w:r w:rsidR="00C86F4B" w:rsidRPr="0078491E">
        <w:rPr>
          <w:sz w:val="22"/>
          <w:szCs w:val="22"/>
          <w:lang w:val="sq-AL"/>
        </w:rPr>
        <w:t>n 22% të mesatares kombëtare, ose</w:t>
      </w:r>
      <w:r w:rsidR="000E3F8C" w:rsidRPr="0078491E">
        <w:rPr>
          <w:sz w:val="22"/>
          <w:szCs w:val="22"/>
          <w:lang w:val="sq-AL"/>
        </w:rPr>
        <w:t xml:space="preserve"> </w:t>
      </w:r>
      <w:r w:rsidR="00A16153" w:rsidRPr="0078491E">
        <w:rPr>
          <w:sz w:val="22"/>
          <w:szCs w:val="22"/>
          <w:lang w:val="sq-AL"/>
        </w:rPr>
        <w:t xml:space="preserve">mesatarisht </w:t>
      </w:r>
      <w:r w:rsidR="00C86F4B" w:rsidRPr="0078491E">
        <w:rPr>
          <w:sz w:val="22"/>
          <w:szCs w:val="22"/>
          <w:lang w:val="sq-AL"/>
        </w:rPr>
        <w:t>26 banor</w:t>
      </w:r>
      <w:r w:rsidR="00A53E93" w:rsidRPr="0078491E">
        <w:rPr>
          <w:sz w:val="22"/>
          <w:szCs w:val="22"/>
          <w:lang w:val="sq-AL"/>
        </w:rPr>
        <w:t>ë</w:t>
      </w:r>
      <w:r w:rsidR="00C86F4B" w:rsidRPr="0078491E">
        <w:rPr>
          <w:sz w:val="22"/>
          <w:szCs w:val="22"/>
          <w:lang w:val="sq-AL"/>
        </w:rPr>
        <w:t xml:space="preserve"> p</w:t>
      </w:r>
      <w:r w:rsidR="00A53E93" w:rsidRPr="0078491E">
        <w:rPr>
          <w:sz w:val="22"/>
          <w:szCs w:val="22"/>
          <w:lang w:val="sq-AL"/>
        </w:rPr>
        <w:t>ë</w:t>
      </w:r>
      <w:r w:rsidR="00C86F4B" w:rsidRPr="0078491E">
        <w:rPr>
          <w:sz w:val="22"/>
          <w:szCs w:val="22"/>
          <w:lang w:val="sq-AL"/>
        </w:rPr>
        <w:t>r km</w:t>
      </w:r>
      <w:r w:rsidR="00C86F4B" w:rsidRPr="0078491E">
        <w:rPr>
          <w:sz w:val="22"/>
          <w:szCs w:val="22"/>
          <w:vertAlign w:val="superscript"/>
          <w:lang w:val="sq-AL"/>
        </w:rPr>
        <w:t>2</w:t>
      </w:r>
      <w:r w:rsidR="00C86F4B" w:rsidRPr="0078491E">
        <w:rPr>
          <w:sz w:val="22"/>
          <w:szCs w:val="22"/>
          <w:lang w:val="sq-AL"/>
        </w:rPr>
        <w:t xml:space="preserve">, </w:t>
      </w:r>
      <w:r w:rsidR="00A53E93" w:rsidRPr="0078491E">
        <w:rPr>
          <w:sz w:val="22"/>
          <w:szCs w:val="22"/>
          <w:lang w:val="sq-AL"/>
        </w:rPr>
        <w:t>atëherë</w:t>
      </w:r>
      <w:r w:rsidR="00C86F4B" w:rsidRPr="0078491E">
        <w:rPr>
          <w:sz w:val="22"/>
          <w:szCs w:val="22"/>
          <w:lang w:val="sq-AL"/>
        </w:rPr>
        <w:t xml:space="preserve"> popullsia e saj relative do të shumëzohet me dy. N</w:t>
      </w:r>
      <w:r w:rsidR="00A53E93" w:rsidRPr="0078491E">
        <w:rPr>
          <w:sz w:val="22"/>
          <w:szCs w:val="22"/>
          <w:lang w:val="sq-AL"/>
        </w:rPr>
        <w:t>ë</w:t>
      </w:r>
      <w:r w:rsidR="00C86F4B" w:rsidRPr="0078491E">
        <w:rPr>
          <w:sz w:val="22"/>
          <w:szCs w:val="22"/>
          <w:lang w:val="sq-AL"/>
        </w:rPr>
        <w:t>se ka nj</w:t>
      </w:r>
      <w:r w:rsidR="00A53E93" w:rsidRPr="0078491E">
        <w:rPr>
          <w:sz w:val="22"/>
          <w:szCs w:val="22"/>
          <w:lang w:val="sq-AL"/>
        </w:rPr>
        <w:t>ë</w:t>
      </w:r>
      <w:r w:rsidR="00C86F4B" w:rsidRPr="0078491E">
        <w:rPr>
          <w:sz w:val="22"/>
          <w:szCs w:val="22"/>
          <w:lang w:val="sq-AL"/>
        </w:rPr>
        <w:t xml:space="preserve"> dendësi midis </w:t>
      </w:r>
      <w:r w:rsidR="008C5AB9" w:rsidRPr="0078491E">
        <w:rPr>
          <w:sz w:val="22"/>
          <w:szCs w:val="22"/>
          <w:lang w:val="sq-AL"/>
        </w:rPr>
        <w:t xml:space="preserve">22% dhe 44% të mesatares kombëtare, </w:t>
      </w:r>
      <w:r w:rsidR="00A53E93" w:rsidRPr="0078491E">
        <w:rPr>
          <w:sz w:val="22"/>
          <w:szCs w:val="22"/>
          <w:lang w:val="sq-AL"/>
        </w:rPr>
        <w:t>atëherë</w:t>
      </w:r>
      <w:r w:rsidR="008C5AB9" w:rsidRPr="0078491E">
        <w:rPr>
          <w:sz w:val="22"/>
          <w:szCs w:val="22"/>
          <w:lang w:val="sq-AL"/>
        </w:rPr>
        <w:t xml:space="preserve"> popullsia e saj relative do të shumëzohet me nj</w:t>
      </w:r>
      <w:r w:rsidR="00A53E93" w:rsidRPr="0078491E">
        <w:rPr>
          <w:sz w:val="22"/>
          <w:szCs w:val="22"/>
          <w:lang w:val="sq-AL"/>
        </w:rPr>
        <w:t>ë</w:t>
      </w:r>
      <w:r w:rsidR="008C5AB9" w:rsidRPr="0078491E">
        <w:rPr>
          <w:sz w:val="22"/>
          <w:szCs w:val="22"/>
          <w:lang w:val="sq-AL"/>
        </w:rPr>
        <w:t xml:space="preserve"> koeficient prej 1.</w:t>
      </w:r>
      <w:r w:rsidR="00DD284D" w:rsidRPr="0078491E">
        <w:rPr>
          <w:sz w:val="22"/>
          <w:szCs w:val="22"/>
          <w:lang w:val="sq-AL"/>
        </w:rPr>
        <w:t>6</w:t>
      </w:r>
      <w:r w:rsidR="008C5AB9" w:rsidRPr="0078491E">
        <w:rPr>
          <w:sz w:val="22"/>
          <w:szCs w:val="22"/>
          <w:lang w:val="sq-AL"/>
        </w:rPr>
        <w:t xml:space="preserve">. </w:t>
      </w:r>
      <w:r w:rsidR="00DD284D" w:rsidRPr="0078491E">
        <w:rPr>
          <w:sz w:val="22"/>
          <w:szCs w:val="22"/>
          <w:lang w:val="sq-AL"/>
        </w:rPr>
        <w:t xml:space="preserve">Pra </w:t>
      </w:r>
      <w:r w:rsidR="008C5AB9" w:rsidRPr="0078491E">
        <w:rPr>
          <w:sz w:val="22"/>
          <w:szCs w:val="22"/>
          <w:lang w:val="sq-AL"/>
        </w:rPr>
        <w:t>duke u afruar mesatares kombëtare, koeficient</w:t>
      </w:r>
      <w:r w:rsidR="00A53E93" w:rsidRPr="0078491E">
        <w:rPr>
          <w:sz w:val="22"/>
          <w:szCs w:val="22"/>
          <w:lang w:val="sq-AL"/>
        </w:rPr>
        <w:t>ë</w:t>
      </w:r>
      <w:r w:rsidR="008C5AB9" w:rsidRPr="0078491E">
        <w:rPr>
          <w:sz w:val="22"/>
          <w:szCs w:val="22"/>
          <w:lang w:val="sq-AL"/>
        </w:rPr>
        <w:t>t vijnë duke u zvogëluar</w:t>
      </w:r>
      <w:r w:rsidR="00C61D5D" w:rsidRPr="0078491E">
        <w:rPr>
          <w:sz w:val="22"/>
          <w:szCs w:val="22"/>
          <w:lang w:val="sq-AL"/>
        </w:rPr>
        <w:t xml:space="preserve">. </w:t>
      </w:r>
      <w:r w:rsidR="004A4943" w:rsidRPr="0078491E">
        <w:rPr>
          <w:sz w:val="22"/>
          <w:szCs w:val="22"/>
          <w:lang w:val="sq-AL"/>
        </w:rPr>
        <w:t>Në përfundim numri i popullsis</w:t>
      </w:r>
      <w:r w:rsidR="00A53E93" w:rsidRPr="0078491E">
        <w:rPr>
          <w:sz w:val="22"/>
          <w:szCs w:val="22"/>
          <w:lang w:val="sq-AL"/>
        </w:rPr>
        <w:t>ë</w:t>
      </w:r>
      <w:r w:rsidR="004A4943" w:rsidRPr="0078491E">
        <w:rPr>
          <w:sz w:val="22"/>
          <w:szCs w:val="22"/>
          <w:lang w:val="sq-AL"/>
        </w:rPr>
        <w:t xml:space="preserve"> p</w:t>
      </w:r>
      <w:r w:rsidR="00A53E93" w:rsidRPr="0078491E">
        <w:rPr>
          <w:sz w:val="22"/>
          <w:szCs w:val="22"/>
          <w:lang w:val="sq-AL"/>
        </w:rPr>
        <w:t>ë</w:t>
      </w:r>
      <w:r w:rsidR="004A4943" w:rsidRPr="0078491E">
        <w:rPr>
          <w:sz w:val="22"/>
          <w:szCs w:val="22"/>
          <w:lang w:val="sq-AL"/>
        </w:rPr>
        <w:t xml:space="preserve">r </w:t>
      </w:r>
      <w:r w:rsidR="00A53E93" w:rsidRPr="0078491E">
        <w:rPr>
          <w:sz w:val="22"/>
          <w:szCs w:val="22"/>
          <w:lang w:val="sq-AL"/>
        </w:rPr>
        <w:t>ç</w:t>
      </w:r>
      <w:r w:rsidR="004A4943" w:rsidRPr="0078491E">
        <w:rPr>
          <w:sz w:val="22"/>
          <w:szCs w:val="22"/>
          <w:lang w:val="sq-AL"/>
        </w:rPr>
        <w:t>do grup dendësie, shumëzohet me koeficientin p</w:t>
      </w:r>
      <w:r w:rsidR="00A53E93" w:rsidRPr="0078491E">
        <w:rPr>
          <w:sz w:val="22"/>
          <w:szCs w:val="22"/>
          <w:lang w:val="sq-AL"/>
        </w:rPr>
        <w:t>ë</w:t>
      </w:r>
      <w:r w:rsidR="004A4943" w:rsidRPr="0078491E">
        <w:rPr>
          <w:sz w:val="22"/>
          <w:szCs w:val="22"/>
          <w:lang w:val="sq-AL"/>
        </w:rPr>
        <w:t>rkat</w:t>
      </w:r>
      <w:r w:rsidR="00A53E93" w:rsidRPr="0078491E">
        <w:rPr>
          <w:sz w:val="22"/>
          <w:szCs w:val="22"/>
          <w:lang w:val="sq-AL"/>
        </w:rPr>
        <w:t>ë</w:t>
      </w:r>
      <w:r w:rsidR="004A4943" w:rsidRPr="0078491E">
        <w:rPr>
          <w:sz w:val="22"/>
          <w:szCs w:val="22"/>
          <w:lang w:val="sq-AL"/>
        </w:rPr>
        <w:t>s dhe</w:t>
      </w:r>
      <w:r w:rsidR="002E789D" w:rsidRPr="0078491E">
        <w:rPr>
          <w:sz w:val="22"/>
          <w:szCs w:val="22"/>
          <w:lang w:val="sq-AL"/>
        </w:rPr>
        <w:t xml:space="preserve"> transfertën për frym</w:t>
      </w:r>
      <w:r w:rsidR="00A53E93" w:rsidRPr="0078491E">
        <w:rPr>
          <w:sz w:val="22"/>
          <w:szCs w:val="22"/>
          <w:lang w:val="sq-AL"/>
        </w:rPr>
        <w:t xml:space="preserve">ë prej </w:t>
      </w:r>
      <w:r w:rsidR="00A53E93" w:rsidRPr="0078491E">
        <w:rPr>
          <w:b/>
          <w:sz w:val="22"/>
          <w:szCs w:val="22"/>
          <w:lang w:val="sq-AL"/>
        </w:rPr>
        <w:t>1</w:t>
      </w:r>
      <w:r w:rsidR="0006686D" w:rsidRPr="0078491E">
        <w:rPr>
          <w:b/>
          <w:sz w:val="22"/>
          <w:szCs w:val="22"/>
          <w:lang w:val="sq-AL"/>
        </w:rPr>
        <w:t>.</w:t>
      </w:r>
      <w:r w:rsidR="009B467D">
        <w:rPr>
          <w:b/>
          <w:sz w:val="22"/>
          <w:szCs w:val="22"/>
          <w:lang w:val="sq-AL"/>
        </w:rPr>
        <w:t>707</w:t>
      </w:r>
      <w:r w:rsidR="00A53E93" w:rsidRPr="0078491E">
        <w:rPr>
          <w:b/>
          <w:sz w:val="22"/>
          <w:szCs w:val="22"/>
          <w:lang w:val="sq-AL"/>
        </w:rPr>
        <w:t xml:space="preserve"> lek</w:t>
      </w:r>
      <w:r w:rsidR="00886A90" w:rsidRPr="0078491E">
        <w:rPr>
          <w:b/>
          <w:sz w:val="22"/>
          <w:szCs w:val="22"/>
          <w:lang w:val="sq-AL"/>
        </w:rPr>
        <w:t>ë</w:t>
      </w:r>
      <w:r w:rsidR="00A53E93" w:rsidRPr="0078491E">
        <w:rPr>
          <w:sz w:val="22"/>
          <w:szCs w:val="22"/>
          <w:lang w:val="sq-AL"/>
        </w:rPr>
        <w:t xml:space="preserve"> p</w:t>
      </w:r>
      <w:r w:rsidR="00886A90" w:rsidRPr="0078491E">
        <w:rPr>
          <w:sz w:val="22"/>
          <w:szCs w:val="22"/>
          <w:lang w:val="sq-AL"/>
        </w:rPr>
        <w:t>ë</w:t>
      </w:r>
      <w:r w:rsidR="00A53E93" w:rsidRPr="0078491E">
        <w:rPr>
          <w:sz w:val="22"/>
          <w:szCs w:val="22"/>
          <w:lang w:val="sq-AL"/>
        </w:rPr>
        <w:t>r banor</w:t>
      </w:r>
      <w:r w:rsidR="00886A90" w:rsidRPr="0078491E">
        <w:rPr>
          <w:sz w:val="22"/>
          <w:szCs w:val="22"/>
          <w:lang w:val="sq-AL"/>
        </w:rPr>
        <w:t>ë</w:t>
      </w:r>
      <w:r w:rsidR="00A53E93" w:rsidRPr="0078491E">
        <w:rPr>
          <w:sz w:val="22"/>
          <w:szCs w:val="22"/>
          <w:lang w:val="sq-AL"/>
        </w:rPr>
        <w:t>,</w:t>
      </w:r>
      <w:r w:rsidR="002E789D" w:rsidRPr="0078491E">
        <w:rPr>
          <w:sz w:val="22"/>
          <w:szCs w:val="22"/>
          <w:lang w:val="sq-AL"/>
        </w:rPr>
        <w:t xml:space="preserve"> </w:t>
      </w:r>
      <w:r w:rsidR="003E3E2A" w:rsidRPr="0078491E">
        <w:rPr>
          <w:sz w:val="22"/>
          <w:szCs w:val="22"/>
          <w:lang w:val="sq-AL"/>
        </w:rPr>
        <w:t>(</w:t>
      </w:r>
      <w:r w:rsidR="002E789D" w:rsidRPr="0078491E">
        <w:rPr>
          <w:sz w:val="22"/>
          <w:szCs w:val="22"/>
          <w:lang w:val="sq-AL"/>
        </w:rPr>
        <w:t>q</w:t>
      </w:r>
      <w:r w:rsidR="00A53E93" w:rsidRPr="0078491E">
        <w:rPr>
          <w:sz w:val="22"/>
          <w:szCs w:val="22"/>
          <w:lang w:val="sq-AL"/>
        </w:rPr>
        <w:t>ë</w:t>
      </w:r>
      <w:r w:rsidR="002E789D" w:rsidRPr="0078491E">
        <w:rPr>
          <w:sz w:val="22"/>
          <w:szCs w:val="22"/>
          <w:lang w:val="sq-AL"/>
        </w:rPr>
        <w:t xml:space="preserve"> rezulton nga pjesëtimi i shumës prej </w:t>
      </w:r>
      <w:r w:rsidR="009B467D" w:rsidRPr="009B467D">
        <w:rPr>
          <w:b/>
          <w:sz w:val="22"/>
          <w:szCs w:val="22"/>
          <w:lang w:val="sq-AL"/>
        </w:rPr>
        <w:t>1.903.987.220</w:t>
      </w:r>
      <w:r w:rsidR="00ED24B4">
        <w:rPr>
          <w:b/>
          <w:sz w:val="22"/>
          <w:szCs w:val="22"/>
          <w:lang w:val="sq-AL"/>
        </w:rPr>
        <w:t xml:space="preserve"> </w:t>
      </w:r>
      <w:r w:rsidR="002E789D" w:rsidRPr="0078491E">
        <w:rPr>
          <w:b/>
          <w:sz w:val="22"/>
          <w:szCs w:val="22"/>
          <w:lang w:val="sq-AL"/>
        </w:rPr>
        <w:t>lek</w:t>
      </w:r>
      <w:r w:rsidR="00A53E93" w:rsidRPr="0078491E">
        <w:rPr>
          <w:b/>
          <w:sz w:val="22"/>
          <w:szCs w:val="22"/>
          <w:lang w:val="sq-AL"/>
        </w:rPr>
        <w:t>ë</w:t>
      </w:r>
      <w:r w:rsidR="002E789D" w:rsidRPr="0078491E">
        <w:rPr>
          <w:sz w:val="22"/>
          <w:szCs w:val="22"/>
          <w:lang w:val="sq-AL"/>
        </w:rPr>
        <w:t xml:space="preserve"> me populls</w:t>
      </w:r>
      <w:r w:rsidR="00A53E93" w:rsidRPr="0078491E">
        <w:rPr>
          <w:sz w:val="22"/>
          <w:szCs w:val="22"/>
          <w:lang w:val="sq-AL"/>
        </w:rPr>
        <w:t xml:space="preserve">inë totale që rezulton nga aplikimi i koeficientëve për çdo grup). </w:t>
      </w:r>
    </w:p>
    <w:p w:rsidR="00C71AFD" w:rsidRDefault="00C71AFD" w:rsidP="00C71AFD">
      <w:pPr>
        <w:jc w:val="both"/>
        <w:rPr>
          <w:sz w:val="22"/>
          <w:lang w:val="sq-AL"/>
        </w:rPr>
      </w:pPr>
    </w:p>
    <w:p w:rsidR="00C71AFD" w:rsidRPr="005D7CDD" w:rsidRDefault="00C71AFD" w:rsidP="00C71AFD">
      <w:pPr>
        <w:jc w:val="both"/>
        <w:rPr>
          <w:sz w:val="22"/>
          <w:lang w:val="sq-AL"/>
        </w:rPr>
      </w:pPr>
      <w:r w:rsidRPr="00555BCF">
        <w:rPr>
          <w:sz w:val="22"/>
          <w:lang w:val="sq-AL"/>
        </w:rPr>
        <w:t xml:space="preserve">Kriteri i tretë mbi të cilin do të ndahet transferta e pakushtëzuar për </w:t>
      </w:r>
      <w:r>
        <w:rPr>
          <w:sz w:val="22"/>
          <w:lang w:val="sq-AL"/>
        </w:rPr>
        <w:t>bashkitë</w:t>
      </w:r>
      <w:r w:rsidRPr="00555BCF">
        <w:rPr>
          <w:sz w:val="22"/>
          <w:lang w:val="sq-AL"/>
        </w:rPr>
        <w:t xml:space="preserve"> është numri i nxënësve në shkollat publike nëntë-vjeçare dhe të mesme. Për vitin 2016, 5% e totalit të transfertës së pakushtëzuar, ose </w:t>
      </w:r>
      <w:r w:rsidR="009B467D">
        <w:rPr>
          <w:sz w:val="22"/>
          <w:lang w:val="sq-AL"/>
        </w:rPr>
        <w:t>634.662.407</w:t>
      </w:r>
      <w:r w:rsidRPr="00555BCF">
        <w:rPr>
          <w:sz w:val="22"/>
          <w:lang w:val="sq-AL"/>
        </w:rPr>
        <w:t xml:space="preserve"> lek do të alokohen mbi numrin faktik të nxënësve në shkollat publike çdo bashki, kundrejt totalit kombëtar të nxënësve. Bashkitë do të marrin një fond prej </w:t>
      </w:r>
      <w:r w:rsidR="00ED24B4">
        <w:rPr>
          <w:sz w:val="22"/>
          <w:lang w:val="sq-AL"/>
        </w:rPr>
        <w:t>1.424</w:t>
      </w:r>
      <w:r w:rsidRPr="00555BCF">
        <w:rPr>
          <w:sz w:val="22"/>
          <w:lang w:val="sq-AL"/>
        </w:rPr>
        <w:t xml:space="preserve"> lekë për çdo nxënës në territorin e tyre. </w:t>
      </w:r>
    </w:p>
    <w:p w:rsidR="00C71AFD" w:rsidRPr="00930147" w:rsidRDefault="00C71AFD" w:rsidP="0087007E">
      <w:pPr>
        <w:jc w:val="both"/>
        <w:rPr>
          <w:lang w:val="sq-AL"/>
        </w:rPr>
      </w:pPr>
    </w:p>
    <w:tbl>
      <w:tblPr>
        <w:tblW w:w="9720" w:type="dxa"/>
        <w:tblInd w:w="108" w:type="dxa"/>
        <w:tblLook w:val="04A0" w:firstRow="1" w:lastRow="0" w:firstColumn="1" w:lastColumn="0" w:noHBand="0" w:noVBand="1"/>
      </w:tblPr>
      <w:tblGrid>
        <w:gridCol w:w="7945"/>
        <w:gridCol w:w="1775"/>
      </w:tblGrid>
      <w:tr w:rsidR="0015266E" w:rsidRPr="00441046" w:rsidTr="00441046">
        <w:trPr>
          <w:trHeight w:val="400"/>
        </w:trPr>
        <w:tc>
          <w:tcPr>
            <w:tcW w:w="7945" w:type="dxa"/>
            <w:tcBorders>
              <w:top w:val="single" w:sz="4" w:space="0" w:color="auto"/>
              <w:left w:val="single" w:sz="8" w:space="0" w:color="auto"/>
              <w:bottom w:val="nil"/>
              <w:right w:val="nil"/>
            </w:tcBorders>
            <w:shd w:val="clear" w:color="000000" w:fill="FFCC99"/>
            <w:vAlign w:val="center"/>
            <w:hideMark/>
          </w:tcPr>
          <w:p w:rsidR="0015266E" w:rsidRPr="00441046" w:rsidRDefault="0015266E" w:rsidP="00441046">
            <w:pPr>
              <w:ind w:firstLineChars="200" w:firstLine="402"/>
              <w:rPr>
                <w:rFonts w:ascii="Calibri" w:hAnsi="Calibri"/>
                <w:b/>
                <w:bCs/>
                <w:color w:val="993300"/>
                <w:sz w:val="20"/>
                <w:lang w:val="sq-AL"/>
              </w:rPr>
            </w:pPr>
            <w:r w:rsidRPr="00441046">
              <w:rPr>
                <w:rFonts w:ascii="Calibri" w:hAnsi="Calibri" w:cs="Calibri"/>
                <w:b/>
                <w:bCs/>
                <w:color w:val="C00000"/>
                <w:sz w:val="20"/>
                <w:lang w:val="sq-AL"/>
              </w:rPr>
              <w:t>Komponenti III: ndarja sipas numrit të nxënësve (në përqindje</w:t>
            </w:r>
            <w:r w:rsidR="00010723" w:rsidRPr="00441046">
              <w:rPr>
                <w:rFonts w:ascii="Calibri" w:hAnsi="Calibri" w:cs="Calibri"/>
                <w:b/>
                <w:bCs/>
                <w:color w:val="C00000"/>
                <w:sz w:val="20"/>
                <w:lang w:val="sq-AL"/>
              </w:rPr>
              <w:t>)</w:t>
            </w:r>
          </w:p>
        </w:tc>
        <w:tc>
          <w:tcPr>
            <w:tcW w:w="1775" w:type="dxa"/>
            <w:tcBorders>
              <w:top w:val="single" w:sz="4" w:space="0" w:color="auto"/>
              <w:left w:val="nil"/>
              <w:bottom w:val="nil"/>
              <w:right w:val="single" w:sz="8" w:space="0" w:color="auto"/>
            </w:tcBorders>
            <w:shd w:val="clear" w:color="000000" w:fill="0066CC"/>
            <w:noWrap/>
            <w:vAlign w:val="center"/>
            <w:hideMark/>
          </w:tcPr>
          <w:p w:rsidR="0015266E" w:rsidRPr="00441046" w:rsidRDefault="0015266E">
            <w:pPr>
              <w:jc w:val="center"/>
              <w:rPr>
                <w:rFonts w:ascii="Calibri" w:hAnsi="Calibri"/>
                <w:b/>
                <w:bCs/>
                <w:color w:val="FFFFFF"/>
                <w:sz w:val="20"/>
                <w:lang w:val="sq-AL"/>
              </w:rPr>
            </w:pPr>
            <w:r w:rsidRPr="00441046">
              <w:rPr>
                <w:rFonts w:ascii="Calibri" w:hAnsi="Calibri"/>
                <w:b/>
                <w:bCs/>
                <w:color w:val="FFFFFF"/>
                <w:sz w:val="20"/>
                <w:lang w:val="sq-AL"/>
              </w:rPr>
              <w:t>5%</w:t>
            </w:r>
          </w:p>
        </w:tc>
      </w:tr>
      <w:tr w:rsidR="0015266E" w:rsidRPr="00441046" w:rsidTr="00441046">
        <w:trPr>
          <w:trHeight w:val="400"/>
        </w:trPr>
        <w:tc>
          <w:tcPr>
            <w:tcW w:w="7945" w:type="dxa"/>
            <w:tcBorders>
              <w:top w:val="nil"/>
              <w:left w:val="single" w:sz="8" w:space="0" w:color="auto"/>
              <w:bottom w:val="nil"/>
              <w:right w:val="nil"/>
            </w:tcBorders>
            <w:shd w:val="clear" w:color="auto" w:fill="auto"/>
            <w:vAlign w:val="center"/>
            <w:hideMark/>
          </w:tcPr>
          <w:p w:rsidR="0015266E" w:rsidRPr="00441046" w:rsidRDefault="0015266E" w:rsidP="0015266E">
            <w:pPr>
              <w:rPr>
                <w:sz w:val="20"/>
                <w:lang w:val="sq-AL"/>
              </w:rPr>
            </w:pPr>
            <w:r w:rsidRPr="00441046">
              <w:rPr>
                <w:rFonts w:ascii="Calibri" w:hAnsi="Calibri" w:cs="Calibri"/>
                <w:color w:val="000000"/>
                <w:sz w:val="20"/>
                <w:lang w:val="sq-AL"/>
              </w:rPr>
              <w:t>Transferta e pakushtëzuar sipas numrit të nxënësve, në lek</w:t>
            </w:r>
          </w:p>
        </w:tc>
        <w:tc>
          <w:tcPr>
            <w:tcW w:w="1775" w:type="dxa"/>
            <w:tcBorders>
              <w:top w:val="nil"/>
              <w:left w:val="nil"/>
              <w:bottom w:val="nil"/>
              <w:right w:val="single" w:sz="8" w:space="0" w:color="auto"/>
            </w:tcBorders>
            <w:shd w:val="clear" w:color="auto" w:fill="auto"/>
            <w:noWrap/>
            <w:vAlign w:val="center"/>
            <w:hideMark/>
          </w:tcPr>
          <w:p w:rsidR="0015266E" w:rsidRPr="00441046" w:rsidRDefault="009B467D" w:rsidP="00441046">
            <w:pPr>
              <w:ind w:firstLineChars="100" w:firstLine="201"/>
              <w:jc w:val="right"/>
              <w:rPr>
                <w:rFonts w:ascii="Calibri" w:hAnsi="Calibri"/>
                <w:b/>
                <w:sz w:val="20"/>
                <w:lang w:val="sq-AL"/>
              </w:rPr>
            </w:pPr>
            <w:r w:rsidRPr="00441046">
              <w:rPr>
                <w:rFonts w:ascii="Calibri" w:hAnsi="Calibri"/>
                <w:b/>
                <w:sz w:val="20"/>
                <w:lang w:val="sq-AL"/>
              </w:rPr>
              <w:t>634.662.407</w:t>
            </w:r>
          </w:p>
        </w:tc>
      </w:tr>
      <w:tr w:rsidR="0015266E" w:rsidRPr="00441046" w:rsidTr="00441046">
        <w:trPr>
          <w:trHeight w:val="417"/>
        </w:trPr>
        <w:tc>
          <w:tcPr>
            <w:tcW w:w="7945" w:type="dxa"/>
            <w:tcBorders>
              <w:top w:val="nil"/>
              <w:left w:val="single" w:sz="8" w:space="0" w:color="auto"/>
              <w:bottom w:val="single" w:sz="8" w:space="0" w:color="auto"/>
              <w:right w:val="nil"/>
            </w:tcBorders>
            <w:shd w:val="clear" w:color="auto" w:fill="auto"/>
            <w:vAlign w:val="center"/>
            <w:hideMark/>
          </w:tcPr>
          <w:p w:rsidR="0015266E" w:rsidRPr="00441046" w:rsidRDefault="0015266E" w:rsidP="0015266E">
            <w:pPr>
              <w:rPr>
                <w:sz w:val="20"/>
                <w:lang w:val="sq-AL"/>
              </w:rPr>
            </w:pPr>
            <w:r w:rsidRPr="00441046">
              <w:rPr>
                <w:rFonts w:ascii="Calibri" w:hAnsi="Calibri" w:cs="Calibri"/>
                <w:color w:val="000000"/>
                <w:sz w:val="20"/>
                <w:lang w:val="sq-AL"/>
              </w:rPr>
              <w:t xml:space="preserve">Vlera e Transfertës së pakushtëzuar të ndarë për </w:t>
            </w:r>
            <w:r w:rsidR="00010723" w:rsidRPr="00441046">
              <w:rPr>
                <w:rFonts w:ascii="Calibri" w:hAnsi="Calibri" w:cs="Calibri"/>
                <w:color w:val="000000"/>
                <w:sz w:val="20"/>
                <w:lang w:val="sq-AL"/>
              </w:rPr>
              <w:t>çdo</w:t>
            </w:r>
            <w:r w:rsidRPr="00441046">
              <w:rPr>
                <w:rFonts w:ascii="Calibri" w:hAnsi="Calibri" w:cs="Calibri"/>
                <w:color w:val="000000"/>
                <w:sz w:val="20"/>
                <w:lang w:val="sq-AL"/>
              </w:rPr>
              <w:t xml:space="preserve"> nxënës</w:t>
            </w:r>
          </w:p>
        </w:tc>
        <w:tc>
          <w:tcPr>
            <w:tcW w:w="1775" w:type="dxa"/>
            <w:tcBorders>
              <w:top w:val="nil"/>
              <w:left w:val="nil"/>
              <w:bottom w:val="single" w:sz="8" w:space="0" w:color="auto"/>
              <w:right w:val="single" w:sz="8" w:space="0" w:color="auto"/>
            </w:tcBorders>
            <w:shd w:val="clear" w:color="auto" w:fill="auto"/>
            <w:noWrap/>
            <w:vAlign w:val="center"/>
            <w:hideMark/>
          </w:tcPr>
          <w:p w:rsidR="0015266E" w:rsidRPr="00441046" w:rsidRDefault="009B467D" w:rsidP="00441046">
            <w:pPr>
              <w:ind w:firstLineChars="100" w:firstLine="201"/>
              <w:jc w:val="right"/>
              <w:rPr>
                <w:rFonts w:ascii="Calibri" w:hAnsi="Calibri"/>
                <w:b/>
                <w:sz w:val="20"/>
                <w:lang w:val="sq-AL"/>
              </w:rPr>
            </w:pPr>
            <w:r w:rsidRPr="00441046">
              <w:rPr>
                <w:rFonts w:ascii="Calibri" w:hAnsi="Calibri"/>
                <w:b/>
                <w:sz w:val="20"/>
                <w:lang w:val="sq-AL"/>
              </w:rPr>
              <w:t>1.424</w:t>
            </w:r>
          </w:p>
        </w:tc>
      </w:tr>
    </w:tbl>
    <w:p w:rsidR="00942F41" w:rsidRDefault="00942F41" w:rsidP="00907372">
      <w:pPr>
        <w:jc w:val="both"/>
        <w:rPr>
          <w:sz w:val="22"/>
          <w:lang w:val="sq-AL"/>
        </w:rPr>
      </w:pPr>
    </w:p>
    <w:p w:rsidR="00441046" w:rsidRDefault="00441046" w:rsidP="00907372">
      <w:pPr>
        <w:jc w:val="both"/>
        <w:rPr>
          <w:sz w:val="22"/>
          <w:lang w:val="sq-AL"/>
        </w:rPr>
      </w:pPr>
    </w:p>
    <w:p w:rsidR="00C71AFD" w:rsidRPr="00C71AFD" w:rsidRDefault="00C71AFD" w:rsidP="00C71AFD">
      <w:pPr>
        <w:pStyle w:val="ListParagraph"/>
        <w:numPr>
          <w:ilvl w:val="0"/>
          <w:numId w:val="27"/>
        </w:numPr>
        <w:rPr>
          <w:rFonts w:asciiTheme="minorHAnsi" w:hAnsiTheme="minorHAnsi"/>
          <w:b/>
          <w:bCs/>
          <w:color w:val="002060"/>
          <w:szCs w:val="20"/>
          <w:lang w:val="sq-AL"/>
        </w:rPr>
      </w:pPr>
      <w:r w:rsidRPr="00C71AFD">
        <w:rPr>
          <w:rFonts w:asciiTheme="minorHAnsi" w:hAnsiTheme="minorHAnsi"/>
          <w:b/>
          <w:bCs/>
          <w:color w:val="002060"/>
          <w:szCs w:val="20"/>
          <w:lang w:val="sq-AL"/>
        </w:rPr>
        <w:t>Ekualizimi i transfertës së pakushtëzuar mbi bazën</w:t>
      </w:r>
      <w:r>
        <w:rPr>
          <w:rFonts w:asciiTheme="minorHAnsi" w:hAnsiTheme="minorHAnsi"/>
          <w:b/>
          <w:bCs/>
          <w:color w:val="002060"/>
          <w:szCs w:val="20"/>
          <w:lang w:val="sq-AL"/>
        </w:rPr>
        <w:t xml:space="preserve"> </w:t>
      </w:r>
      <w:r w:rsidRPr="00C71AFD">
        <w:rPr>
          <w:rFonts w:asciiTheme="minorHAnsi" w:hAnsiTheme="minorHAnsi"/>
          <w:b/>
          <w:bCs/>
          <w:color w:val="002060"/>
          <w:szCs w:val="20"/>
          <w:lang w:val="sq-AL"/>
        </w:rPr>
        <w:t xml:space="preserve">e  të ardhurave nga taksat e ndara dhe në raport me transfertën e vitit </w:t>
      </w:r>
      <w:r w:rsidR="006D73A4">
        <w:rPr>
          <w:rFonts w:asciiTheme="minorHAnsi" w:hAnsiTheme="minorHAnsi"/>
          <w:b/>
          <w:bCs/>
          <w:color w:val="002060"/>
          <w:szCs w:val="20"/>
          <w:lang w:val="sq-AL"/>
        </w:rPr>
        <w:t>2014</w:t>
      </w:r>
      <w:r w:rsidRPr="00C71AFD">
        <w:rPr>
          <w:rFonts w:asciiTheme="minorHAnsi" w:hAnsiTheme="minorHAnsi"/>
          <w:b/>
          <w:bCs/>
          <w:color w:val="002060"/>
          <w:szCs w:val="20"/>
          <w:lang w:val="sq-AL"/>
        </w:rPr>
        <w:t xml:space="preserve">. </w:t>
      </w:r>
    </w:p>
    <w:p w:rsidR="00C71AFD" w:rsidRDefault="00C71AFD" w:rsidP="00C71AFD">
      <w:pPr>
        <w:jc w:val="both"/>
        <w:rPr>
          <w:lang w:val="sq-AL"/>
        </w:rPr>
      </w:pPr>
    </w:p>
    <w:p w:rsidR="001826C3" w:rsidRPr="00097516" w:rsidRDefault="00C71AFD" w:rsidP="00C71AFD">
      <w:pPr>
        <w:jc w:val="both"/>
        <w:rPr>
          <w:sz w:val="22"/>
          <w:szCs w:val="22"/>
          <w:lang w:val="sq-AL"/>
        </w:rPr>
      </w:pPr>
      <w:r w:rsidRPr="00555BCF">
        <w:rPr>
          <w:sz w:val="22"/>
          <w:szCs w:val="22"/>
          <w:lang w:val="sq-AL"/>
        </w:rPr>
        <w:t xml:space="preserve">Për të siguruar një ekualizim horizontal efektiv të transfertës së pakushtëzuar ndërmjet njësive të qeverisjes vendore </w:t>
      </w:r>
      <w:r>
        <w:rPr>
          <w:sz w:val="22"/>
          <w:szCs w:val="22"/>
          <w:lang w:val="sq-AL"/>
        </w:rPr>
        <w:t xml:space="preserve">në mënyrë që të merren </w:t>
      </w:r>
      <w:r w:rsidRPr="00555BCF">
        <w:rPr>
          <w:sz w:val="22"/>
          <w:szCs w:val="22"/>
          <w:lang w:val="sq-AL"/>
        </w:rPr>
        <w:t xml:space="preserve">në konsideratë kapacitetet e ndryshme fiskale ndërmjet tyre, në formulën e re </w:t>
      </w:r>
      <w:r>
        <w:rPr>
          <w:sz w:val="22"/>
          <w:szCs w:val="22"/>
          <w:lang w:val="sq-AL"/>
        </w:rPr>
        <w:t xml:space="preserve">llogaritjet bazohen </w:t>
      </w:r>
      <w:r w:rsidRPr="00555BCF">
        <w:rPr>
          <w:sz w:val="22"/>
          <w:szCs w:val="22"/>
          <w:lang w:val="sq-AL"/>
        </w:rPr>
        <w:t xml:space="preserve">mbi të ardhurat faktike nga taksat e ndara ndërmjet qeverisë </w:t>
      </w:r>
      <w:r w:rsidR="00615EB3" w:rsidRPr="00555BCF">
        <w:rPr>
          <w:sz w:val="22"/>
          <w:szCs w:val="22"/>
          <w:lang w:val="sq-AL"/>
        </w:rPr>
        <w:t>qendrore</w:t>
      </w:r>
      <w:r w:rsidRPr="00555BCF">
        <w:rPr>
          <w:sz w:val="22"/>
          <w:szCs w:val="22"/>
          <w:lang w:val="sq-AL"/>
        </w:rPr>
        <w:t xml:space="preserve"> dhe asaj vendore, të cilat mblidhen dhe u transferohen plotësisht ose pjesërisht bashkive nga administrata qendrore. Ekualizimi fiskal bazohet në të ardhurat faktike nga tatim fitimi i thjeshtuar i biznesit të vogël, nga taksa vjetore e automjeteve të përdorura dhe taksa e kalimit të pasurisë për pasuritë e paluajtshme të shitura nga personat juridikë</w:t>
      </w:r>
      <w:r>
        <w:rPr>
          <w:sz w:val="22"/>
          <w:szCs w:val="22"/>
          <w:lang w:val="sq-AL"/>
        </w:rPr>
        <w:t xml:space="preserve"> të cilat mblidhen nga agjenci qendrore dhe u transferohen njësive vendore</w:t>
      </w:r>
      <w:r w:rsidRPr="00555BCF">
        <w:rPr>
          <w:sz w:val="22"/>
          <w:szCs w:val="22"/>
          <w:lang w:val="sq-AL"/>
        </w:rPr>
        <w:t>.</w:t>
      </w:r>
      <w:r>
        <w:rPr>
          <w:sz w:val="22"/>
          <w:szCs w:val="22"/>
          <w:lang w:val="sq-AL"/>
        </w:rPr>
        <w:t xml:space="preserve"> Në këtë mënyrë njësitë e qeverisjes vendore sigurohen që të ardhurat që ata mbledhin </w:t>
      </w:r>
      <w:r>
        <w:rPr>
          <w:sz w:val="22"/>
          <w:szCs w:val="22"/>
          <w:lang w:val="sq-AL"/>
        </w:rPr>
        <w:lastRenderedPageBreak/>
        <w:t>vetë nuk preken nga sistemi i ekualizimit duke evituar kështu çdo lloj disincentivimi në mbledhjen e taksave.</w:t>
      </w:r>
      <w:r w:rsidRPr="00555BCF">
        <w:rPr>
          <w:sz w:val="22"/>
          <w:szCs w:val="22"/>
          <w:lang w:val="sq-AL"/>
        </w:rPr>
        <w:t xml:space="preserve"> Në vitin 2014, pjesa e të ardhurave nga këto taksa që u janë transferuar njësive të qeverisjes vendore është 3.1 miliard lekë,dhe të ardhurat kombëtare për frymë (TAKPF), ose mesatarja kombëtare për frymë rezulton 930 lekë për banor, sipas konceptit “banor rezident efektiv”. </w:t>
      </w:r>
    </w:p>
    <w:p w:rsidR="00441046" w:rsidRPr="00930147" w:rsidRDefault="00441046" w:rsidP="00C71AFD">
      <w:pPr>
        <w:jc w:val="both"/>
        <w:rPr>
          <w:sz w:val="22"/>
          <w:lang w:val="sq-AL"/>
        </w:rPr>
      </w:pPr>
    </w:p>
    <w:tbl>
      <w:tblPr>
        <w:tblW w:w="9720" w:type="dxa"/>
        <w:tblInd w:w="108" w:type="dxa"/>
        <w:tblLook w:val="04A0" w:firstRow="1" w:lastRow="0" w:firstColumn="1" w:lastColumn="0" w:noHBand="0" w:noVBand="1"/>
      </w:tblPr>
      <w:tblGrid>
        <w:gridCol w:w="1208"/>
        <w:gridCol w:w="801"/>
        <w:gridCol w:w="1860"/>
        <w:gridCol w:w="1137"/>
        <w:gridCol w:w="1311"/>
        <w:gridCol w:w="1812"/>
        <w:gridCol w:w="199"/>
        <w:gridCol w:w="1392"/>
      </w:tblGrid>
      <w:tr w:rsidR="0015266E" w:rsidRPr="00441046" w:rsidTr="00441046">
        <w:trPr>
          <w:trHeight w:val="345"/>
        </w:trPr>
        <w:tc>
          <w:tcPr>
            <w:tcW w:w="9720" w:type="dxa"/>
            <w:gridSpan w:val="8"/>
            <w:tcBorders>
              <w:top w:val="single" w:sz="8" w:space="0" w:color="auto"/>
              <w:left w:val="single" w:sz="8" w:space="0" w:color="auto"/>
              <w:bottom w:val="nil"/>
              <w:right w:val="single" w:sz="8" w:space="0" w:color="000000"/>
            </w:tcBorders>
            <w:shd w:val="clear" w:color="000000" w:fill="FFCC99"/>
            <w:vAlign w:val="center"/>
            <w:hideMark/>
          </w:tcPr>
          <w:p w:rsidR="0015266E" w:rsidRPr="00441046" w:rsidRDefault="0015266E" w:rsidP="0015266E">
            <w:pPr>
              <w:rPr>
                <w:sz w:val="18"/>
                <w:lang w:val="sq-AL"/>
              </w:rPr>
            </w:pPr>
            <w:r w:rsidRPr="00441046">
              <w:rPr>
                <w:rFonts w:ascii="Calibri" w:hAnsi="Calibri" w:cs="Calibri"/>
                <w:b/>
                <w:bCs/>
                <w:color w:val="C00000"/>
                <w:sz w:val="18"/>
                <w:lang w:val="sq-AL"/>
              </w:rPr>
              <w:t>Komponenti IV: Sistemi I Ekualizimit të të ardhurave</w:t>
            </w:r>
          </w:p>
        </w:tc>
      </w:tr>
      <w:tr w:rsidR="0015266E" w:rsidRPr="00441046" w:rsidTr="00441046">
        <w:trPr>
          <w:trHeight w:val="420"/>
        </w:trPr>
        <w:tc>
          <w:tcPr>
            <w:tcW w:w="8129" w:type="dxa"/>
            <w:gridSpan w:val="6"/>
            <w:tcBorders>
              <w:top w:val="nil"/>
              <w:left w:val="single" w:sz="8" w:space="0" w:color="auto"/>
              <w:bottom w:val="nil"/>
              <w:right w:val="nil"/>
            </w:tcBorders>
            <w:shd w:val="clear" w:color="auto" w:fill="auto"/>
            <w:vAlign w:val="center"/>
            <w:hideMark/>
          </w:tcPr>
          <w:p w:rsidR="0015266E" w:rsidRPr="00441046" w:rsidRDefault="0015266E" w:rsidP="0015266E">
            <w:pPr>
              <w:rPr>
                <w:sz w:val="18"/>
                <w:lang w:val="sq-AL"/>
              </w:rPr>
            </w:pPr>
            <w:r w:rsidRPr="00441046">
              <w:rPr>
                <w:rFonts w:ascii="Calibri" w:hAnsi="Calibri" w:cs="Calibri"/>
                <w:color w:val="000000"/>
                <w:sz w:val="18"/>
                <w:lang w:val="sq-AL"/>
              </w:rPr>
              <w:t xml:space="preserve">Të ardhurat nga taksat e ndara që do të përdoren për ekualizimin e të ardhurave </w:t>
            </w:r>
            <w:r w:rsidR="00942F41" w:rsidRPr="00441046">
              <w:rPr>
                <w:rFonts w:ascii="Calibri" w:hAnsi="Calibri" w:cs="Calibri"/>
                <w:color w:val="000000"/>
                <w:sz w:val="18"/>
                <w:lang w:val="sq-AL"/>
              </w:rPr>
              <w:t>(</w:t>
            </w:r>
            <w:r w:rsidRPr="00441046">
              <w:rPr>
                <w:rFonts w:ascii="Calibri" w:hAnsi="Calibri" w:cs="Calibri"/>
                <w:color w:val="000000"/>
                <w:sz w:val="18"/>
                <w:lang w:val="sq-AL"/>
              </w:rPr>
              <w:t xml:space="preserve">Biznesi i Vogël + Taksa e Automjeteve + Taksa mbi transferimin e pasurisë nga personat juridik)                                                                                                                  </w:t>
            </w:r>
          </w:p>
        </w:tc>
        <w:tc>
          <w:tcPr>
            <w:tcW w:w="1591" w:type="dxa"/>
            <w:gridSpan w:val="2"/>
            <w:tcBorders>
              <w:top w:val="nil"/>
              <w:left w:val="nil"/>
              <w:bottom w:val="nil"/>
              <w:right w:val="single" w:sz="8" w:space="0" w:color="auto"/>
            </w:tcBorders>
            <w:shd w:val="clear" w:color="auto" w:fill="auto"/>
            <w:noWrap/>
            <w:vAlign w:val="center"/>
            <w:hideMark/>
          </w:tcPr>
          <w:p w:rsidR="0015266E" w:rsidRPr="00441046" w:rsidRDefault="0015266E" w:rsidP="00441046">
            <w:pPr>
              <w:ind w:firstLineChars="100" w:firstLine="181"/>
              <w:jc w:val="right"/>
              <w:rPr>
                <w:rFonts w:ascii="Calibri" w:hAnsi="Calibri"/>
                <w:b/>
                <w:color w:val="000000"/>
                <w:sz w:val="18"/>
                <w:lang w:val="sq-AL"/>
              </w:rPr>
            </w:pPr>
            <w:r w:rsidRPr="00441046">
              <w:rPr>
                <w:rFonts w:ascii="Calibri" w:hAnsi="Calibri"/>
                <w:b/>
                <w:color w:val="000000"/>
                <w:sz w:val="18"/>
                <w:lang w:val="sq-AL"/>
              </w:rPr>
              <w:t>3.100.380.861</w:t>
            </w:r>
          </w:p>
        </w:tc>
      </w:tr>
      <w:tr w:rsidR="0015266E" w:rsidRPr="00441046" w:rsidTr="00441046">
        <w:trPr>
          <w:trHeight w:val="420"/>
        </w:trPr>
        <w:tc>
          <w:tcPr>
            <w:tcW w:w="8129" w:type="dxa"/>
            <w:gridSpan w:val="6"/>
            <w:tcBorders>
              <w:top w:val="nil"/>
              <w:left w:val="single" w:sz="8" w:space="0" w:color="auto"/>
              <w:bottom w:val="nil"/>
              <w:right w:val="nil"/>
            </w:tcBorders>
            <w:shd w:val="clear" w:color="auto" w:fill="auto"/>
            <w:vAlign w:val="center"/>
            <w:hideMark/>
          </w:tcPr>
          <w:p w:rsidR="0015266E" w:rsidRPr="00441046" w:rsidRDefault="0015266E" w:rsidP="0015266E">
            <w:pPr>
              <w:rPr>
                <w:rFonts w:ascii="Calibri" w:hAnsi="Calibri"/>
                <w:sz w:val="18"/>
                <w:lang w:val="sq-AL"/>
              </w:rPr>
            </w:pPr>
            <w:r w:rsidRPr="00441046">
              <w:rPr>
                <w:rFonts w:ascii="Calibri" w:hAnsi="Calibri" w:cs="Calibri"/>
                <w:color w:val="000000"/>
                <w:sz w:val="18"/>
                <w:lang w:val="sq-AL"/>
              </w:rPr>
              <w:t>Të ardhurat kombëtare për frymë (TAKPF</w:t>
            </w:r>
            <w:r w:rsidRPr="00441046">
              <w:rPr>
                <w:rFonts w:ascii="Calibri" w:hAnsi="Calibri"/>
                <w:sz w:val="18"/>
                <w:lang w:val="sq-AL"/>
              </w:rPr>
              <w:t>)</w:t>
            </w:r>
            <w:r w:rsidR="00615EB3" w:rsidRPr="00441046">
              <w:rPr>
                <w:rFonts w:ascii="Calibri" w:hAnsi="Calibri"/>
                <w:sz w:val="18"/>
                <w:lang w:val="sq-AL"/>
              </w:rPr>
              <w:t>, Të ardhura për frymë (TAPF)</w:t>
            </w:r>
          </w:p>
        </w:tc>
        <w:tc>
          <w:tcPr>
            <w:tcW w:w="1591" w:type="dxa"/>
            <w:gridSpan w:val="2"/>
            <w:tcBorders>
              <w:top w:val="nil"/>
              <w:left w:val="nil"/>
              <w:bottom w:val="nil"/>
              <w:right w:val="single" w:sz="8" w:space="0" w:color="auto"/>
            </w:tcBorders>
            <w:shd w:val="clear" w:color="auto" w:fill="auto"/>
            <w:noWrap/>
            <w:vAlign w:val="bottom"/>
            <w:hideMark/>
          </w:tcPr>
          <w:p w:rsidR="0015266E" w:rsidRPr="00441046" w:rsidRDefault="0015266E" w:rsidP="00441046">
            <w:pPr>
              <w:ind w:firstLineChars="100" w:firstLine="181"/>
              <w:jc w:val="right"/>
              <w:rPr>
                <w:rFonts w:ascii="Calibri" w:hAnsi="Calibri"/>
                <w:b/>
                <w:color w:val="000000"/>
                <w:sz w:val="18"/>
                <w:lang w:val="sq-AL"/>
              </w:rPr>
            </w:pPr>
            <w:r w:rsidRPr="00441046">
              <w:rPr>
                <w:rFonts w:ascii="Calibri" w:hAnsi="Calibri"/>
                <w:b/>
                <w:color w:val="000000"/>
                <w:sz w:val="18"/>
                <w:lang w:val="sq-AL"/>
              </w:rPr>
              <w:t>930</w:t>
            </w:r>
          </w:p>
        </w:tc>
      </w:tr>
      <w:tr w:rsidR="00615EB3" w:rsidRPr="00441046" w:rsidTr="00441046">
        <w:trPr>
          <w:trHeight w:val="566"/>
        </w:trPr>
        <w:tc>
          <w:tcPr>
            <w:tcW w:w="1208" w:type="dxa"/>
            <w:tcBorders>
              <w:top w:val="single" w:sz="4" w:space="0" w:color="auto"/>
              <w:left w:val="single" w:sz="8" w:space="0" w:color="auto"/>
              <w:bottom w:val="single" w:sz="4" w:space="0" w:color="auto"/>
              <w:right w:val="nil"/>
            </w:tcBorders>
            <w:shd w:val="clear" w:color="000000" w:fill="CCCCFF"/>
            <w:vAlign w:val="center"/>
            <w:hideMark/>
          </w:tcPr>
          <w:p w:rsidR="00615EB3" w:rsidRPr="00441046" w:rsidRDefault="00615EB3" w:rsidP="00120917">
            <w:pPr>
              <w:jc w:val="center"/>
              <w:rPr>
                <w:rFonts w:ascii="Calibri" w:hAnsi="Calibri"/>
                <w:bCs/>
                <w:sz w:val="18"/>
                <w:lang w:val="sq-AL"/>
              </w:rPr>
            </w:pPr>
            <w:r w:rsidRPr="00441046">
              <w:rPr>
                <w:rFonts w:ascii="Calibri" w:hAnsi="Calibri"/>
                <w:bCs/>
                <w:sz w:val="18"/>
                <w:lang w:val="sq-AL"/>
              </w:rPr>
              <w:t xml:space="preserve">Nëse NJQV-të kanë TAPF </w:t>
            </w:r>
          </w:p>
        </w:tc>
        <w:tc>
          <w:tcPr>
            <w:tcW w:w="801" w:type="dxa"/>
            <w:tcBorders>
              <w:top w:val="single" w:sz="4" w:space="0" w:color="auto"/>
              <w:left w:val="nil"/>
              <w:bottom w:val="single" w:sz="4" w:space="0" w:color="auto"/>
              <w:right w:val="nil"/>
            </w:tcBorders>
            <w:shd w:val="clear" w:color="000000" w:fill="0066CC"/>
            <w:vAlign w:val="center"/>
            <w:hideMark/>
          </w:tcPr>
          <w:p w:rsidR="00615EB3" w:rsidRPr="00441046" w:rsidRDefault="00615EB3" w:rsidP="00120917">
            <w:pPr>
              <w:jc w:val="center"/>
              <w:rPr>
                <w:rFonts w:ascii="Calibri" w:hAnsi="Calibri"/>
                <w:b/>
                <w:bCs/>
                <w:color w:val="FFFFFF"/>
                <w:sz w:val="18"/>
                <w:lang w:val="sq-AL"/>
              </w:rPr>
            </w:pPr>
            <w:r w:rsidRPr="00441046">
              <w:rPr>
                <w:rFonts w:ascii="Calibri" w:hAnsi="Calibri"/>
                <w:b/>
                <w:bCs/>
                <w:color w:val="FFFFFF"/>
                <w:sz w:val="18"/>
                <w:lang w:val="sq-AL"/>
              </w:rPr>
              <w:t>75%</w:t>
            </w:r>
          </w:p>
        </w:tc>
        <w:tc>
          <w:tcPr>
            <w:tcW w:w="1860" w:type="dxa"/>
            <w:tcBorders>
              <w:top w:val="single" w:sz="4" w:space="0" w:color="auto"/>
              <w:left w:val="nil"/>
              <w:bottom w:val="single" w:sz="4" w:space="0" w:color="auto"/>
              <w:right w:val="nil"/>
            </w:tcBorders>
            <w:shd w:val="clear" w:color="000000" w:fill="CCCCFF"/>
            <w:vAlign w:val="center"/>
            <w:hideMark/>
          </w:tcPr>
          <w:p w:rsidR="00615EB3" w:rsidRPr="00441046" w:rsidRDefault="00615EB3" w:rsidP="00120917">
            <w:pPr>
              <w:jc w:val="center"/>
              <w:rPr>
                <w:rFonts w:ascii="Calibri" w:hAnsi="Calibri"/>
                <w:bCs/>
                <w:sz w:val="18"/>
                <w:lang w:val="sq-AL"/>
              </w:rPr>
            </w:pPr>
            <w:r w:rsidRPr="00441046">
              <w:rPr>
                <w:rFonts w:ascii="Calibri" w:hAnsi="Calibri"/>
                <w:bCs/>
                <w:sz w:val="18"/>
                <w:lang w:val="sq-AL"/>
              </w:rPr>
              <w:t xml:space="preserve">të TAKPF, </w:t>
            </w:r>
            <w:r w:rsidR="00797108" w:rsidRPr="00441046">
              <w:rPr>
                <w:rFonts w:ascii="Calibri" w:hAnsi="Calibri"/>
                <w:bCs/>
                <w:sz w:val="18"/>
                <w:lang w:val="sq-AL"/>
              </w:rPr>
              <w:t>atëherë</w:t>
            </w:r>
            <w:r w:rsidRPr="00441046">
              <w:rPr>
                <w:rFonts w:ascii="Calibri" w:hAnsi="Calibri"/>
                <w:bCs/>
                <w:sz w:val="18"/>
                <w:lang w:val="sq-AL"/>
              </w:rPr>
              <w:t xml:space="preserve"> ato kompensohen me </w:t>
            </w:r>
          </w:p>
        </w:tc>
        <w:tc>
          <w:tcPr>
            <w:tcW w:w="1137" w:type="dxa"/>
            <w:tcBorders>
              <w:top w:val="single" w:sz="4" w:space="0" w:color="auto"/>
              <w:left w:val="nil"/>
              <w:bottom w:val="single" w:sz="4" w:space="0" w:color="auto"/>
              <w:right w:val="nil"/>
            </w:tcBorders>
            <w:shd w:val="clear" w:color="000000" w:fill="0066CC"/>
            <w:vAlign w:val="center"/>
            <w:hideMark/>
          </w:tcPr>
          <w:p w:rsidR="00615EB3" w:rsidRPr="00441046" w:rsidRDefault="00615EB3" w:rsidP="00120917">
            <w:pPr>
              <w:jc w:val="center"/>
              <w:rPr>
                <w:rFonts w:ascii="Calibri" w:hAnsi="Calibri"/>
                <w:b/>
                <w:bCs/>
                <w:color w:val="FFFFFF"/>
                <w:sz w:val="18"/>
                <w:lang w:val="sq-AL"/>
              </w:rPr>
            </w:pPr>
            <w:r w:rsidRPr="00441046">
              <w:rPr>
                <w:rFonts w:ascii="Calibri" w:hAnsi="Calibri"/>
                <w:b/>
                <w:bCs/>
                <w:color w:val="FFFFFF"/>
                <w:sz w:val="18"/>
                <w:lang w:val="sq-AL"/>
              </w:rPr>
              <w:t>100%</w:t>
            </w:r>
          </w:p>
        </w:tc>
        <w:tc>
          <w:tcPr>
            <w:tcW w:w="1311" w:type="dxa"/>
            <w:tcBorders>
              <w:top w:val="single" w:sz="4" w:space="0" w:color="auto"/>
              <w:left w:val="nil"/>
              <w:bottom w:val="single" w:sz="4" w:space="0" w:color="auto"/>
              <w:right w:val="single" w:sz="4" w:space="0" w:color="auto"/>
            </w:tcBorders>
            <w:shd w:val="clear" w:color="000000" w:fill="CCCCFF"/>
            <w:vAlign w:val="center"/>
            <w:hideMark/>
          </w:tcPr>
          <w:p w:rsidR="00615EB3" w:rsidRPr="00441046" w:rsidRDefault="00615EB3" w:rsidP="00120917">
            <w:pPr>
              <w:jc w:val="center"/>
              <w:rPr>
                <w:rFonts w:ascii="Calibri" w:hAnsi="Calibri"/>
                <w:bCs/>
                <w:sz w:val="18"/>
                <w:lang w:val="sq-AL"/>
              </w:rPr>
            </w:pPr>
            <w:r w:rsidRPr="00441046">
              <w:rPr>
                <w:rFonts w:ascii="Calibri" w:hAnsi="Calibri"/>
                <w:bCs/>
                <w:sz w:val="18"/>
                <w:lang w:val="sq-AL"/>
              </w:rPr>
              <w:t>të diferencës</w:t>
            </w:r>
          </w:p>
        </w:tc>
        <w:tc>
          <w:tcPr>
            <w:tcW w:w="2011" w:type="dxa"/>
            <w:gridSpan w:val="2"/>
            <w:tcBorders>
              <w:top w:val="single" w:sz="4" w:space="0" w:color="auto"/>
              <w:left w:val="nil"/>
              <w:bottom w:val="single" w:sz="4" w:space="0" w:color="auto"/>
              <w:right w:val="single" w:sz="8" w:space="0" w:color="auto"/>
            </w:tcBorders>
            <w:shd w:val="clear" w:color="000000" w:fill="FFCC99"/>
            <w:vAlign w:val="center"/>
            <w:hideMark/>
          </w:tcPr>
          <w:p w:rsidR="00615EB3" w:rsidRPr="00441046" w:rsidRDefault="00615EB3" w:rsidP="00120917">
            <w:pPr>
              <w:jc w:val="center"/>
              <w:rPr>
                <w:rFonts w:ascii="Calibri" w:hAnsi="Calibri"/>
                <w:bCs/>
                <w:sz w:val="18"/>
                <w:lang w:val="sq-AL"/>
              </w:rPr>
            </w:pPr>
            <w:r w:rsidRPr="00441046">
              <w:rPr>
                <w:rFonts w:ascii="Calibri" w:hAnsi="Calibri"/>
                <w:bCs/>
                <w:sz w:val="18"/>
                <w:lang w:val="sq-AL"/>
              </w:rPr>
              <w:t>Madhësia e ekualizimit fiskal (fondet që duhet të shtohen)</w:t>
            </w:r>
          </w:p>
        </w:tc>
        <w:tc>
          <w:tcPr>
            <w:tcW w:w="1392" w:type="dxa"/>
            <w:tcBorders>
              <w:top w:val="single" w:sz="4" w:space="0" w:color="auto"/>
              <w:left w:val="nil"/>
              <w:bottom w:val="single" w:sz="4" w:space="0" w:color="auto"/>
              <w:right w:val="single" w:sz="8" w:space="0" w:color="auto"/>
            </w:tcBorders>
            <w:shd w:val="clear" w:color="000000" w:fill="FFCC99"/>
            <w:vAlign w:val="center"/>
          </w:tcPr>
          <w:p w:rsidR="00615EB3" w:rsidRPr="00441046" w:rsidRDefault="00615EB3" w:rsidP="00441046">
            <w:pPr>
              <w:ind w:firstLineChars="100" w:firstLine="181"/>
              <w:jc w:val="right"/>
              <w:rPr>
                <w:rFonts w:ascii="Calibri" w:hAnsi="Calibri"/>
                <w:b/>
                <w:bCs/>
                <w:color w:val="000000"/>
                <w:sz w:val="18"/>
                <w:lang w:val="sq-AL"/>
              </w:rPr>
            </w:pPr>
            <w:r w:rsidRPr="00441046">
              <w:rPr>
                <w:rFonts w:ascii="Calibri" w:hAnsi="Calibri"/>
                <w:b/>
                <w:bCs/>
                <w:color w:val="000000"/>
                <w:sz w:val="18"/>
                <w:lang w:val="sq-AL"/>
              </w:rPr>
              <w:t xml:space="preserve">                    383.807.757 </w:t>
            </w:r>
          </w:p>
        </w:tc>
      </w:tr>
      <w:tr w:rsidR="00797108" w:rsidRPr="00441046" w:rsidTr="00441046">
        <w:trPr>
          <w:trHeight w:val="260"/>
        </w:trPr>
        <w:tc>
          <w:tcPr>
            <w:tcW w:w="1208" w:type="dxa"/>
            <w:tcBorders>
              <w:top w:val="nil"/>
              <w:left w:val="single" w:sz="8" w:space="0" w:color="auto"/>
              <w:bottom w:val="single" w:sz="4" w:space="0" w:color="auto"/>
              <w:right w:val="nil"/>
            </w:tcBorders>
            <w:shd w:val="clear" w:color="000000" w:fill="CCCCFF"/>
            <w:vAlign w:val="center"/>
            <w:hideMark/>
          </w:tcPr>
          <w:p w:rsidR="00797108" w:rsidRPr="00441046" w:rsidRDefault="00797108" w:rsidP="00120917">
            <w:pPr>
              <w:jc w:val="center"/>
              <w:rPr>
                <w:rFonts w:ascii="Calibri" w:hAnsi="Calibri"/>
                <w:bCs/>
                <w:sz w:val="18"/>
                <w:lang w:val="sq-AL"/>
              </w:rPr>
            </w:pPr>
            <w:r w:rsidRPr="00441046">
              <w:rPr>
                <w:rFonts w:ascii="Calibri" w:hAnsi="Calibri"/>
                <w:bCs/>
                <w:sz w:val="18"/>
                <w:lang w:val="sq-AL"/>
              </w:rPr>
              <w:t>duke u marrë NJQV-ve me të ardhura për frymë mbi</w:t>
            </w:r>
          </w:p>
        </w:tc>
        <w:tc>
          <w:tcPr>
            <w:tcW w:w="801" w:type="dxa"/>
            <w:tcBorders>
              <w:top w:val="nil"/>
              <w:left w:val="nil"/>
              <w:bottom w:val="single" w:sz="4" w:space="0" w:color="auto"/>
              <w:right w:val="nil"/>
            </w:tcBorders>
            <w:shd w:val="clear" w:color="000000" w:fill="0066CC"/>
            <w:vAlign w:val="center"/>
            <w:hideMark/>
          </w:tcPr>
          <w:p w:rsidR="00797108" w:rsidRPr="00441046" w:rsidRDefault="00797108" w:rsidP="00120917">
            <w:pPr>
              <w:jc w:val="center"/>
              <w:rPr>
                <w:rFonts w:ascii="Calibri" w:hAnsi="Calibri"/>
                <w:b/>
                <w:bCs/>
                <w:color w:val="FFFFFF"/>
                <w:sz w:val="18"/>
                <w:lang w:val="sq-AL"/>
              </w:rPr>
            </w:pPr>
            <w:r w:rsidRPr="00441046">
              <w:rPr>
                <w:rFonts w:ascii="Calibri" w:hAnsi="Calibri"/>
                <w:b/>
                <w:bCs/>
                <w:color w:val="FFFFFF"/>
                <w:sz w:val="18"/>
                <w:lang w:val="sq-AL"/>
              </w:rPr>
              <w:t>110%</w:t>
            </w:r>
          </w:p>
        </w:tc>
        <w:tc>
          <w:tcPr>
            <w:tcW w:w="1860" w:type="dxa"/>
            <w:tcBorders>
              <w:top w:val="single" w:sz="4" w:space="0" w:color="auto"/>
              <w:left w:val="nil"/>
              <w:bottom w:val="single" w:sz="4" w:space="0" w:color="auto"/>
              <w:right w:val="nil"/>
            </w:tcBorders>
            <w:shd w:val="clear" w:color="000000" w:fill="CCCCFF"/>
            <w:vAlign w:val="center"/>
            <w:hideMark/>
          </w:tcPr>
          <w:p w:rsidR="00797108" w:rsidRPr="00441046" w:rsidRDefault="00797108" w:rsidP="00120917">
            <w:pPr>
              <w:jc w:val="center"/>
              <w:rPr>
                <w:rFonts w:ascii="Calibri" w:hAnsi="Calibri"/>
                <w:bCs/>
                <w:sz w:val="18"/>
                <w:lang w:val="sq-AL"/>
              </w:rPr>
            </w:pPr>
            <w:r w:rsidRPr="00441046">
              <w:rPr>
                <w:rFonts w:ascii="Calibri" w:hAnsi="Calibri"/>
                <w:bCs/>
                <w:sz w:val="18"/>
                <w:lang w:val="sq-AL"/>
              </w:rPr>
              <w:t xml:space="preserve">të mesatares kombëtare (TAKPF) </w:t>
            </w:r>
          </w:p>
        </w:tc>
        <w:tc>
          <w:tcPr>
            <w:tcW w:w="1137" w:type="dxa"/>
            <w:tcBorders>
              <w:top w:val="nil"/>
              <w:left w:val="nil"/>
              <w:bottom w:val="single" w:sz="4" w:space="0" w:color="auto"/>
              <w:right w:val="nil"/>
            </w:tcBorders>
            <w:shd w:val="clear" w:color="000000" w:fill="0066CC"/>
            <w:vAlign w:val="center"/>
            <w:hideMark/>
          </w:tcPr>
          <w:p w:rsidR="00797108" w:rsidRPr="00441046" w:rsidRDefault="00797108" w:rsidP="00120917">
            <w:pPr>
              <w:jc w:val="center"/>
              <w:rPr>
                <w:rFonts w:ascii="Calibri" w:hAnsi="Calibri"/>
                <w:b/>
                <w:bCs/>
                <w:color w:val="FFFFFF"/>
                <w:sz w:val="18"/>
                <w:lang w:val="sq-AL"/>
              </w:rPr>
            </w:pPr>
            <w:r w:rsidRPr="00441046">
              <w:rPr>
                <w:rFonts w:ascii="Calibri" w:hAnsi="Calibri"/>
                <w:b/>
                <w:bCs/>
                <w:color w:val="FFFFFF"/>
                <w:sz w:val="18"/>
                <w:lang w:val="sq-AL"/>
              </w:rPr>
              <w:t>50%</w:t>
            </w:r>
          </w:p>
        </w:tc>
        <w:tc>
          <w:tcPr>
            <w:tcW w:w="1311" w:type="dxa"/>
            <w:tcBorders>
              <w:top w:val="nil"/>
              <w:left w:val="nil"/>
              <w:bottom w:val="single" w:sz="4" w:space="0" w:color="auto"/>
              <w:right w:val="nil"/>
            </w:tcBorders>
            <w:shd w:val="clear" w:color="000000" w:fill="CCCCFF"/>
            <w:vAlign w:val="center"/>
            <w:hideMark/>
          </w:tcPr>
          <w:p w:rsidR="00797108" w:rsidRPr="00441046" w:rsidRDefault="00797108" w:rsidP="00120917">
            <w:pPr>
              <w:jc w:val="center"/>
              <w:rPr>
                <w:rFonts w:ascii="Calibri" w:hAnsi="Calibri"/>
                <w:bCs/>
                <w:sz w:val="18"/>
                <w:lang w:val="sq-AL"/>
              </w:rPr>
            </w:pPr>
            <w:r w:rsidRPr="00441046">
              <w:rPr>
                <w:rFonts w:ascii="Calibri" w:hAnsi="Calibri"/>
                <w:bCs/>
                <w:sz w:val="18"/>
                <w:lang w:val="sq-AL"/>
              </w:rPr>
              <w:t>të difirencës</w:t>
            </w:r>
          </w:p>
        </w:tc>
        <w:tc>
          <w:tcPr>
            <w:tcW w:w="2011" w:type="dxa"/>
            <w:gridSpan w:val="2"/>
            <w:tcBorders>
              <w:top w:val="single" w:sz="4" w:space="0" w:color="auto"/>
              <w:left w:val="single" w:sz="4" w:space="0" w:color="auto"/>
              <w:bottom w:val="single" w:sz="4" w:space="0" w:color="auto"/>
              <w:right w:val="single" w:sz="8" w:space="0" w:color="auto"/>
            </w:tcBorders>
            <w:shd w:val="clear" w:color="000000" w:fill="FFCC99"/>
            <w:vAlign w:val="center"/>
            <w:hideMark/>
          </w:tcPr>
          <w:p w:rsidR="00797108" w:rsidRPr="00441046" w:rsidRDefault="00797108" w:rsidP="00441046">
            <w:pPr>
              <w:ind w:firstLineChars="100" w:firstLine="180"/>
              <w:jc w:val="center"/>
              <w:rPr>
                <w:rFonts w:ascii="Calibri" w:hAnsi="Calibri"/>
                <w:bCs/>
                <w:color w:val="000000"/>
                <w:sz w:val="18"/>
                <w:lang w:val="sq-AL"/>
              </w:rPr>
            </w:pPr>
            <w:r w:rsidRPr="00441046">
              <w:rPr>
                <w:rFonts w:ascii="Calibri" w:hAnsi="Calibri"/>
                <w:bCs/>
                <w:color w:val="000000"/>
                <w:sz w:val="18"/>
                <w:lang w:val="sq-AL"/>
              </w:rPr>
              <w:t>Fondet që efektivisht shkurtohen</w:t>
            </w:r>
          </w:p>
        </w:tc>
        <w:tc>
          <w:tcPr>
            <w:tcW w:w="1392" w:type="dxa"/>
            <w:tcBorders>
              <w:top w:val="single" w:sz="4" w:space="0" w:color="auto"/>
              <w:left w:val="single" w:sz="4" w:space="0" w:color="auto"/>
              <w:bottom w:val="single" w:sz="4" w:space="0" w:color="auto"/>
              <w:right w:val="single" w:sz="8" w:space="0" w:color="auto"/>
            </w:tcBorders>
            <w:shd w:val="clear" w:color="000000" w:fill="FFCC99"/>
            <w:vAlign w:val="center"/>
          </w:tcPr>
          <w:p w:rsidR="00797108" w:rsidRPr="00441046" w:rsidRDefault="00797108" w:rsidP="00441046">
            <w:pPr>
              <w:ind w:firstLineChars="100" w:firstLine="181"/>
              <w:jc w:val="right"/>
              <w:rPr>
                <w:rFonts w:ascii="Calibri" w:hAnsi="Calibri"/>
                <w:b/>
                <w:bCs/>
                <w:color w:val="000000"/>
                <w:sz w:val="18"/>
                <w:lang w:val="sq-AL"/>
              </w:rPr>
            </w:pPr>
            <w:r w:rsidRPr="00441046">
              <w:rPr>
                <w:rFonts w:ascii="Calibri" w:hAnsi="Calibri"/>
                <w:b/>
                <w:bCs/>
                <w:color w:val="000000"/>
                <w:sz w:val="18"/>
                <w:lang w:val="sq-AL"/>
              </w:rPr>
              <w:t>411.331.405</w:t>
            </w:r>
          </w:p>
        </w:tc>
      </w:tr>
      <w:tr w:rsidR="00F207E4" w:rsidRPr="00441046" w:rsidTr="00441046">
        <w:trPr>
          <w:trHeight w:val="496"/>
        </w:trPr>
        <w:tc>
          <w:tcPr>
            <w:tcW w:w="8328" w:type="dxa"/>
            <w:gridSpan w:val="7"/>
            <w:tcBorders>
              <w:top w:val="single" w:sz="4" w:space="0" w:color="auto"/>
              <w:left w:val="single" w:sz="8" w:space="0" w:color="auto"/>
              <w:bottom w:val="single" w:sz="8" w:space="0" w:color="000000"/>
              <w:right w:val="single" w:sz="8" w:space="0" w:color="auto"/>
            </w:tcBorders>
            <w:shd w:val="clear" w:color="000000" w:fill="CCCCFF"/>
            <w:vAlign w:val="center"/>
          </w:tcPr>
          <w:p w:rsidR="00F207E4" w:rsidRPr="00441046" w:rsidRDefault="00F207E4" w:rsidP="00441046">
            <w:pPr>
              <w:ind w:firstLineChars="100" w:firstLine="181"/>
              <w:jc w:val="center"/>
              <w:rPr>
                <w:rFonts w:ascii="Calibri" w:hAnsi="Calibri"/>
                <w:b/>
                <w:bCs/>
                <w:color w:val="000000"/>
                <w:sz w:val="18"/>
                <w:lang w:val="sq-AL"/>
              </w:rPr>
            </w:pPr>
            <w:r w:rsidRPr="00441046">
              <w:rPr>
                <w:rFonts w:ascii="Calibri" w:hAnsi="Calibri"/>
                <w:b/>
                <w:bCs/>
                <w:color w:val="000000"/>
                <w:sz w:val="18"/>
                <w:lang w:val="sq-AL"/>
              </w:rPr>
              <w:t>Koeficienti i rishp</w:t>
            </w:r>
            <w:r w:rsidR="00886A90" w:rsidRPr="00441046">
              <w:rPr>
                <w:rFonts w:ascii="Calibri" w:hAnsi="Calibri"/>
                <w:b/>
                <w:bCs/>
                <w:color w:val="000000"/>
                <w:sz w:val="18"/>
                <w:lang w:val="sq-AL"/>
              </w:rPr>
              <w:t>ë</w:t>
            </w:r>
            <w:r w:rsidRPr="00441046">
              <w:rPr>
                <w:rFonts w:ascii="Calibri" w:hAnsi="Calibri"/>
                <w:b/>
                <w:bCs/>
                <w:color w:val="000000"/>
                <w:sz w:val="18"/>
                <w:lang w:val="sq-AL"/>
              </w:rPr>
              <w:t>rndarjes</w:t>
            </w:r>
          </w:p>
        </w:tc>
        <w:tc>
          <w:tcPr>
            <w:tcW w:w="1392" w:type="dxa"/>
            <w:tcBorders>
              <w:top w:val="single" w:sz="4" w:space="0" w:color="auto"/>
              <w:left w:val="single" w:sz="4" w:space="0" w:color="auto"/>
              <w:bottom w:val="single" w:sz="4" w:space="0" w:color="auto"/>
              <w:right w:val="single" w:sz="8" w:space="0" w:color="auto"/>
            </w:tcBorders>
            <w:shd w:val="clear" w:color="000000" w:fill="FFCC99"/>
            <w:vAlign w:val="center"/>
          </w:tcPr>
          <w:p w:rsidR="00F207E4" w:rsidRPr="00441046" w:rsidRDefault="00F207E4" w:rsidP="00441046">
            <w:pPr>
              <w:ind w:firstLineChars="100" w:firstLine="181"/>
              <w:jc w:val="right"/>
              <w:rPr>
                <w:rFonts w:ascii="Calibri" w:hAnsi="Calibri"/>
                <w:b/>
                <w:bCs/>
                <w:color w:val="000000"/>
                <w:sz w:val="18"/>
                <w:lang w:val="sq-AL"/>
              </w:rPr>
            </w:pPr>
            <w:r w:rsidRPr="00441046">
              <w:rPr>
                <w:rFonts w:ascii="Calibri" w:hAnsi="Calibri"/>
                <w:b/>
                <w:bCs/>
                <w:color w:val="000000"/>
                <w:sz w:val="18"/>
                <w:lang w:val="sq-AL"/>
              </w:rPr>
              <w:t>1.07</w:t>
            </w:r>
          </w:p>
        </w:tc>
      </w:tr>
    </w:tbl>
    <w:p w:rsidR="00D02596" w:rsidRPr="00930147" w:rsidRDefault="00D02596" w:rsidP="00907372">
      <w:pPr>
        <w:jc w:val="both"/>
        <w:rPr>
          <w:sz w:val="22"/>
          <w:lang w:val="sq-AL"/>
        </w:rPr>
      </w:pPr>
    </w:p>
    <w:p w:rsidR="00797108" w:rsidRPr="00D119F5" w:rsidRDefault="00797108" w:rsidP="00797108">
      <w:pPr>
        <w:jc w:val="both"/>
        <w:rPr>
          <w:sz w:val="22"/>
          <w:lang w:val="sq-AL"/>
        </w:rPr>
      </w:pPr>
      <w:r>
        <w:rPr>
          <w:sz w:val="22"/>
          <w:lang w:val="sq-AL"/>
        </w:rPr>
        <w:t>Në formulën e re, njësitë e qeverisjes vendore që kanë të ardhura për frymë (TAPF) nën 75% mesatares kombëtare (TAKPF) prej 930 lekë/frymë, do të kompensohen me 100% të diferencës ndërmjet të ardhurave të tyre për frymë dhe mesatares kombëtare. Kjo llogaritje tregon sa fonde do duhej t’u shtoheshin njësive me të ardhura më të ulta për ti sjellë ato në nivelin prej 698 lek/</w:t>
      </w:r>
      <w:r w:rsidR="000C04E5">
        <w:rPr>
          <w:sz w:val="22"/>
          <w:lang w:val="sq-AL"/>
        </w:rPr>
        <w:t>frymë</w:t>
      </w:r>
      <w:r>
        <w:rPr>
          <w:sz w:val="22"/>
          <w:lang w:val="sq-AL"/>
        </w:rPr>
        <w:t xml:space="preserve"> (ku 930*75%=698 lek). Për të sjellë të gjitha bashkitë me të ardhura më “të ulta” në nivelin prej 75% të mesatares kombëtare, njësive me të ardhura më të larta se 110% e mesatares kombëtare, </w:t>
      </w:r>
      <w:r w:rsidR="000C04E5">
        <w:rPr>
          <w:sz w:val="22"/>
          <w:lang w:val="sq-AL"/>
        </w:rPr>
        <w:t>(pra me TAPF mbi 1023 l</w:t>
      </w:r>
      <w:r>
        <w:rPr>
          <w:sz w:val="22"/>
          <w:lang w:val="sq-AL"/>
        </w:rPr>
        <w:t>ek</w:t>
      </w:r>
      <w:r w:rsidR="000C04E5">
        <w:rPr>
          <w:sz w:val="22"/>
          <w:lang w:val="sq-AL"/>
        </w:rPr>
        <w:t>ë</w:t>
      </w:r>
      <w:r>
        <w:rPr>
          <w:sz w:val="22"/>
          <w:lang w:val="sq-AL"/>
        </w:rPr>
        <w:t>/</w:t>
      </w:r>
      <w:r w:rsidR="000C04E5">
        <w:rPr>
          <w:sz w:val="22"/>
          <w:lang w:val="sq-AL"/>
        </w:rPr>
        <w:t>frymë</w:t>
      </w:r>
      <w:r>
        <w:rPr>
          <w:sz w:val="22"/>
          <w:lang w:val="sq-AL"/>
        </w:rPr>
        <w:t>) do t’u merret 50% e diferencës midis të ardhurave të tyre për frymë dhe 110% të mesatares kombëtare. P.sh., nëse një njësi vendore ka të ardhura pë</w:t>
      </w:r>
      <w:r w:rsidR="000C04E5">
        <w:rPr>
          <w:sz w:val="22"/>
          <w:lang w:val="sq-AL"/>
        </w:rPr>
        <w:t>r fryme prej 1400  lek/frymë</w:t>
      </w:r>
      <w:r>
        <w:rPr>
          <w:sz w:val="22"/>
          <w:lang w:val="sq-AL"/>
        </w:rPr>
        <w:t>, sipas formulës së mësipërme asaj do ti zbriten</w:t>
      </w:r>
      <w:r w:rsidR="000C04E5">
        <w:rPr>
          <w:sz w:val="22"/>
          <w:lang w:val="sq-AL"/>
        </w:rPr>
        <w:t xml:space="preserve"> 189 lek/frymë</w:t>
      </w:r>
      <w:r>
        <w:rPr>
          <w:sz w:val="22"/>
          <w:lang w:val="sq-AL"/>
        </w:rPr>
        <w:t xml:space="preserve"> {[(1400 – (110%*930))*50% = 189 lek/banor]}. Kjo </w:t>
      </w:r>
      <w:r w:rsidR="000C04E5">
        <w:rPr>
          <w:sz w:val="22"/>
          <w:lang w:val="sq-AL"/>
        </w:rPr>
        <w:t>llogaritje</w:t>
      </w:r>
      <w:r>
        <w:rPr>
          <w:sz w:val="22"/>
          <w:lang w:val="sq-AL"/>
        </w:rPr>
        <w:t xml:space="preserve"> në fund tregon sa janë fondet realisht të disponueshme të cilat mund të transferohen nga njësitë me të ardhura më të larta tek ato më të ultat. Sistemi balancohet automatikisht nëpërmjet një koeficienti të rishpërndarjes i cili përcaktohet nga raporti midis fondeve disponibël për ekualizim dhe fondeve të nevojshme për ekualizim. Për vitin 2016, fondet e nevojshme për ekualizim janë </w:t>
      </w:r>
      <w:r w:rsidRPr="00555BCF">
        <w:rPr>
          <w:sz w:val="22"/>
          <w:lang w:val="sq-AL"/>
        </w:rPr>
        <w:t>383.807.757</w:t>
      </w:r>
      <w:r>
        <w:rPr>
          <w:sz w:val="22"/>
          <w:lang w:val="sq-AL"/>
        </w:rPr>
        <w:t xml:space="preserve"> lekë</w:t>
      </w:r>
      <w:r w:rsidRPr="00555BCF">
        <w:rPr>
          <w:sz w:val="22"/>
          <w:lang w:val="sq-AL"/>
        </w:rPr>
        <w:t xml:space="preserve">, ndërkohë që fondet  e disponueshme për ekualizim që vijnë nga “taksimi” prej 50% të të ardhurave mbi </w:t>
      </w:r>
      <w:r w:rsidR="000C04E5">
        <w:rPr>
          <w:sz w:val="22"/>
          <w:lang w:val="sq-AL"/>
        </w:rPr>
        <w:t>1023 lek/frymë</w:t>
      </w:r>
      <w:r w:rsidRPr="00555BCF">
        <w:rPr>
          <w:sz w:val="22"/>
          <w:lang w:val="sq-AL"/>
        </w:rPr>
        <w:t xml:space="preserve"> i njësive me të ardhura më të larta</w:t>
      </w:r>
      <w:r>
        <w:rPr>
          <w:sz w:val="22"/>
          <w:lang w:val="sq-AL"/>
        </w:rPr>
        <w:t xml:space="preserve"> janë </w:t>
      </w:r>
      <w:r w:rsidRPr="00555BCF">
        <w:rPr>
          <w:sz w:val="22"/>
          <w:lang w:val="sq-AL"/>
        </w:rPr>
        <w:t>411.331.405 Lek dhe p</w:t>
      </w:r>
      <w:r>
        <w:rPr>
          <w:sz w:val="22"/>
          <w:lang w:val="sq-AL"/>
        </w:rPr>
        <w:t>ë</w:t>
      </w:r>
      <w:r w:rsidRPr="00555BCF">
        <w:rPr>
          <w:sz w:val="22"/>
          <w:lang w:val="sq-AL"/>
        </w:rPr>
        <w:t>r rrjedhoj</w:t>
      </w:r>
      <w:r>
        <w:rPr>
          <w:sz w:val="22"/>
          <w:lang w:val="sq-AL"/>
        </w:rPr>
        <w:t>ë</w:t>
      </w:r>
      <w:r w:rsidRPr="00555BCF">
        <w:rPr>
          <w:sz w:val="22"/>
          <w:lang w:val="sq-AL"/>
        </w:rPr>
        <w:t xml:space="preserve"> koeficienti i rishpërndarjes </w:t>
      </w:r>
      <w:r>
        <w:rPr>
          <w:sz w:val="22"/>
          <w:lang w:val="sq-AL"/>
        </w:rPr>
        <w:t>ë</w:t>
      </w:r>
      <w:r w:rsidRPr="00555BCF">
        <w:rPr>
          <w:sz w:val="22"/>
          <w:lang w:val="sq-AL"/>
        </w:rPr>
        <w:t>sht</w:t>
      </w:r>
      <w:r>
        <w:rPr>
          <w:sz w:val="22"/>
          <w:lang w:val="sq-AL"/>
        </w:rPr>
        <w:t>ë</w:t>
      </w:r>
      <w:r w:rsidRPr="00555BCF">
        <w:rPr>
          <w:sz w:val="22"/>
          <w:lang w:val="sq-AL"/>
        </w:rPr>
        <w:t xml:space="preserve"> 1.07. </w:t>
      </w:r>
    </w:p>
    <w:p w:rsidR="00797108" w:rsidRDefault="00797108" w:rsidP="00797108">
      <w:pPr>
        <w:jc w:val="both"/>
        <w:rPr>
          <w:sz w:val="22"/>
          <w:lang w:val="sq-AL"/>
        </w:rPr>
      </w:pPr>
    </w:p>
    <w:p w:rsidR="00C51D07" w:rsidRDefault="00C51D07" w:rsidP="00C51D07">
      <w:pPr>
        <w:jc w:val="both"/>
        <w:rPr>
          <w:sz w:val="22"/>
          <w:lang w:val="sq-AL"/>
        </w:rPr>
      </w:pPr>
      <w:r w:rsidRPr="00C51D07">
        <w:rPr>
          <w:sz w:val="22"/>
          <w:lang w:val="sq-AL"/>
        </w:rPr>
        <w:t xml:space="preserve">Në të njëjtën mënyrë, vetëm për vitin 2016, si vit i parë i aplikimit të formulës së re do të përdoret një mekanizëm tranzitor që do të sigurojë që të gjitha njësitë e qeverisjes vendore do të marrin minimalisht </w:t>
      </w:r>
      <w:r w:rsidR="00ED24B4">
        <w:rPr>
          <w:sz w:val="22"/>
          <w:lang w:val="sq-AL"/>
        </w:rPr>
        <w:t>100</w:t>
      </w:r>
      <w:r w:rsidRPr="00C51D07">
        <w:rPr>
          <w:sz w:val="22"/>
          <w:lang w:val="sq-AL"/>
        </w:rPr>
        <w:t xml:space="preserve">% të transfertës që kanë marrë vitin </w:t>
      </w:r>
      <w:r w:rsidR="006D73A4">
        <w:rPr>
          <w:sz w:val="22"/>
          <w:lang w:val="sq-AL"/>
        </w:rPr>
        <w:t>2014</w:t>
      </w:r>
      <w:r w:rsidRPr="00C51D07">
        <w:rPr>
          <w:sz w:val="22"/>
          <w:lang w:val="sq-AL"/>
        </w:rPr>
        <w:t xml:space="preserve">. Kështu, bashkitë që për vitin 2016 rezultojnë të kenë një transfertë më të lartë se </w:t>
      </w:r>
      <w:r w:rsidR="00ED24B4">
        <w:rPr>
          <w:sz w:val="22"/>
          <w:lang w:val="sq-AL"/>
        </w:rPr>
        <w:t>23</w:t>
      </w:r>
      <w:r w:rsidRPr="00C51D07">
        <w:rPr>
          <w:sz w:val="22"/>
          <w:lang w:val="sq-AL"/>
        </w:rPr>
        <w:t>% në raport me transfertën e marrë në vitin 2014, do të kontribuojnë me diferencën mbi kufirin prej (+</w:t>
      </w:r>
      <w:r w:rsidR="00ED24B4">
        <w:rPr>
          <w:sz w:val="22"/>
          <w:lang w:val="sq-AL"/>
        </w:rPr>
        <w:t>23</w:t>
      </w:r>
      <w:r w:rsidRPr="00C51D07">
        <w:rPr>
          <w:sz w:val="22"/>
          <w:lang w:val="sq-AL"/>
        </w:rPr>
        <w:t xml:space="preserve">%), për të krijuar një fond të ekualizimit të transfertës prej </w:t>
      </w:r>
      <w:r w:rsidR="00ED24B4">
        <w:rPr>
          <w:sz w:val="22"/>
          <w:lang w:val="sq-AL"/>
        </w:rPr>
        <w:t>213.803.589</w:t>
      </w:r>
      <w:r w:rsidRPr="00C51D07">
        <w:rPr>
          <w:sz w:val="22"/>
          <w:lang w:val="sq-AL"/>
        </w:rPr>
        <w:t xml:space="preserve"> lekë gjithsej. Në të njëjtën kohë, njësitë </w:t>
      </w:r>
      <w:r>
        <w:rPr>
          <w:sz w:val="22"/>
          <w:lang w:val="sq-AL"/>
        </w:rPr>
        <w:t xml:space="preserve">e qeverisjes </w:t>
      </w:r>
      <w:r w:rsidRPr="00C51D07">
        <w:rPr>
          <w:sz w:val="22"/>
          <w:lang w:val="sq-AL"/>
        </w:rPr>
        <w:t xml:space="preserve">vendore do të kompensohen përpjesëtimisht sipas koeficientit të rishpërndarjes rezultues nga raporti i fondeve të disponueshme dhe fondeve të nevojshme. Në përfundim, të gjitha njësitë vendore do të marrin minimalisht </w:t>
      </w:r>
      <w:r w:rsidR="00ED24B4">
        <w:rPr>
          <w:sz w:val="22"/>
          <w:lang w:val="sq-AL"/>
        </w:rPr>
        <w:t>100</w:t>
      </w:r>
      <w:r w:rsidRPr="00C51D07">
        <w:rPr>
          <w:sz w:val="22"/>
          <w:lang w:val="sq-AL"/>
        </w:rPr>
        <w:t xml:space="preserve">% të transfertës që kanë marrë vitin </w:t>
      </w:r>
      <w:r w:rsidR="006D73A4">
        <w:rPr>
          <w:sz w:val="22"/>
          <w:lang w:val="sq-AL"/>
        </w:rPr>
        <w:t xml:space="preserve">2014 </w:t>
      </w:r>
      <w:r w:rsidRPr="00C51D07">
        <w:rPr>
          <w:sz w:val="22"/>
          <w:lang w:val="sq-AL"/>
        </w:rPr>
        <w:t xml:space="preserve">dhe kjo garanci do të paguhet nga njësitë me një transfertë mbi </w:t>
      </w:r>
      <w:r w:rsidR="00ED24B4">
        <w:rPr>
          <w:sz w:val="22"/>
          <w:lang w:val="sq-AL"/>
        </w:rPr>
        <w:t>23</w:t>
      </w:r>
      <w:r w:rsidRPr="00C51D07">
        <w:rPr>
          <w:sz w:val="22"/>
          <w:lang w:val="sq-AL"/>
        </w:rPr>
        <w:t>% në raport me vitin 2014.</w:t>
      </w:r>
      <w:r>
        <w:rPr>
          <w:sz w:val="22"/>
          <w:lang w:val="sq-AL"/>
        </w:rPr>
        <w:t xml:space="preserve"> </w:t>
      </w:r>
    </w:p>
    <w:p w:rsidR="00ED24B4" w:rsidRDefault="00ED24B4" w:rsidP="00907372">
      <w:pPr>
        <w:jc w:val="both"/>
        <w:rPr>
          <w:sz w:val="22"/>
          <w:lang w:val="sq-AL"/>
        </w:rPr>
      </w:pPr>
    </w:p>
    <w:p w:rsidR="001826C3" w:rsidRPr="00930147" w:rsidRDefault="001826C3" w:rsidP="00907372">
      <w:pPr>
        <w:jc w:val="both"/>
        <w:rPr>
          <w:sz w:val="22"/>
          <w:lang w:val="sq-AL"/>
        </w:rPr>
      </w:pPr>
    </w:p>
    <w:tbl>
      <w:tblPr>
        <w:tblW w:w="9918" w:type="dxa"/>
        <w:tblLook w:val="04A0" w:firstRow="1" w:lastRow="0" w:firstColumn="1" w:lastColumn="0" w:noHBand="0" w:noVBand="1"/>
      </w:tblPr>
      <w:tblGrid>
        <w:gridCol w:w="1789"/>
        <w:gridCol w:w="814"/>
        <w:gridCol w:w="1514"/>
        <w:gridCol w:w="1369"/>
        <w:gridCol w:w="2794"/>
        <w:gridCol w:w="1638"/>
      </w:tblGrid>
      <w:tr w:rsidR="00942F41" w:rsidRPr="00441046" w:rsidTr="00441046">
        <w:trPr>
          <w:trHeight w:val="326"/>
        </w:trPr>
        <w:tc>
          <w:tcPr>
            <w:tcW w:w="9918" w:type="dxa"/>
            <w:gridSpan w:val="6"/>
            <w:tcBorders>
              <w:top w:val="single" w:sz="8" w:space="0" w:color="auto"/>
              <w:left w:val="single" w:sz="8" w:space="0" w:color="auto"/>
              <w:bottom w:val="nil"/>
              <w:right w:val="single" w:sz="8" w:space="0" w:color="000000"/>
            </w:tcBorders>
            <w:shd w:val="clear" w:color="000000" w:fill="FFCC99"/>
            <w:vAlign w:val="center"/>
            <w:hideMark/>
          </w:tcPr>
          <w:p w:rsidR="00942F41" w:rsidRPr="00441046" w:rsidRDefault="00942F41" w:rsidP="00441046">
            <w:pPr>
              <w:ind w:firstLineChars="200" w:firstLine="402"/>
              <w:rPr>
                <w:rFonts w:ascii="Calibri" w:hAnsi="Calibri"/>
                <w:b/>
                <w:bCs/>
                <w:color w:val="993300"/>
                <w:sz w:val="20"/>
                <w:lang w:val="sq-AL"/>
              </w:rPr>
            </w:pPr>
            <w:r w:rsidRPr="00441046">
              <w:rPr>
                <w:rFonts w:ascii="Calibri" w:hAnsi="Calibri"/>
                <w:b/>
                <w:bCs/>
                <w:color w:val="993300"/>
                <w:sz w:val="20"/>
                <w:lang w:val="sq-AL"/>
              </w:rPr>
              <w:t>Komponenti V: Ekualizimi i grandit n</w:t>
            </w:r>
            <w:r w:rsidR="00D02596" w:rsidRPr="00441046">
              <w:rPr>
                <w:rFonts w:ascii="Calibri" w:hAnsi="Calibri"/>
                <w:b/>
                <w:bCs/>
                <w:color w:val="993300"/>
                <w:sz w:val="20"/>
                <w:lang w:val="sq-AL"/>
              </w:rPr>
              <w:t>ë</w:t>
            </w:r>
            <w:r w:rsidRPr="00441046">
              <w:rPr>
                <w:rFonts w:ascii="Calibri" w:hAnsi="Calibri"/>
                <w:b/>
                <w:bCs/>
                <w:color w:val="993300"/>
                <w:sz w:val="20"/>
                <w:lang w:val="sq-AL"/>
              </w:rPr>
              <w:t xml:space="preserve"> lidhje me vitin e kaluar</w:t>
            </w:r>
          </w:p>
        </w:tc>
      </w:tr>
      <w:tr w:rsidR="00942F41" w:rsidRPr="00441046" w:rsidTr="00441046">
        <w:trPr>
          <w:trHeight w:val="998"/>
        </w:trPr>
        <w:tc>
          <w:tcPr>
            <w:tcW w:w="1789" w:type="dxa"/>
            <w:tcBorders>
              <w:top w:val="single" w:sz="4" w:space="0" w:color="auto"/>
              <w:left w:val="single" w:sz="8" w:space="0" w:color="auto"/>
              <w:bottom w:val="single" w:sz="4" w:space="0" w:color="auto"/>
              <w:right w:val="nil"/>
            </w:tcBorders>
            <w:shd w:val="clear" w:color="000000" w:fill="CCCCFF"/>
            <w:vAlign w:val="center"/>
            <w:hideMark/>
          </w:tcPr>
          <w:p w:rsidR="00942F41" w:rsidRPr="00441046" w:rsidRDefault="00942F41">
            <w:pPr>
              <w:jc w:val="center"/>
              <w:rPr>
                <w:rFonts w:ascii="Calibri" w:hAnsi="Calibri"/>
                <w:b/>
                <w:bCs/>
                <w:sz w:val="20"/>
                <w:lang w:val="sq-AL"/>
              </w:rPr>
            </w:pPr>
            <w:r w:rsidRPr="00441046">
              <w:rPr>
                <w:rFonts w:ascii="Calibri" w:hAnsi="Calibri"/>
                <w:b/>
                <w:bCs/>
                <w:sz w:val="20"/>
                <w:lang w:val="sq-AL"/>
              </w:rPr>
              <w:t>N</w:t>
            </w:r>
            <w:r w:rsidR="00D02596" w:rsidRPr="00441046">
              <w:rPr>
                <w:rFonts w:ascii="Calibri" w:hAnsi="Calibri"/>
                <w:b/>
                <w:bCs/>
                <w:sz w:val="20"/>
                <w:lang w:val="sq-AL"/>
              </w:rPr>
              <w:t>ë</w:t>
            </w:r>
            <w:r w:rsidRPr="00441046">
              <w:rPr>
                <w:rFonts w:ascii="Calibri" w:hAnsi="Calibri"/>
                <w:b/>
                <w:bCs/>
                <w:sz w:val="20"/>
                <w:lang w:val="sq-AL"/>
              </w:rPr>
              <w:t>se NJQV-t</w:t>
            </w:r>
            <w:r w:rsidR="00D02596" w:rsidRPr="00441046">
              <w:rPr>
                <w:rFonts w:ascii="Calibri" w:hAnsi="Calibri"/>
                <w:b/>
                <w:bCs/>
                <w:sz w:val="20"/>
                <w:lang w:val="sq-AL"/>
              </w:rPr>
              <w:t>ë</w:t>
            </w:r>
            <w:r w:rsidRPr="00441046">
              <w:rPr>
                <w:rFonts w:ascii="Calibri" w:hAnsi="Calibri"/>
                <w:b/>
                <w:bCs/>
                <w:sz w:val="20"/>
                <w:lang w:val="sq-AL"/>
              </w:rPr>
              <w:t xml:space="preserve"> kan</w:t>
            </w:r>
            <w:r w:rsidR="00D02596" w:rsidRPr="00441046">
              <w:rPr>
                <w:rFonts w:ascii="Calibri" w:hAnsi="Calibri"/>
                <w:b/>
                <w:bCs/>
                <w:sz w:val="20"/>
                <w:lang w:val="sq-AL"/>
              </w:rPr>
              <w:t>ë</w:t>
            </w:r>
            <w:r w:rsidRPr="00441046">
              <w:rPr>
                <w:rFonts w:ascii="Calibri" w:hAnsi="Calibri"/>
                <w:b/>
                <w:bCs/>
                <w:sz w:val="20"/>
                <w:lang w:val="sq-AL"/>
              </w:rPr>
              <w:t xml:space="preserve"> grandin final m</w:t>
            </w:r>
            <w:r w:rsidR="00D02596" w:rsidRPr="00441046">
              <w:rPr>
                <w:rFonts w:ascii="Calibri" w:hAnsi="Calibri"/>
                <w:b/>
                <w:bCs/>
                <w:sz w:val="20"/>
                <w:lang w:val="sq-AL"/>
              </w:rPr>
              <w:t>ë</w:t>
            </w:r>
            <w:r w:rsidRPr="00441046">
              <w:rPr>
                <w:rFonts w:ascii="Calibri" w:hAnsi="Calibri"/>
                <w:b/>
                <w:bCs/>
                <w:sz w:val="20"/>
                <w:lang w:val="sq-AL"/>
              </w:rPr>
              <w:t xml:space="preserve"> t</w:t>
            </w:r>
            <w:r w:rsidR="00D02596" w:rsidRPr="00441046">
              <w:rPr>
                <w:rFonts w:ascii="Calibri" w:hAnsi="Calibri"/>
                <w:b/>
                <w:bCs/>
                <w:sz w:val="20"/>
                <w:lang w:val="sq-AL"/>
              </w:rPr>
              <w:t>ë</w:t>
            </w:r>
            <w:r w:rsidRPr="00441046">
              <w:rPr>
                <w:rFonts w:ascii="Calibri" w:hAnsi="Calibri"/>
                <w:b/>
                <w:bCs/>
                <w:sz w:val="20"/>
                <w:lang w:val="sq-AL"/>
              </w:rPr>
              <w:t xml:space="preserve"> lart</w:t>
            </w:r>
            <w:r w:rsidR="00D02596" w:rsidRPr="00441046">
              <w:rPr>
                <w:rFonts w:ascii="Calibri" w:hAnsi="Calibri"/>
                <w:b/>
                <w:bCs/>
                <w:sz w:val="20"/>
                <w:lang w:val="sq-AL"/>
              </w:rPr>
              <w:t>ë</w:t>
            </w:r>
          </w:p>
        </w:tc>
        <w:tc>
          <w:tcPr>
            <w:tcW w:w="814" w:type="dxa"/>
            <w:tcBorders>
              <w:top w:val="single" w:sz="4" w:space="0" w:color="auto"/>
              <w:left w:val="nil"/>
              <w:bottom w:val="single" w:sz="4" w:space="0" w:color="auto"/>
              <w:right w:val="nil"/>
            </w:tcBorders>
            <w:shd w:val="clear" w:color="000000" w:fill="0066CC"/>
            <w:vAlign w:val="center"/>
            <w:hideMark/>
          </w:tcPr>
          <w:p w:rsidR="00942F41" w:rsidRPr="00441046" w:rsidRDefault="00ED24B4">
            <w:pPr>
              <w:jc w:val="center"/>
              <w:rPr>
                <w:rFonts w:ascii="Calibri" w:hAnsi="Calibri"/>
                <w:b/>
                <w:bCs/>
                <w:color w:val="FFFFFF"/>
                <w:sz w:val="20"/>
                <w:szCs w:val="26"/>
                <w:lang w:val="sq-AL"/>
              </w:rPr>
            </w:pPr>
            <w:r w:rsidRPr="00441046">
              <w:rPr>
                <w:rFonts w:ascii="Calibri" w:hAnsi="Calibri"/>
                <w:b/>
                <w:bCs/>
                <w:color w:val="FFFFFF"/>
                <w:sz w:val="20"/>
                <w:szCs w:val="26"/>
                <w:lang w:val="sq-AL"/>
              </w:rPr>
              <w:t>23</w:t>
            </w:r>
            <w:r w:rsidR="00942F41" w:rsidRPr="00441046">
              <w:rPr>
                <w:rFonts w:ascii="Calibri" w:hAnsi="Calibri"/>
                <w:b/>
                <w:bCs/>
                <w:color w:val="FFFFFF"/>
                <w:sz w:val="20"/>
                <w:szCs w:val="26"/>
                <w:lang w:val="sq-AL"/>
              </w:rPr>
              <w:t>%</w:t>
            </w:r>
          </w:p>
        </w:tc>
        <w:tc>
          <w:tcPr>
            <w:tcW w:w="1514" w:type="dxa"/>
            <w:tcBorders>
              <w:top w:val="single" w:sz="4" w:space="0" w:color="auto"/>
              <w:left w:val="nil"/>
              <w:bottom w:val="single" w:sz="4" w:space="0" w:color="auto"/>
              <w:right w:val="nil"/>
            </w:tcBorders>
            <w:shd w:val="clear" w:color="000000" w:fill="CCCCFF"/>
            <w:vAlign w:val="center"/>
            <w:hideMark/>
          </w:tcPr>
          <w:p w:rsidR="00942F41" w:rsidRPr="00441046" w:rsidRDefault="00942F41">
            <w:pPr>
              <w:jc w:val="center"/>
              <w:rPr>
                <w:rFonts w:ascii="Calibri" w:hAnsi="Calibri"/>
                <w:b/>
                <w:bCs/>
                <w:sz w:val="20"/>
                <w:lang w:val="sq-AL"/>
              </w:rPr>
            </w:pPr>
            <w:r w:rsidRPr="00441046">
              <w:rPr>
                <w:rFonts w:ascii="Calibri" w:hAnsi="Calibri"/>
                <w:b/>
                <w:bCs/>
                <w:sz w:val="20"/>
                <w:lang w:val="sq-AL"/>
              </w:rPr>
              <w:t>N</w:t>
            </w:r>
            <w:r w:rsidR="00D02596" w:rsidRPr="00441046">
              <w:rPr>
                <w:rFonts w:ascii="Calibri" w:hAnsi="Calibri"/>
                <w:b/>
                <w:bCs/>
                <w:sz w:val="20"/>
                <w:lang w:val="sq-AL"/>
              </w:rPr>
              <w:t>ë</w:t>
            </w:r>
            <w:r w:rsidRPr="00441046">
              <w:rPr>
                <w:rFonts w:ascii="Calibri" w:hAnsi="Calibri"/>
                <w:b/>
                <w:bCs/>
                <w:sz w:val="20"/>
                <w:lang w:val="sq-AL"/>
              </w:rPr>
              <w:t xml:space="preserve"> lidhje me vitin e kaluar, </w:t>
            </w:r>
            <w:r w:rsidR="00010723" w:rsidRPr="00441046">
              <w:rPr>
                <w:rFonts w:ascii="Calibri" w:hAnsi="Calibri"/>
                <w:b/>
                <w:bCs/>
                <w:sz w:val="20"/>
                <w:lang w:val="sq-AL"/>
              </w:rPr>
              <w:t>atëherë</w:t>
            </w:r>
            <w:r w:rsidRPr="00441046">
              <w:rPr>
                <w:rFonts w:ascii="Calibri" w:hAnsi="Calibri"/>
                <w:b/>
                <w:bCs/>
                <w:sz w:val="20"/>
                <w:lang w:val="sq-AL"/>
              </w:rPr>
              <w:t xml:space="preserve"> duhet t</w:t>
            </w:r>
            <w:r w:rsidR="00D02596" w:rsidRPr="00441046">
              <w:rPr>
                <w:rFonts w:ascii="Calibri" w:hAnsi="Calibri"/>
                <w:b/>
                <w:bCs/>
                <w:sz w:val="20"/>
                <w:lang w:val="sq-AL"/>
              </w:rPr>
              <w:t>ë</w:t>
            </w:r>
            <w:r w:rsidRPr="00441046">
              <w:rPr>
                <w:rFonts w:ascii="Calibri" w:hAnsi="Calibri"/>
                <w:b/>
                <w:bCs/>
                <w:sz w:val="20"/>
                <w:lang w:val="sq-AL"/>
              </w:rPr>
              <w:t xml:space="preserve"> kontribuojn</w:t>
            </w:r>
            <w:r w:rsidR="00D02596" w:rsidRPr="00441046">
              <w:rPr>
                <w:rFonts w:ascii="Calibri" w:hAnsi="Calibri"/>
                <w:b/>
                <w:bCs/>
                <w:sz w:val="20"/>
                <w:lang w:val="sq-AL"/>
              </w:rPr>
              <w:t>ë</w:t>
            </w:r>
            <w:r w:rsidRPr="00441046">
              <w:rPr>
                <w:rFonts w:ascii="Calibri" w:hAnsi="Calibri"/>
                <w:b/>
                <w:bCs/>
                <w:sz w:val="20"/>
                <w:lang w:val="sq-AL"/>
              </w:rPr>
              <w:t xml:space="preserve"> me </w:t>
            </w:r>
          </w:p>
        </w:tc>
        <w:tc>
          <w:tcPr>
            <w:tcW w:w="1369" w:type="dxa"/>
            <w:tcBorders>
              <w:top w:val="single" w:sz="4" w:space="0" w:color="auto"/>
              <w:left w:val="nil"/>
              <w:bottom w:val="single" w:sz="4" w:space="0" w:color="auto"/>
              <w:right w:val="nil"/>
            </w:tcBorders>
            <w:shd w:val="clear" w:color="000000" w:fill="0066CC"/>
            <w:vAlign w:val="center"/>
            <w:hideMark/>
          </w:tcPr>
          <w:p w:rsidR="00942F41" w:rsidRPr="00441046" w:rsidRDefault="00F207E4">
            <w:pPr>
              <w:jc w:val="center"/>
              <w:rPr>
                <w:rFonts w:ascii="Calibri" w:hAnsi="Calibri"/>
                <w:b/>
                <w:bCs/>
                <w:color w:val="FFFFFF"/>
                <w:sz w:val="20"/>
                <w:szCs w:val="26"/>
                <w:lang w:val="sq-AL"/>
              </w:rPr>
            </w:pPr>
            <w:r w:rsidRPr="00441046">
              <w:rPr>
                <w:rFonts w:ascii="Calibri" w:hAnsi="Calibri"/>
                <w:b/>
                <w:bCs/>
                <w:color w:val="FFFFFF"/>
                <w:sz w:val="20"/>
                <w:szCs w:val="26"/>
                <w:lang w:val="sq-AL"/>
              </w:rPr>
              <w:t>100</w:t>
            </w:r>
            <w:r w:rsidR="00942F41" w:rsidRPr="00441046">
              <w:rPr>
                <w:rFonts w:ascii="Calibri" w:hAnsi="Calibri"/>
                <w:b/>
                <w:bCs/>
                <w:color w:val="FFFFFF"/>
                <w:sz w:val="20"/>
                <w:szCs w:val="26"/>
                <w:lang w:val="sq-AL"/>
              </w:rPr>
              <w:t>%</w:t>
            </w:r>
          </w:p>
        </w:tc>
        <w:tc>
          <w:tcPr>
            <w:tcW w:w="2794" w:type="dxa"/>
            <w:tcBorders>
              <w:top w:val="single" w:sz="4" w:space="0" w:color="auto"/>
              <w:left w:val="nil"/>
              <w:bottom w:val="single" w:sz="4" w:space="0" w:color="auto"/>
              <w:right w:val="single" w:sz="4" w:space="0" w:color="000000"/>
            </w:tcBorders>
            <w:shd w:val="clear" w:color="000000" w:fill="CCCCFF"/>
            <w:vAlign w:val="center"/>
            <w:hideMark/>
          </w:tcPr>
          <w:p w:rsidR="00942F41" w:rsidRPr="00441046" w:rsidRDefault="00942F41" w:rsidP="00942F41">
            <w:pPr>
              <w:jc w:val="center"/>
              <w:rPr>
                <w:rFonts w:ascii="Calibri" w:hAnsi="Calibri"/>
                <w:b/>
                <w:bCs/>
                <w:sz w:val="20"/>
                <w:lang w:val="sq-AL"/>
              </w:rPr>
            </w:pPr>
            <w:r w:rsidRPr="00441046">
              <w:rPr>
                <w:rFonts w:ascii="Calibri" w:hAnsi="Calibri"/>
                <w:b/>
                <w:bCs/>
                <w:sz w:val="20"/>
                <w:lang w:val="sq-AL"/>
              </w:rPr>
              <w:t>T</w:t>
            </w:r>
            <w:r w:rsidR="00D02596" w:rsidRPr="00441046">
              <w:rPr>
                <w:rFonts w:ascii="Calibri" w:hAnsi="Calibri"/>
                <w:b/>
                <w:bCs/>
                <w:sz w:val="20"/>
                <w:lang w:val="sq-AL"/>
              </w:rPr>
              <w:t>ë</w:t>
            </w:r>
            <w:r w:rsidRPr="00441046">
              <w:rPr>
                <w:rFonts w:ascii="Calibri" w:hAnsi="Calibri"/>
                <w:b/>
                <w:bCs/>
                <w:sz w:val="20"/>
                <w:lang w:val="sq-AL"/>
              </w:rPr>
              <w:t xml:space="preserve"> diferenc</w:t>
            </w:r>
            <w:r w:rsidR="00D02596" w:rsidRPr="00441046">
              <w:rPr>
                <w:rFonts w:ascii="Calibri" w:hAnsi="Calibri"/>
                <w:b/>
                <w:bCs/>
                <w:sz w:val="20"/>
                <w:lang w:val="sq-AL"/>
              </w:rPr>
              <w:t>ë</w:t>
            </w:r>
            <w:r w:rsidRPr="00441046">
              <w:rPr>
                <w:rFonts w:ascii="Calibri" w:hAnsi="Calibri"/>
                <w:b/>
                <w:bCs/>
                <w:sz w:val="20"/>
                <w:lang w:val="sq-AL"/>
              </w:rPr>
              <w:t>s mbi kufirin e krijuar nga ekualizimi i grandit</w:t>
            </w:r>
          </w:p>
        </w:tc>
        <w:tc>
          <w:tcPr>
            <w:tcW w:w="1638" w:type="dxa"/>
            <w:tcBorders>
              <w:top w:val="single" w:sz="4" w:space="0" w:color="auto"/>
              <w:left w:val="nil"/>
              <w:bottom w:val="single" w:sz="4" w:space="0" w:color="auto"/>
              <w:right w:val="single" w:sz="8" w:space="0" w:color="auto"/>
            </w:tcBorders>
            <w:shd w:val="clear" w:color="000000" w:fill="FFCC99"/>
            <w:vAlign w:val="center"/>
            <w:hideMark/>
          </w:tcPr>
          <w:p w:rsidR="00942F41" w:rsidRPr="00441046" w:rsidRDefault="00942F41" w:rsidP="00441046">
            <w:pPr>
              <w:ind w:firstLineChars="100" w:firstLine="201"/>
              <w:jc w:val="right"/>
              <w:rPr>
                <w:rFonts w:ascii="Calibri" w:hAnsi="Calibri"/>
                <w:b/>
                <w:bCs/>
                <w:color w:val="000000"/>
                <w:sz w:val="20"/>
                <w:szCs w:val="28"/>
                <w:lang w:val="sq-AL"/>
              </w:rPr>
            </w:pPr>
            <w:r w:rsidRPr="00441046">
              <w:rPr>
                <w:rFonts w:ascii="Calibri" w:hAnsi="Calibri"/>
                <w:b/>
                <w:bCs/>
                <w:color w:val="000000"/>
                <w:sz w:val="20"/>
                <w:szCs w:val="28"/>
                <w:lang w:val="sq-AL"/>
              </w:rPr>
              <w:t xml:space="preserve">                    </w:t>
            </w:r>
            <w:r w:rsidR="00ED24B4" w:rsidRPr="00441046">
              <w:rPr>
                <w:rFonts w:ascii="Calibri" w:hAnsi="Calibri"/>
                <w:b/>
                <w:bCs/>
                <w:color w:val="000000"/>
                <w:sz w:val="20"/>
                <w:szCs w:val="28"/>
                <w:lang w:val="sq-AL"/>
              </w:rPr>
              <w:t>228.387.644</w:t>
            </w:r>
            <w:r w:rsidRPr="00441046">
              <w:rPr>
                <w:rFonts w:ascii="Calibri" w:hAnsi="Calibri"/>
                <w:b/>
                <w:bCs/>
                <w:color w:val="000000"/>
                <w:sz w:val="20"/>
                <w:szCs w:val="28"/>
                <w:lang w:val="sq-AL"/>
              </w:rPr>
              <w:t xml:space="preserve"> </w:t>
            </w:r>
          </w:p>
        </w:tc>
      </w:tr>
      <w:tr w:rsidR="004F6036" w:rsidRPr="00441046" w:rsidTr="00441046">
        <w:trPr>
          <w:trHeight w:val="215"/>
        </w:trPr>
        <w:tc>
          <w:tcPr>
            <w:tcW w:w="8280" w:type="dxa"/>
            <w:gridSpan w:val="5"/>
            <w:tcBorders>
              <w:top w:val="single" w:sz="4" w:space="0" w:color="auto"/>
              <w:left w:val="single" w:sz="8" w:space="0" w:color="auto"/>
              <w:bottom w:val="single" w:sz="4" w:space="0" w:color="auto"/>
              <w:right w:val="single" w:sz="4" w:space="0" w:color="000000"/>
            </w:tcBorders>
            <w:shd w:val="clear" w:color="000000" w:fill="CCCCFF"/>
            <w:vAlign w:val="center"/>
            <w:hideMark/>
          </w:tcPr>
          <w:p w:rsidR="00942F41" w:rsidRPr="00441046" w:rsidRDefault="004F6036" w:rsidP="00441046">
            <w:pPr>
              <w:rPr>
                <w:rFonts w:ascii="Calibri" w:hAnsi="Calibri"/>
                <w:b/>
                <w:bCs/>
                <w:sz w:val="20"/>
                <w:lang w:val="sq-AL"/>
              </w:rPr>
            </w:pPr>
            <w:r w:rsidRPr="00441046">
              <w:rPr>
                <w:rFonts w:ascii="Calibri" w:hAnsi="Calibri"/>
                <w:b/>
                <w:bCs/>
                <w:sz w:val="20"/>
                <w:lang w:val="sq-AL"/>
              </w:rPr>
              <w:t>N</w:t>
            </w:r>
            <w:r w:rsidR="00D02596" w:rsidRPr="00441046">
              <w:rPr>
                <w:rFonts w:ascii="Calibri" w:hAnsi="Calibri"/>
                <w:b/>
                <w:bCs/>
                <w:sz w:val="20"/>
                <w:lang w:val="sq-AL"/>
              </w:rPr>
              <w:t>ë</w:t>
            </w:r>
            <w:r w:rsidRPr="00441046">
              <w:rPr>
                <w:rFonts w:ascii="Calibri" w:hAnsi="Calibri"/>
                <w:b/>
                <w:bCs/>
                <w:sz w:val="20"/>
                <w:lang w:val="sq-AL"/>
              </w:rPr>
              <w:t>se NJQV-t</w:t>
            </w:r>
            <w:r w:rsidR="00D02596" w:rsidRPr="00441046">
              <w:rPr>
                <w:rFonts w:ascii="Calibri" w:hAnsi="Calibri"/>
                <w:b/>
                <w:bCs/>
                <w:sz w:val="20"/>
                <w:lang w:val="sq-AL"/>
              </w:rPr>
              <w:t>ë</w:t>
            </w:r>
            <w:r w:rsidRPr="00441046">
              <w:rPr>
                <w:rFonts w:ascii="Calibri" w:hAnsi="Calibri"/>
                <w:b/>
                <w:bCs/>
                <w:sz w:val="20"/>
                <w:lang w:val="sq-AL"/>
              </w:rPr>
              <w:t xml:space="preserve"> kan</w:t>
            </w:r>
            <w:r w:rsidR="00D02596" w:rsidRPr="00441046">
              <w:rPr>
                <w:rFonts w:ascii="Calibri" w:hAnsi="Calibri"/>
                <w:b/>
                <w:bCs/>
                <w:sz w:val="20"/>
                <w:lang w:val="sq-AL"/>
              </w:rPr>
              <w:t>ë</w:t>
            </w:r>
            <w:r w:rsidRPr="00441046">
              <w:rPr>
                <w:rFonts w:ascii="Calibri" w:hAnsi="Calibri"/>
                <w:b/>
                <w:bCs/>
                <w:sz w:val="20"/>
                <w:lang w:val="sq-AL"/>
              </w:rPr>
              <w:t xml:space="preserve"> nj</w:t>
            </w:r>
            <w:r w:rsidR="00D02596" w:rsidRPr="00441046">
              <w:rPr>
                <w:rFonts w:ascii="Calibri" w:hAnsi="Calibri"/>
                <w:b/>
                <w:bCs/>
                <w:sz w:val="20"/>
                <w:lang w:val="sq-AL"/>
              </w:rPr>
              <w:t>ë</w:t>
            </w:r>
            <w:r w:rsidRPr="00441046">
              <w:rPr>
                <w:rFonts w:ascii="Calibri" w:hAnsi="Calibri"/>
                <w:b/>
                <w:bCs/>
                <w:sz w:val="20"/>
                <w:lang w:val="sq-AL"/>
              </w:rPr>
              <w:t xml:space="preserve"> </w:t>
            </w:r>
            <w:r w:rsidR="00441046">
              <w:rPr>
                <w:rFonts w:ascii="Calibri" w:hAnsi="Calibri"/>
                <w:b/>
                <w:bCs/>
                <w:sz w:val="20"/>
                <w:lang w:val="sq-AL"/>
              </w:rPr>
              <w:t>transfertë</w:t>
            </w:r>
            <w:r w:rsidRPr="00441046">
              <w:rPr>
                <w:rFonts w:ascii="Calibri" w:hAnsi="Calibri"/>
                <w:b/>
                <w:bCs/>
                <w:sz w:val="20"/>
                <w:lang w:val="sq-AL"/>
              </w:rPr>
              <w:t xml:space="preserve"> m</w:t>
            </w:r>
            <w:r w:rsidR="00D02596" w:rsidRPr="00441046">
              <w:rPr>
                <w:rFonts w:ascii="Calibri" w:hAnsi="Calibri"/>
                <w:b/>
                <w:bCs/>
                <w:sz w:val="20"/>
                <w:lang w:val="sq-AL"/>
              </w:rPr>
              <w:t>ë</w:t>
            </w:r>
            <w:r w:rsidRPr="00441046">
              <w:rPr>
                <w:rFonts w:ascii="Calibri" w:hAnsi="Calibri"/>
                <w:b/>
                <w:bCs/>
                <w:sz w:val="20"/>
                <w:lang w:val="sq-AL"/>
              </w:rPr>
              <w:t xml:space="preserve"> t</w:t>
            </w:r>
            <w:r w:rsidR="00D02596" w:rsidRPr="00441046">
              <w:rPr>
                <w:rFonts w:ascii="Calibri" w:hAnsi="Calibri"/>
                <w:b/>
                <w:bCs/>
                <w:sz w:val="20"/>
                <w:lang w:val="sq-AL"/>
              </w:rPr>
              <w:t>ë</w:t>
            </w:r>
            <w:r w:rsidRPr="00441046">
              <w:rPr>
                <w:rFonts w:ascii="Calibri" w:hAnsi="Calibri"/>
                <w:b/>
                <w:bCs/>
                <w:sz w:val="20"/>
                <w:lang w:val="sq-AL"/>
              </w:rPr>
              <w:t xml:space="preserve"> vog</w:t>
            </w:r>
            <w:r w:rsidR="00D02596" w:rsidRPr="00441046">
              <w:rPr>
                <w:rFonts w:ascii="Calibri" w:hAnsi="Calibri"/>
                <w:b/>
                <w:bCs/>
                <w:sz w:val="20"/>
                <w:lang w:val="sq-AL"/>
              </w:rPr>
              <w:t>ë</w:t>
            </w:r>
            <w:r w:rsidR="00441046">
              <w:rPr>
                <w:rFonts w:ascii="Calibri" w:hAnsi="Calibri"/>
                <w:b/>
                <w:bCs/>
                <w:sz w:val="20"/>
                <w:lang w:val="sq-AL"/>
              </w:rPr>
              <w:t>l se ajo e</w:t>
            </w:r>
            <w:r w:rsidRPr="00441046">
              <w:rPr>
                <w:rFonts w:ascii="Calibri" w:hAnsi="Calibri"/>
                <w:b/>
                <w:bCs/>
                <w:sz w:val="20"/>
                <w:lang w:val="sq-AL"/>
              </w:rPr>
              <w:t xml:space="preserve"> vitit t</w:t>
            </w:r>
            <w:r w:rsidR="00D02596" w:rsidRPr="00441046">
              <w:rPr>
                <w:rFonts w:ascii="Calibri" w:hAnsi="Calibri"/>
                <w:b/>
                <w:bCs/>
                <w:sz w:val="20"/>
                <w:lang w:val="sq-AL"/>
              </w:rPr>
              <w:t>ë</w:t>
            </w:r>
            <w:r w:rsidRPr="00441046">
              <w:rPr>
                <w:rFonts w:ascii="Calibri" w:hAnsi="Calibri"/>
                <w:b/>
                <w:bCs/>
                <w:sz w:val="20"/>
                <w:lang w:val="sq-AL"/>
              </w:rPr>
              <w:t xml:space="preserve"> kaluar</w:t>
            </w:r>
            <w:r w:rsidR="00942F41" w:rsidRPr="00441046">
              <w:rPr>
                <w:rFonts w:ascii="Calibri" w:hAnsi="Calibri"/>
                <w:b/>
                <w:bCs/>
                <w:sz w:val="20"/>
                <w:lang w:val="sq-AL"/>
              </w:rPr>
              <w:t xml:space="preserve">, </w:t>
            </w:r>
            <w:r w:rsidRPr="00441046">
              <w:rPr>
                <w:rFonts w:ascii="Calibri" w:hAnsi="Calibri"/>
                <w:b/>
                <w:bCs/>
                <w:sz w:val="20"/>
                <w:lang w:val="sq-AL"/>
              </w:rPr>
              <w:t>at</w:t>
            </w:r>
            <w:r w:rsidR="00D02596" w:rsidRPr="00441046">
              <w:rPr>
                <w:rFonts w:ascii="Calibri" w:hAnsi="Calibri"/>
                <w:b/>
                <w:bCs/>
                <w:sz w:val="20"/>
                <w:lang w:val="sq-AL"/>
              </w:rPr>
              <w:t>ë</w:t>
            </w:r>
            <w:r w:rsidRPr="00441046">
              <w:rPr>
                <w:rFonts w:ascii="Calibri" w:hAnsi="Calibri"/>
                <w:b/>
                <w:bCs/>
                <w:sz w:val="20"/>
                <w:lang w:val="sq-AL"/>
              </w:rPr>
              <w:t>her</w:t>
            </w:r>
            <w:r w:rsidR="00D02596" w:rsidRPr="00441046">
              <w:rPr>
                <w:rFonts w:ascii="Calibri" w:hAnsi="Calibri"/>
                <w:b/>
                <w:bCs/>
                <w:sz w:val="20"/>
                <w:lang w:val="sq-AL"/>
              </w:rPr>
              <w:t>ë</w:t>
            </w:r>
            <w:r w:rsidRPr="00441046">
              <w:rPr>
                <w:rFonts w:ascii="Calibri" w:hAnsi="Calibri"/>
                <w:b/>
                <w:bCs/>
                <w:sz w:val="20"/>
                <w:lang w:val="sq-AL"/>
              </w:rPr>
              <w:t xml:space="preserve"> NJQV-t</w:t>
            </w:r>
            <w:r w:rsidR="00D02596" w:rsidRPr="00441046">
              <w:rPr>
                <w:rFonts w:ascii="Calibri" w:hAnsi="Calibri"/>
                <w:b/>
                <w:bCs/>
                <w:sz w:val="20"/>
                <w:lang w:val="sq-AL"/>
              </w:rPr>
              <w:t>ë</w:t>
            </w:r>
            <w:r w:rsidRPr="00441046">
              <w:rPr>
                <w:rFonts w:ascii="Calibri" w:hAnsi="Calibri"/>
                <w:b/>
                <w:bCs/>
                <w:sz w:val="20"/>
                <w:lang w:val="sq-AL"/>
              </w:rPr>
              <w:t xml:space="preserve"> do t</w:t>
            </w:r>
            <w:r w:rsidR="00D02596" w:rsidRPr="00441046">
              <w:rPr>
                <w:rFonts w:ascii="Calibri" w:hAnsi="Calibri"/>
                <w:b/>
                <w:bCs/>
                <w:sz w:val="20"/>
                <w:lang w:val="sq-AL"/>
              </w:rPr>
              <w:t>ë</w:t>
            </w:r>
            <w:r w:rsidRPr="00441046">
              <w:rPr>
                <w:rFonts w:ascii="Calibri" w:hAnsi="Calibri"/>
                <w:b/>
                <w:bCs/>
                <w:sz w:val="20"/>
                <w:lang w:val="sq-AL"/>
              </w:rPr>
              <w:t xml:space="preserve"> kompensohen p</w:t>
            </w:r>
            <w:r w:rsidR="00D02596" w:rsidRPr="00441046">
              <w:rPr>
                <w:rFonts w:ascii="Calibri" w:hAnsi="Calibri"/>
                <w:b/>
                <w:bCs/>
                <w:sz w:val="20"/>
                <w:lang w:val="sq-AL"/>
              </w:rPr>
              <w:t>ë</w:t>
            </w:r>
            <w:r w:rsidRPr="00441046">
              <w:rPr>
                <w:rFonts w:ascii="Calibri" w:hAnsi="Calibri"/>
                <w:b/>
                <w:bCs/>
                <w:sz w:val="20"/>
                <w:lang w:val="sq-AL"/>
              </w:rPr>
              <w:t>r diferenc</w:t>
            </w:r>
            <w:r w:rsidR="00D02596" w:rsidRPr="00441046">
              <w:rPr>
                <w:rFonts w:ascii="Calibri" w:hAnsi="Calibri"/>
                <w:b/>
                <w:bCs/>
                <w:sz w:val="20"/>
                <w:lang w:val="sq-AL"/>
              </w:rPr>
              <w:t>ë</w:t>
            </w:r>
            <w:r w:rsidRPr="00441046">
              <w:rPr>
                <w:rFonts w:ascii="Calibri" w:hAnsi="Calibri"/>
                <w:b/>
                <w:bCs/>
                <w:sz w:val="20"/>
                <w:lang w:val="sq-AL"/>
              </w:rPr>
              <w:t xml:space="preserve">n nga ekualizimi </w:t>
            </w:r>
            <w:r w:rsidR="00441046">
              <w:rPr>
                <w:rFonts w:ascii="Calibri" w:hAnsi="Calibri"/>
                <w:b/>
                <w:bCs/>
                <w:sz w:val="20"/>
                <w:lang w:val="sq-AL"/>
              </w:rPr>
              <w:t>i</w:t>
            </w:r>
            <w:r w:rsidRPr="00441046">
              <w:rPr>
                <w:rFonts w:ascii="Calibri" w:hAnsi="Calibri"/>
                <w:b/>
                <w:bCs/>
                <w:sz w:val="20"/>
                <w:lang w:val="sq-AL"/>
              </w:rPr>
              <w:t xml:space="preserve"> </w:t>
            </w:r>
            <w:r w:rsidR="00441046">
              <w:rPr>
                <w:rFonts w:ascii="Calibri" w:hAnsi="Calibri"/>
                <w:b/>
                <w:bCs/>
                <w:sz w:val="20"/>
                <w:lang w:val="sq-AL"/>
              </w:rPr>
              <w:t>transfertës</w:t>
            </w:r>
          </w:p>
        </w:tc>
        <w:tc>
          <w:tcPr>
            <w:tcW w:w="1638" w:type="dxa"/>
            <w:tcBorders>
              <w:top w:val="nil"/>
              <w:left w:val="nil"/>
              <w:bottom w:val="single" w:sz="4" w:space="0" w:color="auto"/>
              <w:right w:val="single" w:sz="8" w:space="0" w:color="auto"/>
            </w:tcBorders>
            <w:shd w:val="clear" w:color="000000" w:fill="FFCC99"/>
            <w:vAlign w:val="center"/>
            <w:hideMark/>
          </w:tcPr>
          <w:p w:rsidR="00942F41" w:rsidRPr="00441046" w:rsidRDefault="00942F41" w:rsidP="00441046">
            <w:pPr>
              <w:ind w:firstLineChars="100" w:firstLine="201"/>
              <w:jc w:val="right"/>
              <w:rPr>
                <w:rFonts w:ascii="Calibri" w:hAnsi="Calibri"/>
                <w:b/>
                <w:bCs/>
                <w:color w:val="000000"/>
                <w:sz w:val="20"/>
                <w:szCs w:val="28"/>
                <w:lang w:val="sq-AL"/>
              </w:rPr>
            </w:pPr>
            <w:r w:rsidRPr="00441046">
              <w:rPr>
                <w:rFonts w:ascii="Calibri" w:hAnsi="Calibri"/>
                <w:b/>
                <w:bCs/>
                <w:color w:val="000000"/>
                <w:sz w:val="20"/>
                <w:szCs w:val="28"/>
                <w:lang w:val="sq-AL"/>
              </w:rPr>
              <w:t xml:space="preserve">                    </w:t>
            </w:r>
            <w:r w:rsidR="00ED24B4" w:rsidRPr="00441046">
              <w:rPr>
                <w:rFonts w:ascii="Calibri" w:hAnsi="Calibri"/>
                <w:b/>
                <w:bCs/>
                <w:color w:val="000000"/>
                <w:sz w:val="20"/>
                <w:szCs w:val="28"/>
                <w:lang w:val="sq-AL"/>
              </w:rPr>
              <w:t>213.803.589</w:t>
            </w:r>
            <w:r w:rsidRPr="00441046">
              <w:rPr>
                <w:rFonts w:ascii="Calibri" w:hAnsi="Calibri"/>
                <w:b/>
                <w:bCs/>
                <w:color w:val="000000"/>
                <w:sz w:val="20"/>
                <w:szCs w:val="28"/>
                <w:lang w:val="sq-AL"/>
              </w:rPr>
              <w:t xml:space="preserve"> </w:t>
            </w:r>
          </w:p>
        </w:tc>
      </w:tr>
      <w:tr w:rsidR="00886A90" w:rsidRPr="00441046" w:rsidTr="00441046">
        <w:trPr>
          <w:trHeight w:val="64"/>
        </w:trPr>
        <w:tc>
          <w:tcPr>
            <w:tcW w:w="8280" w:type="dxa"/>
            <w:gridSpan w:val="5"/>
            <w:tcBorders>
              <w:top w:val="nil"/>
              <w:left w:val="single" w:sz="8" w:space="0" w:color="auto"/>
              <w:bottom w:val="single" w:sz="8" w:space="0" w:color="auto"/>
              <w:right w:val="single" w:sz="4" w:space="0" w:color="000000"/>
            </w:tcBorders>
            <w:shd w:val="clear" w:color="auto" w:fill="C6D9F1" w:themeFill="text2" w:themeFillTint="33"/>
            <w:noWrap/>
            <w:vAlign w:val="bottom"/>
            <w:hideMark/>
          </w:tcPr>
          <w:p w:rsidR="00886A90" w:rsidRPr="00441046" w:rsidRDefault="00886A90" w:rsidP="00886A90">
            <w:pPr>
              <w:jc w:val="center"/>
              <w:rPr>
                <w:rFonts w:ascii="Calibri" w:hAnsi="Calibri"/>
                <w:color w:val="000000"/>
                <w:sz w:val="20"/>
                <w:szCs w:val="22"/>
                <w:lang w:val="sq-AL"/>
              </w:rPr>
            </w:pPr>
            <w:r w:rsidRPr="00441046">
              <w:rPr>
                <w:rFonts w:ascii="Calibri" w:hAnsi="Calibri"/>
                <w:b/>
                <w:bCs/>
                <w:sz w:val="20"/>
                <w:lang w:val="sq-AL"/>
              </w:rPr>
              <w:t>Koeficienti i rishpërndarjes</w:t>
            </w:r>
          </w:p>
        </w:tc>
        <w:tc>
          <w:tcPr>
            <w:tcW w:w="1638" w:type="dxa"/>
            <w:tcBorders>
              <w:top w:val="nil"/>
              <w:left w:val="nil"/>
              <w:bottom w:val="single" w:sz="8" w:space="0" w:color="auto"/>
              <w:right w:val="single" w:sz="8" w:space="0" w:color="auto"/>
            </w:tcBorders>
            <w:shd w:val="clear" w:color="000000" w:fill="FFCC99"/>
            <w:vAlign w:val="center"/>
            <w:hideMark/>
          </w:tcPr>
          <w:p w:rsidR="00886A90" w:rsidRPr="00441046" w:rsidRDefault="00886A90" w:rsidP="00097516">
            <w:pPr>
              <w:ind w:firstLineChars="100" w:firstLine="201"/>
              <w:jc w:val="right"/>
              <w:rPr>
                <w:rFonts w:ascii="Calibri" w:hAnsi="Calibri"/>
                <w:b/>
                <w:bCs/>
                <w:color w:val="000000"/>
                <w:sz w:val="20"/>
                <w:szCs w:val="28"/>
                <w:lang w:val="sq-AL"/>
              </w:rPr>
            </w:pPr>
            <w:r w:rsidRPr="00441046">
              <w:rPr>
                <w:rFonts w:ascii="Calibri" w:hAnsi="Calibri"/>
                <w:b/>
                <w:bCs/>
                <w:color w:val="000000"/>
                <w:sz w:val="20"/>
                <w:szCs w:val="28"/>
                <w:lang w:val="sq-AL"/>
              </w:rPr>
              <w:t xml:space="preserve">                                    </w:t>
            </w:r>
            <w:r w:rsidR="00ED24B4" w:rsidRPr="00441046">
              <w:rPr>
                <w:rFonts w:ascii="Calibri" w:hAnsi="Calibri"/>
                <w:b/>
                <w:bCs/>
                <w:color w:val="000000"/>
                <w:sz w:val="20"/>
                <w:szCs w:val="28"/>
                <w:lang w:val="sq-AL"/>
              </w:rPr>
              <w:t>1.</w:t>
            </w:r>
            <w:r w:rsidR="00097516">
              <w:rPr>
                <w:rFonts w:ascii="Calibri" w:hAnsi="Calibri"/>
                <w:b/>
                <w:bCs/>
                <w:color w:val="000000"/>
                <w:sz w:val="20"/>
                <w:szCs w:val="28"/>
                <w:lang w:val="sq-AL"/>
              </w:rPr>
              <w:t>07</w:t>
            </w:r>
            <w:r w:rsidRPr="00441046">
              <w:rPr>
                <w:rFonts w:ascii="Calibri" w:hAnsi="Calibri"/>
                <w:b/>
                <w:bCs/>
                <w:color w:val="000000"/>
                <w:sz w:val="20"/>
                <w:szCs w:val="28"/>
                <w:lang w:val="sq-AL"/>
              </w:rPr>
              <w:t xml:space="preserve"> </w:t>
            </w:r>
          </w:p>
        </w:tc>
      </w:tr>
    </w:tbl>
    <w:p w:rsidR="00903244" w:rsidRPr="00930147" w:rsidRDefault="00903244" w:rsidP="00907372">
      <w:pPr>
        <w:jc w:val="both"/>
        <w:rPr>
          <w:rFonts w:ascii="Arial" w:hAnsi="Arial"/>
          <w:lang w:val="sq-AL"/>
        </w:rPr>
      </w:pPr>
    </w:p>
    <w:p w:rsidR="004F6036" w:rsidRPr="00930147" w:rsidRDefault="009F0219" w:rsidP="00C71AFD">
      <w:pPr>
        <w:pStyle w:val="ListParagraph"/>
        <w:numPr>
          <w:ilvl w:val="0"/>
          <w:numId w:val="27"/>
        </w:numPr>
        <w:rPr>
          <w:rFonts w:asciiTheme="minorHAnsi" w:hAnsiTheme="minorHAnsi"/>
          <w:b/>
          <w:bCs/>
          <w:color w:val="002060"/>
          <w:szCs w:val="20"/>
          <w:lang w:val="sq-AL"/>
        </w:rPr>
      </w:pPr>
      <w:r w:rsidRPr="00930147">
        <w:rPr>
          <w:rFonts w:ascii="Arial" w:hAnsi="Arial"/>
          <w:lang w:val="sq-AL"/>
        </w:rPr>
        <w:t xml:space="preserve"> </w:t>
      </w:r>
      <w:r w:rsidR="004F6036" w:rsidRPr="00930147">
        <w:rPr>
          <w:rFonts w:asciiTheme="minorHAnsi" w:hAnsiTheme="minorHAnsi"/>
          <w:b/>
          <w:bCs/>
          <w:color w:val="002060"/>
          <w:szCs w:val="20"/>
          <w:lang w:val="sq-AL"/>
        </w:rPr>
        <w:t xml:space="preserve">Shpërndarja e transfertës së pakushtëzuar për Qarqet. </w:t>
      </w:r>
    </w:p>
    <w:p w:rsidR="00330001" w:rsidRPr="00330001" w:rsidRDefault="00330001" w:rsidP="00D562A9">
      <w:pPr>
        <w:jc w:val="both"/>
        <w:rPr>
          <w:rFonts w:ascii="Arial" w:hAnsi="Arial"/>
          <w:lang w:val="sq-AL"/>
        </w:rPr>
      </w:pPr>
    </w:p>
    <w:p w:rsidR="00330001" w:rsidRDefault="00330001" w:rsidP="00D562A9">
      <w:pPr>
        <w:jc w:val="both"/>
        <w:rPr>
          <w:sz w:val="22"/>
          <w:szCs w:val="22"/>
          <w:lang w:val="sq-AL"/>
        </w:rPr>
      </w:pPr>
      <w:r w:rsidRPr="0078491E">
        <w:rPr>
          <w:sz w:val="22"/>
          <w:szCs w:val="22"/>
          <w:lang w:val="sq-AL"/>
        </w:rPr>
        <w:lastRenderedPageBreak/>
        <w:t>Reforma administrative-territoriale  nuk i konsolidoi qarqet. Këtyre të fundit nuk u është kaluar ndonjë funksion shtesë me reformën administrative territoriale. Përkundrazi, përgjegjësia për rrugët rajonale do të kaloje tek bashkitë e reja. Për rrjedhojë, Qarqeve do t’u alokohen 440 milionë lekë, sipas një shume fikse, të barabartë për secilin nga 12 Qarqet, sipas popullsisë rezidente dhe sipas dendësisë së popullsisë në çdo qark kundrejt mesatares kombëtare. Sipas kriterit të parë, 20% e totalit të transfertës së pakushtëzuar të qarqeve (ose 88 milion lek) do të shpërndahet si një shumë fikse prej rreth 7.3 milion lek për të 12 Qarqet.</w:t>
      </w:r>
    </w:p>
    <w:p w:rsidR="00097516" w:rsidRDefault="00097516" w:rsidP="00D562A9">
      <w:pPr>
        <w:jc w:val="both"/>
        <w:rPr>
          <w:sz w:val="22"/>
          <w:szCs w:val="22"/>
          <w:lang w:val="sq-AL"/>
        </w:rPr>
      </w:pPr>
    </w:p>
    <w:tbl>
      <w:tblPr>
        <w:tblW w:w="9900" w:type="dxa"/>
        <w:tblInd w:w="18" w:type="dxa"/>
        <w:tblLook w:val="04A0" w:firstRow="1" w:lastRow="0" w:firstColumn="1" w:lastColumn="0" w:noHBand="0" w:noVBand="1"/>
      </w:tblPr>
      <w:tblGrid>
        <w:gridCol w:w="7637"/>
        <w:gridCol w:w="271"/>
        <w:gridCol w:w="271"/>
        <w:gridCol w:w="271"/>
        <w:gridCol w:w="271"/>
        <w:gridCol w:w="1179"/>
      </w:tblGrid>
      <w:tr w:rsidR="004F6036" w:rsidRPr="00097516" w:rsidTr="00097516">
        <w:trPr>
          <w:trHeight w:val="282"/>
        </w:trPr>
        <w:tc>
          <w:tcPr>
            <w:tcW w:w="8179" w:type="dxa"/>
            <w:gridSpan w:val="3"/>
            <w:tcBorders>
              <w:top w:val="nil"/>
              <w:left w:val="single" w:sz="8" w:space="0" w:color="auto"/>
              <w:bottom w:val="nil"/>
              <w:right w:val="nil"/>
            </w:tcBorders>
            <w:shd w:val="clear" w:color="000000" w:fill="003366"/>
            <w:noWrap/>
            <w:vAlign w:val="bottom"/>
            <w:hideMark/>
          </w:tcPr>
          <w:p w:rsidR="004F6036" w:rsidRPr="00097516" w:rsidRDefault="004F6036" w:rsidP="00097516">
            <w:pPr>
              <w:ind w:firstLineChars="100" w:firstLine="201"/>
              <w:rPr>
                <w:rFonts w:ascii="Calibri" w:hAnsi="Calibri"/>
                <w:b/>
                <w:bCs/>
                <w:color w:val="FFFFFF"/>
                <w:sz w:val="20"/>
                <w:lang w:val="sq-AL"/>
              </w:rPr>
            </w:pPr>
            <w:r w:rsidRPr="00097516">
              <w:rPr>
                <w:rFonts w:ascii="Calibri" w:hAnsi="Calibri"/>
                <w:b/>
                <w:bCs/>
                <w:color w:val="FFFFFF"/>
                <w:sz w:val="20"/>
                <w:lang w:val="sq-AL"/>
              </w:rPr>
              <w:t>Përbërja e transfertës së pakushtëzuar për qarqet</w:t>
            </w:r>
          </w:p>
        </w:tc>
        <w:tc>
          <w:tcPr>
            <w:tcW w:w="1721" w:type="dxa"/>
            <w:gridSpan w:val="3"/>
            <w:tcBorders>
              <w:top w:val="nil"/>
              <w:left w:val="nil"/>
              <w:bottom w:val="nil"/>
              <w:right w:val="single" w:sz="8" w:space="0" w:color="auto"/>
            </w:tcBorders>
            <w:shd w:val="clear" w:color="000000" w:fill="003366"/>
            <w:noWrap/>
            <w:vAlign w:val="bottom"/>
            <w:hideMark/>
          </w:tcPr>
          <w:p w:rsidR="004F6036" w:rsidRPr="00097516" w:rsidRDefault="004F6036" w:rsidP="00F207E4">
            <w:pPr>
              <w:jc w:val="right"/>
              <w:rPr>
                <w:rFonts w:ascii="Calibri" w:hAnsi="Calibri"/>
                <w:b/>
                <w:bCs/>
                <w:color w:val="FFFFFF"/>
                <w:sz w:val="20"/>
                <w:lang w:val="sq-AL"/>
              </w:rPr>
            </w:pPr>
            <w:r w:rsidRPr="00097516">
              <w:rPr>
                <w:rFonts w:ascii="Calibri" w:hAnsi="Calibri"/>
                <w:b/>
                <w:bCs/>
                <w:color w:val="FFFFFF"/>
                <w:sz w:val="20"/>
                <w:lang w:val="sq-AL"/>
              </w:rPr>
              <w:t>4</w:t>
            </w:r>
            <w:r w:rsidR="00F207E4" w:rsidRPr="00097516">
              <w:rPr>
                <w:rFonts w:ascii="Calibri" w:hAnsi="Calibri"/>
                <w:b/>
                <w:bCs/>
                <w:color w:val="FFFFFF"/>
                <w:sz w:val="20"/>
                <w:lang w:val="sq-AL"/>
              </w:rPr>
              <w:t>4</w:t>
            </w:r>
            <w:r w:rsidRPr="00097516">
              <w:rPr>
                <w:rFonts w:ascii="Calibri" w:hAnsi="Calibri"/>
                <w:b/>
                <w:bCs/>
                <w:color w:val="FFFFFF"/>
                <w:sz w:val="20"/>
                <w:lang w:val="sq-AL"/>
              </w:rPr>
              <w:t>0.000.000</w:t>
            </w:r>
          </w:p>
        </w:tc>
      </w:tr>
      <w:tr w:rsidR="004F6036" w:rsidRPr="00097516" w:rsidTr="00097516">
        <w:trPr>
          <w:trHeight w:val="271"/>
        </w:trPr>
        <w:tc>
          <w:tcPr>
            <w:tcW w:w="8179" w:type="dxa"/>
            <w:gridSpan w:val="3"/>
            <w:tcBorders>
              <w:top w:val="single" w:sz="8" w:space="0" w:color="auto"/>
              <w:left w:val="single" w:sz="8" w:space="0" w:color="auto"/>
              <w:bottom w:val="nil"/>
              <w:right w:val="nil"/>
            </w:tcBorders>
            <w:shd w:val="clear" w:color="000000" w:fill="FFCC99"/>
            <w:vAlign w:val="center"/>
            <w:hideMark/>
          </w:tcPr>
          <w:p w:rsidR="004F6036" w:rsidRPr="00097516" w:rsidRDefault="004F6036" w:rsidP="00097516">
            <w:pPr>
              <w:ind w:firstLineChars="200" w:firstLine="402"/>
              <w:rPr>
                <w:rFonts w:ascii="Calibri" w:hAnsi="Calibri"/>
                <w:b/>
                <w:bCs/>
                <w:color w:val="993300"/>
                <w:sz w:val="20"/>
                <w:lang w:val="sq-AL"/>
              </w:rPr>
            </w:pPr>
            <w:r w:rsidRPr="00097516">
              <w:rPr>
                <w:rFonts w:ascii="Calibri" w:hAnsi="Calibri"/>
                <w:b/>
                <w:bCs/>
                <w:color w:val="993300"/>
                <w:sz w:val="20"/>
                <w:lang w:val="sq-AL"/>
              </w:rPr>
              <w:t xml:space="preserve">Komponenti I: </w:t>
            </w:r>
            <w:r w:rsidR="00D57BC3" w:rsidRPr="00097516">
              <w:rPr>
                <w:rFonts w:ascii="Calibri" w:hAnsi="Calibri"/>
                <w:b/>
                <w:bCs/>
                <w:color w:val="993300"/>
                <w:sz w:val="20"/>
                <w:lang w:val="sq-AL"/>
              </w:rPr>
              <w:t>Shuma</w:t>
            </w:r>
            <w:r w:rsidR="00D00795" w:rsidRPr="00097516">
              <w:rPr>
                <w:rFonts w:ascii="Calibri" w:hAnsi="Calibri"/>
                <w:b/>
                <w:bCs/>
                <w:color w:val="993300"/>
                <w:sz w:val="20"/>
                <w:lang w:val="sq-AL"/>
              </w:rPr>
              <w:t xml:space="preserve"> fikse </w:t>
            </w:r>
            <w:r w:rsidR="00D57BC3" w:rsidRPr="00097516">
              <w:rPr>
                <w:rFonts w:ascii="Calibri" w:hAnsi="Calibri"/>
                <w:b/>
                <w:bCs/>
                <w:color w:val="993300"/>
                <w:sz w:val="20"/>
                <w:lang w:val="sq-AL"/>
              </w:rPr>
              <w:t xml:space="preserve">për </w:t>
            </w:r>
            <w:r w:rsidRPr="00097516">
              <w:rPr>
                <w:rFonts w:ascii="Calibri" w:hAnsi="Calibri"/>
                <w:b/>
                <w:bCs/>
                <w:color w:val="993300"/>
                <w:sz w:val="20"/>
                <w:lang w:val="sq-AL"/>
              </w:rPr>
              <w:t>qarqe</w:t>
            </w:r>
            <w:r w:rsidR="00D57BC3" w:rsidRPr="00097516">
              <w:rPr>
                <w:rFonts w:ascii="Calibri" w:hAnsi="Calibri"/>
                <w:b/>
                <w:bCs/>
                <w:color w:val="993300"/>
                <w:sz w:val="20"/>
                <w:lang w:val="sq-AL"/>
              </w:rPr>
              <w:t>t</w:t>
            </w:r>
            <w:r w:rsidRPr="00097516">
              <w:rPr>
                <w:rFonts w:ascii="Calibri" w:hAnsi="Calibri"/>
                <w:b/>
                <w:bCs/>
                <w:color w:val="993300"/>
                <w:sz w:val="20"/>
                <w:lang w:val="sq-AL"/>
              </w:rPr>
              <w:t xml:space="preserve"> (n</w:t>
            </w:r>
            <w:r w:rsidR="00D02596" w:rsidRPr="00097516">
              <w:rPr>
                <w:rFonts w:ascii="Calibri" w:hAnsi="Calibri"/>
                <w:b/>
                <w:bCs/>
                <w:color w:val="993300"/>
                <w:sz w:val="20"/>
                <w:lang w:val="sq-AL"/>
              </w:rPr>
              <w:t>ë</w:t>
            </w:r>
            <w:r w:rsidRPr="00097516">
              <w:rPr>
                <w:rFonts w:ascii="Calibri" w:hAnsi="Calibri"/>
                <w:b/>
                <w:bCs/>
                <w:color w:val="993300"/>
                <w:sz w:val="20"/>
                <w:lang w:val="sq-AL"/>
              </w:rPr>
              <w:t xml:space="preserve"> p</w:t>
            </w:r>
            <w:r w:rsidR="00D02596" w:rsidRPr="00097516">
              <w:rPr>
                <w:rFonts w:ascii="Calibri" w:hAnsi="Calibri"/>
                <w:b/>
                <w:bCs/>
                <w:color w:val="993300"/>
                <w:sz w:val="20"/>
                <w:lang w:val="sq-AL"/>
              </w:rPr>
              <w:t>ë</w:t>
            </w:r>
            <w:r w:rsidRPr="00097516">
              <w:rPr>
                <w:rFonts w:ascii="Calibri" w:hAnsi="Calibri"/>
                <w:b/>
                <w:bCs/>
                <w:color w:val="993300"/>
                <w:sz w:val="20"/>
                <w:lang w:val="sq-AL"/>
              </w:rPr>
              <w:t>rqindje)</w:t>
            </w:r>
          </w:p>
        </w:tc>
        <w:tc>
          <w:tcPr>
            <w:tcW w:w="1721" w:type="dxa"/>
            <w:gridSpan w:val="3"/>
            <w:tcBorders>
              <w:top w:val="single" w:sz="8" w:space="0" w:color="auto"/>
              <w:left w:val="nil"/>
              <w:bottom w:val="nil"/>
              <w:right w:val="single" w:sz="8" w:space="0" w:color="auto"/>
            </w:tcBorders>
            <w:shd w:val="clear" w:color="000000" w:fill="0066CC"/>
            <w:noWrap/>
            <w:vAlign w:val="bottom"/>
            <w:hideMark/>
          </w:tcPr>
          <w:p w:rsidR="004F6036" w:rsidRPr="00097516" w:rsidRDefault="004F6036">
            <w:pPr>
              <w:jc w:val="right"/>
              <w:rPr>
                <w:rFonts w:ascii="Calibri" w:hAnsi="Calibri"/>
                <w:b/>
                <w:bCs/>
                <w:color w:val="FFFFFF"/>
                <w:sz w:val="20"/>
                <w:lang w:val="sq-AL"/>
              </w:rPr>
            </w:pPr>
            <w:r w:rsidRPr="00097516">
              <w:rPr>
                <w:rFonts w:ascii="Calibri" w:hAnsi="Calibri"/>
                <w:b/>
                <w:bCs/>
                <w:color w:val="FFFFFF"/>
                <w:sz w:val="20"/>
                <w:lang w:val="sq-AL"/>
              </w:rPr>
              <w:t>20%</w:t>
            </w:r>
          </w:p>
        </w:tc>
      </w:tr>
      <w:tr w:rsidR="004F6036" w:rsidRPr="00097516" w:rsidTr="00097516">
        <w:trPr>
          <w:trHeight w:val="249"/>
        </w:trPr>
        <w:tc>
          <w:tcPr>
            <w:tcW w:w="8179" w:type="dxa"/>
            <w:gridSpan w:val="3"/>
            <w:tcBorders>
              <w:top w:val="nil"/>
              <w:left w:val="single" w:sz="8" w:space="0" w:color="auto"/>
              <w:bottom w:val="nil"/>
              <w:right w:val="nil"/>
            </w:tcBorders>
            <w:shd w:val="clear" w:color="auto" w:fill="auto"/>
            <w:noWrap/>
            <w:vAlign w:val="bottom"/>
            <w:hideMark/>
          </w:tcPr>
          <w:p w:rsidR="004F6036" w:rsidRPr="00097516" w:rsidRDefault="004F6036" w:rsidP="00D00795">
            <w:pPr>
              <w:rPr>
                <w:rFonts w:ascii="Calibri" w:hAnsi="Calibri"/>
                <w:color w:val="000000"/>
                <w:sz w:val="20"/>
                <w:lang w:val="sq-AL"/>
              </w:rPr>
            </w:pPr>
            <w:r w:rsidRPr="00097516">
              <w:rPr>
                <w:rFonts w:ascii="Calibri" w:hAnsi="Calibri" w:cs="Calibri"/>
                <w:color w:val="000000"/>
                <w:sz w:val="20"/>
                <w:lang w:val="sq-AL"/>
              </w:rPr>
              <w:t>Transferta e pakusht</w:t>
            </w:r>
            <w:r w:rsidR="00D02596" w:rsidRPr="00097516">
              <w:rPr>
                <w:rFonts w:ascii="Calibri" w:hAnsi="Calibri" w:cs="Calibri"/>
                <w:color w:val="000000"/>
                <w:sz w:val="20"/>
                <w:lang w:val="sq-AL"/>
              </w:rPr>
              <w:t>ë</w:t>
            </w:r>
            <w:r w:rsidRPr="00097516">
              <w:rPr>
                <w:rFonts w:ascii="Calibri" w:hAnsi="Calibri" w:cs="Calibri"/>
                <w:color w:val="000000"/>
                <w:sz w:val="20"/>
                <w:lang w:val="sq-AL"/>
              </w:rPr>
              <w:t xml:space="preserve">zuar </w:t>
            </w:r>
            <w:r w:rsidR="00330001" w:rsidRPr="00097516">
              <w:rPr>
                <w:rFonts w:ascii="Calibri" w:hAnsi="Calibri" w:cs="Calibri"/>
                <w:color w:val="000000"/>
                <w:sz w:val="20"/>
                <w:lang w:val="sq-AL"/>
              </w:rPr>
              <w:t>për t’u ndarë sipas shumës fikse</w:t>
            </w:r>
          </w:p>
        </w:tc>
        <w:tc>
          <w:tcPr>
            <w:tcW w:w="271" w:type="dxa"/>
            <w:tcBorders>
              <w:top w:val="nil"/>
              <w:left w:val="nil"/>
              <w:bottom w:val="nil"/>
              <w:right w:val="nil"/>
            </w:tcBorders>
            <w:shd w:val="clear" w:color="auto" w:fill="auto"/>
            <w:noWrap/>
            <w:vAlign w:val="bottom"/>
            <w:hideMark/>
          </w:tcPr>
          <w:p w:rsidR="004F6036" w:rsidRPr="00097516" w:rsidRDefault="004F6036">
            <w:pPr>
              <w:rPr>
                <w:rFonts w:ascii="Calibri" w:hAnsi="Calibri"/>
                <w:color w:val="000000"/>
                <w:sz w:val="20"/>
                <w:lang w:val="sq-AL"/>
              </w:rPr>
            </w:pPr>
          </w:p>
        </w:tc>
        <w:tc>
          <w:tcPr>
            <w:tcW w:w="271" w:type="dxa"/>
            <w:tcBorders>
              <w:top w:val="nil"/>
              <w:left w:val="nil"/>
              <w:bottom w:val="nil"/>
              <w:right w:val="nil"/>
            </w:tcBorders>
            <w:shd w:val="clear" w:color="auto" w:fill="auto"/>
            <w:noWrap/>
            <w:vAlign w:val="bottom"/>
            <w:hideMark/>
          </w:tcPr>
          <w:p w:rsidR="004F6036" w:rsidRPr="00097516" w:rsidRDefault="004F6036">
            <w:pPr>
              <w:rPr>
                <w:rFonts w:ascii="Calibri" w:hAnsi="Calibri"/>
                <w:color w:val="000000"/>
                <w:sz w:val="20"/>
                <w:lang w:val="sq-AL"/>
              </w:rPr>
            </w:pPr>
          </w:p>
        </w:tc>
        <w:tc>
          <w:tcPr>
            <w:tcW w:w="1179" w:type="dxa"/>
            <w:tcBorders>
              <w:top w:val="nil"/>
              <w:left w:val="nil"/>
              <w:bottom w:val="nil"/>
              <w:right w:val="single" w:sz="8" w:space="0" w:color="auto"/>
            </w:tcBorders>
            <w:shd w:val="clear" w:color="auto" w:fill="auto"/>
            <w:noWrap/>
            <w:vAlign w:val="bottom"/>
            <w:hideMark/>
          </w:tcPr>
          <w:p w:rsidR="004F6036" w:rsidRPr="00097516" w:rsidRDefault="00F207E4" w:rsidP="00441046">
            <w:pPr>
              <w:ind w:left="-115"/>
              <w:jc w:val="right"/>
              <w:rPr>
                <w:rFonts w:ascii="Calibri" w:hAnsi="Calibri"/>
                <w:color w:val="000000"/>
                <w:sz w:val="20"/>
                <w:lang w:val="sq-AL"/>
              </w:rPr>
            </w:pPr>
            <w:r w:rsidRPr="00097516">
              <w:rPr>
                <w:rFonts w:ascii="Calibri" w:hAnsi="Calibri"/>
                <w:color w:val="000000"/>
                <w:sz w:val="20"/>
                <w:lang w:val="sq-AL"/>
              </w:rPr>
              <w:t>88</w:t>
            </w:r>
            <w:r w:rsidR="004F6036" w:rsidRPr="00097516">
              <w:rPr>
                <w:rFonts w:ascii="Calibri" w:hAnsi="Calibri"/>
                <w:color w:val="000000"/>
                <w:sz w:val="20"/>
                <w:lang w:val="sq-AL"/>
              </w:rPr>
              <w:t>.000.000</w:t>
            </w:r>
          </w:p>
        </w:tc>
      </w:tr>
      <w:tr w:rsidR="004F6036" w:rsidRPr="00097516" w:rsidTr="00097516">
        <w:trPr>
          <w:trHeight w:val="249"/>
        </w:trPr>
        <w:tc>
          <w:tcPr>
            <w:tcW w:w="7637" w:type="dxa"/>
            <w:tcBorders>
              <w:top w:val="nil"/>
              <w:left w:val="single" w:sz="8" w:space="0" w:color="auto"/>
              <w:bottom w:val="single" w:sz="4" w:space="0" w:color="auto"/>
              <w:right w:val="nil"/>
            </w:tcBorders>
            <w:shd w:val="clear" w:color="auto" w:fill="auto"/>
            <w:noWrap/>
            <w:vAlign w:val="bottom"/>
            <w:hideMark/>
          </w:tcPr>
          <w:p w:rsidR="004F6036" w:rsidRPr="00097516" w:rsidRDefault="00330001" w:rsidP="00D57BC3">
            <w:pPr>
              <w:rPr>
                <w:rFonts w:ascii="Calibri" w:hAnsi="Calibri"/>
                <w:color w:val="000000"/>
                <w:sz w:val="20"/>
                <w:lang w:val="sq-AL"/>
              </w:rPr>
            </w:pPr>
            <w:r w:rsidRPr="00097516">
              <w:rPr>
                <w:rFonts w:ascii="Calibri" w:hAnsi="Calibri" w:cs="Calibri"/>
                <w:color w:val="000000"/>
                <w:sz w:val="20"/>
                <w:lang w:val="sq-AL"/>
              </w:rPr>
              <w:t>Shuma fikse e transfertës së pakushtëzuar për çdo qark</w:t>
            </w:r>
          </w:p>
        </w:tc>
        <w:tc>
          <w:tcPr>
            <w:tcW w:w="271" w:type="dxa"/>
            <w:tcBorders>
              <w:top w:val="nil"/>
              <w:left w:val="nil"/>
              <w:bottom w:val="single" w:sz="4" w:space="0" w:color="auto"/>
              <w:right w:val="nil"/>
            </w:tcBorders>
            <w:shd w:val="clear" w:color="auto" w:fill="auto"/>
            <w:noWrap/>
            <w:vAlign w:val="bottom"/>
            <w:hideMark/>
          </w:tcPr>
          <w:p w:rsidR="004F6036" w:rsidRPr="00097516" w:rsidRDefault="004F6036">
            <w:pPr>
              <w:rPr>
                <w:rFonts w:ascii="Calibri" w:hAnsi="Calibri"/>
                <w:color w:val="000000"/>
                <w:sz w:val="20"/>
                <w:lang w:val="sq-AL"/>
              </w:rPr>
            </w:pPr>
            <w:r w:rsidRPr="00097516">
              <w:rPr>
                <w:rFonts w:ascii="Calibri" w:hAnsi="Calibri"/>
                <w:color w:val="000000"/>
                <w:sz w:val="20"/>
                <w:lang w:val="sq-AL"/>
              </w:rPr>
              <w:t> </w:t>
            </w:r>
          </w:p>
        </w:tc>
        <w:tc>
          <w:tcPr>
            <w:tcW w:w="271" w:type="dxa"/>
            <w:tcBorders>
              <w:top w:val="nil"/>
              <w:left w:val="nil"/>
              <w:bottom w:val="single" w:sz="4" w:space="0" w:color="auto"/>
              <w:right w:val="nil"/>
            </w:tcBorders>
            <w:shd w:val="clear" w:color="auto" w:fill="auto"/>
            <w:noWrap/>
            <w:vAlign w:val="bottom"/>
            <w:hideMark/>
          </w:tcPr>
          <w:p w:rsidR="004F6036" w:rsidRPr="00097516" w:rsidRDefault="004F6036">
            <w:pPr>
              <w:rPr>
                <w:rFonts w:ascii="Calibri" w:hAnsi="Calibri"/>
                <w:color w:val="000000"/>
                <w:sz w:val="20"/>
                <w:lang w:val="sq-AL"/>
              </w:rPr>
            </w:pPr>
            <w:r w:rsidRPr="00097516">
              <w:rPr>
                <w:rFonts w:ascii="Calibri" w:hAnsi="Calibri"/>
                <w:color w:val="000000"/>
                <w:sz w:val="20"/>
                <w:lang w:val="sq-AL"/>
              </w:rPr>
              <w:t> </w:t>
            </w:r>
          </w:p>
        </w:tc>
        <w:tc>
          <w:tcPr>
            <w:tcW w:w="271" w:type="dxa"/>
            <w:tcBorders>
              <w:top w:val="nil"/>
              <w:left w:val="nil"/>
              <w:bottom w:val="single" w:sz="4" w:space="0" w:color="auto"/>
              <w:right w:val="nil"/>
            </w:tcBorders>
            <w:shd w:val="clear" w:color="auto" w:fill="auto"/>
            <w:noWrap/>
            <w:vAlign w:val="bottom"/>
            <w:hideMark/>
          </w:tcPr>
          <w:p w:rsidR="004F6036" w:rsidRPr="00097516" w:rsidRDefault="004F6036">
            <w:pPr>
              <w:rPr>
                <w:rFonts w:ascii="Calibri" w:hAnsi="Calibri"/>
                <w:color w:val="000000"/>
                <w:sz w:val="20"/>
                <w:lang w:val="sq-AL"/>
              </w:rPr>
            </w:pPr>
            <w:r w:rsidRPr="00097516">
              <w:rPr>
                <w:rFonts w:ascii="Calibri" w:hAnsi="Calibri"/>
                <w:color w:val="000000"/>
                <w:sz w:val="20"/>
                <w:lang w:val="sq-AL"/>
              </w:rPr>
              <w:t> </w:t>
            </w:r>
          </w:p>
        </w:tc>
        <w:tc>
          <w:tcPr>
            <w:tcW w:w="271" w:type="dxa"/>
            <w:tcBorders>
              <w:top w:val="nil"/>
              <w:left w:val="nil"/>
              <w:bottom w:val="single" w:sz="4" w:space="0" w:color="auto"/>
              <w:right w:val="nil"/>
            </w:tcBorders>
            <w:shd w:val="clear" w:color="auto" w:fill="auto"/>
            <w:noWrap/>
            <w:vAlign w:val="bottom"/>
            <w:hideMark/>
          </w:tcPr>
          <w:p w:rsidR="004F6036" w:rsidRPr="00097516" w:rsidRDefault="004F6036">
            <w:pPr>
              <w:rPr>
                <w:rFonts w:ascii="Calibri" w:hAnsi="Calibri"/>
                <w:color w:val="000000"/>
                <w:sz w:val="20"/>
                <w:lang w:val="sq-AL"/>
              </w:rPr>
            </w:pPr>
            <w:r w:rsidRPr="00097516">
              <w:rPr>
                <w:rFonts w:ascii="Calibri" w:hAnsi="Calibri"/>
                <w:color w:val="000000"/>
                <w:sz w:val="20"/>
                <w:lang w:val="sq-AL"/>
              </w:rPr>
              <w:t> </w:t>
            </w:r>
          </w:p>
        </w:tc>
        <w:tc>
          <w:tcPr>
            <w:tcW w:w="1179" w:type="dxa"/>
            <w:tcBorders>
              <w:top w:val="nil"/>
              <w:left w:val="nil"/>
              <w:bottom w:val="single" w:sz="4" w:space="0" w:color="auto"/>
              <w:right w:val="single" w:sz="8" w:space="0" w:color="auto"/>
            </w:tcBorders>
            <w:shd w:val="clear" w:color="auto" w:fill="auto"/>
            <w:noWrap/>
            <w:vAlign w:val="bottom"/>
            <w:hideMark/>
          </w:tcPr>
          <w:p w:rsidR="004F6036" w:rsidRPr="00097516" w:rsidRDefault="004F6036" w:rsidP="00F207E4">
            <w:pPr>
              <w:jc w:val="right"/>
              <w:rPr>
                <w:rFonts w:ascii="Calibri" w:hAnsi="Calibri"/>
                <w:color w:val="000000"/>
                <w:sz w:val="20"/>
                <w:lang w:val="sq-AL"/>
              </w:rPr>
            </w:pPr>
            <w:r w:rsidRPr="00097516">
              <w:rPr>
                <w:rFonts w:ascii="Calibri" w:hAnsi="Calibri"/>
                <w:color w:val="000000"/>
                <w:sz w:val="20"/>
                <w:lang w:val="sq-AL"/>
              </w:rPr>
              <w:t>7.</w:t>
            </w:r>
            <w:r w:rsidR="00F207E4" w:rsidRPr="00097516">
              <w:rPr>
                <w:rFonts w:ascii="Calibri" w:hAnsi="Calibri"/>
                <w:color w:val="000000"/>
                <w:sz w:val="20"/>
                <w:lang w:val="sq-AL"/>
              </w:rPr>
              <w:t>333.333</w:t>
            </w:r>
          </w:p>
        </w:tc>
      </w:tr>
    </w:tbl>
    <w:p w:rsidR="00330001" w:rsidRDefault="00330001" w:rsidP="00330001">
      <w:pPr>
        <w:jc w:val="both"/>
        <w:rPr>
          <w:sz w:val="22"/>
          <w:lang w:val="sq-AL"/>
        </w:rPr>
      </w:pPr>
    </w:p>
    <w:p w:rsidR="00330001" w:rsidRPr="00330001" w:rsidRDefault="00330001" w:rsidP="00330001">
      <w:pPr>
        <w:jc w:val="both"/>
        <w:rPr>
          <w:sz w:val="22"/>
          <w:lang w:val="sq-AL"/>
        </w:rPr>
      </w:pPr>
      <w:r w:rsidRPr="00330001">
        <w:rPr>
          <w:sz w:val="22"/>
          <w:lang w:val="sq-AL"/>
        </w:rPr>
        <w:t xml:space="preserve">Sipas kriterit të dytë, 50% e transfertës së pakushtëzuar (ose 220 milion lek) do të ndahet përpjesëtimisht sipas popullsisë rezidente në çdo qark, kundrejt popullsisë totale. Të dhënat për popullsinë e qarqeve ndjekin të njëjtin rregullim të bërë për popullsinë e bashkive. </w:t>
      </w:r>
    </w:p>
    <w:p w:rsidR="00E747F6" w:rsidRPr="00330001" w:rsidRDefault="00E747F6" w:rsidP="00DD1551">
      <w:pPr>
        <w:jc w:val="both"/>
        <w:rPr>
          <w:rFonts w:ascii="Arial" w:hAnsi="Arial"/>
          <w:color w:val="FF0000"/>
          <w:lang w:val="sq-AL"/>
        </w:rPr>
      </w:pPr>
    </w:p>
    <w:tbl>
      <w:tblPr>
        <w:tblW w:w="9450" w:type="dxa"/>
        <w:tblInd w:w="18" w:type="dxa"/>
        <w:tblLook w:val="04A0" w:firstRow="1" w:lastRow="0" w:firstColumn="1" w:lastColumn="0" w:noHBand="0" w:noVBand="1"/>
      </w:tblPr>
      <w:tblGrid>
        <w:gridCol w:w="8287"/>
        <w:gridCol w:w="271"/>
        <w:gridCol w:w="271"/>
        <w:gridCol w:w="1432"/>
      </w:tblGrid>
      <w:tr w:rsidR="004F6036" w:rsidRPr="00330001" w:rsidTr="00441046">
        <w:trPr>
          <w:trHeight w:val="393"/>
        </w:trPr>
        <w:tc>
          <w:tcPr>
            <w:tcW w:w="8829" w:type="dxa"/>
            <w:gridSpan w:val="3"/>
            <w:tcBorders>
              <w:top w:val="single" w:sz="4" w:space="0" w:color="auto"/>
              <w:left w:val="single" w:sz="8" w:space="0" w:color="auto"/>
              <w:bottom w:val="nil"/>
              <w:right w:val="nil"/>
            </w:tcBorders>
            <w:shd w:val="clear" w:color="000000" w:fill="FFCC99"/>
            <w:vAlign w:val="center"/>
            <w:hideMark/>
          </w:tcPr>
          <w:p w:rsidR="004F6036" w:rsidRPr="00330001" w:rsidRDefault="000E75B2" w:rsidP="000E75B2">
            <w:pPr>
              <w:ind w:firstLineChars="200" w:firstLine="482"/>
              <w:rPr>
                <w:rFonts w:ascii="Calibri" w:hAnsi="Calibri"/>
                <w:b/>
                <w:bCs/>
                <w:color w:val="993300"/>
                <w:lang w:val="sq-AL"/>
              </w:rPr>
            </w:pPr>
            <w:r w:rsidRPr="00330001">
              <w:rPr>
                <w:rFonts w:ascii="Calibri" w:hAnsi="Calibri"/>
                <w:b/>
                <w:bCs/>
                <w:color w:val="993300"/>
                <w:lang w:val="sq-AL"/>
              </w:rPr>
              <w:t xml:space="preserve">Komponenti II: </w:t>
            </w:r>
            <w:r w:rsidR="004F6036" w:rsidRPr="00330001">
              <w:rPr>
                <w:rFonts w:ascii="Calibri" w:hAnsi="Calibri"/>
                <w:b/>
                <w:bCs/>
                <w:color w:val="993300"/>
                <w:lang w:val="sq-AL"/>
              </w:rPr>
              <w:t xml:space="preserve"> </w:t>
            </w:r>
            <w:r w:rsidR="00330001" w:rsidRPr="00330001">
              <w:rPr>
                <w:rFonts w:ascii="Calibri" w:hAnsi="Calibri"/>
                <w:b/>
                <w:bCs/>
                <w:color w:val="993300"/>
                <w:lang w:val="sq-AL"/>
              </w:rPr>
              <w:t>Ndarja</w:t>
            </w:r>
            <w:r w:rsidRPr="00330001">
              <w:rPr>
                <w:rFonts w:ascii="Calibri" w:hAnsi="Calibri"/>
                <w:b/>
                <w:bCs/>
                <w:color w:val="993300"/>
                <w:lang w:val="sq-AL"/>
              </w:rPr>
              <w:t xml:space="preserve"> sipas banor</w:t>
            </w:r>
            <w:r w:rsidR="00D02596" w:rsidRPr="00330001">
              <w:rPr>
                <w:rFonts w:ascii="Calibri" w:hAnsi="Calibri"/>
                <w:b/>
                <w:bCs/>
                <w:color w:val="993300"/>
                <w:lang w:val="sq-AL"/>
              </w:rPr>
              <w:t>ë</w:t>
            </w:r>
            <w:r w:rsidRPr="00330001">
              <w:rPr>
                <w:rFonts w:ascii="Calibri" w:hAnsi="Calibri"/>
                <w:b/>
                <w:bCs/>
                <w:color w:val="993300"/>
                <w:lang w:val="sq-AL"/>
              </w:rPr>
              <w:t>ve rezident</w:t>
            </w:r>
            <w:r w:rsidR="00D02596" w:rsidRPr="00330001">
              <w:rPr>
                <w:rFonts w:ascii="Calibri" w:hAnsi="Calibri"/>
                <w:b/>
                <w:bCs/>
                <w:color w:val="993300"/>
                <w:lang w:val="sq-AL"/>
              </w:rPr>
              <w:t>ë</w:t>
            </w:r>
            <w:r w:rsidRPr="00330001">
              <w:rPr>
                <w:rFonts w:ascii="Calibri" w:hAnsi="Calibri"/>
                <w:b/>
                <w:bCs/>
                <w:color w:val="993300"/>
                <w:lang w:val="sq-AL"/>
              </w:rPr>
              <w:t xml:space="preserve">  efektiv</w:t>
            </w:r>
            <w:r w:rsidR="00D02596" w:rsidRPr="00330001">
              <w:rPr>
                <w:rFonts w:ascii="Calibri" w:hAnsi="Calibri"/>
                <w:b/>
                <w:bCs/>
                <w:color w:val="993300"/>
                <w:lang w:val="sq-AL"/>
              </w:rPr>
              <w:t>ë</w:t>
            </w:r>
            <w:r w:rsidRPr="00330001">
              <w:rPr>
                <w:rFonts w:ascii="Calibri" w:hAnsi="Calibri"/>
                <w:b/>
                <w:bCs/>
                <w:color w:val="993300"/>
                <w:lang w:val="sq-AL"/>
              </w:rPr>
              <w:t xml:space="preserve"> (n</w:t>
            </w:r>
            <w:r w:rsidR="00D02596" w:rsidRPr="00330001">
              <w:rPr>
                <w:rFonts w:ascii="Calibri" w:hAnsi="Calibri"/>
                <w:b/>
                <w:bCs/>
                <w:color w:val="993300"/>
                <w:lang w:val="sq-AL"/>
              </w:rPr>
              <w:t>ë</w:t>
            </w:r>
            <w:r w:rsidRPr="00330001">
              <w:rPr>
                <w:rFonts w:ascii="Calibri" w:hAnsi="Calibri"/>
                <w:b/>
                <w:bCs/>
                <w:color w:val="993300"/>
                <w:lang w:val="sq-AL"/>
              </w:rPr>
              <w:t xml:space="preserve"> p</w:t>
            </w:r>
            <w:r w:rsidR="00D02596" w:rsidRPr="00330001">
              <w:rPr>
                <w:rFonts w:ascii="Calibri" w:hAnsi="Calibri"/>
                <w:b/>
                <w:bCs/>
                <w:color w:val="993300"/>
                <w:lang w:val="sq-AL"/>
              </w:rPr>
              <w:t>ë</w:t>
            </w:r>
            <w:r w:rsidRPr="00330001">
              <w:rPr>
                <w:rFonts w:ascii="Calibri" w:hAnsi="Calibri"/>
                <w:b/>
                <w:bCs/>
                <w:color w:val="993300"/>
                <w:lang w:val="sq-AL"/>
              </w:rPr>
              <w:t>rqindje)</w:t>
            </w:r>
            <w:r w:rsidR="004F6036" w:rsidRPr="00330001">
              <w:rPr>
                <w:rFonts w:ascii="Calibri" w:hAnsi="Calibri"/>
                <w:b/>
                <w:bCs/>
                <w:color w:val="993300"/>
                <w:lang w:val="sq-AL"/>
              </w:rPr>
              <w:t xml:space="preserve"> </w:t>
            </w:r>
          </w:p>
        </w:tc>
        <w:tc>
          <w:tcPr>
            <w:tcW w:w="621" w:type="dxa"/>
            <w:tcBorders>
              <w:top w:val="single" w:sz="4" w:space="0" w:color="auto"/>
              <w:left w:val="nil"/>
              <w:bottom w:val="nil"/>
              <w:right w:val="single" w:sz="8" w:space="0" w:color="auto"/>
            </w:tcBorders>
            <w:shd w:val="clear" w:color="000000" w:fill="0066CC"/>
            <w:noWrap/>
            <w:vAlign w:val="bottom"/>
            <w:hideMark/>
          </w:tcPr>
          <w:p w:rsidR="004F6036" w:rsidRPr="00330001" w:rsidRDefault="004F6036">
            <w:pPr>
              <w:jc w:val="right"/>
              <w:rPr>
                <w:rFonts w:ascii="Calibri" w:hAnsi="Calibri"/>
                <w:b/>
                <w:bCs/>
                <w:color w:val="FFFFFF"/>
                <w:lang w:val="sq-AL"/>
              </w:rPr>
            </w:pPr>
            <w:r w:rsidRPr="00330001">
              <w:rPr>
                <w:rFonts w:ascii="Calibri" w:hAnsi="Calibri"/>
                <w:b/>
                <w:bCs/>
                <w:color w:val="FFFFFF"/>
                <w:lang w:val="sq-AL"/>
              </w:rPr>
              <w:t>50%</w:t>
            </w:r>
          </w:p>
        </w:tc>
      </w:tr>
      <w:tr w:rsidR="004F6036" w:rsidRPr="00330001" w:rsidTr="00441046">
        <w:trPr>
          <w:trHeight w:val="361"/>
        </w:trPr>
        <w:tc>
          <w:tcPr>
            <w:tcW w:w="8287" w:type="dxa"/>
            <w:tcBorders>
              <w:top w:val="nil"/>
              <w:left w:val="single" w:sz="8" w:space="0" w:color="auto"/>
              <w:bottom w:val="nil"/>
              <w:right w:val="nil"/>
            </w:tcBorders>
            <w:shd w:val="clear" w:color="auto" w:fill="auto"/>
            <w:noWrap/>
            <w:vAlign w:val="bottom"/>
            <w:hideMark/>
          </w:tcPr>
          <w:p w:rsidR="004F6036" w:rsidRPr="00330001" w:rsidRDefault="004F6036" w:rsidP="004F6036">
            <w:pPr>
              <w:rPr>
                <w:rFonts w:ascii="Calibri" w:hAnsi="Calibri"/>
                <w:color w:val="000000"/>
                <w:lang w:val="sq-AL"/>
              </w:rPr>
            </w:pPr>
            <w:r w:rsidRPr="00330001">
              <w:rPr>
                <w:rFonts w:ascii="Calibri" w:hAnsi="Calibri" w:cs="Calibri"/>
                <w:color w:val="000000"/>
                <w:lang w:val="sq-AL"/>
              </w:rPr>
              <w:t>Transferta e pakushtëzuar që shpërndahet sipas numrit të banorëve rezidentë efektivë</w:t>
            </w:r>
          </w:p>
        </w:tc>
        <w:tc>
          <w:tcPr>
            <w:tcW w:w="271" w:type="dxa"/>
            <w:tcBorders>
              <w:top w:val="nil"/>
              <w:left w:val="nil"/>
              <w:bottom w:val="nil"/>
              <w:right w:val="nil"/>
            </w:tcBorders>
            <w:shd w:val="clear" w:color="auto" w:fill="auto"/>
            <w:noWrap/>
            <w:vAlign w:val="bottom"/>
            <w:hideMark/>
          </w:tcPr>
          <w:p w:rsidR="004F6036" w:rsidRPr="00330001" w:rsidRDefault="004F6036">
            <w:pPr>
              <w:rPr>
                <w:rFonts w:ascii="Calibri" w:hAnsi="Calibri"/>
                <w:color w:val="000000"/>
                <w:lang w:val="sq-AL"/>
              </w:rPr>
            </w:pPr>
          </w:p>
        </w:tc>
        <w:tc>
          <w:tcPr>
            <w:tcW w:w="271" w:type="dxa"/>
            <w:tcBorders>
              <w:top w:val="nil"/>
              <w:left w:val="nil"/>
              <w:bottom w:val="nil"/>
              <w:right w:val="nil"/>
            </w:tcBorders>
            <w:shd w:val="clear" w:color="auto" w:fill="auto"/>
            <w:noWrap/>
            <w:vAlign w:val="bottom"/>
            <w:hideMark/>
          </w:tcPr>
          <w:p w:rsidR="004F6036" w:rsidRPr="00330001" w:rsidRDefault="004F6036">
            <w:pPr>
              <w:rPr>
                <w:rFonts w:ascii="Calibri" w:hAnsi="Calibri"/>
                <w:color w:val="000000"/>
                <w:lang w:val="sq-AL"/>
              </w:rPr>
            </w:pPr>
          </w:p>
        </w:tc>
        <w:tc>
          <w:tcPr>
            <w:tcW w:w="621" w:type="dxa"/>
            <w:tcBorders>
              <w:top w:val="nil"/>
              <w:left w:val="nil"/>
              <w:bottom w:val="nil"/>
              <w:right w:val="single" w:sz="8" w:space="0" w:color="auto"/>
            </w:tcBorders>
            <w:shd w:val="clear" w:color="auto" w:fill="auto"/>
            <w:noWrap/>
            <w:vAlign w:val="bottom"/>
            <w:hideMark/>
          </w:tcPr>
          <w:p w:rsidR="004F6036" w:rsidRPr="00330001" w:rsidRDefault="004F6036" w:rsidP="00F207E4">
            <w:pPr>
              <w:jc w:val="right"/>
              <w:rPr>
                <w:rFonts w:ascii="Calibri" w:hAnsi="Calibri"/>
                <w:color w:val="000000"/>
                <w:lang w:val="sq-AL"/>
              </w:rPr>
            </w:pPr>
            <w:r w:rsidRPr="00330001">
              <w:rPr>
                <w:rFonts w:ascii="Calibri" w:hAnsi="Calibri"/>
                <w:color w:val="000000"/>
                <w:lang w:val="sq-AL"/>
              </w:rPr>
              <w:t>2</w:t>
            </w:r>
            <w:r w:rsidR="00F207E4" w:rsidRPr="00330001">
              <w:rPr>
                <w:rFonts w:ascii="Calibri" w:hAnsi="Calibri"/>
                <w:color w:val="000000"/>
                <w:lang w:val="sq-AL"/>
              </w:rPr>
              <w:t>2</w:t>
            </w:r>
            <w:r w:rsidRPr="00330001">
              <w:rPr>
                <w:rFonts w:ascii="Calibri" w:hAnsi="Calibri"/>
                <w:color w:val="000000"/>
                <w:lang w:val="sq-AL"/>
              </w:rPr>
              <w:t>0.000.000</w:t>
            </w:r>
          </w:p>
        </w:tc>
      </w:tr>
      <w:tr w:rsidR="004F6036" w:rsidRPr="00330001" w:rsidTr="00441046">
        <w:trPr>
          <w:trHeight w:val="193"/>
        </w:trPr>
        <w:tc>
          <w:tcPr>
            <w:tcW w:w="8287" w:type="dxa"/>
            <w:tcBorders>
              <w:top w:val="nil"/>
              <w:left w:val="single" w:sz="8" w:space="0" w:color="auto"/>
              <w:bottom w:val="single" w:sz="4" w:space="0" w:color="auto"/>
              <w:right w:val="nil"/>
            </w:tcBorders>
            <w:shd w:val="clear" w:color="auto" w:fill="auto"/>
            <w:noWrap/>
            <w:vAlign w:val="bottom"/>
            <w:hideMark/>
          </w:tcPr>
          <w:p w:rsidR="004F6036" w:rsidRPr="00330001" w:rsidRDefault="004F6036" w:rsidP="000E75B2">
            <w:pPr>
              <w:rPr>
                <w:rFonts w:ascii="Calibri" w:hAnsi="Calibri"/>
                <w:color w:val="000000"/>
                <w:lang w:val="sq-AL"/>
              </w:rPr>
            </w:pPr>
            <w:r w:rsidRPr="00330001">
              <w:rPr>
                <w:rFonts w:ascii="Calibri" w:hAnsi="Calibri" w:cs="Calibri"/>
                <w:color w:val="000000"/>
                <w:lang w:val="sq-AL"/>
              </w:rPr>
              <w:t>Transferta e pakushtëzuar për frymë</w:t>
            </w:r>
            <w:r w:rsidR="00D57BC3" w:rsidRPr="00330001">
              <w:rPr>
                <w:rFonts w:ascii="Calibri" w:hAnsi="Calibri" w:cs="Calibri"/>
                <w:color w:val="000000"/>
                <w:lang w:val="sq-AL"/>
              </w:rPr>
              <w:t xml:space="preserve"> (Banorë rezidentë efektivë)</w:t>
            </w:r>
          </w:p>
        </w:tc>
        <w:tc>
          <w:tcPr>
            <w:tcW w:w="271" w:type="dxa"/>
            <w:tcBorders>
              <w:top w:val="nil"/>
              <w:left w:val="nil"/>
              <w:bottom w:val="single" w:sz="4" w:space="0" w:color="auto"/>
              <w:right w:val="nil"/>
            </w:tcBorders>
            <w:shd w:val="clear" w:color="auto" w:fill="auto"/>
            <w:noWrap/>
            <w:vAlign w:val="bottom"/>
            <w:hideMark/>
          </w:tcPr>
          <w:p w:rsidR="004F6036" w:rsidRPr="00330001" w:rsidRDefault="004F6036">
            <w:pPr>
              <w:rPr>
                <w:rFonts w:ascii="Calibri" w:hAnsi="Calibri"/>
                <w:color w:val="000000"/>
                <w:lang w:val="sq-AL"/>
              </w:rPr>
            </w:pPr>
            <w:r w:rsidRPr="00330001">
              <w:rPr>
                <w:rFonts w:ascii="Calibri" w:hAnsi="Calibri"/>
                <w:color w:val="000000"/>
                <w:lang w:val="sq-AL"/>
              </w:rPr>
              <w:t> </w:t>
            </w:r>
          </w:p>
        </w:tc>
        <w:tc>
          <w:tcPr>
            <w:tcW w:w="271" w:type="dxa"/>
            <w:tcBorders>
              <w:top w:val="nil"/>
              <w:left w:val="nil"/>
              <w:bottom w:val="single" w:sz="4" w:space="0" w:color="auto"/>
              <w:right w:val="nil"/>
            </w:tcBorders>
            <w:shd w:val="clear" w:color="auto" w:fill="auto"/>
            <w:noWrap/>
            <w:vAlign w:val="bottom"/>
            <w:hideMark/>
          </w:tcPr>
          <w:p w:rsidR="004F6036" w:rsidRPr="00330001" w:rsidRDefault="004F6036">
            <w:pPr>
              <w:rPr>
                <w:rFonts w:ascii="Calibri" w:hAnsi="Calibri"/>
                <w:color w:val="000000"/>
                <w:lang w:val="sq-AL"/>
              </w:rPr>
            </w:pPr>
            <w:r w:rsidRPr="00330001">
              <w:rPr>
                <w:rFonts w:ascii="Calibri" w:hAnsi="Calibri"/>
                <w:color w:val="000000"/>
                <w:lang w:val="sq-AL"/>
              </w:rPr>
              <w:t> </w:t>
            </w:r>
          </w:p>
        </w:tc>
        <w:tc>
          <w:tcPr>
            <w:tcW w:w="621" w:type="dxa"/>
            <w:tcBorders>
              <w:top w:val="nil"/>
              <w:left w:val="nil"/>
              <w:bottom w:val="single" w:sz="4" w:space="0" w:color="auto"/>
              <w:right w:val="single" w:sz="8" w:space="0" w:color="auto"/>
            </w:tcBorders>
            <w:shd w:val="clear" w:color="auto" w:fill="auto"/>
            <w:noWrap/>
            <w:vAlign w:val="bottom"/>
            <w:hideMark/>
          </w:tcPr>
          <w:p w:rsidR="004F6036" w:rsidRPr="00330001" w:rsidRDefault="00F207E4">
            <w:pPr>
              <w:jc w:val="right"/>
              <w:rPr>
                <w:rFonts w:ascii="Calibri" w:hAnsi="Calibri"/>
                <w:color w:val="000000"/>
                <w:lang w:val="sq-AL"/>
              </w:rPr>
            </w:pPr>
            <w:r w:rsidRPr="00330001">
              <w:rPr>
                <w:rFonts w:ascii="Calibri" w:hAnsi="Calibri"/>
                <w:color w:val="000000"/>
                <w:lang w:val="sq-AL"/>
              </w:rPr>
              <w:t>66</w:t>
            </w:r>
          </w:p>
        </w:tc>
      </w:tr>
    </w:tbl>
    <w:p w:rsidR="00D02596" w:rsidRPr="0078491E" w:rsidRDefault="00D02596" w:rsidP="00DD1551">
      <w:pPr>
        <w:jc w:val="both"/>
        <w:rPr>
          <w:rFonts w:ascii="Arial" w:hAnsi="Arial"/>
          <w:color w:val="FF0000"/>
          <w:sz w:val="22"/>
          <w:szCs w:val="22"/>
          <w:lang w:val="sq-AL"/>
        </w:rPr>
      </w:pPr>
    </w:p>
    <w:p w:rsidR="00330001" w:rsidRPr="0078491E" w:rsidRDefault="00330001" w:rsidP="00330001">
      <w:pPr>
        <w:jc w:val="both"/>
        <w:rPr>
          <w:sz w:val="22"/>
          <w:szCs w:val="22"/>
          <w:lang w:val="sq-AL"/>
        </w:rPr>
      </w:pPr>
      <w:r w:rsidRPr="0078491E">
        <w:rPr>
          <w:sz w:val="22"/>
          <w:szCs w:val="22"/>
          <w:lang w:val="sq-AL"/>
        </w:rPr>
        <w:t xml:space="preserve">Sipas kriterit të tretë, 30% e transfertës së pakushtëzuar (ose 132 milion lek) do të ndahen mbi bazën e dendësisë së popullsisë në çdo qark, kundrejt dendësisë mesatare kombëtare. </w:t>
      </w:r>
    </w:p>
    <w:p w:rsidR="00330001" w:rsidRPr="00330001" w:rsidRDefault="00330001" w:rsidP="00DD1551">
      <w:pPr>
        <w:jc w:val="both"/>
        <w:rPr>
          <w:rFonts w:ascii="Arial" w:hAnsi="Arial"/>
          <w:color w:val="FF0000"/>
          <w:lang w:val="sq-AL"/>
        </w:rPr>
      </w:pPr>
    </w:p>
    <w:tbl>
      <w:tblPr>
        <w:tblW w:w="4990" w:type="pct"/>
        <w:tblInd w:w="18" w:type="dxa"/>
        <w:tblLook w:val="04A0" w:firstRow="1" w:lastRow="0" w:firstColumn="1" w:lastColumn="0" w:noHBand="0" w:noVBand="1"/>
      </w:tblPr>
      <w:tblGrid>
        <w:gridCol w:w="1558"/>
        <w:gridCol w:w="1148"/>
        <w:gridCol w:w="1312"/>
        <w:gridCol w:w="1158"/>
        <w:gridCol w:w="1135"/>
        <w:gridCol w:w="1118"/>
        <w:gridCol w:w="1316"/>
        <w:gridCol w:w="1940"/>
      </w:tblGrid>
      <w:tr w:rsidR="00330001" w:rsidRPr="00330001" w:rsidTr="00441046">
        <w:trPr>
          <w:trHeight w:val="367"/>
        </w:trPr>
        <w:tc>
          <w:tcPr>
            <w:tcW w:w="4092" w:type="pct"/>
            <w:gridSpan w:val="7"/>
            <w:tcBorders>
              <w:top w:val="single" w:sz="4" w:space="0" w:color="auto"/>
              <w:left w:val="single" w:sz="8" w:space="0" w:color="auto"/>
              <w:bottom w:val="nil"/>
              <w:right w:val="nil"/>
            </w:tcBorders>
            <w:shd w:val="clear" w:color="000000" w:fill="FFCC99"/>
            <w:vAlign w:val="center"/>
            <w:hideMark/>
          </w:tcPr>
          <w:p w:rsidR="00330001" w:rsidRPr="00330001" w:rsidRDefault="00330001" w:rsidP="006577FE">
            <w:pPr>
              <w:rPr>
                <w:rFonts w:ascii="Calibri" w:hAnsi="Calibri"/>
                <w:b/>
                <w:bCs/>
                <w:color w:val="993300"/>
                <w:lang w:val="sq-AL"/>
              </w:rPr>
            </w:pPr>
            <w:r w:rsidRPr="00330001">
              <w:rPr>
                <w:rFonts w:ascii="Calibri" w:hAnsi="Calibri"/>
                <w:b/>
                <w:bCs/>
                <w:color w:val="993300"/>
                <w:lang w:val="sq-AL"/>
              </w:rPr>
              <w:t>Komponenti III: ndarja sipas dendësisë së popullsisë (në përqindje)</w:t>
            </w:r>
          </w:p>
        </w:tc>
        <w:tc>
          <w:tcPr>
            <w:tcW w:w="908" w:type="pct"/>
            <w:tcBorders>
              <w:top w:val="single" w:sz="4" w:space="0" w:color="auto"/>
              <w:left w:val="nil"/>
              <w:bottom w:val="nil"/>
              <w:right w:val="single" w:sz="8" w:space="0" w:color="auto"/>
            </w:tcBorders>
            <w:shd w:val="clear" w:color="000000" w:fill="0066CC"/>
            <w:noWrap/>
            <w:vAlign w:val="bottom"/>
            <w:hideMark/>
          </w:tcPr>
          <w:p w:rsidR="00330001" w:rsidRPr="00330001" w:rsidRDefault="00330001" w:rsidP="006577FE">
            <w:pPr>
              <w:jc w:val="right"/>
              <w:rPr>
                <w:rFonts w:ascii="Calibri" w:hAnsi="Calibri"/>
                <w:b/>
                <w:bCs/>
                <w:color w:val="FFFFFF" w:themeColor="background1"/>
                <w:lang w:val="sq-AL"/>
              </w:rPr>
            </w:pPr>
            <w:r w:rsidRPr="00330001">
              <w:rPr>
                <w:rFonts w:ascii="Calibri" w:hAnsi="Calibri"/>
                <w:b/>
                <w:bCs/>
                <w:color w:val="FFFFFF" w:themeColor="background1"/>
                <w:lang w:val="sq-AL"/>
              </w:rPr>
              <w:t>30%</w:t>
            </w:r>
          </w:p>
        </w:tc>
      </w:tr>
      <w:tr w:rsidR="00330001" w:rsidRPr="00330001" w:rsidTr="00441046">
        <w:trPr>
          <w:trHeight w:val="80"/>
        </w:trPr>
        <w:tc>
          <w:tcPr>
            <w:tcW w:w="4092" w:type="pct"/>
            <w:gridSpan w:val="7"/>
            <w:tcBorders>
              <w:top w:val="nil"/>
              <w:left w:val="single" w:sz="8" w:space="0" w:color="auto"/>
              <w:bottom w:val="nil"/>
              <w:right w:val="nil"/>
            </w:tcBorders>
            <w:shd w:val="clear" w:color="auto" w:fill="auto"/>
            <w:noWrap/>
            <w:vAlign w:val="bottom"/>
            <w:hideMark/>
          </w:tcPr>
          <w:p w:rsidR="00330001" w:rsidRPr="00330001" w:rsidRDefault="00330001" w:rsidP="006577FE">
            <w:pPr>
              <w:rPr>
                <w:rFonts w:ascii="Calibri" w:hAnsi="Calibri"/>
                <w:color w:val="000000"/>
                <w:sz w:val="22"/>
                <w:szCs w:val="22"/>
                <w:lang w:val="sq-AL"/>
              </w:rPr>
            </w:pPr>
            <w:r w:rsidRPr="00330001">
              <w:rPr>
                <w:rFonts w:ascii="Calibri" w:hAnsi="Calibri" w:cs="Calibri"/>
                <w:color w:val="000000"/>
                <w:lang w:val="sq-AL"/>
              </w:rPr>
              <w:t>Transferta e pakushtëzuar që shpërndahet sipas dendësisë së popullsisë</w:t>
            </w:r>
          </w:p>
        </w:tc>
        <w:tc>
          <w:tcPr>
            <w:tcW w:w="908" w:type="pct"/>
            <w:tcBorders>
              <w:top w:val="nil"/>
              <w:left w:val="nil"/>
              <w:bottom w:val="nil"/>
              <w:right w:val="single" w:sz="8" w:space="0" w:color="auto"/>
            </w:tcBorders>
            <w:shd w:val="clear" w:color="auto" w:fill="auto"/>
            <w:noWrap/>
            <w:vAlign w:val="bottom"/>
            <w:hideMark/>
          </w:tcPr>
          <w:p w:rsidR="00330001" w:rsidRPr="00330001" w:rsidRDefault="00330001" w:rsidP="006577FE">
            <w:pPr>
              <w:jc w:val="right"/>
              <w:rPr>
                <w:rFonts w:ascii="Calibri" w:hAnsi="Calibri"/>
                <w:color w:val="000000"/>
                <w:sz w:val="22"/>
                <w:szCs w:val="22"/>
                <w:lang w:val="sq-AL"/>
              </w:rPr>
            </w:pPr>
            <w:r w:rsidRPr="00330001">
              <w:rPr>
                <w:rFonts w:ascii="Calibri" w:hAnsi="Calibri"/>
                <w:color w:val="000000"/>
                <w:sz w:val="22"/>
                <w:szCs w:val="22"/>
                <w:lang w:val="sq-AL"/>
              </w:rPr>
              <w:t>132.000.000</w:t>
            </w:r>
          </w:p>
        </w:tc>
      </w:tr>
      <w:tr w:rsidR="00330001" w:rsidRPr="00330001" w:rsidTr="00441046">
        <w:trPr>
          <w:trHeight w:val="80"/>
        </w:trPr>
        <w:tc>
          <w:tcPr>
            <w:tcW w:w="4092" w:type="pct"/>
            <w:gridSpan w:val="7"/>
            <w:tcBorders>
              <w:top w:val="nil"/>
              <w:left w:val="single" w:sz="8" w:space="0" w:color="auto"/>
              <w:bottom w:val="single" w:sz="4" w:space="0" w:color="auto"/>
              <w:right w:val="nil"/>
            </w:tcBorders>
            <w:shd w:val="clear" w:color="auto" w:fill="auto"/>
            <w:noWrap/>
            <w:vAlign w:val="bottom"/>
            <w:hideMark/>
          </w:tcPr>
          <w:p w:rsidR="00330001" w:rsidRPr="00330001" w:rsidRDefault="00330001" w:rsidP="006577FE">
            <w:pPr>
              <w:rPr>
                <w:rFonts w:ascii="Calibri" w:hAnsi="Calibri" w:cs="Calibri"/>
                <w:color w:val="000000"/>
                <w:lang w:val="sq-AL"/>
              </w:rPr>
            </w:pPr>
            <w:r w:rsidRPr="00330001">
              <w:rPr>
                <w:rFonts w:ascii="Calibri" w:hAnsi="Calibri" w:cs="Calibri"/>
                <w:color w:val="000000"/>
                <w:lang w:val="sq-AL"/>
              </w:rPr>
              <w:t>Mesatarja kombëtare e dendësisë së popullsisë</w:t>
            </w:r>
          </w:p>
        </w:tc>
        <w:tc>
          <w:tcPr>
            <w:tcW w:w="908" w:type="pct"/>
            <w:tcBorders>
              <w:top w:val="nil"/>
              <w:left w:val="nil"/>
              <w:bottom w:val="single" w:sz="4" w:space="0" w:color="auto"/>
              <w:right w:val="single" w:sz="8" w:space="0" w:color="auto"/>
            </w:tcBorders>
            <w:shd w:val="clear" w:color="auto" w:fill="auto"/>
            <w:noWrap/>
            <w:vAlign w:val="bottom"/>
            <w:hideMark/>
          </w:tcPr>
          <w:p w:rsidR="00330001" w:rsidRPr="00330001" w:rsidRDefault="00330001" w:rsidP="006577FE">
            <w:pPr>
              <w:jc w:val="right"/>
              <w:rPr>
                <w:rFonts w:ascii="Calibri" w:hAnsi="Calibri" w:cs="Calibri"/>
                <w:color w:val="000000"/>
                <w:lang w:val="sq-AL"/>
              </w:rPr>
            </w:pPr>
            <w:r w:rsidRPr="00330001">
              <w:rPr>
                <w:rFonts w:ascii="Calibri" w:hAnsi="Calibri" w:cs="Calibri"/>
                <w:color w:val="000000"/>
                <w:lang w:val="sq-AL"/>
              </w:rPr>
              <w:t>118 banorë/km</w:t>
            </w:r>
            <w:r w:rsidRPr="00330001">
              <w:rPr>
                <w:rFonts w:ascii="Calibri" w:hAnsi="Calibri" w:cs="Calibri"/>
                <w:color w:val="000000"/>
                <w:vertAlign w:val="superscript"/>
                <w:lang w:val="sq-AL"/>
              </w:rPr>
              <w:t>2</w:t>
            </w:r>
          </w:p>
        </w:tc>
      </w:tr>
      <w:tr w:rsidR="00330001" w:rsidRPr="00330001" w:rsidTr="00441046">
        <w:trPr>
          <w:trHeight w:val="80"/>
        </w:trPr>
        <w:tc>
          <w:tcPr>
            <w:tcW w:w="4092" w:type="pct"/>
            <w:gridSpan w:val="7"/>
            <w:tcBorders>
              <w:top w:val="nil"/>
              <w:left w:val="single" w:sz="8" w:space="0" w:color="auto"/>
              <w:bottom w:val="single" w:sz="4" w:space="0" w:color="auto"/>
              <w:right w:val="nil"/>
            </w:tcBorders>
            <w:shd w:val="clear" w:color="auto" w:fill="auto"/>
            <w:noWrap/>
            <w:vAlign w:val="bottom"/>
            <w:hideMark/>
          </w:tcPr>
          <w:p w:rsidR="00330001" w:rsidRPr="00330001" w:rsidRDefault="00330001" w:rsidP="006577FE">
            <w:pPr>
              <w:rPr>
                <w:rFonts w:ascii="Calibri" w:hAnsi="Calibri" w:cs="Calibri"/>
                <w:color w:val="000000"/>
                <w:lang w:val="sq-AL"/>
              </w:rPr>
            </w:pPr>
            <w:r>
              <w:rPr>
                <w:rFonts w:asciiTheme="minorHAnsi" w:hAnsiTheme="minorHAnsi"/>
                <w:color w:val="000000"/>
                <w:sz w:val="22"/>
                <w:szCs w:val="20"/>
                <w:lang w:val="sq-AL"/>
              </w:rPr>
              <w:t xml:space="preserve">Transferta </w:t>
            </w:r>
            <w:r w:rsidRPr="00330001">
              <w:rPr>
                <w:rFonts w:asciiTheme="minorHAnsi" w:hAnsiTheme="minorHAnsi"/>
                <w:color w:val="000000"/>
                <w:sz w:val="22"/>
                <w:szCs w:val="20"/>
                <w:lang w:val="sq-AL"/>
              </w:rPr>
              <w:t xml:space="preserve"> për frymë nga komponenti i dendësisë së popullsisë</w:t>
            </w:r>
          </w:p>
        </w:tc>
        <w:tc>
          <w:tcPr>
            <w:tcW w:w="908" w:type="pct"/>
            <w:tcBorders>
              <w:top w:val="nil"/>
              <w:left w:val="nil"/>
              <w:bottom w:val="single" w:sz="4" w:space="0" w:color="auto"/>
              <w:right w:val="single" w:sz="8" w:space="0" w:color="auto"/>
            </w:tcBorders>
            <w:shd w:val="clear" w:color="auto" w:fill="auto"/>
            <w:noWrap/>
            <w:vAlign w:val="bottom"/>
            <w:hideMark/>
          </w:tcPr>
          <w:p w:rsidR="00330001" w:rsidRPr="00330001" w:rsidRDefault="00330001" w:rsidP="006577FE">
            <w:pPr>
              <w:jc w:val="right"/>
              <w:rPr>
                <w:rFonts w:ascii="Calibri" w:hAnsi="Calibri" w:cs="Calibri"/>
                <w:color w:val="000000"/>
                <w:lang w:val="sq-AL"/>
              </w:rPr>
            </w:pPr>
            <w:r w:rsidRPr="00330001">
              <w:rPr>
                <w:rFonts w:ascii="Calibri" w:hAnsi="Calibri" w:cs="Calibri"/>
                <w:color w:val="000000"/>
                <w:lang w:val="sq-AL"/>
              </w:rPr>
              <w:t>51 lek/banorë</w:t>
            </w:r>
          </w:p>
        </w:tc>
      </w:tr>
      <w:tr w:rsidR="00330001" w:rsidRPr="00330001" w:rsidTr="00441046">
        <w:trPr>
          <w:trHeight w:val="748"/>
        </w:trPr>
        <w:tc>
          <w:tcPr>
            <w:tcW w:w="1266" w:type="pct"/>
            <w:gridSpan w:val="2"/>
            <w:tcBorders>
              <w:top w:val="single" w:sz="4" w:space="0" w:color="auto"/>
              <w:left w:val="single" w:sz="8" w:space="0" w:color="auto"/>
              <w:bottom w:val="nil"/>
              <w:right w:val="single" w:sz="4" w:space="0" w:color="auto"/>
            </w:tcBorders>
            <w:shd w:val="clear" w:color="000000" w:fill="C0C0C0"/>
            <w:vAlign w:val="center"/>
            <w:hideMark/>
          </w:tcPr>
          <w:p w:rsidR="00330001" w:rsidRPr="00330001" w:rsidRDefault="00330001" w:rsidP="006577FE">
            <w:pPr>
              <w:jc w:val="center"/>
              <w:rPr>
                <w:rFonts w:ascii="Calibri" w:hAnsi="Calibri"/>
                <w:sz w:val="20"/>
                <w:szCs w:val="20"/>
                <w:lang w:val="sq-AL"/>
              </w:rPr>
            </w:pPr>
            <w:r w:rsidRPr="00330001">
              <w:rPr>
                <w:rFonts w:ascii="Calibri" w:hAnsi="Calibri"/>
                <w:sz w:val="20"/>
                <w:szCs w:val="20"/>
                <w:lang w:val="sq-AL"/>
              </w:rPr>
              <w:t>Kufijtë e dendësisë së popullsisë si % ndaj mesatares kombëtare</w:t>
            </w:r>
          </w:p>
        </w:tc>
        <w:tc>
          <w:tcPr>
            <w:tcW w:w="614" w:type="pct"/>
            <w:tcBorders>
              <w:top w:val="single" w:sz="4" w:space="0" w:color="auto"/>
              <w:left w:val="nil"/>
              <w:bottom w:val="nil"/>
              <w:right w:val="single" w:sz="4" w:space="0" w:color="auto"/>
            </w:tcBorders>
            <w:shd w:val="clear" w:color="000000" w:fill="C0C0C0"/>
            <w:noWrap/>
            <w:vAlign w:val="center"/>
            <w:hideMark/>
          </w:tcPr>
          <w:p w:rsidR="00330001" w:rsidRPr="00330001" w:rsidRDefault="00330001" w:rsidP="006577FE">
            <w:pPr>
              <w:jc w:val="center"/>
              <w:rPr>
                <w:rFonts w:ascii="Arial" w:hAnsi="Arial" w:cs="Arial"/>
                <w:sz w:val="20"/>
                <w:szCs w:val="20"/>
                <w:lang w:val="sq-AL"/>
              </w:rPr>
            </w:pPr>
            <w:r w:rsidRPr="00330001">
              <w:rPr>
                <w:rFonts w:ascii="Calibri" w:hAnsi="Calibri"/>
                <w:sz w:val="20"/>
                <w:szCs w:val="20"/>
                <w:lang w:val="sq-AL"/>
              </w:rPr>
              <w:t>Koefi</w:t>
            </w:r>
            <w:r w:rsidRPr="00330001">
              <w:rPr>
                <w:rFonts w:ascii="Arial" w:hAnsi="Arial" w:cs="Arial"/>
                <w:sz w:val="20"/>
                <w:szCs w:val="20"/>
                <w:lang w:val="sq-AL"/>
              </w:rPr>
              <w:t>cientët</w:t>
            </w:r>
          </w:p>
        </w:tc>
        <w:tc>
          <w:tcPr>
            <w:tcW w:w="542" w:type="pct"/>
            <w:tcBorders>
              <w:top w:val="single" w:sz="4" w:space="0" w:color="auto"/>
              <w:left w:val="nil"/>
              <w:bottom w:val="nil"/>
              <w:right w:val="single" w:sz="4" w:space="0" w:color="auto"/>
            </w:tcBorders>
            <w:shd w:val="clear" w:color="000000" w:fill="C0C0C0"/>
            <w:vAlign w:val="center"/>
            <w:hideMark/>
          </w:tcPr>
          <w:p w:rsidR="00330001" w:rsidRPr="00330001" w:rsidRDefault="00330001" w:rsidP="00330001">
            <w:pPr>
              <w:jc w:val="center"/>
              <w:rPr>
                <w:rFonts w:ascii="Calibri" w:hAnsi="Calibri"/>
                <w:color w:val="000000"/>
                <w:sz w:val="20"/>
                <w:szCs w:val="20"/>
                <w:lang w:val="sq-AL"/>
              </w:rPr>
            </w:pPr>
            <w:r w:rsidRPr="00330001">
              <w:rPr>
                <w:rFonts w:ascii="Calibri" w:hAnsi="Calibri"/>
                <w:color w:val="000000"/>
                <w:sz w:val="20"/>
                <w:szCs w:val="20"/>
                <w:lang w:val="sq-AL"/>
              </w:rPr>
              <w:t>Numri  i Qarqeve që përfitojnë</w:t>
            </w:r>
          </w:p>
        </w:tc>
        <w:tc>
          <w:tcPr>
            <w:tcW w:w="531" w:type="pct"/>
            <w:tcBorders>
              <w:top w:val="single" w:sz="4" w:space="0" w:color="auto"/>
              <w:left w:val="nil"/>
              <w:bottom w:val="nil"/>
              <w:right w:val="single" w:sz="4" w:space="0" w:color="auto"/>
            </w:tcBorders>
            <w:shd w:val="clear" w:color="000000" w:fill="C0C0C0"/>
            <w:vAlign w:val="center"/>
            <w:hideMark/>
          </w:tcPr>
          <w:p w:rsidR="00330001" w:rsidRPr="00330001" w:rsidRDefault="00330001" w:rsidP="006577FE">
            <w:pPr>
              <w:jc w:val="center"/>
              <w:rPr>
                <w:rFonts w:ascii="Calibri" w:hAnsi="Calibri"/>
                <w:color w:val="000000"/>
                <w:sz w:val="20"/>
                <w:szCs w:val="20"/>
                <w:lang w:val="sq-AL"/>
              </w:rPr>
            </w:pPr>
            <w:r w:rsidRPr="00330001">
              <w:rPr>
                <w:rFonts w:ascii="Calibri" w:hAnsi="Calibri"/>
                <w:color w:val="000000"/>
                <w:sz w:val="20"/>
                <w:szCs w:val="20"/>
                <w:lang w:val="sq-AL"/>
              </w:rPr>
              <w:t>Dendësia e popullsisë pë</w:t>
            </w:r>
            <w:r>
              <w:rPr>
                <w:rFonts w:ascii="Calibri" w:hAnsi="Calibri"/>
                <w:color w:val="000000"/>
                <w:sz w:val="20"/>
                <w:szCs w:val="20"/>
                <w:lang w:val="sq-AL"/>
              </w:rPr>
              <w:t>r g</w:t>
            </w:r>
            <w:r w:rsidRPr="00330001">
              <w:rPr>
                <w:rFonts w:ascii="Calibri" w:hAnsi="Calibri"/>
                <w:color w:val="000000"/>
                <w:sz w:val="20"/>
                <w:szCs w:val="20"/>
                <w:lang w:val="sq-AL"/>
              </w:rPr>
              <w:t>rup</w:t>
            </w:r>
          </w:p>
        </w:tc>
        <w:tc>
          <w:tcPr>
            <w:tcW w:w="523" w:type="pct"/>
            <w:tcBorders>
              <w:top w:val="single" w:sz="4" w:space="0" w:color="auto"/>
              <w:left w:val="nil"/>
              <w:bottom w:val="nil"/>
              <w:right w:val="single" w:sz="4" w:space="0" w:color="auto"/>
            </w:tcBorders>
            <w:shd w:val="clear" w:color="000000" w:fill="C0C0C0"/>
            <w:vAlign w:val="center"/>
            <w:hideMark/>
          </w:tcPr>
          <w:p w:rsidR="00330001" w:rsidRPr="00330001" w:rsidRDefault="00330001" w:rsidP="006577FE">
            <w:pPr>
              <w:jc w:val="center"/>
              <w:rPr>
                <w:rFonts w:ascii="Calibri" w:hAnsi="Calibri"/>
                <w:color w:val="000000"/>
                <w:sz w:val="20"/>
                <w:szCs w:val="20"/>
                <w:lang w:val="sq-AL"/>
              </w:rPr>
            </w:pPr>
            <w:r w:rsidRPr="00330001">
              <w:rPr>
                <w:rFonts w:ascii="Calibri" w:hAnsi="Calibri"/>
                <w:color w:val="000000"/>
                <w:sz w:val="20"/>
                <w:szCs w:val="20"/>
                <w:lang w:val="sq-AL"/>
              </w:rPr>
              <w:t>Popullsia për çdo grup</w:t>
            </w:r>
          </w:p>
        </w:tc>
        <w:tc>
          <w:tcPr>
            <w:tcW w:w="614" w:type="pct"/>
            <w:tcBorders>
              <w:top w:val="single" w:sz="4" w:space="0" w:color="auto"/>
              <w:left w:val="nil"/>
              <w:bottom w:val="nil"/>
              <w:right w:val="single" w:sz="4" w:space="0" w:color="auto"/>
            </w:tcBorders>
            <w:shd w:val="clear" w:color="000000" w:fill="C0C0C0"/>
            <w:vAlign w:val="center"/>
            <w:hideMark/>
          </w:tcPr>
          <w:p w:rsidR="00330001" w:rsidRPr="00330001" w:rsidRDefault="00330001" w:rsidP="006577FE">
            <w:pPr>
              <w:jc w:val="center"/>
              <w:rPr>
                <w:rFonts w:ascii="Calibri" w:hAnsi="Calibri"/>
                <w:color w:val="000000"/>
                <w:sz w:val="20"/>
                <w:szCs w:val="20"/>
                <w:lang w:val="sq-AL"/>
              </w:rPr>
            </w:pPr>
            <w:r w:rsidRPr="00330001">
              <w:rPr>
                <w:rFonts w:ascii="Calibri" w:hAnsi="Calibri"/>
                <w:color w:val="000000"/>
                <w:sz w:val="20"/>
                <w:szCs w:val="20"/>
                <w:lang w:val="sq-AL"/>
              </w:rPr>
              <w:t>Shuma e shtuar e për secilin grup</w:t>
            </w:r>
          </w:p>
        </w:tc>
        <w:tc>
          <w:tcPr>
            <w:tcW w:w="908" w:type="pct"/>
            <w:tcBorders>
              <w:top w:val="single" w:sz="4" w:space="0" w:color="auto"/>
              <w:left w:val="nil"/>
              <w:bottom w:val="nil"/>
              <w:right w:val="single" w:sz="8" w:space="0" w:color="auto"/>
            </w:tcBorders>
            <w:shd w:val="clear" w:color="000000" w:fill="C0C0C0"/>
            <w:vAlign w:val="center"/>
            <w:hideMark/>
          </w:tcPr>
          <w:p w:rsidR="00330001" w:rsidRPr="00330001" w:rsidRDefault="00330001" w:rsidP="006577FE">
            <w:pPr>
              <w:jc w:val="center"/>
              <w:rPr>
                <w:rFonts w:ascii="Calibri" w:hAnsi="Calibri"/>
                <w:color w:val="000000"/>
                <w:sz w:val="20"/>
                <w:szCs w:val="20"/>
                <w:lang w:val="sq-AL"/>
              </w:rPr>
            </w:pPr>
            <w:r w:rsidRPr="00330001">
              <w:rPr>
                <w:rFonts w:ascii="Calibri" w:hAnsi="Calibri"/>
                <w:color w:val="000000"/>
                <w:sz w:val="20"/>
                <w:szCs w:val="20"/>
                <w:lang w:val="sq-AL"/>
              </w:rPr>
              <w:t xml:space="preserve">% e shpërndarjes për grup </w:t>
            </w:r>
          </w:p>
        </w:tc>
      </w:tr>
      <w:tr w:rsidR="00330001" w:rsidRPr="00330001" w:rsidTr="00441046">
        <w:trPr>
          <w:trHeight w:val="80"/>
        </w:trPr>
        <w:tc>
          <w:tcPr>
            <w:tcW w:w="729" w:type="pct"/>
            <w:tcBorders>
              <w:top w:val="nil"/>
              <w:left w:val="single" w:sz="8" w:space="0" w:color="auto"/>
              <w:bottom w:val="nil"/>
              <w:right w:val="single" w:sz="4" w:space="0" w:color="auto"/>
            </w:tcBorders>
            <w:shd w:val="clear" w:color="auto" w:fill="auto"/>
            <w:noWrap/>
            <w:vAlign w:val="bottom"/>
            <w:hideMark/>
          </w:tcPr>
          <w:p w:rsidR="00330001" w:rsidRPr="00330001" w:rsidRDefault="00330001" w:rsidP="006577FE">
            <w:pPr>
              <w:jc w:val="right"/>
              <w:rPr>
                <w:rFonts w:ascii="Calibri" w:hAnsi="Calibri"/>
                <w:color w:val="000000"/>
                <w:sz w:val="22"/>
                <w:szCs w:val="22"/>
                <w:lang w:val="sq-AL"/>
              </w:rPr>
            </w:pPr>
            <w:r w:rsidRPr="00330001">
              <w:rPr>
                <w:rFonts w:ascii="Calibri" w:hAnsi="Calibri"/>
                <w:color w:val="000000"/>
                <w:sz w:val="22"/>
                <w:szCs w:val="22"/>
                <w:lang w:val="sq-AL"/>
              </w:rPr>
              <w:t>Kufiri 1</w:t>
            </w:r>
          </w:p>
        </w:tc>
        <w:tc>
          <w:tcPr>
            <w:tcW w:w="537" w:type="pct"/>
            <w:tcBorders>
              <w:top w:val="nil"/>
              <w:left w:val="nil"/>
              <w:bottom w:val="nil"/>
              <w:right w:val="single" w:sz="4" w:space="0" w:color="auto"/>
            </w:tcBorders>
            <w:shd w:val="clear" w:color="auto" w:fill="auto"/>
            <w:noWrap/>
            <w:vAlign w:val="bottom"/>
            <w:hideMark/>
          </w:tcPr>
          <w:p w:rsidR="00330001" w:rsidRPr="00330001" w:rsidRDefault="00330001" w:rsidP="006577FE">
            <w:pPr>
              <w:jc w:val="center"/>
              <w:rPr>
                <w:rFonts w:ascii="Calibri" w:hAnsi="Calibri"/>
                <w:b/>
                <w:bCs/>
                <w:color w:val="993300"/>
                <w:sz w:val="22"/>
                <w:szCs w:val="22"/>
                <w:lang w:val="sq-AL"/>
              </w:rPr>
            </w:pPr>
            <w:r w:rsidRPr="00330001">
              <w:rPr>
                <w:rFonts w:ascii="Calibri" w:hAnsi="Calibri"/>
                <w:b/>
                <w:bCs/>
                <w:color w:val="993300"/>
                <w:sz w:val="22"/>
                <w:szCs w:val="22"/>
                <w:lang w:val="sq-AL"/>
              </w:rPr>
              <w:t>90%</w:t>
            </w:r>
          </w:p>
        </w:tc>
        <w:tc>
          <w:tcPr>
            <w:tcW w:w="614" w:type="pct"/>
            <w:tcBorders>
              <w:top w:val="nil"/>
              <w:left w:val="nil"/>
              <w:bottom w:val="nil"/>
              <w:right w:val="single" w:sz="4" w:space="0" w:color="auto"/>
            </w:tcBorders>
            <w:shd w:val="clear" w:color="auto" w:fill="auto"/>
            <w:noWrap/>
            <w:vAlign w:val="bottom"/>
            <w:hideMark/>
          </w:tcPr>
          <w:p w:rsidR="00330001" w:rsidRPr="00330001" w:rsidRDefault="00330001" w:rsidP="006577FE">
            <w:pPr>
              <w:jc w:val="center"/>
              <w:rPr>
                <w:rFonts w:ascii="Calibri" w:hAnsi="Calibri"/>
                <w:b/>
                <w:bCs/>
                <w:color w:val="993300"/>
                <w:sz w:val="22"/>
                <w:szCs w:val="22"/>
                <w:lang w:val="sq-AL"/>
              </w:rPr>
            </w:pPr>
            <w:r w:rsidRPr="00330001">
              <w:rPr>
                <w:rFonts w:ascii="Calibri" w:hAnsi="Calibri"/>
                <w:b/>
                <w:bCs/>
                <w:color w:val="993300"/>
                <w:sz w:val="22"/>
                <w:szCs w:val="22"/>
                <w:lang w:val="sq-AL"/>
              </w:rPr>
              <w:t>0,3</w:t>
            </w:r>
          </w:p>
        </w:tc>
        <w:tc>
          <w:tcPr>
            <w:tcW w:w="542" w:type="pct"/>
            <w:tcBorders>
              <w:top w:val="nil"/>
              <w:left w:val="nil"/>
              <w:bottom w:val="nil"/>
              <w:right w:val="single" w:sz="4" w:space="0" w:color="auto"/>
            </w:tcBorders>
            <w:shd w:val="clear" w:color="auto" w:fill="auto"/>
            <w:noWrap/>
            <w:vAlign w:val="bottom"/>
            <w:hideMark/>
          </w:tcPr>
          <w:p w:rsidR="00330001" w:rsidRPr="00330001" w:rsidRDefault="00330001" w:rsidP="006577FE">
            <w:pPr>
              <w:jc w:val="right"/>
              <w:rPr>
                <w:rFonts w:ascii="Calibri" w:hAnsi="Calibri"/>
                <w:color w:val="000000"/>
                <w:sz w:val="22"/>
                <w:szCs w:val="22"/>
                <w:lang w:val="sq-AL"/>
              </w:rPr>
            </w:pPr>
            <w:r w:rsidRPr="00330001">
              <w:rPr>
                <w:rFonts w:ascii="Calibri" w:hAnsi="Calibri"/>
                <w:color w:val="000000"/>
                <w:sz w:val="22"/>
                <w:szCs w:val="22"/>
                <w:lang w:val="sq-AL"/>
              </w:rPr>
              <w:t>4</w:t>
            </w:r>
          </w:p>
        </w:tc>
        <w:tc>
          <w:tcPr>
            <w:tcW w:w="531" w:type="pct"/>
            <w:tcBorders>
              <w:top w:val="nil"/>
              <w:left w:val="nil"/>
              <w:bottom w:val="nil"/>
              <w:right w:val="single" w:sz="4" w:space="0" w:color="auto"/>
            </w:tcBorders>
            <w:shd w:val="clear" w:color="auto" w:fill="auto"/>
            <w:noWrap/>
            <w:vAlign w:val="bottom"/>
            <w:hideMark/>
          </w:tcPr>
          <w:p w:rsidR="00330001" w:rsidRPr="00330001" w:rsidRDefault="00330001" w:rsidP="006577FE">
            <w:pPr>
              <w:jc w:val="right"/>
              <w:rPr>
                <w:rFonts w:ascii="Calibri" w:hAnsi="Calibri"/>
                <w:color w:val="000000"/>
                <w:sz w:val="22"/>
                <w:szCs w:val="22"/>
                <w:lang w:val="sq-AL"/>
              </w:rPr>
            </w:pPr>
            <w:r w:rsidRPr="00330001">
              <w:rPr>
                <w:rFonts w:ascii="Calibri" w:hAnsi="Calibri"/>
                <w:color w:val="000000"/>
                <w:sz w:val="22"/>
                <w:szCs w:val="22"/>
                <w:lang w:val="sq-AL"/>
              </w:rPr>
              <w:t>105,8</w:t>
            </w:r>
          </w:p>
        </w:tc>
        <w:tc>
          <w:tcPr>
            <w:tcW w:w="523" w:type="pct"/>
            <w:tcBorders>
              <w:top w:val="nil"/>
              <w:left w:val="nil"/>
              <w:bottom w:val="nil"/>
              <w:right w:val="single" w:sz="4" w:space="0" w:color="auto"/>
            </w:tcBorders>
            <w:shd w:val="clear" w:color="auto" w:fill="auto"/>
            <w:noWrap/>
            <w:vAlign w:val="bottom"/>
            <w:hideMark/>
          </w:tcPr>
          <w:p w:rsidR="00330001" w:rsidRPr="00330001" w:rsidRDefault="00330001" w:rsidP="006577FE">
            <w:pPr>
              <w:jc w:val="right"/>
              <w:rPr>
                <w:rFonts w:ascii="Calibri" w:hAnsi="Calibri"/>
                <w:color w:val="000000"/>
                <w:sz w:val="22"/>
                <w:szCs w:val="22"/>
                <w:lang w:val="sq-AL"/>
              </w:rPr>
            </w:pPr>
            <w:r w:rsidRPr="00330001">
              <w:rPr>
                <w:rFonts w:ascii="Calibri" w:hAnsi="Calibri"/>
                <w:color w:val="000000"/>
                <w:sz w:val="22"/>
                <w:szCs w:val="22"/>
                <w:lang w:val="sq-AL"/>
              </w:rPr>
              <w:t>918.119</w:t>
            </w:r>
          </w:p>
        </w:tc>
        <w:tc>
          <w:tcPr>
            <w:tcW w:w="614" w:type="pct"/>
            <w:tcBorders>
              <w:top w:val="nil"/>
              <w:left w:val="nil"/>
              <w:bottom w:val="nil"/>
              <w:right w:val="single" w:sz="4" w:space="0" w:color="auto"/>
            </w:tcBorders>
            <w:shd w:val="clear" w:color="auto" w:fill="auto"/>
            <w:noWrap/>
            <w:vAlign w:val="bottom"/>
            <w:hideMark/>
          </w:tcPr>
          <w:p w:rsidR="00330001" w:rsidRPr="00330001" w:rsidRDefault="00330001" w:rsidP="006577FE">
            <w:pPr>
              <w:jc w:val="right"/>
              <w:rPr>
                <w:rFonts w:ascii="Calibri" w:hAnsi="Calibri"/>
                <w:color w:val="000000"/>
                <w:sz w:val="22"/>
                <w:szCs w:val="22"/>
                <w:lang w:val="sq-AL"/>
              </w:rPr>
            </w:pPr>
            <w:r w:rsidRPr="00330001">
              <w:rPr>
                <w:rFonts w:ascii="Calibri" w:hAnsi="Calibri"/>
                <w:color w:val="000000"/>
                <w:sz w:val="22"/>
                <w:szCs w:val="22"/>
                <w:lang w:val="sq-AL"/>
              </w:rPr>
              <w:t>45.426.831</w:t>
            </w:r>
          </w:p>
        </w:tc>
        <w:tc>
          <w:tcPr>
            <w:tcW w:w="908" w:type="pct"/>
            <w:tcBorders>
              <w:top w:val="nil"/>
              <w:left w:val="nil"/>
              <w:bottom w:val="nil"/>
              <w:right w:val="single" w:sz="8" w:space="0" w:color="auto"/>
            </w:tcBorders>
            <w:shd w:val="clear" w:color="auto" w:fill="auto"/>
            <w:noWrap/>
            <w:vAlign w:val="bottom"/>
            <w:hideMark/>
          </w:tcPr>
          <w:p w:rsidR="00330001" w:rsidRPr="00330001" w:rsidRDefault="00330001" w:rsidP="006577FE">
            <w:pPr>
              <w:jc w:val="right"/>
              <w:rPr>
                <w:rFonts w:ascii="Calibri" w:hAnsi="Calibri"/>
                <w:color w:val="000000"/>
                <w:sz w:val="22"/>
                <w:szCs w:val="22"/>
                <w:lang w:val="sq-AL"/>
              </w:rPr>
            </w:pPr>
            <w:r w:rsidRPr="00330001">
              <w:rPr>
                <w:rFonts w:ascii="Calibri" w:hAnsi="Calibri"/>
                <w:color w:val="000000"/>
                <w:sz w:val="22"/>
                <w:szCs w:val="22"/>
                <w:lang w:val="sq-AL"/>
              </w:rPr>
              <w:t>34%</w:t>
            </w:r>
          </w:p>
        </w:tc>
      </w:tr>
      <w:tr w:rsidR="00330001" w:rsidRPr="00330001" w:rsidTr="00441046">
        <w:trPr>
          <w:trHeight w:val="80"/>
        </w:trPr>
        <w:tc>
          <w:tcPr>
            <w:tcW w:w="729" w:type="pct"/>
            <w:tcBorders>
              <w:top w:val="nil"/>
              <w:left w:val="single" w:sz="8" w:space="0" w:color="auto"/>
              <w:bottom w:val="nil"/>
              <w:right w:val="single" w:sz="4" w:space="0" w:color="auto"/>
            </w:tcBorders>
            <w:shd w:val="clear" w:color="auto" w:fill="auto"/>
            <w:noWrap/>
            <w:vAlign w:val="bottom"/>
            <w:hideMark/>
          </w:tcPr>
          <w:p w:rsidR="00330001" w:rsidRPr="00330001" w:rsidRDefault="00330001" w:rsidP="006577FE">
            <w:pPr>
              <w:jc w:val="right"/>
              <w:rPr>
                <w:rFonts w:ascii="Calibri" w:hAnsi="Calibri"/>
                <w:color w:val="000000"/>
                <w:sz w:val="22"/>
                <w:szCs w:val="22"/>
                <w:lang w:val="sq-AL"/>
              </w:rPr>
            </w:pPr>
            <w:r w:rsidRPr="00330001">
              <w:rPr>
                <w:rFonts w:ascii="Calibri" w:hAnsi="Calibri"/>
                <w:color w:val="000000"/>
                <w:sz w:val="22"/>
                <w:szCs w:val="22"/>
                <w:lang w:val="sq-AL"/>
              </w:rPr>
              <w:t>Kufiri 2</w:t>
            </w:r>
          </w:p>
        </w:tc>
        <w:tc>
          <w:tcPr>
            <w:tcW w:w="537" w:type="pct"/>
            <w:tcBorders>
              <w:top w:val="nil"/>
              <w:left w:val="nil"/>
              <w:bottom w:val="nil"/>
              <w:right w:val="single" w:sz="4" w:space="0" w:color="auto"/>
            </w:tcBorders>
            <w:shd w:val="clear" w:color="auto" w:fill="auto"/>
            <w:noWrap/>
            <w:vAlign w:val="bottom"/>
            <w:hideMark/>
          </w:tcPr>
          <w:p w:rsidR="00330001" w:rsidRPr="00330001" w:rsidRDefault="00330001" w:rsidP="006577FE">
            <w:pPr>
              <w:jc w:val="center"/>
              <w:rPr>
                <w:rFonts w:ascii="Calibri" w:hAnsi="Calibri"/>
                <w:b/>
                <w:bCs/>
                <w:color w:val="993300"/>
                <w:sz w:val="22"/>
                <w:szCs w:val="22"/>
                <w:lang w:val="sq-AL"/>
              </w:rPr>
            </w:pPr>
            <w:r w:rsidRPr="00330001">
              <w:rPr>
                <w:rFonts w:ascii="Calibri" w:hAnsi="Calibri"/>
                <w:b/>
                <w:bCs/>
                <w:color w:val="993300"/>
                <w:sz w:val="22"/>
                <w:szCs w:val="22"/>
                <w:lang w:val="sq-AL"/>
              </w:rPr>
              <w:t>65%</w:t>
            </w:r>
          </w:p>
        </w:tc>
        <w:tc>
          <w:tcPr>
            <w:tcW w:w="614" w:type="pct"/>
            <w:tcBorders>
              <w:top w:val="nil"/>
              <w:left w:val="nil"/>
              <w:bottom w:val="nil"/>
              <w:right w:val="single" w:sz="4" w:space="0" w:color="auto"/>
            </w:tcBorders>
            <w:shd w:val="clear" w:color="auto" w:fill="auto"/>
            <w:noWrap/>
            <w:vAlign w:val="bottom"/>
            <w:hideMark/>
          </w:tcPr>
          <w:p w:rsidR="00330001" w:rsidRPr="00330001" w:rsidRDefault="00330001" w:rsidP="006577FE">
            <w:pPr>
              <w:jc w:val="center"/>
              <w:rPr>
                <w:rFonts w:ascii="Calibri" w:hAnsi="Calibri"/>
                <w:b/>
                <w:bCs/>
                <w:color w:val="993300"/>
                <w:sz w:val="22"/>
                <w:szCs w:val="22"/>
                <w:lang w:val="sq-AL"/>
              </w:rPr>
            </w:pPr>
            <w:r w:rsidRPr="00330001">
              <w:rPr>
                <w:rFonts w:ascii="Calibri" w:hAnsi="Calibri"/>
                <w:b/>
                <w:bCs/>
                <w:color w:val="993300"/>
                <w:sz w:val="22"/>
                <w:szCs w:val="22"/>
                <w:lang w:val="sq-AL"/>
              </w:rPr>
              <w:t>0,5</w:t>
            </w:r>
          </w:p>
        </w:tc>
        <w:tc>
          <w:tcPr>
            <w:tcW w:w="542" w:type="pct"/>
            <w:tcBorders>
              <w:top w:val="nil"/>
              <w:left w:val="nil"/>
              <w:bottom w:val="nil"/>
              <w:right w:val="single" w:sz="4" w:space="0" w:color="auto"/>
            </w:tcBorders>
            <w:shd w:val="clear" w:color="auto" w:fill="auto"/>
            <w:noWrap/>
            <w:vAlign w:val="bottom"/>
            <w:hideMark/>
          </w:tcPr>
          <w:p w:rsidR="00330001" w:rsidRPr="00330001" w:rsidRDefault="00330001" w:rsidP="006577FE">
            <w:pPr>
              <w:jc w:val="right"/>
              <w:rPr>
                <w:rFonts w:ascii="Calibri" w:hAnsi="Calibri"/>
                <w:color w:val="000000"/>
                <w:sz w:val="22"/>
                <w:szCs w:val="22"/>
                <w:lang w:val="sq-AL"/>
              </w:rPr>
            </w:pPr>
            <w:r w:rsidRPr="00330001">
              <w:rPr>
                <w:rFonts w:ascii="Calibri" w:hAnsi="Calibri"/>
                <w:color w:val="000000"/>
                <w:sz w:val="22"/>
                <w:szCs w:val="22"/>
                <w:lang w:val="sq-AL"/>
              </w:rPr>
              <w:t>3</w:t>
            </w:r>
          </w:p>
        </w:tc>
        <w:tc>
          <w:tcPr>
            <w:tcW w:w="531" w:type="pct"/>
            <w:tcBorders>
              <w:top w:val="nil"/>
              <w:left w:val="nil"/>
              <w:bottom w:val="nil"/>
              <w:right w:val="single" w:sz="4" w:space="0" w:color="auto"/>
            </w:tcBorders>
            <w:shd w:val="clear" w:color="auto" w:fill="auto"/>
            <w:noWrap/>
            <w:vAlign w:val="bottom"/>
            <w:hideMark/>
          </w:tcPr>
          <w:p w:rsidR="00330001" w:rsidRPr="00330001" w:rsidRDefault="00330001" w:rsidP="006577FE">
            <w:pPr>
              <w:jc w:val="right"/>
              <w:rPr>
                <w:rFonts w:ascii="Calibri" w:hAnsi="Calibri"/>
                <w:color w:val="000000"/>
                <w:sz w:val="22"/>
                <w:szCs w:val="22"/>
                <w:lang w:val="sq-AL"/>
              </w:rPr>
            </w:pPr>
            <w:r w:rsidRPr="00330001">
              <w:rPr>
                <w:rFonts w:ascii="Calibri" w:hAnsi="Calibri"/>
                <w:color w:val="000000"/>
                <w:sz w:val="22"/>
                <w:szCs w:val="22"/>
                <w:lang w:val="sq-AL"/>
              </w:rPr>
              <w:t>76,4</w:t>
            </w:r>
          </w:p>
        </w:tc>
        <w:tc>
          <w:tcPr>
            <w:tcW w:w="523" w:type="pct"/>
            <w:tcBorders>
              <w:top w:val="nil"/>
              <w:left w:val="nil"/>
              <w:bottom w:val="nil"/>
              <w:right w:val="single" w:sz="4" w:space="0" w:color="auto"/>
            </w:tcBorders>
            <w:shd w:val="clear" w:color="auto" w:fill="auto"/>
            <w:noWrap/>
            <w:vAlign w:val="bottom"/>
            <w:hideMark/>
          </w:tcPr>
          <w:p w:rsidR="00330001" w:rsidRPr="00330001" w:rsidRDefault="00330001" w:rsidP="006577FE">
            <w:pPr>
              <w:jc w:val="right"/>
              <w:rPr>
                <w:rFonts w:ascii="Calibri" w:hAnsi="Calibri"/>
                <w:color w:val="000000"/>
                <w:sz w:val="22"/>
                <w:szCs w:val="22"/>
                <w:lang w:val="sq-AL"/>
              </w:rPr>
            </w:pPr>
            <w:r w:rsidRPr="00330001">
              <w:rPr>
                <w:rFonts w:ascii="Calibri" w:hAnsi="Calibri"/>
                <w:color w:val="000000"/>
                <w:sz w:val="22"/>
                <w:szCs w:val="22"/>
                <w:lang w:val="sq-AL"/>
              </w:rPr>
              <w:t>668.919</w:t>
            </w:r>
          </w:p>
        </w:tc>
        <w:tc>
          <w:tcPr>
            <w:tcW w:w="614" w:type="pct"/>
            <w:tcBorders>
              <w:top w:val="nil"/>
              <w:left w:val="nil"/>
              <w:bottom w:val="nil"/>
              <w:right w:val="single" w:sz="4" w:space="0" w:color="auto"/>
            </w:tcBorders>
            <w:shd w:val="clear" w:color="auto" w:fill="auto"/>
            <w:noWrap/>
            <w:vAlign w:val="bottom"/>
            <w:hideMark/>
          </w:tcPr>
          <w:p w:rsidR="00330001" w:rsidRPr="00330001" w:rsidRDefault="00330001" w:rsidP="006577FE">
            <w:pPr>
              <w:jc w:val="right"/>
              <w:rPr>
                <w:rFonts w:ascii="Calibri" w:hAnsi="Calibri"/>
                <w:color w:val="000000"/>
                <w:sz w:val="22"/>
                <w:szCs w:val="22"/>
                <w:lang w:val="sq-AL"/>
              </w:rPr>
            </w:pPr>
            <w:r w:rsidRPr="00330001">
              <w:rPr>
                <w:rFonts w:ascii="Calibri" w:hAnsi="Calibri"/>
                <w:color w:val="000000"/>
                <w:sz w:val="22"/>
                <w:szCs w:val="22"/>
                <w:lang w:val="sq-AL"/>
              </w:rPr>
              <w:t>55.161.430</w:t>
            </w:r>
          </w:p>
        </w:tc>
        <w:tc>
          <w:tcPr>
            <w:tcW w:w="908" w:type="pct"/>
            <w:tcBorders>
              <w:top w:val="nil"/>
              <w:left w:val="nil"/>
              <w:bottom w:val="nil"/>
              <w:right w:val="single" w:sz="8" w:space="0" w:color="auto"/>
            </w:tcBorders>
            <w:shd w:val="clear" w:color="auto" w:fill="auto"/>
            <w:noWrap/>
            <w:vAlign w:val="bottom"/>
            <w:hideMark/>
          </w:tcPr>
          <w:p w:rsidR="00330001" w:rsidRPr="00330001" w:rsidRDefault="00330001" w:rsidP="006577FE">
            <w:pPr>
              <w:jc w:val="right"/>
              <w:rPr>
                <w:rFonts w:ascii="Calibri" w:hAnsi="Calibri"/>
                <w:color w:val="000000"/>
                <w:sz w:val="22"/>
                <w:szCs w:val="22"/>
                <w:lang w:val="sq-AL"/>
              </w:rPr>
            </w:pPr>
            <w:r w:rsidRPr="00330001">
              <w:rPr>
                <w:rFonts w:ascii="Calibri" w:hAnsi="Calibri"/>
                <w:color w:val="000000"/>
                <w:sz w:val="22"/>
                <w:szCs w:val="22"/>
                <w:lang w:val="sq-AL"/>
              </w:rPr>
              <w:t>42%</w:t>
            </w:r>
          </w:p>
        </w:tc>
      </w:tr>
      <w:tr w:rsidR="00330001" w:rsidRPr="00330001" w:rsidTr="00441046">
        <w:trPr>
          <w:trHeight w:val="80"/>
        </w:trPr>
        <w:tc>
          <w:tcPr>
            <w:tcW w:w="729" w:type="pct"/>
            <w:tcBorders>
              <w:top w:val="nil"/>
              <w:left w:val="single" w:sz="8" w:space="0" w:color="auto"/>
              <w:bottom w:val="single" w:sz="8" w:space="0" w:color="auto"/>
              <w:right w:val="single" w:sz="4" w:space="0" w:color="auto"/>
            </w:tcBorders>
            <w:shd w:val="clear" w:color="auto" w:fill="auto"/>
            <w:noWrap/>
            <w:vAlign w:val="bottom"/>
            <w:hideMark/>
          </w:tcPr>
          <w:p w:rsidR="00330001" w:rsidRPr="00330001" w:rsidRDefault="00330001" w:rsidP="006577FE">
            <w:pPr>
              <w:jc w:val="right"/>
              <w:rPr>
                <w:rFonts w:ascii="Calibri" w:hAnsi="Calibri"/>
                <w:color w:val="000000"/>
                <w:sz w:val="22"/>
                <w:szCs w:val="22"/>
                <w:lang w:val="sq-AL"/>
              </w:rPr>
            </w:pPr>
            <w:r w:rsidRPr="00330001">
              <w:rPr>
                <w:rFonts w:ascii="Calibri" w:hAnsi="Calibri"/>
                <w:color w:val="000000"/>
                <w:sz w:val="22"/>
                <w:szCs w:val="22"/>
                <w:lang w:val="sq-AL"/>
              </w:rPr>
              <w:t>Kufiri 3</w:t>
            </w:r>
          </w:p>
        </w:tc>
        <w:tc>
          <w:tcPr>
            <w:tcW w:w="537" w:type="pct"/>
            <w:tcBorders>
              <w:top w:val="nil"/>
              <w:left w:val="nil"/>
              <w:bottom w:val="single" w:sz="8" w:space="0" w:color="auto"/>
              <w:right w:val="single" w:sz="4" w:space="0" w:color="auto"/>
            </w:tcBorders>
            <w:shd w:val="clear" w:color="auto" w:fill="auto"/>
            <w:noWrap/>
            <w:vAlign w:val="bottom"/>
            <w:hideMark/>
          </w:tcPr>
          <w:p w:rsidR="00330001" w:rsidRPr="00330001" w:rsidRDefault="00330001" w:rsidP="006577FE">
            <w:pPr>
              <w:jc w:val="center"/>
              <w:rPr>
                <w:rFonts w:ascii="Calibri" w:hAnsi="Calibri"/>
                <w:b/>
                <w:bCs/>
                <w:color w:val="993300"/>
                <w:sz w:val="22"/>
                <w:szCs w:val="22"/>
                <w:lang w:val="sq-AL"/>
              </w:rPr>
            </w:pPr>
            <w:r w:rsidRPr="00330001">
              <w:rPr>
                <w:rFonts w:ascii="Calibri" w:hAnsi="Calibri"/>
                <w:b/>
                <w:bCs/>
                <w:color w:val="993300"/>
                <w:sz w:val="22"/>
                <w:szCs w:val="22"/>
                <w:lang w:val="sq-AL"/>
              </w:rPr>
              <w:t>35%</w:t>
            </w:r>
          </w:p>
        </w:tc>
        <w:tc>
          <w:tcPr>
            <w:tcW w:w="614" w:type="pct"/>
            <w:tcBorders>
              <w:top w:val="nil"/>
              <w:left w:val="nil"/>
              <w:bottom w:val="single" w:sz="8" w:space="0" w:color="auto"/>
              <w:right w:val="single" w:sz="4" w:space="0" w:color="auto"/>
            </w:tcBorders>
            <w:shd w:val="clear" w:color="auto" w:fill="auto"/>
            <w:noWrap/>
            <w:vAlign w:val="bottom"/>
            <w:hideMark/>
          </w:tcPr>
          <w:p w:rsidR="00330001" w:rsidRPr="00330001" w:rsidRDefault="00330001" w:rsidP="006577FE">
            <w:pPr>
              <w:jc w:val="center"/>
              <w:rPr>
                <w:rFonts w:ascii="Calibri" w:hAnsi="Calibri"/>
                <w:b/>
                <w:bCs/>
                <w:color w:val="993300"/>
                <w:sz w:val="22"/>
                <w:szCs w:val="22"/>
                <w:lang w:val="sq-AL"/>
              </w:rPr>
            </w:pPr>
            <w:r w:rsidRPr="00330001">
              <w:rPr>
                <w:rFonts w:ascii="Calibri" w:hAnsi="Calibri"/>
                <w:b/>
                <w:bCs/>
                <w:color w:val="993300"/>
                <w:sz w:val="22"/>
                <w:szCs w:val="22"/>
                <w:lang w:val="sq-AL"/>
              </w:rPr>
              <w:t>1,0</w:t>
            </w:r>
          </w:p>
        </w:tc>
        <w:tc>
          <w:tcPr>
            <w:tcW w:w="542" w:type="pct"/>
            <w:tcBorders>
              <w:top w:val="nil"/>
              <w:left w:val="nil"/>
              <w:bottom w:val="single" w:sz="8" w:space="0" w:color="auto"/>
              <w:right w:val="single" w:sz="4" w:space="0" w:color="auto"/>
            </w:tcBorders>
            <w:shd w:val="clear" w:color="auto" w:fill="auto"/>
            <w:noWrap/>
            <w:vAlign w:val="bottom"/>
            <w:hideMark/>
          </w:tcPr>
          <w:p w:rsidR="00330001" w:rsidRPr="00330001" w:rsidRDefault="00330001" w:rsidP="006577FE">
            <w:pPr>
              <w:jc w:val="right"/>
              <w:rPr>
                <w:rFonts w:ascii="Calibri" w:hAnsi="Calibri"/>
                <w:color w:val="000000"/>
                <w:sz w:val="22"/>
                <w:szCs w:val="22"/>
                <w:lang w:val="sq-AL"/>
              </w:rPr>
            </w:pPr>
            <w:r w:rsidRPr="00330001">
              <w:rPr>
                <w:rFonts w:ascii="Calibri" w:hAnsi="Calibri"/>
                <w:color w:val="000000"/>
                <w:sz w:val="22"/>
                <w:szCs w:val="22"/>
                <w:lang w:val="sq-AL"/>
              </w:rPr>
              <w:t>2</w:t>
            </w:r>
          </w:p>
        </w:tc>
        <w:tc>
          <w:tcPr>
            <w:tcW w:w="531" w:type="pct"/>
            <w:tcBorders>
              <w:top w:val="nil"/>
              <w:left w:val="nil"/>
              <w:bottom w:val="single" w:sz="8" w:space="0" w:color="auto"/>
              <w:right w:val="single" w:sz="4" w:space="0" w:color="auto"/>
            </w:tcBorders>
            <w:shd w:val="clear" w:color="auto" w:fill="auto"/>
            <w:noWrap/>
            <w:vAlign w:val="bottom"/>
            <w:hideMark/>
          </w:tcPr>
          <w:p w:rsidR="00330001" w:rsidRPr="00330001" w:rsidRDefault="00330001" w:rsidP="006577FE">
            <w:pPr>
              <w:jc w:val="right"/>
              <w:rPr>
                <w:rFonts w:ascii="Calibri" w:hAnsi="Calibri"/>
                <w:color w:val="000000"/>
                <w:sz w:val="22"/>
                <w:szCs w:val="22"/>
                <w:lang w:val="sq-AL"/>
              </w:rPr>
            </w:pPr>
            <w:r w:rsidRPr="00330001">
              <w:rPr>
                <w:rFonts w:ascii="Calibri" w:hAnsi="Calibri"/>
                <w:color w:val="000000"/>
                <w:sz w:val="22"/>
                <w:szCs w:val="22"/>
                <w:lang w:val="sq-AL"/>
              </w:rPr>
              <w:t>41,1</w:t>
            </w:r>
          </w:p>
        </w:tc>
        <w:tc>
          <w:tcPr>
            <w:tcW w:w="523" w:type="pct"/>
            <w:tcBorders>
              <w:top w:val="nil"/>
              <w:left w:val="nil"/>
              <w:bottom w:val="single" w:sz="8" w:space="0" w:color="auto"/>
              <w:right w:val="single" w:sz="4" w:space="0" w:color="auto"/>
            </w:tcBorders>
            <w:shd w:val="clear" w:color="auto" w:fill="auto"/>
            <w:noWrap/>
            <w:vAlign w:val="bottom"/>
            <w:hideMark/>
          </w:tcPr>
          <w:p w:rsidR="00330001" w:rsidRPr="00330001" w:rsidRDefault="00330001" w:rsidP="006577FE">
            <w:pPr>
              <w:jc w:val="right"/>
              <w:rPr>
                <w:rFonts w:ascii="Calibri" w:hAnsi="Calibri"/>
                <w:color w:val="000000"/>
                <w:sz w:val="22"/>
                <w:szCs w:val="22"/>
                <w:lang w:val="sq-AL"/>
              </w:rPr>
            </w:pPr>
            <w:r w:rsidRPr="00330001">
              <w:rPr>
                <w:rFonts w:ascii="Calibri" w:hAnsi="Calibri"/>
                <w:color w:val="000000"/>
                <w:sz w:val="22"/>
                <w:szCs w:val="22"/>
                <w:lang w:val="sq-AL"/>
              </w:rPr>
              <w:t>190.458</w:t>
            </w:r>
          </w:p>
        </w:tc>
        <w:tc>
          <w:tcPr>
            <w:tcW w:w="614" w:type="pct"/>
            <w:tcBorders>
              <w:top w:val="nil"/>
              <w:left w:val="nil"/>
              <w:bottom w:val="single" w:sz="8" w:space="0" w:color="auto"/>
              <w:right w:val="single" w:sz="4" w:space="0" w:color="auto"/>
            </w:tcBorders>
            <w:shd w:val="clear" w:color="auto" w:fill="auto"/>
            <w:noWrap/>
            <w:vAlign w:val="bottom"/>
            <w:hideMark/>
          </w:tcPr>
          <w:p w:rsidR="00330001" w:rsidRPr="00330001" w:rsidRDefault="00330001" w:rsidP="006577FE">
            <w:pPr>
              <w:jc w:val="right"/>
              <w:rPr>
                <w:rFonts w:ascii="Calibri" w:hAnsi="Calibri"/>
                <w:color w:val="000000"/>
                <w:sz w:val="22"/>
                <w:szCs w:val="22"/>
                <w:lang w:val="sq-AL"/>
              </w:rPr>
            </w:pPr>
            <w:r w:rsidRPr="00330001">
              <w:rPr>
                <w:rFonts w:ascii="Calibri" w:hAnsi="Calibri"/>
                <w:color w:val="000000"/>
                <w:sz w:val="22"/>
                <w:szCs w:val="22"/>
                <w:lang w:val="sq-AL"/>
              </w:rPr>
              <w:t>31.411.739</w:t>
            </w:r>
          </w:p>
        </w:tc>
        <w:tc>
          <w:tcPr>
            <w:tcW w:w="908" w:type="pct"/>
            <w:tcBorders>
              <w:top w:val="nil"/>
              <w:left w:val="nil"/>
              <w:bottom w:val="single" w:sz="8" w:space="0" w:color="auto"/>
              <w:right w:val="single" w:sz="8" w:space="0" w:color="auto"/>
            </w:tcBorders>
            <w:shd w:val="clear" w:color="auto" w:fill="auto"/>
            <w:noWrap/>
            <w:vAlign w:val="bottom"/>
            <w:hideMark/>
          </w:tcPr>
          <w:p w:rsidR="00330001" w:rsidRPr="00330001" w:rsidRDefault="00330001" w:rsidP="006577FE">
            <w:pPr>
              <w:jc w:val="right"/>
              <w:rPr>
                <w:rFonts w:ascii="Calibri" w:hAnsi="Calibri"/>
                <w:color w:val="000000"/>
                <w:sz w:val="22"/>
                <w:szCs w:val="22"/>
                <w:lang w:val="sq-AL"/>
              </w:rPr>
            </w:pPr>
            <w:r w:rsidRPr="00330001">
              <w:rPr>
                <w:rFonts w:ascii="Calibri" w:hAnsi="Calibri"/>
                <w:color w:val="000000"/>
                <w:sz w:val="22"/>
                <w:szCs w:val="22"/>
                <w:lang w:val="sq-AL"/>
              </w:rPr>
              <w:t>24%</w:t>
            </w:r>
          </w:p>
        </w:tc>
      </w:tr>
    </w:tbl>
    <w:p w:rsidR="00E747F6" w:rsidRPr="00330001" w:rsidRDefault="00E747F6" w:rsidP="00DD1551">
      <w:pPr>
        <w:jc w:val="both"/>
        <w:rPr>
          <w:rFonts w:ascii="Arial" w:hAnsi="Arial"/>
          <w:color w:val="FF0000"/>
          <w:lang w:val="sq-AL"/>
        </w:rPr>
      </w:pPr>
    </w:p>
    <w:p w:rsidR="00C2787F" w:rsidRPr="0078491E" w:rsidRDefault="00C2787F" w:rsidP="00C2787F">
      <w:pPr>
        <w:jc w:val="both"/>
        <w:rPr>
          <w:sz w:val="22"/>
          <w:szCs w:val="22"/>
          <w:lang w:val="sq-AL"/>
        </w:rPr>
      </w:pPr>
      <w:r w:rsidRPr="0078491E">
        <w:rPr>
          <w:sz w:val="22"/>
          <w:szCs w:val="22"/>
          <w:lang w:val="sq-AL"/>
        </w:rPr>
        <w:t xml:space="preserve">Qarqet me dendësi më të ulët të popullsisë, duke prezumuar kosto më të larta për ofrimin e shërbimeve dhe/ose kapacitet fiskal më të ulët, do të përfitojnë fonde shtesë nëpërmjet koeficientëve të përcaktuar më sipër për secilin nga tre grupet. Qarqet janë ndarë në tre grupe të ndryshëm sipas raportit mes dendësisë së tyre të popullsisë dhe mesatares kombëtare. Kufijtë e ndarjes së grupeve ndjekin ngjashmërinë e raportit të dendësisë ndaj mesatares kombëtare. Kështu, nëse një Qark ka një dendësi të popullsisë nën 35% të mesatares kombëtare, që nënkupton mesatarisht më pak se 41 banorë për km2,  kundrejt mesatares kombëtare prej 118 banore për km2, dhe një popullsi prej 93,225 banorësh rezidentë, atëherë popullsia e atij qarku shumëzohet me koeficientin shtesë përkatës (+1) dhe transfertën për frymë prej 165 lek për banor, duke rezultuar në një shtesë fondesh prej 15,375,289 lek (i llogaritur në këtë mënyrë: 93.225*1*165). </w:t>
      </w:r>
    </w:p>
    <w:p w:rsidR="00E747F6" w:rsidRPr="0078491E" w:rsidRDefault="00E747F6" w:rsidP="00DD1551">
      <w:pPr>
        <w:jc w:val="both"/>
        <w:rPr>
          <w:rFonts w:ascii="Arial" w:hAnsi="Arial"/>
          <w:color w:val="FF0000"/>
          <w:sz w:val="22"/>
          <w:szCs w:val="22"/>
          <w:lang w:val="sq-AL"/>
        </w:rPr>
      </w:pPr>
    </w:p>
    <w:sectPr w:rsidR="00E747F6" w:rsidRPr="0078491E" w:rsidSect="006400AF">
      <w:footerReference w:type="even" r:id="rId8"/>
      <w:footerReference w:type="default" r:id="rId9"/>
      <w:pgSz w:w="11909" w:h="16834" w:code="9"/>
      <w:pgMar w:top="568" w:right="710" w:bottom="1134" w:left="709"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12C8" w:rsidRDefault="00BD12C8">
      <w:r>
        <w:separator/>
      </w:r>
    </w:p>
  </w:endnote>
  <w:endnote w:type="continuationSeparator" w:id="0">
    <w:p w:rsidR="00BD12C8" w:rsidRDefault="00BD1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89D" w:rsidRDefault="00D14E29" w:rsidP="002D3FD4">
    <w:pPr>
      <w:pStyle w:val="Footer"/>
      <w:framePr w:wrap="around" w:vAnchor="text" w:hAnchor="margin" w:xAlign="right" w:y="1"/>
      <w:rPr>
        <w:rStyle w:val="PageNumber"/>
      </w:rPr>
    </w:pPr>
    <w:r>
      <w:rPr>
        <w:rStyle w:val="PageNumber"/>
      </w:rPr>
      <w:fldChar w:fldCharType="begin"/>
    </w:r>
    <w:r w:rsidR="002E789D">
      <w:rPr>
        <w:rStyle w:val="PageNumber"/>
      </w:rPr>
      <w:instrText xml:space="preserve">PAGE  </w:instrText>
    </w:r>
    <w:r>
      <w:rPr>
        <w:rStyle w:val="PageNumber"/>
      </w:rPr>
      <w:fldChar w:fldCharType="end"/>
    </w:r>
  </w:p>
  <w:p w:rsidR="002E789D" w:rsidRDefault="002E789D" w:rsidP="004F7D9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89D" w:rsidRDefault="00D14E29" w:rsidP="002D3FD4">
    <w:pPr>
      <w:pStyle w:val="Footer"/>
      <w:framePr w:wrap="around" w:vAnchor="text" w:hAnchor="margin" w:xAlign="right" w:y="1"/>
      <w:rPr>
        <w:rStyle w:val="PageNumber"/>
      </w:rPr>
    </w:pPr>
    <w:r>
      <w:rPr>
        <w:rStyle w:val="PageNumber"/>
      </w:rPr>
      <w:fldChar w:fldCharType="begin"/>
    </w:r>
    <w:r w:rsidR="002E789D">
      <w:rPr>
        <w:rStyle w:val="PageNumber"/>
      </w:rPr>
      <w:instrText xml:space="preserve">PAGE  </w:instrText>
    </w:r>
    <w:r>
      <w:rPr>
        <w:rStyle w:val="PageNumber"/>
      </w:rPr>
      <w:fldChar w:fldCharType="separate"/>
    </w:r>
    <w:r w:rsidR="00C106B8">
      <w:rPr>
        <w:rStyle w:val="PageNumber"/>
        <w:noProof/>
      </w:rPr>
      <w:t>1</w:t>
    </w:r>
    <w:r>
      <w:rPr>
        <w:rStyle w:val="PageNumber"/>
      </w:rPr>
      <w:fldChar w:fldCharType="end"/>
    </w:r>
  </w:p>
  <w:p w:rsidR="002E789D" w:rsidRDefault="002E789D" w:rsidP="004F7D9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12C8" w:rsidRDefault="00BD12C8">
      <w:r>
        <w:separator/>
      </w:r>
    </w:p>
  </w:footnote>
  <w:footnote w:type="continuationSeparator" w:id="0">
    <w:p w:rsidR="00BD12C8" w:rsidRDefault="00BD12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5pt;height:10.5pt" o:bullet="t">
        <v:imagedata r:id="rId1" o:title="mso676"/>
      </v:shape>
    </w:pict>
  </w:numPicBullet>
  <w:abstractNum w:abstractNumId="0" w15:restartNumberingAfterBreak="0">
    <w:nsid w:val="CC8CC593"/>
    <w:multiLevelType w:val="hybridMultilevel"/>
    <w:tmpl w:val="A914FB6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F7D8280"/>
    <w:multiLevelType w:val="hybridMultilevel"/>
    <w:tmpl w:val="F86CE84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1D"/>
    <w:multiLevelType w:val="multilevel"/>
    <w:tmpl w:val="CC30CA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3" w15:restartNumberingAfterBreak="0">
    <w:nsid w:val="008C2682"/>
    <w:multiLevelType w:val="hybridMultilevel"/>
    <w:tmpl w:val="C34A6612"/>
    <w:lvl w:ilvl="0" w:tplc="1F5682EE">
      <w:start w:val="1"/>
      <w:numFmt w:val="bullet"/>
      <w:lvlText w:val=""/>
      <w:lvlJc w:val="left"/>
      <w:pPr>
        <w:tabs>
          <w:tab w:val="num" w:pos="720"/>
        </w:tabs>
        <w:ind w:left="720" w:hanging="360"/>
      </w:pPr>
      <w:rPr>
        <w:rFonts w:ascii="Wingdings 2" w:hAnsi="Wingdings 2" w:hint="default"/>
      </w:rPr>
    </w:lvl>
    <w:lvl w:ilvl="1" w:tplc="4D366F94">
      <w:start w:val="1"/>
      <w:numFmt w:val="bullet"/>
      <w:lvlText w:val=""/>
      <w:lvlJc w:val="left"/>
      <w:pPr>
        <w:tabs>
          <w:tab w:val="num" w:pos="1440"/>
        </w:tabs>
        <w:ind w:left="1440" w:hanging="360"/>
      </w:pPr>
      <w:rPr>
        <w:rFonts w:ascii="Wingdings 2" w:hAnsi="Wingdings 2" w:hint="default"/>
      </w:rPr>
    </w:lvl>
    <w:lvl w:ilvl="2" w:tplc="D8B2C5E0" w:tentative="1">
      <w:start w:val="1"/>
      <w:numFmt w:val="bullet"/>
      <w:lvlText w:val=""/>
      <w:lvlJc w:val="left"/>
      <w:pPr>
        <w:tabs>
          <w:tab w:val="num" w:pos="2160"/>
        </w:tabs>
        <w:ind w:left="2160" w:hanging="360"/>
      </w:pPr>
      <w:rPr>
        <w:rFonts w:ascii="Wingdings 2" w:hAnsi="Wingdings 2" w:hint="default"/>
      </w:rPr>
    </w:lvl>
    <w:lvl w:ilvl="3" w:tplc="E026B47A" w:tentative="1">
      <w:start w:val="1"/>
      <w:numFmt w:val="bullet"/>
      <w:lvlText w:val=""/>
      <w:lvlJc w:val="left"/>
      <w:pPr>
        <w:tabs>
          <w:tab w:val="num" w:pos="2880"/>
        </w:tabs>
        <w:ind w:left="2880" w:hanging="360"/>
      </w:pPr>
      <w:rPr>
        <w:rFonts w:ascii="Wingdings 2" w:hAnsi="Wingdings 2" w:hint="default"/>
      </w:rPr>
    </w:lvl>
    <w:lvl w:ilvl="4" w:tplc="4510DBDA" w:tentative="1">
      <w:start w:val="1"/>
      <w:numFmt w:val="bullet"/>
      <w:lvlText w:val=""/>
      <w:lvlJc w:val="left"/>
      <w:pPr>
        <w:tabs>
          <w:tab w:val="num" w:pos="3600"/>
        </w:tabs>
        <w:ind w:left="3600" w:hanging="360"/>
      </w:pPr>
      <w:rPr>
        <w:rFonts w:ascii="Wingdings 2" w:hAnsi="Wingdings 2" w:hint="default"/>
      </w:rPr>
    </w:lvl>
    <w:lvl w:ilvl="5" w:tplc="EE1C34CA" w:tentative="1">
      <w:start w:val="1"/>
      <w:numFmt w:val="bullet"/>
      <w:lvlText w:val=""/>
      <w:lvlJc w:val="left"/>
      <w:pPr>
        <w:tabs>
          <w:tab w:val="num" w:pos="4320"/>
        </w:tabs>
        <w:ind w:left="4320" w:hanging="360"/>
      </w:pPr>
      <w:rPr>
        <w:rFonts w:ascii="Wingdings 2" w:hAnsi="Wingdings 2" w:hint="default"/>
      </w:rPr>
    </w:lvl>
    <w:lvl w:ilvl="6" w:tplc="84F2AF16" w:tentative="1">
      <w:start w:val="1"/>
      <w:numFmt w:val="bullet"/>
      <w:lvlText w:val=""/>
      <w:lvlJc w:val="left"/>
      <w:pPr>
        <w:tabs>
          <w:tab w:val="num" w:pos="5040"/>
        </w:tabs>
        <w:ind w:left="5040" w:hanging="360"/>
      </w:pPr>
      <w:rPr>
        <w:rFonts w:ascii="Wingdings 2" w:hAnsi="Wingdings 2" w:hint="default"/>
      </w:rPr>
    </w:lvl>
    <w:lvl w:ilvl="7" w:tplc="751AC3E8" w:tentative="1">
      <w:start w:val="1"/>
      <w:numFmt w:val="bullet"/>
      <w:lvlText w:val=""/>
      <w:lvlJc w:val="left"/>
      <w:pPr>
        <w:tabs>
          <w:tab w:val="num" w:pos="5760"/>
        </w:tabs>
        <w:ind w:left="5760" w:hanging="360"/>
      </w:pPr>
      <w:rPr>
        <w:rFonts w:ascii="Wingdings 2" w:hAnsi="Wingdings 2" w:hint="default"/>
      </w:rPr>
    </w:lvl>
    <w:lvl w:ilvl="8" w:tplc="1BDE964C"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062E33C3"/>
    <w:multiLevelType w:val="hybridMultilevel"/>
    <w:tmpl w:val="CAEC41E4"/>
    <w:lvl w:ilvl="0" w:tplc="32BA781C">
      <w:start w:val="1"/>
      <w:numFmt w:val="decimal"/>
      <w:lvlText w:val="%1."/>
      <w:lvlJc w:val="left"/>
      <w:pPr>
        <w:ind w:left="720" w:hanging="360"/>
      </w:pPr>
      <w:rPr>
        <w:rFonts w:asciiTheme="minorHAnsi" w:hAnsiTheme="minorHAnsi"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3010F8"/>
    <w:multiLevelType w:val="hybridMultilevel"/>
    <w:tmpl w:val="BD2E1E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2D4799B"/>
    <w:multiLevelType w:val="hybridMultilevel"/>
    <w:tmpl w:val="3C40DAC2"/>
    <w:lvl w:ilvl="0" w:tplc="F0B0255C">
      <w:start w:val="1"/>
      <w:numFmt w:val="upperRoman"/>
      <w:lvlText w:val="%1."/>
      <w:lvlJc w:val="right"/>
      <w:pPr>
        <w:tabs>
          <w:tab w:val="num" w:pos="576"/>
        </w:tabs>
        <w:ind w:left="576" w:hanging="216"/>
      </w:pPr>
      <w:rPr>
        <w:rFonts w:hint="default"/>
        <w:color w:val="auto"/>
      </w:rPr>
    </w:lvl>
    <w:lvl w:ilvl="1" w:tplc="0409000F">
      <w:start w:val="1"/>
      <w:numFmt w:val="decimal"/>
      <w:lvlText w:val="%2."/>
      <w:lvlJc w:val="left"/>
      <w:pPr>
        <w:tabs>
          <w:tab w:val="num" w:pos="1800"/>
        </w:tabs>
        <w:ind w:left="1800" w:hanging="360"/>
      </w:pPr>
      <w:rPr>
        <w:rFonts w:hint="default"/>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6AC06ED"/>
    <w:multiLevelType w:val="hybridMultilevel"/>
    <w:tmpl w:val="E572DB4C"/>
    <w:lvl w:ilvl="0" w:tplc="75F002BA">
      <w:start w:val="1"/>
      <w:numFmt w:val="bullet"/>
      <w:lvlText w:val=""/>
      <w:lvlJc w:val="left"/>
      <w:pPr>
        <w:tabs>
          <w:tab w:val="num" w:pos="720"/>
        </w:tabs>
        <w:ind w:left="720" w:hanging="360"/>
      </w:pPr>
      <w:rPr>
        <w:rFonts w:ascii="Wingdings 2" w:hAnsi="Wingdings 2" w:hint="default"/>
      </w:rPr>
    </w:lvl>
    <w:lvl w:ilvl="1" w:tplc="09348064" w:tentative="1">
      <w:start w:val="1"/>
      <w:numFmt w:val="bullet"/>
      <w:lvlText w:val=""/>
      <w:lvlJc w:val="left"/>
      <w:pPr>
        <w:tabs>
          <w:tab w:val="num" w:pos="1440"/>
        </w:tabs>
        <w:ind w:left="1440" w:hanging="360"/>
      </w:pPr>
      <w:rPr>
        <w:rFonts w:ascii="Wingdings 2" w:hAnsi="Wingdings 2" w:hint="default"/>
      </w:rPr>
    </w:lvl>
    <w:lvl w:ilvl="2" w:tplc="E7B6D22A" w:tentative="1">
      <w:start w:val="1"/>
      <w:numFmt w:val="bullet"/>
      <w:lvlText w:val=""/>
      <w:lvlJc w:val="left"/>
      <w:pPr>
        <w:tabs>
          <w:tab w:val="num" w:pos="2160"/>
        </w:tabs>
        <w:ind w:left="2160" w:hanging="360"/>
      </w:pPr>
      <w:rPr>
        <w:rFonts w:ascii="Wingdings 2" w:hAnsi="Wingdings 2" w:hint="default"/>
      </w:rPr>
    </w:lvl>
    <w:lvl w:ilvl="3" w:tplc="38D23FFE" w:tentative="1">
      <w:start w:val="1"/>
      <w:numFmt w:val="bullet"/>
      <w:lvlText w:val=""/>
      <w:lvlJc w:val="left"/>
      <w:pPr>
        <w:tabs>
          <w:tab w:val="num" w:pos="2880"/>
        </w:tabs>
        <w:ind w:left="2880" w:hanging="360"/>
      </w:pPr>
      <w:rPr>
        <w:rFonts w:ascii="Wingdings 2" w:hAnsi="Wingdings 2" w:hint="default"/>
      </w:rPr>
    </w:lvl>
    <w:lvl w:ilvl="4" w:tplc="5AFCDA50" w:tentative="1">
      <w:start w:val="1"/>
      <w:numFmt w:val="bullet"/>
      <w:lvlText w:val=""/>
      <w:lvlJc w:val="left"/>
      <w:pPr>
        <w:tabs>
          <w:tab w:val="num" w:pos="3600"/>
        </w:tabs>
        <w:ind w:left="3600" w:hanging="360"/>
      </w:pPr>
      <w:rPr>
        <w:rFonts w:ascii="Wingdings 2" w:hAnsi="Wingdings 2" w:hint="default"/>
      </w:rPr>
    </w:lvl>
    <w:lvl w:ilvl="5" w:tplc="D7AEC766" w:tentative="1">
      <w:start w:val="1"/>
      <w:numFmt w:val="bullet"/>
      <w:lvlText w:val=""/>
      <w:lvlJc w:val="left"/>
      <w:pPr>
        <w:tabs>
          <w:tab w:val="num" w:pos="4320"/>
        </w:tabs>
        <w:ind w:left="4320" w:hanging="360"/>
      </w:pPr>
      <w:rPr>
        <w:rFonts w:ascii="Wingdings 2" w:hAnsi="Wingdings 2" w:hint="default"/>
      </w:rPr>
    </w:lvl>
    <w:lvl w:ilvl="6" w:tplc="3CD4EC50" w:tentative="1">
      <w:start w:val="1"/>
      <w:numFmt w:val="bullet"/>
      <w:lvlText w:val=""/>
      <w:lvlJc w:val="left"/>
      <w:pPr>
        <w:tabs>
          <w:tab w:val="num" w:pos="5040"/>
        </w:tabs>
        <w:ind w:left="5040" w:hanging="360"/>
      </w:pPr>
      <w:rPr>
        <w:rFonts w:ascii="Wingdings 2" w:hAnsi="Wingdings 2" w:hint="default"/>
      </w:rPr>
    </w:lvl>
    <w:lvl w:ilvl="7" w:tplc="580420F6" w:tentative="1">
      <w:start w:val="1"/>
      <w:numFmt w:val="bullet"/>
      <w:lvlText w:val=""/>
      <w:lvlJc w:val="left"/>
      <w:pPr>
        <w:tabs>
          <w:tab w:val="num" w:pos="5760"/>
        </w:tabs>
        <w:ind w:left="5760" w:hanging="360"/>
      </w:pPr>
      <w:rPr>
        <w:rFonts w:ascii="Wingdings 2" w:hAnsi="Wingdings 2" w:hint="default"/>
      </w:rPr>
    </w:lvl>
    <w:lvl w:ilvl="8" w:tplc="DB421694"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186D3D9C"/>
    <w:multiLevelType w:val="hybridMultilevel"/>
    <w:tmpl w:val="0AA48CA4"/>
    <w:lvl w:ilvl="0" w:tplc="A9B40C68">
      <w:start w:val="1"/>
      <w:numFmt w:val="upperRoman"/>
      <w:lvlText w:val="%1."/>
      <w:lvlJc w:val="right"/>
      <w:pPr>
        <w:tabs>
          <w:tab w:val="num" w:pos="216"/>
        </w:tabs>
        <w:ind w:left="0" w:firstLine="0"/>
      </w:pPr>
      <w:rPr>
        <w:rFonts w:hint="default"/>
      </w:rPr>
    </w:lvl>
    <w:lvl w:ilvl="1" w:tplc="81FAE63E">
      <w:start w:val="1"/>
      <w:numFmt w:val="bullet"/>
      <w:lvlText w:val=""/>
      <w:lvlJc w:val="left"/>
      <w:pPr>
        <w:tabs>
          <w:tab w:val="num" w:pos="1080"/>
        </w:tabs>
        <w:ind w:left="1080" w:hanging="360"/>
      </w:pPr>
      <w:rPr>
        <w:rFonts w:ascii="Symbol" w:hAnsi="Symbol" w:hint="default"/>
        <w:sz w:val="20"/>
        <w:szCs w:val="20"/>
      </w:rPr>
    </w:lvl>
    <w:lvl w:ilvl="2" w:tplc="1B6E9298">
      <w:start w:val="14"/>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3CD26F3"/>
    <w:multiLevelType w:val="hybridMultilevel"/>
    <w:tmpl w:val="94CE3A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3DC5AD0"/>
    <w:multiLevelType w:val="hybridMultilevel"/>
    <w:tmpl w:val="39F8687A"/>
    <w:lvl w:ilvl="0" w:tplc="92E623A0">
      <w:start w:val="1"/>
      <w:numFmt w:val="bullet"/>
      <w:lvlText w:val=""/>
      <w:lvlJc w:val="left"/>
      <w:pPr>
        <w:tabs>
          <w:tab w:val="num" w:pos="720"/>
        </w:tabs>
        <w:ind w:left="720" w:hanging="360"/>
      </w:pPr>
      <w:rPr>
        <w:rFonts w:ascii="Wingdings 2" w:hAnsi="Wingdings 2" w:hint="default"/>
      </w:rPr>
    </w:lvl>
    <w:lvl w:ilvl="1" w:tplc="F3F22FFA">
      <w:start w:val="1597"/>
      <w:numFmt w:val="bullet"/>
      <w:lvlText w:val=""/>
      <w:lvlJc w:val="left"/>
      <w:pPr>
        <w:tabs>
          <w:tab w:val="num" w:pos="1440"/>
        </w:tabs>
        <w:ind w:left="1440" w:hanging="360"/>
      </w:pPr>
      <w:rPr>
        <w:rFonts w:ascii="Wingdings 2" w:hAnsi="Wingdings 2" w:hint="default"/>
      </w:rPr>
    </w:lvl>
    <w:lvl w:ilvl="2" w:tplc="F5567858" w:tentative="1">
      <w:start w:val="1"/>
      <w:numFmt w:val="bullet"/>
      <w:lvlText w:val=""/>
      <w:lvlJc w:val="left"/>
      <w:pPr>
        <w:tabs>
          <w:tab w:val="num" w:pos="2160"/>
        </w:tabs>
        <w:ind w:left="2160" w:hanging="360"/>
      </w:pPr>
      <w:rPr>
        <w:rFonts w:ascii="Wingdings 2" w:hAnsi="Wingdings 2" w:hint="default"/>
      </w:rPr>
    </w:lvl>
    <w:lvl w:ilvl="3" w:tplc="40AEB49A" w:tentative="1">
      <w:start w:val="1"/>
      <w:numFmt w:val="bullet"/>
      <w:lvlText w:val=""/>
      <w:lvlJc w:val="left"/>
      <w:pPr>
        <w:tabs>
          <w:tab w:val="num" w:pos="2880"/>
        </w:tabs>
        <w:ind w:left="2880" w:hanging="360"/>
      </w:pPr>
      <w:rPr>
        <w:rFonts w:ascii="Wingdings 2" w:hAnsi="Wingdings 2" w:hint="default"/>
      </w:rPr>
    </w:lvl>
    <w:lvl w:ilvl="4" w:tplc="1200F994" w:tentative="1">
      <w:start w:val="1"/>
      <w:numFmt w:val="bullet"/>
      <w:lvlText w:val=""/>
      <w:lvlJc w:val="left"/>
      <w:pPr>
        <w:tabs>
          <w:tab w:val="num" w:pos="3600"/>
        </w:tabs>
        <w:ind w:left="3600" w:hanging="360"/>
      </w:pPr>
      <w:rPr>
        <w:rFonts w:ascii="Wingdings 2" w:hAnsi="Wingdings 2" w:hint="default"/>
      </w:rPr>
    </w:lvl>
    <w:lvl w:ilvl="5" w:tplc="33D6E562" w:tentative="1">
      <w:start w:val="1"/>
      <w:numFmt w:val="bullet"/>
      <w:lvlText w:val=""/>
      <w:lvlJc w:val="left"/>
      <w:pPr>
        <w:tabs>
          <w:tab w:val="num" w:pos="4320"/>
        </w:tabs>
        <w:ind w:left="4320" w:hanging="360"/>
      </w:pPr>
      <w:rPr>
        <w:rFonts w:ascii="Wingdings 2" w:hAnsi="Wingdings 2" w:hint="default"/>
      </w:rPr>
    </w:lvl>
    <w:lvl w:ilvl="6" w:tplc="92B8125A" w:tentative="1">
      <w:start w:val="1"/>
      <w:numFmt w:val="bullet"/>
      <w:lvlText w:val=""/>
      <w:lvlJc w:val="left"/>
      <w:pPr>
        <w:tabs>
          <w:tab w:val="num" w:pos="5040"/>
        </w:tabs>
        <w:ind w:left="5040" w:hanging="360"/>
      </w:pPr>
      <w:rPr>
        <w:rFonts w:ascii="Wingdings 2" w:hAnsi="Wingdings 2" w:hint="default"/>
      </w:rPr>
    </w:lvl>
    <w:lvl w:ilvl="7" w:tplc="7EF4D55C" w:tentative="1">
      <w:start w:val="1"/>
      <w:numFmt w:val="bullet"/>
      <w:lvlText w:val=""/>
      <w:lvlJc w:val="left"/>
      <w:pPr>
        <w:tabs>
          <w:tab w:val="num" w:pos="5760"/>
        </w:tabs>
        <w:ind w:left="5760" w:hanging="360"/>
      </w:pPr>
      <w:rPr>
        <w:rFonts w:ascii="Wingdings 2" w:hAnsi="Wingdings 2" w:hint="default"/>
      </w:rPr>
    </w:lvl>
    <w:lvl w:ilvl="8" w:tplc="A3B8378C" w:tentative="1">
      <w:start w:val="1"/>
      <w:numFmt w:val="bullet"/>
      <w:lvlText w:val=""/>
      <w:lvlJc w:val="left"/>
      <w:pPr>
        <w:tabs>
          <w:tab w:val="num" w:pos="6480"/>
        </w:tabs>
        <w:ind w:left="6480" w:hanging="360"/>
      </w:pPr>
      <w:rPr>
        <w:rFonts w:ascii="Wingdings 2" w:hAnsi="Wingdings 2" w:hint="default"/>
      </w:rPr>
    </w:lvl>
  </w:abstractNum>
  <w:abstractNum w:abstractNumId="11" w15:restartNumberingAfterBreak="0">
    <w:nsid w:val="2ABF2A9E"/>
    <w:multiLevelType w:val="hybridMultilevel"/>
    <w:tmpl w:val="3384DC20"/>
    <w:lvl w:ilvl="0" w:tplc="5A5C0DAE">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FE33D0"/>
    <w:multiLevelType w:val="hybridMultilevel"/>
    <w:tmpl w:val="EAA0C41A"/>
    <w:lvl w:ilvl="0" w:tplc="041C000F">
      <w:start w:val="1"/>
      <w:numFmt w:val="decimal"/>
      <w:lvlText w:val="%1."/>
      <w:lvlJc w:val="left"/>
      <w:pPr>
        <w:tabs>
          <w:tab w:val="num" w:pos="720"/>
        </w:tabs>
        <w:ind w:left="720" w:hanging="360"/>
      </w:pPr>
      <w:rPr>
        <w:rFonts w:hint="default"/>
      </w:rPr>
    </w:lvl>
    <w:lvl w:ilvl="1" w:tplc="4D366F94">
      <w:start w:val="1"/>
      <w:numFmt w:val="bullet"/>
      <w:lvlText w:val=""/>
      <w:lvlJc w:val="left"/>
      <w:pPr>
        <w:tabs>
          <w:tab w:val="num" w:pos="1440"/>
        </w:tabs>
        <w:ind w:left="1440" w:hanging="360"/>
      </w:pPr>
      <w:rPr>
        <w:rFonts w:ascii="Wingdings 2" w:hAnsi="Wingdings 2" w:hint="default"/>
      </w:rPr>
    </w:lvl>
    <w:lvl w:ilvl="2" w:tplc="D8B2C5E0" w:tentative="1">
      <w:start w:val="1"/>
      <w:numFmt w:val="bullet"/>
      <w:lvlText w:val=""/>
      <w:lvlJc w:val="left"/>
      <w:pPr>
        <w:tabs>
          <w:tab w:val="num" w:pos="2160"/>
        </w:tabs>
        <w:ind w:left="2160" w:hanging="360"/>
      </w:pPr>
      <w:rPr>
        <w:rFonts w:ascii="Wingdings 2" w:hAnsi="Wingdings 2" w:hint="default"/>
      </w:rPr>
    </w:lvl>
    <w:lvl w:ilvl="3" w:tplc="E026B47A" w:tentative="1">
      <w:start w:val="1"/>
      <w:numFmt w:val="bullet"/>
      <w:lvlText w:val=""/>
      <w:lvlJc w:val="left"/>
      <w:pPr>
        <w:tabs>
          <w:tab w:val="num" w:pos="2880"/>
        </w:tabs>
        <w:ind w:left="2880" w:hanging="360"/>
      </w:pPr>
      <w:rPr>
        <w:rFonts w:ascii="Wingdings 2" w:hAnsi="Wingdings 2" w:hint="default"/>
      </w:rPr>
    </w:lvl>
    <w:lvl w:ilvl="4" w:tplc="4510DBDA" w:tentative="1">
      <w:start w:val="1"/>
      <w:numFmt w:val="bullet"/>
      <w:lvlText w:val=""/>
      <w:lvlJc w:val="left"/>
      <w:pPr>
        <w:tabs>
          <w:tab w:val="num" w:pos="3600"/>
        </w:tabs>
        <w:ind w:left="3600" w:hanging="360"/>
      </w:pPr>
      <w:rPr>
        <w:rFonts w:ascii="Wingdings 2" w:hAnsi="Wingdings 2" w:hint="default"/>
      </w:rPr>
    </w:lvl>
    <w:lvl w:ilvl="5" w:tplc="EE1C34CA" w:tentative="1">
      <w:start w:val="1"/>
      <w:numFmt w:val="bullet"/>
      <w:lvlText w:val=""/>
      <w:lvlJc w:val="left"/>
      <w:pPr>
        <w:tabs>
          <w:tab w:val="num" w:pos="4320"/>
        </w:tabs>
        <w:ind w:left="4320" w:hanging="360"/>
      </w:pPr>
      <w:rPr>
        <w:rFonts w:ascii="Wingdings 2" w:hAnsi="Wingdings 2" w:hint="default"/>
      </w:rPr>
    </w:lvl>
    <w:lvl w:ilvl="6" w:tplc="84F2AF16" w:tentative="1">
      <w:start w:val="1"/>
      <w:numFmt w:val="bullet"/>
      <w:lvlText w:val=""/>
      <w:lvlJc w:val="left"/>
      <w:pPr>
        <w:tabs>
          <w:tab w:val="num" w:pos="5040"/>
        </w:tabs>
        <w:ind w:left="5040" w:hanging="360"/>
      </w:pPr>
      <w:rPr>
        <w:rFonts w:ascii="Wingdings 2" w:hAnsi="Wingdings 2" w:hint="default"/>
      </w:rPr>
    </w:lvl>
    <w:lvl w:ilvl="7" w:tplc="751AC3E8" w:tentative="1">
      <w:start w:val="1"/>
      <w:numFmt w:val="bullet"/>
      <w:lvlText w:val=""/>
      <w:lvlJc w:val="left"/>
      <w:pPr>
        <w:tabs>
          <w:tab w:val="num" w:pos="5760"/>
        </w:tabs>
        <w:ind w:left="5760" w:hanging="360"/>
      </w:pPr>
      <w:rPr>
        <w:rFonts w:ascii="Wingdings 2" w:hAnsi="Wingdings 2" w:hint="default"/>
      </w:rPr>
    </w:lvl>
    <w:lvl w:ilvl="8" w:tplc="1BDE964C" w:tentative="1">
      <w:start w:val="1"/>
      <w:numFmt w:val="bullet"/>
      <w:lvlText w:val=""/>
      <w:lvlJc w:val="left"/>
      <w:pPr>
        <w:tabs>
          <w:tab w:val="num" w:pos="6480"/>
        </w:tabs>
        <w:ind w:left="6480" w:hanging="360"/>
      </w:pPr>
      <w:rPr>
        <w:rFonts w:ascii="Wingdings 2" w:hAnsi="Wingdings 2" w:hint="default"/>
      </w:rPr>
    </w:lvl>
  </w:abstractNum>
  <w:abstractNum w:abstractNumId="13" w15:restartNumberingAfterBreak="0">
    <w:nsid w:val="2EC151C8"/>
    <w:multiLevelType w:val="hybridMultilevel"/>
    <w:tmpl w:val="CAB2A1FA"/>
    <w:lvl w:ilvl="0" w:tplc="F0B0255C">
      <w:start w:val="1"/>
      <w:numFmt w:val="upperRoman"/>
      <w:lvlText w:val="%1."/>
      <w:lvlJc w:val="right"/>
      <w:pPr>
        <w:tabs>
          <w:tab w:val="num" w:pos="576"/>
        </w:tabs>
        <w:ind w:left="576" w:hanging="216"/>
      </w:pPr>
      <w:rPr>
        <w:rFonts w:hint="default"/>
        <w:color w:val="auto"/>
      </w:rPr>
    </w:lvl>
    <w:lvl w:ilvl="1" w:tplc="04090019">
      <w:start w:val="1"/>
      <w:numFmt w:val="lowerLetter"/>
      <w:lvlText w:val="%2."/>
      <w:lvlJc w:val="left"/>
      <w:pPr>
        <w:tabs>
          <w:tab w:val="num" w:pos="1800"/>
        </w:tabs>
        <w:ind w:left="1800" w:hanging="360"/>
      </w:pPr>
    </w:lvl>
    <w:lvl w:ilvl="2" w:tplc="8AE275FE">
      <w:start w:val="1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2262134"/>
    <w:multiLevelType w:val="hybridMultilevel"/>
    <w:tmpl w:val="0FAECAF4"/>
    <w:lvl w:ilvl="0" w:tplc="04090005">
      <w:start w:val="1"/>
      <w:numFmt w:val="bullet"/>
      <w:lvlText w:val=""/>
      <w:lvlJc w:val="left"/>
      <w:pPr>
        <w:tabs>
          <w:tab w:val="num" w:pos="360"/>
        </w:tabs>
        <w:ind w:left="360" w:hanging="360"/>
      </w:pPr>
      <w:rPr>
        <w:rFonts w:ascii="Wingdings" w:hAnsi="Wingding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304613B"/>
    <w:multiLevelType w:val="hybridMultilevel"/>
    <w:tmpl w:val="F77AC33C"/>
    <w:lvl w:ilvl="0" w:tplc="7688DAB6">
      <w:start w:val="1"/>
      <w:numFmt w:val="decimal"/>
      <w:lvlText w:val="%1."/>
      <w:lvlJc w:val="left"/>
      <w:pPr>
        <w:ind w:left="720" w:hanging="360"/>
      </w:pPr>
      <w:rPr>
        <w:rFonts w:asciiTheme="minorHAnsi" w:hAnsiTheme="minorHAnsi"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393424"/>
    <w:multiLevelType w:val="hybridMultilevel"/>
    <w:tmpl w:val="7902C43E"/>
    <w:lvl w:ilvl="0" w:tplc="FA064204">
      <w:start w:val="1"/>
      <w:numFmt w:val="upperRoman"/>
      <w:lvlText w:val="%1."/>
      <w:lvlJc w:val="right"/>
      <w:pPr>
        <w:tabs>
          <w:tab w:val="num" w:pos="180"/>
        </w:tabs>
        <w:ind w:left="180" w:hanging="180"/>
      </w:pPr>
      <w:rPr>
        <w:color w:val="auto"/>
      </w:rPr>
    </w:lvl>
    <w:lvl w:ilvl="1" w:tplc="04090019">
      <w:start w:val="1"/>
      <w:numFmt w:val="lowerLetter"/>
      <w:lvlText w:val="%2."/>
      <w:lvlJc w:val="left"/>
      <w:pPr>
        <w:tabs>
          <w:tab w:val="num" w:pos="900"/>
        </w:tabs>
        <w:ind w:left="900" w:hanging="360"/>
      </w:pPr>
    </w:lvl>
    <w:lvl w:ilvl="2" w:tplc="0409001B">
      <w:start w:val="1"/>
      <w:numFmt w:val="lowerRoman"/>
      <w:lvlText w:val="%3."/>
      <w:lvlJc w:val="right"/>
      <w:pPr>
        <w:tabs>
          <w:tab w:val="num" w:pos="1620"/>
        </w:tabs>
        <w:ind w:left="1620" w:hanging="180"/>
      </w:pPr>
    </w:lvl>
    <w:lvl w:ilvl="3" w:tplc="0409000F">
      <w:start w:val="1"/>
      <w:numFmt w:val="decimal"/>
      <w:lvlText w:val="%4."/>
      <w:lvlJc w:val="left"/>
      <w:pPr>
        <w:tabs>
          <w:tab w:val="num" w:pos="2340"/>
        </w:tabs>
        <w:ind w:left="2340" w:hanging="360"/>
      </w:pPr>
    </w:lvl>
    <w:lvl w:ilvl="4" w:tplc="04090019">
      <w:start w:val="1"/>
      <w:numFmt w:val="lowerLetter"/>
      <w:lvlText w:val="%5."/>
      <w:lvlJc w:val="left"/>
      <w:pPr>
        <w:tabs>
          <w:tab w:val="num" w:pos="3060"/>
        </w:tabs>
        <w:ind w:left="3060" w:hanging="360"/>
      </w:pPr>
    </w:lvl>
    <w:lvl w:ilvl="5" w:tplc="0409001B">
      <w:start w:val="1"/>
      <w:numFmt w:val="lowerRoman"/>
      <w:lvlText w:val="%6."/>
      <w:lvlJc w:val="right"/>
      <w:pPr>
        <w:tabs>
          <w:tab w:val="num" w:pos="3780"/>
        </w:tabs>
        <w:ind w:left="3780" w:hanging="180"/>
      </w:pPr>
    </w:lvl>
    <w:lvl w:ilvl="6" w:tplc="0409000F">
      <w:start w:val="1"/>
      <w:numFmt w:val="decimal"/>
      <w:lvlText w:val="%7."/>
      <w:lvlJc w:val="left"/>
      <w:pPr>
        <w:tabs>
          <w:tab w:val="num" w:pos="4500"/>
        </w:tabs>
        <w:ind w:left="4500" w:hanging="360"/>
      </w:pPr>
    </w:lvl>
    <w:lvl w:ilvl="7" w:tplc="04090019">
      <w:start w:val="1"/>
      <w:numFmt w:val="lowerLetter"/>
      <w:lvlText w:val="%8."/>
      <w:lvlJc w:val="left"/>
      <w:pPr>
        <w:tabs>
          <w:tab w:val="num" w:pos="5220"/>
        </w:tabs>
        <w:ind w:left="5220" w:hanging="360"/>
      </w:pPr>
    </w:lvl>
    <w:lvl w:ilvl="8" w:tplc="0409001B">
      <w:start w:val="1"/>
      <w:numFmt w:val="lowerRoman"/>
      <w:lvlText w:val="%9."/>
      <w:lvlJc w:val="right"/>
      <w:pPr>
        <w:tabs>
          <w:tab w:val="num" w:pos="5940"/>
        </w:tabs>
        <w:ind w:left="5940" w:hanging="180"/>
      </w:pPr>
    </w:lvl>
  </w:abstractNum>
  <w:abstractNum w:abstractNumId="17" w15:restartNumberingAfterBreak="0">
    <w:nsid w:val="39FB08C4"/>
    <w:multiLevelType w:val="hybridMultilevel"/>
    <w:tmpl w:val="CAEC41E4"/>
    <w:lvl w:ilvl="0" w:tplc="32BA781C">
      <w:start w:val="1"/>
      <w:numFmt w:val="decimal"/>
      <w:lvlText w:val="%1."/>
      <w:lvlJc w:val="left"/>
      <w:pPr>
        <w:ind w:left="720" w:hanging="360"/>
      </w:pPr>
      <w:rPr>
        <w:rFonts w:asciiTheme="minorHAnsi" w:hAnsiTheme="minorHAnsi"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853721"/>
    <w:multiLevelType w:val="hybridMultilevel"/>
    <w:tmpl w:val="69D46D58"/>
    <w:lvl w:ilvl="0" w:tplc="EEAE2D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674335"/>
    <w:multiLevelType w:val="hybridMultilevel"/>
    <w:tmpl w:val="8F1228E6"/>
    <w:lvl w:ilvl="0" w:tplc="04090001">
      <w:start w:val="1"/>
      <w:numFmt w:val="bullet"/>
      <w:lvlText w:val=""/>
      <w:lvlJc w:val="left"/>
      <w:pPr>
        <w:tabs>
          <w:tab w:val="num" w:pos="360"/>
        </w:tabs>
        <w:ind w:left="360" w:hanging="360"/>
      </w:pPr>
      <w:rPr>
        <w:rFonts w:ascii="Symbol" w:hAnsi="Symbol" w:cs="Symbol" w:hint="default"/>
      </w:rPr>
    </w:lvl>
    <w:lvl w:ilvl="1" w:tplc="D35851BA">
      <w:numFmt w:val="bullet"/>
      <w:lvlText w:val="-"/>
      <w:lvlJc w:val="left"/>
      <w:pPr>
        <w:tabs>
          <w:tab w:val="num" w:pos="1080"/>
        </w:tabs>
        <w:ind w:left="1080" w:hanging="360"/>
      </w:pPr>
      <w:rPr>
        <w:rFonts w:ascii="Times New Roman" w:eastAsia="Times New Roman" w:hAnsi="Times New Roman"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0" w15:restartNumberingAfterBreak="0">
    <w:nsid w:val="41A526F3"/>
    <w:multiLevelType w:val="hybridMultilevel"/>
    <w:tmpl w:val="AEEAF2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7CA5CD0"/>
    <w:multiLevelType w:val="hybridMultilevel"/>
    <w:tmpl w:val="F70047A8"/>
    <w:lvl w:ilvl="0" w:tplc="04090001">
      <w:start w:val="1"/>
      <w:numFmt w:val="bullet"/>
      <w:lvlText w:val=""/>
      <w:lvlJc w:val="left"/>
      <w:pPr>
        <w:tabs>
          <w:tab w:val="num" w:pos="360"/>
        </w:tabs>
        <w:ind w:left="360" w:hanging="360"/>
      </w:pPr>
      <w:rPr>
        <w:rFonts w:ascii="Symbol" w:hAnsi="Symbol" w:cs="Symbol" w:hint="default"/>
      </w:rPr>
    </w:lvl>
    <w:lvl w:ilvl="1" w:tplc="04090013">
      <w:start w:val="1"/>
      <w:numFmt w:val="upperRoman"/>
      <w:lvlText w:val="%2."/>
      <w:lvlJc w:val="right"/>
      <w:pPr>
        <w:tabs>
          <w:tab w:val="num" w:pos="900"/>
        </w:tabs>
        <w:ind w:left="900" w:hanging="180"/>
      </w:pPr>
      <w:rPr>
        <w:rFonts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2" w15:restartNumberingAfterBreak="0">
    <w:nsid w:val="4BC32E49"/>
    <w:multiLevelType w:val="hybridMultilevel"/>
    <w:tmpl w:val="D6CABBF8"/>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3" w15:restartNumberingAfterBreak="0">
    <w:nsid w:val="57CF5FD9"/>
    <w:multiLevelType w:val="hybridMultilevel"/>
    <w:tmpl w:val="0FFCA616"/>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1F82A26"/>
    <w:multiLevelType w:val="hybridMultilevel"/>
    <w:tmpl w:val="3B74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3E2C25"/>
    <w:multiLevelType w:val="hybridMultilevel"/>
    <w:tmpl w:val="2EE67D2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66576B9A"/>
    <w:multiLevelType w:val="hybridMultilevel"/>
    <w:tmpl w:val="B9E2AD92"/>
    <w:lvl w:ilvl="0" w:tplc="D042ED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9BA48B4"/>
    <w:multiLevelType w:val="hybridMultilevel"/>
    <w:tmpl w:val="863C3A7E"/>
    <w:lvl w:ilvl="0" w:tplc="6DCCAB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719356EF"/>
    <w:multiLevelType w:val="hybridMultilevel"/>
    <w:tmpl w:val="F04401D2"/>
    <w:lvl w:ilvl="0" w:tplc="0409000F">
      <w:start w:val="1"/>
      <w:numFmt w:val="decimal"/>
      <w:lvlText w:val="%1."/>
      <w:lvlJc w:val="left"/>
      <w:pPr>
        <w:tabs>
          <w:tab w:val="num" w:pos="1440"/>
        </w:tabs>
        <w:ind w:left="1440" w:hanging="360"/>
      </w:pPr>
      <w:rPr>
        <w:rFonts w:cs="Times New Roman"/>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5365F23"/>
    <w:multiLevelType w:val="hybridMultilevel"/>
    <w:tmpl w:val="E69232F6"/>
    <w:lvl w:ilvl="0" w:tplc="6C74393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A43F15"/>
    <w:multiLevelType w:val="hybridMultilevel"/>
    <w:tmpl w:val="B80076E6"/>
    <w:lvl w:ilvl="0" w:tplc="F0B0255C">
      <w:start w:val="1"/>
      <w:numFmt w:val="upperRoman"/>
      <w:lvlText w:val="%1."/>
      <w:lvlJc w:val="right"/>
      <w:pPr>
        <w:tabs>
          <w:tab w:val="num" w:pos="576"/>
        </w:tabs>
        <w:ind w:left="576" w:hanging="216"/>
      </w:pPr>
      <w:rPr>
        <w:rFonts w:hint="default"/>
        <w:color w:val="auto"/>
      </w:rPr>
    </w:lvl>
    <w:lvl w:ilvl="1" w:tplc="0409000D">
      <w:start w:val="1"/>
      <w:numFmt w:val="bullet"/>
      <w:lvlText w:val=""/>
      <w:lvlJc w:val="left"/>
      <w:pPr>
        <w:tabs>
          <w:tab w:val="num" w:pos="1800"/>
        </w:tabs>
        <w:ind w:left="1800" w:hanging="360"/>
      </w:pPr>
      <w:rPr>
        <w:rFonts w:ascii="Wingdings" w:hAnsi="Wingdings" w:hint="default"/>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14"/>
  </w:num>
  <w:num w:numId="3">
    <w:abstractNumId w:val="25"/>
  </w:num>
  <w:num w:numId="4">
    <w:abstractNumId w:val="8"/>
  </w:num>
  <w:num w:numId="5">
    <w:abstractNumId w:val="11"/>
  </w:num>
  <w:num w:numId="6">
    <w:abstractNumId w:val="13"/>
  </w:num>
  <w:num w:numId="7">
    <w:abstractNumId w:val="27"/>
  </w:num>
  <w:num w:numId="8">
    <w:abstractNumId w:val="20"/>
  </w:num>
  <w:num w:numId="9">
    <w:abstractNumId w:val="9"/>
  </w:num>
  <w:num w:numId="10">
    <w:abstractNumId w:val="23"/>
  </w:num>
  <w:num w:numId="11">
    <w:abstractNumId w:val="6"/>
  </w:num>
  <w:num w:numId="12">
    <w:abstractNumId w:val="30"/>
  </w:num>
  <w:num w:numId="13">
    <w:abstractNumId w:val="28"/>
  </w:num>
  <w:num w:numId="14">
    <w:abstractNumId w:val="1"/>
  </w:num>
  <w:num w:numId="15">
    <w:abstractNumId w:val="0"/>
  </w:num>
  <w:num w:numId="16">
    <w:abstractNumId w:val="21"/>
  </w:num>
  <w:num w:numId="17">
    <w:abstractNumId w:val="16"/>
  </w:num>
  <w:num w:numId="18">
    <w:abstractNumId w:val="19"/>
  </w:num>
  <w:num w:numId="19">
    <w:abstractNumId w:val="3"/>
  </w:num>
  <w:num w:numId="20">
    <w:abstractNumId w:val="7"/>
  </w:num>
  <w:num w:numId="21">
    <w:abstractNumId w:val="10"/>
  </w:num>
  <w:num w:numId="22">
    <w:abstractNumId w:val="22"/>
  </w:num>
  <w:num w:numId="23">
    <w:abstractNumId w:val="12"/>
  </w:num>
  <w:num w:numId="24">
    <w:abstractNumId w:val="24"/>
  </w:num>
  <w:num w:numId="25">
    <w:abstractNumId w:val="2"/>
  </w:num>
  <w:num w:numId="26">
    <w:abstractNumId w:val="18"/>
  </w:num>
  <w:num w:numId="27">
    <w:abstractNumId w:val="15"/>
  </w:num>
  <w:num w:numId="28">
    <w:abstractNumId w:val="29"/>
  </w:num>
  <w:num w:numId="29">
    <w:abstractNumId w:val="26"/>
  </w:num>
  <w:num w:numId="30">
    <w:abstractNumId w:val="17"/>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C92"/>
    <w:rsid w:val="0000065E"/>
    <w:rsid w:val="00001EFF"/>
    <w:rsid w:val="0000310B"/>
    <w:rsid w:val="00005D95"/>
    <w:rsid w:val="000063CE"/>
    <w:rsid w:val="00010211"/>
    <w:rsid w:val="00010723"/>
    <w:rsid w:val="00011DDE"/>
    <w:rsid w:val="0001645D"/>
    <w:rsid w:val="000171D8"/>
    <w:rsid w:val="00023849"/>
    <w:rsid w:val="00025350"/>
    <w:rsid w:val="00030362"/>
    <w:rsid w:val="0003519B"/>
    <w:rsid w:val="000369CA"/>
    <w:rsid w:val="000375A6"/>
    <w:rsid w:val="00040075"/>
    <w:rsid w:val="00047411"/>
    <w:rsid w:val="00051730"/>
    <w:rsid w:val="00062E60"/>
    <w:rsid w:val="0006417B"/>
    <w:rsid w:val="00064549"/>
    <w:rsid w:val="0006468A"/>
    <w:rsid w:val="0006686D"/>
    <w:rsid w:val="0007270D"/>
    <w:rsid w:val="00073514"/>
    <w:rsid w:val="00074013"/>
    <w:rsid w:val="000749CF"/>
    <w:rsid w:val="00080683"/>
    <w:rsid w:val="00081697"/>
    <w:rsid w:val="00081FBE"/>
    <w:rsid w:val="00082C53"/>
    <w:rsid w:val="00086E9A"/>
    <w:rsid w:val="000923DA"/>
    <w:rsid w:val="00094E0F"/>
    <w:rsid w:val="00097516"/>
    <w:rsid w:val="0009784E"/>
    <w:rsid w:val="000A1648"/>
    <w:rsid w:val="000A212D"/>
    <w:rsid w:val="000A556D"/>
    <w:rsid w:val="000B4B24"/>
    <w:rsid w:val="000B4C58"/>
    <w:rsid w:val="000B4D36"/>
    <w:rsid w:val="000B6595"/>
    <w:rsid w:val="000B7EB9"/>
    <w:rsid w:val="000C04E5"/>
    <w:rsid w:val="000C40E3"/>
    <w:rsid w:val="000C4B1F"/>
    <w:rsid w:val="000D20B5"/>
    <w:rsid w:val="000D418B"/>
    <w:rsid w:val="000D4F05"/>
    <w:rsid w:val="000D5711"/>
    <w:rsid w:val="000E042F"/>
    <w:rsid w:val="000E0C2C"/>
    <w:rsid w:val="000E2087"/>
    <w:rsid w:val="000E33C8"/>
    <w:rsid w:val="000E3F8C"/>
    <w:rsid w:val="000E6A98"/>
    <w:rsid w:val="000E6CEA"/>
    <w:rsid w:val="000E75B2"/>
    <w:rsid w:val="000F3C05"/>
    <w:rsid w:val="00112C66"/>
    <w:rsid w:val="001164AA"/>
    <w:rsid w:val="00117521"/>
    <w:rsid w:val="0012179B"/>
    <w:rsid w:val="001256B8"/>
    <w:rsid w:val="001346BB"/>
    <w:rsid w:val="00135F8B"/>
    <w:rsid w:val="001366FD"/>
    <w:rsid w:val="0014247B"/>
    <w:rsid w:val="00144169"/>
    <w:rsid w:val="0014449B"/>
    <w:rsid w:val="001479EC"/>
    <w:rsid w:val="00147D9D"/>
    <w:rsid w:val="0015221A"/>
    <w:rsid w:val="0015266E"/>
    <w:rsid w:val="00153B99"/>
    <w:rsid w:val="00154347"/>
    <w:rsid w:val="0015729E"/>
    <w:rsid w:val="0016125C"/>
    <w:rsid w:val="00161BC6"/>
    <w:rsid w:val="00163769"/>
    <w:rsid w:val="00164F9D"/>
    <w:rsid w:val="00166520"/>
    <w:rsid w:val="00167D10"/>
    <w:rsid w:val="0017109B"/>
    <w:rsid w:val="0017159D"/>
    <w:rsid w:val="00172EC7"/>
    <w:rsid w:val="001752D7"/>
    <w:rsid w:val="00177B25"/>
    <w:rsid w:val="001826C3"/>
    <w:rsid w:val="00182971"/>
    <w:rsid w:val="00186CD0"/>
    <w:rsid w:val="001911D7"/>
    <w:rsid w:val="00193B1B"/>
    <w:rsid w:val="001A56CB"/>
    <w:rsid w:val="001B0B13"/>
    <w:rsid w:val="001C0686"/>
    <w:rsid w:val="001C4AD2"/>
    <w:rsid w:val="001C7B62"/>
    <w:rsid w:val="001D68E4"/>
    <w:rsid w:val="001D6E99"/>
    <w:rsid w:val="001E15C1"/>
    <w:rsid w:val="001E4A34"/>
    <w:rsid w:val="001F1EDD"/>
    <w:rsid w:val="001F2D0E"/>
    <w:rsid w:val="00202079"/>
    <w:rsid w:val="00203C6E"/>
    <w:rsid w:val="00205CFC"/>
    <w:rsid w:val="002066C2"/>
    <w:rsid w:val="00210D36"/>
    <w:rsid w:val="002119BB"/>
    <w:rsid w:val="00216CCB"/>
    <w:rsid w:val="00217178"/>
    <w:rsid w:val="00217E5B"/>
    <w:rsid w:val="00217F44"/>
    <w:rsid w:val="00222771"/>
    <w:rsid w:val="002261EB"/>
    <w:rsid w:val="0022756E"/>
    <w:rsid w:val="00227F08"/>
    <w:rsid w:val="00232D44"/>
    <w:rsid w:val="00235C7C"/>
    <w:rsid w:val="00242419"/>
    <w:rsid w:val="00250571"/>
    <w:rsid w:val="002507A5"/>
    <w:rsid w:val="00251427"/>
    <w:rsid w:val="0026419F"/>
    <w:rsid w:val="002678DE"/>
    <w:rsid w:val="00281CBD"/>
    <w:rsid w:val="00282769"/>
    <w:rsid w:val="0028673F"/>
    <w:rsid w:val="00290360"/>
    <w:rsid w:val="00290708"/>
    <w:rsid w:val="00291294"/>
    <w:rsid w:val="0029527C"/>
    <w:rsid w:val="00297F41"/>
    <w:rsid w:val="002A047A"/>
    <w:rsid w:val="002A0C5F"/>
    <w:rsid w:val="002A3246"/>
    <w:rsid w:val="002A4AD5"/>
    <w:rsid w:val="002A5BD7"/>
    <w:rsid w:val="002A7F1F"/>
    <w:rsid w:val="002B2959"/>
    <w:rsid w:val="002B31E5"/>
    <w:rsid w:val="002C3223"/>
    <w:rsid w:val="002C618E"/>
    <w:rsid w:val="002D1163"/>
    <w:rsid w:val="002D3FD4"/>
    <w:rsid w:val="002D5808"/>
    <w:rsid w:val="002D77BD"/>
    <w:rsid w:val="002D7CF7"/>
    <w:rsid w:val="002E0F3C"/>
    <w:rsid w:val="002E2AEA"/>
    <w:rsid w:val="002E3DAE"/>
    <w:rsid w:val="002E42E1"/>
    <w:rsid w:val="002E495F"/>
    <w:rsid w:val="002E789D"/>
    <w:rsid w:val="002F2672"/>
    <w:rsid w:val="002F7C5F"/>
    <w:rsid w:val="0030190F"/>
    <w:rsid w:val="0030370C"/>
    <w:rsid w:val="00303BDF"/>
    <w:rsid w:val="00303F77"/>
    <w:rsid w:val="003105FB"/>
    <w:rsid w:val="00313CAF"/>
    <w:rsid w:val="00323D2B"/>
    <w:rsid w:val="003254EB"/>
    <w:rsid w:val="0032588B"/>
    <w:rsid w:val="003258CC"/>
    <w:rsid w:val="00325DC3"/>
    <w:rsid w:val="00326CB3"/>
    <w:rsid w:val="00330001"/>
    <w:rsid w:val="003319E1"/>
    <w:rsid w:val="00336DA3"/>
    <w:rsid w:val="00341FD0"/>
    <w:rsid w:val="00342D6B"/>
    <w:rsid w:val="00356ABF"/>
    <w:rsid w:val="0035720C"/>
    <w:rsid w:val="00357F19"/>
    <w:rsid w:val="00362159"/>
    <w:rsid w:val="0036347B"/>
    <w:rsid w:val="003644FE"/>
    <w:rsid w:val="0036474B"/>
    <w:rsid w:val="00373799"/>
    <w:rsid w:val="00375DD9"/>
    <w:rsid w:val="00376CCE"/>
    <w:rsid w:val="00380EB9"/>
    <w:rsid w:val="00382334"/>
    <w:rsid w:val="0038233F"/>
    <w:rsid w:val="00387CC6"/>
    <w:rsid w:val="00391C24"/>
    <w:rsid w:val="003954A9"/>
    <w:rsid w:val="003A0AFA"/>
    <w:rsid w:val="003A23C0"/>
    <w:rsid w:val="003A4317"/>
    <w:rsid w:val="003A509E"/>
    <w:rsid w:val="003A6F35"/>
    <w:rsid w:val="003B3982"/>
    <w:rsid w:val="003B4F0C"/>
    <w:rsid w:val="003B5569"/>
    <w:rsid w:val="003B5C45"/>
    <w:rsid w:val="003C2AB6"/>
    <w:rsid w:val="003C3A1D"/>
    <w:rsid w:val="003D527B"/>
    <w:rsid w:val="003D67A6"/>
    <w:rsid w:val="003D6C1C"/>
    <w:rsid w:val="003E033F"/>
    <w:rsid w:val="003E04FF"/>
    <w:rsid w:val="003E0A96"/>
    <w:rsid w:val="003E3E2A"/>
    <w:rsid w:val="003E4927"/>
    <w:rsid w:val="003F7065"/>
    <w:rsid w:val="003F78F5"/>
    <w:rsid w:val="003F7D1F"/>
    <w:rsid w:val="00401090"/>
    <w:rsid w:val="00401578"/>
    <w:rsid w:val="00401682"/>
    <w:rsid w:val="004061D4"/>
    <w:rsid w:val="00406C7F"/>
    <w:rsid w:val="004074A3"/>
    <w:rsid w:val="00407B57"/>
    <w:rsid w:val="00407FA5"/>
    <w:rsid w:val="00420441"/>
    <w:rsid w:val="004222AD"/>
    <w:rsid w:val="0042267A"/>
    <w:rsid w:val="00422774"/>
    <w:rsid w:val="00422A32"/>
    <w:rsid w:val="00422C0C"/>
    <w:rsid w:val="00423113"/>
    <w:rsid w:val="004279C3"/>
    <w:rsid w:val="004315B5"/>
    <w:rsid w:val="00431FAB"/>
    <w:rsid w:val="00433565"/>
    <w:rsid w:val="0043736F"/>
    <w:rsid w:val="00441046"/>
    <w:rsid w:val="00441D89"/>
    <w:rsid w:val="00442143"/>
    <w:rsid w:val="004434F0"/>
    <w:rsid w:val="00444381"/>
    <w:rsid w:val="004450C7"/>
    <w:rsid w:val="00445691"/>
    <w:rsid w:val="00446DF1"/>
    <w:rsid w:val="0045735C"/>
    <w:rsid w:val="00461A1F"/>
    <w:rsid w:val="004643F6"/>
    <w:rsid w:val="0046781D"/>
    <w:rsid w:val="00473711"/>
    <w:rsid w:val="00474176"/>
    <w:rsid w:val="00476712"/>
    <w:rsid w:val="00476A4D"/>
    <w:rsid w:val="00476D55"/>
    <w:rsid w:val="00487D9B"/>
    <w:rsid w:val="0049330B"/>
    <w:rsid w:val="0049629C"/>
    <w:rsid w:val="004A01B9"/>
    <w:rsid w:val="004A4943"/>
    <w:rsid w:val="004A50ED"/>
    <w:rsid w:val="004A57D3"/>
    <w:rsid w:val="004A6CFA"/>
    <w:rsid w:val="004B0ACC"/>
    <w:rsid w:val="004B1424"/>
    <w:rsid w:val="004B1D7C"/>
    <w:rsid w:val="004B4118"/>
    <w:rsid w:val="004B5B8A"/>
    <w:rsid w:val="004B6391"/>
    <w:rsid w:val="004B7E1B"/>
    <w:rsid w:val="004C4120"/>
    <w:rsid w:val="004C4D4E"/>
    <w:rsid w:val="004D52F0"/>
    <w:rsid w:val="004E56CD"/>
    <w:rsid w:val="004E7D95"/>
    <w:rsid w:val="004F347B"/>
    <w:rsid w:val="004F3F6D"/>
    <w:rsid w:val="004F6036"/>
    <w:rsid w:val="004F7D91"/>
    <w:rsid w:val="005009C6"/>
    <w:rsid w:val="005039E8"/>
    <w:rsid w:val="0050418C"/>
    <w:rsid w:val="00511985"/>
    <w:rsid w:val="00511EB3"/>
    <w:rsid w:val="005127BA"/>
    <w:rsid w:val="00515B95"/>
    <w:rsid w:val="00515C17"/>
    <w:rsid w:val="00515FA6"/>
    <w:rsid w:val="005228F9"/>
    <w:rsid w:val="005279E8"/>
    <w:rsid w:val="005307B8"/>
    <w:rsid w:val="00531B9C"/>
    <w:rsid w:val="0053236E"/>
    <w:rsid w:val="00532874"/>
    <w:rsid w:val="00533957"/>
    <w:rsid w:val="0053481E"/>
    <w:rsid w:val="00540AF6"/>
    <w:rsid w:val="00543E93"/>
    <w:rsid w:val="005463DD"/>
    <w:rsid w:val="00546AF5"/>
    <w:rsid w:val="00547C92"/>
    <w:rsid w:val="00552AB9"/>
    <w:rsid w:val="00552D27"/>
    <w:rsid w:val="00555F2A"/>
    <w:rsid w:val="00557A77"/>
    <w:rsid w:val="005678F6"/>
    <w:rsid w:val="005728F0"/>
    <w:rsid w:val="00572D55"/>
    <w:rsid w:val="005748FC"/>
    <w:rsid w:val="005779B0"/>
    <w:rsid w:val="00582A9C"/>
    <w:rsid w:val="0058797E"/>
    <w:rsid w:val="0059013A"/>
    <w:rsid w:val="00593253"/>
    <w:rsid w:val="00593F5E"/>
    <w:rsid w:val="00594521"/>
    <w:rsid w:val="005A2992"/>
    <w:rsid w:val="005A3B89"/>
    <w:rsid w:val="005A3D07"/>
    <w:rsid w:val="005A40A1"/>
    <w:rsid w:val="005A50DE"/>
    <w:rsid w:val="005A5A8B"/>
    <w:rsid w:val="005A789C"/>
    <w:rsid w:val="005B26C5"/>
    <w:rsid w:val="005B2EB5"/>
    <w:rsid w:val="005B3045"/>
    <w:rsid w:val="005B3F1C"/>
    <w:rsid w:val="005B4FFB"/>
    <w:rsid w:val="005B5591"/>
    <w:rsid w:val="005B6DC1"/>
    <w:rsid w:val="005B76DD"/>
    <w:rsid w:val="005C1647"/>
    <w:rsid w:val="005C5299"/>
    <w:rsid w:val="005C5AA8"/>
    <w:rsid w:val="005C6F9C"/>
    <w:rsid w:val="005C76DF"/>
    <w:rsid w:val="005D061D"/>
    <w:rsid w:val="005D0BFD"/>
    <w:rsid w:val="005D3813"/>
    <w:rsid w:val="005D40CA"/>
    <w:rsid w:val="005E0E4F"/>
    <w:rsid w:val="005E23FF"/>
    <w:rsid w:val="005E2F03"/>
    <w:rsid w:val="005E5259"/>
    <w:rsid w:val="005E5454"/>
    <w:rsid w:val="005F0C34"/>
    <w:rsid w:val="005F1BD3"/>
    <w:rsid w:val="005F247A"/>
    <w:rsid w:val="005F3F9F"/>
    <w:rsid w:val="005F4641"/>
    <w:rsid w:val="005F51A6"/>
    <w:rsid w:val="006122E2"/>
    <w:rsid w:val="00615EB3"/>
    <w:rsid w:val="00620132"/>
    <w:rsid w:val="00620E28"/>
    <w:rsid w:val="006228FF"/>
    <w:rsid w:val="0062429F"/>
    <w:rsid w:val="00627679"/>
    <w:rsid w:val="0062770C"/>
    <w:rsid w:val="0062799C"/>
    <w:rsid w:val="006303C8"/>
    <w:rsid w:val="0063045E"/>
    <w:rsid w:val="00636FF1"/>
    <w:rsid w:val="00637568"/>
    <w:rsid w:val="006400AF"/>
    <w:rsid w:val="0064238E"/>
    <w:rsid w:val="00644589"/>
    <w:rsid w:val="00645EDD"/>
    <w:rsid w:val="006477AC"/>
    <w:rsid w:val="006507AF"/>
    <w:rsid w:val="00653495"/>
    <w:rsid w:val="00653F55"/>
    <w:rsid w:val="006613F7"/>
    <w:rsid w:val="006658BD"/>
    <w:rsid w:val="006659C3"/>
    <w:rsid w:val="00665B05"/>
    <w:rsid w:val="0066775A"/>
    <w:rsid w:val="0067113D"/>
    <w:rsid w:val="0067251E"/>
    <w:rsid w:val="00672DE9"/>
    <w:rsid w:val="00675256"/>
    <w:rsid w:val="006762D0"/>
    <w:rsid w:val="00681DFA"/>
    <w:rsid w:val="00692A4E"/>
    <w:rsid w:val="00694230"/>
    <w:rsid w:val="00694625"/>
    <w:rsid w:val="00696728"/>
    <w:rsid w:val="00697021"/>
    <w:rsid w:val="006A54D6"/>
    <w:rsid w:val="006A5AF8"/>
    <w:rsid w:val="006A5F07"/>
    <w:rsid w:val="006A60BA"/>
    <w:rsid w:val="006A6A1F"/>
    <w:rsid w:val="006A6AD4"/>
    <w:rsid w:val="006B07EB"/>
    <w:rsid w:val="006B1321"/>
    <w:rsid w:val="006B5605"/>
    <w:rsid w:val="006B7DEC"/>
    <w:rsid w:val="006C090E"/>
    <w:rsid w:val="006C15BF"/>
    <w:rsid w:val="006C18D3"/>
    <w:rsid w:val="006C3DA5"/>
    <w:rsid w:val="006D009F"/>
    <w:rsid w:val="006D052A"/>
    <w:rsid w:val="006D2247"/>
    <w:rsid w:val="006D52B8"/>
    <w:rsid w:val="006D5EB5"/>
    <w:rsid w:val="006D73A4"/>
    <w:rsid w:val="006E1B00"/>
    <w:rsid w:val="006E2793"/>
    <w:rsid w:val="006E47F5"/>
    <w:rsid w:val="006E4CEB"/>
    <w:rsid w:val="006E4FA9"/>
    <w:rsid w:val="006F0E93"/>
    <w:rsid w:val="006F3931"/>
    <w:rsid w:val="006F6551"/>
    <w:rsid w:val="00704CDC"/>
    <w:rsid w:val="00705DFF"/>
    <w:rsid w:val="00712AD6"/>
    <w:rsid w:val="00714EE8"/>
    <w:rsid w:val="00725F7F"/>
    <w:rsid w:val="00733A4D"/>
    <w:rsid w:val="0073680A"/>
    <w:rsid w:val="00736F41"/>
    <w:rsid w:val="007439C9"/>
    <w:rsid w:val="00743AFD"/>
    <w:rsid w:val="00746EEA"/>
    <w:rsid w:val="00747B6C"/>
    <w:rsid w:val="0075128C"/>
    <w:rsid w:val="007576BB"/>
    <w:rsid w:val="00762CDB"/>
    <w:rsid w:val="007635C0"/>
    <w:rsid w:val="00772397"/>
    <w:rsid w:val="007724EA"/>
    <w:rsid w:val="007737FF"/>
    <w:rsid w:val="00775624"/>
    <w:rsid w:val="0077566E"/>
    <w:rsid w:val="0078344D"/>
    <w:rsid w:val="00783708"/>
    <w:rsid w:val="0078491E"/>
    <w:rsid w:val="00790766"/>
    <w:rsid w:val="00797108"/>
    <w:rsid w:val="007A32B4"/>
    <w:rsid w:val="007A3CD9"/>
    <w:rsid w:val="007A3F34"/>
    <w:rsid w:val="007A4B4E"/>
    <w:rsid w:val="007A5036"/>
    <w:rsid w:val="007A5571"/>
    <w:rsid w:val="007A5C1A"/>
    <w:rsid w:val="007A6200"/>
    <w:rsid w:val="007B049E"/>
    <w:rsid w:val="007B0B42"/>
    <w:rsid w:val="007B3903"/>
    <w:rsid w:val="007B776D"/>
    <w:rsid w:val="007C007E"/>
    <w:rsid w:val="007C356F"/>
    <w:rsid w:val="007C4817"/>
    <w:rsid w:val="007C57BE"/>
    <w:rsid w:val="007D42A6"/>
    <w:rsid w:val="007D5D15"/>
    <w:rsid w:val="007E27F8"/>
    <w:rsid w:val="007E77A7"/>
    <w:rsid w:val="007F6E58"/>
    <w:rsid w:val="008024AB"/>
    <w:rsid w:val="008027AE"/>
    <w:rsid w:val="0080662C"/>
    <w:rsid w:val="008103AF"/>
    <w:rsid w:val="008138F0"/>
    <w:rsid w:val="00814D29"/>
    <w:rsid w:val="00815D25"/>
    <w:rsid w:val="00816295"/>
    <w:rsid w:val="008201F6"/>
    <w:rsid w:val="0082040F"/>
    <w:rsid w:val="0082119A"/>
    <w:rsid w:val="008219F0"/>
    <w:rsid w:val="00822079"/>
    <w:rsid w:val="008240B5"/>
    <w:rsid w:val="00825010"/>
    <w:rsid w:val="008265C6"/>
    <w:rsid w:val="0082713C"/>
    <w:rsid w:val="00827C55"/>
    <w:rsid w:val="00831198"/>
    <w:rsid w:val="00832293"/>
    <w:rsid w:val="00832D53"/>
    <w:rsid w:val="008359A0"/>
    <w:rsid w:val="00840213"/>
    <w:rsid w:val="00842A2E"/>
    <w:rsid w:val="00844006"/>
    <w:rsid w:val="00847EE9"/>
    <w:rsid w:val="00850278"/>
    <w:rsid w:val="00850518"/>
    <w:rsid w:val="00853131"/>
    <w:rsid w:val="0085457C"/>
    <w:rsid w:val="008613A7"/>
    <w:rsid w:val="008623D0"/>
    <w:rsid w:val="008656BE"/>
    <w:rsid w:val="00866AE1"/>
    <w:rsid w:val="0087007E"/>
    <w:rsid w:val="008735A8"/>
    <w:rsid w:val="0087479A"/>
    <w:rsid w:val="00877E48"/>
    <w:rsid w:val="008827CF"/>
    <w:rsid w:val="00886A90"/>
    <w:rsid w:val="00890B8B"/>
    <w:rsid w:val="008920AC"/>
    <w:rsid w:val="008922D4"/>
    <w:rsid w:val="00892832"/>
    <w:rsid w:val="00893C96"/>
    <w:rsid w:val="0089635F"/>
    <w:rsid w:val="00896DA6"/>
    <w:rsid w:val="008A0C2D"/>
    <w:rsid w:val="008A1438"/>
    <w:rsid w:val="008A237D"/>
    <w:rsid w:val="008A5ED7"/>
    <w:rsid w:val="008A67DB"/>
    <w:rsid w:val="008A69F2"/>
    <w:rsid w:val="008A72FB"/>
    <w:rsid w:val="008B6FDA"/>
    <w:rsid w:val="008B77D0"/>
    <w:rsid w:val="008C0709"/>
    <w:rsid w:val="008C1926"/>
    <w:rsid w:val="008C412B"/>
    <w:rsid w:val="008C4259"/>
    <w:rsid w:val="008C5707"/>
    <w:rsid w:val="008C5AB9"/>
    <w:rsid w:val="008D7F6D"/>
    <w:rsid w:val="008E168D"/>
    <w:rsid w:val="008E3988"/>
    <w:rsid w:val="008E5B03"/>
    <w:rsid w:val="008F0CBB"/>
    <w:rsid w:val="008F2038"/>
    <w:rsid w:val="008F7AF0"/>
    <w:rsid w:val="009024DD"/>
    <w:rsid w:val="00903244"/>
    <w:rsid w:val="00904851"/>
    <w:rsid w:val="00904919"/>
    <w:rsid w:val="00906BF1"/>
    <w:rsid w:val="00906F9A"/>
    <w:rsid w:val="00907372"/>
    <w:rsid w:val="00914E0C"/>
    <w:rsid w:val="00915298"/>
    <w:rsid w:val="00915F15"/>
    <w:rsid w:val="00916AAB"/>
    <w:rsid w:val="00917C7B"/>
    <w:rsid w:val="00920954"/>
    <w:rsid w:val="0092318A"/>
    <w:rsid w:val="00930147"/>
    <w:rsid w:val="009315A3"/>
    <w:rsid w:val="009400D0"/>
    <w:rsid w:val="0094198B"/>
    <w:rsid w:val="0094216C"/>
    <w:rsid w:val="009429A6"/>
    <w:rsid w:val="00942F41"/>
    <w:rsid w:val="00943C66"/>
    <w:rsid w:val="00945247"/>
    <w:rsid w:val="00945A4E"/>
    <w:rsid w:val="00945FFB"/>
    <w:rsid w:val="009507F3"/>
    <w:rsid w:val="0095270D"/>
    <w:rsid w:val="00953DE3"/>
    <w:rsid w:val="00954544"/>
    <w:rsid w:val="009546C0"/>
    <w:rsid w:val="0096013F"/>
    <w:rsid w:val="00960E9F"/>
    <w:rsid w:val="009653CD"/>
    <w:rsid w:val="00965EB7"/>
    <w:rsid w:val="00967C2E"/>
    <w:rsid w:val="00971450"/>
    <w:rsid w:val="00971D7D"/>
    <w:rsid w:val="0098033E"/>
    <w:rsid w:val="0098127A"/>
    <w:rsid w:val="0098181E"/>
    <w:rsid w:val="0098404A"/>
    <w:rsid w:val="00987A8A"/>
    <w:rsid w:val="00987C0D"/>
    <w:rsid w:val="00991ADD"/>
    <w:rsid w:val="00991B05"/>
    <w:rsid w:val="00991C80"/>
    <w:rsid w:val="009942D2"/>
    <w:rsid w:val="009949E4"/>
    <w:rsid w:val="00997F09"/>
    <w:rsid w:val="009A1280"/>
    <w:rsid w:val="009A2B5A"/>
    <w:rsid w:val="009A59B5"/>
    <w:rsid w:val="009B23A5"/>
    <w:rsid w:val="009B467D"/>
    <w:rsid w:val="009B532F"/>
    <w:rsid w:val="009B6589"/>
    <w:rsid w:val="009C60B5"/>
    <w:rsid w:val="009C671D"/>
    <w:rsid w:val="009D26E6"/>
    <w:rsid w:val="009D297E"/>
    <w:rsid w:val="009D72DC"/>
    <w:rsid w:val="009E1E8B"/>
    <w:rsid w:val="009E200B"/>
    <w:rsid w:val="009E2562"/>
    <w:rsid w:val="009E37C8"/>
    <w:rsid w:val="009E38B5"/>
    <w:rsid w:val="009E46A1"/>
    <w:rsid w:val="009E594F"/>
    <w:rsid w:val="009E7C1D"/>
    <w:rsid w:val="009F0219"/>
    <w:rsid w:val="009F0F3F"/>
    <w:rsid w:val="009F1E8B"/>
    <w:rsid w:val="009F3373"/>
    <w:rsid w:val="009F77FF"/>
    <w:rsid w:val="009F7F8D"/>
    <w:rsid w:val="00A14375"/>
    <w:rsid w:val="00A16153"/>
    <w:rsid w:val="00A163F2"/>
    <w:rsid w:val="00A21207"/>
    <w:rsid w:val="00A23B8C"/>
    <w:rsid w:val="00A24949"/>
    <w:rsid w:val="00A33C41"/>
    <w:rsid w:val="00A33D0F"/>
    <w:rsid w:val="00A3409F"/>
    <w:rsid w:val="00A34C61"/>
    <w:rsid w:val="00A36991"/>
    <w:rsid w:val="00A41189"/>
    <w:rsid w:val="00A53E93"/>
    <w:rsid w:val="00A548E3"/>
    <w:rsid w:val="00A553D4"/>
    <w:rsid w:val="00A558BD"/>
    <w:rsid w:val="00A55BAC"/>
    <w:rsid w:val="00A603F9"/>
    <w:rsid w:val="00A61EF1"/>
    <w:rsid w:val="00A63E56"/>
    <w:rsid w:val="00A64C81"/>
    <w:rsid w:val="00A64F0E"/>
    <w:rsid w:val="00A66C45"/>
    <w:rsid w:val="00A707D6"/>
    <w:rsid w:val="00A75A57"/>
    <w:rsid w:val="00A82B31"/>
    <w:rsid w:val="00A875A6"/>
    <w:rsid w:val="00A90537"/>
    <w:rsid w:val="00A91AD6"/>
    <w:rsid w:val="00A93F4C"/>
    <w:rsid w:val="00A97781"/>
    <w:rsid w:val="00AB0578"/>
    <w:rsid w:val="00AB2E69"/>
    <w:rsid w:val="00AB67FB"/>
    <w:rsid w:val="00AB73F7"/>
    <w:rsid w:val="00AC1DC0"/>
    <w:rsid w:val="00AC2E67"/>
    <w:rsid w:val="00AC3404"/>
    <w:rsid w:val="00AC45B6"/>
    <w:rsid w:val="00AC496B"/>
    <w:rsid w:val="00AC65E9"/>
    <w:rsid w:val="00AC6B38"/>
    <w:rsid w:val="00AD2BE7"/>
    <w:rsid w:val="00AD331B"/>
    <w:rsid w:val="00AE1A66"/>
    <w:rsid w:val="00AE48A7"/>
    <w:rsid w:val="00AE6D10"/>
    <w:rsid w:val="00AF14C4"/>
    <w:rsid w:val="00B0032D"/>
    <w:rsid w:val="00B00AF2"/>
    <w:rsid w:val="00B01574"/>
    <w:rsid w:val="00B02DA2"/>
    <w:rsid w:val="00B038A3"/>
    <w:rsid w:val="00B12835"/>
    <w:rsid w:val="00B132FE"/>
    <w:rsid w:val="00B14981"/>
    <w:rsid w:val="00B171C1"/>
    <w:rsid w:val="00B207C5"/>
    <w:rsid w:val="00B26613"/>
    <w:rsid w:val="00B32AC2"/>
    <w:rsid w:val="00B37CEC"/>
    <w:rsid w:val="00B42759"/>
    <w:rsid w:val="00B43453"/>
    <w:rsid w:val="00B452F0"/>
    <w:rsid w:val="00B45479"/>
    <w:rsid w:val="00B54E8C"/>
    <w:rsid w:val="00B60207"/>
    <w:rsid w:val="00B64017"/>
    <w:rsid w:val="00B65C1B"/>
    <w:rsid w:val="00B66224"/>
    <w:rsid w:val="00B675E6"/>
    <w:rsid w:val="00B708D5"/>
    <w:rsid w:val="00B717B6"/>
    <w:rsid w:val="00B76C94"/>
    <w:rsid w:val="00B80435"/>
    <w:rsid w:val="00B817E4"/>
    <w:rsid w:val="00B91651"/>
    <w:rsid w:val="00B918E5"/>
    <w:rsid w:val="00B95A13"/>
    <w:rsid w:val="00B966AD"/>
    <w:rsid w:val="00BA14AE"/>
    <w:rsid w:val="00BA1CA1"/>
    <w:rsid w:val="00BA6B19"/>
    <w:rsid w:val="00BA6F7D"/>
    <w:rsid w:val="00BA793D"/>
    <w:rsid w:val="00BA7C27"/>
    <w:rsid w:val="00BB00A4"/>
    <w:rsid w:val="00BB083B"/>
    <w:rsid w:val="00BB2A17"/>
    <w:rsid w:val="00BB4CF7"/>
    <w:rsid w:val="00BC0712"/>
    <w:rsid w:val="00BC3884"/>
    <w:rsid w:val="00BC7751"/>
    <w:rsid w:val="00BC7D11"/>
    <w:rsid w:val="00BD00DF"/>
    <w:rsid w:val="00BD036F"/>
    <w:rsid w:val="00BD12C8"/>
    <w:rsid w:val="00BD2D26"/>
    <w:rsid w:val="00BD41ED"/>
    <w:rsid w:val="00BD68A5"/>
    <w:rsid w:val="00BD7828"/>
    <w:rsid w:val="00BE315C"/>
    <w:rsid w:val="00BE3BD7"/>
    <w:rsid w:val="00BF0B4B"/>
    <w:rsid w:val="00BF0EE8"/>
    <w:rsid w:val="00BF318A"/>
    <w:rsid w:val="00BF3AA8"/>
    <w:rsid w:val="00BF5172"/>
    <w:rsid w:val="00C010C0"/>
    <w:rsid w:val="00C01A2F"/>
    <w:rsid w:val="00C0667F"/>
    <w:rsid w:val="00C07615"/>
    <w:rsid w:val="00C106B8"/>
    <w:rsid w:val="00C11A38"/>
    <w:rsid w:val="00C12333"/>
    <w:rsid w:val="00C12B07"/>
    <w:rsid w:val="00C162B2"/>
    <w:rsid w:val="00C2400A"/>
    <w:rsid w:val="00C25AD0"/>
    <w:rsid w:val="00C25C6A"/>
    <w:rsid w:val="00C27289"/>
    <w:rsid w:val="00C2787F"/>
    <w:rsid w:val="00C333EA"/>
    <w:rsid w:val="00C336AD"/>
    <w:rsid w:val="00C35609"/>
    <w:rsid w:val="00C405C8"/>
    <w:rsid w:val="00C412D7"/>
    <w:rsid w:val="00C50039"/>
    <w:rsid w:val="00C51D07"/>
    <w:rsid w:val="00C53A4C"/>
    <w:rsid w:val="00C54FB1"/>
    <w:rsid w:val="00C56332"/>
    <w:rsid w:val="00C56573"/>
    <w:rsid w:val="00C5726F"/>
    <w:rsid w:val="00C57A36"/>
    <w:rsid w:val="00C6143D"/>
    <w:rsid w:val="00C617B3"/>
    <w:rsid w:val="00C61D5D"/>
    <w:rsid w:val="00C63130"/>
    <w:rsid w:val="00C64AA6"/>
    <w:rsid w:val="00C70697"/>
    <w:rsid w:val="00C71AFD"/>
    <w:rsid w:val="00C756A9"/>
    <w:rsid w:val="00C75A14"/>
    <w:rsid w:val="00C77E58"/>
    <w:rsid w:val="00C8325D"/>
    <w:rsid w:val="00C843C6"/>
    <w:rsid w:val="00C84EEF"/>
    <w:rsid w:val="00C8614F"/>
    <w:rsid w:val="00C86F4B"/>
    <w:rsid w:val="00C907BA"/>
    <w:rsid w:val="00CA2B49"/>
    <w:rsid w:val="00CA3F8E"/>
    <w:rsid w:val="00CA5209"/>
    <w:rsid w:val="00CA5B4D"/>
    <w:rsid w:val="00CA5F02"/>
    <w:rsid w:val="00CA6182"/>
    <w:rsid w:val="00CB20B4"/>
    <w:rsid w:val="00CB245E"/>
    <w:rsid w:val="00CB36BD"/>
    <w:rsid w:val="00CB3FF6"/>
    <w:rsid w:val="00CB5485"/>
    <w:rsid w:val="00CB68EA"/>
    <w:rsid w:val="00CB6D28"/>
    <w:rsid w:val="00CC06B1"/>
    <w:rsid w:val="00CD1E77"/>
    <w:rsid w:val="00CD22DE"/>
    <w:rsid w:val="00CE266B"/>
    <w:rsid w:val="00CE285D"/>
    <w:rsid w:val="00CE35E7"/>
    <w:rsid w:val="00CE5860"/>
    <w:rsid w:val="00CE663D"/>
    <w:rsid w:val="00CE6BF0"/>
    <w:rsid w:val="00CF525D"/>
    <w:rsid w:val="00D00795"/>
    <w:rsid w:val="00D01E07"/>
    <w:rsid w:val="00D02596"/>
    <w:rsid w:val="00D04AC7"/>
    <w:rsid w:val="00D119F5"/>
    <w:rsid w:val="00D12BE8"/>
    <w:rsid w:val="00D13688"/>
    <w:rsid w:val="00D13FF2"/>
    <w:rsid w:val="00D14E29"/>
    <w:rsid w:val="00D16394"/>
    <w:rsid w:val="00D1748D"/>
    <w:rsid w:val="00D17FD7"/>
    <w:rsid w:val="00D2549B"/>
    <w:rsid w:val="00D258C7"/>
    <w:rsid w:val="00D27B85"/>
    <w:rsid w:val="00D306C3"/>
    <w:rsid w:val="00D30D69"/>
    <w:rsid w:val="00D31136"/>
    <w:rsid w:val="00D3344D"/>
    <w:rsid w:val="00D36252"/>
    <w:rsid w:val="00D37EBF"/>
    <w:rsid w:val="00D42501"/>
    <w:rsid w:val="00D426DD"/>
    <w:rsid w:val="00D52221"/>
    <w:rsid w:val="00D562A9"/>
    <w:rsid w:val="00D57BC3"/>
    <w:rsid w:val="00D63846"/>
    <w:rsid w:val="00D7178A"/>
    <w:rsid w:val="00D71850"/>
    <w:rsid w:val="00D71A85"/>
    <w:rsid w:val="00D7262D"/>
    <w:rsid w:val="00D746B7"/>
    <w:rsid w:val="00D777F8"/>
    <w:rsid w:val="00D77FB7"/>
    <w:rsid w:val="00D8324A"/>
    <w:rsid w:val="00D866EA"/>
    <w:rsid w:val="00D86826"/>
    <w:rsid w:val="00D93995"/>
    <w:rsid w:val="00D93CB6"/>
    <w:rsid w:val="00D97074"/>
    <w:rsid w:val="00D97E8F"/>
    <w:rsid w:val="00DA2858"/>
    <w:rsid w:val="00DA339C"/>
    <w:rsid w:val="00DB21E5"/>
    <w:rsid w:val="00DB3CAE"/>
    <w:rsid w:val="00DB5930"/>
    <w:rsid w:val="00DB67DE"/>
    <w:rsid w:val="00DB6C70"/>
    <w:rsid w:val="00DB6D50"/>
    <w:rsid w:val="00DB7576"/>
    <w:rsid w:val="00DB7614"/>
    <w:rsid w:val="00DC29BE"/>
    <w:rsid w:val="00DD1551"/>
    <w:rsid w:val="00DD23D7"/>
    <w:rsid w:val="00DD284D"/>
    <w:rsid w:val="00DD489E"/>
    <w:rsid w:val="00DD5F53"/>
    <w:rsid w:val="00DD6DC9"/>
    <w:rsid w:val="00DE2335"/>
    <w:rsid w:val="00DE622C"/>
    <w:rsid w:val="00DF1BF0"/>
    <w:rsid w:val="00DF760D"/>
    <w:rsid w:val="00E022AB"/>
    <w:rsid w:val="00E04365"/>
    <w:rsid w:val="00E05FFF"/>
    <w:rsid w:val="00E07052"/>
    <w:rsid w:val="00E07262"/>
    <w:rsid w:val="00E21702"/>
    <w:rsid w:val="00E23C4F"/>
    <w:rsid w:val="00E24656"/>
    <w:rsid w:val="00E26B13"/>
    <w:rsid w:val="00E27434"/>
    <w:rsid w:val="00E31A21"/>
    <w:rsid w:val="00E36643"/>
    <w:rsid w:val="00E43187"/>
    <w:rsid w:val="00E43A2A"/>
    <w:rsid w:val="00E441A1"/>
    <w:rsid w:val="00E45BE7"/>
    <w:rsid w:val="00E47A94"/>
    <w:rsid w:val="00E5296E"/>
    <w:rsid w:val="00E534B7"/>
    <w:rsid w:val="00E56252"/>
    <w:rsid w:val="00E60EDC"/>
    <w:rsid w:val="00E614BB"/>
    <w:rsid w:val="00E63DAC"/>
    <w:rsid w:val="00E64CA0"/>
    <w:rsid w:val="00E667C1"/>
    <w:rsid w:val="00E731AE"/>
    <w:rsid w:val="00E747F6"/>
    <w:rsid w:val="00E81553"/>
    <w:rsid w:val="00E82341"/>
    <w:rsid w:val="00E828FD"/>
    <w:rsid w:val="00E865E3"/>
    <w:rsid w:val="00E86C85"/>
    <w:rsid w:val="00E878AF"/>
    <w:rsid w:val="00E95877"/>
    <w:rsid w:val="00E95D2D"/>
    <w:rsid w:val="00EA14B0"/>
    <w:rsid w:val="00EA5F8D"/>
    <w:rsid w:val="00EA6B61"/>
    <w:rsid w:val="00EA77D2"/>
    <w:rsid w:val="00EB29F3"/>
    <w:rsid w:val="00EB7B90"/>
    <w:rsid w:val="00EC041F"/>
    <w:rsid w:val="00EC53DB"/>
    <w:rsid w:val="00EC54FF"/>
    <w:rsid w:val="00ED0B7A"/>
    <w:rsid w:val="00ED24B4"/>
    <w:rsid w:val="00ED3A1E"/>
    <w:rsid w:val="00ED3BFD"/>
    <w:rsid w:val="00ED6827"/>
    <w:rsid w:val="00ED6BDD"/>
    <w:rsid w:val="00ED762E"/>
    <w:rsid w:val="00EE4B26"/>
    <w:rsid w:val="00EF0EF7"/>
    <w:rsid w:val="00EF1ED3"/>
    <w:rsid w:val="00EF32C2"/>
    <w:rsid w:val="00EF3CC3"/>
    <w:rsid w:val="00EF4B32"/>
    <w:rsid w:val="00EF7AB9"/>
    <w:rsid w:val="00F00E86"/>
    <w:rsid w:val="00F010C6"/>
    <w:rsid w:val="00F033AD"/>
    <w:rsid w:val="00F05DC9"/>
    <w:rsid w:val="00F0655C"/>
    <w:rsid w:val="00F066D6"/>
    <w:rsid w:val="00F14137"/>
    <w:rsid w:val="00F16DAC"/>
    <w:rsid w:val="00F17829"/>
    <w:rsid w:val="00F207E4"/>
    <w:rsid w:val="00F2588C"/>
    <w:rsid w:val="00F302E3"/>
    <w:rsid w:val="00F32F77"/>
    <w:rsid w:val="00F34B82"/>
    <w:rsid w:val="00F40BD0"/>
    <w:rsid w:val="00F4173A"/>
    <w:rsid w:val="00F4625C"/>
    <w:rsid w:val="00F50B26"/>
    <w:rsid w:val="00F51717"/>
    <w:rsid w:val="00F53324"/>
    <w:rsid w:val="00F556D0"/>
    <w:rsid w:val="00F5655B"/>
    <w:rsid w:val="00F606E1"/>
    <w:rsid w:val="00F60F76"/>
    <w:rsid w:val="00F62E62"/>
    <w:rsid w:val="00F645BF"/>
    <w:rsid w:val="00F672EE"/>
    <w:rsid w:val="00F700CE"/>
    <w:rsid w:val="00F703E9"/>
    <w:rsid w:val="00F71A05"/>
    <w:rsid w:val="00F72258"/>
    <w:rsid w:val="00F73BB3"/>
    <w:rsid w:val="00F7439F"/>
    <w:rsid w:val="00F75E92"/>
    <w:rsid w:val="00F76C46"/>
    <w:rsid w:val="00F87C32"/>
    <w:rsid w:val="00F9062A"/>
    <w:rsid w:val="00F95F88"/>
    <w:rsid w:val="00F97249"/>
    <w:rsid w:val="00FA054D"/>
    <w:rsid w:val="00FA0708"/>
    <w:rsid w:val="00FA0BBD"/>
    <w:rsid w:val="00FA5442"/>
    <w:rsid w:val="00FA6F3C"/>
    <w:rsid w:val="00FB46DA"/>
    <w:rsid w:val="00FB5787"/>
    <w:rsid w:val="00FB6362"/>
    <w:rsid w:val="00FC0BF2"/>
    <w:rsid w:val="00FC0E2B"/>
    <w:rsid w:val="00FC14B1"/>
    <w:rsid w:val="00FC3103"/>
    <w:rsid w:val="00FD051A"/>
    <w:rsid w:val="00FD10CB"/>
    <w:rsid w:val="00FD23FF"/>
    <w:rsid w:val="00FD335D"/>
    <w:rsid w:val="00FD38DB"/>
    <w:rsid w:val="00FE01DC"/>
    <w:rsid w:val="00FE3680"/>
    <w:rsid w:val="00FF34F7"/>
    <w:rsid w:val="00FF45ED"/>
    <w:rsid w:val="00FF5E56"/>
    <w:rsid w:val="00FF60AF"/>
    <w:rsid w:val="00FF6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90A20B3-E6FE-43BF-9EB3-F46EEE7EA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219"/>
    <w:rPr>
      <w:rFonts w:eastAsia="Times New Roman"/>
      <w:sz w:val="24"/>
      <w:szCs w:val="24"/>
    </w:rPr>
  </w:style>
  <w:style w:type="paragraph" w:styleId="Heading1">
    <w:name w:val="heading 1"/>
    <w:basedOn w:val="Normal"/>
    <w:next w:val="Normal"/>
    <w:qFormat/>
    <w:rsid w:val="00172EC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47B6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222A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9F0219"/>
    <w:pPr>
      <w:keepNext/>
      <w:spacing w:before="240" w:after="60"/>
      <w:outlineLvl w:val="3"/>
    </w:pPr>
    <w:rPr>
      <w:b/>
      <w:bCs/>
      <w:sz w:val="28"/>
      <w:szCs w:val="28"/>
    </w:rPr>
  </w:style>
  <w:style w:type="paragraph" w:styleId="Heading5">
    <w:name w:val="heading 5"/>
    <w:basedOn w:val="Normal"/>
    <w:next w:val="Normal"/>
    <w:link w:val="Heading5Char"/>
    <w:qFormat/>
    <w:rsid w:val="009F0219"/>
    <w:pPr>
      <w:keepNext/>
      <w:jc w:val="center"/>
      <w:outlineLvl w:val="4"/>
    </w:pPr>
    <w:rPr>
      <w:b/>
      <w:sz w:val="36"/>
      <w:szCs w:val="20"/>
    </w:rPr>
  </w:style>
  <w:style w:type="paragraph" w:styleId="Heading7">
    <w:name w:val="heading 7"/>
    <w:basedOn w:val="Normal"/>
    <w:next w:val="Normal"/>
    <w:qFormat/>
    <w:rsid w:val="009F0219"/>
    <w:pPr>
      <w:keepNext/>
      <w:jc w:val="center"/>
      <w:outlineLvl w:val="6"/>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9F0219"/>
    <w:rPr>
      <w:sz w:val="20"/>
      <w:szCs w:val="20"/>
    </w:rPr>
  </w:style>
  <w:style w:type="character" w:styleId="FootnoteReference">
    <w:name w:val="footnote reference"/>
    <w:semiHidden/>
    <w:rsid w:val="009F0219"/>
    <w:rPr>
      <w:vertAlign w:val="superscript"/>
    </w:rPr>
  </w:style>
  <w:style w:type="paragraph" w:styleId="BalloonText">
    <w:name w:val="Balloon Text"/>
    <w:basedOn w:val="Normal"/>
    <w:semiHidden/>
    <w:rsid w:val="009F0219"/>
    <w:rPr>
      <w:rFonts w:ascii="Tahoma" w:hAnsi="Tahoma" w:cs="Tahoma"/>
      <w:sz w:val="16"/>
      <w:szCs w:val="16"/>
    </w:rPr>
  </w:style>
  <w:style w:type="paragraph" w:styleId="Footer">
    <w:name w:val="footer"/>
    <w:basedOn w:val="Normal"/>
    <w:rsid w:val="004F7D91"/>
    <w:pPr>
      <w:tabs>
        <w:tab w:val="center" w:pos="4320"/>
        <w:tab w:val="right" w:pos="8640"/>
      </w:tabs>
    </w:pPr>
  </w:style>
  <w:style w:type="character" w:styleId="PageNumber">
    <w:name w:val="page number"/>
    <w:basedOn w:val="DefaultParagraphFont"/>
    <w:rsid w:val="004F7D91"/>
  </w:style>
  <w:style w:type="paragraph" w:styleId="BodyText">
    <w:name w:val="Body Text"/>
    <w:basedOn w:val="Normal"/>
    <w:rsid w:val="00172EC7"/>
    <w:pPr>
      <w:jc w:val="both"/>
    </w:pPr>
    <w:rPr>
      <w:rFonts w:ascii="Arial" w:hAnsi="Arial" w:cs="Arial"/>
    </w:rPr>
  </w:style>
  <w:style w:type="character" w:styleId="Strong">
    <w:name w:val="Strong"/>
    <w:qFormat/>
    <w:rsid w:val="00714EE8"/>
    <w:rPr>
      <w:b/>
      <w:bCs/>
    </w:rPr>
  </w:style>
  <w:style w:type="paragraph" w:customStyle="1" w:styleId="Default">
    <w:name w:val="Default"/>
    <w:rsid w:val="00593253"/>
    <w:pPr>
      <w:widowControl w:val="0"/>
      <w:autoSpaceDE w:val="0"/>
      <w:autoSpaceDN w:val="0"/>
      <w:adjustRightInd w:val="0"/>
    </w:pPr>
    <w:rPr>
      <w:rFonts w:eastAsia="Times New Roman"/>
      <w:color w:val="000000"/>
      <w:sz w:val="24"/>
      <w:szCs w:val="24"/>
    </w:rPr>
  </w:style>
  <w:style w:type="paragraph" w:styleId="Header">
    <w:name w:val="header"/>
    <w:basedOn w:val="Normal"/>
    <w:rsid w:val="00DB3CAE"/>
    <w:pPr>
      <w:tabs>
        <w:tab w:val="center" w:pos="4320"/>
        <w:tab w:val="right" w:pos="8640"/>
      </w:tabs>
    </w:pPr>
  </w:style>
  <w:style w:type="character" w:customStyle="1" w:styleId="Heading3Char">
    <w:name w:val="Heading 3 Char"/>
    <w:link w:val="Heading3"/>
    <w:rsid w:val="00D63846"/>
    <w:rPr>
      <w:rFonts w:ascii="Arial" w:eastAsia="Times New Roman" w:hAnsi="Arial" w:cs="Arial"/>
      <w:b/>
      <w:bCs/>
      <w:sz w:val="26"/>
      <w:szCs w:val="26"/>
    </w:rPr>
  </w:style>
  <w:style w:type="character" w:customStyle="1" w:styleId="Heading4Char">
    <w:name w:val="Heading 4 Char"/>
    <w:link w:val="Heading4"/>
    <w:rsid w:val="00D63846"/>
    <w:rPr>
      <w:rFonts w:eastAsia="Times New Roman"/>
      <w:b/>
      <w:bCs/>
      <w:sz w:val="28"/>
      <w:szCs w:val="28"/>
    </w:rPr>
  </w:style>
  <w:style w:type="character" w:customStyle="1" w:styleId="Heading5Char">
    <w:name w:val="Heading 5 Char"/>
    <w:link w:val="Heading5"/>
    <w:rsid w:val="00D63846"/>
    <w:rPr>
      <w:rFonts w:eastAsia="Times New Roman"/>
      <w:b/>
      <w:sz w:val="36"/>
    </w:rPr>
  </w:style>
  <w:style w:type="paragraph" w:customStyle="1" w:styleId="ColorfulList-Accent11">
    <w:name w:val="Colorful List - Accent 11"/>
    <w:basedOn w:val="Normal"/>
    <w:uiPriority w:val="34"/>
    <w:qFormat/>
    <w:rsid w:val="00E747F6"/>
    <w:pPr>
      <w:ind w:left="720"/>
      <w:contextualSpacing/>
    </w:pPr>
    <w:rPr>
      <w:lang w:val="sq-AL"/>
    </w:rPr>
  </w:style>
  <w:style w:type="character" w:styleId="Emphasis">
    <w:name w:val="Emphasis"/>
    <w:basedOn w:val="DefaultParagraphFont"/>
    <w:uiPriority w:val="20"/>
    <w:qFormat/>
    <w:rsid w:val="006B5605"/>
    <w:rPr>
      <w:i/>
      <w:iCs/>
    </w:rPr>
  </w:style>
  <w:style w:type="paragraph" w:styleId="ListParagraph">
    <w:name w:val="List Paragraph"/>
    <w:basedOn w:val="Normal"/>
    <w:uiPriority w:val="34"/>
    <w:qFormat/>
    <w:rsid w:val="00636FF1"/>
    <w:pPr>
      <w:ind w:left="720"/>
      <w:contextualSpacing/>
    </w:pPr>
  </w:style>
  <w:style w:type="character" w:styleId="CommentReference">
    <w:name w:val="annotation reference"/>
    <w:basedOn w:val="DefaultParagraphFont"/>
    <w:rsid w:val="00E43187"/>
    <w:rPr>
      <w:sz w:val="16"/>
      <w:szCs w:val="16"/>
    </w:rPr>
  </w:style>
  <w:style w:type="paragraph" w:styleId="CommentText">
    <w:name w:val="annotation text"/>
    <w:basedOn w:val="Normal"/>
    <w:link w:val="CommentTextChar"/>
    <w:rsid w:val="00E43187"/>
    <w:rPr>
      <w:sz w:val="20"/>
      <w:szCs w:val="20"/>
    </w:rPr>
  </w:style>
  <w:style w:type="character" w:customStyle="1" w:styleId="CommentTextChar">
    <w:name w:val="Comment Text Char"/>
    <w:basedOn w:val="DefaultParagraphFont"/>
    <w:link w:val="CommentText"/>
    <w:rsid w:val="00E43187"/>
    <w:rPr>
      <w:rFonts w:eastAsia="Times New Roman"/>
    </w:rPr>
  </w:style>
  <w:style w:type="paragraph" w:styleId="CommentSubject">
    <w:name w:val="annotation subject"/>
    <w:basedOn w:val="CommentText"/>
    <w:next w:val="CommentText"/>
    <w:link w:val="CommentSubjectChar"/>
    <w:rsid w:val="00E43187"/>
    <w:rPr>
      <w:b/>
      <w:bCs/>
    </w:rPr>
  </w:style>
  <w:style w:type="character" w:customStyle="1" w:styleId="CommentSubjectChar">
    <w:name w:val="Comment Subject Char"/>
    <w:basedOn w:val="CommentTextChar"/>
    <w:link w:val="CommentSubject"/>
    <w:rsid w:val="00E43187"/>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9639">
      <w:bodyDiv w:val="1"/>
      <w:marLeft w:val="0"/>
      <w:marRight w:val="0"/>
      <w:marTop w:val="0"/>
      <w:marBottom w:val="0"/>
      <w:divBdr>
        <w:top w:val="none" w:sz="0" w:space="0" w:color="auto"/>
        <w:left w:val="none" w:sz="0" w:space="0" w:color="auto"/>
        <w:bottom w:val="none" w:sz="0" w:space="0" w:color="auto"/>
        <w:right w:val="none" w:sz="0" w:space="0" w:color="auto"/>
      </w:divBdr>
    </w:div>
    <w:div w:id="18429821">
      <w:bodyDiv w:val="1"/>
      <w:marLeft w:val="0"/>
      <w:marRight w:val="0"/>
      <w:marTop w:val="0"/>
      <w:marBottom w:val="0"/>
      <w:divBdr>
        <w:top w:val="none" w:sz="0" w:space="0" w:color="auto"/>
        <w:left w:val="none" w:sz="0" w:space="0" w:color="auto"/>
        <w:bottom w:val="none" w:sz="0" w:space="0" w:color="auto"/>
        <w:right w:val="none" w:sz="0" w:space="0" w:color="auto"/>
      </w:divBdr>
    </w:div>
    <w:div w:id="24136328">
      <w:bodyDiv w:val="1"/>
      <w:marLeft w:val="0"/>
      <w:marRight w:val="0"/>
      <w:marTop w:val="0"/>
      <w:marBottom w:val="0"/>
      <w:divBdr>
        <w:top w:val="none" w:sz="0" w:space="0" w:color="auto"/>
        <w:left w:val="none" w:sz="0" w:space="0" w:color="auto"/>
        <w:bottom w:val="none" w:sz="0" w:space="0" w:color="auto"/>
        <w:right w:val="none" w:sz="0" w:space="0" w:color="auto"/>
      </w:divBdr>
    </w:div>
    <w:div w:id="30960407">
      <w:bodyDiv w:val="1"/>
      <w:marLeft w:val="0"/>
      <w:marRight w:val="0"/>
      <w:marTop w:val="0"/>
      <w:marBottom w:val="0"/>
      <w:divBdr>
        <w:top w:val="none" w:sz="0" w:space="0" w:color="auto"/>
        <w:left w:val="none" w:sz="0" w:space="0" w:color="auto"/>
        <w:bottom w:val="none" w:sz="0" w:space="0" w:color="auto"/>
        <w:right w:val="none" w:sz="0" w:space="0" w:color="auto"/>
      </w:divBdr>
    </w:div>
    <w:div w:id="108162402">
      <w:bodyDiv w:val="1"/>
      <w:marLeft w:val="0"/>
      <w:marRight w:val="0"/>
      <w:marTop w:val="0"/>
      <w:marBottom w:val="0"/>
      <w:divBdr>
        <w:top w:val="none" w:sz="0" w:space="0" w:color="auto"/>
        <w:left w:val="none" w:sz="0" w:space="0" w:color="auto"/>
        <w:bottom w:val="none" w:sz="0" w:space="0" w:color="auto"/>
        <w:right w:val="none" w:sz="0" w:space="0" w:color="auto"/>
      </w:divBdr>
    </w:div>
    <w:div w:id="249850250">
      <w:bodyDiv w:val="1"/>
      <w:marLeft w:val="0"/>
      <w:marRight w:val="0"/>
      <w:marTop w:val="0"/>
      <w:marBottom w:val="0"/>
      <w:divBdr>
        <w:top w:val="none" w:sz="0" w:space="0" w:color="auto"/>
        <w:left w:val="none" w:sz="0" w:space="0" w:color="auto"/>
        <w:bottom w:val="none" w:sz="0" w:space="0" w:color="auto"/>
        <w:right w:val="none" w:sz="0" w:space="0" w:color="auto"/>
      </w:divBdr>
    </w:div>
    <w:div w:id="333412521">
      <w:bodyDiv w:val="1"/>
      <w:marLeft w:val="0"/>
      <w:marRight w:val="0"/>
      <w:marTop w:val="0"/>
      <w:marBottom w:val="0"/>
      <w:divBdr>
        <w:top w:val="none" w:sz="0" w:space="0" w:color="auto"/>
        <w:left w:val="none" w:sz="0" w:space="0" w:color="auto"/>
        <w:bottom w:val="none" w:sz="0" w:space="0" w:color="auto"/>
        <w:right w:val="none" w:sz="0" w:space="0" w:color="auto"/>
      </w:divBdr>
    </w:div>
    <w:div w:id="334574205">
      <w:bodyDiv w:val="1"/>
      <w:marLeft w:val="0"/>
      <w:marRight w:val="0"/>
      <w:marTop w:val="0"/>
      <w:marBottom w:val="0"/>
      <w:divBdr>
        <w:top w:val="none" w:sz="0" w:space="0" w:color="auto"/>
        <w:left w:val="none" w:sz="0" w:space="0" w:color="auto"/>
        <w:bottom w:val="none" w:sz="0" w:space="0" w:color="auto"/>
        <w:right w:val="none" w:sz="0" w:space="0" w:color="auto"/>
      </w:divBdr>
    </w:div>
    <w:div w:id="336813308">
      <w:bodyDiv w:val="1"/>
      <w:marLeft w:val="0"/>
      <w:marRight w:val="0"/>
      <w:marTop w:val="0"/>
      <w:marBottom w:val="0"/>
      <w:divBdr>
        <w:top w:val="none" w:sz="0" w:space="0" w:color="auto"/>
        <w:left w:val="none" w:sz="0" w:space="0" w:color="auto"/>
        <w:bottom w:val="none" w:sz="0" w:space="0" w:color="auto"/>
        <w:right w:val="none" w:sz="0" w:space="0" w:color="auto"/>
      </w:divBdr>
    </w:div>
    <w:div w:id="353458378">
      <w:bodyDiv w:val="1"/>
      <w:marLeft w:val="0"/>
      <w:marRight w:val="0"/>
      <w:marTop w:val="0"/>
      <w:marBottom w:val="0"/>
      <w:divBdr>
        <w:top w:val="none" w:sz="0" w:space="0" w:color="auto"/>
        <w:left w:val="none" w:sz="0" w:space="0" w:color="auto"/>
        <w:bottom w:val="none" w:sz="0" w:space="0" w:color="auto"/>
        <w:right w:val="none" w:sz="0" w:space="0" w:color="auto"/>
      </w:divBdr>
    </w:div>
    <w:div w:id="364452251">
      <w:bodyDiv w:val="1"/>
      <w:marLeft w:val="0"/>
      <w:marRight w:val="0"/>
      <w:marTop w:val="0"/>
      <w:marBottom w:val="0"/>
      <w:divBdr>
        <w:top w:val="none" w:sz="0" w:space="0" w:color="auto"/>
        <w:left w:val="none" w:sz="0" w:space="0" w:color="auto"/>
        <w:bottom w:val="none" w:sz="0" w:space="0" w:color="auto"/>
        <w:right w:val="none" w:sz="0" w:space="0" w:color="auto"/>
      </w:divBdr>
    </w:div>
    <w:div w:id="366610050">
      <w:bodyDiv w:val="1"/>
      <w:marLeft w:val="0"/>
      <w:marRight w:val="0"/>
      <w:marTop w:val="0"/>
      <w:marBottom w:val="0"/>
      <w:divBdr>
        <w:top w:val="none" w:sz="0" w:space="0" w:color="auto"/>
        <w:left w:val="none" w:sz="0" w:space="0" w:color="auto"/>
        <w:bottom w:val="none" w:sz="0" w:space="0" w:color="auto"/>
        <w:right w:val="none" w:sz="0" w:space="0" w:color="auto"/>
      </w:divBdr>
    </w:div>
    <w:div w:id="377824934">
      <w:bodyDiv w:val="1"/>
      <w:marLeft w:val="0"/>
      <w:marRight w:val="0"/>
      <w:marTop w:val="0"/>
      <w:marBottom w:val="0"/>
      <w:divBdr>
        <w:top w:val="none" w:sz="0" w:space="0" w:color="auto"/>
        <w:left w:val="none" w:sz="0" w:space="0" w:color="auto"/>
        <w:bottom w:val="none" w:sz="0" w:space="0" w:color="auto"/>
        <w:right w:val="none" w:sz="0" w:space="0" w:color="auto"/>
      </w:divBdr>
    </w:div>
    <w:div w:id="402919574">
      <w:bodyDiv w:val="1"/>
      <w:marLeft w:val="0"/>
      <w:marRight w:val="0"/>
      <w:marTop w:val="0"/>
      <w:marBottom w:val="0"/>
      <w:divBdr>
        <w:top w:val="none" w:sz="0" w:space="0" w:color="auto"/>
        <w:left w:val="none" w:sz="0" w:space="0" w:color="auto"/>
        <w:bottom w:val="none" w:sz="0" w:space="0" w:color="auto"/>
        <w:right w:val="none" w:sz="0" w:space="0" w:color="auto"/>
      </w:divBdr>
    </w:div>
    <w:div w:id="403837858">
      <w:bodyDiv w:val="1"/>
      <w:marLeft w:val="0"/>
      <w:marRight w:val="0"/>
      <w:marTop w:val="0"/>
      <w:marBottom w:val="0"/>
      <w:divBdr>
        <w:top w:val="none" w:sz="0" w:space="0" w:color="auto"/>
        <w:left w:val="none" w:sz="0" w:space="0" w:color="auto"/>
        <w:bottom w:val="none" w:sz="0" w:space="0" w:color="auto"/>
        <w:right w:val="none" w:sz="0" w:space="0" w:color="auto"/>
      </w:divBdr>
    </w:div>
    <w:div w:id="442193658">
      <w:bodyDiv w:val="1"/>
      <w:marLeft w:val="0"/>
      <w:marRight w:val="0"/>
      <w:marTop w:val="0"/>
      <w:marBottom w:val="0"/>
      <w:divBdr>
        <w:top w:val="none" w:sz="0" w:space="0" w:color="auto"/>
        <w:left w:val="none" w:sz="0" w:space="0" w:color="auto"/>
        <w:bottom w:val="none" w:sz="0" w:space="0" w:color="auto"/>
        <w:right w:val="none" w:sz="0" w:space="0" w:color="auto"/>
      </w:divBdr>
    </w:div>
    <w:div w:id="511996162">
      <w:bodyDiv w:val="1"/>
      <w:marLeft w:val="0"/>
      <w:marRight w:val="0"/>
      <w:marTop w:val="0"/>
      <w:marBottom w:val="0"/>
      <w:divBdr>
        <w:top w:val="none" w:sz="0" w:space="0" w:color="auto"/>
        <w:left w:val="none" w:sz="0" w:space="0" w:color="auto"/>
        <w:bottom w:val="none" w:sz="0" w:space="0" w:color="auto"/>
        <w:right w:val="none" w:sz="0" w:space="0" w:color="auto"/>
      </w:divBdr>
    </w:div>
    <w:div w:id="522599116">
      <w:bodyDiv w:val="1"/>
      <w:marLeft w:val="0"/>
      <w:marRight w:val="0"/>
      <w:marTop w:val="0"/>
      <w:marBottom w:val="0"/>
      <w:divBdr>
        <w:top w:val="none" w:sz="0" w:space="0" w:color="auto"/>
        <w:left w:val="none" w:sz="0" w:space="0" w:color="auto"/>
        <w:bottom w:val="none" w:sz="0" w:space="0" w:color="auto"/>
        <w:right w:val="none" w:sz="0" w:space="0" w:color="auto"/>
      </w:divBdr>
    </w:div>
    <w:div w:id="523521058">
      <w:bodyDiv w:val="1"/>
      <w:marLeft w:val="0"/>
      <w:marRight w:val="0"/>
      <w:marTop w:val="0"/>
      <w:marBottom w:val="0"/>
      <w:divBdr>
        <w:top w:val="none" w:sz="0" w:space="0" w:color="auto"/>
        <w:left w:val="none" w:sz="0" w:space="0" w:color="auto"/>
        <w:bottom w:val="none" w:sz="0" w:space="0" w:color="auto"/>
        <w:right w:val="none" w:sz="0" w:space="0" w:color="auto"/>
      </w:divBdr>
    </w:div>
    <w:div w:id="533150366">
      <w:bodyDiv w:val="1"/>
      <w:marLeft w:val="0"/>
      <w:marRight w:val="0"/>
      <w:marTop w:val="0"/>
      <w:marBottom w:val="0"/>
      <w:divBdr>
        <w:top w:val="none" w:sz="0" w:space="0" w:color="auto"/>
        <w:left w:val="none" w:sz="0" w:space="0" w:color="auto"/>
        <w:bottom w:val="none" w:sz="0" w:space="0" w:color="auto"/>
        <w:right w:val="none" w:sz="0" w:space="0" w:color="auto"/>
      </w:divBdr>
    </w:div>
    <w:div w:id="557672426">
      <w:bodyDiv w:val="1"/>
      <w:marLeft w:val="0"/>
      <w:marRight w:val="0"/>
      <w:marTop w:val="0"/>
      <w:marBottom w:val="0"/>
      <w:divBdr>
        <w:top w:val="none" w:sz="0" w:space="0" w:color="auto"/>
        <w:left w:val="none" w:sz="0" w:space="0" w:color="auto"/>
        <w:bottom w:val="none" w:sz="0" w:space="0" w:color="auto"/>
        <w:right w:val="none" w:sz="0" w:space="0" w:color="auto"/>
      </w:divBdr>
    </w:div>
    <w:div w:id="562910814">
      <w:bodyDiv w:val="1"/>
      <w:marLeft w:val="0"/>
      <w:marRight w:val="0"/>
      <w:marTop w:val="0"/>
      <w:marBottom w:val="0"/>
      <w:divBdr>
        <w:top w:val="none" w:sz="0" w:space="0" w:color="auto"/>
        <w:left w:val="none" w:sz="0" w:space="0" w:color="auto"/>
        <w:bottom w:val="none" w:sz="0" w:space="0" w:color="auto"/>
        <w:right w:val="none" w:sz="0" w:space="0" w:color="auto"/>
      </w:divBdr>
    </w:div>
    <w:div w:id="600261248">
      <w:bodyDiv w:val="1"/>
      <w:marLeft w:val="0"/>
      <w:marRight w:val="0"/>
      <w:marTop w:val="0"/>
      <w:marBottom w:val="0"/>
      <w:divBdr>
        <w:top w:val="none" w:sz="0" w:space="0" w:color="auto"/>
        <w:left w:val="none" w:sz="0" w:space="0" w:color="auto"/>
        <w:bottom w:val="none" w:sz="0" w:space="0" w:color="auto"/>
        <w:right w:val="none" w:sz="0" w:space="0" w:color="auto"/>
      </w:divBdr>
    </w:div>
    <w:div w:id="610824127">
      <w:bodyDiv w:val="1"/>
      <w:marLeft w:val="0"/>
      <w:marRight w:val="0"/>
      <w:marTop w:val="0"/>
      <w:marBottom w:val="0"/>
      <w:divBdr>
        <w:top w:val="none" w:sz="0" w:space="0" w:color="auto"/>
        <w:left w:val="none" w:sz="0" w:space="0" w:color="auto"/>
        <w:bottom w:val="none" w:sz="0" w:space="0" w:color="auto"/>
        <w:right w:val="none" w:sz="0" w:space="0" w:color="auto"/>
      </w:divBdr>
    </w:div>
    <w:div w:id="619997289">
      <w:bodyDiv w:val="1"/>
      <w:marLeft w:val="0"/>
      <w:marRight w:val="0"/>
      <w:marTop w:val="0"/>
      <w:marBottom w:val="0"/>
      <w:divBdr>
        <w:top w:val="none" w:sz="0" w:space="0" w:color="auto"/>
        <w:left w:val="none" w:sz="0" w:space="0" w:color="auto"/>
        <w:bottom w:val="none" w:sz="0" w:space="0" w:color="auto"/>
        <w:right w:val="none" w:sz="0" w:space="0" w:color="auto"/>
      </w:divBdr>
    </w:div>
    <w:div w:id="667367565">
      <w:bodyDiv w:val="1"/>
      <w:marLeft w:val="0"/>
      <w:marRight w:val="0"/>
      <w:marTop w:val="0"/>
      <w:marBottom w:val="0"/>
      <w:divBdr>
        <w:top w:val="none" w:sz="0" w:space="0" w:color="auto"/>
        <w:left w:val="none" w:sz="0" w:space="0" w:color="auto"/>
        <w:bottom w:val="none" w:sz="0" w:space="0" w:color="auto"/>
        <w:right w:val="none" w:sz="0" w:space="0" w:color="auto"/>
      </w:divBdr>
    </w:div>
    <w:div w:id="716901609">
      <w:bodyDiv w:val="1"/>
      <w:marLeft w:val="0"/>
      <w:marRight w:val="0"/>
      <w:marTop w:val="0"/>
      <w:marBottom w:val="0"/>
      <w:divBdr>
        <w:top w:val="none" w:sz="0" w:space="0" w:color="auto"/>
        <w:left w:val="none" w:sz="0" w:space="0" w:color="auto"/>
        <w:bottom w:val="none" w:sz="0" w:space="0" w:color="auto"/>
        <w:right w:val="none" w:sz="0" w:space="0" w:color="auto"/>
      </w:divBdr>
    </w:div>
    <w:div w:id="746151244">
      <w:bodyDiv w:val="1"/>
      <w:marLeft w:val="0"/>
      <w:marRight w:val="0"/>
      <w:marTop w:val="0"/>
      <w:marBottom w:val="0"/>
      <w:divBdr>
        <w:top w:val="none" w:sz="0" w:space="0" w:color="auto"/>
        <w:left w:val="none" w:sz="0" w:space="0" w:color="auto"/>
        <w:bottom w:val="none" w:sz="0" w:space="0" w:color="auto"/>
        <w:right w:val="none" w:sz="0" w:space="0" w:color="auto"/>
      </w:divBdr>
    </w:div>
    <w:div w:id="774906978">
      <w:bodyDiv w:val="1"/>
      <w:marLeft w:val="0"/>
      <w:marRight w:val="0"/>
      <w:marTop w:val="0"/>
      <w:marBottom w:val="0"/>
      <w:divBdr>
        <w:top w:val="none" w:sz="0" w:space="0" w:color="auto"/>
        <w:left w:val="none" w:sz="0" w:space="0" w:color="auto"/>
        <w:bottom w:val="none" w:sz="0" w:space="0" w:color="auto"/>
        <w:right w:val="none" w:sz="0" w:space="0" w:color="auto"/>
      </w:divBdr>
    </w:div>
    <w:div w:id="780028137">
      <w:bodyDiv w:val="1"/>
      <w:marLeft w:val="0"/>
      <w:marRight w:val="0"/>
      <w:marTop w:val="0"/>
      <w:marBottom w:val="0"/>
      <w:divBdr>
        <w:top w:val="none" w:sz="0" w:space="0" w:color="auto"/>
        <w:left w:val="none" w:sz="0" w:space="0" w:color="auto"/>
        <w:bottom w:val="none" w:sz="0" w:space="0" w:color="auto"/>
        <w:right w:val="none" w:sz="0" w:space="0" w:color="auto"/>
      </w:divBdr>
    </w:div>
    <w:div w:id="796141182">
      <w:bodyDiv w:val="1"/>
      <w:marLeft w:val="0"/>
      <w:marRight w:val="0"/>
      <w:marTop w:val="0"/>
      <w:marBottom w:val="0"/>
      <w:divBdr>
        <w:top w:val="none" w:sz="0" w:space="0" w:color="auto"/>
        <w:left w:val="none" w:sz="0" w:space="0" w:color="auto"/>
        <w:bottom w:val="none" w:sz="0" w:space="0" w:color="auto"/>
        <w:right w:val="none" w:sz="0" w:space="0" w:color="auto"/>
      </w:divBdr>
    </w:div>
    <w:div w:id="824275758">
      <w:bodyDiv w:val="1"/>
      <w:marLeft w:val="0"/>
      <w:marRight w:val="0"/>
      <w:marTop w:val="0"/>
      <w:marBottom w:val="0"/>
      <w:divBdr>
        <w:top w:val="none" w:sz="0" w:space="0" w:color="auto"/>
        <w:left w:val="none" w:sz="0" w:space="0" w:color="auto"/>
        <w:bottom w:val="none" w:sz="0" w:space="0" w:color="auto"/>
        <w:right w:val="none" w:sz="0" w:space="0" w:color="auto"/>
      </w:divBdr>
    </w:div>
    <w:div w:id="862666658">
      <w:bodyDiv w:val="1"/>
      <w:marLeft w:val="0"/>
      <w:marRight w:val="0"/>
      <w:marTop w:val="0"/>
      <w:marBottom w:val="0"/>
      <w:divBdr>
        <w:top w:val="none" w:sz="0" w:space="0" w:color="auto"/>
        <w:left w:val="none" w:sz="0" w:space="0" w:color="auto"/>
        <w:bottom w:val="none" w:sz="0" w:space="0" w:color="auto"/>
        <w:right w:val="none" w:sz="0" w:space="0" w:color="auto"/>
      </w:divBdr>
    </w:div>
    <w:div w:id="912201476">
      <w:bodyDiv w:val="1"/>
      <w:marLeft w:val="0"/>
      <w:marRight w:val="0"/>
      <w:marTop w:val="0"/>
      <w:marBottom w:val="0"/>
      <w:divBdr>
        <w:top w:val="none" w:sz="0" w:space="0" w:color="auto"/>
        <w:left w:val="none" w:sz="0" w:space="0" w:color="auto"/>
        <w:bottom w:val="none" w:sz="0" w:space="0" w:color="auto"/>
        <w:right w:val="none" w:sz="0" w:space="0" w:color="auto"/>
      </w:divBdr>
    </w:div>
    <w:div w:id="920605451">
      <w:bodyDiv w:val="1"/>
      <w:marLeft w:val="0"/>
      <w:marRight w:val="0"/>
      <w:marTop w:val="0"/>
      <w:marBottom w:val="0"/>
      <w:divBdr>
        <w:top w:val="none" w:sz="0" w:space="0" w:color="auto"/>
        <w:left w:val="none" w:sz="0" w:space="0" w:color="auto"/>
        <w:bottom w:val="none" w:sz="0" w:space="0" w:color="auto"/>
        <w:right w:val="none" w:sz="0" w:space="0" w:color="auto"/>
      </w:divBdr>
    </w:div>
    <w:div w:id="950165003">
      <w:bodyDiv w:val="1"/>
      <w:marLeft w:val="0"/>
      <w:marRight w:val="0"/>
      <w:marTop w:val="0"/>
      <w:marBottom w:val="0"/>
      <w:divBdr>
        <w:top w:val="none" w:sz="0" w:space="0" w:color="auto"/>
        <w:left w:val="none" w:sz="0" w:space="0" w:color="auto"/>
        <w:bottom w:val="none" w:sz="0" w:space="0" w:color="auto"/>
        <w:right w:val="none" w:sz="0" w:space="0" w:color="auto"/>
      </w:divBdr>
    </w:div>
    <w:div w:id="958681590">
      <w:bodyDiv w:val="1"/>
      <w:marLeft w:val="0"/>
      <w:marRight w:val="0"/>
      <w:marTop w:val="0"/>
      <w:marBottom w:val="0"/>
      <w:divBdr>
        <w:top w:val="none" w:sz="0" w:space="0" w:color="auto"/>
        <w:left w:val="none" w:sz="0" w:space="0" w:color="auto"/>
        <w:bottom w:val="none" w:sz="0" w:space="0" w:color="auto"/>
        <w:right w:val="none" w:sz="0" w:space="0" w:color="auto"/>
      </w:divBdr>
    </w:div>
    <w:div w:id="973632502">
      <w:bodyDiv w:val="1"/>
      <w:marLeft w:val="0"/>
      <w:marRight w:val="0"/>
      <w:marTop w:val="0"/>
      <w:marBottom w:val="0"/>
      <w:divBdr>
        <w:top w:val="none" w:sz="0" w:space="0" w:color="auto"/>
        <w:left w:val="none" w:sz="0" w:space="0" w:color="auto"/>
        <w:bottom w:val="none" w:sz="0" w:space="0" w:color="auto"/>
        <w:right w:val="none" w:sz="0" w:space="0" w:color="auto"/>
      </w:divBdr>
    </w:div>
    <w:div w:id="983237876">
      <w:bodyDiv w:val="1"/>
      <w:marLeft w:val="0"/>
      <w:marRight w:val="0"/>
      <w:marTop w:val="0"/>
      <w:marBottom w:val="0"/>
      <w:divBdr>
        <w:top w:val="none" w:sz="0" w:space="0" w:color="auto"/>
        <w:left w:val="none" w:sz="0" w:space="0" w:color="auto"/>
        <w:bottom w:val="none" w:sz="0" w:space="0" w:color="auto"/>
        <w:right w:val="none" w:sz="0" w:space="0" w:color="auto"/>
      </w:divBdr>
    </w:div>
    <w:div w:id="1014500212">
      <w:bodyDiv w:val="1"/>
      <w:marLeft w:val="0"/>
      <w:marRight w:val="0"/>
      <w:marTop w:val="0"/>
      <w:marBottom w:val="0"/>
      <w:divBdr>
        <w:top w:val="none" w:sz="0" w:space="0" w:color="auto"/>
        <w:left w:val="none" w:sz="0" w:space="0" w:color="auto"/>
        <w:bottom w:val="none" w:sz="0" w:space="0" w:color="auto"/>
        <w:right w:val="none" w:sz="0" w:space="0" w:color="auto"/>
      </w:divBdr>
    </w:div>
    <w:div w:id="1045716422">
      <w:bodyDiv w:val="1"/>
      <w:marLeft w:val="0"/>
      <w:marRight w:val="0"/>
      <w:marTop w:val="0"/>
      <w:marBottom w:val="0"/>
      <w:divBdr>
        <w:top w:val="none" w:sz="0" w:space="0" w:color="auto"/>
        <w:left w:val="none" w:sz="0" w:space="0" w:color="auto"/>
        <w:bottom w:val="none" w:sz="0" w:space="0" w:color="auto"/>
        <w:right w:val="none" w:sz="0" w:space="0" w:color="auto"/>
      </w:divBdr>
    </w:div>
    <w:div w:id="1114590788">
      <w:bodyDiv w:val="1"/>
      <w:marLeft w:val="0"/>
      <w:marRight w:val="0"/>
      <w:marTop w:val="0"/>
      <w:marBottom w:val="0"/>
      <w:divBdr>
        <w:top w:val="none" w:sz="0" w:space="0" w:color="auto"/>
        <w:left w:val="none" w:sz="0" w:space="0" w:color="auto"/>
        <w:bottom w:val="none" w:sz="0" w:space="0" w:color="auto"/>
        <w:right w:val="none" w:sz="0" w:space="0" w:color="auto"/>
      </w:divBdr>
    </w:div>
    <w:div w:id="1126201095">
      <w:bodyDiv w:val="1"/>
      <w:marLeft w:val="0"/>
      <w:marRight w:val="0"/>
      <w:marTop w:val="0"/>
      <w:marBottom w:val="0"/>
      <w:divBdr>
        <w:top w:val="none" w:sz="0" w:space="0" w:color="auto"/>
        <w:left w:val="none" w:sz="0" w:space="0" w:color="auto"/>
        <w:bottom w:val="none" w:sz="0" w:space="0" w:color="auto"/>
        <w:right w:val="none" w:sz="0" w:space="0" w:color="auto"/>
      </w:divBdr>
    </w:div>
    <w:div w:id="1139878813">
      <w:bodyDiv w:val="1"/>
      <w:marLeft w:val="0"/>
      <w:marRight w:val="0"/>
      <w:marTop w:val="0"/>
      <w:marBottom w:val="0"/>
      <w:divBdr>
        <w:top w:val="none" w:sz="0" w:space="0" w:color="auto"/>
        <w:left w:val="none" w:sz="0" w:space="0" w:color="auto"/>
        <w:bottom w:val="none" w:sz="0" w:space="0" w:color="auto"/>
        <w:right w:val="none" w:sz="0" w:space="0" w:color="auto"/>
      </w:divBdr>
    </w:div>
    <w:div w:id="1141190798">
      <w:bodyDiv w:val="1"/>
      <w:marLeft w:val="0"/>
      <w:marRight w:val="0"/>
      <w:marTop w:val="0"/>
      <w:marBottom w:val="0"/>
      <w:divBdr>
        <w:top w:val="none" w:sz="0" w:space="0" w:color="auto"/>
        <w:left w:val="none" w:sz="0" w:space="0" w:color="auto"/>
        <w:bottom w:val="none" w:sz="0" w:space="0" w:color="auto"/>
        <w:right w:val="none" w:sz="0" w:space="0" w:color="auto"/>
      </w:divBdr>
    </w:div>
    <w:div w:id="1150291827">
      <w:bodyDiv w:val="1"/>
      <w:marLeft w:val="0"/>
      <w:marRight w:val="0"/>
      <w:marTop w:val="0"/>
      <w:marBottom w:val="0"/>
      <w:divBdr>
        <w:top w:val="none" w:sz="0" w:space="0" w:color="auto"/>
        <w:left w:val="none" w:sz="0" w:space="0" w:color="auto"/>
        <w:bottom w:val="none" w:sz="0" w:space="0" w:color="auto"/>
        <w:right w:val="none" w:sz="0" w:space="0" w:color="auto"/>
      </w:divBdr>
    </w:div>
    <w:div w:id="1164126870">
      <w:bodyDiv w:val="1"/>
      <w:marLeft w:val="0"/>
      <w:marRight w:val="0"/>
      <w:marTop w:val="0"/>
      <w:marBottom w:val="0"/>
      <w:divBdr>
        <w:top w:val="none" w:sz="0" w:space="0" w:color="auto"/>
        <w:left w:val="none" w:sz="0" w:space="0" w:color="auto"/>
        <w:bottom w:val="none" w:sz="0" w:space="0" w:color="auto"/>
        <w:right w:val="none" w:sz="0" w:space="0" w:color="auto"/>
      </w:divBdr>
    </w:div>
    <w:div w:id="1178614822">
      <w:bodyDiv w:val="1"/>
      <w:marLeft w:val="0"/>
      <w:marRight w:val="0"/>
      <w:marTop w:val="0"/>
      <w:marBottom w:val="0"/>
      <w:divBdr>
        <w:top w:val="none" w:sz="0" w:space="0" w:color="auto"/>
        <w:left w:val="none" w:sz="0" w:space="0" w:color="auto"/>
        <w:bottom w:val="none" w:sz="0" w:space="0" w:color="auto"/>
        <w:right w:val="none" w:sz="0" w:space="0" w:color="auto"/>
      </w:divBdr>
    </w:div>
    <w:div w:id="1200967823">
      <w:bodyDiv w:val="1"/>
      <w:marLeft w:val="0"/>
      <w:marRight w:val="0"/>
      <w:marTop w:val="0"/>
      <w:marBottom w:val="0"/>
      <w:divBdr>
        <w:top w:val="none" w:sz="0" w:space="0" w:color="auto"/>
        <w:left w:val="none" w:sz="0" w:space="0" w:color="auto"/>
        <w:bottom w:val="none" w:sz="0" w:space="0" w:color="auto"/>
        <w:right w:val="none" w:sz="0" w:space="0" w:color="auto"/>
      </w:divBdr>
    </w:div>
    <w:div w:id="1207135059">
      <w:bodyDiv w:val="1"/>
      <w:marLeft w:val="0"/>
      <w:marRight w:val="0"/>
      <w:marTop w:val="0"/>
      <w:marBottom w:val="0"/>
      <w:divBdr>
        <w:top w:val="none" w:sz="0" w:space="0" w:color="auto"/>
        <w:left w:val="none" w:sz="0" w:space="0" w:color="auto"/>
        <w:bottom w:val="none" w:sz="0" w:space="0" w:color="auto"/>
        <w:right w:val="none" w:sz="0" w:space="0" w:color="auto"/>
      </w:divBdr>
    </w:div>
    <w:div w:id="1241796917">
      <w:bodyDiv w:val="1"/>
      <w:marLeft w:val="0"/>
      <w:marRight w:val="0"/>
      <w:marTop w:val="0"/>
      <w:marBottom w:val="0"/>
      <w:divBdr>
        <w:top w:val="none" w:sz="0" w:space="0" w:color="auto"/>
        <w:left w:val="none" w:sz="0" w:space="0" w:color="auto"/>
        <w:bottom w:val="none" w:sz="0" w:space="0" w:color="auto"/>
        <w:right w:val="none" w:sz="0" w:space="0" w:color="auto"/>
      </w:divBdr>
      <w:divsChild>
        <w:div w:id="166021558">
          <w:marLeft w:val="432"/>
          <w:marRight w:val="0"/>
          <w:marTop w:val="360"/>
          <w:marBottom w:val="0"/>
          <w:divBdr>
            <w:top w:val="none" w:sz="0" w:space="0" w:color="auto"/>
            <w:left w:val="none" w:sz="0" w:space="0" w:color="auto"/>
            <w:bottom w:val="none" w:sz="0" w:space="0" w:color="auto"/>
            <w:right w:val="none" w:sz="0" w:space="0" w:color="auto"/>
          </w:divBdr>
        </w:div>
        <w:div w:id="659231645">
          <w:marLeft w:val="432"/>
          <w:marRight w:val="0"/>
          <w:marTop w:val="360"/>
          <w:marBottom w:val="0"/>
          <w:divBdr>
            <w:top w:val="none" w:sz="0" w:space="0" w:color="auto"/>
            <w:left w:val="none" w:sz="0" w:space="0" w:color="auto"/>
            <w:bottom w:val="none" w:sz="0" w:space="0" w:color="auto"/>
            <w:right w:val="none" w:sz="0" w:space="0" w:color="auto"/>
          </w:divBdr>
        </w:div>
        <w:div w:id="1766993591">
          <w:marLeft w:val="432"/>
          <w:marRight w:val="0"/>
          <w:marTop w:val="360"/>
          <w:marBottom w:val="0"/>
          <w:divBdr>
            <w:top w:val="none" w:sz="0" w:space="0" w:color="auto"/>
            <w:left w:val="none" w:sz="0" w:space="0" w:color="auto"/>
            <w:bottom w:val="none" w:sz="0" w:space="0" w:color="auto"/>
            <w:right w:val="none" w:sz="0" w:space="0" w:color="auto"/>
          </w:divBdr>
        </w:div>
        <w:div w:id="1908955012">
          <w:marLeft w:val="864"/>
          <w:marRight w:val="0"/>
          <w:marTop w:val="360"/>
          <w:marBottom w:val="0"/>
          <w:divBdr>
            <w:top w:val="none" w:sz="0" w:space="0" w:color="auto"/>
            <w:left w:val="none" w:sz="0" w:space="0" w:color="auto"/>
            <w:bottom w:val="none" w:sz="0" w:space="0" w:color="auto"/>
            <w:right w:val="none" w:sz="0" w:space="0" w:color="auto"/>
          </w:divBdr>
        </w:div>
      </w:divsChild>
    </w:div>
    <w:div w:id="1244149094">
      <w:bodyDiv w:val="1"/>
      <w:marLeft w:val="0"/>
      <w:marRight w:val="0"/>
      <w:marTop w:val="0"/>
      <w:marBottom w:val="0"/>
      <w:divBdr>
        <w:top w:val="none" w:sz="0" w:space="0" w:color="auto"/>
        <w:left w:val="none" w:sz="0" w:space="0" w:color="auto"/>
        <w:bottom w:val="none" w:sz="0" w:space="0" w:color="auto"/>
        <w:right w:val="none" w:sz="0" w:space="0" w:color="auto"/>
      </w:divBdr>
    </w:div>
    <w:div w:id="1249459617">
      <w:bodyDiv w:val="1"/>
      <w:marLeft w:val="0"/>
      <w:marRight w:val="0"/>
      <w:marTop w:val="0"/>
      <w:marBottom w:val="0"/>
      <w:divBdr>
        <w:top w:val="none" w:sz="0" w:space="0" w:color="auto"/>
        <w:left w:val="none" w:sz="0" w:space="0" w:color="auto"/>
        <w:bottom w:val="none" w:sz="0" w:space="0" w:color="auto"/>
        <w:right w:val="none" w:sz="0" w:space="0" w:color="auto"/>
      </w:divBdr>
    </w:div>
    <w:div w:id="1281036027">
      <w:bodyDiv w:val="1"/>
      <w:marLeft w:val="0"/>
      <w:marRight w:val="0"/>
      <w:marTop w:val="0"/>
      <w:marBottom w:val="0"/>
      <w:divBdr>
        <w:top w:val="none" w:sz="0" w:space="0" w:color="auto"/>
        <w:left w:val="none" w:sz="0" w:space="0" w:color="auto"/>
        <w:bottom w:val="none" w:sz="0" w:space="0" w:color="auto"/>
        <w:right w:val="none" w:sz="0" w:space="0" w:color="auto"/>
      </w:divBdr>
    </w:div>
    <w:div w:id="1296522332">
      <w:bodyDiv w:val="1"/>
      <w:marLeft w:val="0"/>
      <w:marRight w:val="0"/>
      <w:marTop w:val="0"/>
      <w:marBottom w:val="0"/>
      <w:divBdr>
        <w:top w:val="none" w:sz="0" w:space="0" w:color="auto"/>
        <w:left w:val="none" w:sz="0" w:space="0" w:color="auto"/>
        <w:bottom w:val="none" w:sz="0" w:space="0" w:color="auto"/>
        <w:right w:val="none" w:sz="0" w:space="0" w:color="auto"/>
      </w:divBdr>
    </w:div>
    <w:div w:id="1316451001">
      <w:bodyDiv w:val="1"/>
      <w:marLeft w:val="0"/>
      <w:marRight w:val="0"/>
      <w:marTop w:val="0"/>
      <w:marBottom w:val="0"/>
      <w:divBdr>
        <w:top w:val="none" w:sz="0" w:space="0" w:color="auto"/>
        <w:left w:val="none" w:sz="0" w:space="0" w:color="auto"/>
        <w:bottom w:val="none" w:sz="0" w:space="0" w:color="auto"/>
        <w:right w:val="none" w:sz="0" w:space="0" w:color="auto"/>
      </w:divBdr>
    </w:div>
    <w:div w:id="1360664057">
      <w:bodyDiv w:val="1"/>
      <w:marLeft w:val="0"/>
      <w:marRight w:val="0"/>
      <w:marTop w:val="0"/>
      <w:marBottom w:val="0"/>
      <w:divBdr>
        <w:top w:val="none" w:sz="0" w:space="0" w:color="auto"/>
        <w:left w:val="none" w:sz="0" w:space="0" w:color="auto"/>
        <w:bottom w:val="none" w:sz="0" w:space="0" w:color="auto"/>
        <w:right w:val="none" w:sz="0" w:space="0" w:color="auto"/>
      </w:divBdr>
    </w:div>
    <w:div w:id="1371958698">
      <w:bodyDiv w:val="1"/>
      <w:marLeft w:val="0"/>
      <w:marRight w:val="0"/>
      <w:marTop w:val="0"/>
      <w:marBottom w:val="0"/>
      <w:divBdr>
        <w:top w:val="none" w:sz="0" w:space="0" w:color="auto"/>
        <w:left w:val="none" w:sz="0" w:space="0" w:color="auto"/>
        <w:bottom w:val="none" w:sz="0" w:space="0" w:color="auto"/>
        <w:right w:val="none" w:sz="0" w:space="0" w:color="auto"/>
      </w:divBdr>
    </w:div>
    <w:div w:id="1376156306">
      <w:bodyDiv w:val="1"/>
      <w:marLeft w:val="0"/>
      <w:marRight w:val="0"/>
      <w:marTop w:val="0"/>
      <w:marBottom w:val="0"/>
      <w:divBdr>
        <w:top w:val="none" w:sz="0" w:space="0" w:color="auto"/>
        <w:left w:val="none" w:sz="0" w:space="0" w:color="auto"/>
        <w:bottom w:val="none" w:sz="0" w:space="0" w:color="auto"/>
        <w:right w:val="none" w:sz="0" w:space="0" w:color="auto"/>
      </w:divBdr>
    </w:div>
    <w:div w:id="1383285577">
      <w:bodyDiv w:val="1"/>
      <w:marLeft w:val="0"/>
      <w:marRight w:val="0"/>
      <w:marTop w:val="0"/>
      <w:marBottom w:val="0"/>
      <w:divBdr>
        <w:top w:val="none" w:sz="0" w:space="0" w:color="auto"/>
        <w:left w:val="none" w:sz="0" w:space="0" w:color="auto"/>
        <w:bottom w:val="none" w:sz="0" w:space="0" w:color="auto"/>
        <w:right w:val="none" w:sz="0" w:space="0" w:color="auto"/>
      </w:divBdr>
    </w:div>
    <w:div w:id="1388795346">
      <w:bodyDiv w:val="1"/>
      <w:marLeft w:val="0"/>
      <w:marRight w:val="0"/>
      <w:marTop w:val="0"/>
      <w:marBottom w:val="0"/>
      <w:divBdr>
        <w:top w:val="none" w:sz="0" w:space="0" w:color="auto"/>
        <w:left w:val="none" w:sz="0" w:space="0" w:color="auto"/>
        <w:bottom w:val="none" w:sz="0" w:space="0" w:color="auto"/>
        <w:right w:val="none" w:sz="0" w:space="0" w:color="auto"/>
      </w:divBdr>
    </w:div>
    <w:div w:id="1390422397">
      <w:bodyDiv w:val="1"/>
      <w:marLeft w:val="0"/>
      <w:marRight w:val="0"/>
      <w:marTop w:val="0"/>
      <w:marBottom w:val="0"/>
      <w:divBdr>
        <w:top w:val="none" w:sz="0" w:space="0" w:color="auto"/>
        <w:left w:val="none" w:sz="0" w:space="0" w:color="auto"/>
        <w:bottom w:val="none" w:sz="0" w:space="0" w:color="auto"/>
        <w:right w:val="none" w:sz="0" w:space="0" w:color="auto"/>
      </w:divBdr>
    </w:div>
    <w:div w:id="1396393942">
      <w:bodyDiv w:val="1"/>
      <w:marLeft w:val="0"/>
      <w:marRight w:val="0"/>
      <w:marTop w:val="0"/>
      <w:marBottom w:val="0"/>
      <w:divBdr>
        <w:top w:val="none" w:sz="0" w:space="0" w:color="auto"/>
        <w:left w:val="none" w:sz="0" w:space="0" w:color="auto"/>
        <w:bottom w:val="none" w:sz="0" w:space="0" w:color="auto"/>
        <w:right w:val="none" w:sz="0" w:space="0" w:color="auto"/>
      </w:divBdr>
    </w:div>
    <w:div w:id="1435513943">
      <w:bodyDiv w:val="1"/>
      <w:marLeft w:val="0"/>
      <w:marRight w:val="0"/>
      <w:marTop w:val="0"/>
      <w:marBottom w:val="0"/>
      <w:divBdr>
        <w:top w:val="none" w:sz="0" w:space="0" w:color="auto"/>
        <w:left w:val="none" w:sz="0" w:space="0" w:color="auto"/>
        <w:bottom w:val="none" w:sz="0" w:space="0" w:color="auto"/>
        <w:right w:val="none" w:sz="0" w:space="0" w:color="auto"/>
      </w:divBdr>
    </w:div>
    <w:div w:id="1455324902">
      <w:bodyDiv w:val="1"/>
      <w:marLeft w:val="0"/>
      <w:marRight w:val="0"/>
      <w:marTop w:val="0"/>
      <w:marBottom w:val="0"/>
      <w:divBdr>
        <w:top w:val="none" w:sz="0" w:space="0" w:color="auto"/>
        <w:left w:val="none" w:sz="0" w:space="0" w:color="auto"/>
        <w:bottom w:val="none" w:sz="0" w:space="0" w:color="auto"/>
        <w:right w:val="none" w:sz="0" w:space="0" w:color="auto"/>
      </w:divBdr>
    </w:div>
    <w:div w:id="1455908683">
      <w:bodyDiv w:val="1"/>
      <w:marLeft w:val="0"/>
      <w:marRight w:val="0"/>
      <w:marTop w:val="0"/>
      <w:marBottom w:val="0"/>
      <w:divBdr>
        <w:top w:val="none" w:sz="0" w:space="0" w:color="auto"/>
        <w:left w:val="none" w:sz="0" w:space="0" w:color="auto"/>
        <w:bottom w:val="none" w:sz="0" w:space="0" w:color="auto"/>
        <w:right w:val="none" w:sz="0" w:space="0" w:color="auto"/>
      </w:divBdr>
    </w:div>
    <w:div w:id="1460803648">
      <w:bodyDiv w:val="1"/>
      <w:marLeft w:val="0"/>
      <w:marRight w:val="0"/>
      <w:marTop w:val="0"/>
      <w:marBottom w:val="0"/>
      <w:divBdr>
        <w:top w:val="none" w:sz="0" w:space="0" w:color="auto"/>
        <w:left w:val="none" w:sz="0" w:space="0" w:color="auto"/>
        <w:bottom w:val="none" w:sz="0" w:space="0" w:color="auto"/>
        <w:right w:val="none" w:sz="0" w:space="0" w:color="auto"/>
      </w:divBdr>
    </w:div>
    <w:div w:id="1467821327">
      <w:bodyDiv w:val="1"/>
      <w:marLeft w:val="0"/>
      <w:marRight w:val="0"/>
      <w:marTop w:val="0"/>
      <w:marBottom w:val="0"/>
      <w:divBdr>
        <w:top w:val="none" w:sz="0" w:space="0" w:color="auto"/>
        <w:left w:val="none" w:sz="0" w:space="0" w:color="auto"/>
        <w:bottom w:val="none" w:sz="0" w:space="0" w:color="auto"/>
        <w:right w:val="none" w:sz="0" w:space="0" w:color="auto"/>
      </w:divBdr>
    </w:div>
    <w:div w:id="1483621237">
      <w:bodyDiv w:val="1"/>
      <w:marLeft w:val="0"/>
      <w:marRight w:val="0"/>
      <w:marTop w:val="0"/>
      <w:marBottom w:val="0"/>
      <w:divBdr>
        <w:top w:val="none" w:sz="0" w:space="0" w:color="auto"/>
        <w:left w:val="none" w:sz="0" w:space="0" w:color="auto"/>
        <w:bottom w:val="none" w:sz="0" w:space="0" w:color="auto"/>
        <w:right w:val="none" w:sz="0" w:space="0" w:color="auto"/>
      </w:divBdr>
    </w:div>
    <w:div w:id="1488859146">
      <w:bodyDiv w:val="1"/>
      <w:marLeft w:val="0"/>
      <w:marRight w:val="0"/>
      <w:marTop w:val="0"/>
      <w:marBottom w:val="0"/>
      <w:divBdr>
        <w:top w:val="none" w:sz="0" w:space="0" w:color="auto"/>
        <w:left w:val="none" w:sz="0" w:space="0" w:color="auto"/>
        <w:bottom w:val="none" w:sz="0" w:space="0" w:color="auto"/>
        <w:right w:val="none" w:sz="0" w:space="0" w:color="auto"/>
      </w:divBdr>
    </w:div>
    <w:div w:id="1524594504">
      <w:bodyDiv w:val="1"/>
      <w:marLeft w:val="0"/>
      <w:marRight w:val="0"/>
      <w:marTop w:val="0"/>
      <w:marBottom w:val="0"/>
      <w:divBdr>
        <w:top w:val="none" w:sz="0" w:space="0" w:color="auto"/>
        <w:left w:val="none" w:sz="0" w:space="0" w:color="auto"/>
        <w:bottom w:val="none" w:sz="0" w:space="0" w:color="auto"/>
        <w:right w:val="none" w:sz="0" w:space="0" w:color="auto"/>
      </w:divBdr>
    </w:div>
    <w:div w:id="1543249347">
      <w:bodyDiv w:val="1"/>
      <w:marLeft w:val="0"/>
      <w:marRight w:val="0"/>
      <w:marTop w:val="0"/>
      <w:marBottom w:val="0"/>
      <w:divBdr>
        <w:top w:val="none" w:sz="0" w:space="0" w:color="auto"/>
        <w:left w:val="none" w:sz="0" w:space="0" w:color="auto"/>
        <w:bottom w:val="none" w:sz="0" w:space="0" w:color="auto"/>
        <w:right w:val="none" w:sz="0" w:space="0" w:color="auto"/>
      </w:divBdr>
    </w:div>
    <w:div w:id="1577471932">
      <w:bodyDiv w:val="1"/>
      <w:marLeft w:val="0"/>
      <w:marRight w:val="0"/>
      <w:marTop w:val="0"/>
      <w:marBottom w:val="0"/>
      <w:divBdr>
        <w:top w:val="none" w:sz="0" w:space="0" w:color="auto"/>
        <w:left w:val="none" w:sz="0" w:space="0" w:color="auto"/>
        <w:bottom w:val="none" w:sz="0" w:space="0" w:color="auto"/>
        <w:right w:val="none" w:sz="0" w:space="0" w:color="auto"/>
      </w:divBdr>
    </w:div>
    <w:div w:id="1598639755">
      <w:bodyDiv w:val="1"/>
      <w:marLeft w:val="0"/>
      <w:marRight w:val="0"/>
      <w:marTop w:val="0"/>
      <w:marBottom w:val="0"/>
      <w:divBdr>
        <w:top w:val="none" w:sz="0" w:space="0" w:color="auto"/>
        <w:left w:val="none" w:sz="0" w:space="0" w:color="auto"/>
        <w:bottom w:val="none" w:sz="0" w:space="0" w:color="auto"/>
        <w:right w:val="none" w:sz="0" w:space="0" w:color="auto"/>
      </w:divBdr>
    </w:div>
    <w:div w:id="1600990606">
      <w:bodyDiv w:val="1"/>
      <w:marLeft w:val="0"/>
      <w:marRight w:val="0"/>
      <w:marTop w:val="0"/>
      <w:marBottom w:val="0"/>
      <w:divBdr>
        <w:top w:val="none" w:sz="0" w:space="0" w:color="auto"/>
        <w:left w:val="none" w:sz="0" w:space="0" w:color="auto"/>
        <w:bottom w:val="none" w:sz="0" w:space="0" w:color="auto"/>
        <w:right w:val="none" w:sz="0" w:space="0" w:color="auto"/>
      </w:divBdr>
    </w:div>
    <w:div w:id="1601331560">
      <w:bodyDiv w:val="1"/>
      <w:marLeft w:val="0"/>
      <w:marRight w:val="0"/>
      <w:marTop w:val="0"/>
      <w:marBottom w:val="0"/>
      <w:divBdr>
        <w:top w:val="none" w:sz="0" w:space="0" w:color="auto"/>
        <w:left w:val="none" w:sz="0" w:space="0" w:color="auto"/>
        <w:bottom w:val="none" w:sz="0" w:space="0" w:color="auto"/>
        <w:right w:val="none" w:sz="0" w:space="0" w:color="auto"/>
      </w:divBdr>
    </w:div>
    <w:div w:id="1640962225">
      <w:bodyDiv w:val="1"/>
      <w:marLeft w:val="0"/>
      <w:marRight w:val="0"/>
      <w:marTop w:val="0"/>
      <w:marBottom w:val="0"/>
      <w:divBdr>
        <w:top w:val="none" w:sz="0" w:space="0" w:color="auto"/>
        <w:left w:val="none" w:sz="0" w:space="0" w:color="auto"/>
        <w:bottom w:val="none" w:sz="0" w:space="0" w:color="auto"/>
        <w:right w:val="none" w:sz="0" w:space="0" w:color="auto"/>
      </w:divBdr>
    </w:div>
    <w:div w:id="1644502202">
      <w:bodyDiv w:val="1"/>
      <w:marLeft w:val="0"/>
      <w:marRight w:val="0"/>
      <w:marTop w:val="0"/>
      <w:marBottom w:val="0"/>
      <w:divBdr>
        <w:top w:val="none" w:sz="0" w:space="0" w:color="auto"/>
        <w:left w:val="none" w:sz="0" w:space="0" w:color="auto"/>
        <w:bottom w:val="none" w:sz="0" w:space="0" w:color="auto"/>
        <w:right w:val="none" w:sz="0" w:space="0" w:color="auto"/>
      </w:divBdr>
      <w:divsChild>
        <w:div w:id="1001397495">
          <w:marLeft w:val="432"/>
          <w:marRight w:val="0"/>
          <w:marTop w:val="240"/>
          <w:marBottom w:val="0"/>
          <w:divBdr>
            <w:top w:val="none" w:sz="0" w:space="0" w:color="auto"/>
            <w:left w:val="none" w:sz="0" w:space="0" w:color="auto"/>
            <w:bottom w:val="none" w:sz="0" w:space="0" w:color="auto"/>
            <w:right w:val="none" w:sz="0" w:space="0" w:color="auto"/>
          </w:divBdr>
        </w:div>
        <w:div w:id="1192962077">
          <w:marLeft w:val="432"/>
          <w:marRight w:val="0"/>
          <w:marTop w:val="240"/>
          <w:marBottom w:val="0"/>
          <w:divBdr>
            <w:top w:val="none" w:sz="0" w:space="0" w:color="auto"/>
            <w:left w:val="none" w:sz="0" w:space="0" w:color="auto"/>
            <w:bottom w:val="none" w:sz="0" w:space="0" w:color="auto"/>
            <w:right w:val="none" w:sz="0" w:space="0" w:color="auto"/>
          </w:divBdr>
        </w:div>
      </w:divsChild>
    </w:div>
    <w:div w:id="1648776652">
      <w:bodyDiv w:val="1"/>
      <w:marLeft w:val="0"/>
      <w:marRight w:val="0"/>
      <w:marTop w:val="0"/>
      <w:marBottom w:val="0"/>
      <w:divBdr>
        <w:top w:val="none" w:sz="0" w:space="0" w:color="auto"/>
        <w:left w:val="none" w:sz="0" w:space="0" w:color="auto"/>
        <w:bottom w:val="none" w:sz="0" w:space="0" w:color="auto"/>
        <w:right w:val="none" w:sz="0" w:space="0" w:color="auto"/>
      </w:divBdr>
    </w:div>
    <w:div w:id="1651983701">
      <w:bodyDiv w:val="1"/>
      <w:marLeft w:val="0"/>
      <w:marRight w:val="0"/>
      <w:marTop w:val="0"/>
      <w:marBottom w:val="0"/>
      <w:divBdr>
        <w:top w:val="none" w:sz="0" w:space="0" w:color="auto"/>
        <w:left w:val="none" w:sz="0" w:space="0" w:color="auto"/>
        <w:bottom w:val="none" w:sz="0" w:space="0" w:color="auto"/>
        <w:right w:val="none" w:sz="0" w:space="0" w:color="auto"/>
      </w:divBdr>
    </w:div>
    <w:div w:id="1665931158">
      <w:bodyDiv w:val="1"/>
      <w:marLeft w:val="0"/>
      <w:marRight w:val="0"/>
      <w:marTop w:val="0"/>
      <w:marBottom w:val="0"/>
      <w:divBdr>
        <w:top w:val="none" w:sz="0" w:space="0" w:color="auto"/>
        <w:left w:val="none" w:sz="0" w:space="0" w:color="auto"/>
        <w:bottom w:val="none" w:sz="0" w:space="0" w:color="auto"/>
        <w:right w:val="none" w:sz="0" w:space="0" w:color="auto"/>
      </w:divBdr>
    </w:div>
    <w:div w:id="1671131308">
      <w:bodyDiv w:val="1"/>
      <w:marLeft w:val="0"/>
      <w:marRight w:val="0"/>
      <w:marTop w:val="0"/>
      <w:marBottom w:val="0"/>
      <w:divBdr>
        <w:top w:val="none" w:sz="0" w:space="0" w:color="auto"/>
        <w:left w:val="none" w:sz="0" w:space="0" w:color="auto"/>
        <w:bottom w:val="none" w:sz="0" w:space="0" w:color="auto"/>
        <w:right w:val="none" w:sz="0" w:space="0" w:color="auto"/>
      </w:divBdr>
      <w:divsChild>
        <w:div w:id="843399384">
          <w:marLeft w:val="432"/>
          <w:marRight w:val="0"/>
          <w:marTop w:val="360"/>
          <w:marBottom w:val="0"/>
          <w:divBdr>
            <w:top w:val="none" w:sz="0" w:space="0" w:color="auto"/>
            <w:left w:val="none" w:sz="0" w:space="0" w:color="auto"/>
            <w:bottom w:val="none" w:sz="0" w:space="0" w:color="auto"/>
            <w:right w:val="none" w:sz="0" w:space="0" w:color="auto"/>
          </w:divBdr>
        </w:div>
        <w:div w:id="979533524">
          <w:marLeft w:val="432"/>
          <w:marRight w:val="0"/>
          <w:marTop w:val="360"/>
          <w:marBottom w:val="0"/>
          <w:divBdr>
            <w:top w:val="none" w:sz="0" w:space="0" w:color="auto"/>
            <w:left w:val="none" w:sz="0" w:space="0" w:color="auto"/>
            <w:bottom w:val="none" w:sz="0" w:space="0" w:color="auto"/>
            <w:right w:val="none" w:sz="0" w:space="0" w:color="auto"/>
          </w:divBdr>
        </w:div>
        <w:div w:id="1205099128">
          <w:marLeft w:val="432"/>
          <w:marRight w:val="0"/>
          <w:marTop w:val="360"/>
          <w:marBottom w:val="0"/>
          <w:divBdr>
            <w:top w:val="none" w:sz="0" w:space="0" w:color="auto"/>
            <w:left w:val="none" w:sz="0" w:space="0" w:color="auto"/>
            <w:bottom w:val="none" w:sz="0" w:space="0" w:color="auto"/>
            <w:right w:val="none" w:sz="0" w:space="0" w:color="auto"/>
          </w:divBdr>
        </w:div>
      </w:divsChild>
    </w:div>
    <w:div w:id="1680621915">
      <w:bodyDiv w:val="1"/>
      <w:marLeft w:val="0"/>
      <w:marRight w:val="0"/>
      <w:marTop w:val="0"/>
      <w:marBottom w:val="0"/>
      <w:divBdr>
        <w:top w:val="none" w:sz="0" w:space="0" w:color="auto"/>
        <w:left w:val="none" w:sz="0" w:space="0" w:color="auto"/>
        <w:bottom w:val="none" w:sz="0" w:space="0" w:color="auto"/>
        <w:right w:val="none" w:sz="0" w:space="0" w:color="auto"/>
      </w:divBdr>
    </w:div>
    <w:div w:id="1684164908">
      <w:bodyDiv w:val="1"/>
      <w:marLeft w:val="0"/>
      <w:marRight w:val="0"/>
      <w:marTop w:val="0"/>
      <w:marBottom w:val="0"/>
      <w:divBdr>
        <w:top w:val="none" w:sz="0" w:space="0" w:color="auto"/>
        <w:left w:val="none" w:sz="0" w:space="0" w:color="auto"/>
        <w:bottom w:val="none" w:sz="0" w:space="0" w:color="auto"/>
        <w:right w:val="none" w:sz="0" w:space="0" w:color="auto"/>
      </w:divBdr>
    </w:div>
    <w:div w:id="1704091005">
      <w:bodyDiv w:val="1"/>
      <w:marLeft w:val="0"/>
      <w:marRight w:val="0"/>
      <w:marTop w:val="0"/>
      <w:marBottom w:val="0"/>
      <w:divBdr>
        <w:top w:val="none" w:sz="0" w:space="0" w:color="auto"/>
        <w:left w:val="none" w:sz="0" w:space="0" w:color="auto"/>
        <w:bottom w:val="none" w:sz="0" w:space="0" w:color="auto"/>
        <w:right w:val="none" w:sz="0" w:space="0" w:color="auto"/>
      </w:divBdr>
    </w:div>
    <w:div w:id="1712260931">
      <w:bodyDiv w:val="1"/>
      <w:marLeft w:val="0"/>
      <w:marRight w:val="0"/>
      <w:marTop w:val="0"/>
      <w:marBottom w:val="0"/>
      <w:divBdr>
        <w:top w:val="none" w:sz="0" w:space="0" w:color="auto"/>
        <w:left w:val="none" w:sz="0" w:space="0" w:color="auto"/>
        <w:bottom w:val="none" w:sz="0" w:space="0" w:color="auto"/>
        <w:right w:val="none" w:sz="0" w:space="0" w:color="auto"/>
      </w:divBdr>
    </w:div>
    <w:div w:id="1852840529">
      <w:bodyDiv w:val="1"/>
      <w:marLeft w:val="0"/>
      <w:marRight w:val="0"/>
      <w:marTop w:val="0"/>
      <w:marBottom w:val="0"/>
      <w:divBdr>
        <w:top w:val="none" w:sz="0" w:space="0" w:color="auto"/>
        <w:left w:val="none" w:sz="0" w:space="0" w:color="auto"/>
        <w:bottom w:val="none" w:sz="0" w:space="0" w:color="auto"/>
        <w:right w:val="none" w:sz="0" w:space="0" w:color="auto"/>
      </w:divBdr>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8910431">
      <w:bodyDiv w:val="1"/>
      <w:marLeft w:val="0"/>
      <w:marRight w:val="0"/>
      <w:marTop w:val="0"/>
      <w:marBottom w:val="0"/>
      <w:divBdr>
        <w:top w:val="none" w:sz="0" w:space="0" w:color="auto"/>
        <w:left w:val="none" w:sz="0" w:space="0" w:color="auto"/>
        <w:bottom w:val="none" w:sz="0" w:space="0" w:color="auto"/>
        <w:right w:val="none" w:sz="0" w:space="0" w:color="auto"/>
      </w:divBdr>
    </w:div>
    <w:div w:id="1877237387">
      <w:bodyDiv w:val="1"/>
      <w:marLeft w:val="0"/>
      <w:marRight w:val="0"/>
      <w:marTop w:val="0"/>
      <w:marBottom w:val="0"/>
      <w:divBdr>
        <w:top w:val="none" w:sz="0" w:space="0" w:color="auto"/>
        <w:left w:val="none" w:sz="0" w:space="0" w:color="auto"/>
        <w:bottom w:val="none" w:sz="0" w:space="0" w:color="auto"/>
        <w:right w:val="none" w:sz="0" w:space="0" w:color="auto"/>
      </w:divBdr>
    </w:div>
    <w:div w:id="1904557215">
      <w:bodyDiv w:val="1"/>
      <w:marLeft w:val="0"/>
      <w:marRight w:val="0"/>
      <w:marTop w:val="0"/>
      <w:marBottom w:val="0"/>
      <w:divBdr>
        <w:top w:val="none" w:sz="0" w:space="0" w:color="auto"/>
        <w:left w:val="none" w:sz="0" w:space="0" w:color="auto"/>
        <w:bottom w:val="none" w:sz="0" w:space="0" w:color="auto"/>
        <w:right w:val="none" w:sz="0" w:space="0" w:color="auto"/>
      </w:divBdr>
    </w:div>
    <w:div w:id="1905410031">
      <w:bodyDiv w:val="1"/>
      <w:marLeft w:val="0"/>
      <w:marRight w:val="0"/>
      <w:marTop w:val="0"/>
      <w:marBottom w:val="0"/>
      <w:divBdr>
        <w:top w:val="none" w:sz="0" w:space="0" w:color="auto"/>
        <w:left w:val="none" w:sz="0" w:space="0" w:color="auto"/>
        <w:bottom w:val="none" w:sz="0" w:space="0" w:color="auto"/>
        <w:right w:val="none" w:sz="0" w:space="0" w:color="auto"/>
      </w:divBdr>
    </w:div>
    <w:div w:id="1929000748">
      <w:bodyDiv w:val="1"/>
      <w:marLeft w:val="0"/>
      <w:marRight w:val="0"/>
      <w:marTop w:val="0"/>
      <w:marBottom w:val="0"/>
      <w:divBdr>
        <w:top w:val="none" w:sz="0" w:space="0" w:color="auto"/>
        <w:left w:val="none" w:sz="0" w:space="0" w:color="auto"/>
        <w:bottom w:val="none" w:sz="0" w:space="0" w:color="auto"/>
        <w:right w:val="none" w:sz="0" w:space="0" w:color="auto"/>
      </w:divBdr>
    </w:div>
    <w:div w:id="1929315129">
      <w:bodyDiv w:val="1"/>
      <w:marLeft w:val="0"/>
      <w:marRight w:val="0"/>
      <w:marTop w:val="0"/>
      <w:marBottom w:val="0"/>
      <w:divBdr>
        <w:top w:val="none" w:sz="0" w:space="0" w:color="auto"/>
        <w:left w:val="none" w:sz="0" w:space="0" w:color="auto"/>
        <w:bottom w:val="none" w:sz="0" w:space="0" w:color="auto"/>
        <w:right w:val="none" w:sz="0" w:space="0" w:color="auto"/>
      </w:divBdr>
    </w:div>
    <w:div w:id="1945646730">
      <w:bodyDiv w:val="1"/>
      <w:marLeft w:val="0"/>
      <w:marRight w:val="0"/>
      <w:marTop w:val="0"/>
      <w:marBottom w:val="0"/>
      <w:divBdr>
        <w:top w:val="none" w:sz="0" w:space="0" w:color="auto"/>
        <w:left w:val="none" w:sz="0" w:space="0" w:color="auto"/>
        <w:bottom w:val="none" w:sz="0" w:space="0" w:color="auto"/>
        <w:right w:val="none" w:sz="0" w:space="0" w:color="auto"/>
      </w:divBdr>
    </w:div>
    <w:div w:id="1965960037">
      <w:bodyDiv w:val="1"/>
      <w:marLeft w:val="0"/>
      <w:marRight w:val="0"/>
      <w:marTop w:val="0"/>
      <w:marBottom w:val="0"/>
      <w:divBdr>
        <w:top w:val="none" w:sz="0" w:space="0" w:color="auto"/>
        <w:left w:val="none" w:sz="0" w:space="0" w:color="auto"/>
        <w:bottom w:val="none" w:sz="0" w:space="0" w:color="auto"/>
        <w:right w:val="none" w:sz="0" w:space="0" w:color="auto"/>
      </w:divBdr>
    </w:div>
    <w:div w:id="1976910722">
      <w:bodyDiv w:val="1"/>
      <w:marLeft w:val="0"/>
      <w:marRight w:val="0"/>
      <w:marTop w:val="0"/>
      <w:marBottom w:val="0"/>
      <w:divBdr>
        <w:top w:val="none" w:sz="0" w:space="0" w:color="auto"/>
        <w:left w:val="none" w:sz="0" w:space="0" w:color="auto"/>
        <w:bottom w:val="none" w:sz="0" w:space="0" w:color="auto"/>
        <w:right w:val="none" w:sz="0" w:space="0" w:color="auto"/>
      </w:divBdr>
    </w:div>
    <w:div w:id="1983801472">
      <w:bodyDiv w:val="1"/>
      <w:marLeft w:val="0"/>
      <w:marRight w:val="0"/>
      <w:marTop w:val="0"/>
      <w:marBottom w:val="0"/>
      <w:divBdr>
        <w:top w:val="none" w:sz="0" w:space="0" w:color="auto"/>
        <w:left w:val="none" w:sz="0" w:space="0" w:color="auto"/>
        <w:bottom w:val="none" w:sz="0" w:space="0" w:color="auto"/>
        <w:right w:val="none" w:sz="0" w:space="0" w:color="auto"/>
      </w:divBdr>
    </w:div>
    <w:div w:id="1990591437">
      <w:bodyDiv w:val="1"/>
      <w:marLeft w:val="0"/>
      <w:marRight w:val="0"/>
      <w:marTop w:val="0"/>
      <w:marBottom w:val="0"/>
      <w:divBdr>
        <w:top w:val="none" w:sz="0" w:space="0" w:color="auto"/>
        <w:left w:val="none" w:sz="0" w:space="0" w:color="auto"/>
        <w:bottom w:val="none" w:sz="0" w:space="0" w:color="auto"/>
        <w:right w:val="none" w:sz="0" w:space="0" w:color="auto"/>
      </w:divBdr>
    </w:div>
    <w:div w:id="2018384783">
      <w:bodyDiv w:val="1"/>
      <w:marLeft w:val="0"/>
      <w:marRight w:val="0"/>
      <w:marTop w:val="0"/>
      <w:marBottom w:val="0"/>
      <w:divBdr>
        <w:top w:val="none" w:sz="0" w:space="0" w:color="auto"/>
        <w:left w:val="none" w:sz="0" w:space="0" w:color="auto"/>
        <w:bottom w:val="none" w:sz="0" w:space="0" w:color="auto"/>
        <w:right w:val="none" w:sz="0" w:space="0" w:color="auto"/>
      </w:divBdr>
    </w:div>
    <w:div w:id="2024630813">
      <w:bodyDiv w:val="1"/>
      <w:marLeft w:val="0"/>
      <w:marRight w:val="0"/>
      <w:marTop w:val="0"/>
      <w:marBottom w:val="0"/>
      <w:divBdr>
        <w:top w:val="none" w:sz="0" w:space="0" w:color="auto"/>
        <w:left w:val="none" w:sz="0" w:space="0" w:color="auto"/>
        <w:bottom w:val="none" w:sz="0" w:space="0" w:color="auto"/>
        <w:right w:val="none" w:sz="0" w:space="0" w:color="auto"/>
      </w:divBdr>
    </w:div>
    <w:div w:id="2040929545">
      <w:bodyDiv w:val="1"/>
      <w:marLeft w:val="0"/>
      <w:marRight w:val="0"/>
      <w:marTop w:val="0"/>
      <w:marBottom w:val="0"/>
      <w:divBdr>
        <w:top w:val="none" w:sz="0" w:space="0" w:color="auto"/>
        <w:left w:val="none" w:sz="0" w:space="0" w:color="auto"/>
        <w:bottom w:val="none" w:sz="0" w:space="0" w:color="auto"/>
        <w:right w:val="none" w:sz="0" w:space="0" w:color="auto"/>
      </w:divBdr>
    </w:div>
    <w:div w:id="213937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77B06487-22F0-43DC-A746-4D1C63B22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3082</Words>
  <Characters>17569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ANEKSI 2</vt:lpstr>
    </vt:vector>
  </TitlesOfParts>
  <Company>URBAN INSTITUTE</Company>
  <LinksUpToDate>false</LinksUpToDate>
  <CharactersWithSpaces>20610</CharactersWithSpaces>
  <SharedDoc>false</SharedDoc>
  <HLinks>
    <vt:vector size="6" baseType="variant">
      <vt:variant>
        <vt:i4>7536693</vt:i4>
      </vt:variant>
      <vt:variant>
        <vt:i4>16051</vt:i4>
      </vt:variant>
      <vt:variant>
        <vt:i4>1025</vt:i4>
      </vt:variant>
      <vt:variant>
        <vt:i4>1</vt:i4>
      </vt:variant>
      <vt:variant>
        <vt:lpwstr>mso676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ANEKSI 2</dc:title>
  <dc:creator>ILIR</dc:creator>
  <cp:lastModifiedBy>user</cp:lastModifiedBy>
  <cp:revision>3</cp:revision>
  <cp:lastPrinted>2015-11-16T18:29:00Z</cp:lastPrinted>
  <dcterms:created xsi:type="dcterms:W3CDTF">2016-05-31T07:36:00Z</dcterms:created>
  <dcterms:modified xsi:type="dcterms:W3CDTF">2016-05-31T07:36:00Z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