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2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2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2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2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2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2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drawings/drawing4.xml" ContentType="application/vnd.openxmlformats-officedocument.drawingml.chartshapes+xml"/>
  <Override PartName="/word/charts/chart2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2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3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31.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A2E05" w:rsidRPr="00444289" w:rsidRDefault="004C5C81" w:rsidP="00A40986">
      <w:pPr>
        <w:tabs>
          <w:tab w:val="center" w:pos="5954"/>
        </w:tabs>
        <w:spacing w:line="276" w:lineRule="auto"/>
        <w:jc w:val="both"/>
        <w:rPr>
          <w:rFonts w:asciiTheme="minorHAnsi" w:hAnsiTheme="minorHAnsi"/>
          <w:b/>
          <w:bCs/>
          <w:lang w:val="sq-AL"/>
        </w:rPr>
      </w:pPr>
      <w:r w:rsidRPr="00444289">
        <w:rPr>
          <w:rFonts w:asciiTheme="minorHAnsi" w:hAnsiTheme="minorHAnsi"/>
          <w:b/>
          <w:bCs/>
          <w:noProof/>
        </w:rPr>
        <w:drawing>
          <wp:anchor distT="0" distB="0" distL="114300" distR="114300" simplePos="0" relativeHeight="251627008" behindDoc="0" locked="0" layoutInCell="1" allowOverlap="1" wp14:anchorId="6A37F489" wp14:editId="7FAD0947">
            <wp:simplePos x="0" y="0"/>
            <wp:positionH relativeFrom="page">
              <wp:align>center</wp:align>
            </wp:positionH>
            <wp:positionV relativeFrom="paragraph">
              <wp:posOffset>-390525</wp:posOffset>
            </wp:positionV>
            <wp:extent cx="7496175" cy="1600200"/>
            <wp:effectExtent l="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496175" cy="1600200"/>
                    </a:xfrm>
                    <a:prstGeom prst="rect">
                      <a:avLst/>
                    </a:prstGeom>
                    <a:noFill/>
                    <a:ln w="9525">
                      <a:noFill/>
                      <a:miter lim="800000"/>
                      <a:headEnd/>
                      <a:tailEnd/>
                    </a:ln>
                  </pic:spPr>
                </pic:pic>
              </a:graphicData>
            </a:graphic>
          </wp:anchor>
        </w:drawing>
      </w:r>
    </w:p>
    <w:p w:rsidR="00EA2E05" w:rsidRPr="00444289" w:rsidRDefault="00EA2E05" w:rsidP="00A40986">
      <w:pPr>
        <w:tabs>
          <w:tab w:val="center" w:pos="5954"/>
        </w:tabs>
        <w:spacing w:line="276" w:lineRule="auto"/>
        <w:jc w:val="both"/>
        <w:rPr>
          <w:rFonts w:asciiTheme="minorHAnsi" w:hAnsiTheme="minorHAnsi"/>
          <w:b/>
          <w:bCs/>
          <w:lang w:val="sq-AL"/>
        </w:rPr>
      </w:pPr>
    </w:p>
    <w:p w:rsidR="00EA2E05" w:rsidRPr="00444289" w:rsidRDefault="00EA2E05" w:rsidP="00A40986">
      <w:pPr>
        <w:tabs>
          <w:tab w:val="center" w:pos="5954"/>
        </w:tabs>
        <w:spacing w:line="276" w:lineRule="auto"/>
        <w:jc w:val="both"/>
        <w:rPr>
          <w:rFonts w:asciiTheme="minorHAnsi" w:hAnsiTheme="minorHAnsi"/>
          <w:b/>
          <w:bCs/>
          <w:lang w:val="sq-AL"/>
        </w:rPr>
      </w:pPr>
    </w:p>
    <w:p w:rsidR="00EA2E05" w:rsidRPr="00444289" w:rsidRDefault="00EA2E05" w:rsidP="00A40986">
      <w:pPr>
        <w:spacing w:line="276" w:lineRule="auto"/>
        <w:jc w:val="both"/>
        <w:rPr>
          <w:rFonts w:asciiTheme="minorHAnsi" w:hAnsiTheme="minorHAnsi"/>
          <w:b/>
          <w:bCs/>
          <w:color w:val="333333"/>
          <w:lang w:val="sq-AL"/>
        </w:rPr>
      </w:pPr>
    </w:p>
    <w:p w:rsidR="00EA2E05" w:rsidRPr="00444289" w:rsidRDefault="00EA2E05" w:rsidP="00A40986">
      <w:pPr>
        <w:spacing w:line="276" w:lineRule="auto"/>
        <w:jc w:val="both"/>
        <w:rPr>
          <w:rFonts w:asciiTheme="minorHAnsi" w:hAnsiTheme="minorHAnsi"/>
          <w:b/>
          <w:bCs/>
          <w:color w:val="333333"/>
          <w:lang w:val="sq-AL"/>
        </w:rPr>
      </w:pPr>
    </w:p>
    <w:p w:rsidR="00EA2E05" w:rsidRPr="00444289" w:rsidRDefault="00EA2E05" w:rsidP="00A40986">
      <w:pPr>
        <w:pStyle w:val="Default"/>
        <w:spacing w:line="276" w:lineRule="auto"/>
        <w:jc w:val="both"/>
        <w:rPr>
          <w:rFonts w:asciiTheme="minorHAnsi" w:hAnsiTheme="minorHAnsi"/>
          <w:color w:val="auto"/>
          <w:lang w:val="sq-AL"/>
        </w:rPr>
      </w:pPr>
    </w:p>
    <w:p w:rsidR="00EA2E05" w:rsidRPr="00444289" w:rsidRDefault="00EA2E05" w:rsidP="00A40986">
      <w:pPr>
        <w:pStyle w:val="Default"/>
        <w:pBdr>
          <w:bottom w:val="single" w:sz="12" w:space="1" w:color="auto"/>
        </w:pBdr>
        <w:spacing w:line="276" w:lineRule="auto"/>
        <w:jc w:val="both"/>
        <w:rPr>
          <w:rFonts w:asciiTheme="minorHAnsi" w:hAnsiTheme="minorHAnsi"/>
          <w:color w:val="auto"/>
          <w:lang w:val="sq-AL"/>
        </w:rPr>
      </w:pPr>
    </w:p>
    <w:p w:rsidR="000F540A" w:rsidRPr="00444289" w:rsidRDefault="000F540A" w:rsidP="00A40986">
      <w:pPr>
        <w:pStyle w:val="Default"/>
        <w:spacing w:line="276" w:lineRule="auto"/>
        <w:jc w:val="center"/>
        <w:rPr>
          <w:rFonts w:asciiTheme="minorHAnsi" w:hAnsiTheme="minorHAnsi"/>
          <w:b/>
          <w:color w:val="800000"/>
          <w:lang w:val="sq-AL"/>
        </w:rPr>
      </w:pPr>
    </w:p>
    <w:p w:rsidR="000F540A" w:rsidRPr="00444289" w:rsidRDefault="000F540A" w:rsidP="00A40986">
      <w:pPr>
        <w:pStyle w:val="Default"/>
        <w:spacing w:line="276" w:lineRule="auto"/>
        <w:jc w:val="center"/>
        <w:rPr>
          <w:rFonts w:asciiTheme="minorHAnsi" w:hAnsiTheme="minorHAnsi"/>
          <w:b/>
          <w:color w:val="800000"/>
          <w:lang w:val="sq-AL"/>
        </w:rPr>
      </w:pPr>
    </w:p>
    <w:p w:rsidR="000F540A" w:rsidRPr="00444289" w:rsidRDefault="000F540A" w:rsidP="00A40986">
      <w:pPr>
        <w:pStyle w:val="Default"/>
        <w:spacing w:line="276" w:lineRule="auto"/>
        <w:jc w:val="center"/>
        <w:rPr>
          <w:rFonts w:asciiTheme="minorHAnsi" w:hAnsiTheme="minorHAnsi"/>
          <w:b/>
          <w:color w:val="800000"/>
          <w:lang w:val="sq-AL"/>
        </w:rPr>
      </w:pPr>
    </w:p>
    <w:p w:rsidR="000F540A" w:rsidRPr="00444289" w:rsidRDefault="000F540A" w:rsidP="00A40986">
      <w:pPr>
        <w:pStyle w:val="Default"/>
        <w:spacing w:line="276" w:lineRule="auto"/>
        <w:jc w:val="center"/>
        <w:rPr>
          <w:rFonts w:asciiTheme="minorHAnsi" w:hAnsiTheme="minorHAnsi"/>
          <w:b/>
          <w:color w:val="800000"/>
          <w:lang w:val="sq-AL"/>
        </w:rPr>
      </w:pPr>
    </w:p>
    <w:p w:rsidR="000F540A" w:rsidRPr="00444289" w:rsidRDefault="000F540A" w:rsidP="00A40986">
      <w:pPr>
        <w:pStyle w:val="Default"/>
        <w:spacing w:line="276" w:lineRule="auto"/>
        <w:jc w:val="center"/>
        <w:rPr>
          <w:rFonts w:asciiTheme="minorHAnsi" w:hAnsiTheme="minorHAnsi"/>
          <w:b/>
          <w:color w:val="800000"/>
          <w:lang w:val="sq-AL"/>
        </w:rPr>
      </w:pPr>
    </w:p>
    <w:p w:rsidR="000F540A" w:rsidRPr="00444289" w:rsidRDefault="000F540A" w:rsidP="00A40986">
      <w:pPr>
        <w:pStyle w:val="Default"/>
        <w:spacing w:line="276" w:lineRule="auto"/>
        <w:jc w:val="center"/>
        <w:rPr>
          <w:rFonts w:asciiTheme="minorHAnsi" w:hAnsiTheme="minorHAnsi"/>
          <w:b/>
          <w:color w:val="800000"/>
          <w:lang w:val="sq-AL"/>
        </w:rPr>
      </w:pPr>
    </w:p>
    <w:p w:rsidR="00EA2E05" w:rsidRPr="00444289" w:rsidRDefault="00EA2E05" w:rsidP="00A40986">
      <w:pPr>
        <w:pStyle w:val="Default"/>
        <w:spacing w:line="276" w:lineRule="auto"/>
        <w:jc w:val="center"/>
        <w:rPr>
          <w:rFonts w:asciiTheme="minorHAnsi" w:hAnsiTheme="minorHAnsi"/>
          <w:b/>
          <w:color w:val="800000"/>
          <w:lang w:val="sq-AL"/>
        </w:rPr>
      </w:pPr>
      <w:r w:rsidRPr="00444289">
        <w:rPr>
          <w:rFonts w:asciiTheme="minorHAnsi" w:hAnsiTheme="minorHAnsi"/>
          <w:b/>
          <w:color w:val="800000"/>
          <w:lang w:val="sq-AL"/>
        </w:rPr>
        <w:t>______________</w:t>
      </w:r>
    </w:p>
    <w:p w:rsidR="00FA2FFA" w:rsidRPr="00444289" w:rsidRDefault="00FA2FFA" w:rsidP="00A40986">
      <w:pPr>
        <w:pStyle w:val="Default"/>
        <w:spacing w:line="276" w:lineRule="auto"/>
        <w:jc w:val="center"/>
        <w:rPr>
          <w:rFonts w:asciiTheme="minorHAnsi" w:hAnsiTheme="minorHAnsi"/>
          <w:b/>
          <w:color w:val="auto"/>
          <w:lang w:val="sq-AL"/>
        </w:rPr>
      </w:pPr>
    </w:p>
    <w:p w:rsidR="00337792" w:rsidRPr="00444289" w:rsidRDefault="00337792" w:rsidP="00A40986">
      <w:pPr>
        <w:pStyle w:val="Default"/>
        <w:spacing w:line="276" w:lineRule="auto"/>
        <w:jc w:val="center"/>
        <w:rPr>
          <w:rFonts w:asciiTheme="minorHAnsi" w:hAnsiTheme="minorHAnsi"/>
          <w:b/>
          <w:color w:val="C00000"/>
          <w:sz w:val="52"/>
          <w:lang w:val="sq-AL"/>
        </w:rPr>
      </w:pPr>
      <w:r w:rsidRPr="00444289">
        <w:rPr>
          <w:rFonts w:asciiTheme="minorHAnsi" w:hAnsiTheme="minorHAnsi"/>
          <w:b/>
          <w:color w:val="C00000"/>
          <w:sz w:val="52"/>
          <w:lang w:val="sq-AL"/>
        </w:rPr>
        <w:t xml:space="preserve">RAPORTI I MES-VITIT </w:t>
      </w:r>
    </w:p>
    <w:p w:rsidR="00C81BF8" w:rsidRPr="00444289" w:rsidRDefault="00337792" w:rsidP="00A40986">
      <w:pPr>
        <w:pStyle w:val="Default"/>
        <w:spacing w:line="276" w:lineRule="auto"/>
        <w:jc w:val="center"/>
        <w:rPr>
          <w:rFonts w:asciiTheme="minorHAnsi" w:hAnsiTheme="minorHAnsi"/>
          <w:b/>
          <w:color w:val="C00000"/>
          <w:sz w:val="52"/>
          <w:lang w:val="sq-AL"/>
        </w:rPr>
      </w:pPr>
      <w:r w:rsidRPr="00444289">
        <w:rPr>
          <w:rFonts w:asciiTheme="minorHAnsi" w:hAnsiTheme="minorHAnsi"/>
          <w:b/>
          <w:color w:val="C00000"/>
          <w:sz w:val="52"/>
          <w:lang w:val="sq-AL"/>
        </w:rPr>
        <w:t>MBI ZBATIMIN E BUXHETIT 2017</w:t>
      </w:r>
    </w:p>
    <w:p w:rsidR="00AB2DCA" w:rsidRPr="00444289" w:rsidRDefault="00AB2DCA" w:rsidP="00A40986">
      <w:pPr>
        <w:pStyle w:val="Default"/>
        <w:spacing w:line="276" w:lineRule="auto"/>
        <w:jc w:val="center"/>
        <w:rPr>
          <w:rFonts w:asciiTheme="minorHAnsi" w:hAnsiTheme="minorHAnsi"/>
          <w:b/>
          <w:color w:val="C00000"/>
          <w:lang w:val="sq-AL"/>
        </w:rPr>
      </w:pPr>
    </w:p>
    <w:p w:rsidR="00337792" w:rsidRPr="00444289" w:rsidRDefault="00337792" w:rsidP="00A40986">
      <w:pPr>
        <w:pStyle w:val="Default"/>
        <w:spacing w:line="276" w:lineRule="auto"/>
        <w:jc w:val="center"/>
        <w:rPr>
          <w:rFonts w:asciiTheme="minorHAnsi" w:hAnsiTheme="minorHAnsi"/>
          <w:b/>
          <w:color w:val="365F91" w:themeColor="accent1" w:themeShade="BF"/>
          <w:sz w:val="40"/>
          <w:lang w:val="sq-AL"/>
        </w:rPr>
      </w:pPr>
      <w:r w:rsidRPr="00444289">
        <w:rPr>
          <w:rFonts w:asciiTheme="minorHAnsi" w:hAnsiTheme="minorHAnsi"/>
          <w:b/>
          <w:color w:val="365F91" w:themeColor="accent1" w:themeShade="BF"/>
          <w:sz w:val="40"/>
          <w:lang w:val="sq-AL"/>
        </w:rPr>
        <w:t xml:space="preserve">VLERËSIMI I SITUATËS MAKROEKONOMIKE, FISKALE DHE BUXHETORE PËR 5-MUJORIN 2017, </w:t>
      </w:r>
    </w:p>
    <w:p w:rsidR="00AB2DCA" w:rsidRPr="00444289" w:rsidRDefault="00337792" w:rsidP="00A40986">
      <w:pPr>
        <w:pStyle w:val="Default"/>
        <w:spacing w:line="276" w:lineRule="auto"/>
        <w:jc w:val="center"/>
        <w:rPr>
          <w:rFonts w:asciiTheme="minorHAnsi" w:hAnsiTheme="minorHAnsi"/>
          <w:b/>
          <w:color w:val="365F91" w:themeColor="accent1" w:themeShade="BF"/>
          <w:sz w:val="40"/>
          <w:lang w:val="sq-AL"/>
        </w:rPr>
      </w:pPr>
      <w:r w:rsidRPr="00444289">
        <w:rPr>
          <w:rFonts w:asciiTheme="minorHAnsi" w:hAnsiTheme="minorHAnsi"/>
          <w:b/>
          <w:color w:val="365F91" w:themeColor="accent1" w:themeShade="BF"/>
          <w:sz w:val="40"/>
          <w:lang w:val="sq-AL"/>
        </w:rPr>
        <w:t>DHE PRITSHMËRITË PËR 12-MUJORIN 2017</w:t>
      </w:r>
    </w:p>
    <w:p w:rsidR="00EA2E05" w:rsidRPr="00444289" w:rsidRDefault="00EA2E05" w:rsidP="00A40986">
      <w:pPr>
        <w:pStyle w:val="Default"/>
        <w:spacing w:line="276" w:lineRule="auto"/>
        <w:jc w:val="center"/>
        <w:rPr>
          <w:rFonts w:asciiTheme="minorHAnsi" w:hAnsiTheme="minorHAnsi"/>
          <w:color w:val="auto"/>
          <w:lang w:val="sq-AL"/>
        </w:rPr>
      </w:pPr>
      <w:r w:rsidRPr="00444289">
        <w:rPr>
          <w:rFonts w:asciiTheme="minorHAnsi" w:hAnsiTheme="minorHAnsi"/>
          <w:b/>
          <w:color w:val="800000"/>
          <w:lang w:val="sq-AL"/>
        </w:rPr>
        <w:t>______________________________</w:t>
      </w:r>
    </w:p>
    <w:p w:rsidR="00EA2E05" w:rsidRPr="00444289" w:rsidRDefault="00EA2E05" w:rsidP="00A40986">
      <w:pPr>
        <w:pStyle w:val="Default"/>
        <w:spacing w:line="276" w:lineRule="auto"/>
        <w:jc w:val="center"/>
        <w:rPr>
          <w:rFonts w:asciiTheme="minorHAnsi" w:hAnsiTheme="minorHAnsi" w:cs="Arial"/>
          <w:color w:val="auto"/>
          <w:lang w:val="sq-AL"/>
        </w:rPr>
      </w:pPr>
    </w:p>
    <w:p w:rsidR="000F540A" w:rsidRPr="00444289" w:rsidRDefault="000F540A" w:rsidP="00A40986">
      <w:pPr>
        <w:pStyle w:val="Default"/>
        <w:spacing w:line="276" w:lineRule="auto"/>
        <w:jc w:val="both"/>
        <w:rPr>
          <w:rFonts w:asciiTheme="minorHAnsi" w:hAnsiTheme="minorHAnsi" w:cs="Arial"/>
          <w:color w:val="auto"/>
          <w:lang w:val="sq-AL"/>
        </w:rPr>
      </w:pPr>
    </w:p>
    <w:p w:rsidR="000F540A" w:rsidRPr="00444289" w:rsidRDefault="000F540A" w:rsidP="00A40986">
      <w:pPr>
        <w:pStyle w:val="Default"/>
        <w:spacing w:line="276" w:lineRule="auto"/>
        <w:jc w:val="both"/>
        <w:rPr>
          <w:rFonts w:asciiTheme="minorHAnsi" w:hAnsiTheme="minorHAnsi" w:cs="Arial"/>
          <w:color w:val="auto"/>
          <w:lang w:val="sq-AL"/>
        </w:rPr>
      </w:pPr>
    </w:p>
    <w:p w:rsidR="00A4451F" w:rsidRPr="00444289" w:rsidRDefault="00A4451F" w:rsidP="00A40986">
      <w:pPr>
        <w:spacing w:line="276" w:lineRule="auto"/>
        <w:jc w:val="both"/>
        <w:rPr>
          <w:rFonts w:asciiTheme="minorHAnsi" w:hAnsiTheme="minorHAnsi" w:cs="Arial"/>
          <w:lang w:val="sq-AL"/>
        </w:rPr>
      </w:pPr>
    </w:p>
    <w:p w:rsidR="00EA2E05" w:rsidRPr="00444289" w:rsidRDefault="00EA2E05" w:rsidP="00A40986">
      <w:pPr>
        <w:spacing w:line="276" w:lineRule="auto"/>
        <w:jc w:val="both"/>
        <w:rPr>
          <w:rFonts w:asciiTheme="minorHAnsi" w:hAnsiTheme="minorHAnsi" w:cs="Arial"/>
          <w:lang w:val="sq-AL"/>
        </w:rPr>
      </w:pPr>
    </w:p>
    <w:p w:rsidR="00EA2E05" w:rsidRPr="00444289" w:rsidRDefault="00EA2E05" w:rsidP="00A40986">
      <w:pPr>
        <w:spacing w:line="276" w:lineRule="auto"/>
        <w:jc w:val="both"/>
        <w:rPr>
          <w:rFonts w:asciiTheme="minorHAnsi" w:hAnsiTheme="minorHAnsi" w:cs="Arial"/>
          <w:lang w:val="sq-AL"/>
        </w:rPr>
      </w:pPr>
    </w:p>
    <w:p w:rsidR="00EA2E05" w:rsidRPr="00444289" w:rsidRDefault="00EA2E05" w:rsidP="00A40986">
      <w:pPr>
        <w:spacing w:line="276" w:lineRule="auto"/>
        <w:jc w:val="both"/>
        <w:rPr>
          <w:rFonts w:asciiTheme="minorHAnsi" w:hAnsiTheme="minorHAnsi" w:cs="Arial"/>
          <w:lang w:val="sq-AL"/>
        </w:rPr>
      </w:pPr>
    </w:p>
    <w:p w:rsidR="00EA2E05" w:rsidRPr="00444289" w:rsidRDefault="00EA2E05" w:rsidP="00A40986">
      <w:pPr>
        <w:spacing w:line="276" w:lineRule="auto"/>
        <w:jc w:val="both"/>
        <w:rPr>
          <w:rFonts w:asciiTheme="minorHAnsi" w:hAnsiTheme="minorHAnsi" w:cs="Arial"/>
          <w:lang w:val="sq-AL"/>
        </w:rPr>
      </w:pPr>
    </w:p>
    <w:p w:rsidR="00EA2E05" w:rsidRPr="00444289" w:rsidRDefault="00EA2E05" w:rsidP="00A40986">
      <w:pPr>
        <w:spacing w:line="276" w:lineRule="auto"/>
        <w:jc w:val="both"/>
        <w:rPr>
          <w:rFonts w:asciiTheme="minorHAnsi" w:hAnsiTheme="minorHAnsi" w:cs="Arial"/>
          <w:lang w:val="sq-AL"/>
        </w:rPr>
      </w:pPr>
    </w:p>
    <w:p w:rsidR="00EA2E05" w:rsidRPr="00444289" w:rsidRDefault="00EA2E05" w:rsidP="00A40986">
      <w:pPr>
        <w:spacing w:line="276" w:lineRule="auto"/>
        <w:jc w:val="both"/>
        <w:rPr>
          <w:rFonts w:asciiTheme="minorHAnsi" w:hAnsiTheme="minorHAnsi" w:cs="Arial"/>
          <w:lang w:val="sq-AL"/>
        </w:rPr>
      </w:pPr>
    </w:p>
    <w:p w:rsidR="00EA2E05" w:rsidRPr="00444289" w:rsidRDefault="00EA2E05" w:rsidP="00A40986">
      <w:pPr>
        <w:spacing w:line="276" w:lineRule="auto"/>
        <w:jc w:val="both"/>
        <w:rPr>
          <w:rFonts w:asciiTheme="minorHAnsi" w:hAnsiTheme="minorHAnsi" w:cs="Arial"/>
          <w:lang w:val="sq-AL"/>
        </w:rPr>
      </w:pPr>
    </w:p>
    <w:p w:rsidR="00EA2E05" w:rsidRPr="00444289" w:rsidRDefault="00EA2E05" w:rsidP="00A40986">
      <w:pPr>
        <w:spacing w:line="276" w:lineRule="auto"/>
        <w:jc w:val="both"/>
        <w:rPr>
          <w:rFonts w:asciiTheme="minorHAnsi" w:hAnsiTheme="minorHAnsi" w:cs="Arial"/>
          <w:lang w:val="sq-AL"/>
        </w:rPr>
      </w:pPr>
    </w:p>
    <w:p w:rsidR="00EA2E05" w:rsidRPr="00444289" w:rsidRDefault="00E97958" w:rsidP="00A40986">
      <w:pPr>
        <w:spacing w:line="276" w:lineRule="auto"/>
        <w:jc w:val="both"/>
        <w:rPr>
          <w:rFonts w:asciiTheme="minorHAnsi" w:hAnsiTheme="minorHAnsi" w:cs="Arial"/>
          <w:b/>
          <w:color w:val="C00000"/>
          <w:lang w:val="sq-AL"/>
        </w:rPr>
      </w:pPr>
      <w:r w:rsidRPr="00444289">
        <w:rPr>
          <w:rFonts w:asciiTheme="minorHAnsi" w:hAnsiTheme="minorHAnsi" w:cs="Arial"/>
          <w:b/>
          <w:color w:val="C00000"/>
          <w:lang w:val="sq-AL"/>
        </w:rPr>
        <w:t xml:space="preserve">Tiranë, </w:t>
      </w:r>
      <w:r w:rsidR="00337792" w:rsidRPr="00444289">
        <w:rPr>
          <w:rFonts w:asciiTheme="minorHAnsi" w:hAnsiTheme="minorHAnsi" w:cs="Arial"/>
          <w:b/>
          <w:color w:val="C00000"/>
          <w:lang w:val="sq-AL"/>
        </w:rPr>
        <w:t xml:space="preserve">Qershor </w:t>
      </w:r>
      <w:r w:rsidRPr="00444289">
        <w:rPr>
          <w:rFonts w:asciiTheme="minorHAnsi" w:hAnsiTheme="minorHAnsi" w:cs="Arial"/>
          <w:b/>
          <w:color w:val="C00000"/>
          <w:lang w:val="sq-AL"/>
        </w:rPr>
        <w:t>201</w:t>
      </w:r>
      <w:r w:rsidR="00A62C4F" w:rsidRPr="00444289">
        <w:rPr>
          <w:rFonts w:asciiTheme="minorHAnsi" w:hAnsiTheme="minorHAnsi" w:cs="Arial"/>
          <w:b/>
          <w:color w:val="C00000"/>
          <w:lang w:val="sq-AL"/>
        </w:rPr>
        <w:t>7</w:t>
      </w:r>
    </w:p>
    <w:bookmarkStart w:id="0" w:name="_Toc449351139" w:displacedByCustomXml="next"/>
    <w:sdt>
      <w:sdtPr>
        <w:rPr>
          <w:rFonts w:asciiTheme="minorHAnsi" w:eastAsia="Times New Roman" w:hAnsiTheme="minorHAnsi" w:cs="Times New Roman"/>
          <w:b w:val="0"/>
          <w:bCs w:val="0"/>
          <w:color w:val="auto"/>
          <w:sz w:val="24"/>
          <w:szCs w:val="24"/>
          <w:lang w:val="sq-AL"/>
        </w:rPr>
        <w:id w:val="2053270720"/>
        <w:docPartObj>
          <w:docPartGallery w:val="Table of Contents"/>
          <w:docPartUnique/>
        </w:docPartObj>
      </w:sdtPr>
      <w:sdtEndPr>
        <w:rPr>
          <w:noProof/>
          <w:sz w:val="28"/>
          <w:szCs w:val="28"/>
        </w:rPr>
      </w:sdtEndPr>
      <w:sdtContent>
        <w:p w:rsidR="00DB28AB" w:rsidRDefault="00DB28AB" w:rsidP="00DB28AB">
          <w:pPr>
            <w:pStyle w:val="TOCHeading"/>
            <w:spacing w:before="0" w:line="480" w:lineRule="auto"/>
            <w:jc w:val="center"/>
            <w:rPr>
              <w:rFonts w:asciiTheme="minorHAnsi" w:eastAsia="Times New Roman" w:hAnsiTheme="minorHAnsi" w:cs="Times New Roman"/>
              <w:b w:val="0"/>
              <w:bCs w:val="0"/>
              <w:color w:val="auto"/>
              <w:sz w:val="24"/>
              <w:szCs w:val="24"/>
              <w:lang w:val="sq-AL"/>
            </w:rPr>
          </w:pPr>
        </w:p>
        <w:p w:rsidR="00EE2069" w:rsidRPr="004241A1" w:rsidRDefault="00EF5147" w:rsidP="00DB28AB">
          <w:pPr>
            <w:pStyle w:val="TOCHeading"/>
            <w:spacing w:before="0" w:line="480" w:lineRule="auto"/>
            <w:jc w:val="center"/>
            <w:rPr>
              <w:rFonts w:asciiTheme="minorHAnsi" w:hAnsiTheme="minorHAnsi"/>
              <w:sz w:val="44"/>
              <w:szCs w:val="24"/>
              <w:lang w:val="sq-AL"/>
            </w:rPr>
          </w:pPr>
          <w:r w:rsidRPr="004241A1">
            <w:rPr>
              <w:rFonts w:asciiTheme="minorHAnsi" w:hAnsiTheme="minorHAnsi"/>
              <w:sz w:val="44"/>
              <w:szCs w:val="24"/>
              <w:lang w:val="sq-AL"/>
            </w:rPr>
            <w:t xml:space="preserve">P </w:t>
          </w:r>
          <w:r w:rsidR="002F0689" w:rsidRPr="004241A1">
            <w:rPr>
              <w:rFonts w:asciiTheme="minorHAnsi" w:hAnsiTheme="minorHAnsi"/>
              <w:sz w:val="44"/>
              <w:szCs w:val="24"/>
              <w:lang w:val="sq-AL"/>
            </w:rPr>
            <w:t>Ë</w:t>
          </w:r>
          <w:r w:rsidRPr="004241A1">
            <w:rPr>
              <w:rFonts w:asciiTheme="minorHAnsi" w:hAnsiTheme="minorHAnsi"/>
              <w:sz w:val="44"/>
              <w:szCs w:val="24"/>
              <w:lang w:val="sq-AL"/>
            </w:rPr>
            <w:t xml:space="preserve"> R M B A J T J A</w:t>
          </w:r>
        </w:p>
        <w:p w:rsidR="000B3625" w:rsidRPr="000B3625" w:rsidRDefault="00EE2069" w:rsidP="000B3625">
          <w:pPr>
            <w:pStyle w:val="TOC1"/>
            <w:spacing w:line="360" w:lineRule="auto"/>
            <w:rPr>
              <w:rFonts w:asciiTheme="minorHAnsi" w:eastAsiaTheme="minorEastAsia" w:hAnsiTheme="minorHAnsi" w:cstheme="minorBidi"/>
              <w:b w:val="0"/>
              <w:color w:val="365F91" w:themeColor="accent1" w:themeShade="BF"/>
              <w:sz w:val="28"/>
              <w:szCs w:val="28"/>
            </w:rPr>
          </w:pPr>
          <w:r w:rsidRPr="00CB4E18">
            <w:rPr>
              <w:rFonts w:asciiTheme="minorHAnsi" w:hAnsiTheme="minorHAnsi"/>
              <w:sz w:val="28"/>
              <w:szCs w:val="28"/>
              <w:lang w:val="sq-AL"/>
            </w:rPr>
            <w:fldChar w:fldCharType="begin"/>
          </w:r>
          <w:r w:rsidRPr="00CB4E18">
            <w:rPr>
              <w:rFonts w:asciiTheme="minorHAnsi" w:hAnsiTheme="minorHAnsi"/>
              <w:sz w:val="28"/>
              <w:szCs w:val="28"/>
              <w:lang w:val="sq-AL"/>
            </w:rPr>
            <w:instrText xml:space="preserve"> TOC \o "1-3" \h \z \u </w:instrText>
          </w:r>
          <w:r w:rsidRPr="00CB4E18">
            <w:rPr>
              <w:rFonts w:asciiTheme="minorHAnsi" w:hAnsiTheme="minorHAnsi"/>
              <w:sz w:val="28"/>
              <w:szCs w:val="28"/>
              <w:lang w:val="sq-AL"/>
            </w:rPr>
            <w:fldChar w:fldCharType="separate"/>
          </w:r>
          <w:hyperlink w:anchor="_Toc486582874" w:history="1">
            <w:r w:rsidR="000B3625" w:rsidRPr="000B3625">
              <w:rPr>
                <w:rStyle w:val="Hyperlink"/>
                <w:rFonts w:asciiTheme="minorHAnsi" w:hAnsiTheme="minorHAnsi"/>
                <w:color w:val="365F91" w:themeColor="accent1" w:themeShade="BF"/>
                <w:sz w:val="28"/>
                <w:szCs w:val="28"/>
                <w:lang w:val="sq-AL"/>
              </w:rPr>
              <w:t>Tabela dhe Grafikë</w:t>
            </w:r>
            <w:r w:rsidR="000B3625" w:rsidRPr="000B3625">
              <w:rPr>
                <w:rFonts w:asciiTheme="minorHAnsi" w:hAnsiTheme="minorHAnsi"/>
                <w:webHidden/>
                <w:color w:val="365F91" w:themeColor="accent1" w:themeShade="BF"/>
                <w:sz w:val="28"/>
                <w:szCs w:val="28"/>
              </w:rPr>
              <w:tab/>
            </w:r>
            <w:r w:rsidR="000B3625" w:rsidRPr="000B3625">
              <w:rPr>
                <w:rFonts w:asciiTheme="minorHAnsi" w:hAnsiTheme="minorHAnsi"/>
                <w:webHidden/>
                <w:color w:val="365F91" w:themeColor="accent1" w:themeShade="BF"/>
                <w:sz w:val="28"/>
                <w:szCs w:val="28"/>
              </w:rPr>
              <w:fldChar w:fldCharType="begin"/>
            </w:r>
            <w:r w:rsidR="000B3625" w:rsidRPr="000B3625">
              <w:rPr>
                <w:rFonts w:asciiTheme="minorHAnsi" w:hAnsiTheme="minorHAnsi"/>
                <w:webHidden/>
                <w:color w:val="365F91" w:themeColor="accent1" w:themeShade="BF"/>
                <w:sz w:val="28"/>
                <w:szCs w:val="28"/>
              </w:rPr>
              <w:instrText xml:space="preserve"> PAGEREF _Toc486582874 \h </w:instrText>
            </w:r>
            <w:r w:rsidR="000B3625" w:rsidRPr="000B3625">
              <w:rPr>
                <w:rFonts w:asciiTheme="minorHAnsi" w:hAnsiTheme="minorHAnsi"/>
                <w:webHidden/>
                <w:color w:val="365F91" w:themeColor="accent1" w:themeShade="BF"/>
                <w:sz w:val="28"/>
                <w:szCs w:val="28"/>
              </w:rPr>
            </w:r>
            <w:r w:rsidR="000B3625" w:rsidRPr="000B3625">
              <w:rPr>
                <w:rFonts w:asciiTheme="minorHAnsi" w:hAnsiTheme="minorHAnsi"/>
                <w:webHidden/>
                <w:color w:val="365F91" w:themeColor="accent1" w:themeShade="BF"/>
                <w:sz w:val="28"/>
                <w:szCs w:val="28"/>
              </w:rPr>
              <w:fldChar w:fldCharType="separate"/>
            </w:r>
            <w:r w:rsidR="00AD0C8D">
              <w:rPr>
                <w:rFonts w:asciiTheme="minorHAnsi" w:hAnsiTheme="minorHAnsi"/>
                <w:webHidden/>
                <w:color w:val="365F91" w:themeColor="accent1" w:themeShade="BF"/>
                <w:sz w:val="28"/>
                <w:szCs w:val="28"/>
              </w:rPr>
              <w:t>3</w:t>
            </w:r>
            <w:r w:rsidR="000B3625" w:rsidRPr="000B3625">
              <w:rPr>
                <w:rFonts w:asciiTheme="minorHAnsi" w:hAnsiTheme="minorHAnsi"/>
                <w:webHidden/>
                <w:color w:val="365F91" w:themeColor="accent1" w:themeShade="BF"/>
                <w:sz w:val="28"/>
                <w:szCs w:val="28"/>
              </w:rPr>
              <w:fldChar w:fldCharType="end"/>
            </w:r>
          </w:hyperlink>
        </w:p>
        <w:p w:rsidR="000B3625" w:rsidRPr="000B3625" w:rsidRDefault="00843B09" w:rsidP="000B3625">
          <w:pPr>
            <w:pStyle w:val="TOC1"/>
            <w:spacing w:line="360" w:lineRule="auto"/>
            <w:rPr>
              <w:rFonts w:asciiTheme="minorHAnsi" w:eastAsiaTheme="minorEastAsia" w:hAnsiTheme="minorHAnsi" w:cstheme="minorBidi"/>
              <w:b w:val="0"/>
              <w:color w:val="365F91" w:themeColor="accent1" w:themeShade="BF"/>
              <w:sz w:val="28"/>
              <w:szCs w:val="28"/>
            </w:rPr>
          </w:pPr>
          <w:hyperlink w:anchor="_Toc486582875" w:history="1">
            <w:r w:rsidR="000B3625" w:rsidRPr="000B3625">
              <w:rPr>
                <w:rStyle w:val="Hyperlink"/>
                <w:rFonts w:asciiTheme="minorHAnsi" w:hAnsiTheme="minorHAnsi"/>
                <w:color w:val="365F91" w:themeColor="accent1" w:themeShade="BF"/>
                <w:sz w:val="28"/>
                <w:szCs w:val="28"/>
                <w:lang w:val="sq-AL"/>
              </w:rPr>
              <w:t>I.</w:t>
            </w:r>
            <w:r w:rsidR="000B3625" w:rsidRPr="000B3625">
              <w:rPr>
                <w:rFonts w:asciiTheme="minorHAnsi" w:eastAsiaTheme="minorEastAsia" w:hAnsiTheme="minorHAnsi" w:cstheme="minorBidi"/>
                <w:b w:val="0"/>
                <w:color w:val="365F91" w:themeColor="accent1" w:themeShade="BF"/>
                <w:sz w:val="28"/>
                <w:szCs w:val="28"/>
              </w:rPr>
              <w:tab/>
            </w:r>
            <w:r w:rsidR="000B3625" w:rsidRPr="000B3625">
              <w:rPr>
                <w:rStyle w:val="Hyperlink"/>
                <w:rFonts w:asciiTheme="minorHAnsi" w:hAnsiTheme="minorHAnsi"/>
                <w:color w:val="365F91" w:themeColor="accent1" w:themeShade="BF"/>
                <w:sz w:val="28"/>
                <w:szCs w:val="28"/>
                <w:lang w:val="sq-AL"/>
              </w:rPr>
              <w:t>ZHVILLIMET NË EKONOMINË SHQIPTARE</w:t>
            </w:r>
            <w:r w:rsidR="000B3625" w:rsidRPr="000B3625">
              <w:rPr>
                <w:rFonts w:asciiTheme="minorHAnsi" w:hAnsiTheme="minorHAnsi"/>
                <w:webHidden/>
                <w:color w:val="365F91" w:themeColor="accent1" w:themeShade="BF"/>
                <w:sz w:val="28"/>
                <w:szCs w:val="28"/>
              </w:rPr>
              <w:tab/>
            </w:r>
            <w:r w:rsidR="000B3625" w:rsidRPr="000B3625">
              <w:rPr>
                <w:rFonts w:asciiTheme="minorHAnsi" w:hAnsiTheme="minorHAnsi"/>
                <w:webHidden/>
                <w:color w:val="365F91" w:themeColor="accent1" w:themeShade="BF"/>
                <w:sz w:val="28"/>
                <w:szCs w:val="28"/>
              </w:rPr>
              <w:fldChar w:fldCharType="begin"/>
            </w:r>
            <w:r w:rsidR="000B3625" w:rsidRPr="000B3625">
              <w:rPr>
                <w:rFonts w:asciiTheme="minorHAnsi" w:hAnsiTheme="minorHAnsi"/>
                <w:webHidden/>
                <w:color w:val="365F91" w:themeColor="accent1" w:themeShade="BF"/>
                <w:sz w:val="28"/>
                <w:szCs w:val="28"/>
              </w:rPr>
              <w:instrText xml:space="preserve"> PAGEREF _Toc486582875 \h </w:instrText>
            </w:r>
            <w:r w:rsidR="000B3625" w:rsidRPr="000B3625">
              <w:rPr>
                <w:rFonts w:asciiTheme="minorHAnsi" w:hAnsiTheme="minorHAnsi"/>
                <w:webHidden/>
                <w:color w:val="365F91" w:themeColor="accent1" w:themeShade="BF"/>
                <w:sz w:val="28"/>
                <w:szCs w:val="28"/>
              </w:rPr>
            </w:r>
            <w:r w:rsidR="000B3625" w:rsidRPr="000B3625">
              <w:rPr>
                <w:rFonts w:asciiTheme="minorHAnsi" w:hAnsiTheme="minorHAnsi"/>
                <w:webHidden/>
                <w:color w:val="365F91" w:themeColor="accent1" w:themeShade="BF"/>
                <w:sz w:val="28"/>
                <w:szCs w:val="28"/>
              </w:rPr>
              <w:fldChar w:fldCharType="separate"/>
            </w:r>
            <w:r w:rsidR="00AD0C8D">
              <w:rPr>
                <w:rFonts w:asciiTheme="minorHAnsi" w:hAnsiTheme="minorHAnsi"/>
                <w:webHidden/>
                <w:color w:val="365F91" w:themeColor="accent1" w:themeShade="BF"/>
                <w:sz w:val="28"/>
                <w:szCs w:val="28"/>
              </w:rPr>
              <w:t>4</w:t>
            </w:r>
            <w:r w:rsidR="000B3625" w:rsidRPr="000B3625">
              <w:rPr>
                <w:rFonts w:asciiTheme="minorHAnsi" w:hAnsiTheme="minorHAnsi"/>
                <w:webHidden/>
                <w:color w:val="365F91" w:themeColor="accent1" w:themeShade="BF"/>
                <w:sz w:val="28"/>
                <w:szCs w:val="28"/>
              </w:rPr>
              <w:fldChar w:fldCharType="end"/>
            </w:r>
          </w:hyperlink>
        </w:p>
        <w:p w:rsidR="000B3625" w:rsidRPr="000B3625" w:rsidRDefault="00843B09" w:rsidP="000B3625">
          <w:pPr>
            <w:pStyle w:val="TOC2"/>
            <w:tabs>
              <w:tab w:val="left" w:pos="88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76" w:history="1">
            <w:r w:rsidR="000B3625" w:rsidRPr="000B3625">
              <w:rPr>
                <w:rStyle w:val="Hyperlink"/>
                <w:rFonts w:asciiTheme="minorHAnsi" w:hAnsiTheme="minorHAnsi"/>
                <w:noProof/>
                <w:color w:val="365F91" w:themeColor="accent1" w:themeShade="BF"/>
                <w:sz w:val="28"/>
                <w:szCs w:val="28"/>
                <w:lang w:val="sq-AL"/>
              </w:rPr>
              <w:t>I.1</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Ecuria e treguesve makroekonomikë për periudhën janar-maj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_Toc486582876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4</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2"/>
            <w:tabs>
              <w:tab w:val="left" w:pos="88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77" w:history="1">
            <w:r w:rsidR="000B3625" w:rsidRPr="000B3625">
              <w:rPr>
                <w:rStyle w:val="Hyperlink"/>
                <w:rFonts w:asciiTheme="minorHAnsi" w:hAnsiTheme="minorHAnsi"/>
                <w:noProof/>
                <w:color w:val="365F91" w:themeColor="accent1" w:themeShade="BF"/>
                <w:sz w:val="28"/>
                <w:szCs w:val="28"/>
                <w:lang w:val="sq-AL"/>
              </w:rPr>
              <w:t>I.2</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Pritshmëritë e treguesve makroekonomikë deri në fund të vitit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_Toc486582877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5</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1"/>
            <w:spacing w:line="360" w:lineRule="auto"/>
            <w:rPr>
              <w:rFonts w:asciiTheme="minorHAnsi" w:eastAsiaTheme="minorEastAsia" w:hAnsiTheme="minorHAnsi" w:cstheme="minorBidi"/>
              <w:b w:val="0"/>
              <w:color w:val="365F91" w:themeColor="accent1" w:themeShade="BF"/>
              <w:sz w:val="28"/>
              <w:szCs w:val="28"/>
            </w:rPr>
          </w:pPr>
          <w:hyperlink w:anchor="_Toc486582878" w:history="1">
            <w:r w:rsidR="000B3625" w:rsidRPr="000B3625">
              <w:rPr>
                <w:rStyle w:val="Hyperlink"/>
                <w:rFonts w:asciiTheme="minorHAnsi" w:hAnsiTheme="minorHAnsi"/>
                <w:color w:val="365F91" w:themeColor="accent1" w:themeShade="BF"/>
                <w:sz w:val="28"/>
                <w:szCs w:val="28"/>
                <w:lang w:val="sq-AL"/>
              </w:rPr>
              <w:t>II.</w:t>
            </w:r>
            <w:r w:rsidR="000B3625" w:rsidRPr="000B3625">
              <w:rPr>
                <w:rFonts w:asciiTheme="minorHAnsi" w:eastAsiaTheme="minorEastAsia" w:hAnsiTheme="minorHAnsi" w:cstheme="minorBidi"/>
                <w:b w:val="0"/>
                <w:color w:val="365F91" w:themeColor="accent1" w:themeShade="BF"/>
                <w:sz w:val="28"/>
                <w:szCs w:val="28"/>
              </w:rPr>
              <w:tab/>
            </w:r>
            <w:r w:rsidR="000B3625" w:rsidRPr="000B3625">
              <w:rPr>
                <w:rStyle w:val="Hyperlink"/>
                <w:rFonts w:asciiTheme="minorHAnsi" w:hAnsiTheme="minorHAnsi"/>
                <w:color w:val="365F91" w:themeColor="accent1" w:themeShade="BF"/>
                <w:sz w:val="28"/>
                <w:szCs w:val="28"/>
                <w:lang w:val="sq-AL"/>
              </w:rPr>
              <w:t>POLITIKA FISKALE</w:t>
            </w:r>
            <w:r w:rsidR="000B3625" w:rsidRPr="000B3625">
              <w:rPr>
                <w:rFonts w:asciiTheme="minorHAnsi" w:hAnsiTheme="minorHAnsi"/>
                <w:webHidden/>
                <w:color w:val="365F91" w:themeColor="accent1" w:themeShade="BF"/>
                <w:sz w:val="28"/>
                <w:szCs w:val="28"/>
              </w:rPr>
              <w:tab/>
            </w:r>
            <w:r w:rsidR="000B3625" w:rsidRPr="000B3625">
              <w:rPr>
                <w:rFonts w:asciiTheme="minorHAnsi" w:hAnsiTheme="minorHAnsi"/>
                <w:webHidden/>
                <w:color w:val="365F91" w:themeColor="accent1" w:themeShade="BF"/>
                <w:sz w:val="28"/>
                <w:szCs w:val="28"/>
              </w:rPr>
              <w:fldChar w:fldCharType="begin"/>
            </w:r>
            <w:r w:rsidR="000B3625" w:rsidRPr="000B3625">
              <w:rPr>
                <w:rFonts w:asciiTheme="minorHAnsi" w:hAnsiTheme="minorHAnsi"/>
                <w:webHidden/>
                <w:color w:val="365F91" w:themeColor="accent1" w:themeShade="BF"/>
                <w:sz w:val="28"/>
                <w:szCs w:val="28"/>
              </w:rPr>
              <w:instrText xml:space="preserve"> PAGEREF _Toc486582878 \h </w:instrText>
            </w:r>
            <w:r w:rsidR="000B3625" w:rsidRPr="000B3625">
              <w:rPr>
                <w:rFonts w:asciiTheme="minorHAnsi" w:hAnsiTheme="minorHAnsi"/>
                <w:webHidden/>
                <w:color w:val="365F91" w:themeColor="accent1" w:themeShade="BF"/>
                <w:sz w:val="28"/>
                <w:szCs w:val="28"/>
              </w:rPr>
            </w:r>
            <w:r w:rsidR="000B3625" w:rsidRPr="000B3625">
              <w:rPr>
                <w:rFonts w:asciiTheme="minorHAnsi" w:hAnsiTheme="minorHAnsi"/>
                <w:webHidden/>
                <w:color w:val="365F91" w:themeColor="accent1" w:themeShade="BF"/>
                <w:sz w:val="28"/>
                <w:szCs w:val="28"/>
              </w:rPr>
              <w:fldChar w:fldCharType="separate"/>
            </w:r>
            <w:r w:rsidR="00AD0C8D">
              <w:rPr>
                <w:rFonts w:asciiTheme="minorHAnsi" w:hAnsiTheme="minorHAnsi"/>
                <w:webHidden/>
                <w:color w:val="365F91" w:themeColor="accent1" w:themeShade="BF"/>
                <w:sz w:val="28"/>
                <w:szCs w:val="28"/>
              </w:rPr>
              <w:t>6</w:t>
            </w:r>
            <w:r w:rsidR="000B3625" w:rsidRPr="000B3625">
              <w:rPr>
                <w:rFonts w:asciiTheme="minorHAnsi" w:hAnsiTheme="minorHAnsi"/>
                <w:webHidden/>
                <w:color w:val="365F91" w:themeColor="accent1" w:themeShade="BF"/>
                <w:sz w:val="28"/>
                <w:szCs w:val="28"/>
              </w:rPr>
              <w:fldChar w:fldCharType="end"/>
            </w:r>
          </w:hyperlink>
        </w:p>
        <w:p w:rsidR="000B3625" w:rsidRPr="000B3625" w:rsidRDefault="00843B09" w:rsidP="000B3625">
          <w:pPr>
            <w:pStyle w:val="TOC2"/>
            <w:tabs>
              <w:tab w:val="left" w:pos="88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79" w:history="1">
            <w:r w:rsidR="000B3625" w:rsidRPr="000B3625">
              <w:rPr>
                <w:rStyle w:val="Hyperlink"/>
                <w:rFonts w:asciiTheme="minorHAnsi" w:hAnsiTheme="minorHAnsi"/>
                <w:noProof/>
                <w:color w:val="365F91" w:themeColor="accent1" w:themeShade="BF"/>
                <w:sz w:val="28"/>
                <w:szCs w:val="28"/>
                <w:lang w:val="sq-AL"/>
              </w:rPr>
              <w:t>II.1</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Performanca fiskale për periudhën janar-maj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_Toc486582879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6</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2"/>
            <w:tabs>
              <w:tab w:val="left" w:pos="88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80" w:history="1">
            <w:r w:rsidR="000B3625" w:rsidRPr="000B3625">
              <w:rPr>
                <w:rStyle w:val="Hyperlink"/>
                <w:rFonts w:asciiTheme="minorHAnsi" w:hAnsiTheme="minorHAnsi"/>
                <w:noProof/>
                <w:color w:val="365F91" w:themeColor="accent1" w:themeShade="BF"/>
                <w:sz w:val="28"/>
                <w:szCs w:val="28"/>
                <w:lang w:val="sq-AL"/>
              </w:rPr>
              <w:t>II.2</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Pritshmëritë fiskale deri në fund të vitit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_Toc486582880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14</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1"/>
            <w:spacing w:line="360" w:lineRule="auto"/>
            <w:rPr>
              <w:rFonts w:asciiTheme="minorHAnsi" w:eastAsiaTheme="minorEastAsia" w:hAnsiTheme="minorHAnsi" w:cstheme="minorBidi"/>
              <w:b w:val="0"/>
              <w:color w:val="365F91" w:themeColor="accent1" w:themeShade="BF"/>
              <w:sz w:val="28"/>
              <w:szCs w:val="28"/>
            </w:rPr>
          </w:pPr>
          <w:hyperlink w:anchor="_Toc486582881" w:history="1">
            <w:r w:rsidR="000B3625" w:rsidRPr="000B3625">
              <w:rPr>
                <w:rStyle w:val="Hyperlink"/>
                <w:rFonts w:asciiTheme="minorHAnsi" w:hAnsiTheme="minorHAnsi"/>
                <w:color w:val="365F91" w:themeColor="accent1" w:themeShade="BF"/>
                <w:sz w:val="28"/>
                <w:szCs w:val="28"/>
                <w:lang w:val="sq-AL"/>
              </w:rPr>
              <w:t>III.</w:t>
            </w:r>
            <w:r w:rsidR="000B3625" w:rsidRPr="000B3625">
              <w:rPr>
                <w:rFonts w:asciiTheme="minorHAnsi" w:eastAsiaTheme="minorEastAsia" w:hAnsiTheme="minorHAnsi" w:cstheme="minorBidi"/>
                <w:b w:val="0"/>
                <w:color w:val="365F91" w:themeColor="accent1" w:themeShade="BF"/>
                <w:sz w:val="28"/>
                <w:szCs w:val="28"/>
              </w:rPr>
              <w:tab/>
            </w:r>
            <w:r w:rsidR="000B3625" w:rsidRPr="000B3625">
              <w:rPr>
                <w:rStyle w:val="Hyperlink"/>
                <w:rFonts w:asciiTheme="minorHAnsi" w:hAnsiTheme="minorHAnsi"/>
                <w:color w:val="365F91" w:themeColor="accent1" w:themeShade="BF"/>
                <w:sz w:val="28"/>
                <w:szCs w:val="28"/>
                <w:lang w:val="sq-AL"/>
              </w:rPr>
              <w:t>BUXHETI I VITIT 2017</w:t>
            </w:r>
            <w:r w:rsidR="000B3625" w:rsidRPr="000B3625">
              <w:rPr>
                <w:rFonts w:asciiTheme="minorHAnsi" w:hAnsiTheme="minorHAnsi"/>
                <w:webHidden/>
                <w:color w:val="365F91" w:themeColor="accent1" w:themeShade="BF"/>
                <w:sz w:val="28"/>
                <w:szCs w:val="28"/>
              </w:rPr>
              <w:tab/>
            </w:r>
            <w:r w:rsidR="000B3625" w:rsidRPr="000B3625">
              <w:rPr>
                <w:rFonts w:asciiTheme="minorHAnsi" w:hAnsiTheme="minorHAnsi"/>
                <w:webHidden/>
                <w:color w:val="365F91" w:themeColor="accent1" w:themeShade="BF"/>
                <w:sz w:val="28"/>
                <w:szCs w:val="28"/>
              </w:rPr>
              <w:fldChar w:fldCharType="begin"/>
            </w:r>
            <w:r w:rsidR="000B3625" w:rsidRPr="000B3625">
              <w:rPr>
                <w:rFonts w:asciiTheme="minorHAnsi" w:hAnsiTheme="minorHAnsi"/>
                <w:webHidden/>
                <w:color w:val="365F91" w:themeColor="accent1" w:themeShade="BF"/>
                <w:sz w:val="28"/>
                <w:szCs w:val="28"/>
              </w:rPr>
              <w:instrText xml:space="preserve"> PAGEREF _Toc486582881 \h </w:instrText>
            </w:r>
            <w:r w:rsidR="000B3625" w:rsidRPr="000B3625">
              <w:rPr>
                <w:rFonts w:asciiTheme="minorHAnsi" w:hAnsiTheme="minorHAnsi"/>
                <w:webHidden/>
                <w:color w:val="365F91" w:themeColor="accent1" w:themeShade="BF"/>
                <w:sz w:val="28"/>
                <w:szCs w:val="28"/>
              </w:rPr>
            </w:r>
            <w:r w:rsidR="000B3625" w:rsidRPr="000B3625">
              <w:rPr>
                <w:rFonts w:asciiTheme="minorHAnsi" w:hAnsiTheme="minorHAnsi"/>
                <w:webHidden/>
                <w:color w:val="365F91" w:themeColor="accent1" w:themeShade="BF"/>
                <w:sz w:val="28"/>
                <w:szCs w:val="28"/>
              </w:rPr>
              <w:fldChar w:fldCharType="separate"/>
            </w:r>
            <w:r w:rsidR="00AD0C8D">
              <w:rPr>
                <w:rFonts w:asciiTheme="minorHAnsi" w:hAnsiTheme="minorHAnsi"/>
                <w:webHidden/>
                <w:color w:val="365F91" w:themeColor="accent1" w:themeShade="BF"/>
                <w:sz w:val="28"/>
                <w:szCs w:val="28"/>
              </w:rPr>
              <w:t>14</w:t>
            </w:r>
            <w:r w:rsidR="000B3625" w:rsidRPr="000B3625">
              <w:rPr>
                <w:rFonts w:asciiTheme="minorHAnsi" w:hAnsiTheme="minorHAnsi"/>
                <w:webHidden/>
                <w:color w:val="365F91" w:themeColor="accent1" w:themeShade="BF"/>
                <w:sz w:val="28"/>
                <w:szCs w:val="28"/>
              </w:rPr>
              <w:fldChar w:fldCharType="end"/>
            </w:r>
          </w:hyperlink>
        </w:p>
        <w:p w:rsidR="000B3625" w:rsidRPr="000B3625" w:rsidRDefault="00843B09" w:rsidP="000B3625">
          <w:pPr>
            <w:pStyle w:val="TOC2"/>
            <w:tabs>
              <w:tab w:val="left" w:pos="110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82" w:history="1">
            <w:r w:rsidR="000B3625" w:rsidRPr="000B3625">
              <w:rPr>
                <w:rStyle w:val="Hyperlink"/>
                <w:rFonts w:asciiTheme="minorHAnsi" w:hAnsiTheme="minorHAnsi"/>
                <w:noProof/>
                <w:color w:val="365F91" w:themeColor="accent1" w:themeShade="BF"/>
                <w:sz w:val="28"/>
                <w:szCs w:val="28"/>
                <w:lang w:val="sq-AL"/>
              </w:rPr>
              <w:t>III.1</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Punë dhe Investime konkrete, të realizuara gjatë janar-maj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_Toc486582882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15</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2"/>
            <w:tabs>
              <w:tab w:val="left" w:pos="110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83" w:history="1">
            <w:r w:rsidR="000B3625" w:rsidRPr="000B3625">
              <w:rPr>
                <w:rStyle w:val="Hyperlink"/>
                <w:rFonts w:asciiTheme="minorHAnsi" w:hAnsiTheme="minorHAnsi"/>
                <w:noProof/>
                <w:color w:val="365F91" w:themeColor="accent1" w:themeShade="BF"/>
                <w:sz w:val="28"/>
                <w:szCs w:val="28"/>
                <w:lang w:val="sq-AL"/>
              </w:rPr>
              <w:t>III.2</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Shpenzimet e Përgjithshme Buxhetore gjatë periudhës janar-maj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_Toc486582883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20</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1"/>
            <w:spacing w:line="360" w:lineRule="auto"/>
            <w:rPr>
              <w:rFonts w:asciiTheme="minorHAnsi" w:eastAsiaTheme="minorEastAsia" w:hAnsiTheme="minorHAnsi" w:cstheme="minorBidi"/>
              <w:b w:val="0"/>
              <w:color w:val="365F91" w:themeColor="accent1" w:themeShade="BF"/>
              <w:sz w:val="28"/>
              <w:szCs w:val="28"/>
            </w:rPr>
          </w:pPr>
          <w:hyperlink w:anchor="_Toc486582884" w:history="1">
            <w:r w:rsidR="000B3625" w:rsidRPr="000B3625">
              <w:rPr>
                <w:rStyle w:val="Hyperlink"/>
                <w:rFonts w:asciiTheme="minorHAnsi" w:hAnsiTheme="minorHAnsi"/>
                <w:color w:val="365F91" w:themeColor="accent1" w:themeShade="BF"/>
                <w:sz w:val="28"/>
                <w:szCs w:val="28"/>
                <w:lang w:val="sq-AL"/>
              </w:rPr>
              <w:t>IV.</w:t>
            </w:r>
            <w:r w:rsidR="000B3625" w:rsidRPr="000B3625">
              <w:rPr>
                <w:rFonts w:asciiTheme="minorHAnsi" w:eastAsiaTheme="minorEastAsia" w:hAnsiTheme="minorHAnsi" w:cstheme="minorBidi"/>
                <w:b w:val="0"/>
                <w:color w:val="365F91" w:themeColor="accent1" w:themeShade="BF"/>
                <w:sz w:val="28"/>
                <w:szCs w:val="28"/>
              </w:rPr>
              <w:tab/>
            </w:r>
            <w:r w:rsidR="000B3625" w:rsidRPr="000B3625">
              <w:rPr>
                <w:rStyle w:val="Hyperlink"/>
                <w:rFonts w:asciiTheme="minorHAnsi" w:hAnsiTheme="minorHAnsi"/>
                <w:color w:val="365F91" w:themeColor="accent1" w:themeShade="BF"/>
                <w:sz w:val="28"/>
                <w:szCs w:val="28"/>
                <w:lang w:val="sq-AL"/>
              </w:rPr>
              <w:t>MENAXHIMI I BORXHIT PUBLIK</w:t>
            </w:r>
            <w:r w:rsidR="000B3625" w:rsidRPr="000B3625">
              <w:rPr>
                <w:rFonts w:asciiTheme="minorHAnsi" w:hAnsiTheme="minorHAnsi"/>
                <w:webHidden/>
                <w:color w:val="365F91" w:themeColor="accent1" w:themeShade="BF"/>
                <w:sz w:val="28"/>
                <w:szCs w:val="28"/>
              </w:rPr>
              <w:tab/>
            </w:r>
            <w:r w:rsidR="000B3625" w:rsidRPr="000B3625">
              <w:rPr>
                <w:rFonts w:asciiTheme="minorHAnsi" w:hAnsiTheme="minorHAnsi"/>
                <w:webHidden/>
                <w:color w:val="365F91" w:themeColor="accent1" w:themeShade="BF"/>
                <w:sz w:val="28"/>
                <w:szCs w:val="28"/>
              </w:rPr>
              <w:fldChar w:fldCharType="begin"/>
            </w:r>
            <w:r w:rsidR="000B3625" w:rsidRPr="000B3625">
              <w:rPr>
                <w:rFonts w:asciiTheme="minorHAnsi" w:hAnsiTheme="minorHAnsi"/>
                <w:webHidden/>
                <w:color w:val="365F91" w:themeColor="accent1" w:themeShade="BF"/>
                <w:sz w:val="28"/>
                <w:szCs w:val="28"/>
              </w:rPr>
              <w:instrText xml:space="preserve"> PAGEREF _Toc486582884 \h </w:instrText>
            </w:r>
            <w:r w:rsidR="000B3625" w:rsidRPr="000B3625">
              <w:rPr>
                <w:rFonts w:asciiTheme="minorHAnsi" w:hAnsiTheme="minorHAnsi"/>
                <w:webHidden/>
                <w:color w:val="365F91" w:themeColor="accent1" w:themeShade="BF"/>
                <w:sz w:val="28"/>
                <w:szCs w:val="28"/>
              </w:rPr>
            </w:r>
            <w:r w:rsidR="000B3625" w:rsidRPr="000B3625">
              <w:rPr>
                <w:rFonts w:asciiTheme="minorHAnsi" w:hAnsiTheme="minorHAnsi"/>
                <w:webHidden/>
                <w:color w:val="365F91" w:themeColor="accent1" w:themeShade="BF"/>
                <w:sz w:val="28"/>
                <w:szCs w:val="28"/>
              </w:rPr>
              <w:fldChar w:fldCharType="separate"/>
            </w:r>
            <w:r w:rsidR="00AD0C8D">
              <w:rPr>
                <w:rFonts w:asciiTheme="minorHAnsi" w:hAnsiTheme="minorHAnsi"/>
                <w:webHidden/>
                <w:color w:val="365F91" w:themeColor="accent1" w:themeShade="BF"/>
                <w:sz w:val="28"/>
                <w:szCs w:val="28"/>
              </w:rPr>
              <w:t>30</w:t>
            </w:r>
            <w:r w:rsidR="000B3625" w:rsidRPr="000B3625">
              <w:rPr>
                <w:rFonts w:asciiTheme="minorHAnsi" w:hAnsiTheme="minorHAnsi"/>
                <w:webHidden/>
                <w:color w:val="365F91" w:themeColor="accent1" w:themeShade="BF"/>
                <w:sz w:val="28"/>
                <w:szCs w:val="28"/>
              </w:rPr>
              <w:fldChar w:fldCharType="end"/>
            </w:r>
          </w:hyperlink>
        </w:p>
        <w:p w:rsidR="000B3625" w:rsidRPr="000B3625" w:rsidRDefault="00843B09" w:rsidP="000B3625">
          <w:pPr>
            <w:pStyle w:val="TOC2"/>
            <w:tabs>
              <w:tab w:val="left" w:pos="110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85" w:history="1">
            <w:r w:rsidR="000B3625" w:rsidRPr="000B3625">
              <w:rPr>
                <w:rStyle w:val="Hyperlink"/>
                <w:rFonts w:asciiTheme="minorHAnsi" w:hAnsiTheme="minorHAnsi"/>
                <w:noProof/>
                <w:color w:val="365F91" w:themeColor="accent1" w:themeShade="BF"/>
                <w:sz w:val="28"/>
                <w:szCs w:val="28"/>
                <w:lang w:val="sq-AL"/>
              </w:rPr>
              <w:t>IV.1</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Stoku i Borxhit të Qeverisë Qendrore</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_Toc486582885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30</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2"/>
            <w:tabs>
              <w:tab w:val="left" w:pos="110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86" w:history="1">
            <w:r w:rsidR="000B3625" w:rsidRPr="000B3625">
              <w:rPr>
                <w:rStyle w:val="Hyperlink"/>
                <w:rFonts w:asciiTheme="minorHAnsi" w:hAnsiTheme="minorHAnsi"/>
                <w:noProof/>
                <w:color w:val="365F91" w:themeColor="accent1" w:themeShade="BF"/>
                <w:sz w:val="28"/>
                <w:szCs w:val="28"/>
                <w:lang w:val="sq-AL"/>
              </w:rPr>
              <w:t>IV.2</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Menaxhimi i Borxhit</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_Toc486582886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32</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2"/>
            <w:tabs>
              <w:tab w:val="left" w:pos="110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87" w:history="1">
            <w:r w:rsidR="000B3625" w:rsidRPr="000B3625">
              <w:rPr>
                <w:rStyle w:val="Hyperlink"/>
                <w:rFonts w:asciiTheme="minorHAnsi" w:hAnsiTheme="minorHAnsi"/>
                <w:noProof/>
                <w:color w:val="365F91" w:themeColor="accent1" w:themeShade="BF"/>
                <w:sz w:val="28"/>
                <w:szCs w:val="28"/>
                <w:lang w:val="sq-AL"/>
              </w:rPr>
              <w:t>IV.3</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Pritshmëritë e Borxhit për vitin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_Toc486582887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35</w:t>
            </w:r>
            <w:r w:rsidR="000B3625" w:rsidRPr="000B3625">
              <w:rPr>
                <w:rFonts w:asciiTheme="minorHAnsi" w:hAnsiTheme="minorHAnsi"/>
                <w:noProof/>
                <w:webHidden/>
                <w:color w:val="365F91" w:themeColor="accent1" w:themeShade="BF"/>
                <w:sz w:val="28"/>
                <w:szCs w:val="28"/>
              </w:rPr>
              <w:fldChar w:fldCharType="end"/>
            </w:r>
          </w:hyperlink>
        </w:p>
        <w:p w:rsidR="000B3625" w:rsidRPr="000B3625" w:rsidRDefault="00843B09" w:rsidP="000B3625">
          <w:pPr>
            <w:pStyle w:val="TOC1"/>
            <w:spacing w:line="360" w:lineRule="auto"/>
            <w:rPr>
              <w:rFonts w:asciiTheme="minorHAnsi" w:eastAsiaTheme="minorEastAsia" w:hAnsiTheme="minorHAnsi" w:cstheme="minorBidi"/>
              <w:b w:val="0"/>
              <w:color w:val="365F91" w:themeColor="accent1" w:themeShade="BF"/>
              <w:sz w:val="28"/>
              <w:szCs w:val="28"/>
            </w:rPr>
          </w:pPr>
          <w:hyperlink w:anchor="_Toc486582888" w:history="1">
            <w:r w:rsidR="000B3625" w:rsidRPr="000B3625">
              <w:rPr>
                <w:rStyle w:val="Hyperlink"/>
                <w:rFonts w:asciiTheme="minorHAnsi" w:hAnsiTheme="minorHAnsi"/>
                <w:color w:val="365F91" w:themeColor="accent1" w:themeShade="BF"/>
                <w:sz w:val="28"/>
                <w:szCs w:val="28"/>
                <w:lang w:val="sq-AL"/>
              </w:rPr>
              <w:t>V.</w:t>
            </w:r>
            <w:r w:rsidR="000B3625" w:rsidRPr="000B3625">
              <w:rPr>
                <w:rFonts w:asciiTheme="minorHAnsi" w:eastAsiaTheme="minorEastAsia" w:hAnsiTheme="minorHAnsi" w:cstheme="minorBidi"/>
                <w:b w:val="0"/>
                <w:color w:val="365F91" w:themeColor="accent1" w:themeShade="BF"/>
                <w:sz w:val="28"/>
                <w:szCs w:val="28"/>
              </w:rPr>
              <w:tab/>
            </w:r>
            <w:r w:rsidR="000B3625" w:rsidRPr="000B3625">
              <w:rPr>
                <w:rStyle w:val="Hyperlink"/>
                <w:rFonts w:asciiTheme="minorHAnsi" w:hAnsiTheme="minorHAnsi"/>
                <w:color w:val="365F91" w:themeColor="accent1" w:themeShade="BF"/>
                <w:sz w:val="28"/>
                <w:szCs w:val="28"/>
                <w:lang w:val="sq-AL"/>
              </w:rPr>
              <w:t>KONKLUZIONE DHE PROPOZIME</w:t>
            </w:r>
            <w:r w:rsidR="000B3625" w:rsidRPr="000B3625">
              <w:rPr>
                <w:rFonts w:asciiTheme="minorHAnsi" w:hAnsiTheme="minorHAnsi"/>
                <w:webHidden/>
                <w:color w:val="365F91" w:themeColor="accent1" w:themeShade="BF"/>
                <w:sz w:val="28"/>
                <w:szCs w:val="28"/>
              </w:rPr>
              <w:tab/>
            </w:r>
            <w:r w:rsidR="000B3625" w:rsidRPr="000B3625">
              <w:rPr>
                <w:rFonts w:asciiTheme="minorHAnsi" w:hAnsiTheme="minorHAnsi"/>
                <w:webHidden/>
                <w:color w:val="365F91" w:themeColor="accent1" w:themeShade="BF"/>
                <w:sz w:val="28"/>
                <w:szCs w:val="28"/>
              </w:rPr>
              <w:fldChar w:fldCharType="begin"/>
            </w:r>
            <w:r w:rsidR="000B3625" w:rsidRPr="000B3625">
              <w:rPr>
                <w:rFonts w:asciiTheme="minorHAnsi" w:hAnsiTheme="minorHAnsi"/>
                <w:webHidden/>
                <w:color w:val="365F91" w:themeColor="accent1" w:themeShade="BF"/>
                <w:sz w:val="28"/>
                <w:szCs w:val="28"/>
              </w:rPr>
              <w:instrText xml:space="preserve"> PAGEREF _Toc486582888 \h </w:instrText>
            </w:r>
            <w:r w:rsidR="000B3625" w:rsidRPr="000B3625">
              <w:rPr>
                <w:rFonts w:asciiTheme="minorHAnsi" w:hAnsiTheme="minorHAnsi"/>
                <w:webHidden/>
                <w:color w:val="365F91" w:themeColor="accent1" w:themeShade="BF"/>
                <w:sz w:val="28"/>
                <w:szCs w:val="28"/>
              </w:rPr>
            </w:r>
            <w:r w:rsidR="000B3625" w:rsidRPr="000B3625">
              <w:rPr>
                <w:rFonts w:asciiTheme="minorHAnsi" w:hAnsiTheme="minorHAnsi"/>
                <w:webHidden/>
                <w:color w:val="365F91" w:themeColor="accent1" w:themeShade="BF"/>
                <w:sz w:val="28"/>
                <w:szCs w:val="28"/>
              </w:rPr>
              <w:fldChar w:fldCharType="separate"/>
            </w:r>
            <w:r w:rsidR="00AD0C8D">
              <w:rPr>
                <w:rFonts w:asciiTheme="minorHAnsi" w:hAnsiTheme="minorHAnsi"/>
                <w:webHidden/>
                <w:color w:val="365F91" w:themeColor="accent1" w:themeShade="BF"/>
                <w:sz w:val="28"/>
                <w:szCs w:val="28"/>
              </w:rPr>
              <w:t>36</w:t>
            </w:r>
            <w:r w:rsidR="000B3625" w:rsidRPr="000B3625">
              <w:rPr>
                <w:rFonts w:asciiTheme="minorHAnsi" w:hAnsiTheme="minorHAnsi"/>
                <w:webHidden/>
                <w:color w:val="365F91" w:themeColor="accent1" w:themeShade="BF"/>
                <w:sz w:val="28"/>
                <w:szCs w:val="28"/>
              </w:rPr>
              <w:fldChar w:fldCharType="end"/>
            </w:r>
          </w:hyperlink>
        </w:p>
        <w:p w:rsidR="000B3625" w:rsidRPr="000B3625" w:rsidRDefault="00843B09" w:rsidP="000B3625">
          <w:pPr>
            <w:pStyle w:val="TOC1"/>
            <w:spacing w:line="360" w:lineRule="auto"/>
            <w:rPr>
              <w:rFonts w:asciiTheme="minorHAnsi" w:eastAsiaTheme="minorEastAsia" w:hAnsiTheme="minorHAnsi" w:cstheme="minorBidi"/>
              <w:b w:val="0"/>
              <w:color w:val="365F91" w:themeColor="accent1" w:themeShade="BF"/>
              <w:sz w:val="28"/>
              <w:szCs w:val="28"/>
            </w:rPr>
          </w:pPr>
          <w:hyperlink w:anchor="_Toc486582889" w:history="1">
            <w:r w:rsidR="000B3625" w:rsidRPr="000B3625">
              <w:rPr>
                <w:rStyle w:val="Hyperlink"/>
                <w:rFonts w:asciiTheme="minorHAnsi" w:hAnsiTheme="minorHAnsi"/>
                <w:color w:val="365F91" w:themeColor="accent1" w:themeShade="BF"/>
                <w:sz w:val="28"/>
                <w:szCs w:val="28"/>
                <w:lang w:val="sq-AL"/>
              </w:rPr>
              <w:t>VI.</w:t>
            </w:r>
            <w:r w:rsidR="000B3625" w:rsidRPr="000B3625">
              <w:rPr>
                <w:rFonts w:asciiTheme="minorHAnsi" w:eastAsiaTheme="minorEastAsia" w:hAnsiTheme="minorHAnsi" w:cstheme="minorBidi"/>
                <w:b w:val="0"/>
                <w:color w:val="365F91" w:themeColor="accent1" w:themeShade="BF"/>
                <w:sz w:val="28"/>
                <w:szCs w:val="28"/>
              </w:rPr>
              <w:tab/>
            </w:r>
            <w:r w:rsidR="000B3625" w:rsidRPr="000B3625">
              <w:rPr>
                <w:rStyle w:val="Hyperlink"/>
                <w:rFonts w:asciiTheme="minorHAnsi" w:hAnsiTheme="minorHAnsi"/>
                <w:color w:val="365F91" w:themeColor="accent1" w:themeShade="BF"/>
                <w:sz w:val="28"/>
                <w:szCs w:val="28"/>
                <w:lang w:val="sq-AL"/>
              </w:rPr>
              <w:t>ANEKS</w:t>
            </w:r>
            <w:r w:rsidR="000B3625" w:rsidRPr="000B3625">
              <w:rPr>
                <w:rFonts w:asciiTheme="minorHAnsi" w:hAnsiTheme="minorHAnsi"/>
                <w:webHidden/>
                <w:color w:val="365F91" w:themeColor="accent1" w:themeShade="BF"/>
                <w:sz w:val="28"/>
                <w:szCs w:val="28"/>
              </w:rPr>
              <w:tab/>
            </w:r>
            <w:r w:rsidR="000B3625" w:rsidRPr="000B3625">
              <w:rPr>
                <w:rFonts w:asciiTheme="minorHAnsi" w:hAnsiTheme="minorHAnsi"/>
                <w:webHidden/>
                <w:color w:val="365F91" w:themeColor="accent1" w:themeShade="BF"/>
                <w:sz w:val="28"/>
                <w:szCs w:val="28"/>
              </w:rPr>
              <w:fldChar w:fldCharType="begin"/>
            </w:r>
            <w:r w:rsidR="000B3625" w:rsidRPr="000B3625">
              <w:rPr>
                <w:rFonts w:asciiTheme="minorHAnsi" w:hAnsiTheme="minorHAnsi"/>
                <w:webHidden/>
                <w:color w:val="365F91" w:themeColor="accent1" w:themeShade="BF"/>
                <w:sz w:val="28"/>
                <w:szCs w:val="28"/>
              </w:rPr>
              <w:instrText xml:space="preserve"> PAGEREF _Toc486582889 \h </w:instrText>
            </w:r>
            <w:r w:rsidR="000B3625" w:rsidRPr="000B3625">
              <w:rPr>
                <w:rFonts w:asciiTheme="minorHAnsi" w:hAnsiTheme="minorHAnsi"/>
                <w:webHidden/>
                <w:color w:val="365F91" w:themeColor="accent1" w:themeShade="BF"/>
                <w:sz w:val="28"/>
                <w:szCs w:val="28"/>
              </w:rPr>
            </w:r>
            <w:r w:rsidR="000B3625" w:rsidRPr="000B3625">
              <w:rPr>
                <w:rFonts w:asciiTheme="minorHAnsi" w:hAnsiTheme="minorHAnsi"/>
                <w:webHidden/>
                <w:color w:val="365F91" w:themeColor="accent1" w:themeShade="BF"/>
                <w:sz w:val="28"/>
                <w:szCs w:val="28"/>
              </w:rPr>
              <w:fldChar w:fldCharType="separate"/>
            </w:r>
            <w:r w:rsidR="00AD0C8D">
              <w:rPr>
                <w:rFonts w:asciiTheme="minorHAnsi" w:hAnsiTheme="minorHAnsi"/>
                <w:webHidden/>
                <w:color w:val="365F91" w:themeColor="accent1" w:themeShade="BF"/>
                <w:sz w:val="28"/>
                <w:szCs w:val="28"/>
              </w:rPr>
              <w:t>36</w:t>
            </w:r>
            <w:r w:rsidR="000B3625" w:rsidRPr="000B3625">
              <w:rPr>
                <w:rFonts w:asciiTheme="minorHAnsi" w:hAnsiTheme="minorHAnsi"/>
                <w:webHidden/>
                <w:color w:val="365F91" w:themeColor="accent1" w:themeShade="BF"/>
                <w:sz w:val="28"/>
                <w:szCs w:val="28"/>
              </w:rPr>
              <w:fldChar w:fldCharType="end"/>
            </w:r>
          </w:hyperlink>
        </w:p>
        <w:p w:rsidR="000B3625" w:rsidRPr="000B3625" w:rsidRDefault="00843B09" w:rsidP="000B3625">
          <w:pPr>
            <w:pStyle w:val="TOC2"/>
            <w:tabs>
              <w:tab w:val="left" w:pos="1100"/>
              <w:tab w:val="right" w:leader="dot" w:pos="9440"/>
            </w:tabs>
            <w:spacing w:line="360" w:lineRule="auto"/>
            <w:rPr>
              <w:rFonts w:asciiTheme="minorHAnsi" w:eastAsiaTheme="minorEastAsia" w:hAnsiTheme="minorHAnsi" w:cstheme="minorBidi"/>
              <w:noProof/>
              <w:color w:val="365F91" w:themeColor="accent1" w:themeShade="BF"/>
              <w:sz w:val="28"/>
              <w:szCs w:val="28"/>
            </w:rPr>
          </w:pPr>
          <w:hyperlink w:anchor="_Toc486582890" w:history="1">
            <w:r w:rsidR="000B3625" w:rsidRPr="000B3625">
              <w:rPr>
                <w:rStyle w:val="Hyperlink"/>
                <w:rFonts w:asciiTheme="minorHAnsi" w:hAnsiTheme="minorHAnsi"/>
                <w:noProof/>
                <w:color w:val="365F91" w:themeColor="accent1" w:themeShade="BF"/>
                <w:sz w:val="28"/>
                <w:szCs w:val="28"/>
                <w:lang w:val="sq-AL"/>
              </w:rPr>
              <w:t>VI.1</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Ecuria e detajuar e treguesve makroekonomikë gjatë janar-maj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_Toc486582890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36</w:t>
            </w:r>
            <w:r w:rsidR="000B3625" w:rsidRPr="000B3625">
              <w:rPr>
                <w:rFonts w:asciiTheme="minorHAnsi" w:hAnsiTheme="minorHAnsi"/>
                <w:noProof/>
                <w:webHidden/>
                <w:color w:val="365F91" w:themeColor="accent1" w:themeShade="BF"/>
                <w:sz w:val="28"/>
                <w:szCs w:val="28"/>
              </w:rPr>
              <w:fldChar w:fldCharType="end"/>
            </w:r>
          </w:hyperlink>
        </w:p>
        <w:p w:rsidR="000B3625" w:rsidRDefault="00843B09" w:rsidP="000B3625">
          <w:pPr>
            <w:pStyle w:val="TOC2"/>
            <w:tabs>
              <w:tab w:val="left" w:pos="1100"/>
              <w:tab w:val="right" w:leader="dot" w:pos="9440"/>
            </w:tabs>
            <w:spacing w:line="360" w:lineRule="auto"/>
            <w:rPr>
              <w:rFonts w:asciiTheme="minorHAnsi" w:eastAsiaTheme="minorEastAsia" w:hAnsiTheme="minorHAnsi" w:cstheme="minorBidi"/>
              <w:noProof/>
              <w:sz w:val="22"/>
              <w:szCs w:val="22"/>
            </w:rPr>
          </w:pPr>
          <w:hyperlink w:anchor="_Toc486582891" w:history="1">
            <w:r w:rsidR="000B3625" w:rsidRPr="000B3625">
              <w:rPr>
                <w:rStyle w:val="Hyperlink"/>
                <w:rFonts w:asciiTheme="minorHAnsi" w:hAnsiTheme="minorHAnsi"/>
                <w:noProof/>
                <w:color w:val="365F91" w:themeColor="accent1" w:themeShade="BF"/>
                <w:sz w:val="28"/>
                <w:szCs w:val="28"/>
                <w:lang w:val="sq-AL"/>
              </w:rPr>
              <w:t>VI.2</w:t>
            </w:r>
            <w:r w:rsidR="000B3625" w:rsidRPr="000B3625">
              <w:rPr>
                <w:rFonts w:asciiTheme="minorHAnsi" w:eastAsiaTheme="minorEastAsia" w:hAnsiTheme="minorHAnsi" w:cstheme="minorBidi"/>
                <w:noProof/>
                <w:color w:val="365F91" w:themeColor="accent1" w:themeShade="BF"/>
                <w:sz w:val="28"/>
                <w:szCs w:val="28"/>
              </w:rPr>
              <w:tab/>
            </w:r>
            <w:r w:rsidR="000B3625" w:rsidRPr="000B3625">
              <w:rPr>
                <w:rStyle w:val="Hyperlink"/>
                <w:rFonts w:asciiTheme="minorHAnsi" w:hAnsiTheme="minorHAnsi"/>
                <w:noProof/>
                <w:color w:val="365F91" w:themeColor="accent1" w:themeShade="BF"/>
                <w:sz w:val="28"/>
                <w:szCs w:val="28"/>
                <w:lang w:val="sq-AL"/>
              </w:rPr>
              <w:t>Analiza e holl</w:t>
            </w:r>
            <w:r w:rsidR="00593E6C">
              <w:rPr>
                <w:rStyle w:val="Hyperlink"/>
                <w:rFonts w:asciiTheme="minorHAnsi" w:hAnsiTheme="minorHAnsi"/>
                <w:noProof/>
                <w:color w:val="365F91" w:themeColor="accent1" w:themeShade="BF"/>
                <w:sz w:val="28"/>
                <w:szCs w:val="28"/>
                <w:lang w:val="sq-AL"/>
              </w:rPr>
              <w:t>ë</w:t>
            </w:r>
            <w:r w:rsidR="000B3625" w:rsidRPr="000B3625">
              <w:rPr>
                <w:rStyle w:val="Hyperlink"/>
                <w:rFonts w:asciiTheme="minorHAnsi" w:hAnsiTheme="minorHAnsi"/>
                <w:noProof/>
                <w:color w:val="365F91" w:themeColor="accent1" w:themeShade="BF"/>
                <w:sz w:val="28"/>
                <w:szCs w:val="28"/>
                <w:lang w:val="sq-AL"/>
              </w:rPr>
              <w:t>sishme e pritshmërive deri në fund të vitit 2017</w:t>
            </w:r>
            <w:r w:rsidR="000B3625" w:rsidRPr="000B3625">
              <w:rPr>
                <w:rFonts w:asciiTheme="minorHAnsi" w:hAnsiTheme="minorHAnsi"/>
                <w:noProof/>
                <w:webHidden/>
                <w:color w:val="365F91" w:themeColor="accent1" w:themeShade="BF"/>
                <w:sz w:val="28"/>
                <w:szCs w:val="28"/>
              </w:rPr>
              <w:tab/>
            </w:r>
            <w:r w:rsidR="000B3625" w:rsidRPr="000B3625">
              <w:rPr>
                <w:rFonts w:asciiTheme="minorHAnsi" w:hAnsiTheme="minorHAnsi"/>
                <w:noProof/>
                <w:webHidden/>
                <w:color w:val="365F91" w:themeColor="accent1" w:themeShade="BF"/>
                <w:sz w:val="28"/>
                <w:szCs w:val="28"/>
              </w:rPr>
              <w:fldChar w:fldCharType="begin"/>
            </w:r>
            <w:r w:rsidR="000B3625" w:rsidRPr="000B3625">
              <w:rPr>
                <w:rFonts w:asciiTheme="minorHAnsi" w:hAnsiTheme="minorHAnsi"/>
                <w:noProof/>
                <w:webHidden/>
                <w:color w:val="365F91" w:themeColor="accent1" w:themeShade="BF"/>
                <w:sz w:val="28"/>
                <w:szCs w:val="28"/>
              </w:rPr>
              <w:instrText xml:space="preserve"> PAGEREF _Toc486582891 \h </w:instrText>
            </w:r>
            <w:r w:rsidR="000B3625" w:rsidRPr="000B3625">
              <w:rPr>
                <w:rFonts w:asciiTheme="minorHAnsi" w:hAnsiTheme="minorHAnsi"/>
                <w:noProof/>
                <w:webHidden/>
                <w:color w:val="365F91" w:themeColor="accent1" w:themeShade="BF"/>
                <w:sz w:val="28"/>
                <w:szCs w:val="28"/>
              </w:rPr>
            </w:r>
            <w:r w:rsidR="000B3625" w:rsidRPr="000B3625">
              <w:rPr>
                <w:rFonts w:asciiTheme="minorHAnsi" w:hAnsiTheme="minorHAnsi"/>
                <w:noProof/>
                <w:webHidden/>
                <w:color w:val="365F91" w:themeColor="accent1" w:themeShade="BF"/>
                <w:sz w:val="28"/>
                <w:szCs w:val="28"/>
              </w:rPr>
              <w:fldChar w:fldCharType="separate"/>
            </w:r>
            <w:r w:rsidR="00AD0C8D">
              <w:rPr>
                <w:rFonts w:asciiTheme="minorHAnsi" w:hAnsiTheme="minorHAnsi"/>
                <w:noProof/>
                <w:webHidden/>
                <w:color w:val="365F91" w:themeColor="accent1" w:themeShade="BF"/>
                <w:sz w:val="28"/>
                <w:szCs w:val="28"/>
              </w:rPr>
              <w:t>42</w:t>
            </w:r>
            <w:r w:rsidR="000B3625" w:rsidRPr="000B3625">
              <w:rPr>
                <w:rFonts w:asciiTheme="minorHAnsi" w:hAnsiTheme="minorHAnsi"/>
                <w:noProof/>
                <w:webHidden/>
                <w:color w:val="365F91" w:themeColor="accent1" w:themeShade="BF"/>
                <w:sz w:val="28"/>
                <w:szCs w:val="28"/>
              </w:rPr>
              <w:fldChar w:fldCharType="end"/>
            </w:r>
          </w:hyperlink>
        </w:p>
        <w:p w:rsidR="00DB28AB" w:rsidRDefault="00EE2069" w:rsidP="00DB28AB">
          <w:pPr>
            <w:pStyle w:val="TOC2"/>
            <w:tabs>
              <w:tab w:val="left" w:pos="1100"/>
              <w:tab w:val="right" w:leader="dot" w:pos="9440"/>
            </w:tabs>
            <w:spacing w:line="360" w:lineRule="auto"/>
            <w:rPr>
              <w:rFonts w:asciiTheme="minorHAnsi" w:hAnsiTheme="minorHAnsi"/>
              <w:b/>
              <w:bCs/>
              <w:noProof/>
              <w:color w:val="365F91" w:themeColor="accent1" w:themeShade="BF"/>
              <w:sz w:val="28"/>
              <w:szCs w:val="28"/>
              <w:lang w:val="sq-AL"/>
            </w:rPr>
          </w:pPr>
          <w:r w:rsidRPr="00CB4E18">
            <w:rPr>
              <w:rFonts w:asciiTheme="minorHAnsi" w:hAnsiTheme="minorHAnsi"/>
              <w:b/>
              <w:bCs/>
              <w:noProof/>
              <w:color w:val="365F91" w:themeColor="accent1" w:themeShade="BF"/>
              <w:sz w:val="28"/>
              <w:szCs w:val="28"/>
              <w:lang w:val="sq-AL"/>
            </w:rPr>
            <w:fldChar w:fldCharType="end"/>
          </w:r>
        </w:p>
        <w:p w:rsidR="00EE2069" w:rsidRPr="00DB28AB" w:rsidRDefault="00843B09" w:rsidP="00DB28AB">
          <w:pPr>
            <w:rPr>
              <w:lang w:val="sq-AL"/>
            </w:rPr>
          </w:pPr>
        </w:p>
      </w:sdtContent>
    </w:sdt>
    <w:p w:rsidR="00BB5D83" w:rsidRDefault="00BB5D83" w:rsidP="00BB5D83">
      <w:pPr>
        <w:rPr>
          <w:lang w:val="sq-AL"/>
        </w:rPr>
      </w:pPr>
    </w:p>
    <w:p w:rsidR="00630F48" w:rsidRPr="00444289" w:rsidRDefault="00630F48" w:rsidP="00A40986">
      <w:pPr>
        <w:pStyle w:val="Heading1"/>
        <w:rPr>
          <w:rFonts w:asciiTheme="minorHAnsi" w:hAnsiTheme="minorHAnsi"/>
          <w:noProof/>
          <w:color w:val="365F91" w:themeColor="accent1" w:themeShade="BF"/>
          <w:szCs w:val="24"/>
          <w:u w:val="single"/>
          <w:lang w:val="sq-AL"/>
        </w:rPr>
      </w:pPr>
      <w:bookmarkStart w:id="1" w:name="_Toc486582874"/>
      <w:r w:rsidRPr="00444289">
        <w:rPr>
          <w:rFonts w:asciiTheme="minorHAnsi" w:hAnsiTheme="minorHAnsi"/>
          <w:noProof/>
          <w:color w:val="365F91" w:themeColor="accent1" w:themeShade="BF"/>
          <w:szCs w:val="24"/>
          <w:u w:val="single"/>
          <w:lang w:val="sq-AL"/>
        </w:rPr>
        <w:t>Tabela dhe Grafik</w:t>
      </w:r>
      <w:r w:rsidR="00615269" w:rsidRPr="00444289">
        <w:rPr>
          <w:rFonts w:asciiTheme="minorHAnsi" w:hAnsiTheme="minorHAnsi"/>
          <w:noProof/>
          <w:color w:val="365F91" w:themeColor="accent1" w:themeShade="BF"/>
          <w:szCs w:val="24"/>
          <w:u w:val="single"/>
          <w:lang w:val="sq-AL"/>
        </w:rPr>
        <w:t>ë</w:t>
      </w:r>
      <w:bookmarkEnd w:id="1"/>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Të ardhurat Tatime &amp; Dogana për Janar – Maj 2017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2</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 xml:space="preserve">Të dhëna mbi sasitë e mallrave kryesorë të akcizës </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3</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Kontribuesit pozitivë në të ardhurat nga Akciza</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4</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Kontribuesit negativë në të ardhurat nga Akciza</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5</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Kontribuesit pozitivë në të ardhurat nga TVSH</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6</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Kontribuesit negativë në të ardhurat nga TVSH</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7</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Të dhëna për Rentën Minerare, naftë bruto dhe minerale të tjera (në mijë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8</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Të ardhurat nga Tatimi mbi të Ardhurat Personale, sipas zërave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9</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00AC0C8D">
        <w:rPr>
          <w:rFonts w:asciiTheme="minorHAnsi" w:hAnsiTheme="minorHAnsi"/>
          <w:i/>
          <w:color w:val="365F91" w:themeColor="accent1" w:themeShade="BF"/>
          <w:sz w:val="18"/>
          <w:lang w:val="sq-AL"/>
        </w:rPr>
        <w:t>Shpenzimet e</w:t>
      </w:r>
      <w:r w:rsidRPr="00560789">
        <w:rPr>
          <w:rFonts w:asciiTheme="minorHAnsi" w:hAnsiTheme="minorHAnsi"/>
          <w:i/>
          <w:color w:val="365F91" w:themeColor="accent1" w:themeShade="BF"/>
          <w:sz w:val="18"/>
          <w:lang w:val="sq-AL"/>
        </w:rPr>
        <w:t xml:space="preserve"> konsoliduar</w:t>
      </w:r>
      <w:r w:rsidR="00AC0C8D">
        <w:rPr>
          <w:rFonts w:asciiTheme="minorHAnsi" w:hAnsiTheme="minorHAnsi"/>
          <w:i/>
          <w:color w:val="365F91" w:themeColor="accent1" w:themeShade="BF"/>
          <w:sz w:val="18"/>
          <w:lang w:val="sq-AL"/>
        </w:rPr>
        <w:t>a</w:t>
      </w:r>
      <w:r w:rsidRPr="00560789">
        <w:rPr>
          <w:rFonts w:asciiTheme="minorHAnsi" w:hAnsiTheme="minorHAnsi"/>
          <w:i/>
          <w:color w:val="365F91" w:themeColor="accent1" w:themeShade="BF"/>
          <w:sz w:val="18"/>
          <w:lang w:val="sq-AL"/>
        </w:rPr>
        <w:t xml:space="preserve"> për 5 mujorin e vitit 2017 (në milion LEK).</w:t>
      </w:r>
    </w:p>
    <w:p w:rsidR="00560789" w:rsidRPr="00D100B9" w:rsidRDefault="00560789" w:rsidP="00560789">
      <w:pPr>
        <w:pStyle w:val="ListParagraph"/>
        <w:numPr>
          <w:ilvl w:val="0"/>
          <w:numId w:val="23"/>
        </w:numPr>
        <w:rPr>
          <w:rFonts w:asciiTheme="minorHAnsi" w:hAnsiTheme="minorHAnsi"/>
          <w:b/>
          <w:color w:val="365F91" w:themeColor="accent1" w:themeShade="BF"/>
          <w:sz w:val="4"/>
          <w:lang w:val="sq-AL"/>
        </w:rPr>
      </w:pPr>
      <w:r w:rsidRPr="00560789">
        <w:rPr>
          <w:rFonts w:asciiTheme="minorHAnsi" w:hAnsiTheme="minorHAnsi"/>
          <w:i/>
          <w:color w:val="365F91" w:themeColor="accent1" w:themeShade="BF"/>
          <w:sz w:val="18"/>
          <w:lang w:val="sq-AL"/>
        </w:rPr>
        <w:t xml:space="preserve">Tabela </w:t>
      </w:r>
      <w:r w:rsidR="00D100B9">
        <w:rPr>
          <w:rFonts w:asciiTheme="minorHAnsi" w:hAnsiTheme="minorHAnsi"/>
          <w:i/>
          <w:color w:val="365F91" w:themeColor="accent1" w:themeShade="BF"/>
          <w:sz w:val="18"/>
          <w:lang w:val="sq-AL"/>
        </w:rPr>
        <w:t>10</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Huamarrja shtetërore nga burime të brendshme në terma neto</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Tabela 1</w:t>
      </w:r>
      <w:r>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Rritja e eksportit të mallrave, sipas kategorive kryesore</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2</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Rritja e importit të mallrave, sipas kategorive kryesore</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3</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Bilanci tregtar, sipas kategorive kryesore</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4</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Rritja vjetore e çmimeve, në përqindje</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5</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Ecuria e kredisë për bizneset dhe individët, në përqindje</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6</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Ecuria e kredive të këqija, në përqindje</w:t>
      </w:r>
    </w:p>
    <w:p w:rsidR="00D100B9" w:rsidRPr="00D100B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Tabela </w:t>
      </w:r>
      <w:r>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7</w:t>
      </w:r>
      <w:r w:rsidRPr="0056078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Ecuria e kursit të këmbimit 2014-2017</w:t>
      </w:r>
    </w:p>
    <w:p w:rsidR="004B58CA" w:rsidRPr="003537DA" w:rsidRDefault="00023EC7" w:rsidP="008B29C3">
      <w:pPr>
        <w:rPr>
          <w:rFonts w:asciiTheme="minorHAnsi" w:hAnsiTheme="minorHAnsi"/>
          <w:b/>
          <w:color w:val="365F91" w:themeColor="accent1" w:themeShade="BF"/>
          <w:sz w:val="6"/>
          <w:lang w:val="sq-AL"/>
        </w:rPr>
      </w:pPr>
      <w:r w:rsidRPr="003537DA">
        <w:rPr>
          <w:rFonts w:asciiTheme="minorHAnsi" w:hAnsiTheme="minorHAnsi"/>
          <w:b/>
          <w:color w:val="365F91" w:themeColor="accent1" w:themeShade="BF"/>
          <w:sz w:val="6"/>
          <w:lang w:val="sq-AL"/>
        </w:rPr>
        <w:t>-----------</w:t>
      </w:r>
      <w:r w:rsidR="00560789" w:rsidRPr="003537DA">
        <w:rPr>
          <w:rFonts w:asciiTheme="minorHAnsi" w:hAnsiTheme="minorHAnsi"/>
          <w:b/>
          <w:color w:val="365F91" w:themeColor="accent1" w:themeShade="BF"/>
          <w:sz w:val="6"/>
          <w:lang w:val="sq-AL"/>
        </w:rPr>
        <w:t>----------------------------------------------------------------------------------------------------------------</w:t>
      </w:r>
      <w:r w:rsidRPr="003537DA">
        <w:rPr>
          <w:rFonts w:asciiTheme="minorHAnsi" w:hAnsiTheme="minorHAnsi"/>
          <w:b/>
          <w:color w:val="365F91" w:themeColor="accent1" w:themeShade="BF"/>
          <w:sz w:val="6"/>
          <w:lang w:val="sq-AL"/>
        </w:rPr>
        <w:t>-----------------------------------------------------------------------------------------------------------------------------------------------------------------------------------------------------------------</w:t>
      </w:r>
      <w:r w:rsidR="00560789" w:rsidRPr="003537DA">
        <w:rPr>
          <w:rFonts w:asciiTheme="minorHAnsi" w:hAnsiTheme="minorHAnsi"/>
          <w:b/>
          <w:color w:val="365F91" w:themeColor="accent1" w:themeShade="BF"/>
          <w:sz w:val="6"/>
          <w:lang w:val="sq-AL"/>
        </w:rPr>
        <w:t>------------</w:t>
      </w:r>
      <w:r w:rsidRPr="003537DA">
        <w:rPr>
          <w:rFonts w:asciiTheme="minorHAnsi" w:hAnsiTheme="minorHAnsi"/>
          <w:b/>
          <w:color w:val="365F91" w:themeColor="accent1" w:themeShade="BF"/>
          <w:sz w:val="6"/>
          <w:lang w:val="sq-AL"/>
        </w:rPr>
        <w:t>------------------------------------------------------------------------------------------------------------------------</w:t>
      </w:r>
      <w:r w:rsidR="008B29C3" w:rsidRPr="003537DA">
        <w:rPr>
          <w:rFonts w:asciiTheme="minorHAnsi" w:hAnsiTheme="minorHAnsi"/>
          <w:b/>
          <w:color w:val="365F91" w:themeColor="accent1" w:themeShade="BF"/>
          <w:sz w:val="6"/>
          <w:lang w:val="sq-AL"/>
        </w:rPr>
        <w:t>--------------------------------------------------</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1</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Totali i të ardhurave Janar- Maj 2017/2016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2</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Të ardhurat Tatime &amp; Dogana Janar- Maj 2017 mujore dhe Progresive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3</w:t>
      </w:r>
      <w:r w:rsidRPr="00560789">
        <w:rPr>
          <w:rFonts w:asciiTheme="minorHAnsi" w:hAnsiTheme="minorHAnsi"/>
          <w:i/>
          <w:color w:val="365F91" w:themeColor="accent1" w:themeShade="BF"/>
          <w:sz w:val="18"/>
          <w:lang w:val="sq-AL"/>
        </w:rPr>
        <w:tab/>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Të ardhurat Doganore për Janar- Maj 2017, Mujore dhe Progresive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4</w:t>
      </w:r>
      <w:r w:rsidR="00D100B9">
        <w:rPr>
          <w:rFonts w:asciiTheme="minorHAnsi" w:hAnsiTheme="minorHAnsi"/>
          <w:i/>
          <w:color w:val="365F91" w:themeColor="accent1" w:themeShade="BF"/>
          <w:sz w:val="18"/>
          <w:lang w:val="sq-AL"/>
        </w:rPr>
        <w:tab/>
      </w:r>
      <w:r w:rsidR="00D100B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Kontribuesit kryesor në të ardhurat doganore Janar- Maj 2017/2016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5</w:t>
      </w:r>
      <w:r w:rsidR="00D100B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Të ardhurat  nga Tatimet Janar- Maj 2017, Mujore dhe Progresiv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6</w:t>
      </w:r>
      <w:r w:rsidR="00D100B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Të ardhura nga TVSH dhe rimbursimi i TVSH, 5 mujori në vite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7</w:t>
      </w:r>
      <w:r w:rsidR="00D100B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Të ardhurat nga TVSH bruto, sipas sektorëve të ekonomisë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8</w:t>
      </w:r>
      <w:r w:rsidR="00D100B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Të ardhurat nga Tatim Fitimi, në vite dhe sipas zërave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9</w:t>
      </w:r>
      <w:r w:rsidR="00D100B9">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ab/>
        <w:t>Të ardhurat nga Tatim Fitimi, sipas sektorëve të ekonomisë (në milion lekë)</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10</w:t>
      </w:r>
      <w:r w:rsidRPr="00560789">
        <w:rPr>
          <w:rFonts w:asciiTheme="minorHAnsi" w:hAnsiTheme="minorHAnsi"/>
          <w:i/>
          <w:color w:val="365F91" w:themeColor="accent1" w:themeShade="BF"/>
          <w:sz w:val="18"/>
          <w:lang w:val="sq-AL"/>
        </w:rPr>
        <w:tab/>
        <w:t>Të ardhurat nga Tatimi mbi të Ardhurat Personale, në vite (në milion lekë)</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11</w:t>
      </w:r>
      <w:r w:rsidR="00560789" w:rsidRPr="00560789">
        <w:rPr>
          <w:rFonts w:asciiTheme="minorHAnsi" w:hAnsiTheme="minorHAnsi"/>
          <w:i/>
          <w:color w:val="365F91" w:themeColor="accent1" w:themeShade="BF"/>
          <w:sz w:val="18"/>
          <w:lang w:val="sq-AL"/>
        </w:rPr>
        <w:tab/>
        <w:t>Të ardhurat nga Taksat nacionale, në vite (në milion lekë)</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12</w:t>
      </w:r>
      <w:r w:rsidR="00560789" w:rsidRPr="00560789">
        <w:rPr>
          <w:rFonts w:asciiTheme="minorHAnsi" w:hAnsiTheme="minorHAnsi"/>
          <w:i/>
          <w:color w:val="365F91" w:themeColor="accent1" w:themeShade="BF"/>
          <w:sz w:val="18"/>
          <w:lang w:val="sq-AL"/>
        </w:rPr>
        <w:tab/>
        <w:t>Të ardhurat nga kon</w:t>
      </w:r>
      <w:r w:rsidR="00AC0C8D">
        <w:rPr>
          <w:rFonts w:asciiTheme="minorHAnsi" w:hAnsiTheme="minorHAnsi"/>
          <w:i/>
          <w:color w:val="365F91" w:themeColor="accent1" w:themeShade="BF"/>
          <w:sz w:val="18"/>
          <w:lang w:val="sq-AL"/>
        </w:rPr>
        <w:t>t</w:t>
      </w:r>
      <w:r w:rsidR="00560789" w:rsidRPr="00560789">
        <w:rPr>
          <w:rFonts w:asciiTheme="minorHAnsi" w:hAnsiTheme="minorHAnsi"/>
          <w:i/>
          <w:color w:val="365F91" w:themeColor="accent1" w:themeShade="BF"/>
          <w:sz w:val="18"/>
          <w:lang w:val="sq-AL"/>
        </w:rPr>
        <w:t>ributet e mbledhura nga DPT, në vite (në milion lekë)</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13</w:t>
      </w:r>
      <w:r w:rsidR="00560789" w:rsidRPr="00560789">
        <w:rPr>
          <w:rFonts w:asciiTheme="minorHAnsi" w:hAnsiTheme="minorHAnsi"/>
          <w:i/>
          <w:color w:val="365F91" w:themeColor="accent1" w:themeShade="BF"/>
          <w:sz w:val="18"/>
          <w:lang w:val="sq-AL"/>
        </w:rPr>
        <w:tab/>
        <w:t>Shpenzimet e përgjithshme dhe ritmi i rritjes së tyre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14</w:t>
      </w:r>
      <w:r w:rsidR="00560789" w:rsidRPr="00560789">
        <w:rPr>
          <w:rFonts w:asciiTheme="minorHAnsi" w:hAnsiTheme="minorHAnsi"/>
          <w:i/>
          <w:color w:val="365F91" w:themeColor="accent1" w:themeShade="BF"/>
          <w:sz w:val="18"/>
          <w:lang w:val="sq-AL"/>
        </w:rPr>
        <w:tab/>
        <w:t>Shpenzimet Korente dhe ritmi i rritjes së tyre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15</w:t>
      </w:r>
      <w:r w:rsidR="00560789" w:rsidRPr="00560789">
        <w:rPr>
          <w:rFonts w:asciiTheme="minorHAnsi" w:hAnsiTheme="minorHAnsi"/>
          <w:i/>
          <w:color w:val="365F91" w:themeColor="accent1" w:themeShade="BF"/>
          <w:sz w:val="18"/>
          <w:lang w:val="sq-AL"/>
        </w:rPr>
        <w:tab/>
        <w:t>Shpenzimet e Personelit dhe ritmi i rritjes së tyre (në miliard LEK)</w:t>
      </w:r>
    </w:p>
    <w:p w:rsidR="00560789" w:rsidRPr="00560789" w:rsidRDefault="00560789" w:rsidP="0056078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sidR="00D100B9">
        <w:rPr>
          <w:rFonts w:asciiTheme="minorHAnsi" w:hAnsiTheme="minorHAnsi"/>
          <w:i/>
          <w:color w:val="365F91" w:themeColor="accent1" w:themeShade="BF"/>
          <w:sz w:val="18"/>
          <w:lang w:val="sq-AL"/>
        </w:rPr>
        <w:t>16</w:t>
      </w:r>
      <w:r w:rsidRPr="00560789">
        <w:rPr>
          <w:rFonts w:asciiTheme="minorHAnsi" w:hAnsiTheme="minorHAnsi"/>
          <w:i/>
          <w:color w:val="365F91" w:themeColor="accent1" w:themeShade="BF"/>
          <w:sz w:val="18"/>
          <w:lang w:val="sq-AL"/>
        </w:rPr>
        <w:tab/>
        <w:t>Shpenzimet e Pagave dhe ritmi i rritjes së tyre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17</w:t>
      </w:r>
      <w:r w:rsidR="00560789" w:rsidRPr="00560789">
        <w:rPr>
          <w:rFonts w:asciiTheme="minorHAnsi" w:hAnsiTheme="minorHAnsi"/>
          <w:i/>
          <w:color w:val="365F91" w:themeColor="accent1" w:themeShade="BF"/>
          <w:sz w:val="18"/>
          <w:lang w:val="sq-AL"/>
        </w:rPr>
        <w:tab/>
        <w:t>Shpenzimet për Interesa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18</w:t>
      </w:r>
      <w:r w:rsidR="00560789" w:rsidRPr="00560789">
        <w:rPr>
          <w:rFonts w:asciiTheme="minorHAnsi" w:hAnsiTheme="minorHAnsi"/>
          <w:i/>
          <w:color w:val="365F91" w:themeColor="accent1" w:themeShade="BF"/>
          <w:sz w:val="18"/>
          <w:lang w:val="sq-AL"/>
        </w:rPr>
        <w:tab/>
        <w:t>Shpenzimet Operative dhe ritmi i rritjes së tyre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19</w:t>
      </w:r>
      <w:r w:rsidR="00560789" w:rsidRPr="00560789">
        <w:rPr>
          <w:rFonts w:asciiTheme="minorHAnsi" w:hAnsiTheme="minorHAnsi"/>
          <w:i/>
          <w:color w:val="365F91" w:themeColor="accent1" w:themeShade="BF"/>
          <w:sz w:val="18"/>
          <w:lang w:val="sq-AL"/>
        </w:rPr>
        <w:tab/>
        <w:t>Shpenzimet për Subvencione dhe ritmi i rritjes së tyre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20</w:t>
      </w:r>
      <w:r w:rsidR="00560789" w:rsidRPr="00560789">
        <w:rPr>
          <w:rFonts w:asciiTheme="minorHAnsi" w:hAnsiTheme="minorHAnsi"/>
          <w:i/>
          <w:color w:val="365F91" w:themeColor="accent1" w:themeShade="BF"/>
          <w:sz w:val="18"/>
          <w:lang w:val="sq-AL"/>
        </w:rPr>
        <w:tab/>
        <w:t>Shpenzimet për Sigurime Shoqërore dhe Shëndetësore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21</w:t>
      </w:r>
      <w:r w:rsidR="00560789" w:rsidRPr="00560789">
        <w:rPr>
          <w:rFonts w:asciiTheme="minorHAnsi" w:hAnsiTheme="minorHAnsi"/>
          <w:i/>
          <w:color w:val="365F91" w:themeColor="accent1" w:themeShade="BF"/>
          <w:sz w:val="18"/>
          <w:lang w:val="sq-AL"/>
        </w:rPr>
        <w:tab/>
        <w:t>Shpenzimet për Ndihmën Ekonomike, PAK dhe Papunësinë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22</w:t>
      </w:r>
      <w:r w:rsidR="00560789" w:rsidRPr="00560789">
        <w:rPr>
          <w:rFonts w:asciiTheme="minorHAnsi" w:hAnsiTheme="minorHAnsi"/>
          <w:i/>
          <w:color w:val="365F91" w:themeColor="accent1" w:themeShade="BF"/>
          <w:sz w:val="18"/>
          <w:lang w:val="sq-AL"/>
        </w:rPr>
        <w:tab/>
        <w:t>Shpenzimet e Pushtetit Vendor dhe ritmi i rritjes së tyre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23</w:t>
      </w:r>
      <w:r w:rsidR="00560789" w:rsidRPr="00560789">
        <w:rPr>
          <w:rFonts w:asciiTheme="minorHAnsi" w:hAnsiTheme="minorHAnsi"/>
          <w:i/>
          <w:color w:val="365F91" w:themeColor="accent1" w:themeShade="BF"/>
          <w:sz w:val="18"/>
          <w:lang w:val="sq-AL"/>
        </w:rPr>
        <w:tab/>
        <w:t>Shpenzimet Kapitale dhe ritmi i rritjes së tyre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24</w:t>
      </w:r>
      <w:r w:rsidR="00560789" w:rsidRPr="00560789">
        <w:rPr>
          <w:rFonts w:asciiTheme="minorHAnsi" w:hAnsiTheme="minorHAnsi"/>
          <w:i/>
          <w:color w:val="365F91" w:themeColor="accent1" w:themeShade="BF"/>
          <w:sz w:val="18"/>
          <w:lang w:val="sq-AL"/>
        </w:rPr>
        <w:tab/>
        <w:t>Shpenzimet Kapitale dhe burimi i financimit të tyre (në miliard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25</w:t>
      </w:r>
      <w:r w:rsidR="00560789" w:rsidRPr="00560789">
        <w:rPr>
          <w:rFonts w:asciiTheme="minorHAnsi" w:hAnsiTheme="minorHAnsi"/>
          <w:i/>
          <w:color w:val="365F91" w:themeColor="accent1" w:themeShade="BF"/>
          <w:sz w:val="18"/>
          <w:lang w:val="sq-AL"/>
        </w:rPr>
        <w:tab/>
        <w:t>Detajimi i Shpenzimeve Buxhetore (në milion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26</w:t>
      </w:r>
      <w:r w:rsidR="00560789" w:rsidRPr="00560789">
        <w:rPr>
          <w:rFonts w:asciiTheme="minorHAnsi" w:hAnsiTheme="minorHAnsi"/>
          <w:i/>
          <w:color w:val="365F91" w:themeColor="accent1" w:themeShade="BF"/>
          <w:sz w:val="18"/>
          <w:lang w:val="sq-AL"/>
        </w:rPr>
        <w:tab/>
        <w:t>Të ardhurat, shpenzimet dhe deficiti/suficiti - Plan vs Fakt 2017 (në milion LEK)</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27</w:t>
      </w:r>
      <w:r w:rsidR="00560789" w:rsidRPr="00560789">
        <w:rPr>
          <w:rFonts w:asciiTheme="minorHAnsi" w:hAnsiTheme="minorHAnsi"/>
          <w:i/>
          <w:color w:val="365F91" w:themeColor="accent1" w:themeShade="BF"/>
          <w:sz w:val="18"/>
          <w:lang w:val="sq-AL"/>
        </w:rPr>
        <w:tab/>
        <w:t>Kompozimi i Borxhit të Qeverisjes Qendrore</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28</w:t>
      </w:r>
      <w:r w:rsidR="00560789" w:rsidRPr="00560789">
        <w:rPr>
          <w:rFonts w:asciiTheme="minorHAnsi" w:hAnsiTheme="minorHAnsi"/>
          <w:i/>
          <w:color w:val="365F91" w:themeColor="accent1" w:themeShade="BF"/>
          <w:sz w:val="18"/>
          <w:lang w:val="sq-AL"/>
        </w:rPr>
        <w:tab/>
        <w:t>Kompozimi i Borxhit të Brendshëm Shtetëror</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29</w:t>
      </w:r>
      <w:r w:rsidR="00560789" w:rsidRPr="00560789">
        <w:rPr>
          <w:rFonts w:asciiTheme="minorHAnsi" w:hAnsiTheme="minorHAnsi"/>
          <w:i/>
          <w:color w:val="365F91" w:themeColor="accent1" w:themeShade="BF"/>
          <w:sz w:val="18"/>
          <w:lang w:val="sq-AL"/>
        </w:rPr>
        <w:tab/>
        <w:t>Huamarrja e huaj bruto sipas koncesionalitetit në terma relativ dhe absolut</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30</w:t>
      </w:r>
      <w:r w:rsidR="00560789" w:rsidRPr="00560789">
        <w:rPr>
          <w:rFonts w:asciiTheme="minorHAnsi" w:hAnsiTheme="minorHAnsi"/>
          <w:i/>
          <w:color w:val="365F91" w:themeColor="accent1" w:themeShade="BF"/>
          <w:sz w:val="18"/>
          <w:lang w:val="sq-AL"/>
        </w:rPr>
        <w:tab/>
        <w:t>Interesa të Borxhit Shtetëror në vlerë absolute dhe relative ndaj PBB</w:t>
      </w:r>
    </w:p>
    <w:p w:rsidR="00560789" w:rsidRPr="00560789"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31</w:t>
      </w:r>
      <w:r w:rsidR="00560789" w:rsidRPr="00560789">
        <w:rPr>
          <w:rFonts w:asciiTheme="minorHAnsi" w:hAnsiTheme="minorHAnsi"/>
          <w:i/>
          <w:color w:val="365F91" w:themeColor="accent1" w:themeShade="BF"/>
          <w:sz w:val="18"/>
          <w:lang w:val="sq-AL"/>
        </w:rPr>
        <w:tab/>
        <w:t>Kërkesa për tituj shtetërorë në tregun e brendshëm</w:t>
      </w:r>
    </w:p>
    <w:p w:rsidR="006B29A1" w:rsidRDefault="00D100B9" w:rsidP="00560789">
      <w:pPr>
        <w:pStyle w:val="ListParagraph"/>
        <w:numPr>
          <w:ilvl w:val="0"/>
          <w:numId w:val="23"/>
        </w:numPr>
        <w:rPr>
          <w:rFonts w:asciiTheme="minorHAnsi" w:hAnsiTheme="minorHAnsi"/>
          <w:i/>
          <w:color w:val="365F91" w:themeColor="accent1" w:themeShade="BF"/>
          <w:sz w:val="18"/>
          <w:lang w:val="sq-AL"/>
        </w:rPr>
      </w:pPr>
      <w:r>
        <w:rPr>
          <w:rFonts w:asciiTheme="minorHAnsi" w:hAnsiTheme="minorHAnsi"/>
          <w:i/>
          <w:color w:val="365F91" w:themeColor="accent1" w:themeShade="BF"/>
          <w:sz w:val="18"/>
          <w:lang w:val="sq-AL"/>
        </w:rPr>
        <w:t>Grafiku 32</w:t>
      </w:r>
      <w:r w:rsidR="00560789" w:rsidRPr="00560789">
        <w:rPr>
          <w:rFonts w:asciiTheme="minorHAnsi" w:hAnsiTheme="minorHAnsi"/>
          <w:i/>
          <w:color w:val="365F91" w:themeColor="accent1" w:themeShade="BF"/>
          <w:sz w:val="18"/>
          <w:lang w:val="sq-AL"/>
        </w:rPr>
        <w:tab/>
        <w:t>Ecuria e Normave të Interesit në emetim (Dhjetor 2016-Prill 2017)</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Pr>
          <w:rFonts w:asciiTheme="minorHAnsi" w:hAnsiTheme="minorHAnsi"/>
          <w:i/>
          <w:color w:val="365F91" w:themeColor="accent1" w:themeShade="BF"/>
          <w:sz w:val="18"/>
          <w:lang w:val="sq-AL"/>
        </w:rPr>
        <w:t>3</w:t>
      </w:r>
      <w:r w:rsidR="00593E6C">
        <w:rPr>
          <w:rFonts w:asciiTheme="minorHAnsi" w:hAnsiTheme="minorHAnsi"/>
          <w:i/>
          <w:color w:val="365F91" w:themeColor="accent1" w:themeShade="BF"/>
          <w:sz w:val="18"/>
          <w:lang w:val="sq-AL"/>
        </w:rPr>
        <w:t>3</w:t>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 xml:space="preserve">Rritja mujore e totalit të eksporteve, në përqindje </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Pr>
          <w:rFonts w:asciiTheme="minorHAnsi" w:hAnsiTheme="minorHAnsi"/>
          <w:i/>
          <w:color w:val="365F91" w:themeColor="accent1" w:themeShade="BF"/>
          <w:sz w:val="18"/>
          <w:lang w:val="sq-AL"/>
        </w:rPr>
        <w:t>3</w:t>
      </w:r>
      <w:r w:rsidR="00593E6C">
        <w:rPr>
          <w:rFonts w:asciiTheme="minorHAnsi" w:hAnsiTheme="minorHAnsi"/>
          <w:i/>
          <w:color w:val="365F91" w:themeColor="accent1" w:themeShade="BF"/>
          <w:sz w:val="18"/>
          <w:lang w:val="sq-AL"/>
        </w:rPr>
        <w:t>4</w:t>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 xml:space="preserve">Rritja mujore e totalit të importeve, në përqindje </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Pr>
          <w:rFonts w:asciiTheme="minorHAnsi" w:hAnsiTheme="minorHAnsi"/>
          <w:i/>
          <w:color w:val="365F91" w:themeColor="accent1" w:themeShade="BF"/>
          <w:sz w:val="18"/>
          <w:lang w:val="sq-AL"/>
        </w:rPr>
        <w:t>3</w:t>
      </w:r>
      <w:r w:rsidR="00593E6C">
        <w:rPr>
          <w:rFonts w:asciiTheme="minorHAnsi" w:hAnsiTheme="minorHAnsi"/>
          <w:i/>
          <w:color w:val="365F91" w:themeColor="accent1" w:themeShade="BF"/>
          <w:sz w:val="18"/>
          <w:lang w:val="sq-AL"/>
        </w:rPr>
        <w:t>5</w:t>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 xml:space="preserve">Ecuria e çmimeve 2014-2017, në përqindje </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Pr>
          <w:rFonts w:asciiTheme="minorHAnsi" w:hAnsiTheme="minorHAnsi"/>
          <w:i/>
          <w:color w:val="365F91" w:themeColor="accent1" w:themeShade="BF"/>
          <w:sz w:val="18"/>
          <w:lang w:val="sq-AL"/>
        </w:rPr>
        <w:t>3</w:t>
      </w:r>
      <w:r w:rsidR="00593E6C">
        <w:rPr>
          <w:rFonts w:asciiTheme="minorHAnsi" w:hAnsiTheme="minorHAnsi"/>
          <w:i/>
          <w:color w:val="365F91" w:themeColor="accent1" w:themeShade="BF"/>
          <w:sz w:val="18"/>
          <w:lang w:val="sq-AL"/>
        </w:rPr>
        <w:t>6</w:t>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 xml:space="preserve">Ecuria e stokut të depozitave 2016-2017, në përqindje </w:t>
      </w:r>
    </w:p>
    <w:p w:rsidR="00D100B9" w:rsidRPr="0056078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Pr>
          <w:rFonts w:asciiTheme="minorHAnsi" w:hAnsiTheme="minorHAnsi"/>
          <w:i/>
          <w:color w:val="365F91" w:themeColor="accent1" w:themeShade="BF"/>
          <w:sz w:val="18"/>
          <w:lang w:val="sq-AL"/>
        </w:rPr>
        <w:t>3</w:t>
      </w:r>
      <w:r w:rsidR="00593E6C">
        <w:rPr>
          <w:rFonts w:asciiTheme="minorHAnsi" w:hAnsiTheme="minorHAnsi"/>
          <w:i/>
          <w:color w:val="365F91" w:themeColor="accent1" w:themeShade="BF"/>
          <w:sz w:val="18"/>
          <w:lang w:val="sq-AL"/>
        </w:rPr>
        <w:t>7</w:t>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 xml:space="preserve">Komponentët e kërkesës agregate, në përqindje </w:t>
      </w:r>
    </w:p>
    <w:p w:rsidR="00D100B9" w:rsidRPr="00D100B9" w:rsidRDefault="00D100B9" w:rsidP="00D100B9">
      <w:pPr>
        <w:pStyle w:val="ListParagraph"/>
        <w:numPr>
          <w:ilvl w:val="0"/>
          <w:numId w:val="23"/>
        </w:numPr>
        <w:rPr>
          <w:rFonts w:asciiTheme="minorHAnsi" w:hAnsiTheme="minorHAnsi"/>
          <w:i/>
          <w:color w:val="365F91" w:themeColor="accent1" w:themeShade="BF"/>
          <w:sz w:val="18"/>
          <w:lang w:val="sq-AL"/>
        </w:rPr>
      </w:pPr>
      <w:r w:rsidRPr="00560789">
        <w:rPr>
          <w:rFonts w:asciiTheme="minorHAnsi" w:hAnsiTheme="minorHAnsi"/>
          <w:i/>
          <w:color w:val="365F91" w:themeColor="accent1" w:themeShade="BF"/>
          <w:sz w:val="18"/>
          <w:lang w:val="sq-AL"/>
        </w:rPr>
        <w:t xml:space="preserve">Grafiku </w:t>
      </w:r>
      <w:r>
        <w:rPr>
          <w:rFonts w:asciiTheme="minorHAnsi" w:hAnsiTheme="minorHAnsi"/>
          <w:i/>
          <w:color w:val="365F91" w:themeColor="accent1" w:themeShade="BF"/>
          <w:sz w:val="18"/>
          <w:lang w:val="sq-AL"/>
        </w:rPr>
        <w:t>3</w:t>
      </w:r>
      <w:r w:rsidR="00593E6C">
        <w:rPr>
          <w:rFonts w:asciiTheme="minorHAnsi" w:hAnsiTheme="minorHAnsi"/>
          <w:i/>
          <w:color w:val="365F91" w:themeColor="accent1" w:themeShade="BF"/>
          <w:sz w:val="18"/>
          <w:lang w:val="sq-AL"/>
        </w:rPr>
        <w:t>8</w:t>
      </w:r>
      <w:r>
        <w:rPr>
          <w:rFonts w:asciiTheme="minorHAnsi" w:hAnsiTheme="minorHAnsi"/>
          <w:i/>
          <w:color w:val="365F91" w:themeColor="accent1" w:themeShade="BF"/>
          <w:sz w:val="18"/>
          <w:lang w:val="sq-AL"/>
        </w:rPr>
        <w:tab/>
      </w:r>
      <w:r w:rsidRPr="00560789">
        <w:rPr>
          <w:rFonts w:asciiTheme="minorHAnsi" w:hAnsiTheme="minorHAnsi"/>
          <w:i/>
          <w:color w:val="365F91" w:themeColor="accent1" w:themeShade="BF"/>
          <w:sz w:val="18"/>
          <w:lang w:val="sq-AL"/>
        </w:rPr>
        <w:t>Komponentët e ofertës agregate, në përqindje</w:t>
      </w:r>
    </w:p>
    <w:p w:rsidR="00685257" w:rsidRPr="00444289" w:rsidRDefault="00685257" w:rsidP="00A40986">
      <w:pPr>
        <w:pStyle w:val="Heading1"/>
        <w:numPr>
          <w:ilvl w:val="0"/>
          <w:numId w:val="7"/>
        </w:numPr>
        <w:spacing w:line="276" w:lineRule="auto"/>
        <w:ind w:left="720"/>
        <w:rPr>
          <w:rFonts w:asciiTheme="minorHAnsi" w:hAnsiTheme="minorHAnsi"/>
          <w:noProof/>
          <w:color w:val="365F91" w:themeColor="accent1" w:themeShade="BF"/>
          <w:sz w:val="32"/>
          <w:szCs w:val="24"/>
          <w:lang w:val="sq-AL"/>
        </w:rPr>
      </w:pPr>
      <w:bookmarkStart w:id="2" w:name="_Toc486582875"/>
      <w:r w:rsidRPr="00444289">
        <w:rPr>
          <w:rFonts w:asciiTheme="minorHAnsi" w:hAnsiTheme="minorHAnsi"/>
          <w:noProof/>
          <w:color w:val="365F91" w:themeColor="accent1" w:themeShade="BF"/>
          <w:sz w:val="32"/>
          <w:szCs w:val="24"/>
          <w:lang w:val="sq-AL"/>
        </w:rPr>
        <w:t>ZHVILLIMET NË EKONOMINË SHQIPTARE</w:t>
      </w:r>
      <w:bookmarkEnd w:id="2"/>
    </w:p>
    <w:p w:rsidR="000F540A" w:rsidRPr="00444289" w:rsidRDefault="009216BE" w:rsidP="00A40986">
      <w:pPr>
        <w:pStyle w:val="Heading2"/>
        <w:spacing w:line="276" w:lineRule="auto"/>
        <w:rPr>
          <w:rFonts w:asciiTheme="minorHAnsi" w:hAnsiTheme="minorHAnsi"/>
          <w:noProof/>
          <w:color w:val="4F81BD" w:themeColor="accent1"/>
          <w:sz w:val="28"/>
          <w:szCs w:val="24"/>
          <w:lang w:val="sq-AL"/>
        </w:rPr>
      </w:pPr>
      <w:bookmarkStart w:id="3" w:name="_Toc486582876"/>
      <w:r w:rsidRPr="00444289">
        <w:rPr>
          <w:rFonts w:asciiTheme="minorHAnsi" w:hAnsiTheme="minorHAnsi"/>
          <w:noProof/>
          <w:color w:val="4F81BD" w:themeColor="accent1"/>
          <w:sz w:val="28"/>
          <w:szCs w:val="24"/>
          <w:lang w:val="sq-AL"/>
        </w:rPr>
        <w:t>I.1</w:t>
      </w:r>
      <w:r w:rsidRPr="00444289">
        <w:rPr>
          <w:rFonts w:asciiTheme="minorHAnsi" w:hAnsiTheme="minorHAnsi"/>
          <w:noProof/>
          <w:color w:val="4F81BD" w:themeColor="accent1"/>
          <w:sz w:val="28"/>
          <w:szCs w:val="24"/>
          <w:lang w:val="sq-AL"/>
        </w:rPr>
        <w:tab/>
      </w:r>
      <w:r w:rsidR="0094558D" w:rsidRPr="00444289">
        <w:rPr>
          <w:rFonts w:asciiTheme="minorHAnsi" w:hAnsiTheme="minorHAnsi"/>
          <w:noProof/>
          <w:color w:val="4F81BD" w:themeColor="accent1"/>
          <w:sz w:val="28"/>
          <w:szCs w:val="24"/>
          <w:lang w:val="sq-AL"/>
        </w:rPr>
        <w:t>Ecuria e treguesve makroekonomikë</w:t>
      </w:r>
      <w:r w:rsidR="00DD1580" w:rsidRPr="00444289">
        <w:rPr>
          <w:rFonts w:asciiTheme="minorHAnsi" w:hAnsiTheme="minorHAnsi"/>
          <w:noProof/>
          <w:color w:val="4F81BD" w:themeColor="accent1"/>
          <w:sz w:val="28"/>
          <w:szCs w:val="24"/>
          <w:lang w:val="sq-AL"/>
        </w:rPr>
        <w:t xml:space="preserve"> p</w:t>
      </w:r>
      <w:r w:rsidR="00AA2D73" w:rsidRPr="00444289">
        <w:rPr>
          <w:rFonts w:asciiTheme="minorHAnsi" w:hAnsiTheme="minorHAnsi"/>
          <w:noProof/>
          <w:color w:val="4F81BD" w:themeColor="accent1"/>
          <w:sz w:val="28"/>
          <w:szCs w:val="24"/>
          <w:lang w:val="sq-AL"/>
        </w:rPr>
        <w:t>ë</w:t>
      </w:r>
      <w:r w:rsidR="00DD1580" w:rsidRPr="00444289">
        <w:rPr>
          <w:rFonts w:asciiTheme="minorHAnsi" w:hAnsiTheme="minorHAnsi"/>
          <w:noProof/>
          <w:color w:val="4F81BD" w:themeColor="accent1"/>
          <w:sz w:val="28"/>
          <w:szCs w:val="24"/>
          <w:lang w:val="sq-AL"/>
        </w:rPr>
        <w:t>r periudh</w:t>
      </w:r>
      <w:r w:rsidR="00AA2D73" w:rsidRPr="00444289">
        <w:rPr>
          <w:rFonts w:asciiTheme="minorHAnsi" w:hAnsiTheme="minorHAnsi"/>
          <w:noProof/>
          <w:color w:val="4F81BD" w:themeColor="accent1"/>
          <w:sz w:val="28"/>
          <w:szCs w:val="24"/>
          <w:lang w:val="sq-AL"/>
        </w:rPr>
        <w:t>ë</w:t>
      </w:r>
      <w:r w:rsidR="00DD1580" w:rsidRPr="00444289">
        <w:rPr>
          <w:rFonts w:asciiTheme="minorHAnsi" w:hAnsiTheme="minorHAnsi"/>
          <w:noProof/>
          <w:color w:val="4F81BD" w:themeColor="accent1"/>
          <w:sz w:val="28"/>
          <w:szCs w:val="24"/>
          <w:lang w:val="sq-AL"/>
        </w:rPr>
        <w:t>n janar-maj 2017</w:t>
      </w:r>
      <w:bookmarkEnd w:id="3"/>
      <w:r w:rsidR="00685257" w:rsidRPr="00444289">
        <w:rPr>
          <w:rFonts w:asciiTheme="minorHAnsi" w:hAnsiTheme="minorHAnsi"/>
          <w:noProof/>
          <w:color w:val="4F81BD" w:themeColor="accent1"/>
          <w:sz w:val="28"/>
          <w:szCs w:val="24"/>
          <w:lang w:val="sq-AL"/>
        </w:rPr>
        <w:t xml:space="preserve"> </w:t>
      </w:r>
    </w:p>
    <w:p w:rsidR="006352E6" w:rsidRPr="00FB14CF" w:rsidRDefault="006352E6" w:rsidP="00A40986">
      <w:pPr>
        <w:autoSpaceDE w:val="0"/>
        <w:autoSpaceDN w:val="0"/>
        <w:adjustRightInd w:val="0"/>
        <w:spacing w:line="276" w:lineRule="auto"/>
        <w:contextualSpacing/>
        <w:jc w:val="both"/>
        <w:rPr>
          <w:rFonts w:asciiTheme="minorHAnsi" w:hAnsiTheme="minorHAnsi"/>
          <w:b/>
          <w:i/>
          <w:noProof/>
          <w:sz w:val="16"/>
          <w:lang w:val="sq-AL"/>
        </w:rPr>
      </w:pPr>
    </w:p>
    <w:p w:rsidR="000F7EE0" w:rsidRPr="0015389C" w:rsidRDefault="000F7EE0" w:rsidP="000F7EE0">
      <w:pPr>
        <w:spacing w:before="120" w:after="120" w:line="276" w:lineRule="auto"/>
        <w:jc w:val="both"/>
        <w:rPr>
          <w:rFonts w:asciiTheme="minorHAnsi" w:hAnsiTheme="minorHAnsi"/>
          <w:noProof/>
          <w:lang w:val="sq-AL"/>
        </w:rPr>
      </w:pPr>
      <w:r>
        <w:rPr>
          <w:rFonts w:asciiTheme="minorHAnsi" w:hAnsiTheme="minorHAnsi"/>
          <w:noProof/>
          <w:lang w:val="sq-AL"/>
        </w:rPr>
        <w:t>E</w:t>
      </w:r>
      <w:r w:rsidRPr="0015389C">
        <w:rPr>
          <w:rFonts w:asciiTheme="minorHAnsi" w:hAnsiTheme="minorHAnsi"/>
          <w:noProof/>
          <w:lang w:val="sq-AL"/>
        </w:rPr>
        <w:t>konomia ka vijuar të performojë përgjithësisht në linjë me parashikimet makroekonomike fillestare mbi të cilat është bazuar buxheti i vitit aktual 2017. Viti 2016 tregoi ritme pozitive dhe përshpejtuese të rritjes ekonomike dhe në tremujorin e katërt të tij ekonomia shë</w:t>
      </w:r>
      <w:r>
        <w:rPr>
          <w:rFonts w:asciiTheme="minorHAnsi" w:hAnsiTheme="minorHAnsi"/>
          <w:noProof/>
          <w:lang w:val="sq-AL"/>
        </w:rPr>
        <w:t xml:space="preserve">noi rritjen më të lartë të saj </w:t>
      </w:r>
      <w:r w:rsidRPr="0015389C">
        <w:rPr>
          <w:rFonts w:asciiTheme="minorHAnsi" w:hAnsiTheme="minorHAnsi"/>
          <w:noProof/>
          <w:lang w:val="sq-AL"/>
        </w:rPr>
        <w:t xml:space="preserve">që prej tremujorit të katërt të vitit 2014. </w:t>
      </w:r>
      <w:r>
        <w:rPr>
          <w:rFonts w:asciiTheme="minorHAnsi" w:hAnsiTheme="minorHAnsi"/>
          <w:noProof/>
          <w:lang w:val="sq-AL"/>
        </w:rPr>
        <w:t>Treguesit indirekt të dispunueshëm sinjalizojnë që kjo tendencë përshpejtuese të ketë vijuar edhe gjatë gjysmës së parë të 2017 dhe në linjë me parashikimin aktual të rritjes ekonomike për 2017 prej 3.8%.</w:t>
      </w:r>
    </w:p>
    <w:p w:rsidR="000F7EE0" w:rsidRPr="0015389C" w:rsidRDefault="000F7EE0" w:rsidP="000F7EE0">
      <w:pPr>
        <w:autoSpaceDE w:val="0"/>
        <w:autoSpaceDN w:val="0"/>
        <w:adjustRightInd w:val="0"/>
        <w:spacing w:before="120" w:after="120" w:line="276" w:lineRule="auto"/>
        <w:jc w:val="both"/>
        <w:rPr>
          <w:rFonts w:asciiTheme="minorHAnsi" w:hAnsiTheme="minorHAnsi"/>
          <w:noProof/>
          <w:lang w:val="sq-AL"/>
        </w:rPr>
      </w:pPr>
      <w:r w:rsidRPr="0015389C">
        <w:rPr>
          <w:rFonts w:asciiTheme="minorHAnsi" w:hAnsiTheme="minorHAnsi"/>
          <w:noProof/>
          <w:lang w:val="sq-AL"/>
        </w:rPr>
        <w:t>Tendencat e papunësisë dhe punësimit, flasin për një trend të qartë pozitiv të punësimit, ndërkohë që norma e papunësisë ka shënuar një reduktim të konsiderueshëm. Krahasuar me të njëjtin tremujor të vitit 2016, punësimi në tremujorin e parë të 2017 u rrit me 2.8 %. Përgjatë tremujorit të parë të vitit 2017, shkalla zyrtare e papunësisë në Shqipëri, për popullsinë 15 vjeç e lart, është 14.2%, ndërsa për grupmoshën 15-64 vjeç shkalla zyrtare e papunësisë ishte 14.6%.</w:t>
      </w:r>
      <w:r w:rsidRPr="0015389C">
        <w:rPr>
          <w:rFonts w:asciiTheme="minorHAnsi" w:hAnsiTheme="minorHAnsi"/>
          <w:lang w:val="sq-AL"/>
        </w:rPr>
        <w:t xml:space="preserve"> Krahasuar me të njëjtin tremujor të një viti më parë (T1-2016), shkalla e papunësisë u ul me 2.3 pikë përqindje.</w:t>
      </w:r>
    </w:p>
    <w:p w:rsidR="000F7EE0" w:rsidRPr="00FB14CF" w:rsidRDefault="000F7EE0" w:rsidP="000F7EE0">
      <w:pPr>
        <w:spacing w:before="120" w:after="120" w:line="276" w:lineRule="auto"/>
        <w:jc w:val="both"/>
        <w:rPr>
          <w:rFonts w:asciiTheme="minorHAnsi" w:hAnsiTheme="minorHAnsi"/>
          <w:noProof/>
          <w:sz w:val="16"/>
          <w:lang w:val="sq-AL"/>
        </w:rPr>
      </w:pPr>
      <w:r w:rsidRPr="0015389C">
        <w:rPr>
          <w:rFonts w:asciiTheme="minorHAnsi" w:hAnsiTheme="minorHAnsi"/>
          <w:noProof/>
          <w:lang w:val="sq-AL"/>
        </w:rPr>
        <w:t xml:space="preserve">Një tjetër tregues i rendësishëm që jep sinjale mbi rritjen ekonomike të T1 2017, treguesi i ndjesisë ekonomike (TNE), shënoi një përmirësim prej 7.6 pikësh nga tremujori i kaluar, ndërsa në krahasim me T1-2016 ka pësuar një përmirësim prej 27.8 pikë përqindje. </w:t>
      </w:r>
    </w:p>
    <w:p w:rsidR="000F7EE0" w:rsidRPr="00503493" w:rsidRDefault="000F7EE0" w:rsidP="000F7EE0">
      <w:pPr>
        <w:spacing w:before="120" w:after="120" w:line="276" w:lineRule="auto"/>
        <w:jc w:val="both"/>
        <w:rPr>
          <w:rFonts w:asciiTheme="minorHAnsi" w:hAnsiTheme="minorHAnsi"/>
          <w:noProof/>
          <w:lang w:val="sq-AL"/>
        </w:rPr>
      </w:pPr>
      <w:r w:rsidRPr="00400CD3">
        <w:rPr>
          <w:rFonts w:asciiTheme="minorHAnsi" w:hAnsiTheme="minorHAnsi"/>
          <w:noProof/>
          <w:lang w:val="da-DK"/>
        </w:rPr>
        <w:t>Eksportet e mallrave për periudhën janar – maj 2017 shënuan rritje prej 16.7% krahasuar me të njëjtën periudhë të një viti më parë</w:t>
      </w:r>
      <w:r>
        <w:rPr>
          <w:rFonts w:asciiTheme="minorHAnsi" w:hAnsiTheme="minorHAnsi"/>
          <w:noProof/>
          <w:lang w:val="sq-AL"/>
        </w:rPr>
        <w:t>, ndërsa</w:t>
      </w:r>
      <w:r w:rsidRPr="00400CD3">
        <w:rPr>
          <w:rFonts w:asciiTheme="minorHAnsi" w:hAnsiTheme="minorHAnsi"/>
          <w:noProof/>
          <w:lang w:val="sq-AL"/>
        </w:rPr>
        <w:t xml:space="preserve"> </w:t>
      </w:r>
      <w:r>
        <w:rPr>
          <w:rFonts w:asciiTheme="minorHAnsi" w:hAnsiTheme="minorHAnsi"/>
          <w:noProof/>
          <w:lang w:val="sq-AL"/>
        </w:rPr>
        <w:t>i</w:t>
      </w:r>
      <w:r w:rsidRPr="00FB14CF">
        <w:rPr>
          <w:rFonts w:asciiTheme="minorHAnsi" w:hAnsiTheme="minorHAnsi"/>
          <w:noProof/>
          <w:lang w:val="sq-AL"/>
        </w:rPr>
        <w:t>mportet e mallrave shënuan rritje prej 4.6%</w:t>
      </w:r>
      <w:r>
        <w:rPr>
          <w:rFonts w:asciiTheme="minorHAnsi" w:hAnsiTheme="minorHAnsi"/>
          <w:noProof/>
          <w:lang w:val="sq-AL"/>
        </w:rPr>
        <w:t>.</w:t>
      </w:r>
      <w:r w:rsidRPr="00FB14CF">
        <w:rPr>
          <w:rFonts w:asciiTheme="minorHAnsi" w:hAnsiTheme="minorHAnsi"/>
          <w:noProof/>
          <w:lang w:val="sq-AL"/>
        </w:rPr>
        <w:t xml:space="preserve"> </w:t>
      </w:r>
      <w:r w:rsidRPr="00400CD3">
        <w:rPr>
          <w:rFonts w:asciiTheme="minorHAnsi" w:hAnsiTheme="minorHAnsi"/>
          <w:noProof/>
          <w:lang w:val="sq-AL"/>
        </w:rPr>
        <w:t>Këto zhvillime në tregtinë e jashtme janë reflektuar dhe tek deficiti tregtar, i cili për periudhën janar – maj 2017 është përmirësuar me 4.1% krahasuar me të njëjtën periudhë të një viti më parë. Ndërsa, norma e mbulimit të eksporteve ndaj importeve për këtë periudhë është 44.2%.</w:t>
      </w:r>
    </w:p>
    <w:p w:rsidR="000F7EE0" w:rsidRDefault="000F7EE0" w:rsidP="000F7EE0">
      <w:pPr>
        <w:spacing w:before="120" w:after="120" w:line="276" w:lineRule="auto"/>
        <w:jc w:val="both"/>
        <w:rPr>
          <w:rFonts w:asciiTheme="minorHAnsi" w:hAnsiTheme="minorHAnsi"/>
          <w:noProof/>
          <w:lang w:val="sq-AL"/>
        </w:rPr>
      </w:pPr>
      <w:r>
        <w:rPr>
          <w:rFonts w:asciiTheme="minorHAnsi" w:hAnsiTheme="minorHAnsi"/>
          <w:noProof/>
          <w:lang w:val="sq-AL"/>
        </w:rPr>
        <w:t xml:space="preserve">Inflacioni mesatar për periudhën janar-maj 2017 </w:t>
      </w:r>
      <w:r w:rsidRPr="001120E5">
        <w:rPr>
          <w:rFonts w:asciiTheme="minorHAnsi" w:hAnsiTheme="minorHAnsi"/>
          <w:noProof/>
          <w:lang w:val="sq-AL"/>
        </w:rPr>
        <w:t>ishte 2.2%</w:t>
      </w:r>
      <w:r>
        <w:rPr>
          <w:rFonts w:asciiTheme="minorHAnsi" w:hAnsiTheme="minorHAnsi"/>
          <w:noProof/>
          <w:lang w:val="sq-AL"/>
        </w:rPr>
        <w:t>, nga 0.6% që rezultonte një vit më parë gjëtë së njëjtës periudhë</w:t>
      </w:r>
      <w:r w:rsidRPr="001120E5">
        <w:rPr>
          <w:rFonts w:asciiTheme="minorHAnsi" w:hAnsiTheme="minorHAnsi"/>
          <w:noProof/>
          <w:lang w:val="sq-AL"/>
        </w:rPr>
        <w:t>.</w:t>
      </w:r>
      <w:r w:rsidRPr="00F57279">
        <w:rPr>
          <w:rFonts w:asciiTheme="minorHAnsi" w:hAnsiTheme="minorHAnsi"/>
          <w:noProof/>
          <w:lang w:val="sq-AL"/>
        </w:rPr>
        <w:t xml:space="preserve"> </w:t>
      </w:r>
    </w:p>
    <w:p w:rsidR="000F7EE0" w:rsidRDefault="000F7EE0" w:rsidP="000F7EE0">
      <w:pPr>
        <w:spacing w:before="120" w:after="120" w:line="276" w:lineRule="auto"/>
        <w:jc w:val="both"/>
        <w:rPr>
          <w:rFonts w:asciiTheme="minorHAnsi" w:hAnsiTheme="minorHAnsi"/>
          <w:noProof/>
          <w:lang w:val="sq-AL"/>
        </w:rPr>
      </w:pPr>
      <w:r w:rsidRPr="00563387">
        <w:rPr>
          <w:rFonts w:asciiTheme="minorHAnsi" w:hAnsiTheme="minorHAnsi"/>
          <w:noProof/>
          <w:lang w:val="sq-AL"/>
        </w:rPr>
        <w:t>Deri në muajin prill të vitit 2017, stoku total i kredive bankare pati një rënie me 0.4% krahasuar me muajin prill të vitit 2016. Stoku i kredive në lekë shënoi rritje prej 6.9%, ndërsa ai n</w:t>
      </w:r>
      <w:r>
        <w:rPr>
          <w:rFonts w:asciiTheme="minorHAnsi" w:hAnsiTheme="minorHAnsi"/>
          <w:noProof/>
          <w:lang w:val="sq-AL"/>
        </w:rPr>
        <w:t xml:space="preserve">ë valutë shënoi rënie prej 6.3%. </w:t>
      </w:r>
      <w:r w:rsidRPr="00563387">
        <w:rPr>
          <w:rFonts w:asciiTheme="minorHAnsi" w:hAnsiTheme="minorHAnsi"/>
          <w:noProof/>
          <w:lang w:val="sq-AL"/>
        </w:rPr>
        <w:t xml:space="preserve"> Pjesa më e madhe e kontributit në rritjen e stokut total të kredisë gjatë kësaj periudhe ka ardhur prej kredive akorduar individëve. </w:t>
      </w:r>
      <w:r>
        <w:rPr>
          <w:rFonts w:asciiTheme="minorHAnsi" w:hAnsiTheme="minorHAnsi"/>
          <w:noProof/>
          <w:lang w:val="sq-AL"/>
        </w:rPr>
        <w:t>Ndonëse me një trend të qartë rënës, sërisht një fa</w:t>
      </w:r>
      <w:r w:rsidRPr="0096072D">
        <w:rPr>
          <w:rFonts w:asciiTheme="minorHAnsi" w:hAnsiTheme="minorHAnsi"/>
          <w:noProof/>
          <w:lang w:val="sq-AL"/>
        </w:rPr>
        <w:t xml:space="preserve">ktor negativ për ecurinë e kreditimit vazhdon të jenë niveli </w:t>
      </w:r>
      <w:r>
        <w:rPr>
          <w:rFonts w:asciiTheme="minorHAnsi" w:hAnsiTheme="minorHAnsi"/>
          <w:noProof/>
          <w:lang w:val="sq-AL"/>
        </w:rPr>
        <w:t xml:space="preserve">relativisht </w:t>
      </w:r>
      <w:r w:rsidRPr="0096072D">
        <w:rPr>
          <w:rFonts w:asciiTheme="minorHAnsi" w:hAnsiTheme="minorHAnsi"/>
          <w:noProof/>
          <w:lang w:val="sq-AL"/>
        </w:rPr>
        <w:t xml:space="preserve">i </w:t>
      </w:r>
      <w:r>
        <w:rPr>
          <w:rFonts w:asciiTheme="minorHAnsi" w:hAnsiTheme="minorHAnsi"/>
          <w:noProof/>
          <w:lang w:val="sq-AL"/>
        </w:rPr>
        <w:t xml:space="preserve">lartë </w:t>
      </w:r>
      <w:r w:rsidRPr="0096072D">
        <w:rPr>
          <w:rFonts w:asciiTheme="minorHAnsi" w:hAnsiTheme="minorHAnsi"/>
          <w:noProof/>
          <w:lang w:val="sq-AL"/>
        </w:rPr>
        <w:t>kredive me probleme ndaj totalit të kredive</w:t>
      </w:r>
      <w:r>
        <w:rPr>
          <w:rFonts w:asciiTheme="minorHAnsi" w:hAnsiTheme="minorHAnsi"/>
          <w:noProof/>
          <w:lang w:val="sq-AL"/>
        </w:rPr>
        <w:t>, i cili</w:t>
      </w:r>
      <w:r w:rsidRPr="0096072D">
        <w:rPr>
          <w:rFonts w:asciiTheme="minorHAnsi" w:hAnsiTheme="minorHAnsi"/>
          <w:noProof/>
          <w:lang w:val="sq-AL"/>
        </w:rPr>
        <w:t xml:space="preserve"> </w:t>
      </w:r>
      <w:r>
        <w:rPr>
          <w:rFonts w:asciiTheme="minorHAnsi" w:hAnsiTheme="minorHAnsi"/>
          <w:noProof/>
          <w:lang w:val="sq-AL"/>
        </w:rPr>
        <w:t>n</w:t>
      </w:r>
      <w:r w:rsidRPr="0096072D">
        <w:rPr>
          <w:rFonts w:asciiTheme="minorHAnsi" w:hAnsiTheme="minorHAnsi"/>
          <w:noProof/>
          <w:lang w:val="sq-AL"/>
        </w:rPr>
        <w:t>ë fund të muajit prill arriti në 16.6%</w:t>
      </w:r>
      <w:r>
        <w:rPr>
          <w:rFonts w:asciiTheme="minorHAnsi" w:hAnsiTheme="minorHAnsi"/>
          <w:noProof/>
          <w:lang w:val="sq-AL"/>
        </w:rPr>
        <w:t>.</w:t>
      </w:r>
      <w:r w:rsidRPr="0096072D">
        <w:rPr>
          <w:rFonts w:asciiTheme="minorHAnsi" w:hAnsiTheme="minorHAnsi"/>
          <w:noProof/>
          <w:lang w:val="sq-AL"/>
        </w:rPr>
        <w:t xml:space="preserve"> </w:t>
      </w:r>
      <w:r>
        <w:rPr>
          <w:rFonts w:asciiTheme="minorHAnsi" w:hAnsiTheme="minorHAnsi"/>
          <w:noProof/>
          <w:lang w:val="sq-AL"/>
        </w:rPr>
        <w:t xml:space="preserve">Ndërkohë </w:t>
      </w:r>
      <w:r w:rsidRPr="00563387">
        <w:rPr>
          <w:rFonts w:asciiTheme="minorHAnsi" w:hAnsiTheme="minorHAnsi"/>
          <w:noProof/>
          <w:lang w:val="sq-AL"/>
        </w:rPr>
        <w:t xml:space="preserve">stoku total i depozitave bankare </w:t>
      </w:r>
      <w:r>
        <w:rPr>
          <w:rFonts w:asciiTheme="minorHAnsi" w:hAnsiTheme="minorHAnsi"/>
          <w:noProof/>
          <w:lang w:val="sq-AL"/>
        </w:rPr>
        <w:t xml:space="preserve">për këtë periudhë </w:t>
      </w:r>
      <w:r w:rsidRPr="00563387">
        <w:rPr>
          <w:rFonts w:asciiTheme="minorHAnsi" w:hAnsiTheme="minorHAnsi"/>
          <w:noProof/>
          <w:lang w:val="sq-AL"/>
        </w:rPr>
        <w:t xml:space="preserve">u rrit me 2.5% krahasuar me muajin prill të vitit 2016. Stoku total i depozitave në Lekë ka shënuar një rënie prej 1.4%, ndërsa ai në valutë është rritur me 6.2% krahasuar me të njëjtin muaj të vitit 2016. </w:t>
      </w:r>
    </w:p>
    <w:p w:rsidR="000F7EE0" w:rsidRDefault="000F7EE0" w:rsidP="000F7EE0">
      <w:pPr>
        <w:spacing w:before="120" w:after="120" w:line="276" w:lineRule="auto"/>
        <w:jc w:val="both"/>
        <w:rPr>
          <w:rFonts w:asciiTheme="minorHAnsi" w:hAnsiTheme="minorHAnsi"/>
          <w:noProof/>
          <w:lang w:val="sq-AL"/>
        </w:rPr>
      </w:pPr>
      <w:r>
        <w:rPr>
          <w:rFonts w:asciiTheme="minorHAnsi" w:hAnsiTheme="minorHAnsi"/>
          <w:noProof/>
          <w:lang w:val="sq-AL"/>
        </w:rPr>
        <w:t>Sa i takon e</w:t>
      </w:r>
      <w:r w:rsidRPr="0096072D">
        <w:rPr>
          <w:rFonts w:asciiTheme="minorHAnsi" w:hAnsiTheme="minorHAnsi"/>
          <w:noProof/>
          <w:lang w:val="sq-AL"/>
        </w:rPr>
        <w:t>curi</w:t>
      </w:r>
      <w:r>
        <w:rPr>
          <w:rFonts w:asciiTheme="minorHAnsi" w:hAnsiTheme="minorHAnsi"/>
          <w:noProof/>
          <w:lang w:val="sq-AL"/>
        </w:rPr>
        <w:t>së</w:t>
      </w:r>
      <w:r w:rsidRPr="0096072D">
        <w:rPr>
          <w:rFonts w:asciiTheme="minorHAnsi" w:hAnsiTheme="minorHAnsi"/>
          <w:noProof/>
          <w:lang w:val="sq-AL"/>
        </w:rPr>
        <w:t xml:space="preserve"> </w:t>
      </w:r>
      <w:r>
        <w:rPr>
          <w:rFonts w:asciiTheme="minorHAnsi" w:hAnsiTheme="minorHAnsi"/>
          <w:noProof/>
          <w:lang w:val="sq-AL"/>
        </w:rPr>
        <w:t>së</w:t>
      </w:r>
      <w:r w:rsidRPr="0096072D">
        <w:rPr>
          <w:rFonts w:asciiTheme="minorHAnsi" w:hAnsiTheme="minorHAnsi"/>
          <w:noProof/>
          <w:lang w:val="sq-AL"/>
        </w:rPr>
        <w:t xml:space="preserve"> normave të interesit </w:t>
      </w:r>
      <w:r>
        <w:rPr>
          <w:rFonts w:asciiTheme="minorHAnsi" w:hAnsiTheme="minorHAnsi"/>
          <w:noProof/>
          <w:lang w:val="sq-AL"/>
        </w:rPr>
        <w:t>përgjithësisht vihet re një rënie e tyre gjatë katër muajve të parë të vitit, si për depozitat dhe kreditë, ashtu edhe për instrumentat e borxhit të qeverisë.</w:t>
      </w:r>
    </w:p>
    <w:p w:rsidR="000F7EE0" w:rsidRDefault="000F7EE0" w:rsidP="000F7EE0">
      <w:pPr>
        <w:spacing w:before="120" w:after="120" w:line="276" w:lineRule="auto"/>
        <w:jc w:val="both"/>
        <w:rPr>
          <w:rFonts w:asciiTheme="minorHAnsi" w:hAnsiTheme="minorHAnsi"/>
          <w:noProof/>
          <w:lang w:val="sq-AL"/>
        </w:rPr>
      </w:pPr>
      <w:r>
        <w:rPr>
          <w:rFonts w:asciiTheme="minorHAnsi" w:hAnsiTheme="minorHAnsi"/>
          <w:noProof/>
          <w:lang w:val="sq-AL"/>
        </w:rPr>
        <w:t>K</w:t>
      </w:r>
      <w:r w:rsidRPr="0096072D">
        <w:rPr>
          <w:rFonts w:asciiTheme="minorHAnsi" w:hAnsiTheme="minorHAnsi"/>
          <w:noProof/>
          <w:lang w:val="sq-AL"/>
        </w:rPr>
        <w:t xml:space="preserve">ursi i këmbimit i Lek-ut ndaj Dollarit Amerikan dhe Euros, në muajin maj 2017 arriti respektivisht nivelin 121.83 dhe 134.58 në vlerë </w:t>
      </w:r>
      <w:r>
        <w:rPr>
          <w:rFonts w:asciiTheme="minorHAnsi" w:hAnsiTheme="minorHAnsi"/>
          <w:noProof/>
          <w:lang w:val="sq-AL"/>
        </w:rPr>
        <w:t>mesatare mujore, ku monedha Lek</w:t>
      </w:r>
      <w:r w:rsidRPr="0096072D">
        <w:rPr>
          <w:rFonts w:asciiTheme="minorHAnsi" w:hAnsiTheme="minorHAnsi"/>
          <w:noProof/>
          <w:lang w:val="sq-AL"/>
        </w:rPr>
        <w:t xml:space="preserve"> është forcuar kundrejt të dy monedhave të huaja kryesore krahasuar me mesataren e kursit për vitin 2016.</w:t>
      </w:r>
    </w:p>
    <w:p w:rsidR="007138C5" w:rsidRPr="007138C5" w:rsidRDefault="007138C5" w:rsidP="00A40986">
      <w:pPr>
        <w:spacing w:before="120" w:after="120" w:line="276" w:lineRule="auto"/>
        <w:jc w:val="center"/>
        <w:rPr>
          <w:rFonts w:asciiTheme="minorHAnsi" w:hAnsiTheme="minorHAnsi"/>
          <w:noProof/>
          <w:sz w:val="8"/>
          <w:lang w:val="sq-AL"/>
        </w:rPr>
      </w:pPr>
    </w:p>
    <w:p w:rsidR="009216BE" w:rsidRPr="00444289" w:rsidRDefault="009216BE" w:rsidP="00A40986">
      <w:pPr>
        <w:pStyle w:val="Heading2"/>
        <w:spacing w:line="276" w:lineRule="auto"/>
        <w:rPr>
          <w:rFonts w:asciiTheme="minorHAnsi" w:hAnsiTheme="minorHAnsi"/>
          <w:noProof/>
          <w:color w:val="4F81BD" w:themeColor="accent1"/>
          <w:sz w:val="28"/>
          <w:szCs w:val="24"/>
          <w:lang w:val="sq-AL"/>
        </w:rPr>
      </w:pPr>
      <w:bookmarkStart w:id="4" w:name="_Toc486582877"/>
      <w:r w:rsidRPr="00444289">
        <w:rPr>
          <w:rFonts w:asciiTheme="minorHAnsi" w:hAnsiTheme="minorHAnsi"/>
          <w:noProof/>
          <w:color w:val="4F81BD" w:themeColor="accent1"/>
          <w:sz w:val="28"/>
          <w:szCs w:val="24"/>
          <w:lang w:val="sq-AL"/>
        </w:rPr>
        <w:t>I.2</w:t>
      </w:r>
      <w:r w:rsidRPr="00444289">
        <w:rPr>
          <w:rFonts w:asciiTheme="minorHAnsi" w:hAnsiTheme="minorHAnsi"/>
          <w:noProof/>
          <w:color w:val="4F81BD" w:themeColor="accent1"/>
          <w:sz w:val="28"/>
          <w:szCs w:val="24"/>
          <w:lang w:val="sq-AL"/>
        </w:rPr>
        <w:tab/>
      </w:r>
      <w:r w:rsidR="00BD7B2B" w:rsidRPr="00444289">
        <w:rPr>
          <w:rFonts w:asciiTheme="minorHAnsi" w:hAnsiTheme="minorHAnsi"/>
          <w:noProof/>
          <w:color w:val="4F81BD" w:themeColor="accent1"/>
          <w:sz w:val="28"/>
          <w:szCs w:val="24"/>
          <w:lang w:val="sq-AL"/>
        </w:rPr>
        <w:t>Pritshmëritë e treguesve makroekonomikë deri n</w:t>
      </w:r>
      <w:r w:rsidR="00AA2D73" w:rsidRPr="00444289">
        <w:rPr>
          <w:rFonts w:asciiTheme="minorHAnsi" w:hAnsiTheme="minorHAnsi"/>
          <w:noProof/>
          <w:color w:val="4F81BD" w:themeColor="accent1"/>
          <w:sz w:val="28"/>
          <w:szCs w:val="24"/>
          <w:lang w:val="sq-AL"/>
        </w:rPr>
        <w:t>ë</w:t>
      </w:r>
      <w:r w:rsidR="00BD7B2B" w:rsidRPr="00444289">
        <w:rPr>
          <w:rFonts w:asciiTheme="minorHAnsi" w:hAnsiTheme="minorHAnsi"/>
          <w:noProof/>
          <w:color w:val="4F81BD" w:themeColor="accent1"/>
          <w:sz w:val="28"/>
          <w:szCs w:val="24"/>
          <w:lang w:val="sq-AL"/>
        </w:rPr>
        <w:t xml:space="preserve"> fund t</w:t>
      </w:r>
      <w:r w:rsidR="00AA2D73" w:rsidRPr="00444289">
        <w:rPr>
          <w:rFonts w:asciiTheme="minorHAnsi" w:hAnsiTheme="minorHAnsi"/>
          <w:noProof/>
          <w:color w:val="4F81BD" w:themeColor="accent1"/>
          <w:sz w:val="28"/>
          <w:szCs w:val="24"/>
          <w:lang w:val="sq-AL"/>
        </w:rPr>
        <w:t>ë</w:t>
      </w:r>
      <w:r w:rsidR="00BD7B2B" w:rsidRPr="00444289">
        <w:rPr>
          <w:rFonts w:asciiTheme="minorHAnsi" w:hAnsiTheme="minorHAnsi"/>
          <w:noProof/>
          <w:color w:val="4F81BD" w:themeColor="accent1"/>
          <w:sz w:val="28"/>
          <w:szCs w:val="24"/>
          <w:lang w:val="sq-AL"/>
        </w:rPr>
        <w:t xml:space="preserve"> vitit 2017</w:t>
      </w:r>
      <w:bookmarkEnd w:id="4"/>
    </w:p>
    <w:p w:rsidR="000F7EE0" w:rsidRPr="000F7EE0" w:rsidRDefault="000F7EE0" w:rsidP="000F7EE0">
      <w:pPr>
        <w:spacing w:before="120" w:after="120" w:line="276" w:lineRule="auto"/>
        <w:jc w:val="both"/>
        <w:rPr>
          <w:rFonts w:asciiTheme="minorHAnsi" w:hAnsiTheme="minorHAnsi"/>
          <w:lang w:val="sq-AL"/>
        </w:rPr>
      </w:pPr>
      <w:r w:rsidRPr="000F7EE0">
        <w:rPr>
          <w:rFonts w:asciiTheme="minorHAnsi" w:hAnsiTheme="minorHAnsi"/>
          <w:lang w:val="sq-AL"/>
        </w:rPr>
        <w:t>Parashikimi i rritjes ekonomike për vitin 2017 mbetet i njëjtë me atë fillestar prej  3.8 përqind nga 3.46 përqind që shënonte në 2016. Perspektiva ekonomike pritet të vijojë përmirësimin në periudhën afatmesme. Rritja ekonomike pritet të vijojë përshpejtimin e saj e gjeneruar në masën më të madhe prej kërkesës së brendshme. Investimet, veçanërisht ato të huaja direkte si dhe konsumi, pritet të jenë gjeneratorët kryesorë të rritjes. Pritshmëritë për rritjen e mëtejshme të kërkesës për investime reflektojnë edhe përmirësimin aktual të normave të shfrytëzimit të kapaciteteve prodhuese. Rritja e konsumit privat pritet të vazhdojë të jetë në nivele relativisht të larta pozitive, duke reflektuar besimin e përmirësuar të konsumatorëve. Rritja e konsumit privat pritet të mbështetet edhe nga përmirësimet në tregun e punës me efekte pozitive në rritjen e të ardhurave të individëve. Në të njëjtën kohë, edhe huadhënia për konsum parashikohet të ruajë trendin rritës, duke reflektuar si përmirësimin e financave të individëve, ashtu edhe lehtësimin e standardeve të kredidhënies nga sistemi bankar.</w:t>
      </w:r>
    </w:p>
    <w:p w:rsidR="000F7EE0" w:rsidRPr="000F7EE0" w:rsidRDefault="000F7EE0" w:rsidP="000F7EE0">
      <w:pPr>
        <w:spacing w:before="120" w:after="120" w:line="276" w:lineRule="auto"/>
        <w:jc w:val="both"/>
        <w:rPr>
          <w:rFonts w:asciiTheme="minorHAnsi" w:hAnsiTheme="minorHAnsi"/>
          <w:lang w:val="sq-AL"/>
        </w:rPr>
      </w:pPr>
      <w:r w:rsidRPr="000F7EE0">
        <w:rPr>
          <w:rFonts w:asciiTheme="minorHAnsi" w:hAnsiTheme="minorHAnsi"/>
          <w:lang w:val="sq-AL"/>
        </w:rPr>
        <w:t>Eksporti i mallrave, në reflektim edhe të tendencës së çmimeve ndërkombëtare të naftës bruto dhe mineraleve, pritet të ruajë ritmet e rritjes relativisht të larta të rezultuara gjatë katër muajve të parë të vitit, në linjë kjo me supozimet fillestare. Në të njëjtën kohë edhe eksporti i shërbimeve pritet të vijojë në linjë me parashikimet fillestare i udhëhequr nga eksporti i shërbimeve turistike.</w:t>
      </w:r>
    </w:p>
    <w:p w:rsidR="000F7EE0" w:rsidRPr="000F7EE0" w:rsidRDefault="000F7EE0" w:rsidP="000F7EE0">
      <w:pPr>
        <w:spacing w:before="120" w:after="120" w:line="276" w:lineRule="auto"/>
        <w:jc w:val="both"/>
        <w:rPr>
          <w:rFonts w:asciiTheme="minorHAnsi" w:hAnsiTheme="minorHAnsi"/>
          <w:lang w:val="sq-AL"/>
        </w:rPr>
      </w:pPr>
      <w:r w:rsidRPr="000F7EE0">
        <w:rPr>
          <w:rFonts w:asciiTheme="minorHAnsi" w:hAnsiTheme="minorHAnsi"/>
          <w:lang w:val="sq-AL"/>
        </w:rPr>
        <w:t>Kërkesa totale e sektorit publik do të vijojë të jetë disi e kufizuar si rezultat i konsolidimit fiskal. Megjithatë, konsolidimi fiskal do vijojë të reduktojë në mënyrë të konsiderueshme primet e risqeve dhe do të krijojë më shumë hapësira për aktivitetin ekonomik të sektorit privat. Në të njëjtën kohë, politikat buxhetore të planifikuara për këtë vit janë në mbështetje të rritjes ekonomike si nëpërmjet konsumit ashtu edhe investimeve dhe kjo pritet të balancojnë në një masë të caktuar efektet shtrënguese të konsolidimit fiskal.</w:t>
      </w:r>
    </w:p>
    <w:p w:rsidR="000F7EE0" w:rsidRPr="000F7EE0" w:rsidRDefault="000F7EE0" w:rsidP="000F7EE0">
      <w:pPr>
        <w:spacing w:before="120" w:after="120" w:line="276" w:lineRule="auto"/>
        <w:jc w:val="both"/>
        <w:rPr>
          <w:rFonts w:asciiTheme="minorHAnsi" w:hAnsiTheme="minorHAnsi"/>
          <w:lang w:val="sq-AL"/>
        </w:rPr>
      </w:pPr>
      <w:r w:rsidRPr="000F7EE0">
        <w:rPr>
          <w:rFonts w:asciiTheme="minorHAnsi" w:hAnsiTheme="minorHAnsi"/>
          <w:lang w:val="sq-AL"/>
        </w:rPr>
        <w:t xml:space="preserve">Rritja ekonomike pritet të gjenerojë një nivel relativisht të lartë punësimi, veçanërisht në periudhën afatmesme, pasi sektorët e prodhimit me intensitet të lartë të forcës së punës pritet të performojnë më mirë se të tjerët. Inflacioni pritet të shkojë drejt normës prej 2.3% për vitin 2017. Presionet e brendshme inflacioniste priten të përshpejtohen, si rezultat i rritjes së konsumit privat dhe investimeve, që do të mbështesin një ritëm më të shpejtë të rritjes ekonomike. Për më tepër, kërkesa agregate dhe inflacioni në mjedisin ndërkombëtar pritet të kenë një efekt dis-inflacionist në një masë më të vogël për periudhën afatmesme në vijim. </w:t>
      </w:r>
    </w:p>
    <w:p w:rsidR="000F7EE0" w:rsidRPr="000F7EE0" w:rsidRDefault="000F7EE0" w:rsidP="000F7EE0">
      <w:pPr>
        <w:spacing w:before="120" w:after="120" w:line="276" w:lineRule="auto"/>
        <w:jc w:val="both"/>
        <w:rPr>
          <w:rFonts w:asciiTheme="minorHAnsi" w:hAnsiTheme="minorHAnsi"/>
          <w:i/>
          <w:lang w:val="sq-AL"/>
        </w:rPr>
      </w:pPr>
      <w:r w:rsidRPr="000F7EE0">
        <w:rPr>
          <w:rFonts w:asciiTheme="minorHAnsi" w:hAnsiTheme="minorHAnsi"/>
          <w:i/>
          <w:lang w:val="sq-AL"/>
        </w:rPr>
        <w:t xml:space="preserve">Shënim: Një prezantim më i hollësishëm i zhvillimeve dhe pritshmërive ekonomike gjendet në </w:t>
      </w:r>
      <w:r w:rsidR="00B0157D">
        <w:rPr>
          <w:rFonts w:asciiTheme="minorHAnsi" w:hAnsiTheme="minorHAnsi"/>
          <w:i/>
          <w:lang w:val="sq-AL"/>
        </w:rPr>
        <w:t>A</w:t>
      </w:r>
      <w:r w:rsidRPr="000F7EE0">
        <w:rPr>
          <w:rFonts w:asciiTheme="minorHAnsi" w:hAnsiTheme="minorHAnsi"/>
          <w:i/>
          <w:lang w:val="sq-AL"/>
        </w:rPr>
        <w:t xml:space="preserve">neksin </w:t>
      </w:r>
      <w:r w:rsidR="00B0157D">
        <w:rPr>
          <w:rFonts w:asciiTheme="minorHAnsi" w:hAnsiTheme="minorHAnsi"/>
          <w:i/>
          <w:lang w:val="sq-AL"/>
        </w:rPr>
        <w:t>përkatës, në fund të</w:t>
      </w:r>
      <w:r w:rsidRPr="000F7EE0">
        <w:rPr>
          <w:rFonts w:asciiTheme="minorHAnsi" w:hAnsiTheme="minorHAnsi"/>
          <w:i/>
          <w:lang w:val="sq-AL"/>
        </w:rPr>
        <w:t xml:space="preserve"> këtij raporti.</w:t>
      </w:r>
    </w:p>
    <w:p w:rsidR="00AB4E09" w:rsidRPr="00444289" w:rsidRDefault="00AB4E09" w:rsidP="00A40986">
      <w:pPr>
        <w:pStyle w:val="Heading1"/>
        <w:numPr>
          <w:ilvl w:val="0"/>
          <w:numId w:val="7"/>
        </w:numPr>
        <w:spacing w:line="276" w:lineRule="auto"/>
        <w:ind w:left="720"/>
        <w:rPr>
          <w:rFonts w:asciiTheme="minorHAnsi" w:hAnsiTheme="minorHAnsi"/>
          <w:noProof/>
          <w:color w:val="365F91" w:themeColor="accent1" w:themeShade="BF"/>
          <w:sz w:val="32"/>
          <w:szCs w:val="24"/>
          <w:lang w:val="sq-AL"/>
        </w:rPr>
      </w:pPr>
      <w:bookmarkStart w:id="5" w:name="_Toc486582878"/>
      <w:r w:rsidRPr="00444289">
        <w:rPr>
          <w:rFonts w:asciiTheme="minorHAnsi" w:hAnsiTheme="minorHAnsi"/>
          <w:noProof/>
          <w:color w:val="365F91" w:themeColor="accent1" w:themeShade="BF"/>
          <w:sz w:val="32"/>
          <w:szCs w:val="24"/>
          <w:lang w:val="sq-AL"/>
        </w:rPr>
        <w:t>POLITIKA FISKALE</w:t>
      </w:r>
      <w:bookmarkEnd w:id="5"/>
      <w:r w:rsidRPr="00444289">
        <w:rPr>
          <w:rFonts w:asciiTheme="minorHAnsi" w:hAnsiTheme="minorHAnsi"/>
          <w:noProof/>
          <w:color w:val="365F91" w:themeColor="accent1" w:themeShade="BF"/>
          <w:sz w:val="32"/>
          <w:szCs w:val="24"/>
          <w:lang w:val="sq-AL"/>
        </w:rPr>
        <w:t xml:space="preserve"> </w:t>
      </w:r>
    </w:p>
    <w:p w:rsidR="00AB4E09" w:rsidRPr="00444289" w:rsidRDefault="005F249C" w:rsidP="00A40986">
      <w:pPr>
        <w:pStyle w:val="Heading2"/>
        <w:spacing w:line="276" w:lineRule="auto"/>
        <w:rPr>
          <w:rFonts w:asciiTheme="minorHAnsi" w:hAnsiTheme="minorHAnsi"/>
          <w:noProof/>
          <w:color w:val="4F81BD" w:themeColor="accent1"/>
          <w:sz w:val="28"/>
          <w:szCs w:val="24"/>
          <w:lang w:val="sq-AL"/>
        </w:rPr>
      </w:pPr>
      <w:bookmarkStart w:id="6" w:name="_Toc486582879"/>
      <w:r w:rsidRPr="00BF12EE">
        <w:rPr>
          <w:rFonts w:asciiTheme="minorHAnsi" w:hAnsiTheme="minorHAnsi"/>
          <w:noProof/>
          <w:color w:val="4F81BD" w:themeColor="accent1"/>
          <w:sz w:val="28"/>
          <w:szCs w:val="24"/>
          <w:lang w:val="sq-AL"/>
        </w:rPr>
        <w:t>II.1</w:t>
      </w:r>
      <w:r w:rsidRPr="00BF12EE">
        <w:rPr>
          <w:rFonts w:asciiTheme="minorHAnsi" w:hAnsiTheme="minorHAnsi"/>
          <w:noProof/>
          <w:color w:val="4F81BD" w:themeColor="accent1"/>
          <w:sz w:val="28"/>
          <w:szCs w:val="24"/>
          <w:lang w:val="sq-AL"/>
        </w:rPr>
        <w:tab/>
      </w:r>
      <w:r w:rsidR="0094558D" w:rsidRPr="00BF12EE">
        <w:rPr>
          <w:rFonts w:asciiTheme="minorHAnsi" w:hAnsiTheme="minorHAnsi"/>
          <w:noProof/>
          <w:color w:val="4F81BD" w:themeColor="accent1"/>
          <w:sz w:val="28"/>
          <w:szCs w:val="24"/>
          <w:lang w:val="sq-AL"/>
        </w:rPr>
        <w:t xml:space="preserve">Performanca </w:t>
      </w:r>
      <w:r w:rsidR="00AB4E09" w:rsidRPr="00BF12EE">
        <w:rPr>
          <w:rFonts w:asciiTheme="minorHAnsi" w:hAnsiTheme="minorHAnsi"/>
          <w:noProof/>
          <w:color w:val="4F81BD" w:themeColor="accent1"/>
          <w:sz w:val="28"/>
          <w:szCs w:val="24"/>
          <w:lang w:val="sq-AL"/>
        </w:rPr>
        <w:t xml:space="preserve">fiskale </w:t>
      </w:r>
      <w:r w:rsidR="00E40045" w:rsidRPr="00BF12EE">
        <w:rPr>
          <w:rFonts w:asciiTheme="minorHAnsi" w:hAnsiTheme="minorHAnsi"/>
          <w:noProof/>
          <w:color w:val="4F81BD" w:themeColor="accent1"/>
          <w:sz w:val="28"/>
          <w:szCs w:val="24"/>
          <w:lang w:val="sq-AL"/>
        </w:rPr>
        <w:t>për periudhën janar-maj 2017</w:t>
      </w:r>
      <w:bookmarkEnd w:id="6"/>
      <w:r w:rsidR="00E40045" w:rsidRPr="00444289">
        <w:rPr>
          <w:rFonts w:asciiTheme="minorHAnsi" w:hAnsiTheme="minorHAnsi"/>
          <w:noProof/>
          <w:color w:val="4F81BD" w:themeColor="accent1"/>
          <w:sz w:val="28"/>
          <w:szCs w:val="24"/>
          <w:lang w:val="sq-AL"/>
        </w:rPr>
        <w:t xml:space="preserve"> </w:t>
      </w:r>
    </w:p>
    <w:p w:rsidR="00BF12EE" w:rsidRPr="00BF12EE" w:rsidRDefault="00BF12EE" w:rsidP="00BF12EE">
      <w:pPr>
        <w:spacing w:line="276" w:lineRule="auto"/>
        <w:jc w:val="both"/>
        <w:rPr>
          <w:rFonts w:asciiTheme="minorHAnsi" w:hAnsiTheme="minorHAnsi"/>
          <w:lang w:val="sq-AL"/>
        </w:rPr>
      </w:pPr>
      <w:r w:rsidRPr="00BF12EE">
        <w:rPr>
          <w:rFonts w:asciiTheme="minorHAnsi" w:hAnsiTheme="minorHAnsi"/>
          <w:b/>
          <w:lang w:val="sq-AL"/>
        </w:rPr>
        <w:t>Të ardhurat nga “Tatime dhe Dogana”</w:t>
      </w:r>
      <w:r w:rsidRPr="00BF12EE">
        <w:rPr>
          <w:rFonts w:asciiTheme="minorHAnsi" w:hAnsiTheme="minorHAnsi"/>
          <w:lang w:val="sq-AL"/>
        </w:rPr>
        <w:t xml:space="preserve"> (</w:t>
      </w:r>
      <w:r w:rsidRPr="00BF12EE">
        <w:rPr>
          <w:rFonts w:asciiTheme="minorHAnsi" w:hAnsiTheme="minorHAnsi"/>
          <w:i/>
          <w:lang w:val="sq-AL"/>
        </w:rPr>
        <w:t>përfshirë kontributet e mbledhura nga DPT</w:t>
      </w:r>
      <w:r w:rsidRPr="00BF12EE">
        <w:rPr>
          <w:rFonts w:asciiTheme="minorHAnsi" w:hAnsiTheme="minorHAnsi"/>
          <w:lang w:val="sq-AL"/>
        </w:rPr>
        <w:t>)  për 5 mujorin 2017, u realizuan në vlerën 152.3 miliard lekë, 10.8 miliard lekë ose 7.6%  më shumë se 5 mujori i vitit 2016 dhe  9.9 miliard lekë ose 7% më shumë se plani.</w:t>
      </w:r>
    </w:p>
    <w:p w:rsidR="00BF12EE" w:rsidRPr="00BF12EE" w:rsidRDefault="00BF12EE" w:rsidP="00BF12EE">
      <w:pPr>
        <w:spacing w:line="276" w:lineRule="auto"/>
        <w:rPr>
          <w:rFonts w:asciiTheme="minorHAnsi" w:eastAsia="SimSun" w:hAnsiTheme="minorHAnsi"/>
          <w:i/>
          <w:sz w:val="8"/>
          <w:lang w:val="sq-AL"/>
        </w:rPr>
      </w:pPr>
    </w:p>
    <w:p w:rsidR="00BF12EE" w:rsidRDefault="00BF12EE" w:rsidP="00BF12EE">
      <w:pPr>
        <w:spacing w:line="276" w:lineRule="auto"/>
        <w:jc w:val="both"/>
        <w:rPr>
          <w:rFonts w:asciiTheme="minorHAnsi" w:hAnsiTheme="minorHAnsi"/>
          <w:lang w:val="sq-AL"/>
        </w:rPr>
      </w:pPr>
      <w:r w:rsidRPr="007138C5">
        <w:rPr>
          <w:rFonts w:asciiTheme="minorHAnsi" w:eastAsia="SimSun" w:hAnsiTheme="minorHAnsi"/>
          <w:i/>
          <w:lang w:val="sq-AL"/>
        </w:rPr>
        <w:t xml:space="preserve">Tabela </w:t>
      </w:r>
      <w:r w:rsidR="006F3FDF">
        <w:rPr>
          <w:rFonts w:asciiTheme="minorHAnsi" w:eastAsia="SimSun" w:hAnsiTheme="minorHAnsi"/>
          <w:i/>
          <w:lang w:val="sq-AL"/>
        </w:rPr>
        <w:t>1</w:t>
      </w:r>
      <w:r w:rsidRPr="007138C5">
        <w:rPr>
          <w:rFonts w:asciiTheme="minorHAnsi" w:eastAsia="SimSun" w:hAnsiTheme="minorHAnsi"/>
          <w:i/>
          <w:lang w:val="sq-AL"/>
        </w:rPr>
        <w:t>:</w:t>
      </w:r>
      <w:r w:rsidRPr="007138C5">
        <w:rPr>
          <w:rFonts w:asciiTheme="minorHAnsi" w:eastAsia="SimSun" w:hAnsiTheme="minorHAnsi"/>
          <w:i/>
          <w:lang w:val="sq-AL"/>
        </w:rPr>
        <w:tab/>
      </w:r>
      <w:r w:rsidRPr="00BF12EE">
        <w:rPr>
          <w:rFonts w:asciiTheme="minorHAnsi" w:hAnsiTheme="minorHAnsi"/>
          <w:lang w:val="sq-AL"/>
        </w:rPr>
        <w:t xml:space="preserve">Të ardhurat Tatime &amp; Dogana </w:t>
      </w:r>
      <w:r>
        <w:rPr>
          <w:rFonts w:asciiTheme="minorHAnsi" w:hAnsiTheme="minorHAnsi"/>
          <w:lang w:val="sq-AL"/>
        </w:rPr>
        <w:t>p</w:t>
      </w:r>
      <w:r w:rsidR="00E67B09">
        <w:rPr>
          <w:rFonts w:asciiTheme="minorHAnsi" w:hAnsiTheme="minorHAnsi"/>
          <w:lang w:val="sq-AL"/>
        </w:rPr>
        <w:t>ë</w:t>
      </w:r>
      <w:r>
        <w:rPr>
          <w:rFonts w:asciiTheme="minorHAnsi" w:hAnsiTheme="minorHAnsi"/>
          <w:lang w:val="sq-AL"/>
        </w:rPr>
        <w:t xml:space="preserve">r </w:t>
      </w:r>
      <w:r w:rsidRPr="00BF12EE">
        <w:rPr>
          <w:rFonts w:asciiTheme="minorHAnsi" w:hAnsiTheme="minorHAnsi"/>
          <w:lang w:val="sq-AL"/>
        </w:rPr>
        <w:t>Janar – Maj 2017 (</w:t>
      </w:r>
      <w:r>
        <w:rPr>
          <w:rFonts w:asciiTheme="minorHAnsi" w:hAnsiTheme="minorHAnsi"/>
          <w:lang w:val="sq-AL"/>
        </w:rPr>
        <w:t>n</w:t>
      </w:r>
      <w:r w:rsidR="00E67B09">
        <w:rPr>
          <w:rFonts w:asciiTheme="minorHAnsi" w:hAnsiTheme="minorHAnsi"/>
          <w:lang w:val="sq-AL"/>
        </w:rPr>
        <w:t>ë</w:t>
      </w:r>
      <w:r>
        <w:rPr>
          <w:rFonts w:asciiTheme="minorHAnsi" w:hAnsiTheme="minorHAnsi"/>
          <w:lang w:val="sq-AL"/>
        </w:rPr>
        <w:t xml:space="preserve"> </w:t>
      </w:r>
      <w:r w:rsidRPr="00BF12EE">
        <w:rPr>
          <w:rFonts w:asciiTheme="minorHAnsi" w:hAnsiTheme="minorHAnsi"/>
          <w:lang w:val="sq-AL"/>
        </w:rPr>
        <w:t>milion lekë)</w:t>
      </w:r>
    </w:p>
    <w:tbl>
      <w:tblPr>
        <w:tblW w:w="7920" w:type="dxa"/>
        <w:jc w:val="center"/>
        <w:tblCellMar>
          <w:left w:w="0" w:type="dxa"/>
          <w:right w:w="0" w:type="dxa"/>
        </w:tblCellMar>
        <w:tblLook w:val="0600" w:firstRow="0" w:lastRow="0" w:firstColumn="0" w:lastColumn="0" w:noHBand="1" w:noVBand="1"/>
      </w:tblPr>
      <w:tblGrid>
        <w:gridCol w:w="2214"/>
        <w:gridCol w:w="663"/>
        <w:gridCol w:w="663"/>
        <w:gridCol w:w="663"/>
        <w:gridCol w:w="778"/>
        <w:gridCol w:w="854"/>
        <w:gridCol w:w="915"/>
        <w:gridCol w:w="1170"/>
      </w:tblGrid>
      <w:tr w:rsidR="00BF12EE" w:rsidRPr="009C40B4" w:rsidTr="00ED27F1">
        <w:trPr>
          <w:trHeight w:val="352"/>
          <w:jc w:val="center"/>
        </w:trPr>
        <w:tc>
          <w:tcPr>
            <w:tcW w:w="2214"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Lloji i taksave</w:t>
            </w:r>
          </w:p>
        </w:tc>
        <w:tc>
          <w:tcPr>
            <w:tcW w:w="663"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Default="00BF12EE" w:rsidP="00ED27F1">
            <w:pPr>
              <w:jc w:val="center"/>
              <w:rPr>
                <w:b/>
                <w:bCs/>
                <w:i/>
                <w:iCs/>
                <w:sz w:val="16"/>
                <w:szCs w:val="16"/>
              </w:rPr>
            </w:pPr>
            <w:r>
              <w:rPr>
                <w:b/>
                <w:bCs/>
                <w:i/>
                <w:iCs/>
                <w:sz w:val="16"/>
                <w:szCs w:val="16"/>
              </w:rPr>
              <w:t>Fakti</w:t>
            </w:r>
          </w:p>
          <w:p w:rsidR="00BF12EE" w:rsidRPr="009C40B4" w:rsidRDefault="00BF12EE" w:rsidP="00ED27F1">
            <w:pPr>
              <w:jc w:val="center"/>
              <w:rPr>
                <w:sz w:val="16"/>
                <w:szCs w:val="16"/>
              </w:rPr>
            </w:pPr>
            <w:r>
              <w:rPr>
                <w:b/>
                <w:bCs/>
                <w:i/>
                <w:iCs/>
                <w:sz w:val="16"/>
                <w:szCs w:val="16"/>
              </w:rPr>
              <w:t xml:space="preserve">5M </w:t>
            </w:r>
            <w:r w:rsidRPr="009C40B4">
              <w:rPr>
                <w:b/>
                <w:bCs/>
                <w:i/>
                <w:iCs/>
                <w:sz w:val="16"/>
                <w:szCs w:val="16"/>
              </w:rPr>
              <w:t>2016</w:t>
            </w:r>
          </w:p>
        </w:tc>
        <w:tc>
          <w:tcPr>
            <w:tcW w:w="663"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Default="00BF12EE" w:rsidP="00ED27F1">
            <w:pPr>
              <w:jc w:val="center"/>
              <w:rPr>
                <w:b/>
                <w:bCs/>
                <w:i/>
                <w:iCs/>
                <w:sz w:val="16"/>
                <w:szCs w:val="16"/>
              </w:rPr>
            </w:pPr>
            <w:r w:rsidRPr="009C40B4">
              <w:rPr>
                <w:b/>
                <w:bCs/>
                <w:i/>
                <w:iCs/>
                <w:sz w:val="16"/>
                <w:szCs w:val="16"/>
              </w:rPr>
              <w:t>Fakti</w:t>
            </w:r>
          </w:p>
          <w:p w:rsidR="00BF12EE" w:rsidRPr="009C40B4" w:rsidRDefault="00BF12EE" w:rsidP="00ED27F1">
            <w:pPr>
              <w:jc w:val="center"/>
              <w:rPr>
                <w:sz w:val="16"/>
                <w:szCs w:val="16"/>
              </w:rPr>
            </w:pPr>
            <w:r w:rsidRPr="009C40B4">
              <w:rPr>
                <w:b/>
                <w:bCs/>
                <w:i/>
                <w:iCs/>
                <w:sz w:val="16"/>
                <w:szCs w:val="16"/>
              </w:rPr>
              <w:t>5</w:t>
            </w:r>
            <w:r>
              <w:rPr>
                <w:b/>
                <w:bCs/>
                <w:i/>
                <w:iCs/>
                <w:sz w:val="16"/>
                <w:szCs w:val="16"/>
              </w:rPr>
              <w:t xml:space="preserve">M </w:t>
            </w:r>
            <w:r w:rsidRPr="009C40B4">
              <w:rPr>
                <w:b/>
                <w:bCs/>
                <w:i/>
                <w:iCs/>
                <w:sz w:val="16"/>
                <w:szCs w:val="16"/>
              </w:rPr>
              <w:t>2017</w:t>
            </w:r>
          </w:p>
        </w:tc>
        <w:tc>
          <w:tcPr>
            <w:tcW w:w="663"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Default="00BF12EE" w:rsidP="00ED27F1">
            <w:pPr>
              <w:jc w:val="center"/>
              <w:rPr>
                <w:b/>
                <w:bCs/>
                <w:i/>
                <w:iCs/>
                <w:sz w:val="16"/>
                <w:szCs w:val="16"/>
              </w:rPr>
            </w:pPr>
            <w:r>
              <w:rPr>
                <w:b/>
                <w:bCs/>
                <w:i/>
                <w:iCs/>
                <w:sz w:val="16"/>
                <w:szCs w:val="16"/>
              </w:rPr>
              <w:t>Plan</w:t>
            </w:r>
          </w:p>
          <w:p w:rsidR="00BF12EE" w:rsidRPr="009C40B4" w:rsidRDefault="00BF12EE" w:rsidP="00ED27F1">
            <w:pPr>
              <w:jc w:val="center"/>
              <w:rPr>
                <w:sz w:val="16"/>
                <w:szCs w:val="16"/>
              </w:rPr>
            </w:pPr>
            <w:r>
              <w:rPr>
                <w:b/>
                <w:bCs/>
                <w:i/>
                <w:iCs/>
                <w:sz w:val="16"/>
                <w:szCs w:val="16"/>
              </w:rPr>
              <w:t xml:space="preserve">5M </w:t>
            </w:r>
            <w:r w:rsidRPr="009C40B4">
              <w:rPr>
                <w:b/>
                <w:bCs/>
                <w:i/>
                <w:iCs/>
                <w:sz w:val="16"/>
                <w:szCs w:val="16"/>
              </w:rPr>
              <w:t>2017</w:t>
            </w:r>
          </w:p>
        </w:tc>
        <w:tc>
          <w:tcPr>
            <w:tcW w:w="778"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Default="00BF12EE" w:rsidP="00ED27F1">
            <w:pPr>
              <w:jc w:val="center"/>
              <w:rPr>
                <w:b/>
                <w:bCs/>
                <w:i/>
                <w:iCs/>
                <w:sz w:val="16"/>
                <w:szCs w:val="16"/>
              </w:rPr>
            </w:pPr>
            <w:r w:rsidRPr="009C40B4">
              <w:rPr>
                <w:b/>
                <w:bCs/>
                <w:i/>
                <w:iCs/>
                <w:sz w:val="16"/>
                <w:szCs w:val="16"/>
              </w:rPr>
              <w:t>Diferenca</w:t>
            </w:r>
          </w:p>
          <w:p w:rsidR="00BF12EE" w:rsidRPr="009C40B4" w:rsidRDefault="00BF12EE" w:rsidP="00ED27F1">
            <w:pPr>
              <w:jc w:val="center"/>
              <w:rPr>
                <w:sz w:val="16"/>
                <w:szCs w:val="16"/>
              </w:rPr>
            </w:pPr>
            <w:r w:rsidRPr="009C40B4">
              <w:rPr>
                <w:b/>
                <w:bCs/>
                <w:i/>
                <w:iCs/>
                <w:sz w:val="16"/>
                <w:szCs w:val="16"/>
              </w:rPr>
              <w:t>2017/2016</w:t>
            </w:r>
          </w:p>
        </w:tc>
        <w:tc>
          <w:tcPr>
            <w:tcW w:w="854"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Default="00BF12EE" w:rsidP="00ED27F1">
            <w:pPr>
              <w:jc w:val="center"/>
              <w:rPr>
                <w:b/>
                <w:bCs/>
                <w:i/>
                <w:iCs/>
                <w:sz w:val="16"/>
                <w:szCs w:val="16"/>
              </w:rPr>
            </w:pPr>
            <w:r w:rsidRPr="009C40B4">
              <w:rPr>
                <w:b/>
                <w:bCs/>
                <w:i/>
                <w:iCs/>
                <w:sz w:val="16"/>
                <w:szCs w:val="16"/>
              </w:rPr>
              <w:t>Ndryshimi</w:t>
            </w:r>
          </w:p>
          <w:p w:rsidR="00BF12EE" w:rsidRDefault="00BF12EE" w:rsidP="00ED27F1">
            <w:pPr>
              <w:jc w:val="center"/>
              <w:rPr>
                <w:b/>
                <w:bCs/>
                <w:i/>
                <w:iCs/>
                <w:sz w:val="16"/>
                <w:szCs w:val="16"/>
              </w:rPr>
            </w:pPr>
            <w:r w:rsidRPr="009C40B4">
              <w:rPr>
                <w:b/>
                <w:bCs/>
                <w:i/>
                <w:iCs/>
                <w:sz w:val="16"/>
                <w:szCs w:val="16"/>
              </w:rPr>
              <w:t>në  %</w:t>
            </w:r>
          </w:p>
          <w:p w:rsidR="00BF12EE" w:rsidRPr="009C40B4" w:rsidRDefault="00BF12EE" w:rsidP="00ED27F1">
            <w:pPr>
              <w:jc w:val="center"/>
              <w:rPr>
                <w:sz w:val="16"/>
                <w:szCs w:val="16"/>
              </w:rPr>
            </w:pPr>
            <w:r w:rsidRPr="009C40B4">
              <w:rPr>
                <w:b/>
                <w:bCs/>
                <w:i/>
                <w:iCs/>
                <w:sz w:val="16"/>
                <w:szCs w:val="16"/>
              </w:rPr>
              <w:t>2017/2016</w:t>
            </w:r>
          </w:p>
        </w:tc>
        <w:tc>
          <w:tcPr>
            <w:tcW w:w="915"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Default="00BF12EE" w:rsidP="00ED27F1">
            <w:pPr>
              <w:jc w:val="center"/>
              <w:rPr>
                <w:b/>
                <w:bCs/>
                <w:i/>
                <w:iCs/>
                <w:sz w:val="16"/>
                <w:szCs w:val="16"/>
              </w:rPr>
            </w:pPr>
            <w:r w:rsidRPr="009C40B4">
              <w:rPr>
                <w:b/>
                <w:bCs/>
                <w:i/>
                <w:iCs/>
                <w:sz w:val="16"/>
                <w:szCs w:val="16"/>
              </w:rPr>
              <w:t>Diferenca</w:t>
            </w:r>
          </w:p>
          <w:p w:rsidR="00BF12EE" w:rsidRDefault="00BF12EE" w:rsidP="00ED27F1">
            <w:pPr>
              <w:jc w:val="center"/>
              <w:rPr>
                <w:b/>
                <w:bCs/>
                <w:i/>
                <w:iCs/>
                <w:sz w:val="16"/>
                <w:szCs w:val="16"/>
              </w:rPr>
            </w:pPr>
            <w:r w:rsidRPr="009C40B4">
              <w:rPr>
                <w:b/>
                <w:bCs/>
                <w:i/>
                <w:iCs/>
                <w:sz w:val="16"/>
                <w:szCs w:val="16"/>
              </w:rPr>
              <w:t>Fakt/ Plan</w:t>
            </w:r>
          </w:p>
          <w:p w:rsidR="00BF12EE" w:rsidRPr="009C40B4" w:rsidRDefault="00BF12EE" w:rsidP="00ED27F1">
            <w:pPr>
              <w:jc w:val="center"/>
              <w:rPr>
                <w:sz w:val="16"/>
                <w:szCs w:val="16"/>
              </w:rPr>
            </w:pPr>
            <w:r w:rsidRPr="009C40B4">
              <w:rPr>
                <w:b/>
                <w:bCs/>
                <w:i/>
                <w:iCs/>
                <w:sz w:val="16"/>
                <w:szCs w:val="16"/>
              </w:rPr>
              <w:t>2017</w:t>
            </w:r>
          </w:p>
        </w:tc>
        <w:tc>
          <w:tcPr>
            <w:tcW w:w="1170"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Default="00BF12EE" w:rsidP="00ED27F1">
            <w:pPr>
              <w:jc w:val="center"/>
              <w:rPr>
                <w:b/>
                <w:bCs/>
                <w:i/>
                <w:iCs/>
                <w:sz w:val="16"/>
                <w:szCs w:val="16"/>
              </w:rPr>
            </w:pPr>
            <w:r w:rsidRPr="009C40B4">
              <w:rPr>
                <w:b/>
                <w:bCs/>
                <w:i/>
                <w:iCs/>
                <w:sz w:val="16"/>
                <w:szCs w:val="16"/>
              </w:rPr>
              <w:t>Ndryshimi</w:t>
            </w:r>
          </w:p>
          <w:p w:rsidR="00BF12EE" w:rsidRDefault="00BF12EE" w:rsidP="00ED27F1">
            <w:pPr>
              <w:jc w:val="center"/>
              <w:rPr>
                <w:b/>
                <w:bCs/>
                <w:i/>
                <w:iCs/>
                <w:sz w:val="16"/>
                <w:szCs w:val="16"/>
              </w:rPr>
            </w:pPr>
            <w:r w:rsidRPr="009C40B4">
              <w:rPr>
                <w:b/>
                <w:bCs/>
                <w:i/>
                <w:iCs/>
                <w:sz w:val="16"/>
                <w:szCs w:val="16"/>
              </w:rPr>
              <w:t>në %</w:t>
            </w:r>
          </w:p>
          <w:p w:rsidR="00BF12EE" w:rsidRPr="009C40B4" w:rsidRDefault="00BF12EE" w:rsidP="00ED27F1">
            <w:pPr>
              <w:jc w:val="center"/>
              <w:rPr>
                <w:sz w:val="16"/>
                <w:szCs w:val="16"/>
              </w:rPr>
            </w:pPr>
            <w:r w:rsidRPr="009C40B4">
              <w:rPr>
                <w:b/>
                <w:bCs/>
                <w:i/>
                <w:iCs/>
                <w:sz w:val="16"/>
                <w:szCs w:val="16"/>
              </w:rPr>
              <w:t>Fakt/Plan 2017</w:t>
            </w:r>
          </w:p>
        </w:tc>
      </w:tr>
      <w:tr w:rsidR="00BF12EE" w:rsidRPr="009C40B4" w:rsidTr="00ED27F1">
        <w:trPr>
          <w:trHeight w:val="275"/>
          <w:jc w:val="center"/>
        </w:trPr>
        <w:tc>
          <w:tcPr>
            <w:tcW w:w="221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rPr>
              <w:t>Tvsh në import</w:t>
            </w:r>
          </w:p>
        </w:tc>
        <w:tc>
          <w:tcPr>
            <w:tcW w:w="66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37,071</w:t>
            </w:r>
          </w:p>
        </w:tc>
        <w:tc>
          <w:tcPr>
            <w:tcW w:w="66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39,025</w:t>
            </w:r>
          </w:p>
        </w:tc>
        <w:tc>
          <w:tcPr>
            <w:tcW w:w="66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36,456</w:t>
            </w:r>
          </w:p>
        </w:tc>
        <w:tc>
          <w:tcPr>
            <w:tcW w:w="778"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1,954</w:t>
            </w:r>
          </w:p>
        </w:tc>
        <w:tc>
          <w:tcPr>
            <w:tcW w:w="854" w:type="dxa"/>
            <w:tcBorders>
              <w:top w:val="single" w:sz="8" w:space="0" w:color="000000"/>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5.27%</w:t>
            </w:r>
          </w:p>
        </w:tc>
        <w:tc>
          <w:tcPr>
            <w:tcW w:w="91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2,569</w:t>
            </w:r>
          </w:p>
        </w:tc>
        <w:tc>
          <w:tcPr>
            <w:tcW w:w="1170"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7.05%</w:t>
            </w:r>
          </w:p>
        </w:tc>
      </w:tr>
      <w:tr w:rsidR="00BF12EE" w:rsidRPr="009C40B4" w:rsidTr="00ED27F1">
        <w:trPr>
          <w:trHeight w:val="252"/>
          <w:jc w:val="center"/>
        </w:trPr>
        <w:tc>
          <w:tcPr>
            <w:tcW w:w="2214"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rPr>
              <w:t>Tvsh brenda vendit</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14,286</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14,720</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15,906</w:t>
            </w:r>
          </w:p>
        </w:tc>
        <w:tc>
          <w:tcPr>
            <w:tcW w:w="778"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434</w:t>
            </w:r>
          </w:p>
        </w:tc>
        <w:tc>
          <w:tcPr>
            <w:tcW w:w="854" w:type="dxa"/>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3.04%</w:t>
            </w:r>
          </w:p>
        </w:tc>
        <w:tc>
          <w:tcPr>
            <w:tcW w:w="915"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-1,186</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-7.46%</w:t>
            </w:r>
          </w:p>
        </w:tc>
      </w:tr>
      <w:tr w:rsidR="00BF12EE" w:rsidRPr="009C40B4" w:rsidTr="00ED27F1">
        <w:trPr>
          <w:trHeight w:val="244"/>
          <w:jc w:val="center"/>
        </w:trPr>
        <w:tc>
          <w:tcPr>
            <w:tcW w:w="2214"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rPr>
              <w:t>Tatimi mbi fitimi</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14,551</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15,326</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11,702</w:t>
            </w:r>
          </w:p>
        </w:tc>
        <w:tc>
          <w:tcPr>
            <w:tcW w:w="778"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775</w:t>
            </w:r>
          </w:p>
        </w:tc>
        <w:tc>
          <w:tcPr>
            <w:tcW w:w="854" w:type="dxa"/>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5.33%</w:t>
            </w:r>
          </w:p>
        </w:tc>
        <w:tc>
          <w:tcPr>
            <w:tcW w:w="915"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3,624</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30.97%</w:t>
            </w:r>
          </w:p>
        </w:tc>
      </w:tr>
      <w:tr w:rsidR="00BF12EE" w:rsidRPr="009C40B4" w:rsidTr="00ED27F1">
        <w:trPr>
          <w:trHeight w:val="244"/>
          <w:jc w:val="center"/>
        </w:trPr>
        <w:tc>
          <w:tcPr>
            <w:tcW w:w="2214"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rPr>
              <w:t>Akciza</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15,385</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16,779</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16,200</w:t>
            </w:r>
          </w:p>
        </w:tc>
        <w:tc>
          <w:tcPr>
            <w:tcW w:w="778"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1,394</w:t>
            </w:r>
          </w:p>
        </w:tc>
        <w:tc>
          <w:tcPr>
            <w:tcW w:w="854" w:type="dxa"/>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9.06%</w:t>
            </w:r>
          </w:p>
        </w:tc>
        <w:tc>
          <w:tcPr>
            <w:tcW w:w="915"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579</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3.57%</w:t>
            </w:r>
          </w:p>
        </w:tc>
      </w:tr>
      <w:tr w:rsidR="00BF12EE" w:rsidRPr="009C40B4" w:rsidTr="00ED27F1">
        <w:trPr>
          <w:trHeight w:val="244"/>
          <w:jc w:val="center"/>
        </w:trPr>
        <w:tc>
          <w:tcPr>
            <w:tcW w:w="2214"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lang w:val="it-IT"/>
              </w:rPr>
              <w:t>Tatimi mbi të ardhurat personale</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13,429</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12,914</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14,141</w:t>
            </w:r>
          </w:p>
        </w:tc>
        <w:tc>
          <w:tcPr>
            <w:tcW w:w="778"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-515</w:t>
            </w:r>
          </w:p>
        </w:tc>
        <w:tc>
          <w:tcPr>
            <w:tcW w:w="854" w:type="dxa"/>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-3.83%</w:t>
            </w:r>
          </w:p>
        </w:tc>
        <w:tc>
          <w:tcPr>
            <w:tcW w:w="915"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-1,227</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-8.68%</w:t>
            </w:r>
          </w:p>
        </w:tc>
      </w:tr>
      <w:tr w:rsidR="00BF12EE" w:rsidRPr="009C40B4" w:rsidTr="00ED27F1">
        <w:trPr>
          <w:trHeight w:val="244"/>
          <w:jc w:val="center"/>
        </w:trPr>
        <w:tc>
          <w:tcPr>
            <w:tcW w:w="2214"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rPr>
              <w:t>Taksat nacionale</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12,384</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16,407</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12,600</w:t>
            </w:r>
          </w:p>
        </w:tc>
        <w:tc>
          <w:tcPr>
            <w:tcW w:w="778"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4,023</w:t>
            </w:r>
          </w:p>
        </w:tc>
        <w:tc>
          <w:tcPr>
            <w:tcW w:w="854" w:type="dxa"/>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32.49%</w:t>
            </w:r>
          </w:p>
        </w:tc>
        <w:tc>
          <w:tcPr>
            <w:tcW w:w="915"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3,807</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30.21%</w:t>
            </w:r>
          </w:p>
        </w:tc>
      </w:tr>
      <w:tr w:rsidR="00BF12EE" w:rsidRPr="009C40B4" w:rsidTr="00ED27F1">
        <w:trPr>
          <w:trHeight w:val="244"/>
          <w:jc w:val="center"/>
        </w:trPr>
        <w:tc>
          <w:tcPr>
            <w:tcW w:w="2214"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rPr>
              <w:t>Renta</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902</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1,078</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836</w:t>
            </w:r>
          </w:p>
        </w:tc>
        <w:tc>
          <w:tcPr>
            <w:tcW w:w="778"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176</w:t>
            </w:r>
          </w:p>
        </w:tc>
        <w:tc>
          <w:tcPr>
            <w:tcW w:w="854" w:type="dxa"/>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19.51%</w:t>
            </w:r>
          </w:p>
        </w:tc>
        <w:tc>
          <w:tcPr>
            <w:tcW w:w="915"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242</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28.95%</w:t>
            </w:r>
          </w:p>
        </w:tc>
      </w:tr>
      <w:tr w:rsidR="00BF12EE" w:rsidRPr="009C40B4" w:rsidTr="00ED27F1">
        <w:trPr>
          <w:trHeight w:val="244"/>
          <w:jc w:val="center"/>
        </w:trPr>
        <w:tc>
          <w:tcPr>
            <w:tcW w:w="2214"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rPr>
              <w:t>Taksë doganore</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2,307</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2,476</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2,418</w:t>
            </w:r>
          </w:p>
        </w:tc>
        <w:tc>
          <w:tcPr>
            <w:tcW w:w="778"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169</w:t>
            </w:r>
          </w:p>
        </w:tc>
        <w:tc>
          <w:tcPr>
            <w:tcW w:w="854" w:type="dxa"/>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7.33%</w:t>
            </w:r>
          </w:p>
        </w:tc>
        <w:tc>
          <w:tcPr>
            <w:tcW w:w="915"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58</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sz w:val="16"/>
                <w:szCs w:val="16"/>
              </w:rPr>
              <w:t>2.40%</w:t>
            </w:r>
          </w:p>
        </w:tc>
      </w:tr>
      <w:tr w:rsidR="00BF12EE" w:rsidRPr="009C40B4" w:rsidTr="00ED27F1">
        <w:trPr>
          <w:trHeight w:val="244"/>
          <w:jc w:val="center"/>
        </w:trPr>
        <w:tc>
          <w:tcPr>
            <w:tcW w:w="2214"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Totali</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110,315</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118,725</w:t>
            </w:r>
          </w:p>
        </w:tc>
        <w:tc>
          <w:tcPr>
            <w:tcW w:w="663"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110,259</w:t>
            </w:r>
          </w:p>
        </w:tc>
        <w:tc>
          <w:tcPr>
            <w:tcW w:w="778"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8,410</w:t>
            </w:r>
          </w:p>
        </w:tc>
        <w:tc>
          <w:tcPr>
            <w:tcW w:w="854" w:type="dxa"/>
            <w:tcBorders>
              <w:top w:val="nil"/>
              <w:left w:val="nil"/>
              <w:bottom w:val="nil"/>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7.62%</w:t>
            </w:r>
          </w:p>
        </w:tc>
        <w:tc>
          <w:tcPr>
            <w:tcW w:w="915"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8,466</w:t>
            </w:r>
          </w:p>
        </w:tc>
        <w:tc>
          <w:tcPr>
            <w:tcW w:w="1170" w:type="dxa"/>
            <w:tcBorders>
              <w:top w:val="nil"/>
              <w:left w:val="nil"/>
              <w:bottom w:val="nil"/>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7.68%</w:t>
            </w:r>
          </w:p>
        </w:tc>
      </w:tr>
      <w:tr w:rsidR="00BF12EE" w:rsidRPr="009C40B4" w:rsidTr="00ED27F1">
        <w:trPr>
          <w:trHeight w:val="237"/>
          <w:jc w:val="center"/>
        </w:trPr>
        <w:tc>
          <w:tcPr>
            <w:tcW w:w="221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i/>
                <w:iCs/>
                <w:sz w:val="16"/>
                <w:szCs w:val="16"/>
              </w:rPr>
              <w:t>Kontributet e mbledhura (DPT)</w:t>
            </w:r>
          </w:p>
        </w:tc>
        <w:tc>
          <w:tcPr>
            <w:tcW w:w="66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31,168</w:t>
            </w:r>
          </w:p>
        </w:tc>
        <w:tc>
          <w:tcPr>
            <w:tcW w:w="66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33,544</w:t>
            </w:r>
          </w:p>
        </w:tc>
        <w:tc>
          <w:tcPr>
            <w:tcW w:w="66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32,072</w:t>
            </w:r>
          </w:p>
        </w:tc>
        <w:tc>
          <w:tcPr>
            <w:tcW w:w="778"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2,376</w:t>
            </w:r>
          </w:p>
        </w:tc>
        <w:tc>
          <w:tcPr>
            <w:tcW w:w="854" w:type="dxa"/>
            <w:tcBorders>
              <w:top w:val="nil"/>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7.62%</w:t>
            </w:r>
          </w:p>
        </w:tc>
        <w:tc>
          <w:tcPr>
            <w:tcW w:w="91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1,472</w:t>
            </w:r>
          </w:p>
        </w:tc>
        <w:tc>
          <w:tcPr>
            <w:tcW w:w="1170"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4.59%</w:t>
            </w:r>
          </w:p>
        </w:tc>
      </w:tr>
      <w:tr w:rsidR="00BF12EE" w:rsidRPr="009C40B4" w:rsidTr="00ED27F1">
        <w:trPr>
          <w:trHeight w:val="237"/>
          <w:jc w:val="center"/>
        </w:trPr>
        <w:tc>
          <w:tcPr>
            <w:tcW w:w="2214"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TOTALI  TATIME + DOGANA</w:t>
            </w:r>
          </w:p>
        </w:tc>
        <w:tc>
          <w:tcPr>
            <w:tcW w:w="663"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141,483</w:t>
            </w:r>
          </w:p>
        </w:tc>
        <w:tc>
          <w:tcPr>
            <w:tcW w:w="663"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152,269</w:t>
            </w:r>
          </w:p>
        </w:tc>
        <w:tc>
          <w:tcPr>
            <w:tcW w:w="663"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142,331</w:t>
            </w:r>
          </w:p>
        </w:tc>
        <w:tc>
          <w:tcPr>
            <w:tcW w:w="778"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10,786</w:t>
            </w:r>
          </w:p>
        </w:tc>
        <w:tc>
          <w:tcPr>
            <w:tcW w:w="854"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7.62%</w:t>
            </w:r>
          </w:p>
        </w:tc>
        <w:tc>
          <w:tcPr>
            <w:tcW w:w="915"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9,938</w:t>
            </w:r>
          </w:p>
        </w:tc>
        <w:tc>
          <w:tcPr>
            <w:tcW w:w="1170" w:type="dxa"/>
            <w:tcBorders>
              <w:top w:val="single" w:sz="8" w:space="0" w:color="000000"/>
              <w:left w:val="nil"/>
              <w:bottom w:val="single" w:sz="8" w:space="0" w:color="000000"/>
              <w:right w:val="nil"/>
            </w:tcBorders>
            <w:shd w:val="clear" w:color="auto" w:fill="F2F2F2" w:themeFill="background1" w:themeFillShade="F2"/>
            <w:tcMar>
              <w:top w:w="15" w:type="dxa"/>
              <w:left w:w="15" w:type="dxa"/>
              <w:bottom w:w="0" w:type="dxa"/>
              <w:right w:w="15" w:type="dxa"/>
            </w:tcMar>
            <w:vAlign w:val="bottom"/>
            <w:hideMark/>
          </w:tcPr>
          <w:p w:rsidR="00BF12EE" w:rsidRPr="009C40B4" w:rsidRDefault="00BF12EE" w:rsidP="00ED27F1">
            <w:pPr>
              <w:jc w:val="center"/>
              <w:rPr>
                <w:sz w:val="16"/>
                <w:szCs w:val="16"/>
              </w:rPr>
            </w:pPr>
            <w:r w:rsidRPr="009C40B4">
              <w:rPr>
                <w:b/>
                <w:bCs/>
                <w:i/>
                <w:iCs/>
                <w:sz w:val="16"/>
                <w:szCs w:val="16"/>
              </w:rPr>
              <w:t>6.98%</w:t>
            </w:r>
          </w:p>
        </w:tc>
      </w:tr>
    </w:tbl>
    <w:p w:rsidR="00BF12EE" w:rsidRPr="0089630D" w:rsidRDefault="00BF12EE" w:rsidP="00BF12EE">
      <w:pPr>
        <w:spacing w:line="276" w:lineRule="auto"/>
        <w:jc w:val="center"/>
        <w:rPr>
          <w:rFonts w:asciiTheme="minorHAnsi" w:hAnsiTheme="minorHAnsi"/>
          <w:sz w:val="20"/>
          <w:lang w:val="sq-AL"/>
        </w:rPr>
      </w:pPr>
    </w:p>
    <w:p w:rsidR="008C512C" w:rsidRPr="009C40B4" w:rsidRDefault="008C512C" w:rsidP="008C512C">
      <w:pPr>
        <w:tabs>
          <w:tab w:val="left" w:pos="2511"/>
          <w:tab w:val="center" w:pos="4680"/>
          <w:tab w:val="left" w:pos="9360"/>
        </w:tabs>
        <w:spacing w:line="276" w:lineRule="auto"/>
        <w:jc w:val="both"/>
        <w:rPr>
          <w:rFonts w:asciiTheme="minorHAnsi" w:hAnsiTheme="minorHAnsi"/>
          <w:noProof/>
          <w:lang w:val="sq-AL"/>
        </w:rPr>
      </w:pPr>
      <w:r w:rsidRPr="009C40B4">
        <w:rPr>
          <w:rFonts w:asciiTheme="minorHAnsi" w:hAnsiTheme="minorHAnsi"/>
          <w:noProof/>
          <w:lang w:val="sq-AL"/>
        </w:rPr>
        <w:t xml:space="preserve">Krahasuar me të dhënat e një viti më parë, të gjitha llojet e të ardhurave “Nga Tatimet dhe Doganat” (përfshirë kontribtet e DPT),  kanë pasur një ecuri pozitive. Konkretisht TVSH në import 5.3% më shumë se viti 2016, TVSH brenda vendit 3%, Tatimi mbi fitimin 5.3%, Akciza 9.1%, Taksat Nacionale 32.5%, Renta minerare 19.5%, Taksa doganore 7.3%, dhe kontributet e mbledhura nga DPT 7.6%, ndërsa Tatimi mbi të Ardhurat Personale rezultoi me një mos realizim prej 3.8%. Ky rezultat në tatimin mbi të ardhurat personale lidhet me efektet e ligjit të rivlerësimit të pasurive të paluajtshme, të ardhurat e arkëtuara nga i cili janë raportuar në grupin e taksave të tjera, çka përbën edhe arsyen e tejkalimit  të ndjeshëm në këtë zë. </w:t>
      </w:r>
    </w:p>
    <w:p w:rsidR="0089630D" w:rsidRPr="0089630D" w:rsidRDefault="0089630D" w:rsidP="008C512C">
      <w:pPr>
        <w:spacing w:line="276" w:lineRule="auto"/>
        <w:rPr>
          <w:rFonts w:asciiTheme="minorHAnsi" w:eastAsia="SimSun" w:hAnsiTheme="minorHAnsi"/>
          <w:i/>
          <w:sz w:val="8"/>
          <w:lang w:val="sq-AL"/>
        </w:rPr>
      </w:pPr>
    </w:p>
    <w:p w:rsidR="008C512C" w:rsidRPr="0089630D" w:rsidRDefault="008C512C" w:rsidP="008C512C">
      <w:pPr>
        <w:spacing w:line="276" w:lineRule="auto"/>
        <w:rPr>
          <w:rFonts w:asciiTheme="minorHAnsi" w:eastAsia="SimSun" w:hAnsiTheme="minorHAnsi"/>
          <w:lang w:val="sq-AL"/>
        </w:rPr>
      </w:pPr>
      <w:r w:rsidRPr="0089630D">
        <w:rPr>
          <w:rFonts w:asciiTheme="minorHAnsi" w:eastAsia="SimSun" w:hAnsiTheme="minorHAnsi"/>
          <w:i/>
          <w:lang w:val="sq-AL"/>
        </w:rPr>
        <w:t xml:space="preserve">Grafiku </w:t>
      </w:r>
      <w:r w:rsidR="006F3FDF">
        <w:rPr>
          <w:rFonts w:asciiTheme="minorHAnsi" w:eastAsia="SimSun" w:hAnsiTheme="minorHAnsi"/>
          <w:i/>
          <w:lang w:val="sq-AL"/>
        </w:rPr>
        <w:t>1</w:t>
      </w:r>
      <w:r w:rsidRPr="0089630D">
        <w:rPr>
          <w:rFonts w:asciiTheme="minorHAnsi" w:eastAsia="SimSun" w:hAnsiTheme="minorHAnsi"/>
          <w:i/>
          <w:lang w:val="sq-AL"/>
        </w:rPr>
        <w:t>:</w:t>
      </w:r>
      <w:r w:rsidRPr="0089630D">
        <w:rPr>
          <w:rFonts w:asciiTheme="minorHAnsi" w:eastAsia="SimSun" w:hAnsiTheme="minorHAnsi"/>
          <w:i/>
          <w:lang w:val="sq-AL"/>
        </w:rPr>
        <w:tab/>
      </w:r>
      <w:r w:rsidRPr="0089630D">
        <w:rPr>
          <w:rFonts w:asciiTheme="minorHAnsi" w:hAnsiTheme="minorHAnsi"/>
          <w:noProof/>
          <w:lang w:val="sq-AL"/>
        </w:rPr>
        <w:t>Totali i të ardhurave Janar- Maj 2017/2016  (n</w:t>
      </w:r>
      <w:r w:rsidR="00E67B09" w:rsidRPr="0089630D">
        <w:rPr>
          <w:rFonts w:asciiTheme="minorHAnsi" w:hAnsiTheme="minorHAnsi"/>
          <w:noProof/>
          <w:lang w:val="sq-AL"/>
        </w:rPr>
        <w:t>ë</w:t>
      </w:r>
      <w:r w:rsidRPr="0089630D">
        <w:rPr>
          <w:rFonts w:asciiTheme="minorHAnsi" w:hAnsiTheme="minorHAnsi"/>
          <w:noProof/>
          <w:lang w:val="sq-AL"/>
        </w:rPr>
        <w:t xml:space="preserve"> milion lekë)</w:t>
      </w:r>
    </w:p>
    <w:p w:rsidR="00BF12EE" w:rsidRDefault="008C512C" w:rsidP="008C512C">
      <w:pPr>
        <w:spacing w:line="276" w:lineRule="auto"/>
        <w:jc w:val="center"/>
        <w:rPr>
          <w:rFonts w:asciiTheme="minorHAnsi" w:hAnsiTheme="minorHAnsi"/>
          <w:lang w:val="sq-AL"/>
        </w:rPr>
      </w:pPr>
      <w:r w:rsidRPr="009C40B4">
        <w:rPr>
          <w:rFonts w:asciiTheme="minorHAnsi" w:hAnsiTheme="minorHAnsi"/>
          <w:noProof/>
        </w:rPr>
        <w:drawing>
          <wp:inline distT="0" distB="0" distL="0" distR="0" wp14:anchorId="24AA69CC" wp14:editId="38A97826">
            <wp:extent cx="6000750" cy="2110740"/>
            <wp:effectExtent l="0" t="0" r="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3387" w:rsidRPr="00563387" w:rsidRDefault="00563387" w:rsidP="008C512C">
      <w:pPr>
        <w:tabs>
          <w:tab w:val="left" w:pos="2511"/>
          <w:tab w:val="center" w:pos="4680"/>
          <w:tab w:val="left" w:pos="9360"/>
        </w:tabs>
        <w:spacing w:line="276" w:lineRule="auto"/>
        <w:jc w:val="both"/>
        <w:rPr>
          <w:rFonts w:asciiTheme="minorHAnsi" w:hAnsiTheme="minorHAnsi"/>
          <w:noProof/>
          <w:sz w:val="12"/>
          <w:szCs w:val="12"/>
          <w:lang w:val="sq-AL"/>
        </w:rPr>
      </w:pPr>
    </w:p>
    <w:p w:rsidR="008C512C" w:rsidRDefault="008C512C" w:rsidP="008C512C">
      <w:pPr>
        <w:tabs>
          <w:tab w:val="left" w:pos="2511"/>
          <w:tab w:val="center" w:pos="4680"/>
          <w:tab w:val="left" w:pos="9360"/>
        </w:tabs>
        <w:spacing w:line="276" w:lineRule="auto"/>
        <w:jc w:val="both"/>
        <w:rPr>
          <w:rFonts w:asciiTheme="minorHAnsi" w:hAnsiTheme="minorHAnsi"/>
          <w:noProof/>
          <w:lang w:val="sq-AL"/>
        </w:rPr>
      </w:pPr>
      <w:r w:rsidRPr="009C40B4">
        <w:rPr>
          <w:rFonts w:asciiTheme="minorHAnsi" w:hAnsiTheme="minorHAnsi"/>
          <w:noProof/>
          <w:lang w:val="sq-AL"/>
        </w:rPr>
        <w:t xml:space="preserve">Parashikimet e vitit 2017 janë tejkaluar nga TVSH në import me 7%, Tatim fitimi 31%, Akciza 3.6%, Taksat Nacionale 30.2%, Renta 28.9%,  Taksa Doganore 2.4%, dhe Kontributet e mbledhura nga DPT 4.6%, ndërsa arkëtimi i TVSH-së bruto brenda vendit dhe Tatimi mbi të Ardhurat Personale rezultojnë me një mos realizim të planit respektivisht 2.7% dhe 8.7%. TVSH-ja e rimbursuar për subjektet është tejkaluar krahasuar  me parashikimin për 14,6 % ose 621 milion lekë, ndërkohë që krahasuar me të njëjtën periudhë të vitit të kaluar janë rimbursuar 1,9 miliard lekë më shumë.  </w:t>
      </w:r>
    </w:p>
    <w:p w:rsidR="008C512C" w:rsidRPr="008C512C" w:rsidRDefault="008C512C" w:rsidP="008C512C">
      <w:pPr>
        <w:tabs>
          <w:tab w:val="left" w:pos="1530"/>
          <w:tab w:val="center" w:pos="4680"/>
          <w:tab w:val="left" w:pos="9360"/>
        </w:tabs>
        <w:spacing w:line="276" w:lineRule="auto"/>
        <w:jc w:val="both"/>
        <w:rPr>
          <w:rFonts w:asciiTheme="minorHAnsi" w:eastAsia="SimSun" w:hAnsiTheme="minorHAnsi"/>
          <w:i/>
          <w:sz w:val="8"/>
          <w:szCs w:val="8"/>
          <w:lang w:val="sq-AL"/>
        </w:rPr>
      </w:pPr>
    </w:p>
    <w:p w:rsidR="008C512C" w:rsidRDefault="008C512C" w:rsidP="00E67B09">
      <w:pPr>
        <w:tabs>
          <w:tab w:val="left" w:pos="1260"/>
          <w:tab w:val="center" w:pos="4680"/>
          <w:tab w:val="left" w:pos="9360"/>
        </w:tabs>
        <w:spacing w:line="276" w:lineRule="auto"/>
        <w:jc w:val="both"/>
        <w:rPr>
          <w:rFonts w:asciiTheme="minorHAnsi" w:hAnsiTheme="minorHAnsi"/>
          <w:noProof/>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6F3FDF">
        <w:rPr>
          <w:rFonts w:asciiTheme="minorHAnsi" w:eastAsia="SimSun" w:hAnsiTheme="minorHAnsi"/>
          <w:i/>
          <w:lang w:val="sq-AL"/>
        </w:rPr>
        <w:t>2</w:t>
      </w:r>
      <w:r w:rsidRPr="00193EF8">
        <w:rPr>
          <w:rFonts w:asciiTheme="minorHAnsi" w:eastAsia="SimSun" w:hAnsiTheme="minorHAnsi"/>
          <w:i/>
          <w:lang w:val="sq-AL"/>
        </w:rPr>
        <w:t>:</w:t>
      </w:r>
      <w:r>
        <w:rPr>
          <w:rFonts w:asciiTheme="minorHAnsi" w:eastAsia="SimSun" w:hAnsiTheme="minorHAnsi"/>
          <w:i/>
          <w:lang w:val="sq-AL"/>
        </w:rPr>
        <w:tab/>
      </w:r>
      <w:r w:rsidRPr="008C512C">
        <w:rPr>
          <w:rFonts w:asciiTheme="minorHAnsi" w:hAnsiTheme="minorHAnsi"/>
          <w:noProof/>
          <w:lang w:val="sq-AL"/>
        </w:rPr>
        <w:t xml:space="preserve">Të ardhurat Tatime &amp; Dogana Janar- Maj 2017 </w:t>
      </w:r>
      <w:r w:rsidR="00E67B09">
        <w:rPr>
          <w:rFonts w:asciiTheme="minorHAnsi" w:hAnsiTheme="minorHAnsi"/>
          <w:noProof/>
          <w:lang w:val="sq-AL"/>
        </w:rPr>
        <w:t>m</w:t>
      </w:r>
      <w:r w:rsidRPr="008C512C">
        <w:rPr>
          <w:rFonts w:asciiTheme="minorHAnsi" w:hAnsiTheme="minorHAnsi"/>
          <w:noProof/>
          <w:lang w:val="sq-AL"/>
        </w:rPr>
        <w:t>ujore dhe Progresive</w:t>
      </w:r>
      <w:r w:rsidR="00E67B09">
        <w:rPr>
          <w:rFonts w:asciiTheme="minorHAnsi" w:hAnsiTheme="minorHAnsi"/>
          <w:noProof/>
          <w:lang w:val="sq-AL"/>
        </w:rPr>
        <w:t xml:space="preserve"> </w:t>
      </w:r>
      <w:r w:rsidR="00E67B09">
        <w:rPr>
          <w:rFonts w:asciiTheme="minorHAnsi" w:hAnsiTheme="minorHAnsi"/>
          <w:i/>
          <w:iCs/>
          <w:color w:val="000000"/>
        </w:rPr>
        <w:t xml:space="preserve">(në </w:t>
      </w:r>
      <w:r w:rsidR="00E67B09" w:rsidRPr="00E67B09">
        <w:rPr>
          <w:rFonts w:asciiTheme="minorHAnsi" w:hAnsiTheme="minorHAnsi"/>
          <w:i/>
          <w:iCs/>
          <w:color w:val="000000"/>
        </w:rPr>
        <w:t>milion lekë)</w:t>
      </w:r>
    </w:p>
    <w:p w:rsidR="008C512C" w:rsidRPr="009C40B4" w:rsidRDefault="008C512C" w:rsidP="008C512C">
      <w:pPr>
        <w:tabs>
          <w:tab w:val="left" w:pos="2511"/>
          <w:tab w:val="center" w:pos="4680"/>
          <w:tab w:val="left" w:pos="9360"/>
        </w:tabs>
        <w:spacing w:line="276" w:lineRule="auto"/>
        <w:rPr>
          <w:rFonts w:asciiTheme="minorHAnsi" w:hAnsiTheme="minorHAnsi"/>
          <w:b/>
          <w:bCs/>
          <w:lang w:val="sq-AL"/>
        </w:rPr>
      </w:pPr>
      <w:r w:rsidRPr="009C40B4">
        <w:rPr>
          <w:rFonts w:asciiTheme="minorHAnsi" w:hAnsiTheme="minorHAnsi"/>
          <w:i/>
          <w:noProof/>
        </w:rPr>
        <mc:AlternateContent>
          <mc:Choice Requires="wps">
            <w:drawing>
              <wp:anchor distT="0" distB="0" distL="114300" distR="114300" simplePos="0" relativeHeight="251710976" behindDoc="0" locked="0" layoutInCell="1" allowOverlap="1" wp14:anchorId="587316C1" wp14:editId="523CD8DB">
                <wp:simplePos x="0" y="0"/>
                <wp:positionH relativeFrom="column">
                  <wp:posOffset>4228465</wp:posOffset>
                </wp:positionH>
                <wp:positionV relativeFrom="paragraph">
                  <wp:posOffset>65405</wp:posOffset>
                </wp:positionV>
                <wp:extent cx="657225" cy="266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solidFill>
                          <a:srgbClr val="FFFFFF"/>
                        </a:solidFill>
                        <a:ln w="9525">
                          <a:noFill/>
                          <a:miter lim="800000"/>
                          <a:headEnd/>
                          <a:tailEnd/>
                        </a:ln>
                      </wps:spPr>
                      <wps:txbx>
                        <w:txbxContent>
                          <w:p w:rsidR="00CB4E18" w:rsidRPr="00170265" w:rsidRDefault="00CB4E18" w:rsidP="008C512C">
                            <w:pPr>
                              <w:rPr>
                                <w:b/>
                                <w:color w:val="244061" w:themeColor="accent1" w:themeShade="80"/>
                                <w:sz w:val="20"/>
                                <w:szCs w:val="20"/>
                              </w:rPr>
                            </w:pPr>
                            <w:r w:rsidRPr="00170265">
                              <w:rPr>
                                <w:b/>
                                <w:color w:val="244061" w:themeColor="accent1" w:themeShade="80"/>
                                <w:sz w:val="20"/>
                                <w:szCs w:val="20"/>
                              </w:rPr>
                              <w:t>+6.98</w:t>
                            </w:r>
                            <w:r>
                              <w:rPr>
                                <w:b/>
                                <w:color w:val="244061" w:themeColor="accent1" w:themeShade="80"/>
                                <w:sz w:val="20"/>
                                <w:szCs w:val="20"/>
                              </w:rPr>
                              <w:t>%</w:t>
                            </w:r>
                            <w:r w:rsidRPr="00170265">
                              <w:rPr>
                                <w:b/>
                                <w:color w:val="244061" w:themeColor="accent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316C1" id="_x0000_t202" coordsize="21600,21600" o:spt="202" path="m,l,21600r21600,l21600,xe">
                <v:stroke joinstyle="miter"/>
                <v:path gradientshapeok="t" o:connecttype="rect"/>
              </v:shapetype>
              <v:shape id="Text Box 2" o:spid="_x0000_s1026" type="#_x0000_t202" style="position:absolute;margin-left:332.95pt;margin-top:5.15pt;width:51.75pt;height: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" stroked="f">
                <v:textbox>
                  <w:txbxContent>
                    <w:p w:rsidR="00CB4E18" w:rsidRPr="00170265" w:rsidRDefault="00CB4E18" w:rsidP="008C512C">
                      <w:pPr>
                        <w:rPr>
                          <w:b/>
                          <w:color w:val="244061" w:themeColor="accent1" w:themeShade="80"/>
                          <w:sz w:val="20"/>
                          <w:szCs w:val="20"/>
                        </w:rPr>
                      </w:pPr>
                      <w:r w:rsidRPr="00170265">
                        <w:rPr>
                          <w:b/>
                          <w:color w:val="244061" w:themeColor="accent1" w:themeShade="80"/>
                          <w:sz w:val="20"/>
                          <w:szCs w:val="20"/>
                        </w:rPr>
                        <w:t>+6.98</w:t>
                      </w:r>
                      <w:r>
                        <w:rPr>
                          <w:b/>
                          <w:color w:val="244061" w:themeColor="accent1" w:themeShade="80"/>
                          <w:sz w:val="20"/>
                          <w:szCs w:val="20"/>
                        </w:rPr>
                        <w:t>%</w:t>
                      </w:r>
                      <w:r w:rsidRPr="00170265">
                        <w:rPr>
                          <w:b/>
                          <w:color w:val="244061" w:themeColor="accent1" w:themeShade="80"/>
                          <w:sz w:val="20"/>
                          <w:szCs w:val="20"/>
                        </w:rPr>
                        <w:t>%</w:t>
                      </w:r>
                    </w:p>
                  </w:txbxContent>
                </v:textbox>
              </v:shape>
            </w:pict>
          </mc:Fallback>
        </mc:AlternateContent>
      </w:r>
      <w:r w:rsidRPr="009C40B4">
        <w:rPr>
          <w:rFonts w:asciiTheme="minorHAnsi" w:hAnsiTheme="minorHAnsi"/>
          <w:b/>
          <w:bCs/>
          <w:noProof/>
        </w:rPr>
        <w:drawing>
          <wp:inline distT="0" distB="0" distL="0" distR="0" wp14:anchorId="0358353C" wp14:editId="69FEF2F2">
            <wp:extent cx="3324225" cy="150876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C40B4">
        <w:rPr>
          <w:rFonts w:asciiTheme="minorHAnsi" w:hAnsiTheme="minorHAnsi"/>
          <w:i/>
          <w:noProof/>
        </w:rPr>
        <w:drawing>
          <wp:inline distT="0" distB="0" distL="0" distR="0" wp14:anchorId="74BB17EF" wp14:editId="48922CDA">
            <wp:extent cx="2609850" cy="153162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7B09" w:rsidRPr="0089630D" w:rsidRDefault="00E67B09" w:rsidP="00E67B09">
      <w:pPr>
        <w:pStyle w:val="NormalWeb"/>
        <w:spacing w:before="0" w:beforeAutospacing="0" w:after="0" w:afterAutospacing="0" w:line="276" w:lineRule="auto"/>
        <w:jc w:val="both"/>
        <w:rPr>
          <w:rFonts w:asciiTheme="minorHAnsi" w:hAnsiTheme="minorHAnsi"/>
          <w:bCs/>
          <w:sz w:val="16"/>
          <w:szCs w:val="12"/>
          <w:lang w:val="sq-AL"/>
        </w:rPr>
      </w:pPr>
    </w:p>
    <w:p w:rsidR="008C512C" w:rsidRDefault="008C512C" w:rsidP="00E67B09">
      <w:pPr>
        <w:pStyle w:val="NormalWeb"/>
        <w:spacing w:before="0" w:beforeAutospacing="0" w:after="0" w:afterAutospacing="0" w:line="276" w:lineRule="auto"/>
        <w:jc w:val="both"/>
        <w:rPr>
          <w:rFonts w:asciiTheme="minorHAnsi" w:hAnsiTheme="minorHAnsi"/>
          <w:bCs/>
          <w:lang w:val="sq-AL"/>
        </w:rPr>
      </w:pPr>
      <w:r w:rsidRPr="009C40B4">
        <w:rPr>
          <w:rFonts w:asciiTheme="minorHAnsi" w:hAnsiTheme="minorHAnsi"/>
          <w:bCs/>
          <w:lang w:val="sq-AL"/>
        </w:rPr>
        <w:t xml:space="preserve">Importi i taksuar arriti në vlerën 187.3 miliard lekë ndërsa eksportet total arritën në vlerën 110.9 miliard lekë. Krahasuar me të njëtën periudhë të vitit të kaluar importi i taksuar u rrit me 5.9 miliard lekë ose 3.3%, dhe eksporti total me rreth 15.8 miliard lekë ose 16.7%. Sipas orientimit gjeografik, vendet Europiane, veçanërisht Italia mbeten partnerët kryesorë në shkëmbimet tregtare. </w:t>
      </w:r>
    </w:p>
    <w:p w:rsidR="008C512C" w:rsidRPr="009C40B4" w:rsidRDefault="008C512C" w:rsidP="008C512C">
      <w:pPr>
        <w:tabs>
          <w:tab w:val="left" w:pos="2511"/>
          <w:tab w:val="left" w:pos="4500"/>
          <w:tab w:val="left" w:pos="4590"/>
          <w:tab w:val="center" w:pos="4680"/>
          <w:tab w:val="left" w:pos="4770"/>
          <w:tab w:val="left" w:pos="4860"/>
        </w:tabs>
        <w:spacing w:line="276" w:lineRule="auto"/>
        <w:rPr>
          <w:rFonts w:asciiTheme="minorHAnsi" w:hAnsiTheme="minorHAnsi"/>
          <w:noProof/>
        </w:rPr>
      </w:pPr>
      <w:r w:rsidRPr="009C40B4">
        <w:rPr>
          <w:rFonts w:asciiTheme="minorHAnsi" w:hAnsiTheme="minorHAnsi"/>
          <w:noProof/>
        </w:rPr>
        <w:drawing>
          <wp:inline distT="0" distB="0" distL="0" distR="0" wp14:anchorId="2ACF78F2" wp14:editId="745F95E8">
            <wp:extent cx="1623060" cy="200406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C40B4">
        <w:rPr>
          <w:rFonts w:asciiTheme="minorHAnsi" w:hAnsiTheme="minorHAnsi"/>
          <w:noProof/>
        </w:rPr>
        <w:t xml:space="preserve">           </w:t>
      </w:r>
      <w:r w:rsidRPr="009C40B4">
        <w:rPr>
          <w:rFonts w:asciiTheme="minorHAnsi" w:hAnsiTheme="minorHAnsi"/>
          <w:noProof/>
        </w:rPr>
        <w:drawing>
          <wp:inline distT="0" distB="0" distL="0" distR="0" wp14:anchorId="1206D5C0" wp14:editId="2B42F2F4">
            <wp:extent cx="2133600" cy="200406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9C40B4">
        <w:rPr>
          <w:rFonts w:asciiTheme="minorHAnsi" w:hAnsiTheme="minorHAnsi"/>
          <w:bCs/>
          <w:noProof/>
        </w:rPr>
        <w:drawing>
          <wp:inline distT="0" distB="0" distL="0" distR="0" wp14:anchorId="426F4A11" wp14:editId="42793655">
            <wp:extent cx="1695450" cy="1859280"/>
            <wp:effectExtent l="0" t="0" r="0" b="76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746D" w:rsidRDefault="0030746D" w:rsidP="00E67B09">
      <w:pPr>
        <w:spacing w:line="276" w:lineRule="auto"/>
        <w:jc w:val="both"/>
        <w:rPr>
          <w:rFonts w:asciiTheme="minorHAnsi" w:hAnsiTheme="minorHAnsi"/>
          <w:b/>
          <w:bCs/>
        </w:rPr>
      </w:pPr>
    </w:p>
    <w:p w:rsidR="00E67B09" w:rsidRPr="009C40B4" w:rsidRDefault="00E67B09" w:rsidP="00E67B09">
      <w:pPr>
        <w:spacing w:line="276" w:lineRule="auto"/>
        <w:jc w:val="both"/>
        <w:rPr>
          <w:rFonts w:asciiTheme="minorHAnsi" w:hAnsiTheme="minorHAnsi"/>
        </w:rPr>
      </w:pPr>
      <w:r w:rsidRPr="00E67B09">
        <w:rPr>
          <w:rFonts w:asciiTheme="minorHAnsi" w:hAnsiTheme="minorHAnsi"/>
          <w:b/>
          <w:bCs/>
        </w:rPr>
        <w:t>T</w:t>
      </w:r>
      <w:r>
        <w:rPr>
          <w:rFonts w:asciiTheme="minorHAnsi" w:hAnsiTheme="minorHAnsi"/>
          <w:b/>
          <w:bCs/>
        </w:rPr>
        <w:t>ë</w:t>
      </w:r>
      <w:r w:rsidRPr="00E67B09">
        <w:rPr>
          <w:rFonts w:asciiTheme="minorHAnsi" w:hAnsiTheme="minorHAnsi"/>
          <w:b/>
          <w:bCs/>
        </w:rPr>
        <w:t xml:space="preserve"> Ardhurat Doganore</w:t>
      </w:r>
      <w:r>
        <w:rPr>
          <w:rFonts w:asciiTheme="minorHAnsi" w:hAnsiTheme="minorHAnsi"/>
          <w:bCs/>
        </w:rPr>
        <w:t xml:space="preserve"> – </w:t>
      </w:r>
      <w:r w:rsidRPr="009C40B4">
        <w:rPr>
          <w:rFonts w:asciiTheme="minorHAnsi" w:hAnsiTheme="minorHAnsi"/>
        </w:rPr>
        <w:t>Të</w:t>
      </w:r>
      <w:r>
        <w:rPr>
          <w:rFonts w:asciiTheme="minorHAnsi" w:hAnsiTheme="minorHAnsi"/>
        </w:rPr>
        <w:t xml:space="preserve"> </w:t>
      </w:r>
      <w:r w:rsidRPr="009C40B4">
        <w:rPr>
          <w:rFonts w:asciiTheme="minorHAnsi" w:hAnsiTheme="minorHAnsi"/>
        </w:rPr>
        <w:t>ardhurat e mbledhura nga administrata doganore për 5 mujorin e vitit 2017 janë realizuar në vlerën 59.4 miliard lekë, 3.7 miliard lekë më shumë se e njëjta periudhë e një viti më parë ose 6.6%, dhe tejkalim të parashikimeve me 3.4 miliard lekë ose 6.2%.</w:t>
      </w:r>
    </w:p>
    <w:p w:rsidR="00F67B4E" w:rsidRPr="00F67B4E" w:rsidRDefault="00F67B4E" w:rsidP="00E67B09">
      <w:pPr>
        <w:tabs>
          <w:tab w:val="left" w:pos="1260"/>
          <w:tab w:val="center" w:pos="4680"/>
          <w:tab w:val="left" w:pos="9360"/>
        </w:tabs>
        <w:spacing w:line="276" w:lineRule="auto"/>
        <w:jc w:val="both"/>
        <w:rPr>
          <w:rFonts w:asciiTheme="minorHAnsi" w:eastAsia="SimSun" w:hAnsiTheme="minorHAnsi"/>
          <w:i/>
          <w:sz w:val="8"/>
          <w:szCs w:val="8"/>
          <w:lang w:val="sq-AL"/>
        </w:rPr>
      </w:pPr>
    </w:p>
    <w:p w:rsidR="00E67B09" w:rsidRPr="00E67B09" w:rsidRDefault="00E67B09" w:rsidP="00E67B09">
      <w:pPr>
        <w:tabs>
          <w:tab w:val="left" w:pos="126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6F3FDF">
        <w:rPr>
          <w:rFonts w:asciiTheme="minorHAnsi" w:eastAsia="SimSun" w:hAnsiTheme="minorHAnsi"/>
          <w:i/>
          <w:lang w:val="sq-AL"/>
        </w:rPr>
        <w:t>3</w:t>
      </w:r>
      <w:r w:rsidRPr="00193EF8">
        <w:rPr>
          <w:rFonts w:asciiTheme="minorHAnsi" w:eastAsia="SimSun" w:hAnsiTheme="minorHAnsi"/>
          <w:i/>
          <w:lang w:val="sq-AL"/>
        </w:rPr>
        <w:t>:</w:t>
      </w:r>
      <w:r>
        <w:rPr>
          <w:rFonts w:asciiTheme="minorHAnsi" w:eastAsia="SimSun" w:hAnsiTheme="minorHAnsi"/>
          <w:i/>
          <w:lang w:val="sq-AL"/>
        </w:rPr>
        <w:tab/>
      </w:r>
      <w:r w:rsidRPr="00E67B09">
        <w:rPr>
          <w:rFonts w:asciiTheme="minorHAnsi" w:eastAsia="SimSun" w:hAnsiTheme="minorHAnsi"/>
          <w:lang w:val="sq-AL"/>
        </w:rPr>
        <w:t>Të ardhurat Doganore për Janar- Maj 2017, Mujore dhe Progresive (në milion lekë)</w:t>
      </w:r>
    </w:p>
    <w:p w:rsidR="00E67B09" w:rsidRPr="009C40B4" w:rsidRDefault="00E67B09" w:rsidP="00E67B09">
      <w:pPr>
        <w:tabs>
          <w:tab w:val="left" w:pos="2511"/>
          <w:tab w:val="center" w:pos="4680"/>
        </w:tabs>
        <w:spacing w:line="276" w:lineRule="auto"/>
        <w:rPr>
          <w:rFonts w:asciiTheme="minorHAnsi" w:hAnsiTheme="minorHAnsi"/>
          <w:lang w:val="sq-AL"/>
        </w:rPr>
      </w:pPr>
      <w:r w:rsidRPr="009C40B4">
        <w:rPr>
          <w:rFonts w:asciiTheme="minorHAnsi" w:hAnsiTheme="minorHAnsi"/>
          <w:i/>
          <w:noProof/>
        </w:rPr>
        <mc:AlternateContent>
          <mc:Choice Requires="wps">
            <w:drawing>
              <wp:anchor distT="0" distB="0" distL="114300" distR="114300" simplePos="0" relativeHeight="251713024" behindDoc="0" locked="0" layoutInCell="1" allowOverlap="1" wp14:anchorId="3F2631A5" wp14:editId="374B6DD2">
                <wp:simplePos x="0" y="0"/>
                <wp:positionH relativeFrom="column">
                  <wp:posOffset>4067175</wp:posOffset>
                </wp:positionH>
                <wp:positionV relativeFrom="paragraph">
                  <wp:posOffset>125095</wp:posOffset>
                </wp:positionV>
                <wp:extent cx="666750" cy="2667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noFill/>
                          <a:miter lim="800000"/>
                          <a:headEnd/>
                          <a:tailEnd/>
                        </a:ln>
                      </wps:spPr>
                      <wps:txbx>
                        <w:txbxContent>
                          <w:p w:rsidR="00CB4E18" w:rsidRPr="0084687B" w:rsidRDefault="00CB4E18" w:rsidP="00E67B09">
                            <w:pPr>
                              <w:rPr>
                                <w:b/>
                                <w:color w:val="0F243E" w:themeColor="text2" w:themeShade="80"/>
                                <w:sz w:val="20"/>
                                <w:szCs w:val="20"/>
                              </w:rPr>
                            </w:pPr>
                            <w:r w:rsidRPr="0084687B">
                              <w:rPr>
                                <w:b/>
                                <w:color w:val="0F243E" w:themeColor="text2" w:themeShade="80"/>
                                <w:sz w:val="20"/>
                                <w:szCs w:val="20"/>
                              </w:rPr>
                              <w:t>+6.63%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631A5" id="_x0000_s1027" type="#_x0000_t202" style="position:absolute;margin-left:320.25pt;margin-top:9.85pt;width:52.5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" stroked="f">
                <v:textbox>
                  <w:txbxContent>
                    <w:p w:rsidR="00CB4E18" w:rsidRPr="0084687B" w:rsidRDefault="00CB4E18" w:rsidP="00E67B09">
                      <w:pPr>
                        <w:rPr>
                          <w:b/>
                          <w:color w:val="0F243E" w:themeColor="text2" w:themeShade="80"/>
                          <w:sz w:val="20"/>
                          <w:szCs w:val="20"/>
                        </w:rPr>
                      </w:pPr>
                      <w:r w:rsidRPr="0084687B">
                        <w:rPr>
                          <w:b/>
                          <w:color w:val="0F243E" w:themeColor="text2" w:themeShade="80"/>
                          <w:sz w:val="20"/>
                          <w:szCs w:val="20"/>
                        </w:rPr>
                        <w:t>+6.63%</w:t>
                      </w:r>
                    </w:p>
                  </w:txbxContent>
                </v:textbox>
              </v:shape>
            </w:pict>
          </mc:Fallback>
        </mc:AlternateContent>
      </w:r>
      <w:r w:rsidRPr="009C40B4">
        <w:rPr>
          <w:rFonts w:asciiTheme="minorHAnsi" w:hAnsiTheme="minorHAnsi"/>
          <w:noProof/>
        </w:rPr>
        <w:drawing>
          <wp:inline distT="0" distB="0" distL="0" distR="0" wp14:anchorId="63C0D3D3" wp14:editId="778B2AE1">
            <wp:extent cx="2924175" cy="179832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C40B4">
        <w:rPr>
          <w:rFonts w:asciiTheme="minorHAnsi" w:hAnsiTheme="minorHAnsi"/>
          <w:i/>
        </w:rPr>
        <w:t xml:space="preserve">     </w:t>
      </w:r>
      <w:r w:rsidRPr="009C40B4">
        <w:rPr>
          <w:rFonts w:asciiTheme="minorHAnsi" w:hAnsiTheme="minorHAnsi"/>
          <w:noProof/>
        </w:rPr>
        <w:drawing>
          <wp:inline distT="0" distB="0" distL="0" distR="0" wp14:anchorId="30F8E2CA" wp14:editId="57212C55">
            <wp:extent cx="2828925" cy="1524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3387" w:rsidRPr="00563387" w:rsidRDefault="00563387" w:rsidP="00F67B4E">
      <w:pPr>
        <w:tabs>
          <w:tab w:val="left" w:pos="2511"/>
          <w:tab w:val="center" w:pos="4680"/>
        </w:tabs>
        <w:spacing w:line="276" w:lineRule="auto"/>
        <w:jc w:val="both"/>
        <w:rPr>
          <w:rFonts w:asciiTheme="minorHAnsi" w:hAnsiTheme="minorHAnsi"/>
          <w:sz w:val="12"/>
          <w:szCs w:val="12"/>
          <w:lang w:val="sq-AL"/>
        </w:rPr>
      </w:pPr>
    </w:p>
    <w:p w:rsidR="00F67B4E" w:rsidRPr="009C40B4" w:rsidRDefault="00F67B4E" w:rsidP="00F67B4E">
      <w:pPr>
        <w:tabs>
          <w:tab w:val="left" w:pos="2511"/>
          <w:tab w:val="center" w:pos="4680"/>
        </w:tabs>
        <w:spacing w:line="276" w:lineRule="auto"/>
        <w:jc w:val="both"/>
        <w:rPr>
          <w:rFonts w:asciiTheme="minorHAnsi" w:hAnsiTheme="minorHAnsi"/>
          <w:lang w:val="sq-AL"/>
        </w:rPr>
      </w:pPr>
      <w:r w:rsidRPr="009C40B4">
        <w:rPr>
          <w:rFonts w:asciiTheme="minorHAnsi" w:hAnsiTheme="minorHAnsi"/>
          <w:lang w:val="sq-AL"/>
        </w:rPr>
        <w:t xml:space="preserve">Kontribuesit kryesor me efekt pozitiv në të ardhurat doganore janë importi metaleve, gazit të lëngshëm, automjeteve, cigareve, renta minerare nga eksporti etj. </w:t>
      </w:r>
    </w:p>
    <w:p w:rsidR="00F67B4E" w:rsidRPr="00F67B4E" w:rsidRDefault="00F67B4E" w:rsidP="00F67B4E">
      <w:pPr>
        <w:tabs>
          <w:tab w:val="left" w:pos="1260"/>
          <w:tab w:val="center" w:pos="4680"/>
          <w:tab w:val="left" w:pos="9360"/>
        </w:tabs>
        <w:spacing w:line="276" w:lineRule="auto"/>
        <w:jc w:val="both"/>
        <w:rPr>
          <w:rFonts w:asciiTheme="minorHAnsi" w:eastAsia="SimSun" w:hAnsiTheme="minorHAnsi"/>
          <w:i/>
          <w:sz w:val="8"/>
          <w:szCs w:val="8"/>
          <w:lang w:val="sq-AL"/>
        </w:rPr>
      </w:pPr>
    </w:p>
    <w:p w:rsidR="00F67B4E" w:rsidRPr="00E67B09" w:rsidRDefault="00F67B4E" w:rsidP="00F67B4E">
      <w:pPr>
        <w:tabs>
          <w:tab w:val="left" w:pos="126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6F3FDF">
        <w:rPr>
          <w:rFonts w:asciiTheme="minorHAnsi" w:eastAsia="SimSun" w:hAnsiTheme="minorHAnsi"/>
          <w:i/>
          <w:lang w:val="sq-AL"/>
        </w:rPr>
        <w:t>4</w:t>
      </w:r>
      <w:r w:rsidRPr="00193EF8">
        <w:rPr>
          <w:rFonts w:asciiTheme="minorHAnsi" w:eastAsia="SimSun" w:hAnsiTheme="minorHAnsi"/>
          <w:i/>
          <w:lang w:val="sq-AL"/>
        </w:rPr>
        <w:t>:</w:t>
      </w:r>
      <w:r>
        <w:rPr>
          <w:rFonts w:asciiTheme="minorHAnsi" w:eastAsia="SimSun" w:hAnsiTheme="minorHAnsi"/>
          <w:i/>
          <w:lang w:val="sq-AL"/>
        </w:rPr>
        <w:tab/>
      </w:r>
      <w:r w:rsidRPr="00F67B4E">
        <w:rPr>
          <w:rFonts w:asciiTheme="minorHAnsi" w:eastAsia="SimSun" w:hAnsiTheme="minorHAnsi"/>
          <w:lang w:val="sq-AL"/>
        </w:rPr>
        <w:t xml:space="preserve">Kontribuesit kryesor në të ardhurat doganore Janar- Maj 2017/2016 </w:t>
      </w:r>
      <w:r w:rsidRPr="00E67B09">
        <w:rPr>
          <w:rFonts w:asciiTheme="minorHAnsi" w:eastAsia="SimSun" w:hAnsiTheme="minorHAnsi"/>
          <w:lang w:val="sq-AL"/>
        </w:rPr>
        <w:t>(në milion lekë)</w:t>
      </w:r>
    </w:p>
    <w:p w:rsidR="008C512C" w:rsidRPr="00F67B4E" w:rsidRDefault="00F67B4E" w:rsidP="00F67B4E">
      <w:pPr>
        <w:tabs>
          <w:tab w:val="left" w:pos="1260"/>
          <w:tab w:val="center" w:pos="4680"/>
          <w:tab w:val="left" w:pos="9360"/>
        </w:tabs>
        <w:spacing w:line="276" w:lineRule="auto"/>
        <w:jc w:val="center"/>
        <w:rPr>
          <w:rFonts w:asciiTheme="minorHAnsi" w:eastAsia="SimSun" w:hAnsiTheme="minorHAnsi"/>
          <w:lang w:val="sq-AL"/>
        </w:rPr>
      </w:pPr>
      <w:r w:rsidRPr="009C40B4">
        <w:rPr>
          <w:rFonts w:asciiTheme="minorHAnsi" w:hAnsiTheme="minorHAnsi"/>
          <w:noProof/>
        </w:rPr>
        <w:drawing>
          <wp:inline distT="0" distB="0" distL="0" distR="0" wp14:anchorId="2EAEA7A0" wp14:editId="7D616A6E">
            <wp:extent cx="5943600" cy="269557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7B4E" w:rsidRPr="00F67B4E" w:rsidRDefault="00F67B4E" w:rsidP="00F67B4E">
      <w:pPr>
        <w:pStyle w:val="NormalWeb"/>
        <w:spacing w:before="0" w:beforeAutospacing="0" w:after="0" w:afterAutospacing="0" w:line="276" w:lineRule="auto"/>
        <w:jc w:val="both"/>
        <w:rPr>
          <w:rStyle w:val="Strong"/>
          <w:rFonts w:asciiTheme="minorHAnsi" w:eastAsia="Calibri" w:hAnsiTheme="minorHAnsi"/>
          <w:i/>
          <w:sz w:val="8"/>
          <w:szCs w:val="8"/>
          <w:lang w:val="it-IT"/>
        </w:rPr>
      </w:pPr>
    </w:p>
    <w:p w:rsidR="00F67B4E" w:rsidRPr="009C40B4" w:rsidRDefault="00F67B4E" w:rsidP="00F67B4E">
      <w:pPr>
        <w:pStyle w:val="NormalWeb"/>
        <w:spacing w:before="0" w:beforeAutospacing="0" w:after="0" w:afterAutospacing="0" w:line="276" w:lineRule="auto"/>
        <w:jc w:val="both"/>
        <w:rPr>
          <w:rFonts w:asciiTheme="minorHAnsi" w:hAnsiTheme="minorHAnsi"/>
          <w:lang w:val="it-IT"/>
        </w:rPr>
      </w:pPr>
      <w:r w:rsidRPr="009C40B4">
        <w:rPr>
          <w:rStyle w:val="Strong"/>
          <w:rFonts w:asciiTheme="minorHAnsi" w:eastAsia="Calibri" w:hAnsiTheme="minorHAnsi"/>
          <w:i/>
          <w:lang w:val="it-IT"/>
        </w:rPr>
        <w:t>Të ardhurat nga taksa doganore</w:t>
      </w:r>
      <w:r w:rsidRPr="009C40B4">
        <w:rPr>
          <w:rFonts w:asciiTheme="minorHAnsi" w:hAnsiTheme="minorHAnsi"/>
          <w:lang w:val="it-IT"/>
        </w:rPr>
        <w:t xml:space="preserve"> janë realizuar në vlerën 2.5 miliard lekë, 7.3% ose 170 milion lekë më shumë se 5 mujori i vitit 2016, dhe 2.4% ose 58 milion lekë më pak se plani.</w:t>
      </w:r>
      <w:r w:rsidRPr="009C40B4">
        <w:rPr>
          <w:rFonts w:asciiTheme="minorHAnsi" w:eastAsiaTheme="minorEastAsia" w:hAnsiTheme="minorHAnsi" w:cstheme="minorBidi"/>
          <w:color w:val="000000" w:themeColor="text1"/>
          <w:kern w:val="24"/>
          <w:lang w:val="it-IT"/>
        </w:rPr>
        <w:t xml:space="preserve"> </w:t>
      </w:r>
      <w:r w:rsidRPr="009C40B4">
        <w:rPr>
          <w:rFonts w:asciiTheme="minorHAnsi" w:hAnsiTheme="minorHAnsi"/>
          <w:lang w:val="it-IT"/>
        </w:rPr>
        <w:t>Importi i taksuar është rritur me 3.3% krahasuar me Janar – Maj 2016.</w:t>
      </w:r>
    </w:p>
    <w:p w:rsidR="00F67B4E" w:rsidRPr="00F67B4E" w:rsidRDefault="00F67B4E" w:rsidP="00F67B4E">
      <w:pPr>
        <w:pStyle w:val="NormalWeb"/>
        <w:spacing w:before="0" w:beforeAutospacing="0" w:after="0" w:afterAutospacing="0" w:line="276" w:lineRule="auto"/>
        <w:jc w:val="both"/>
        <w:rPr>
          <w:rFonts w:asciiTheme="minorHAnsi" w:hAnsiTheme="minorHAnsi"/>
          <w:b/>
          <w:i/>
          <w:sz w:val="8"/>
          <w:szCs w:val="8"/>
        </w:rPr>
      </w:pPr>
    </w:p>
    <w:p w:rsidR="00F67B4E" w:rsidRPr="009C40B4" w:rsidRDefault="00F67B4E" w:rsidP="00F67B4E">
      <w:pPr>
        <w:pStyle w:val="NormalWeb"/>
        <w:spacing w:before="0" w:beforeAutospacing="0" w:after="0" w:afterAutospacing="0" w:line="276" w:lineRule="auto"/>
        <w:jc w:val="both"/>
        <w:rPr>
          <w:rFonts w:asciiTheme="minorHAnsi" w:hAnsiTheme="minorHAnsi"/>
          <w:lang w:val="it-IT"/>
        </w:rPr>
      </w:pPr>
      <w:r w:rsidRPr="009C40B4">
        <w:rPr>
          <w:rFonts w:asciiTheme="minorHAnsi" w:hAnsiTheme="minorHAnsi"/>
          <w:b/>
          <w:i/>
        </w:rPr>
        <w:t>Të ardhurat nga akciza</w:t>
      </w:r>
      <w:r w:rsidRPr="009C40B4">
        <w:rPr>
          <w:rFonts w:asciiTheme="minorHAnsi" w:hAnsiTheme="minorHAnsi"/>
        </w:rPr>
        <w:t xml:space="preserve"> janë realizuar në vlerën 16.8 miliard lekë, 9.1% ose 1.4 miliard lekë më shumë se 5 mujori i vitit 2016, dhe 3.6% ose 580 milion lekë më shumë se plani. Ndikim kryesor ka pasur </w:t>
      </w:r>
      <w:r w:rsidRPr="009C40B4">
        <w:rPr>
          <w:rFonts w:asciiTheme="minorHAnsi" w:hAnsiTheme="minorHAnsi"/>
          <w:lang w:val="it-IT"/>
        </w:rPr>
        <w:t xml:space="preserve">importi dhe prodhimi </w:t>
      </w:r>
      <w:proofErr w:type="gramStart"/>
      <w:r w:rsidRPr="009C40B4">
        <w:rPr>
          <w:rFonts w:asciiTheme="minorHAnsi" w:hAnsiTheme="minorHAnsi"/>
          <w:lang w:val="it-IT"/>
        </w:rPr>
        <w:t>vendas</w:t>
      </w:r>
      <w:proofErr w:type="gramEnd"/>
      <w:r w:rsidRPr="009C40B4">
        <w:rPr>
          <w:rFonts w:asciiTheme="minorHAnsi" w:hAnsiTheme="minorHAnsi"/>
          <w:lang w:val="it-IT"/>
        </w:rPr>
        <w:t xml:space="preserve"> i karburanteve që rezultoi rreth 207 mijë ton, me një rritje prej 12,166 ton ose + 6.2% krahasuar me 5 mujorin e vitit 2016. Gjithashtu rritje kanë shënuar, importi i Gazit të Lëngët me 17%,  importi dhe prodhimi i birrës me 10.3%, importi i pijeve energjike me 26.9%, Importi dhe prodhimi i verës me 24.3%, dhe  importi i cigareve me 5.7%.  Ndërkohë është rritur deklarimi i prodhimit vendas të duhanit me rreth 3.5 ton nga 0.4 ton të deklaruara në periudhën Janar-Maj 2016.</w:t>
      </w:r>
    </w:p>
    <w:p w:rsidR="00F67B4E" w:rsidRPr="0089630D" w:rsidRDefault="00F67B4E" w:rsidP="00F67B4E">
      <w:pPr>
        <w:spacing w:line="276" w:lineRule="auto"/>
        <w:jc w:val="both"/>
        <w:rPr>
          <w:rFonts w:asciiTheme="minorHAnsi" w:eastAsia="SimSun" w:hAnsiTheme="minorHAnsi"/>
          <w:i/>
          <w:sz w:val="12"/>
          <w:szCs w:val="8"/>
          <w:lang w:val="sq-AL"/>
        </w:rPr>
      </w:pPr>
    </w:p>
    <w:p w:rsidR="00F67B4E" w:rsidRDefault="00F67B4E" w:rsidP="00F67B4E">
      <w:pPr>
        <w:spacing w:line="276" w:lineRule="auto"/>
        <w:jc w:val="both"/>
        <w:rPr>
          <w:rFonts w:asciiTheme="minorHAnsi" w:hAnsiTheme="minorHAns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2</w:t>
      </w:r>
      <w:r w:rsidRPr="007138C5">
        <w:rPr>
          <w:rFonts w:asciiTheme="minorHAnsi" w:eastAsia="SimSun" w:hAnsiTheme="minorHAnsi"/>
          <w:i/>
          <w:lang w:val="sq-AL"/>
        </w:rPr>
        <w:t>:</w:t>
      </w:r>
      <w:r w:rsidRPr="007138C5">
        <w:rPr>
          <w:rFonts w:asciiTheme="minorHAnsi" w:eastAsia="SimSun" w:hAnsiTheme="minorHAnsi"/>
          <w:i/>
          <w:lang w:val="sq-AL"/>
        </w:rPr>
        <w:tab/>
      </w:r>
      <w:r w:rsidRPr="00F67B4E">
        <w:rPr>
          <w:rFonts w:asciiTheme="minorHAnsi" w:hAnsiTheme="minorHAnsi"/>
          <w:lang w:val="sq-AL"/>
        </w:rPr>
        <w:t xml:space="preserve">Të dhëna mbi sasitë e mallrave kryesorë të akcizës </w:t>
      </w:r>
    </w:p>
    <w:tbl>
      <w:tblPr>
        <w:tblW w:w="7615" w:type="dxa"/>
        <w:jc w:val="center"/>
        <w:tblLook w:val="04A0" w:firstRow="1" w:lastRow="0" w:firstColumn="1" w:lastColumn="0" w:noHBand="0" w:noVBand="1"/>
      </w:tblPr>
      <w:tblGrid>
        <w:gridCol w:w="3051"/>
        <w:gridCol w:w="956"/>
        <w:gridCol w:w="863"/>
        <w:gridCol w:w="960"/>
        <w:gridCol w:w="1113"/>
        <w:gridCol w:w="672"/>
      </w:tblGrid>
      <w:tr w:rsidR="00F67B4E" w:rsidRPr="00F67B4E" w:rsidTr="00F67B4E">
        <w:trPr>
          <w:trHeight w:val="109"/>
          <w:jc w:val="center"/>
        </w:trPr>
        <w:tc>
          <w:tcPr>
            <w:tcW w:w="3051" w:type="dxa"/>
            <w:tcBorders>
              <w:top w:val="nil"/>
              <w:left w:val="nil"/>
              <w:bottom w:val="double" w:sz="6" w:space="0" w:color="auto"/>
              <w:right w:val="nil"/>
            </w:tcBorders>
            <w:shd w:val="clear" w:color="000000" w:fill="D9D9D9"/>
            <w:noWrap/>
            <w:vAlign w:val="bottom"/>
            <w:hideMark/>
          </w:tcPr>
          <w:p w:rsidR="00F67B4E" w:rsidRPr="00F67B4E" w:rsidRDefault="00F67B4E" w:rsidP="0017690C">
            <w:pPr>
              <w:spacing w:line="276" w:lineRule="auto"/>
              <w:jc w:val="center"/>
              <w:rPr>
                <w:rFonts w:asciiTheme="minorHAnsi" w:hAnsiTheme="minorHAnsi"/>
                <w:b/>
                <w:bCs/>
                <w:color w:val="000000"/>
                <w:sz w:val="18"/>
              </w:rPr>
            </w:pPr>
            <w:r w:rsidRPr="00F67B4E">
              <w:rPr>
                <w:rFonts w:asciiTheme="minorHAnsi" w:hAnsiTheme="minorHAnsi"/>
                <w:b/>
                <w:bCs/>
                <w:color w:val="000000"/>
                <w:sz w:val="18"/>
              </w:rPr>
              <w:t>Mallrat kryesorë të akcizës</w:t>
            </w:r>
          </w:p>
        </w:tc>
        <w:tc>
          <w:tcPr>
            <w:tcW w:w="956" w:type="dxa"/>
            <w:tcBorders>
              <w:top w:val="nil"/>
              <w:left w:val="nil"/>
              <w:bottom w:val="double" w:sz="6" w:space="0" w:color="auto"/>
              <w:right w:val="nil"/>
            </w:tcBorders>
            <w:shd w:val="clear" w:color="000000" w:fill="D9D9D9"/>
            <w:noWrap/>
            <w:vAlign w:val="bottom"/>
            <w:hideMark/>
          </w:tcPr>
          <w:p w:rsidR="00F67B4E" w:rsidRPr="00F67B4E" w:rsidRDefault="00F67B4E" w:rsidP="00F67B4E">
            <w:pPr>
              <w:spacing w:line="276" w:lineRule="auto"/>
              <w:jc w:val="center"/>
              <w:rPr>
                <w:rFonts w:asciiTheme="minorHAnsi" w:hAnsiTheme="minorHAnsi"/>
                <w:b/>
                <w:bCs/>
                <w:color w:val="000000"/>
                <w:sz w:val="18"/>
              </w:rPr>
            </w:pPr>
            <w:r w:rsidRPr="00F67B4E">
              <w:rPr>
                <w:rFonts w:asciiTheme="minorHAnsi" w:hAnsiTheme="minorHAnsi"/>
                <w:b/>
                <w:bCs/>
                <w:color w:val="000000"/>
                <w:sz w:val="18"/>
              </w:rPr>
              <w:t>Njësia</w:t>
            </w:r>
          </w:p>
        </w:tc>
        <w:tc>
          <w:tcPr>
            <w:tcW w:w="863" w:type="dxa"/>
            <w:tcBorders>
              <w:top w:val="nil"/>
              <w:left w:val="nil"/>
              <w:bottom w:val="double" w:sz="6" w:space="0" w:color="auto"/>
              <w:right w:val="nil"/>
            </w:tcBorders>
            <w:shd w:val="clear" w:color="000000" w:fill="D9D9D9"/>
            <w:noWrap/>
            <w:vAlign w:val="bottom"/>
            <w:hideMark/>
          </w:tcPr>
          <w:p w:rsidR="00F67B4E" w:rsidRPr="00F67B4E" w:rsidRDefault="00F67B4E" w:rsidP="00F67B4E">
            <w:pPr>
              <w:spacing w:line="276" w:lineRule="auto"/>
              <w:jc w:val="center"/>
              <w:rPr>
                <w:rFonts w:asciiTheme="minorHAnsi" w:hAnsiTheme="minorHAnsi"/>
                <w:b/>
                <w:bCs/>
                <w:color w:val="000000"/>
                <w:sz w:val="18"/>
              </w:rPr>
            </w:pPr>
            <w:r w:rsidRPr="00F67B4E">
              <w:rPr>
                <w:rFonts w:asciiTheme="minorHAnsi" w:hAnsiTheme="minorHAnsi"/>
                <w:b/>
                <w:bCs/>
                <w:color w:val="000000"/>
                <w:sz w:val="18"/>
              </w:rPr>
              <w:t>5M 2016</w:t>
            </w:r>
          </w:p>
        </w:tc>
        <w:tc>
          <w:tcPr>
            <w:tcW w:w="960" w:type="dxa"/>
            <w:tcBorders>
              <w:top w:val="nil"/>
              <w:left w:val="nil"/>
              <w:bottom w:val="double" w:sz="6" w:space="0" w:color="auto"/>
              <w:right w:val="nil"/>
            </w:tcBorders>
            <w:shd w:val="clear" w:color="000000" w:fill="D9D9D9"/>
            <w:noWrap/>
            <w:vAlign w:val="bottom"/>
            <w:hideMark/>
          </w:tcPr>
          <w:p w:rsidR="00F67B4E" w:rsidRPr="00F67B4E" w:rsidRDefault="00F67B4E" w:rsidP="00F67B4E">
            <w:pPr>
              <w:spacing w:line="276" w:lineRule="auto"/>
              <w:jc w:val="center"/>
              <w:rPr>
                <w:rFonts w:asciiTheme="minorHAnsi" w:hAnsiTheme="minorHAnsi"/>
                <w:b/>
                <w:bCs/>
                <w:color w:val="000000"/>
                <w:sz w:val="18"/>
              </w:rPr>
            </w:pPr>
            <w:r w:rsidRPr="00F67B4E">
              <w:rPr>
                <w:rFonts w:asciiTheme="minorHAnsi" w:hAnsiTheme="minorHAnsi"/>
                <w:b/>
                <w:bCs/>
                <w:color w:val="000000"/>
                <w:sz w:val="18"/>
              </w:rPr>
              <w:t xml:space="preserve">5M </w:t>
            </w:r>
          </w:p>
          <w:p w:rsidR="00F67B4E" w:rsidRPr="00F67B4E" w:rsidRDefault="00F67B4E" w:rsidP="00F67B4E">
            <w:pPr>
              <w:spacing w:line="276" w:lineRule="auto"/>
              <w:jc w:val="center"/>
              <w:rPr>
                <w:rFonts w:asciiTheme="minorHAnsi" w:hAnsiTheme="minorHAnsi"/>
                <w:b/>
                <w:bCs/>
                <w:color w:val="000000"/>
                <w:sz w:val="18"/>
              </w:rPr>
            </w:pPr>
            <w:r w:rsidRPr="00F67B4E">
              <w:rPr>
                <w:rFonts w:asciiTheme="minorHAnsi" w:hAnsiTheme="minorHAnsi"/>
                <w:b/>
                <w:bCs/>
                <w:color w:val="000000"/>
                <w:sz w:val="18"/>
              </w:rPr>
              <w:t>2017</w:t>
            </w:r>
          </w:p>
        </w:tc>
        <w:tc>
          <w:tcPr>
            <w:tcW w:w="1113" w:type="dxa"/>
            <w:tcBorders>
              <w:top w:val="nil"/>
              <w:left w:val="nil"/>
              <w:bottom w:val="double" w:sz="6" w:space="0" w:color="auto"/>
              <w:right w:val="nil"/>
            </w:tcBorders>
            <w:shd w:val="clear" w:color="000000" w:fill="D9D9D9"/>
            <w:noWrap/>
            <w:vAlign w:val="bottom"/>
            <w:hideMark/>
          </w:tcPr>
          <w:p w:rsidR="00F67B4E" w:rsidRPr="00F67B4E" w:rsidRDefault="00F67B4E" w:rsidP="00F67B4E">
            <w:pPr>
              <w:spacing w:line="276" w:lineRule="auto"/>
              <w:jc w:val="center"/>
              <w:rPr>
                <w:rFonts w:asciiTheme="minorHAnsi" w:hAnsiTheme="minorHAnsi"/>
                <w:b/>
                <w:bCs/>
                <w:color w:val="000000"/>
                <w:sz w:val="18"/>
              </w:rPr>
            </w:pPr>
            <w:r w:rsidRPr="00F67B4E">
              <w:rPr>
                <w:rFonts w:asciiTheme="minorHAnsi" w:hAnsiTheme="minorHAnsi"/>
                <w:b/>
                <w:bCs/>
                <w:color w:val="000000"/>
                <w:sz w:val="18"/>
              </w:rPr>
              <w:t>2017/2016</w:t>
            </w:r>
          </w:p>
        </w:tc>
        <w:tc>
          <w:tcPr>
            <w:tcW w:w="672" w:type="dxa"/>
            <w:tcBorders>
              <w:top w:val="nil"/>
              <w:left w:val="nil"/>
              <w:bottom w:val="double" w:sz="6" w:space="0" w:color="auto"/>
              <w:right w:val="nil"/>
            </w:tcBorders>
            <w:shd w:val="clear" w:color="000000" w:fill="D9D9D9"/>
            <w:noWrap/>
            <w:vAlign w:val="bottom"/>
            <w:hideMark/>
          </w:tcPr>
          <w:p w:rsidR="00F67B4E" w:rsidRPr="00F67B4E" w:rsidRDefault="00F67B4E" w:rsidP="00F67B4E">
            <w:pPr>
              <w:spacing w:line="276" w:lineRule="auto"/>
              <w:jc w:val="center"/>
              <w:rPr>
                <w:rFonts w:asciiTheme="minorHAnsi" w:hAnsiTheme="minorHAnsi"/>
                <w:b/>
                <w:bCs/>
                <w:color w:val="000000"/>
                <w:sz w:val="18"/>
              </w:rPr>
            </w:pPr>
            <w:r w:rsidRPr="00F67B4E">
              <w:rPr>
                <w:rFonts w:asciiTheme="minorHAnsi" w:hAnsiTheme="minorHAnsi"/>
                <w:b/>
                <w:bCs/>
                <w:color w:val="000000"/>
                <w:sz w:val="18"/>
              </w:rPr>
              <w:t>në %</w:t>
            </w:r>
          </w:p>
        </w:tc>
      </w:tr>
      <w:tr w:rsidR="00F67B4E" w:rsidRPr="00F67B4E" w:rsidTr="00F67B4E">
        <w:trPr>
          <w:trHeight w:val="109"/>
          <w:jc w:val="center"/>
        </w:trPr>
        <w:tc>
          <w:tcPr>
            <w:tcW w:w="3051" w:type="dxa"/>
            <w:tcBorders>
              <w:top w:val="nil"/>
              <w:left w:val="nil"/>
              <w:bottom w:val="nil"/>
              <w:right w:val="nil"/>
            </w:tcBorders>
            <w:shd w:val="clear" w:color="auto" w:fill="auto"/>
            <w:noWrap/>
            <w:vAlign w:val="bottom"/>
            <w:hideMark/>
          </w:tcPr>
          <w:p w:rsidR="00F67B4E" w:rsidRPr="00F67B4E" w:rsidRDefault="00F67B4E" w:rsidP="00F67B4E">
            <w:pPr>
              <w:spacing w:line="276" w:lineRule="auto"/>
              <w:rPr>
                <w:rFonts w:asciiTheme="minorHAnsi" w:hAnsiTheme="minorHAnsi"/>
                <w:color w:val="000000"/>
                <w:sz w:val="18"/>
              </w:rPr>
            </w:pPr>
            <w:r w:rsidRPr="00F67B4E">
              <w:rPr>
                <w:rFonts w:asciiTheme="minorHAnsi" w:hAnsiTheme="minorHAnsi"/>
                <w:color w:val="000000"/>
                <w:sz w:val="18"/>
              </w:rPr>
              <w:t>Karburant Import+ Prodhim Vendi</w:t>
            </w:r>
          </w:p>
        </w:tc>
        <w:tc>
          <w:tcPr>
            <w:tcW w:w="956"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Ton</w:t>
            </w:r>
          </w:p>
        </w:tc>
        <w:tc>
          <w:tcPr>
            <w:tcW w:w="86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195,086</w:t>
            </w:r>
          </w:p>
        </w:tc>
        <w:tc>
          <w:tcPr>
            <w:tcW w:w="960"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207,252</w:t>
            </w:r>
          </w:p>
        </w:tc>
        <w:tc>
          <w:tcPr>
            <w:tcW w:w="111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12,166</w:t>
            </w:r>
          </w:p>
        </w:tc>
        <w:tc>
          <w:tcPr>
            <w:tcW w:w="672"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6%</w:t>
            </w:r>
          </w:p>
        </w:tc>
      </w:tr>
      <w:tr w:rsidR="00F67B4E" w:rsidRPr="00F67B4E" w:rsidTr="00F67B4E">
        <w:trPr>
          <w:trHeight w:val="103"/>
          <w:jc w:val="center"/>
        </w:trPr>
        <w:tc>
          <w:tcPr>
            <w:tcW w:w="3051" w:type="dxa"/>
            <w:tcBorders>
              <w:top w:val="nil"/>
              <w:left w:val="nil"/>
              <w:bottom w:val="nil"/>
              <w:right w:val="nil"/>
            </w:tcBorders>
            <w:shd w:val="clear" w:color="auto" w:fill="auto"/>
            <w:noWrap/>
            <w:vAlign w:val="bottom"/>
            <w:hideMark/>
          </w:tcPr>
          <w:p w:rsidR="00F67B4E" w:rsidRPr="00F67B4E" w:rsidRDefault="00F67B4E" w:rsidP="00F67B4E">
            <w:pPr>
              <w:spacing w:line="276" w:lineRule="auto"/>
              <w:rPr>
                <w:rFonts w:asciiTheme="minorHAnsi" w:hAnsiTheme="minorHAnsi"/>
                <w:color w:val="000000"/>
                <w:sz w:val="18"/>
              </w:rPr>
            </w:pPr>
            <w:r w:rsidRPr="00F67B4E">
              <w:rPr>
                <w:rFonts w:asciiTheme="minorHAnsi" w:hAnsiTheme="minorHAnsi"/>
                <w:color w:val="000000"/>
                <w:sz w:val="18"/>
              </w:rPr>
              <w:t>Cigare</w:t>
            </w:r>
          </w:p>
        </w:tc>
        <w:tc>
          <w:tcPr>
            <w:tcW w:w="956"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Ton</w:t>
            </w:r>
          </w:p>
        </w:tc>
        <w:tc>
          <w:tcPr>
            <w:tcW w:w="86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1,077</w:t>
            </w:r>
          </w:p>
        </w:tc>
        <w:tc>
          <w:tcPr>
            <w:tcW w:w="960"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1,138</w:t>
            </w:r>
          </w:p>
        </w:tc>
        <w:tc>
          <w:tcPr>
            <w:tcW w:w="111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61</w:t>
            </w:r>
          </w:p>
        </w:tc>
        <w:tc>
          <w:tcPr>
            <w:tcW w:w="672"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6%</w:t>
            </w:r>
          </w:p>
        </w:tc>
      </w:tr>
      <w:tr w:rsidR="00F67B4E" w:rsidRPr="00F67B4E" w:rsidTr="00F67B4E">
        <w:trPr>
          <w:trHeight w:val="103"/>
          <w:jc w:val="center"/>
        </w:trPr>
        <w:tc>
          <w:tcPr>
            <w:tcW w:w="3051" w:type="dxa"/>
            <w:tcBorders>
              <w:top w:val="nil"/>
              <w:left w:val="nil"/>
              <w:bottom w:val="nil"/>
              <w:right w:val="nil"/>
            </w:tcBorders>
            <w:shd w:val="clear" w:color="auto" w:fill="auto"/>
            <w:noWrap/>
            <w:vAlign w:val="bottom"/>
            <w:hideMark/>
          </w:tcPr>
          <w:p w:rsidR="00F67B4E" w:rsidRPr="00F67B4E" w:rsidRDefault="00F67B4E" w:rsidP="00F67B4E">
            <w:pPr>
              <w:spacing w:line="276" w:lineRule="auto"/>
              <w:rPr>
                <w:rFonts w:asciiTheme="minorHAnsi" w:hAnsiTheme="minorHAnsi"/>
                <w:color w:val="000000"/>
                <w:sz w:val="18"/>
              </w:rPr>
            </w:pPr>
            <w:r w:rsidRPr="00F67B4E">
              <w:rPr>
                <w:rFonts w:asciiTheme="minorHAnsi" w:hAnsiTheme="minorHAnsi"/>
                <w:color w:val="000000"/>
                <w:sz w:val="18"/>
              </w:rPr>
              <w:t>Birrë Import+ Prodhim Vendi</w:t>
            </w:r>
          </w:p>
        </w:tc>
        <w:tc>
          <w:tcPr>
            <w:tcW w:w="956"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mijë litra</w:t>
            </w:r>
          </w:p>
        </w:tc>
        <w:tc>
          <w:tcPr>
            <w:tcW w:w="86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21,537</w:t>
            </w:r>
          </w:p>
        </w:tc>
        <w:tc>
          <w:tcPr>
            <w:tcW w:w="960"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23,760</w:t>
            </w:r>
          </w:p>
        </w:tc>
        <w:tc>
          <w:tcPr>
            <w:tcW w:w="111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2,223</w:t>
            </w:r>
          </w:p>
        </w:tc>
        <w:tc>
          <w:tcPr>
            <w:tcW w:w="672"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10%</w:t>
            </w:r>
          </w:p>
        </w:tc>
      </w:tr>
      <w:tr w:rsidR="00F67B4E" w:rsidRPr="00F67B4E" w:rsidTr="00F67B4E">
        <w:trPr>
          <w:trHeight w:val="103"/>
          <w:jc w:val="center"/>
        </w:trPr>
        <w:tc>
          <w:tcPr>
            <w:tcW w:w="3051" w:type="dxa"/>
            <w:tcBorders>
              <w:top w:val="nil"/>
              <w:left w:val="nil"/>
              <w:bottom w:val="nil"/>
              <w:right w:val="nil"/>
            </w:tcBorders>
            <w:shd w:val="clear" w:color="auto" w:fill="auto"/>
            <w:noWrap/>
            <w:vAlign w:val="bottom"/>
            <w:hideMark/>
          </w:tcPr>
          <w:p w:rsidR="00F67B4E" w:rsidRPr="00F67B4E" w:rsidRDefault="00F67B4E" w:rsidP="00F67B4E">
            <w:pPr>
              <w:spacing w:line="276" w:lineRule="auto"/>
              <w:rPr>
                <w:rFonts w:asciiTheme="minorHAnsi" w:hAnsiTheme="minorHAnsi"/>
                <w:color w:val="000000"/>
                <w:sz w:val="18"/>
              </w:rPr>
            </w:pPr>
            <w:r w:rsidRPr="00F67B4E">
              <w:rPr>
                <w:rFonts w:asciiTheme="minorHAnsi" w:hAnsiTheme="minorHAnsi"/>
                <w:color w:val="000000"/>
                <w:sz w:val="18"/>
              </w:rPr>
              <w:t>Pije alkolike Import+ Prodhim Vendi</w:t>
            </w:r>
          </w:p>
        </w:tc>
        <w:tc>
          <w:tcPr>
            <w:tcW w:w="956"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mijë litra</w:t>
            </w:r>
          </w:p>
        </w:tc>
        <w:tc>
          <w:tcPr>
            <w:tcW w:w="86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850</w:t>
            </w:r>
          </w:p>
        </w:tc>
        <w:tc>
          <w:tcPr>
            <w:tcW w:w="960"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825</w:t>
            </w:r>
          </w:p>
        </w:tc>
        <w:tc>
          <w:tcPr>
            <w:tcW w:w="111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(26)</w:t>
            </w:r>
          </w:p>
        </w:tc>
        <w:tc>
          <w:tcPr>
            <w:tcW w:w="672"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-3%</w:t>
            </w:r>
          </w:p>
        </w:tc>
      </w:tr>
      <w:tr w:rsidR="00F67B4E" w:rsidRPr="00F67B4E" w:rsidTr="00F67B4E">
        <w:trPr>
          <w:trHeight w:val="103"/>
          <w:jc w:val="center"/>
        </w:trPr>
        <w:tc>
          <w:tcPr>
            <w:tcW w:w="3051" w:type="dxa"/>
            <w:tcBorders>
              <w:top w:val="nil"/>
              <w:left w:val="nil"/>
              <w:bottom w:val="nil"/>
              <w:right w:val="nil"/>
            </w:tcBorders>
            <w:shd w:val="clear" w:color="auto" w:fill="auto"/>
            <w:noWrap/>
            <w:vAlign w:val="bottom"/>
            <w:hideMark/>
          </w:tcPr>
          <w:p w:rsidR="00F67B4E" w:rsidRPr="00F67B4E" w:rsidRDefault="00F67B4E" w:rsidP="00F67B4E">
            <w:pPr>
              <w:spacing w:line="276" w:lineRule="auto"/>
              <w:rPr>
                <w:rFonts w:asciiTheme="minorHAnsi" w:hAnsiTheme="minorHAnsi"/>
                <w:color w:val="000000"/>
                <w:sz w:val="18"/>
              </w:rPr>
            </w:pPr>
            <w:r w:rsidRPr="00F67B4E">
              <w:rPr>
                <w:rFonts w:asciiTheme="minorHAnsi" w:hAnsiTheme="minorHAnsi"/>
                <w:color w:val="000000"/>
                <w:sz w:val="18"/>
              </w:rPr>
              <w:t>Kafe</w:t>
            </w:r>
          </w:p>
        </w:tc>
        <w:tc>
          <w:tcPr>
            <w:tcW w:w="956"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Ton</w:t>
            </w:r>
          </w:p>
        </w:tc>
        <w:tc>
          <w:tcPr>
            <w:tcW w:w="86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3,595</w:t>
            </w:r>
          </w:p>
        </w:tc>
        <w:tc>
          <w:tcPr>
            <w:tcW w:w="960"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3,110</w:t>
            </w:r>
          </w:p>
        </w:tc>
        <w:tc>
          <w:tcPr>
            <w:tcW w:w="111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(485)</w:t>
            </w:r>
          </w:p>
        </w:tc>
        <w:tc>
          <w:tcPr>
            <w:tcW w:w="672"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-13%</w:t>
            </w:r>
          </w:p>
        </w:tc>
      </w:tr>
      <w:tr w:rsidR="00F67B4E" w:rsidRPr="00F67B4E" w:rsidTr="00F67B4E">
        <w:trPr>
          <w:trHeight w:val="103"/>
          <w:jc w:val="center"/>
        </w:trPr>
        <w:tc>
          <w:tcPr>
            <w:tcW w:w="3051" w:type="dxa"/>
            <w:tcBorders>
              <w:top w:val="nil"/>
              <w:left w:val="nil"/>
              <w:bottom w:val="nil"/>
              <w:right w:val="nil"/>
            </w:tcBorders>
            <w:shd w:val="clear" w:color="auto" w:fill="auto"/>
            <w:noWrap/>
            <w:vAlign w:val="bottom"/>
            <w:hideMark/>
          </w:tcPr>
          <w:p w:rsidR="00F67B4E" w:rsidRPr="00F67B4E" w:rsidRDefault="00F67B4E" w:rsidP="00F67B4E">
            <w:pPr>
              <w:spacing w:line="276" w:lineRule="auto"/>
              <w:rPr>
                <w:rFonts w:asciiTheme="minorHAnsi" w:hAnsiTheme="minorHAnsi"/>
                <w:color w:val="000000"/>
                <w:sz w:val="18"/>
              </w:rPr>
            </w:pPr>
            <w:r w:rsidRPr="00F67B4E">
              <w:rPr>
                <w:rFonts w:asciiTheme="minorHAnsi" w:hAnsiTheme="minorHAnsi"/>
                <w:color w:val="000000"/>
                <w:sz w:val="18"/>
              </w:rPr>
              <w:t>Verë Import+ Prodhim Vendi</w:t>
            </w:r>
          </w:p>
        </w:tc>
        <w:tc>
          <w:tcPr>
            <w:tcW w:w="956"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mijë litra</w:t>
            </w:r>
          </w:p>
        </w:tc>
        <w:tc>
          <w:tcPr>
            <w:tcW w:w="86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2,098</w:t>
            </w:r>
          </w:p>
        </w:tc>
        <w:tc>
          <w:tcPr>
            <w:tcW w:w="960"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2,608</w:t>
            </w:r>
          </w:p>
        </w:tc>
        <w:tc>
          <w:tcPr>
            <w:tcW w:w="111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510</w:t>
            </w:r>
          </w:p>
        </w:tc>
        <w:tc>
          <w:tcPr>
            <w:tcW w:w="672"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24%</w:t>
            </w:r>
          </w:p>
        </w:tc>
      </w:tr>
      <w:tr w:rsidR="00F67B4E" w:rsidRPr="00F67B4E" w:rsidTr="00F67B4E">
        <w:trPr>
          <w:trHeight w:val="103"/>
          <w:jc w:val="center"/>
        </w:trPr>
        <w:tc>
          <w:tcPr>
            <w:tcW w:w="3051" w:type="dxa"/>
            <w:tcBorders>
              <w:top w:val="nil"/>
              <w:left w:val="nil"/>
              <w:bottom w:val="nil"/>
              <w:right w:val="nil"/>
            </w:tcBorders>
            <w:shd w:val="clear" w:color="auto" w:fill="auto"/>
            <w:noWrap/>
            <w:vAlign w:val="bottom"/>
            <w:hideMark/>
          </w:tcPr>
          <w:p w:rsidR="00F67B4E" w:rsidRPr="00F67B4E" w:rsidRDefault="00F67B4E" w:rsidP="00F67B4E">
            <w:pPr>
              <w:spacing w:line="276" w:lineRule="auto"/>
              <w:rPr>
                <w:rFonts w:asciiTheme="minorHAnsi" w:hAnsiTheme="minorHAnsi"/>
                <w:color w:val="000000"/>
                <w:sz w:val="18"/>
              </w:rPr>
            </w:pPr>
            <w:r w:rsidRPr="00F67B4E">
              <w:rPr>
                <w:rFonts w:asciiTheme="minorHAnsi" w:hAnsiTheme="minorHAnsi"/>
                <w:color w:val="000000"/>
                <w:sz w:val="18"/>
              </w:rPr>
              <w:t>Gaz i Lëngët</w:t>
            </w:r>
          </w:p>
        </w:tc>
        <w:tc>
          <w:tcPr>
            <w:tcW w:w="956"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Ton</w:t>
            </w:r>
          </w:p>
        </w:tc>
        <w:tc>
          <w:tcPr>
            <w:tcW w:w="86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39,952</w:t>
            </w:r>
          </w:p>
        </w:tc>
        <w:tc>
          <w:tcPr>
            <w:tcW w:w="960"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46,745</w:t>
            </w:r>
          </w:p>
        </w:tc>
        <w:tc>
          <w:tcPr>
            <w:tcW w:w="1113"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6,793</w:t>
            </w:r>
          </w:p>
        </w:tc>
        <w:tc>
          <w:tcPr>
            <w:tcW w:w="672" w:type="dxa"/>
            <w:tcBorders>
              <w:top w:val="nil"/>
              <w:left w:val="nil"/>
              <w:bottom w:val="nil"/>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17%</w:t>
            </w:r>
          </w:p>
        </w:tc>
      </w:tr>
      <w:tr w:rsidR="00F67B4E" w:rsidRPr="00F67B4E" w:rsidTr="00F67B4E">
        <w:trPr>
          <w:trHeight w:val="109"/>
          <w:jc w:val="center"/>
        </w:trPr>
        <w:tc>
          <w:tcPr>
            <w:tcW w:w="3051" w:type="dxa"/>
            <w:tcBorders>
              <w:top w:val="nil"/>
              <w:left w:val="nil"/>
              <w:bottom w:val="double" w:sz="6" w:space="0" w:color="auto"/>
              <w:right w:val="nil"/>
            </w:tcBorders>
            <w:shd w:val="clear" w:color="auto" w:fill="auto"/>
            <w:noWrap/>
            <w:vAlign w:val="bottom"/>
            <w:hideMark/>
          </w:tcPr>
          <w:p w:rsidR="00F67B4E" w:rsidRPr="00F67B4E" w:rsidRDefault="00F67B4E" w:rsidP="00F67B4E">
            <w:pPr>
              <w:spacing w:line="276" w:lineRule="auto"/>
              <w:rPr>
                <w:rFonts w:asciiTheme="minorHAnsi" w:hAnsiTheme="minorHAnsi"/>
                <w:color w:val="000000"/>
                <w:sz w:val="18"/>
              </w:rPr>
            </w:pPr>
            <w:r w:rsidRPr="00F67B4E">
              <w:rPr>
                <w:rFonts w:asciiTheme="minorHAnsi" w:hAnsiTheme="minorHAnsi"/>
                <w:color w:val="000000"/>
                <w:sz w:val="18"/>
              </w:rPr>
              <w:t>Pije energjike Import+ Prodhim Vendi</w:t>
            </w:r>
          </w:p>
        </w:tc>
        <w:tc>
          <w:tcPr>
            <w:tcW w:w="956" w:type="dxa"/>
            <w:tcBorders>
              <w:top w:val="nil"/>
              <w:left w:val="nil"/>
              <w:bottom w:val="double" w:sz="6" w:space="0" w:color="auto"/>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mijë litra</w:t>
            </w:r>
          </w:p>
        </w:tc>
        <w:tc>
          <w:tcPr>
            <w:tcW w:w="863" w:type="dxa"/>
            <w:tcBorders>
              <w:top w:val="nil"/>
              <w:left w:val="nil"/>
              <w:bottom w:val="double" w:sz="6" w:space="0" w:color="auto"/>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2,544</w:t>
            </w:r>
          </w:p>
        </w:tc>
        <w:tc>
          <w:tcPr>
            <w:tcW w:w="960" w:type="dxa"/>
            <w:tcBorders>
              <w:top w:val="nil"/>
              <w:left w:val="nil"/>
              <w:bottom w:val="double" w:sz="6" w:space="0" w:color="auto"/>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3,144</w:t>
            </w:r>
          </w:p>
        </w:tc>
        <w:tc>
          <w:tcPr>
            <w:tcW w:w="1113" w:type="dxa"/>
            <w:tcBorders>
              <w:top w:val="nil"/>
              <w:left w:val="nil"/>
              <w:bottom w:val="double" w:sz="6" w:space="0" w:color="auto"/>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600</w:t>
            </w:r>
          </w:p>
        </w:tc>
        <w:tc>
          <w:tcPr>
            <w:tcW w:w="672" w:type="dxa"/>
            <w:tcBorders>
              <w:top w:val="nil"/>
              <w:left w:val="nil"/>
              <w:bottom w:val="double" w:sz="6" w:space="0" w:color="auto"/>
              <w:right w:val="nil"/>
            </w:tcBorders>
            <w:shd w:val="clear" w:color="auto" w:fill="auto"/>
            <w:noWrap/>
            <w:vAlign w:val="bottom"/>
            <w:hideMark/>
          </w:tcPr>
          <w:p w:rsidR="00F67B4E" w:rsidRPr="00F67B4E" w:rsidRDefault="00F67B4E" w:rsidP="00F67B4E">
            <w:pPr>
              <w:spacing w:line="276" w:lineRule="auto"/>
              <w:jc w:val="center"/>
              <w:rPr>
                <w:rFonts w:asciiTheme="minorHAnsi" w:hAnsiTheme="minorHAnsi"/>
                <w:color w:val="000000"/>
                <w:sz w:val="18"/>
              </w:rPr>
            </w:pPr>
            <w:r w:rsidRPr="00F67B4E">
              <w:rPr>
                <w:rFonts w:asciiTheme="minorHAnsi" w:hAnsiTheme="minorHAnsi"/>
                <w:color w:val="000000"/>
                <w:sz w:val="18"/>
              </w:rPr>
              <w:t>24%</w:t>
            </w:r>
          </w:p>
        </w:tc>
      </w:tr>
    </w:tbl>
    <w:p w:rsidR="0017690C" w:rsidRPr="0017690C" w:rsidRDefault="0017690C" w:rsidP="0017690C">
      <w:pPr>
        <w:tabs>
          <w:tab w:val="left" w:pos="2511"/>
          <w:tab w:val="center" w:pos="4680"/>
        </w:tabs>
        <w:spacing w:line="276" w:lineRule="auto"/>
        <w:jc w:val="both"/>
        <w:rPr>
          <w:rFonts w:asciiTheme="minorHAnsi" w:hAnsiTheme="minorHAnsi"/>
          <w:sz w:val="12"/>
          <w:szCs w:val="12"/>
        </w:rPr>
      </w:pPr>
    </w:p>
    <w:p w:rsidR="0017690C" w:rsidRPr="009C40B4" w:rsidRDefault="0017690C" w:rsidP="0017690C">
      <w:pPr>
        <w:tabs>
          <w:tab w:val="left" w:pos="2511"/>
          <w:tab w:val="center" w:pos="4680"/>
        </w:tabs>
        <w:spacing w:line="276" w:lineRule="auto"/>
        <w:jc w:val="both"/>
        <w:rPr>
          <w:rFonts w:asciiTheme="minorHAnsi" w:hAnsiTheme="minorHAnsi"/>
        </w:rPr>
      </w:pPr>
      <w:r w:rsidRPr="009C40B4">
        <w:rPr>
          <w:rFonts w:asciiTheme="minorHAnsi" w:hAnsiTheme="minorHAnsi"/>
        </w:rPr>
        <w:t>Grup</w:t>
      </w:r>
      <w:r>
        <w:rPr>
          <w:rFonts w:asciiTheme="minorHAnsi" w:hAnsiTheme="minorHAnsi"/>
        </w:rPr>
        <w:t>-</w:t>
      </w:r>
      <w:r w:rsidRPr="009C40B4">
        <w:rPr>
          <w:rFonts w:asciiTheme="minorHAnsi" w:hAnsiTheme="minorHAnsi"/>
        </w:rPr>
        <w:t>produktet me kontribut pozitiv në të ardhura rezultuan: karburant prodhim vendi, gaz i lëngët, cigare, verë importi, dhe birrë importi. Ndërsa produktet me efekt negativ në të ardhura rezultuan: karburant importi, bateritë dhe akumulatorët, pije energjike prodhim vendi dhe verë prodhim vendi.</w:t>
      </w:r>
    </w:p>
    <w:p w:rsidR="00563387" w:rsidRPr="00563387" w:rsidRDefault="00563387" w:rsidP="0017690C">
      <w:pPr>
        <w:spacing w:line="276" w:lineRule="auto"/>
        <w:jc w:val="both"/>
        <w:rPr>
          <w:rFonts w:asciiTheme="minorHAnsi" w:eastAsia="SimSun" w:hAnsiTheme="minorHAnsi"/>
          <w:i/>
          <w:sz w:val="8"/>
          <w:szCs w:val="8"/>
          <w:lang w:val="sq-AL"/>
        </w:rPr>
      </w:pPr>
    </w:p>
    <w:p w:rsidR="0017690C" w:rsidRDefault="0017690C" w:rsidP="0017690C">
      <w:pPr>
        <w:spacing w:line="276" w:lineRule="auto"/>
        <w:jc w:val="both"/>
        <w:rPr>
          <w:rFonts w:asciiTheme="minorHAnsi" w:hAnsiTheme="minorHAns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3</w:t>
      </w:r>
      <w:r w:rsidRPr="007138C5">
        <w:rPr>
          <w:rFonts w:asciiTheme="minorHAnsi" w:eastAsia="SimSun" w:hAnsiTheme="minorHAnsi"/>
          <w:i/>
          <w:lang w:val="sq-AL"/>
        </w:rPr>
        <w:t>:</w:t>
      </w:r>
      <w:r w:rsidRPr="007138C5">
        <w:rPr>
          <w:rFonts w:asciiTheme="minorHAnsi" w:eastAsia="SimSun" w:hAnsiTheme="minorHAnsi"/>
          <w:i/>
          <w:lang w:val="sq-AL"/>
        </w:rPr>
        <w:tab/>
      </w:r>
      <w:r w:rsidRPr="0017690C">
        <w:rPr>
          <w:rFonts w:asciiTheme="minorHAnsi" w:hAnsiTheme="minorHAnsi"/>
          <w:lang w:val="sq-AL"/>
        </w:rPr>
        <w:t>Kontribuesit pozitivë në të ardhurat nga Akciza</w:t>
      </w:r>
    </w:p>
    <w:tbl>
      <w:tblPr>
        <w:tblW w:w="9172" w:type="dxa"/>
        <w:jc w:val="center"/>
        <w:tblCellMar>
          <w:left w:w="0" w:type="dxa"/>
          <w:right w:w="0" w:type="dxa"/>
        </w:tblCellMar>
        <w:tblLook w:val="0600" w:firstRow="0" w:lastRow="0" w:firstColumn="0" w:lastColumn="0" w:noHBand="1" w:noVBand="1"/>
      </w:tblPr>
      <w:tblGrid>
        <w:gridCol w:w="2062"/>
        <w:gridCol w:w="810"/>
        <w:gridCol w:w="900"/>
        <w:gridCol w:w="1710"/>
        <w:gridCol w:w="1890"/>
        <w:gridCol w:w="1800"/>
      </w:tblGrid>
      <w:tr w:rsidR="0017690C" w:rsidRPr="000C0902" w:rsidTr="0017690C">
        <w:trPr>
          <w:trHeight w:val="116"/>
          <w:jc w:val="center"/>
        </w:trPr>
        <w:tc>
          <w:tcPr>
            <w:tcW w:w="9172" w:type="dxa"/>
            <w:gridSpan w:val="6"/>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Diferencat Janar- Maj 2017/2016</w:t>
            </w:r>
          </w:p>
        </w:tc>
      </w:tr>
      <w:tr w:rsidR="0017690C" w:rsidRPr="000C0902" w:rsidTr="0017690C">
        <w:trPr>
          <w:trHeight w:val="116"/>
          <w:jc w:val="center"/>
        </w:trPr>
        <w:tc>
          <w:tcPr>
            <w:tcW w:w="9172" w:type="dxa"/>
            <w:gridSpan w:val="6"/>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color w:val="FF0000"/>
                <w:sz w:val="18"/>
              </w:rPr>
              <w:t>Produktet me kontribut pozitiv</w:t>
            </w:r>
          </w:p>
        </w:tc>
      </w:tr>
      <w:tr w:rsidR="0017690C" w:rsidRPr="000C0902" w:rsidTr="0017690C">
        <w:trPr>
          <w:trHeight w:val="207"/>
          <w:jc w:val="center"/>
        </w:trPr>
        <w:tc>
          <w:tcPr>
            <w:tcW w:w="2062"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c>
          <w:tcPr>
            <w:tcW w:w="8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Njësia</w:t>
            </w:r>
          </w:p>
        </w:tc>
        <w:tc>
          <w:tcPr>
            <w:tcW w:w="90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Sasi</w:t>
            </w:r>
          </w:p>
        </w:tc>
        <w:tc>
          <w:tcPr>
            <w:tcW w:w="17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w:t>
            </w:r>
          </w:p>
        </w:tc>
        <w:tc>
          <w:tcPr>
            <w:tcW w:w="189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Akciza në milion lekë</w:t>
            </w:r>
          </w:p>
        </w:tc>
        <w:tc>
          <w:tcPr>
            <w:tcW w:w="180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w:t>
            </w:r>
          </w:p>
        </w:tc>
      </w:tr>
      <w:tr w:rsidR="0017690C" w:rsidRPr="000C0902" w:rsidTr="0017690C">
        <w:trPr>
          <w:trHeight w:val="222"/>
          <w:jc w:val="center"/>
        </w:trPr>
        <w:tc>
          <w:tcPr>
            <w:tcW w:w="206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Karburant prodhim vendi</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Ton</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69,243</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23.7 herë  më shumë</w:t>
            </w:r>
          </w:p>
        </w:tc>
        <w:tc>
          <w:tcPr>
            <w:tcW w:w="18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3,043</w:t>
            </w:r>
          </w:p>
        </w:tc>
        <w:tc>
          <w:tcPr>
            <w:tcW w:w="18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27.6 herë më shumë</w:t>
            </w:r>
          </w:p>
        </w:tc>
      </w:tr>
      <w:tr w:rsidR="0017690C" w:rsidRPr="000C0902" w:rsidTr="0017690C">
        <w:trPr>
          <w:trHeight w:val="217"/>
          <w:jc w:val="center"/>
        </w:trPr>
        <w:tc>
          <w:tcPr>
            <w:tcW w:w="206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Gaz i lëngët</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Ton</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6,793</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17%</w:t>
            </w:r>
          </w:p>
        </w:tc>
        <w:tc>
          <w:tcPr>
            <w:tcW w:w="18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298</w:t>
            </w:r>
          </w:p>
        </w:tc>
        <w:tc>
          <w:tcPr>
            <w:tcW w:w="18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lang w:val="pl-PL"/>
              </w:rPr>
              <w:t>nga 0 në 298 mln lekë</w:t>
            </w:r>
          </w:p>
        </w:tc>
      </w:tr>
      <w:tr w:rsidR="0017690C" w:rsidRPr="000C0902" w:rsidTr="0017690C">
        <w:trPr>
          <w:trHeight w:val="156"/>
          <w:jc w:val="center"/>
        </w:trPr>
        <w:tc>
          <w:tcPr>
            <w:tcW w:w="206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Cigare</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Ton</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61</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6%</w:t>
            </w:r>
          </w:p>
        </w:tc>
        <w:tc>
          <w:tcPr>
            <w:tcW w:w="18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247</w:t>
            </w:r>
          </w:p>
        </w:tc>
        <w:tc>
          <w:tcPr>
            <w:tcW w:w="18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4%</w:t>
            </w:r>
          </w:p>
        </w:tc>
      </w:tr>
      <w:tr w:rsidR="0017690C" w:rsidRPr="000C0902" w:rsidTr="0017690C">
        <w:trPr>
          <w:trHeight w:val="143"/>
          <w:jc w:val="center"/>
        </w:trPr>
        <w:tc>
          <w:tcPr>
            <w:tcW w:w="206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Verë Importi</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mijë lit</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568</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40%</w:t>
            </w:r>
          </w:p>
        </w:tc>
        <w:tc>
          <w:tcPr>
            <w:tcW w:w="18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37</w:t>
            </w:r>
          </w:p>
        </w:tc>
        <w:tc>
          <w:tcPr>
            <w:tcW w:w="18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50%</w:t>
            </w:r>
          </w:p>
        </w:tc>
      </w:tr>
      <w:tr w:rsidR="0017690C" w:rsidRPr="000C0902" w:rsidTr="0017690C">
        <w:trPr>
          <w:trHeight w:val="222"/>
          <w:jc w:val="center"/>
        </w:trPr>
        <w:tc>
          <w:tcPr>
            <w:tcW w:w="206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Birrë Importi</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mijë lit</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1,884</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20%</w:t>
            </w:r>
          </w:p>
        </w:tc>
        <w:tc>
          <w:tcPr>
            <w:tcW w:w="18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32</w:t>
            </w:r>
          </w:p>
        </w:tc>
        <w:tc>
          <w:tcPr>
            <w:tcW w:w="18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12%</w:t>
            </w:r>
          </w:p>
        </w:tc>
      </w:tr>
      <w:tr w:rsidR="0017690C" w:rsidRPr="000C0902" w:rsidTr="0017690C">
        <w:trPr>
          <w:trHeight w:val="133"/>
          <w:jc w:val="center"/>
        </w:trPr>
        <w:tc>
          <w:tcPr>
            <w:tcW w:w="2062"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Efekti total</w:t>
            </w:r>
          </w:p>
        </w:tc>
        <w:tc>
          <w:tcPr>
            <w:tcW w:w="8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c>
          <w:tcPr>
            <w:tcW w:w="90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c>
          <w:tcPr>
            <w:tcW w:w="17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c>
          <w:tcPr>
            <w:tcW w:w="189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3,657</w:t>
            </w:r>
          </w:p>
        </w:tc>
        <w:tc>
          <w:tcPr>
            <w:tcW w:w="180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r>
    </w:tbl>
    <w:p w:rsidR="008C512C" w:rsidRPr="0017690C" w:rsidRDefault="008C512C" w:rsidP="0017690C">
      <w:pPr>
        <w:tabs>
          <w:tab w:val="left" w:pos="2511"/>
          <w:tab w:val="center" w:pos="4680"/>
          <w:tab w:val="left" w:pos="9360"/>
        </w:tabs>
        <w:spacing w:line="276" w:lineRule="auto"/>
        <w:jc w:val="center"/>
        <w:rPr>
          <w:rFonts w:asciiTheme="minorHAnsi" w:hAnsiTheme="minorHAnsi"/>
          <w:noProof/>
          <w:sz w:val="20"/>
          <w:lang w:val="sq-AL"/>
        </w:rPr>
      </w:pPr>
    </w:p>
    <w:p w:rsidR="0017690C" w:rsidRDefault="0017690C" w:rsidP="0017690C">
      <w:pPr>
        <w:spacing w:line="276" w:lineRule="auto"/>
        <w:jc w:val="both"/>
        <w:rPr>
          <w:rFonts w:asciiTheme="minorHAnsi" w:hAnsiTheme="minorHAns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4</w:t>
      </w:r>
      <w:r w:rsidRPr="007138C5">
        <w:rPr>
          <w:rFonts w:asciiTheme="minorHAnsi" w:eastAsia="SimSun" w:hAnsiTheme="minorHAnsi"/>
          <w:i/>
          <w:lang w:val="sq-AL"/>
        </w:rPr>
        <w:t>:</w:t>
      </w:r>
      <w:r w:rsidRPr="007138C5">
        <w:rPr>
          <w:rFonts w:asciiTheme="minorHAnsi" w:eastAsia="SimSun" w:hAnsiTheme="minorHAnsi"/>
          <w:i/>
          <w:lang w:val="sq-AL"/>
        </w:rPr>
        <w:tab/>
      </w:r>
      <w:r w:rsidRPr="0017690C">
        <w:rPr>
          <w:rFonts w:asciiTheme="minorHAnsi" w:hAnsiTheme="minorHAnsi"/>
          <w:lang w:val="sq-AL"/>
        </w:rPr>
        <w:t>Kontribuesit negativë në të ardhurat nga Akciza</w:t>
      </w:r>
    </w:p>
    <w:tbl>
      <w:tblPr>
        <w:tblW w:w="9442" w:type="dxa"/>
        <w:jc w:val="center"/>
        <w:tblCellMar>
          <w:left w:w="0" w:type="dxa"/>
          <w:right w:w="0" w:type="dxa"/>
        </w:tblCellMar>
        <w:tblLook w:val="0600" w:firstRow="0" w:lastRow="0" w:firstColumn="0" w:lastColumn="0" w:noHBand="1" w:noVBand="1"/>
      </w:tblPr>
      <w:tblGrid>
        <w:gridCol w:w="2242"/>
        <w:gridCol w:w="720"/>
        <w:gridCol w:w="990"/>
        <w:gridCol w:w="1710"/>
        <w:gridCol w:w="1980"/>
        <w:gridCol w:w="1800"/>
      </w:tblGrid>
      <w:tr w:rsidR="0017690C" w:rsidRPr="000C0902" w:rsidTr="0017690C">
        <w:trPr>
          <w:trHeight w:val="194"/>
          <w:jc w:val="center"/>
        </w:trPr>
        <w:tc>
          <w:tcPr>
            <w:tcW w:w="9442" w:type="dxa"/>
            <w:gridSpan w:val="6"/>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Diferencat Janar- Maj 2017/2016</w:t>
            </w:r>
          </w:p>
        </w:tc>
      </w:tr>
      <w:tr w:rsidR="0017690C" w:rsidRPr="000C0902" w:rsidTr="0017690C">
        <w:trPr>
          <w:trHeight w:val="194"/>
          <w:jc w:val="center"/>
        </w:trPr>
        <w:tc>
          <w:tcPr>
            <w:tcW w:w="9442" w:type="dxa"/>
            <w:gridSpan w:val="6"/>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color w:val="FF0000"/>
                <w:sz w:val="18"/>
              </w:rPr>
              <w:t>Produktet me kontribut negativ</w:t>
            </w:r>
          </w:p>
        </w:tc>
      </w:tr>
      <w:tr w:rsidR="0017690C" w:rsidRPr="000C0902" w:rsidTr="0017690C">
        <w:trPr>
          <w:trHeight w:val="284"/>
          <w:jc w:val="center"/>
        </w:trPr>
        <w:tc>
          <w:tcPr>
            <w:tcW w:w="2242"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c>
          <w:tcPr>
            <w:tcW w:w="72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Njësia</w:t>
            </w:r>
          </w:p>
        </w:tc>
        <w:tc>
          <w:tcPr>
            <w:tcW w:w="99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Sasi</w:t>
            </w:r>
          </w:p>
        </w:tc>
        <w:tc>
          <w:tcPr>
            <w:tcW w:w="171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w:t>
            </w:r>
          </w:p>
        </w:tc>
        <w:tc>
          <w:tcPr>
            <w:tcW w:w="198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Akciza në milion lekë</w:t>
            </w:r>
          </w:p>
        </w:tc>
        <w:tc>
          <w:tcPr>
            <w:tcW w:w="180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w:t>
            </w:r>
          </w:p>
        </w:tc>
      </w:tr>
      <w:tr w:rsidR="0017690C" w:rsidRPr="000C0902" w:rsidTr="0017690C">
        <w:trPr>
          <w:trHeight w:val="277"/>
          <w:jc w:val="center"/>
        </w:trPr>
        <w:tc>
          <w:tcPr>
            <w:tcW w:w="224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Karburante import</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Ton</w:t>
            </w:r>
          </w:p>
        </w:tc>
        <w:tc>
          <w:tcPr>
            <w:tcW w:w="99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(57,077)</w:t>
            </w:r>
          </w:p>
        </w:tc>
        <w:tc>
          <w:tcPr>
            <w:tcW w:w="17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-30%</w:t>
            </w:r>
          </w:p>
        </w:tc>
        <w:tc>
          <w:tcPr>
            <w:tcW w:w="198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(2,540)</w:t>
            </w:r>
          </w:p>
        </w:tc>
        <w:tc>
          <w:tcPr>
            <w:tcW w:w="180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-30%</w:t>
            </w:r>
          </w:p>
        </w:tc>
      </w:tr>
      <w:tr w:rsidR="0017690C" w:rsidRPr="000C0902" w:rsidTr="0017690C">
        <w:trPr>
          <w:trHeight w:val="294"/>
          <w:jc w:val="center"/>
        </w:trPr>
        <w:tc>
          <w:tcPr>
            <w:tcW w:w="224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Bateritë, Akumulatorët</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Ton</w:t>
            </w:r>
          </w:p>
        </w:tc>
        <w:tc>
          <w:tcPr>
            <w:tcW w:w="99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(317)</w:t>
            </w:r>
          </w:p>
        </w:tc>
        <w:tc>
          <w:tcPr>
            <w:tcW w:w="17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-24%</w:t>
            </w:r>
          </w:p>
        </w:tc>
        <w:tc>
          <w:tcPr>
            <w:tcW w:w="198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(7)</w:t>
            </w:r>
          </w:p>
        </w:tc>
        <w:tc>
          <w:tcPr>
            <w:tcW w:w="180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-22%</w:t>
            </w:r>
          </w:p>
        </w:tc>
      </w:tr>
      <w:tr w:rsidR="0017690C" w:rsidRPr="000C0902" w:rsidTr="0017690C">
        <w:trPr>
          <w:trHeight w:val="277"/>
          <w:jc w:val="center"/>
        </w:trPr>
        <w:tc>
          <w:tcPr>
            <w:tcW w:w="224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Pije energjike Prodhim Vendi</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mijë lit</w:t>
            </w:r>
          </w:p>
        </w:tc>
        <w:tc>
          <w:tcPr>
            <w:tcW w:w="99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(66)</w:t>
            </w:r>
          </w:p>
        </w:tc>
        <w:tc>
          <w:tcPr>
            <w:tcW w:w="17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nga 66 në 0 mijë litra</w:t>
            </w:r>
          </w:p>
        </w:tc>
        <w:tc>
          <w:tcPr>
            <w:tcW w:w="198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w:t>
            </w:r>
          </w:p>
        </w:tc>
        <w:tc>
          <w:tcPr>
            <w:tcW w:w="180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lang w:val="it-IT"/>
              </w:rPr>
              <w:t>nga 2 në 0 milion lekë</w:t>
            </w:r>
          </w:p>
        </w:tc>
      </w:tr>
      <w:tr w:rsidR="0017690C" w:rsidRPr="000C0902" w:rsidTr="0017690C">
        <w:trPr>
          <w:trHeight w:val="277"/>
          <w:jc w:val="center"/>
        </w:trPr>
        <w:tc>
          <w:tcPr>
            <w:tcW w:w="224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rPr>
                <w:rFonts w:asciiTheme="minorHAnsi" w:hAnsiTheme="minorHAnsi"/>
                <w:bCs/>
                <w:sz w:val="18"/>
              </w:rPr>
            </w:pPr>
            <w:r w:rsidRPr="000C0902">
              <w:rPr>
                <w:rFonts w:asciiTheme="minorHAnsi" w:hAnsiTheme="minorHAnsi"/>
                <w:bCs/>
                <w:sz w:val="18"/>
              </w:rPr>
              <w:t>Verë prodhim vendi</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mijë lit</w:t>
            </w:r>
          </w:p>
        </w:tc>
        <w:tc>
          <w:tcPr>
            <w:tcW w:w="99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(58)</w:t>
            </w:r>
          </w:p>
        </w:tc>
        <w:tc>
          <w:tcPr>
            <w:tcW w:w="17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-9%</w:t>
            </w:r>
          </w:p>
        </w:tc>
        <w:tc>
          <w:tcPr>
            <w:tcW w:w="198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(2)</w:t>
            </w:r>
          </w:p>
        </w:tc>
        <w:tc>
          <w:tcPr>
            <w:tcW w:w="180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Cs/>
                <w:sz w:val="18"/>
              </w:rPr>
            </w:pPr>
            <w:r w:rsidRPr="000C0902">
              <w:rPr>
                <w:rFonts w:asciiTheme="minorHAnsi" w:hAnsiTheme="minorHAnsi"/>
                <w:bCs/>
                <w:sz w:val="18"/>
              </w:rPr>
              <w:t>-8%</w:t>
            </w:r>
          </w:p>
        </w:tc>
      </w:tr>
      <w:tr w:rsidR="0017690C" w:rsidRPr="000C0902" w:rsidTr="0017690C">
        <w:trPr>
          <w:trHeight w:val="194"/>
          <w:jc w:val="center"/>
        </w:trPr>
        <w:tc>
          <w:tcPr>
            <w:tcW w:w="2242"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Efekti total</w:t>
            </w:r>
          </w:p>
        </w:tc>
        <w:tc>
          <w:tcPr>
            <w:tcW w:w="72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c>
          <w:tcPr>
            <w:tcW w:w="99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c>
          <w:tcPr>
            <w:tcW w:w="171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c>
          <w:tcPr>
            <w:tcW w:w="198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r w:rsidRPr="000C0902">
              <w:rPr>
                <w:rFonts w:asciiTheme="minorHAnsi" w:hAnsiTheme="minorHAnsi"/>
                <w:b/>
                <w:bCs/>
                <w:sz w:val="18"/>
              </w:rPr>
              <w:t>(2,551)</w:t>
            </w:r>
          </w:p>
        </w:tc>
        <w:tc>
          <w:tcPr>
            <w:tcW w:w="180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17690C" w:rsidRPr="000C0902" w:rsidRDefault="0017690C" w:rsidP="0017690C">
            <w:pPr>
              <w:tabs>
                <w:tab w:val="left" w:pos="2511"/>
                <w:tab w:val="center" w:pos="4680"/>
              </w:tabs>
              <w:spacing w:line="276" w:lineRule="auto"/>
              <w:jc w:val="center"/>
              <w:rPr>
                <w:rFonts w:asciiTheme="minorHAnsi" w:hAnsiTheme="minorHAnsi"/>
                <w:b/>
                <w:bCs/>
                <w:sz w:val="18"/>
              </w:rPr>
            </w:pPr>
          </w:p>
        </w:tc>
      </w:tr>
    </w:tbl>
    <w:p w:rsidR="008C512C" w:rsidRPr="0089630D" w:rsidRDefault="008C512C" w:rsidP="0017690C">
      <w:pPr>
        <w:tabs>
          <w:tab w:val="left" w:pos="2511"/>
          <w:tab w:val="center" w:pos="4680"/>
          <w:tab w:val="left" w:pos="9360"/>
        </w:tabs>
        <w:spacing w:line="276" w:lineRule="auto"/>
        <w:jc w:val="center"/>
        <w:rPr>
          <w:rFonts w:asciiTheme="minorHAnsi" w:hAnsiTheme="minorHAnsi"/>
          <w:noProof/>
          <w:lang w:val="sq-AL"/>
        </w:rPr>
      </w:pPr>
    </w:p>
    <w:p w:rsidR="00302B52" w:rsidRDefault="00302B52" w:rsidP="00302B52">
      <w:pPr>
        <w:tabs>
          <w:tab w:val="left" w:pos="2511"/>
          <w:tab w:val="center" w:pos="4680"/>
        </w:tabs>
        <w:spacing w:line="276" w:lineRule="auto"/>
        <w:jc w:val="both"/>
        <w:rPr>
          <w:rFonts w:asciiTheme="minorHAnsi" w:hAnsiTheme="minorHAnsi"/>
        </w:rPr>
      </w:pPr>
      <w:r w:rsidRPr="009C40B4">
        <w:rPr>
          <w:rFonts w:asciiTheme="minorHAnsi" w:hAnsiTheme="minorHAnsi"/>
          <w:b/>
          <w:i/>
        </w:rPr>
        <w:t>Të ardhurat nga TVSH-ja në import</w:t>
      </w:r>
      <w:r w:rsidRPr="009C40B4">
        <w:rPr>
          <w:rFonts w:asciiTheme="minorHAnsi" w:hAnsiTheme="minorHAnsi"/>
        </w:rPr>
        <w:t xml:space="preserve">  janë realizuar në vlerën 39 miliard lekë, 5.3% ose rreth 2 miliard lekë  më shumë se 5 mujori i vitit 2016 dhe 7% ose rreth 2.6 miliard lekë më shumë se plani. Rritja e prodhimit </w:t>
      </w:r>
      <w:proofErr w:type="gramStart"/>
      <w:r w:rsidRPr="009C40B4">
        <w:rPr>
          <w:rFonts w:asciiTheme="minorHAnsi" w:hAnsiTheme="minorHAnsi"/>
        </w:rPr>
        <w:t>vendas</w:t>
      </w:r>
      <w:proofErr w:type="gramEnd"/>
      <w:r w:rsidRPr="009C40B4">
        <w:rPr>
          <w:rFonts w:asciiTheme="minorHAnsi" w:hAnsiTheme="minorHAnsi"/>
        </w:rPr>
        <w:t xml:space="preserve"> të energjisë elektrike dhe karburantit ka ulur importin e këtyre produkteve dhe si rrjedhojë të ardhurat nga TVSH- ja në import. Importi i Energjisë Elektrike është ulur me 6.9% krahasuar me Janar- Maj 2016 me efekt në të ardhura –51 milion lekë. Karburanti prodhim </w:t>
      </w:r>
      <w:proofErr w:type="gramStart"/>
      <w:r w:rsidRPr="009C40B4">
        <w:rPr>
          <w:rFonts w:asciiTheme="minorHAnsi" w:hAnsiTheme="minorHAnsi"/>
        </w:rPr>
        <w:t>vendas</w:t>
      </w:r>
      <w:proofErr w:type="gramEnd"/>
      <w:r w:rsidRPr="009C40B4">
        <w:rPr>
          <w:rFonts w:asciiTheme="minorHAnsi" w:hAnsiTheme="minorHAnsi"/>
        </w:rPr>
        <w:t xml:space="preserve"> mbuloi rreth 34.8% të konsumit gjatë 5 mujorit të parë të vitit 2017 krahasuar me 1.5% që ishte ky tregues vitin e kaluar. Grup</w:t>
      </w:r>
      <w:r>
        <w:rPr>
          <w:rFonts w:asciiTheme="minorHAnsi" w:hAnsiTheme="minorHAnsi"/>
        </w:rPr>
        <w:t>-</w:t>
      </w:r>
      <w:r w:rsidRPr="009C40B4">
        <w:rPr>
          <w:rFonts w:asciiTheme="minorHAnsi" w:hAnsiTheme="minorHAnsi"/>
        </w:rPr>
        <w:t>produktet me kontribut pozitiv në të ardhurat nga TVSH në import rezultuan: metalet bazë dhe artikujt prej tyre, automjetet e përdorura, gaz i lëngët, veshjet tekstile, automjetet e reja dhe plastika. Karburanti i importit rezultoi zëri kryesor me efekt negativ në të ardhurat nga TVSH në import.</w:t>
      </w:r>
    </w:p>
    <w:p w:rsidR="00FC76FF" w:rsidRPr="0089630D" w:rsidRDefault="00FC76FF" w:rsidP="00302B52">
      <w:pPr>
        <w:tabs>
          <w:tab w:val="left" w:pos="2511"/>
          <w:tab w:val="center" w:pos="4680"/>
        </w:tabs>
        <w:spacing w:line="276" w:lineRule="auto"/>
        <w:jc w:val="both"/>
        <w:rPr>
          <w:rFonts w:asciiTheme="minorHAnsi" w:hAnsiTheme="minorHAnsi"/>
          <w:sz w:val="12"/>
          <w:szCs w:val="8"/>
        </w:rPr>
      </w:pPr>
    </w:p>
    <w:p w:rsidR="00302B52" w:rsidRDefault="00302B52" w:rsidP="00302B52">
      <w:pPr>
        <w:spacing w:line="276" w:lineRule="auto"/>
        <w:jc w:val="both"/>
        <w:rPr>
          <w:rFonts w:asciiTheme="minorHAnsi" w:hAnsiTheme="minorHAns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5</w:t>
      </w:r>
      <w:r w:rsidRPr="007138C5">
        <w:rPr>
          <w:rFonts w:asciiTheme="minorHAnsi" w:eastAsia="SimSun" w:hAnsiTheme="minorHAnsi"/>
          <w:i/>
          <w:lang w:val="sq-AL"/>
        </w:rPr>
        <w:t>:</w:t>
      </w:r>
      <w:r w:rsidRPr="007138C5">
        <w:rPr>
          <w:rFonts w:asciiTheme="minorHAnsi" w:eastAsia="SimSun" w:hAnsiTheme="minorHAnsi"/>
          <w:i/>
          <w:lang w:val="sq-AL"/>
        </w:rPr>
        <w:tab/>
      </w:r>
      <w:r w:rsidRPr="00302B52">
        <w:rPr>
          <w:rFonts w:asciiTheme="minorHAnsi" w:hAnsiTheme="minorHAnsi"/>
          <w:lang w:val="sq-AL"/>
        </w:rPr>
        <w:t>Kontribuesit pozitivë në të ardhurat nga TVSH</w:t>
      </w:r>
    </w:p>
    <w:tbl>
      <w:tblPr>
        <w:tblW w:w="7580" w:type="dxa"/>
        <w:jc w:val="center"/>
        <w:tblCellMar>
          <w:left w:w="0" w:type="dxa"/>
          <w:right w:w="0" w:type="dxa"/>
        </w:tblCellMar>
        <w:tblLook w:val="0600" w:firstRow="0" w:lastRow="0" w:firstColumn="0" w:lastColumn="0" w:noHBand="1" w:noVBand="1"/>
      </w:tblPr>
      <w:tblGrid>
        <w:gridCol w:w="2602"/>
        <w:gridCol w:w="720"/>
        <w:gridCol w:w="990"/>
        <w:gridCol w:w="720"/>
        <w:gridCol w:w="1710"/>
        <w:gridCol w:w="838"/>
      </w:tblGrid>
      <w:tr w:rsidR="00302B52" w:rsidRPr="000C0902" w:rsidTr="00302B52">
        <w:trPr>
          <w:trHeight w:val="231"/>
          <w:jc w:val="center"/>
        </w:trPr>
        <w:tc>
          <w:tcPr>
            <w:tcW w:w="7580" w:type="dxa"/>
            <w:gridSpan w:val="6"/>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b/>
                <w:bCs/>
                <w:sz w:val="18"/>
              </w:rPr>
              <w:t>Diferencat Janar- Maj 2017/2016</w:t>
            </w:r>
          </w:p>
        </w:tc>
      </w:tr>
      <w:tr w:rsidR="00302B52" w:rsidRPr="000C0902" w:rsidTr="00302B52">
        <w:trPr>
          <w:trHeight w:val="213"/>
          <w:jc w:val="center"/>
        </w:trPr>
        <w:tc>
          <w:tcPr>
            <w:tcW w:w="7580" w:type="dxa"/>
            <w:gridSpan w:val="6"/>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b/>
                <w:bCs/>
                <w:color w:val="0070C0"/>
                <w:sz w:val="18"/>
              </w:rPr>
              <w:t>Produktet me kontribut pozitiv</w:t>
            </w:r>
          </w:p>
        </w:tc>
      </w:tr>
      <w:tr w:rsidR="00302B52" w:rsidRPr="000C0902" w:rsidTr="00302B52">
        <w:trPr>
          <w:trHeight w:val="294"/>
          <w:jc w:val="center"/>
        </w:trPr>
        <w:tc>
          <w:tcPr>
            <w:tcW w:w="2602"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p>
        </w:tc>
        <w:tc>
          <w:tcPr>
            <w:tcW w:w="72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b/>
                <w:sz w:val="18"/>
              </w:rPr>
            </w:pPr>
            <w:r w:rsidRPr="000C0902">
              <w:rPr>
                <w:rFonts w:asciiTheme="minorHAnsi" w:hAnsiTheme="minorHAnsi"/>
                <w:b/>
                <w:sz w:val="18"/>
              </w:rPr>
              <w:t>Njësia</w:t>
            </w:r>
          </w:p>
        </w:tc>
        <w:tc>
          <w:tcPr>
            <w:tcW w:w="99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b/>
                <w:sz w:val="18"/>
              </w:rPr>
            </w:pPr>
            <w:r w:rsidRPr="000C0902">
              <w:rPr>
                <w:rFonts w:asciiTheme="minorHAnsi" w:hAnsiTheme="minorHAnsi"/>
                <w:b/>
                <w:sz w:val="18"/>
              </w:rPr>
              <w:t>Sasi</w:t>
            </w:r>
          </w:p>
        </w:tc>
        <w:tc>
          <w:tcPr>
            <w:tcW w:w="72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b/>
                <w:sz w:val="18"/>
              </w:rPr>
            </w:pPr>
            <w:r w:rsidRPr="000C0902">
              <w:rPr>
                <w:rFonts w:asciiTheme="minorHAnsi" w:hAnsiTheme="minorHAnsi"/>
                <w:b/>
                <w:sz w:val="18"/>
              </w:rPr>
              <w:t>%</w:t>
            </w:r>
          </w:p>
        </w:tc>
        <w:tc>
          <w:tcPr>
            <w:tcW w:w="17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b/>
                <w:sz w:val="18"/>
              </w:rPr>
            </w:pPr>
            <w:r w:rsidRPr="000C0902">
              <w:rPr>
                <w:rFonts w:asciiTheme="minorHAnsi" w:hAnsiTheme="minorHAnsi"/>
                <w:b/>
                <w:sz w:val="18"/>
              </w:rPr>
              <w:t>TVSH/ milion lekë</w:t>
            </w:r>
          </w:p>
        </w:tc>
        <w:tc>
          <w:tcPr>
            <w:tcW w:w="838"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b/>
                <w:sz w:val="18"/>
              </w:rPr>
            </w:pPr>
            <w:r w:rsidRPr="000C0902">
              <w:rPr>
                <w:rFonts w:asciiTheme="minorHAnsi" w:hAnsiTheme="minorHAnsi"/>
                <w:b/>
                <w:sz w:val="18"/>
              </w:rPr>
              <w:t>%</w:t>
            </w:r>
          </w:p>
        </w:tc>
      </w:tr>
      <w:tr w:rsidR="00302B52" w:rsidRPr="000C0902" w:rsidTr="00302B52">
        <w:trPr>
          <w:trHeight w:val="249"/>
          <w:jc w:val="center"/>
        </w:trPr>
        <w:tc>
          <w:tcPr>
            <w:tcW w:w="260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rPr>
                <w:rFonts w:asciiTheme="minorHAnsi" w:hAnsiTheme="minorHAnsi"/>
                <w:sz w:val="18"/>
              </w:rPr>
            </w:pPr>
            <w:r w:rsidRPr="000C0902">
              <w:rPr>
                <w:rFonts w:asciiTheme="minorHAnsi" w:hAnsiTheme="minorHAnsi"/>
                <w:sz w:val="18"/>
              </w:rPr>
              <w:t>Metalet bazë dhe artikujt prej tyre</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Ton</w:t>
            </w:r>
          </w:p>
        </w:tc>
        <w:tc>
          <w:tcPr>
            <w:tcW w:w="9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(12,165)</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-5%</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686</w:t>
            </w:r>
          </w:p>
        </w:tc>
        <w:tc>
          <w:tcPr>
            <w:tcW w:w="838"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-21%</w:t>
            </w:r>
          </w:p>
        </w:tc>
      </w:tr>
      <w:tr w:rsidR="00302B52" w:rsidRPr="000C0902" w:rsidTr="00302B52">
        <w:trPr>
          <w:trHeight w:val="231"/>
          <w:jc w:val="center"/>
        </w:trPr>
        <w:tc>
          <w:tcPr>
            <w:tcW w:w="260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rPr>
                <w:rFonts w:asciiTheme="minorHAnsi" w:hAnsiTheme="minorHAnsi"/>
                <w:sz w:val="18"/>
              </w:rPr>
            </w:pPr>
            <w:r w:rsidRPr="000C0902">
              <w:rPr>
                <w:rFonts w:asciiTheme="minorHAnsi" w:hAnsiTheme="minorHAnsi"/>
                <w:sz w:val="18"/>
              </w:rPr>
              <w:t>Automjete të përdorura</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Copë</w:t>
            </w:r>
          </w:p>
        </w:tc>
        <w:tc>
          <w:tcPr>
            <w:tcW w:w="9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2,675</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17%</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406</w:t>
            </w:r>
          </w:p>
        </w:tc>
        <w:tc>
          <w:tcPr>
            <w:tcW w:w="838"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23%</w:t>
            </w:r>
          </w:p>
        </w:tc>
      </w:tr>
      <w:tr w:rsidR="00302B52" w:rsidRPr="000C0902" w:rsidTr="00302B52">
        <w:trPr>
          <w:trHeight w:val="277"/>
          <w:jc w:val="center"/>
        </w:trPr>
        <w:tc>
          <w:tcPr>
            <w:tcW w:w="260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rPr>
                <w:rFonts w:asciiTheme="minorHAnsi" w:hAnsiTheme="minorHAnsi"/>
                <w:sz w:val="18"/>
              </w:rPr>
            </w:pPr>
            <w:r w:rsidRPr="000C0902">
              <w:rPr>
                <w:rFonts w:asciiTheme="minorHAnsi" w:hAnsiTheme="minorHAnsi"/>
                <w:sz w:val="18"/>
              </w:rPr>
              <w:t>Gaz i Lëngët</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Ton</w:t>
            </w:r>
          </w:p>
        </w:tc>
        <w:tc>
          <w:tcPr>
            <w:tcW w:w="9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6,793</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17%</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263</w:t>
            </w:r>
          </w:p>
        </w:tc>
        <w:tc>
          <w:tcPr>
            <w:tcW w:w="838"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67%</w:t>
            </w:r>
          </w:p>
        </w:tc>
      </w:tr>
      <w:tr w:rsidR="00302B52" w:rsidRPr="000C0902" w:rsidTr="00302B52">
        <w:trPr>
          <w:trHeight w:val="285"/>
          <w:jc w:val="center"/>
        </w:trPr>
        <w:tc>
          <w:tcPr>
            <w:tcW w:w="260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rPr>
                <w:rFonts w:asciiTheme="minorHAnsi" w:hAnsiTheme="minorHAnsi"/>
                <w:sz w:val="18"/>
              </w:rPr>
            </w:pPr>
            <w:r w:rsidRPr="000C0902">
              <w:rPr>
                <w:rFonts w:asciiTheme="minorHAnsi" w:hAnsiTheme="minorHAnsi"/>
                <w:sz w:val="18"/>
              </w:rPr>
              <w:t>Veshje tekstile</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Ton</w:t>
            </w:r>
          </w:p>
        </w:tc>
        <w:tc>
          <w:tcPr>
            <w:tcW w:w="9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1,037</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12%</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188</w:t>
            </w:r>
          </w:p>
        </w:tc>
        <w:tc>
          <w:tcPr>
            <w:tcW w:w="838"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15%</w:t>
            </w:r>
          </w:p>
        </w:tc>
      </w:tr>
      <w:tr w:rsidR="00302B52" w:rsidRPr="000C0902" w:rsidTr="00302B52">
        <w:trPr>
          <w:trHeight w:val="321"/>
          <w:jc w:val="center"/>
        </w:trPr>
        <w:tc>
          <w:tcPr>
            <w:tcW w:w="260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rPr>
                <w:rFonts w:asciiTheme="minorHAnsi" w:hAnsiTheme="minorHAnsi"/>
                <w:sz w:val="18"/>
              </w:rPr>
            </w:pPr>
            <w:r w:rsidRPr="000C0902">
              <w:rPr>
                <w:rFonts w:asciiTheme="minorHAnsi" w:hAnsiTheme="minorHAnsi"/>
                <w:sz w:val="18"/>
              </w:rPr>
              <w:t>Automjete të reja</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Copë</w:t>
            </w:r>
          </w:p>
        </w:tc>
        <w:tc>
          <w:tcPr>
            <w:tcW w:w="9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321</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33%</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156</w:t>
            </w:r>
          </w:p>
        </w:tc>
        <w:tc>
          <w:tcPr>
            <w:tcW w:w="838"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32%</w:t>
            </w:r>
          </w:p>
        </w:tc>
      </w:tr>
      <w:tr w:rsidR="00302B52" w:rsidRPr="000C0902" w:rsidTr="00302B52">
        <w:trPr>
          <w:trHeight w:val="204"/>
          <w:jc w:val="center"/>
        </w:trPr>
        <w:tc>
          <w:tcPr>
            <w:tcW w:w="260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rPr>
                <w:rFonts w:asciiTheme="minorHAnsi" w:hAnsiTheme="minorHAnsi"/>
                <w:sz w:val="18"/>
              </w:rPr>
            </w:pPr>
            <w:r w:rsidRPr="000C0902">
              <w:rPr>
                <w:rFonts w:asciiTheme="minorHAnsi" w:hAnsiTheme="minorHAnsi"/>
                <w:sz w:val="18"/>
              </w:rPr>
              <w:t>Plastika dhe artikujt</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Ton</w:t>
            </w:r>
          </w:p>
        </w:tc>
        <w:tc>
          <w:tcPr>
            <w:tcW w:w="99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1,267</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5%</w:t>
            </w:r>
          </w:p>
        </w:tc>
        <w:tc>
          <w:tcPr>
            <w:tcW w:w="17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139</w:t>
            </w:r>
          </w:p>
        </w:tc>
        <w:tc>
          <w:tcPr>
            <w:tcW w:w="838"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sz w:val="18"/>
              </w:rPr>
            </w:pPr>
            <w:r w:rsidRPr="000C0902">
              <w:rPr>
                <w:rFonts w:asciiTheme="minorHAnsi" w:hAnsiTheme="minorHAnsi"/>
                <w:sz w:val="18"/>
              </w:rPr>
              <w:t>9%</w:t>
            </w:r>
          </w:p>
        </w:tc>
      </w:tr>
      <w:tr w:rsidR="00302B52" w:rsidRPr="000C0902" w:rsidTr="00302B52">
        <w:trPr>
          <w:trHeight w:val="186"/>
          <w:jc w:val="center"/>
        </w:trPr>
        <w:tc>
          <w:tcPr>
            <w:tcW w:w="2602"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302B52">
            <w:pPr>
              <w:tabs>
                <w:tab w:val="left" w:pos="2511"/>
                <w:tab w:val="center" w:pos="4680"/>
              </w:tabs>
              <w:spacing w:line="276" w:lineRule="auto"/>
              <w:jc w:val="center"/>
              <w:rPr>
                <w:rFonts w:asciiTheme="minorHAnsi" w:hAnsiTheme="minorHAnsi"/>
                <w:b/>
                <w:sz w:val="18"/>
              </w:rPr>
            </w:pPr>
            <w:r w:rsidRPr="000C0902">
              <w:rPr>
                <w:rFonts w:asciiTheme="minorHAnsi" w:hAnsiTheme="minorHAnsi"/>
                <w:b/>
                <w:bCs/>
                <w:sz w:val="18"/>
              </w:rPr>
              <w:t>Efekti</w:t>
            </w:r>
          </w:p>
        </w:tc>
        <w:tc>
          <w:tcPr>
            <w:tcW w:w="72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B17E1B">
            <w:pPr>
              <w:tabs>
                <w:tab w:val="left" w:pos="2511"/>
                <w:tab w:val="center" w:pos="4680"/>
              </w:tabs>
              <w:spacing w:line="276" w:lineRule="auto"/>
              <w:rPr>
                <w:rFonts w:asciiTheme="minorHAnsi" w:hAnsiTheme="minorHAnsi"/>
                <w:b/>
                <w:sz w:val="18"/>
              </w:rPr>
            </w:pPr>
            <w:r w:rsidRPr="000C0902">
              <w:rPr>
                <w:rFonts w:asciiTheme="minorHAnsi" w:hAnsiTheme="minorHAnsi"/>
                <w:b/>
                <w:bCs/>
                <w:sz w:val="18"/>
              </w:rPr>
              <w:t> </w:t>
            </w:r>
          </w:p>
        </w:tc>
        <w:tc>
          <w:tcPr>
            <w:tcW w:w="99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B17E1B">
            <w:pPr>
              <w:tabs>
                <w:tab w:val="left" w:pos="2511"/>
                <w:tab w:val="center" w:pos="4680"/>
              </w:tabs>
              <w:spacing w:line="276" w:lineRule="auto"/>
              <w:rPr>
                <w:rFonts w:asciiTheme="minorHAnsi" w:hAnsiTheme="minorHAnsi"/>
                <w:b/>
                <w:sz w:val="18"/>
              </w:rPr>
            </w:pPr>
            <w:r w:rsidRPr="000C0902">
              <w:rPr>
                <w:rFonts w:asciiTheme="minorHAnsi" w:hAnsiTheme="minorHAnsi"/>
                <w:b/>
                <w:bCs/>
                <w:sz w:val="18"/>
              </w:rPr>
              <w:t> </w:t>
            </w:r>
          </w:p>
        </w:tc>
        <w:tc>
          <w:tcPr>
            <w:tcW w:w="72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B17E1B">
            <w:pPr>
              <w:tabs>
                <w:tab w:val="left" w:pos="2511"/>
                <w:tab w:val="center" w:pos="4680"/>
              </w:tabs>
              <w:spacing w:line="276" w:lineRule="auto"/>
              <w:rPr>
                <w:rFonts w:asciiTheme="minorHAnsi" w:hAnsiTheme="minorHAnsi"/>
                <w:b/>
                <w:sz w:val="18"/>
              </w:rPr>
            </w:pPr>
            <w:r w:rsidRPr="000C0902">
              <w:rPr>
                <w:rFonts w:asciiTheme="minorHAnsi" w:hAnsiTheme="minorHAnsi"/>
                <w:b/>
                <w:bCs/>
                <w:sz w:val="18"/>
              </w:rPr>
              <w:t> </w:t>
            </w:r>
          </w:p>
        </w:tc>
        <w:tc>
          <w:tcPr>
            <w:tcW w:w="17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B17E1B">
            <w:pPr>
              <w:tabs>
                <w:tab w:val="left" w:pos="2511"/>
                <w:tab w:val="center" w:pos="4680"/>
              </w:tabs>
              <w:spacing w:line="276" w:lineRule="auto"/>
              <w:jc w:val="right"/>
              <w:rPr>
                <w:rFonts w:asciiTheme="minorHAnsi" w:hAnsiTheme="minorHAnsi"/>
                <w:b/>
                <w:sz w:val="18"/>
              </w:rPr>
            </w:pPr>
            <w:r w:rsidRPr="000C0902">
              <w:rPr>
                <w:rFonts w:asciiTheme="minorHAnsi" w:hAnsiTheme="minorHAnsi"/>
                <w:b/>
                <w:bCs/>
                <w:sz w:val="18"/>
              </w:rPr>
              <w:t xml:space="preserve">        1,838 </w:t>
            </w:r>
          </w:p>
        </w:tc>
        <w:tc>
          <w:tcPr>
            <w:tcW w:w="838"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302B52" w:rsidRPr="000C0902" w:rsidRDefault="00302B52" w:rsidP="00B17E1B">
            <w:pPr>
              <w:tabs>
                <w:tab w:val="left" w:pos="2511"/>
                <w:tab w:val="center" w:pos="4680"/>
              </w:tabs>
              <w:spacing w:line="276" w:lineRule="auto"/>
              <w:jc w:val="right"/>
              <w:rPr>
                <w:rFonts w:asciiTheme="minorHAnsi" w:hAnsiTheme="minorHAnsi"/>
                <w:b/>
                <w:sz w:val="18"/>
              </w:rPr>
            </w:pPr>
            <w:r w:rsidRPr="000C0902">
              <w:rPr>
                <w:rFonts w:asciiTheme="minorHAnsi" w:hAnsiTheme="minorHAnsi"/>
                <w:b/>
                <w:bCs/>
                <w:sz w:val="18"/>
              </w:rPr>
              <w:t> </w:t>
            </w:r>
          </w:p>
        </w:tc>
      </w:tr>
    </w:tbl>
    <w:p w:rsidR="00FC76FF" w:rsidRPr="00563387" w:rsidRDefault="00FC76FF" w:rsidP="008C512C">
      <w:pPr>
        <w:tabs>
          <w:tab w:val="left" w:pos="2511"/>
          <w:tab w:val="center" w:pos="4680"/>
          <w:tab w:val="left" w:pos="9360"/>
        </w:tabs>
        <w:spacing w:line="276" w:lineRule="auto"/>
        <w:jc w:val="both"/>
        <w:rPr>
          <w:rFonts w:asciiTheme="minorHAnsi" w:hAnsiTheme="minorHAnsi"/>
          <w:noProof/>
          <w:sz w:val="20"/>
          <w:lang w:val="sq-AL"/>
        </w:rPr>
      </w:pPr>
    </w:p>
    <w:p w:rsidR="0089630D" w:rsidRDefault="0089630D" w:rsidP="00FC76FF">
      <w:pPr>
        <w:spacing w:line="276" w:lineRule="auto"/>
        <w:jc w:val="both"/>
        <w:rPr>
          <w:rFonts w:asciiTheme="minorHAnsi" w:eastAsia="SimSun" w:hAnsiTheme="minorHAnsi"/>
          <w:i/>
          <w:lang w:val="sq-AL"/>
        </w:rPr>
      </w:pPr>
    </w:p>
    <w:p w:rsidR="0089630D" w:rsidRDefault="0089630D" w:rsidP="00FC76FF">
      <w:pPr>
        <w:spacing w:line="276" w:lineRule="auto"/>
        <w:jc w:val="both"/>
        <w:rPr>
          <w:rFonts w:asciiTheme="minorHAnsi" w:eastAsia="SimSun" w:hAnsiTheme="minorHAnsi"/>
          <w:i/>
          <w:lang w:val="sq-AL"/>
        </w:rPr>
      </w:pPr>
    </w:p>
    <w:p w:rsidR="00FC76FF" w:rsidRDefault="00FC76FF" w:rsidP="00FC76FF">
      <w:pPr>
        <w:spacing w:line="276" w:lineRule="auto"/>
        <w:jc w:val="both"/>
        <w:rPr>
          <w:rFonts w:asciiTheme="minorHAnsi" w:hAnsiTheme="minorHAns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6</w:t>
      </w:r>
      <w:r w:rsidRPr="007138C5">
        <w:rPr>
          <w:rFonts w:asciiTheme="minorHAnsi" w:eastAsia="SimSun" w:hAnsiTheme="minorHAnsi"/>
          <w:i/>
          <w:lang w:val="sq-AL"/>
        </w:rPr>
        <w:t>:</w:t>
      </w:r>
      <w:r w:rsidRPr="007138C5">
        <w:rPr>
          <w:rFonts w:asciiTheme="minorHAnsi" w:eastAsia="SimSun" w:hAnsiTheme="minorHAnsi"/>
          <w:i/>
          <w:lang w:val="sq-AL"/>
        </w:rPr>
        <w:tab/>
      </w:r>
      <w:r w:rsidRPr="00302B52">
        <w:rPr>
          <w:rFonts w:asciiTheme="minorHAnsi" w:hAnsiTheme="minorHAnsi"/>
          <w:lang w:val="sq-AL"/>
        </w:rPr>
        <w:t xml:space="preserve">Kontribuesit </w:t>
      </w:r>
      <w:r>
        <w:rPr>
          <w:rFonts w:asciiTheme="minorHAnsi" w:hAnsiTheme="minorHAnsi"/>
          <w:lang w:val="sq-AL"/>
        </w:rPr>
        <w:t>nega</w:t>
      </w:r>
      <w:r w:rsidRPr="00302B52">
        <w:rPr>
          <w:rFonts w:asciiTheme="minorHAnsi" w:hAnsiTheme="minorHAnsi"/>
          <w:lang w:val="sq-AL"/>
        </w:rPr>
        <w:t>tivë në të ardhurat nga TVSH</w:t>
      </w:r>
    </w:p>
    <w:tbl>
      <w:tblPr>
        <w:tblW w:w="9532" w:type="dxa"/>
        <w:jc w:val="center"/>
        <w:tblCellMar>
          <w:left w:w="0" w:type="dxa"/>
          <w:right w:w="0" w:type="dxa"/>
        </w:tblCellMar>
        <w:tblLook w:val="0600" w:firstRow="0" w:lastRow="0" w:firstColumn="0" w:lastColumn="0" w:noHBand="1" w:noVBand="1"/>
      </w:tblPr>
      <w:tblGrid>
        <w:gridCol w:w="5392"/>
        <w:gridCol w:w="810"/>
        <w:gridCol w:w="720"/>
        <w:gridCol w:w="630"/>
        <w:gridCol w:w="1440"/>
        <w:gridCol w:w="540"/>
      </w:tblGrid>
      <w:tr w:rsidR="00FC76FF" w:rsidRPr="00FC76FF" w:rsidTr="001445E4">
        <w:trPr>
          <w:trHeight w:val="204"/>
          <w:jc w:val="center"/>
        </w:trPr>
        <w:tc>
          <w:tcPr>
            <w:tcW w:w="9532" w:type="dxa"/>
            <w:gridSpan w:val="6"/>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bCs/>
                <w:sz w:val="18"/>
              </w:rPr>
              <w:t>Diferencat Janar- Maj 2017/2016</w:t>
            </w:r>
          </w:p>
        </w:tc>
      </w:tr>
      <w:tr w:rsidR="00FC76FF" w:rsidRPr="00FC76FF" w:rsidTr="001445E4">
        <w:trPr>
          <w:trHeight w:val="204"/>
          <w:jc w:val="center"/>
        </w:trPr>
        <w:tc>
          <w:tcPr>
            <w:tcW w:w="9532" w:type="dxa"/>
            <w:gridSpan w:val="6"/>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bCs/>
                <w:color w:val="FF0000"/>
                <w:sz w:val="18"/>
              </w:rPr>
              <w:t>Produktet me kontribut negativ</w:t>
            </w:r>
          </w:p>
        </w:tc>
      </w:tr>
      <w:tr w:rsidR="00FC76FF" w:rsidRPr="00FC76FF" w:rsidTr="001445E4">
        <w:trPr>
          <w:trHeight w:val="318"/>
          <w:jc w:val="center"/>
        </w:trPr>
        <w:tc>
          <w:tcPr>
            <w:tcW w:w="5392"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p>
        </w:tc>
        <w:tc>
          <w:tcPr>
            <w:tcW w:w="81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sz w:val="18"/>
              </w:rPr>
              <w:t>Njësia</w:t>
            </w:r>
          </w:p>
        </w:tc>
        <w:tc>
          <w:tcPr>
            <w:tcW w:w="72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sz w:val="18"/>
              </w:rPr>
              <w:t>Sasi</w:t>
            </w:r>
          </w:p>
        </w:tc>
        <w:tc>
          <w:tcPr>
            <w:tcW w:w="63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sz w:val="18"/>
              </w:rPr>
              <w:t>%</w:t>
            </w:r>
          </w:p>
        </w:tc>
        <w:tc>
          <w:tcPr>
            <w:tcW w:w="144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sz w:val="18"/>
              </w:rPr>
              <w:t>TVSH/milion lekë</w:t>
            </w:r>
          </w:p>
        </w:tc>
        <w:tc>
          <w:tcPr>
            <w:tcW w:w="54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sz w:val="18"/>
              </w:rPr>
              <w:t>%</w:t>
            </w:r>
          </w:p>
        </w:tc>
      </w:tr>
      <w:tr w:rsidR="00FC76FF" w:rsidRPr="00FC76FF" w:rsidTr="001445E4">
        <w:trPr>
          <w:trHeight w:val="303"/>
          <w:jc w:val="center"/>
        </w:trPr>
        <w:tc>
          <w:tcPr>
            <w:tcW w:w="539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rPr>
                <w:rFonts w:asciiTheme="minorHAnsi" w:hAnsiTheme="minorHAnsi"/>
                <w:sz w:val="18"/>
              </w:rPr>
            </w:pPr>
            <w:r w:rsidRPr="00FC76FF">
              <w:rPr>
                <w:rFonts w:asciiTheme="minorHAnsi" w:hAnsiTheme="minorHAnsi"/>
                <w:sz w:val="18"/>
              </w:rPr>
              <w:t>Karburant Importi</w:t>
            </w:r>
          </w:p>
        </w:tc>
        <w:tc>
          <w:tcPr>
            <w:tcW w:w="8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Ton</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(57,077)</w:t>
            </w:r>
          </w:p>
        </w:tc>
        <w:tc>
          <w:tcPr>
            <w:tcW w:w="63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-30%</w:t>
            </w:r>
          </w:p>
        </w:tc>
        <w:tc>
          <w:tcPr>
            <w:tcW w:w="14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(1,053)</w:t>
            </w:r>
          </w:p>
        </w:tc>
        <w:tc>
          <w:tcPr>
            <w:tcW w:w="5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-21%</w:t>
            </w:r>
          </w:p>
        </w:tc>
      </w:tr>
      <w:tr w:rsidR="00FC76FF" w:rsidRPr="00FC76FF" w:rsidTr="001445E4">
        <w:trPr>
          <w:trHeight w:val="249"/>
          <w:jc w:val="center"/>
        </w:trPr>
        <w:tc>
          <w:tcPr>
            <w:tcW w:w="539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rPr>
                <w:rFonts w:asciiTheme="minorHAnsi" w:hAnsiTheme="minorHAnsi"/>
                <w:sz w:val="18"/>
              </w:rPr>
            </w:pPr>
            <w:r w:rsidRPr="00FC76FF">
              <w:rPr>
                <w:rFonts w:asciiTheme="minorHAnsi" w:hAnsiTheme="minorHAnsi"/>
                <w:sz w:val="18"/>
              </w:rPr>
              <w:t>Plehëruesit</w:t>
            </w:r>
          </w:p>
        </w:tc>
        <w:tc>
          <w:tcPr>
            <w:tcW w:w="8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Ton</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(17,074)</w:t>
            </w:r>
          </w:p>
        </w:tc>
        <w:tc>
          <w:tcPr>
            <w:tcW w:w="63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-25%</w:t>
            </w:r>
          </w:p>
        </w:tc>
        <w:tc>
          <w:tcPr>
            <w:tcW w:w="14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(153)</w:t>
            </w:r>
          </w:p>
        </w:tc>
        <w:tc>
          <w:tcPr>
            <w:tcW w:w="5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-31%</w:t>
            </w:r>
          </w:p>
        </w:tc>
      </w:tr>
      <w:tr w:rsidR="00FC76FF" w:rsidRPr="00FC76FF" w:rsidTr="001445E4">
        <w:trPr>
          <w:trHeight w:val="318"/>
          <w:jc w:val="center"/>
        </w:trPr>
        <w:tc>
          <w:tcPr>
            <w:tcW w:w="539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rPr>
                <w:rFonts w:asciiTheme="minorHAnsi" w:hAnsiTheme="minorHAnsi"/>
                <w:sz w:val="18"/>
              </w:rPr>
            </w:pPr>
            <w:r w:rsidRPr="00FC76FF">
              <w:rPr>
                <w:rFonts w:asciiTheme="minorHAnsi" w:hAnsiTheme="minorHAnsi"/>
                <w:sz w:val="18"/>
              </w:rPr>
              <w:t>PC, Kompjuter, printer, fotokopje dhe pjesët e tyre, Bojra Printimi</w:t>
            </w:r>
          </w:p>
        </w:tc>
        <w:tc>
          <w:tcPr>
            <w:tcW w:w="8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Ton</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145</w:t>
            </w:r>
          </w:p>
        </w:tc>
        <w:tc>
          <w:tcPr>
            <w:tcW w:w="63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24%</w:t>
            </w:r>
          </w:p>
        </w:tc>
        <w:tc>
          <w:tcPr>
            <w:tcW w:w="14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(96)</w:t>
            </w:r>
          </w:p>
        </w:tc>
        <w:tc>
          <w:tcPr>
            <w:tcW w:w="5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-25%</w:t>
            </w:r>
          </w:p>
        </w:tc>
      </w:tr>
      <w:tr w:rsidR="00FC76FF" w:rsidRPr="00FC76FF" w:rsidTr="001445E4">
        <w:trPr>
          <w:trHeight w:val="159"/>
          <w:jc w:val="center"/>
        </w:trPr>
        <w:tc>
          <w:tcPr>
            <w:tcW w:w="539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rPr>
                <w:rFonts w:asciiTheme="minorHAnsi" w:hAnsiTheme="minorHAnsi"/>
                <w:sz w:val="18"/>
              </w:rPr>
            </w:pPr>
            <w:r w:rsidRPr="00FC76FF">
              <w:rPr>
                <w:rFonts w:asciiTheme="minorHAnsi" w:hAnsiTheme="minorHAnsi"/>
                <w:sz w:val="18"/>
              </w:rPr>
              <w:t>Energji elektrike</w:t>
            </w:r>
          </w:p>
        </w:tc>
        <w:tc>
          <w:tcPr>
            <w:tcW w:w="8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MG</w:t>
            </w:r>
            <w:r w:rsidR="00FD7B3F">
              <w:rPr>
                <w:rFonts w:asciiTheme="minorHAnsi" w:hAnsiTheme="minorHAnsi"/>
                <w:sz w:val="18"/>
              </w:rPr>
              <w:t>Ë</w:t>
            </w:r>
            <w:r w:rsidRPr="00FC76FF">
              <w:rPr>
                <w:rFonts w:asciiTheme="minorHAnsi" w:hAnsiTheme="minorHAnsi"/>
                <w:sz w:val="18"/>
              </w:rPr>
              <w:t>/ orë</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(52,063)</w:t>
            </w:r>
          </w:p>
        </w:tc>
        <w:tc>
          <w:tcPr>
            <w:tcW w:w="63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-7%</w:t>
            </w:r>
          </w:p>
        </w:tc>
        <w:tc>
          <w:tcPr>
            <w:tcW w:w="14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(51)</w:t>
            </w:r>
          </w:p>
        </w:tc>
        <w:tc>
          <w:tcPr>
            <w:tcW w:w="5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-5%</w:t>
            </w:r>
          </w:p>
        </w:tc>
      </w:tr>
      <w:tr w:rsidR="00FC76FF" w:rsidRPr="00FC76FF" w:rsidTr="001445E4">
        <w:trPr>
          <w:trHeight w:val="318"/>
          <w:jc w:val="center"/>
        </w:trPr>
        <w:tc>
          <w:tcPr>
            <w:tcW w:w="5392"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rPr>
                <w:rFonts w:asciiTheme="minorHAnsi" w:hAnsiTheme="minorHAnsi"/>
                <w:sz w:val="18"/>
              </w:rPr>
            </w:pPr>
            <w:r w:rsidRPr="00FC76FF">
              <w:rPr>
                <w:rFonts w:asciiTheme="minorHAnsi" w:hAnsiTheme="minorHAnsi"/>
                <w:sz w:val="18"/>
              </w:rPr>
              <w:t>Dhjamra dhe vajra shtazore dhe vegjetale</w:t>
            </w:r>
          </w:p>
        </w:tc>
        <w:tc>
          <w:tcPr>
            <w:tcW w:w="81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Ton</w:t>
            </w:r>
          </w:p>
        </w:tc>
        <w:tc>
          <w:tcPr>
            <w:tcW w:w="72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(1,040)</w:t>
            </w:r>
          </w:p>
        </w:tc>
        <w:tc>
          <w:tcPr>
            <w:tcW w:w="63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-6%</w:t>
            </w:r>
          </w:p>
        </w:tc>
        <w:tc>
          <w:tcPr>
            <w:tcW w:w="14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(45)</w:t>
            </w:r>
          </w:p>
        </w:tc>
        <w:tc>
          <w:tcPr>
            <w:tcW w:w="540" w:type="dxa"/>
            <w:tcBorders>
              <w:top w:val="single" w:sz="6" w:space="0" w:color="4A7EBB"/>
              <w:left w:val="single" w:sz="6" w:space="0" w:color="4A7EBB"/>
              <w:bottom w:val="single" w:sz="6" w:space="0" w:color="4A7EBB"/>
              <w:right w:val="single" w:sz="6" w:space="0" w:color="4A7EBB"/>
            </w:tcBorders>
            <w:shd w:val="clear" w:color="auto" w:fill="auto"/>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sz w:val="18"/>
              </w:rPr>
            </w:pPr>
            <w:r w:rsidRPr="00FC76FF">
              <w:rPr>
                <w:rFonts w:asciiTheme="minorHAnsi" w:hAnsiTheme="minorHAnsi"/>
                <w:sz w:val="18"/>
              </w:rPr>
              <w:t>-9%</w:t>
            </w:r>
          </w:p>
        </w:tc>
      </w:tr>
      <w:tr w:rsidR="00FC76FF" w:rsidRPr="00FC76FF" w:rsidTr="001445E4">
        <w:trPr>
          <w:trHeight w:val="204"/>
          <w:jc w:val="center"/>
        </w:trPr>
        <w:tc>
          <w:tcPr>
            <w:tcW w:w="5392"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bCs/>
                <w:sz w:val="18"/>
              </w:rPr>
              <w:t>Efekti</w:t>
            </w:r>
          </w:p>
        </w:tc>
        <w:tc>
          <w:tcPr>
            <w:tcW w:w="81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p>
        </w:tc>
        <w:tc>
          <w:tcPr>
            <w:tcW w:w="72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p>
        </w:tc>
        <w:tc>
          <w:tcPr>
            <w:tcW w:w="63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p>
        </w:tc>
        <w:tc>
          <w:tcPr>
            <w:tcW w:w="144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r w:rsidRPr="00FC76FF">
              <w:rPr>
                <w:rFonts w:asciiTheme="minorHAnsi" w:hAnsiTheme="minorHAnsi"/>
                <w:b/>
                <w:bCs/>
                <w:sz w:val="18"/>
              </w:rPr>
              <w:t>(1,398)</w:t>
            </w:r>
          </w:p>
        </w:tc>
        <w:tc>
          <w:tcPr>
            <w:tcW w:w="540" w:type="dxa"/>
            <w:tcBorders>
              <w:top w:val="single" w:sz="6" w:space="0" w:color="4A7EBB"/>
              <w:left w:val="single" w:sz="6" w:space="0" w:color="4A7EBB"/>
              <w:bottom w:val="single" w:sz="6" w:space="0" w:color="4A7EBB"/>
              <w:right w:val="single" w:sz="6" w:space="0" w:color="4A7EBB"/>
            </w:tcBorders>
            <w:shd w:val="clear" w:color="auto" w:fill="D9D9D9" w:themeFill="background1" w:themeFillShade="D9"/>
            <w:tcMar>
              <w:top w:w="15" w:type="dxa"/>
              <w:left w:w="15" w:type="dxa"/>
              <w:bottom w:w="0" w:type="dxa"/>
              <w:right w:w="15" w:type="dxa"/>
            </w:tcMar>
            <w:vAlign w:val="bottom"/>
            <w:hideMark/>
          </w:tcPr>
          <w:p w:rsidR="00FC76FF" w:rsidRPr="00FC76FF" w:rsidRDefault="00FC76FF" w:rsidP="00FC76FF">
            <w:pPr>
              <w:tabs>
                <w:tab w:val="left" w:pos="2511"/>
                <w:tab w:val="center" w:pos="4680"/>
              </w:tabs>
              <w:spacing w:line="276" w:lineRule="auto"/>
              <w:jc w:val="center"/>
              <w:rPr>
                <w:rFonts w:asciiTheme="minorHAnsi" w:hAnsiTheme="minorHAnsi"/>
                <w:b/>
                <w:sz w:val="18"/>
              </w:rPr>
            </w:pPr>
          </w:p>
        </w:tc>
      </w:tr>
    </w:tbl>
    <w:p w:rsidR="00FC76FF" w:rsidRPr="00D414C0" w:rsidRDefault="00FC76FF" w:rsidP="00FC76FF">
      <w:pPr>
        <w:tabs>
          <w:tab w:val="left" w:pos="2511"/>
          <w:tab w:val="center" w:pos="4680"/>
          <w:tab w:val="left" w:pos="9360"/>
        </w:tabs>
        <w:spacing w:line="276" w:lineRule="auto"/>
        <w:jc w:val="center"/>
        <w:rPr>
          <w:rFonts w:asciiTheme="minorHAnsi" w:hAnsiTheme="minorHAnsi"/>
          <w:noProof/>
          <w:sz w:val="20"/>
          <w:lang w:val="sq-AL"/>
        </w:rPr>
      </w:pPr>
    </w:p>
    <w:p w:rsidR="00D414C0" w:rsidRPr="009C40B4" w:rsidRDefault="00D414C0" w:rsidP="00D414C0">
      <w:pPr>
        <w:spacing w:line="276" w:lineRule="auto"/>
        <w:jc w:val="both"/>
        <w:rPr>
          <w:rFonts w:asciiTheme="minorHAnsi" w:hAnsiTheme="minorHAnsi"/>
        </w:rPr>
      </w:pPr>
      <w:r w:rsidRPr="009C40B4">
        <w:rPr>
          <w:rFonts w:asciiTheme="minorHAnsi" w:hAnsiTheme="minorHAnsi"/>
          <w:b/>
          <w:i/>
        </w:rPr>
        <w:t>Të ardhurat nga renta minerare</w:t>
      </w:r>
      <w:r w:rsidRPr="009C40B4">
        <w:rPr>
          <w:rFonts w:asciiTheme="minorHAnsi" w:hAnsiTheme="minorHAnsi"/>
        </w:rPr>
        <w:t xml:space="preserve"> </w:t>
      </w:r>
      <w:r w:rsidRPr="009C40B4">
        <w:rPr>
          <w:rFonts w:asciiTheme="minorHAnsi" w:hAnsiTheme="minorHAnsi"/>
          <w:b/>
        </w:rPr>
        <w:t>në eksport</w:t>
      </w:r>
      <w:r w:rsidRPr="009C40B4">
        <w:rPr>
          <w:rFonts w:asciiTheme="minorHAnsi" w:hAnsiTheme="minorHAnsi"/>
        </w:rPr>
        <w:t xml:space="preserve"> janë realizuar në vlerën 1.1 miliard lekë, 19.5% ose 176 milion lekë më shumë krahasuar me 5 mujorin e vitit 2016, dhe 28.9% ose 242 milion lekë më shumë se plani. Ndikim kryesor ka patur rritja e çmimit të mineraleve në tregun ndërkombëtar dhe rritja e sasisë së mineraleve të eksportuara me 27.1% krahasuar me Janar-Maj 2016. Të ardhurat nga renta minerare për naftën bruto janë ulur me 319 milion lekë për shkak të rënies së sasisë së eksportuar, me rreth 178 mijë ton e destinuar kjo për përpunim vendas dhe janë rritur me 251 milion lekë për shkak të rritjes së çmimit të naftës bruto në tregjet ndërkombëtare krahasuar me Janar- Maj 2016, duke sjellë rritje të rentës për njësi nga 1.8 Lek</w:t>
      </w:r>
      <w:r>
        <w:rPr>
          <w:rFonts w:asciiTheme="minorHAnsi" w:hAnsiTheme="minorHAnsi"/>
        </w:rPr>
        <w:t>/</w:t>
      </w:r>
      <w:r w:rsidRPr="009C40B4">
        <w:rPr>
          <w:rFonts w:asciiTheme="minorHAnsi" w:hAnsiTheme="minorHAnsi"/>
        </w:rPr>
        <w:t>kg</w:t>
      </w:r>
      <w:r>
        <w:rPr>
          <w:rFonts w:asciiTheme="minorHAnsi" w:hAnsiTheme="minorHAnsi"/>
        </w:rPr>
        <w:t>,</w:t>
      </w:r>
      <w:r w:rsidRPr="009C40B4">
        <w:rPr>
          <w:rFonts w:asciiTheme="minorHAnsi" w:hAnsiTheme="minorHAnsi"/>
        </w:rPr>
        <w:t xml:space="preserve"> në 3 lekë</w:t>
      </w:r>
      <w:r>
        <w:rPr>
          <w:rFonts w:asciiTheme="minorHAnsi" w:hAnsiTheme="minorHAnsi"/>
        </w:rPr>
        <w:t>/</w:t>
      </w:r>
      <w:r w:rsidRPr="009C40B4">
        <w:rPr>
          <w:rFonts w:asciiTheme="minorHAnsi" w:hAnsiTheme="minorHAnsi"/>
        </w:rPr>
        <w:t xml:space="preserve">kg. </w:t>
      </w:r>
    </w:p>
    <w:p w:rsidR="00D414C0" w:rsidRPr="00D414C0" w:rsidRDefault="00D414C0" w:rsidP="00D414C0">
      <w:pPr>
        <w:spacing w:line="276" w:lineRule="auto"/>
        <w:jc w:val="both"/>
        <w:rPr>
          <w:rFonts w:asciiTheme="minorHAnsi" w:eastAsia="SimSun" w:hAnsiTheme="minorHAnsi"/>
          <w:i/>
          <w:sz w:val="8"/>
          <w:szCs w:val="8"/>
          <w:lang w:val="sq-AL"/>
        </w:rPr>
      </w:pPr>
    </w:p>
    <w:p w:rsidR="00D414C0" w:rsidRDefault="00D414C0" w:rsidP="00D414C0">
      <w:pPr>
        <w:spacing w:line="276" w:lineRule="auto"/>
        <w:jc w:val="both"/>
        <w:rPr>
          <w:rFonts w:asciiTheme="minorHAnsi" w:hAnsiTheme="minorHAns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7</w:t>
      </w:r>
      <w:r w:rsidRPr="007138C5">
        <w:rPr>
          <w:rFonts w:asciiTheme="minorHAnsi" w:eastAsia="SimSun" w:hAnsiTheme="minorHAnsi"/>
          <w:i/>
          <w:lang w:val="sq-AL"/>
        </w:rPr>
        <w:t>:</w:t>
      </w:r>
      <w:r w:rsidRPr="007138C5">
        <w:rPr>
          <w:rFonts w:asciiTheme="minorHAnsi" w:eastAsia="SimSun" w:hAnsiTheme="minorHAnsi"/>
          <w:i/>
          <w:lang w:val="sq-AL"/>
        </w:rPr>
        <w:tab/>
      </w:r>
      <w:r w:rsidRPr="00D414C0">
        <w:rPr>
          <w:rFonts w:asciiTheme="minorHAnsi" w:hAnsiTheme="minorHAnsi"/>
          <w:lang w:val="sq-AL"/>
        </w:rPr>
        <w:t>Të dhëna për Rentën Minerare</w:t>
      </w:r>
      <w:r>
        <w:rPr>
          <w:rFonts w:asciiTheme="minorHAnsi" w:hAnsiTheme="minorHAnsi"/>
          <w:lang w:val="sq-AL"/>
        </w:rPr>
        <w:t>,</w:t>
      </w:r>
      <w:r w:rsidRPr="00D414C0">
        <w:rPr>
          <w:rFonts w:asciiTheme="minorHAnsi" w:hAnsiTheme="minorHAnsi"/>
          <w:lang w:val="sq-AL"/>
        </w:rPr>
        <w:t xml:space="preserve"> naftë bruto dhe minerale të tjera (</w:t>
      </w:r>
      <w:r>
        <w:rPr>
          <w:rFonts w:asciiTheme="minorHAnsi" w:hAnsiTheme="minorHAnsi"/>
          <w:lang w:val="sq-AL"/>
        </w:rPr>
        <w:t>n</w:t>
      </w:r>
      <w:r w:rsidR="00FD7B3F">
        <w:rPr>
          <w:rFonts w:asciiTheme="minorHAnsi" w:hAnsiTheme="minorHAnsi"/>
          <w:lang w:val="sq-AL"/>
        </w:rPr>
        <w:t>ë</w:t>
      </w:r>
      <w:r>
        <w:rPr>
          <w:rFonts w:asciiTheme="minorHAnsi" w:hAnsiTheme="minorHAnsi"/>
          <w:lang w:val="sq-AL"/>
        </w:rPr>
        <w:t xml:space="preserve"> </w:t>
      </w:r>
      <w:r w:rsidRPr="00D414C0">
        <w:rPr>
          <w:rFonts w:asciiTheme="minorHAnsi" w:hAnsiTheme="minorHAnsi"/>
          <w:lang w:val="sq-AL"/>
        </w:rPr>
        <w:t>mijë lekë)</w:t>
      </w:r>
    </w:p>
    <w:tbl>
      <w:tblPr>
        <w:tblW w:w="10162" w:type="dxa"/>
        <w:jc w:val="center"/>
        <w:tblLayout w:type="fixed"/>
        <w:tblCellMar>
          <w:left w:w="0" w:type="dxa"/>
          <w:right w:w="0" w:type="dxa"/>
        </w:tblCellMar>
        <w:tblLook w:val="0600" w:firstRow="0" w:lastRow="0" w:firstColumn="0" w:lastColumn="0" w:noHBand="1" w:noVBand="1"/>
      </w:tblPr>
      <w:tblGrid>
        <w:gridCol w:w="1342"/>
        <w:gridCol w:w="810"/>
        <w:gridCol w:w="810"/>
        <w:gridCol w:w="900"/>
        <w:gridCol w:w="630"/>
        <w:gridCol w:w="720"/>
        <w:gridCol w:w="810"/>
        <w:gridCol w:w="900"/>
        <w:gridCol w:w="720"/>
        <w:gridCol w:w="900"/>
        <w:gridCol w:w="900"/>
        <w:gridCol w:w="720"/>
      </w:tblGrid>
      <w:tr w:rsidR="00D414C0" w:rsidRPr="007B65A0" w:rsidTr="00D414C0">
        <w:trPr>
          <w:trHeight w:val="289"/>
          <w:jc w:val="center"/>
        </w:trPr>
        <w:tc>
          <w:tcPr>
            <w:tcW w:w="1342" w:type="dxa"/>
            <w:vMerge w:val="restart"/>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p>
        </w:tc>
        <w:tc>
          <w:tcPr>
            <w:tcW w:w="3150" w:type="dxa"/>
            <w:gridSpan w:val="4"/>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Sasia në ton</w:t>
            </w:r>
          </w:p>
        </w:tc>
        <w:tc>
          <w:tcPr>
            <w:tcW w:w="3150" w:type="dxa"/>
            <w:gridSpan w:val="4"/>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Të ardhura nga Renta në mijë lekë</w:t>
            </w:r>
          </w:p>
        </w:tc>
        <w:tc>
          <w:tcPr>
            <w:tcW w:w="2520" w:type="dxa"/>
            <w:gridSpan w:val="3"/>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Efektet</w:t>
            </w:r>
          </w:p>
        </w:tc>
      </w:tr>
      <w:tr w:rsidR="00D414C0" w:rsidRPr="007B65A0" w:rsidTr="00D414C0">
        <w:trPr>
          <w:trHeight w:val="688"/>
          <w:jc w:val="center"/>
        </w:trPr>
        <w:tc>
          <w:tcPr>
            <w:tcW w:w="1342" w:type="dxa"/>
            <w:vMerge/>
            <w:tcBorders>
              <w:top w:val="single" w:sz="6" w:space="0" w:color="7D60A0"/>
              <w:left w:val="single" w:sz="6" w:space="0" w:color="7D60A0"/>
              <w:bottom w:val="single" w:sz="6" w:space="0" w:color="7D60A0"/>
              <w:right w:val="single" w:sz="6" w:space="0" w:color="7D60A0"/>
            </w:tcBorders>
            <w:shd w:val="clear" w:color="auto" w:fill="D9D9D9" w:themeFill="background1" w:themeFillShade="D9"/>
            <w:vAlign w:val="center"/>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p>
        </w:tc>
        <w:tc>
          <w:tcPr>
            <w:tcW w:w="8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2016</w:t>
            </w:r>
          </w:p>
        </w:tc>
        <w:tc>
          <w:tcPr>
            <w:tcW w:w="8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2017</w:t>
            </w:r>
          </w:p>
        </w:tc>
        <w:tc>
          <w:tcPr>
            <w:tcW w:w="90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Diferenca 2017/2016</w:t>
            </w:r>
          </w:p>
        </w:tc>
        <w:tc>
          <w:tcPr>
            <w:tcW w:w="63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në %</w:t>
            </w:r>
          </w:p>
        </w:tc>
        <w:tc>
          <w:tcPr>
            <w:tcW w:w="72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2016</w:t>
            </w:r>
          </w:p>
        </w:tc>
        <w:tc>
          <w:tcPr>
            <w:tcW w:w="81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2017</w:t>
            </w:r>
          </w:p>
        </w:tc>
        <w:tc>
          <w:tcPr>
            <w:tcW w:w="90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Diferenca 2017/2016</w:t>
            </w:r>
          </w:p>
        </w:tc>
        <w:tc>
          <w:tcPr>
            <w:tcW w:w="72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në %</w:t>
            </w:r>
          </w:p>
        </w:tc>
        <w:tc>
          <w:tcPr>
            <w:tcW w:w="90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Për shkak të ndryshimit në sasi</w:t>
            </w:r>
          </w:p>
        </w:tc>
        <w:tc>
          <w:tcPr>
            <w:tcW w:w="90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Për shkak të ndryshimit në çmim</w:t>
            </w:r>
          </w:p>
        </w:tc>
        <w:tc>
          <w:tcPr>
            <w:tcW w:w="720" w:type="dxa"/>
            <w:tcBorders>
              <w:top w:val="single" w:sz="6" w:space="0" w:color="7D60A0"/>
              <w:left w:val="single" w:sz="6" w:space="0" w:color="7D60A0"/>
              <w:bottom w:val="single" w:sz="6" w:space="0" w:color="7D60A0"/>
              <w:right w:val="single" w:sz="6" w:space="0" w:color="7D60A0"/>
            </w:tcBorders>
            <w:shd w:val="clear" w:color="auto" w:fill="D9D9D9" w:themeFill="background1" w:themeFillShade="D9"/>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b/>
                <w:sz w:val="18"/>
              </w:rPr>
            </w:pPr>
            <w:r w:rsidRPr="007B65A0">
              <w:rPr>
                <w:rFonts w:asciiTheme="minorHAnsi" w:hAnsiTheme="minorHAnsi"/>
                <w:b/>
                <w:bCs/>
                <w:i/>
                <w:iCs/>
                <w:sz w:val="18"/>
              </w:rPr>
              <w:t>Efekti total</w:t>
            </w:r>
          </w:p>
        </w:tc>
      </w:tr>
      <w:tr w:rsidR="00D414C0" w:rsidRPr="007B65A0" w:rsidTr="00D414C0">
        <w:trPr>
          <w:trHeight w:val="564"/>
          <w:jc w:val="center"/>
        </w:trPr>
        <w:tc>
          <w:tcPr>
            <w:tcW w:w="134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rPr>
                <w:rFonts w:asciiTheme="minorHAnsi" w:hAnsiTheme="minorHAnsi"/>
                <w:sz w:val="18"/>
              </w:rPr>
            </w:pPr>
            <w:r w:rsidRPr="007B65A0">
              <w:rPr>
                <w:rFonts w:asciiTheme="minorHAnsi" w:hAnsiTheme="minorHAnsi"/>
                <w:sz w:val="18"/>
              </w:rPr>
              <w:t>Rentë minerare Naftë Bruto</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381,809</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203,691</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-178,118</w:t>
            </w:r>
          </w:p>
        </w:tc>
        <w:tc>
          <w:tcPr>
            <w:tcW w:w="63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-46.65%</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683,639</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615,282</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-68,357</w:t>
            </w:r>
          </w:p>
        </w:tc>
        <w:tc>
          <w:tcPr>
            <w:tcW w:w="72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-10.00%</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-318,925</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250,568</w:t>
            </w:r>
          </w:p>
        </w:tc>
        <w:tc>
          <w:tcPr>
            <w:tcW w:w="72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-68,357</w:t>
            </w:r>
          </w:p>
        </w:tc>
      </w:tr>
      <w:tr w:rsidR="00D414C0" w:rsidRPr="007B65A0" w:rsidTr="00D414C0">
        <w:trPr>
          <w:trHeight w:val="483"/>
          <w:jc w:val="center"/>
        </w:trPr>
        <w:tc>
          <w:tcPr>
            <w:tcW w:w="134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rPr>
                <w:rFonts w:asciiTheme="minorHAnsi" w:hAnsiTheme="minorHAnsi"/>
                <w:sz w:val="18"/>
              </w:rPr>
            </w:pPr>
            <w:r w:rsidRPr="007B65A0">
              <w:rPr>
                <w:rFonts w:asciiTheme="minorHAnsi" w:hAnsiTheme="minorHAnsi"/>
                <w:sz w:val="18"/>
              </w:rPr>
              <w:t>Rentë minerare Minerale të tjera</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736,366</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935,816</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199,450</w:t>
            </w:r>
          </w:p>
        </w:tc>
        <w:tc>
          <w:tcPr>
            <w:tcW w:w="63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27.09%</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218,171</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463,136</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244,965</w:t>
            </w:r>
          </w:p>
        </w:tc>
        <w:tc>
          <w:tcPr>
            <w:tcW w:w="72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112.28%</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59,093</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185,872</w:t>
            </w:r>
          </w:p>
        </w:tc>
        <w:tc>
          <w:tcPr>
            <w:tcW w:w="72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sz w:val="18"/>
              </w:rPr>
              <w:t>244,965</w:t>
            </w:r>
          </w:p>
        </w:tc>
      </w:tr>
      <w:tr w:rsidR="00D414C0" w:rsidRPr="007B65A0" w:rsidTr="00D414C0">
        <w:trPr>
          <w:trHeight w:val="267"/>
          <w:jc w:val="center"/>
        </w:trPr>
        <w:tc>
          <w:tcPr>
            <w:tcW w:w="1342"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Totali</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1,118,175</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1,139,507</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21,332</w:t>
            </w:r>
          </w:p>
        </w:tc>
        <w:tc>
          <w:tcPr>
            <w:tcW w:w="63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1.91%</w:t>
            </w:r>
          </w:p>
        </w:tc>
        <w:tc>
          <w:tcPr>
            <w:tcW w:w="72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901,810</w:t>
            </w:r>
          </w:p>
        </w:tc>
        <w:tc>
          <w:tcPr>
            <w:tcW w:w="81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1,078,418</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176,608</w:t>
            </w:r>
          </w:p>
        </w:tc>
        <w:tc>
          <w:tcPr>
            <w:tcW w:w="72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19.58%</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-259,832</w:t>
            </w:r>
          </w:p>
        </w:tc>
        <w:tc>
          <w:tcPr>
            <w:tcW w:w="900" w:type="dxa"/>
            <w:tcBorders>
              <w:top w:val="single" w:sz="6" w:space="0" w:color="7D60A0"/>
              <w:left w:val="single" w:sz="6" w:space="0" w:color="7D60A0"/>
              <w:bottom w:val="single" w:sz="6" w:space="0" w:color="7D60A0"/>
              <w:right w:val="single" w:sz="6" w:space="0" w:color="7D60A0"/>
            </w:tcBorders>
            <w:shd w:val="clear" w:color="auto" w:fill="auto"/>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436,440</w:t>
            </w:r>
          </w:p>
        </w:tc>
        <w:tc>
          <w:tcPr>
            <w:tcW w:w="720" w:type="dxa"/>
            <w:tcBorders>
              <w:top w:val="single" w:sz="6" w:space="0" w:color="7D60A0"/>
              <w:left w:val="single" w:sz="6" w:space="0" w:color="7D60A0"/>
              <w:bottom w:val="single" w:sz="6" w:space="0" w:color="7D60A0"/>
              <w:right w:val="single" w:sz="6" w:space="0" w:color="7D60A0"/>
            </w:tcBorders>
            <w:shd w:val="clear" w:color="auto" w:fill="F2F2F2" w:themeFill="background1" w:themeFillShade="F2"/>
            <w:tcMar>
              <w:top w:w="15" w:type="dxa"/>
              <w:left w:w="15" w:type="dxa"/>
              <w:bottom w:w="0" w:type="dxa"/>
              <w:right w:w="15" w:type="dxa"/>
            </w:tcMar>
            <w:vAlign w:val="bottom"/>
            <w:hideMark/>
          </w:tcPr>
          <w:p w:rsidR="00D414C0" w:rsidRPr="007B65A0" w:rsidRDefault="00D414C0" w:rsidP="00D414C0">
            <w:pPr>
              <w:tabs>
                <w:tab w:val="left" w:pos="2511"/>
                <w:tab w:val="center" w:pos="4680"/>
              </w:tabs>
              <w:spacing w:line="276" w:lineRule="auto"/>
              <w:jc w:val="center"/>
              <w:rPr>
                <w:rFonts w:asciiTheme="minorHAnsi" w:hAnsiTheme="minorHAnsi"/>
                <w:sz w:val="18"/>
              </w:rPr>
            </w:pPr>
            <w:r w:rsidRPr="007B65A0">
              <w:rPr>
                <w:rFonts w:asciiTheme="minorHAnsi" w:hAnsiTheme="minorHAnsi"/>
                <w:i/>
                <w:iCs/>
                <w:sz w:val="18"/>
              </w:rPr>
              <w:t>176,608</w:t>
            </w:r>
          </w:p>
        </w:tc>
      </w:tr>
    </w:tbl>
    <w:p w:rsidR="00FC76FF" w:rsidRDefault="00FC76FF" w:rsidP="008C512C">
      <w:pPr>
        <w:tabs>
          <w:tab w:val="left" w:pos="2511"/>
          <w:tab w:val="center" w:pos="4680"/>
          <w:tab w:val="left" w:pos="9360"/>
        </w:tabs>
        <w:spacing w:line="276" w:lineRule="auto"/>
        <w:jc w:val="both"/>
        <w:rPr>
          <w:rFonts w:asciiTheme="minorHAnsi" w:hAnsiTheme="minorHAnsi"/>
          <w:noProof/>
          <w:lang w:val="sq-AL"/>
        </w:rPr>
      </w:pPr>
    </w:p>
    <w:p w:rsidR="008A750D" w:rsidRPr="009C40B4" w:rsidRDefault="008A750D" w:rsidP="008A750D">
      <w:pPr>
        <w:spacing w:line="276" w:lineRule="auto"/>
        <w:jc w:val="both"/>
        <w:rPr>
          <w:rFonts w:asciiTheme="minorHAnsi" w:hAnsiTheme="minorHAnsi"/>
        </w:rPr>
      </w:pPr>
      <w:r w:rsidRPr="00E67B09">
        <w:rPr>
          <w:rFonts w:asciiTheme="minorHAnsi" w:hAnsiTheme="minorHAnsi"/>
          <w:b/>
          <w:bCs/>
        </w:rPr>
        <w:t>T</w:t>
      </w:r>
      <w:r>
        <w:rPr>
          <w:rFonts w:asciiTheme="minorHAnsi" w:hAnsiTheme="minorHAnsi"/>
          <w:b/>
          <w:bCs/>
        </w:rPr>
        <w:t>ë</w:t>
      </w:r>
      <w:r w:rsidRPr="00E67B09">
        <w:rPr>
          <w:rFonts w:asciiTheme="minorHAnsi" w:hAnsiTheme="minorHAnsi"/>
          <w:b/>
          <w:bCs/>
        </w:rPr>
        <w:t xml:space="preserve"> Ardhurat </w:t>
      </w:r>
      <w:r w:rsidR="000A6BDF">
        <w:rPr>
          <w:rFonts w:asciiTheme="minorHAnsi" w:hAnsiTheme="minorHAnsi"/>
          <w:b/>
          <w:bCs/>
        </w:rPr>
        <w:t>Tatimore</w:t>
      </w:r>
      <w:r>
        <w:rPr>
          <w:rFonts w:asciiTheme="minorHAnsi" w:hAnsiTheme="minorHAnsi"/>
          <w:bCs/>
        </w:rPr>
        <w:t xml:space="preserve"> –</w:t>
      </w:r>
      <w:r w:rsidRPr="008A750D">
        <w:rPr>
          <w:rFonts w:asciiTheme="minorHAnsi" w:hAnsiTheme="minorHAnsi"/>
        </w:rPr>
        <w:t xml:space="preserve"> </w:t>
      </w:r>
      <w:r w:rsidRPr="009C40B4">
        <w:rPr>
          <w:rFonts w:asciiTheme="minorHAnsi" w:hAnsiTheme="minorHAnsi"/>
        </w:rPr>
        <w:t>Të ardhurat e mbledhura nga administrata tatimore (përfshirë kontributet)  për 5 mujorin e vitit 2017 janë realizuar në vlerën 92.9 miliard lekë, 7.1 miliard lekë më shumë se e njëjta periudhë e një viti më parë ose 8.3%, dhe tejkalim të parashikimeve me 6.5 miliard lekë ose 7.5%.</w:t>
      </w:r>
    </w:p>
    <w:p w:rsidR="0085454B" w:rsidRPr="0085454B" w:rsidRDefault="0085454B" w:rsidP="008A750D">
      <w:pPr>
        <w:tabs>
          <w:tab w:val="left" w:pos="1530"/>
          <w:tab w:val="center" w:pos="4680"/>
          <w:tab w:val="left" w:pos="9360"/>
        </w:tabs>
        <w:spacing w:line="276" w:lineRule="auto"/>
        <w:jc w:val="both"/>
        <w:rPr>
          <w:rFonts w:asciiTheme="minorHAnsi" w:eastAsia="SimSun" w:hAnsiTheme="minorHAnsi"/>
          <w:i/>
          <w:sz w:val="8"/>
          <w:szCs w:val="8"/>
          <w:lang w:val="sq-AL"/>
        </w:rPr>
      </w:pPr>
    </w:p>
    <w:p w:rsidR="008A750D" w:rsidRPr="00E67B09" w:rsidRDefault="008A750D" w:rsidP="008A750D">
      <w:pPr>
        <w:tabs>
          <w:tab w:val="left" w:pos="153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6F3FDF">
        <w:rPr>
          <w:rFonts w:asciiTheme="minorHAnsi" w:eastAsia="SimSun" w:hAnsiTheme="minorHAnsi"/>
          <w:i/>
          <w:lang w:val="sq-AL"/>
        </w:rPr>
        <w:t>5</w:t>
      </w:r>
      <w:r w:rsidRPr="00193EF8">
        <w:rPr>
          <w:rFonts w:asciiTheme="minorHAnsi" w:eastAsia="SimSun" w:hAnsiTheme="minorHAnsi"/>
          <w:i/>
          <w:lang w:val="sq-AL"/>
        </w:rPr>
        <w:t>:</w:t>
      </w:r>
      <w:r>
        <w:rPr>
          <w:rFonts w:asciiTheme="minorHAnsi" w:eastAsia="SimSun" w:hAnsiTheme="minorHAnsi"/>
          <w:i/>
          <w:lang w:val="sq-AL"/>
        </w:rPr>
        <w:tab/>
      </w:r>
      <w:r w:rsidRPr="008A750D">
        <w:rPr>
          <w:rFonts w:asciiTheme="minorHAnsi" w:eastAsia="SimSun" w:hAnsiTheme="minorHAnsi"/>
          <w:lang w:val="sq-AL"/>
        </w:rPr>
        <w:t>Të ardhurat  nga Tatimet Janar- Maj 2017</w:t>
      </w:r>
      <w:r>
        <w:rPr>
          <w:rFonts w:asciiTheme="minorHAnsi" w:eastAsia="SimSun" w:hAnsiTheme="minorHAnsi"/>
          <w:lang w:val="sq-AL"/>
        </w:rPr>
        <w:t>,</w:t>
      </w:r>
      <w:r w:rsidRPr="008A750D">
        <w:rPr>
          <w:rFonts w:asciiTheme="minorHAnsi" w:eastAsia="SimSun" w:hAnsiTheme="minorHAnsi"/>
          <w:lang w:val="sq-AL"/>
        </w:rPr>
        <w:t xml:space="preserve"> Mujore dhe Progresiv </w:t>
      </w:r>
      <w:r w:rsidRPr="00E67B09">
        <w:rPr>
          <w:rFonts w:asciiTheme="minorHAnsi" w:eastAsia="SimSun" w:hAnsiTheme="minorHAnsi"/>
          <w:lang w:val="sq-AL"/>
        </w:rPr>
        <w:t>(në milion lekë)</w:t>
      </w:r>
    </w:p>
    <w:p w:rsidR="008A750D" w:rsidRPr="009C40B4" w:rsidRDefault="008A750D" w:rsidP="008A750D">
      <w:pPr>
        <w:tabs>
          <w:tab w:val="left" w:pos="2511"/>
          <w:tab w:val="center" w:pos="4680"/>
        </w:tabs>
        <w:spacing w:line="276" w:lineRule="auto"/>
        <w:rPr>
          <w:rFonts w:asciiTheme="minorHAnsi" w:hAnsiTheme="minorHAnsi"/>
          <w:lang w:val="sq-AL"/>
        </w:rPr>
      </w:pPr>
      <w:r w:rsidRPr="009C40B4">
        <w:rPr>
          <w:rFonts w:asciiTheme="minorHAnsi" w:hAnsiTheme="minorHAnsi"/>
          <w:noProof/>
        </w:rPr>
        <mc:AlternateContent>
          <mc:Choice Requires="wps">
            <w:drawing>
              <wp:anchor distT="0" distB="0" distL="114300" distR="114300" simplePos="0" relativeHeight="251715072" behindDoc="0" locked="0" layoutInCell="1" allowOverlap="1" wp14:anchorId="1D3CFED7" wp14:editId="480941C4">
                <wp:simplePos x="0" y="0"/>
                <wp:positionH relativeFrom="column">
                  <wp:posOffset>4191000</wp:posOffset>
                </wp:positionH>
                <wp:positionV relativeFrom="paragraph">
                  <wp:posOffset>226695</wp:posOffset>
                </wp:positionV>
                <wp:extent cx="561975" cy="333375"/>
                <wp:effectExtent l="0" t="0" r="9525"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33375"/>
                        </a:xfrm>
                        <a:prstGeom prst="rect">
                          <a:avLst/>
                        </a:prstGeom>
                        <a:solidFill>
                          <a:srgbClr val="FFFFFF"/>
                        </a:solidFill>
                        <a:ln w="9525">
                          <a:noFill/>
                          <a:miter lim="800000"/>
                          <a:headEnd/>
                          <a:tailEnd/>
                        </a:ln>
                      </wps:spPr>
                      <wps:txbx>
                        <w:txbxContent>
                          <w:p w:rsidR="00CB4E18" w:rsidRPr="003B4694" w:rsidRDefault="00CB4E18" w:rsidP="008A750D">
                            <w:pPr>
                              <w:rPr>
                                <w:b/>
                                <w:color w:val="002060"/>
                                <w:sz w:val="20"/>
                                <w:szCs w:val="20"/>
                              </w:rPr>
                            </w:pPr>
                            <w:r w:rsidRPr="003B4694">
                              <w:rPr>
                                <w:b/>
                                <w:color w:val="002060"/>
                                <w:sz w:val="20"/>
                                <w:szCs w:val="20"/>
                              </w:rPr>
                              <w:t>8.27%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CFED7" id="_x0000_s1028" type="#_x0000_t202" style="position:absolute;margin-left:330pt;margin-top:17.85pt;width:44.25pt;height:26.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" stroked="f">
                <v:textbox>
                  <w:txbxContent>
                    <w:p w:rsidR="00CB4E18" w:rsidRPr="003B4694" w:rsidRDefault="00CB4E18" w:rsidP="008A750D">
                      <w:pPr>
                        <w:rPr>
                          <w:b/>
                          <w:color w:val="002060"/>
                          <w:sz w:val="20"/>
                          <w:szCs w:val="20"/>
                        </w:rPr>
                      </w:pPr>
                      <w:r w:rsidRPr="003B4694">
                        <w:rPr>
                          <w:b/>
                          <w:color w:val="002060"/>
                          <w:sz w:val="20"/>
                          <w:szCs w:val="20"/>
                        </w:rPr>
                        <w:t>8.27%</w:t>
                      </w:r>
                    </w:p>
                  </w:txbxContent>
                </v:textbox>
              </v:shape>
            </w:pict>
          </mc:Fallback>
        </mc:AlternateContent>
      </w:r>
      <w:r w:rsidRPr="009C40B4">
        <w:rPr>
          <w:rFonts w:asciiTheme="minorHAnsi" w:hAnsiTheme="minorHAnsi"/>
          <w:noProof/>
        </w:rPr>
        <w:drawing>
          <wp:inline distT="0" distB="0" distL="0" distR="0" wp14:anchorId="262CD6DE" wp14:editId="213BD43F">
            <wp:extent cx="3116580" cy="1600200"/>
            <wp:effectExtent l="0" t="0" r="762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C40B4">
        <w:rPr>
          <w:rFonts w:asciiTheme="minorHAnsi" w:hAnsiTheme="minorHAnsi"/>
          <w:i/>
        </w:rPr>
        <w:t xml:space="preserve">    </w:t>
      </w:r>
      <w:r w:rsidRPr="009C40B4">
        <w:rPr>
          <w:rFonts w:asciiTheme="minorHAnsi" w:hAnsiTheme="minorHAnsi"/>
          <w:noProof/>
        </w:rPr>
        <w:drawing>
          <wp:inline distT="0" distB="0" distL="0" distR="0" wp14:anchorId="0F4A4750" wp14:editId="2F9E740C">
            <wp:extent cx="2659380" cy="1508760"/>
            <wp:effectExtent l="0" t="0" r="762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2656" w:rsidRPr="009C40B4" w:rsidRDefault="00A42656" w:rsidP="00A42656">
      <w:pPr>
        <w:spacing w:line="276" w:lineRule="auto"/>
        <w:jc w:val="both"/>
        <w:rPr>
          <w:rFonts w:asciiTheme="minorHAnsi" w:hAnsiTheme="minorHAnsi"/>
        </w:rPr>
      </w:pPr>
      <w:r w:rsidRPr="009C40B4">
        <w:rPr>
          <w:rFonts w:asciiTheme="minorHAnsi" w:hAnsiTheme="minorHAnsi"/>
          <w:b/>
          <w:i/>
        </w:rPr>
        <w:t>Të ardhurat nga TVSH-ja neto brenda vendit</w:t>
      </w:r>
      <w:r w:rsidRPr="009C40B4">
        <w:rPr>
          <w:rFonts w:asciiTheme="minorHAnsi" w:hAnsiTheme="minorHAnsi"/>
        </w:rPr>
        <w:t xml:space="preserve"> janë realizuar në vlerën 14.7 miliard lekë, 3% ose 434 milion lekë më shumë se 5 mujori i vitit 2016 dhe me një realizim të planit të periudhës në masën 92.4% ose rreth 1.1 miliard lekë më pak, ku 620 milion lekë nga ky defiçit lidhen me tejkalimin e rimbursimeve të parashikuara për këtë periudhë.  Faktor pozitiv që ka ndikuar në këtë rezultat ka qenë rritja e prodhimit vendas të energjisë elektrike dhe karburantit ndërkohë që krahasuar me 5 mujorin 2016, rimbursimi i TVSH është rritur 62.5%, ose 1</w:t>
      </w:r>
      <w:proofErr w:type="gramStart"/>
      <w:r w:rsidRPr="009C40B4">
        <w:rPr>
          <w:rFonts w:asciiTheme="minorHAnsi" w:hAnsiTheme="minorHAnsi"/>
        </w:rPr>
        <w:t>,9</w:t>
      </w:r>
      <w:proofErr w:type="gramEnd"/>
      <w:r w:rsidRPr="009C40B4">
        <w:rPr>
          <w:rFonts w:asciiTheme="minorHAnsi" w:hAnsiTheme="minorHAnsi"/>
        </w:rPr>
        <w:t xml:space="preserve"> miliard lekë,  për shkak të rritjes së intensitetit të punimeve dhe e kërkesave për rimbursim nga kompania ndërtuese e gazsjellësit TAP. </w:t>
      </w:r>
    </w:p>
    <w:p w:rsidR="00FC76FF" w:rsidRPr="00A42656" w:rsidRDefault="00FC76FF" w:rsidP="008A750D">
      <w:pPr>
        <w:tabs>
          <w:tab w:val="left" w:pos="2511"/>
          <w:tab w:val="center" w:pos="4680"/>
          <w:tab w:val="left" w:pos="9360"/>
        </w:tabs>
        <w:spacing w:line="276" w:lineRule="auto"/>
        <w:jc w:val="center"/>
        <w:rPr>
          <w:rFonts w:asciiTheme="minorHAnsi" w:hAnsiTheme="minorHAnsi"/>
          <w:noProof/>
          <w:sz w:val="8"/>
          <w:szCs w:val="8"/>
          <w:lang w:val="sq-AL"/>
        </w:rPr>
      </w:pPr>
    </w:p>
    <w:p w:rsidR="00A42656" w:rsidRPr="00E67B09" w:rsidRDefault="00A42656" w:rsidP="00A42656">
      <w:pPr>
        <w:tabs>
          <w:tab w:val="left" w:pos="153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6F3FDF">
        <w:rPr>
          <w:rFonts w:asciiTheme="minorHAnsi" w:eastAsia="SimSun" w:hAnsiTheme="minorHAnsi"/>
          <w:i/>
          <w:lang w:val="sq-AL"/>
        </w:rPr>
        <w:t>6</w:t>
      </w:r>
      <w:r w:rsidRPr="00193EF8">
        <w:rPr>
          <w:rFonts w:asciiTheme="minorHAnsi" w:eastAsia="SimSun" w:hAnsiTheme="minorHAnsi"/>
          <w:i/>
          <w:lang w:val="sq-AL"/>
        </w:rPr>
        <w:t>:</w:t>
      </w:r>
      <w:r>
        <w:rPr>
          <w:rFonts w:asciiTheme="minorHAnsi" w:eastAsia="SimSun" w:hAnsiTheme="minorHAnsi"/>
          <w:i/>
          <w:lang w:val="sq-AL"/>
        </w:rPr>
        <w:tab/>
      </w:r>
      <w:r>
        <w:rPr>
          <w:rFonts w:asciiTheme="minorHAnsi" w:eastAsia="SimSun" w:hAnsiTheme="minorHAnsi"/>
          <w:lang w:val="sq-AL"/>
        </w:rPr>
        <w:t xml:space="preserve">Të ardhura nga TVSH dhe </w:t>
      </w:r>
      <w:r w:rsidRPr="00A42656">
        <w:rPr>
          <w:rFonts w:asciiTheme="minorHAnsi" w:eastAsia="SimSun" w:hAnsiTheme="minorHAnsi"/>
          <w:lang w:val="sq-AL"/>
        </w:rPr>
        <w:t>rimbursimi i TVSH</w:t>
      </w:r>
      <w:r>
        <w:rPr>
          <w:rFonts w:asciiTheme="minorHAnsi" w:eastAsia="SimSun" w:hAnsiTheme="minorHAnsi"/>
          <w:lang w:val="sq-AL"/>
        </w:rPr>
        <w:t>,</w:t>
      </w:r>
      <w:r w:rsidRPr="00A42656">
        <w:rPr>
          <w:rFonts w:asciiTheme="minorHAnsi" w:eastAsia="SimSun" w:hAnsiTheme="minorHAnsi"/>
          <w:lang w:val="sq-AL"/>
        </w:rPr>
        <w:t xml:space="preserve"> 5 mujori në vite </w:t>
      </w:r>
      <w:r w:rsidRPr="00E67B09">
        <w:rPr>
          <w:rFonts w:asciiTheme="minorHAnsi" w:eastAsia="SimSun" w:hAnsiTheme="minorHAnsi"/>
          <w:lang w:val="sq-AL"/>
        </w:rPr>
        <w:t>(në milion lekë)</w:t>
      </w:r>
    </w:p>
    <w:p w:rsidR="00A42656" w:rsidRPr="009C40B4" w:rsidRDefault="00A42656" w:rsidP="00A42656">
      <w:pPr>
        <w:tabs>
          <w:tab w:val="left" w:pos="2511"/>
          <w:tab w:val="center" w:pos="4680"/>
        </w:tabs>
        <w:spacing w:line="276" w:lineRule="auto"/>
        <w:rPr>
          <w:rFonts w:asciiTheme="minorHAnsi" w:hAnsiTheme="minorHAnsi"/>
          <w:lang w:val="sq-AL"/>
        </w:rPr>
      </w:pPr>
      <w:r w:rsidRPr="009C40B4">
        <w:rPr>
          <w:rFonts w:asciiTheme="minorHAnsi" w:hAnsiTheme="minorHAnsi"/>
          <w:noProof/>
        </w:rPr>
        <w:drawing>
          <wp:inline distT="0" distB="0" distL="0" distR="0" wp14:anchorId="6CD6BBBC" wp14:editId="04ED112A">
            <wp:extent cx="3095625" cy="19431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C40B4">
        <w:rPr>
          <w:rFonts w:asciiTheme="minorHAnsi" w:hAnsiTheme="minorHAnsi"/>
          <w:noProof/>
        </w:rPr>
        <w:drawing>
          <wp:inline distT="0" distB="0" distL="0" distR="0" wp14:anchorId="15B82119" wp14:editId="53DA6F55">
            <wp:extent cx="2800350" cy="19050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2656" w:rsidRPr="0089630D" w:rsidRDefault="00A42656" w:rsidP="00A42656">
      <w:pPr>
        <w:tabs>
          <w:tab w:val="left" w:pos="1530"/>
          <w:tab w:val="center" w:pos="4680"/>
          <w:tab w:val="left" w:pos="9360"/>
        </w:tabs>
        <w:spacing w:line="276" w:lineRule="auto"/>
        <w:jc w:val="both"/>
        <w:rPr>
          <w:rFonts w:asciiTheme="minorHAnsi" w:eastAsia="SimSun" w:hAnsiTheme="minorHAnsi"/>
          <w:i/>
          <w:sz w:val="16"/>
          <w:lang w:val="sq-AL"/>
        </w:rPr>
      </w:pPr>
    </w:p>
    <w:p w:rsidR="00A42656" w:rsidRPr="00E67B09" w:rsidRDefault="00A42656" w:rsidP="00A42656">
      <w:pPr>
        <w:tabs>
          <w:tab w:val="left" w:pos="153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6F3FDF">
        <w:rPr>
          <w:rFonts w:asciiTheme="minorHAnsi" w:eastAsia="SimSun" w:hAnsiTheme="minorHAnsi"/>
          <w:i/>
          <w:lang w:val="sq-AL"/>
        </w:rPr>
        <w:t>7</w:t>
      </w:r>
      <w:r w:rsidRPr="00193EF8">
        <w:rPr>
          <w:rFonts w:asciiTheme="minorHAnsi" w:eastAsia="SimSun" w:hAnsiTheme="minorHAnsi"/>
          <w:i/>
          <w:lang w:val="sq-AL"/>
        </w:rPr>
        <w:t>:</w:t>
      </w:r>
      <w:r>
        <w:rPr>
          <w:rFonts w:asciiTheme="minorHAnsi" w:eastAsia="SimSun" w:hAnsiTheme="minorHAnsi"/>
          <w:i/>
          <w:lang w:val="sq-AL"/>
        </w:rPr>
        <w:tab/>
      </w:r>
      <w:r w:rsidRPr="00A42656">
        <w:rPr>
          <w:rFonts w:asciiTheme="minorHAnsi" w:eastAsia="SimSun" w:hAnsiTheme="minorHAnsi"/>
          <w:lang w:val="sq-AL"/>
        </w:rPr>
        <w:t>Të ardhurat nga TVSH bruto</w:t>
      </w:r>
      <w:r>
        <w:rPr>
          <w:rFonts w:asciiTheme="minorHAnsi" w:eastAsia="SimSun" w:hAnsiTheme="minorHAnsi"/>
          <w:lang w:val="sq-AL"/>
        </w:rPr>
        <w:t>,</w:t>
      </w:r>
      <w:r w:rsidRPr="00A42656">
        <w:rPr>
          <w:rFonts w:asciiTheme="minorHAnsi" w:eastAsia="SimSun" w:hAnsiTheme="minorHAnsi"/>
          <w:lang w:val="sq-AL"/>
        </w:rPr>
        <w:t xml:space="preserve"> sipas sektorëve </w:t>
      </w:r>
      <w:r>
        <w:rPr>
          <w:rFonts w:asciiTheme="minorHAnsi" w:eastAsia="SimSun" w:hAnsiTheme="minorHAnsi"/>
          <w:lang w:val="sq-AL"/>
        </w:rPr>
        <w:t>t</w:t>
      </w:r>
      <w:r w:rsidR="00FD7B3F">
        <w:rPr>
          <w:rFonts w:asciiTheme="minorHAnsi" w:eastAsia="SimSun" w:hAnsiTheme="minorHAnsi"/>
          <w:lang w:val="sq-AL"/>
        </w:rPr>
        <w:t>ë</w:t>
      </w:r>
      <w:r>
        <w:rPr>
          <w:rFonts w:asciiTheme="minorHAnsi" w:eastAsia="SimSun" w:hAnsiTheme="minorHAnsi"/>
          <w:lang w:val="sq-AL"/>
        </w:rPr>
        <w:t xml:space="preserve"> ekonomis</w:t>
      </w:r>
      <w:r w:rsidR="00FD7B3F">
        <w:rPr>
          <w:rFonts w:asciiTheme="minorHAnsi" w:eastAsia="SimSun" w:hAnsiTheme="minorHAnsi"/>
          <w:lang w:val="sq-AL"/>
        </w:rPr>
        <w:t>ë</w:t>
      </w:r>
      <w:r w:rsidRPr="00A42656">
        <w:rPr>
          <w:rFonts w:asciiTheme="minorHAnsi" w:eastAsia="SimSun" w:hAnsiTheme="minorHAnsi"/>
          <w:lang w:val="sq-AL"/>
        </w:rPr>
        <w:t xml:space="preserve">  </w:t>
      </w:r>
      <w:r w:rsidRPr="00E67B09">
        <w:rPr>
          <w:rFonts w:asciiTheme="minorHAnsi" w:eastAsia="SimSun" w:hAnsiTheme="minorHAnsi"/>
          <w:lang w:val="sq-AL"/>
        </w:rPr>
        <w:t>(në milion lekë)</w:t>
      </w:r>
    </w:p>
    <w:p w:rsidR="00FC76FF" w:rsidRDefault="00A42656" w:rsidP="00A42656">
      <w:pPr>
        <w:tabs>
          <w:tab w:val="left" w:pos="2511"/>
          <w:tab w:val="center" w:pos="4680"/>
          <w:tab w:val="left" w:pos="9360"/>
        </w:tabs>
        <w:spacing w:line="276" w:lineRule="auto"/>
        <w:jc w:val="center"/>
        <w:rPr>
          <w:rFonts w:asciiTheme="minorHAnsi" w:hAnsiTheme="minorHAnsi"/>
          <w:noProof/>
          <w:lang w:val="sq-AL"/>
        </w:rPr>
      </w:pPr>
      <w:r w:rsidRPr="009C40B4">
        <w:rPr>
          <w:rFonts w:asciiTheme="minorHAnsi" w:hAnsiTheme="minorHAnsi"/>
          <w:i/>
          <w:noProof/>
        </w:rPr>
        <w:drawing>
          <wp:inline distT="0" distB="0" distL="0" distR="0" wp14:anchorId="7DEDF301" wp14:editId="2C90797B">
            <wp:extent cx="5457825" cy="1508760"/>
            <wp:effectExtent l="0" t="0" r="9525" b="152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630D" w:rsidRPr="0089630D" w:rsidRDefault="0089630D" w:rsidP="00A42656">
      <w:pPr>
        <w:spacing w:line="276" w:lineRule="auto"/>
        <w:jc w:val="both"/>
        <w:rPr>
          <w:rFonts w:asciiTheme="minorHAnsi" w:hAnsiTheme="minorHAnsi"/>
          <w:b/>
          <w:i/>
          <w:sz w:val="16"/>
        </w:rPr>
      </w:pPr>
    </w:p>
    <w:p w:rsidR="00A42656" w:rsidRPr="009C40B4" w:rsidRDefault="00A42656" w:rsidP="00A42656">
      <w:pPr>
        <w:spacing w:line="276" w:lineRule="auto"/>
        <w:jc w:val="both"/>
        <w:rPr>
          <w:rFonts w:asciiTheme="minorHAnsi" w:hAnsiTheme="minorHAnsi"/>
        </w:rPr>
      </w:pPr>
      <w:r w:rsidRPr="009C40B4">
        <w:rPr>
          <w:rFonts w:asciiTheme="minorHAnsi" w:hAnsiTheme="minorHAnsi"/>
          <w:b/>
          <w:i/>
        </w:rPr>
        <w:t>Të ardhurat nga  tatimi mbi fitimin</w:t>
      </w:r>
      <w:r w:rsidRPr="009C40B4">
        <w:rPr>
          <w:rFonts w:asciiTheme="minorHAnsi" w:hAnsiTheme="minorHAnsi"/>
        </w:rPr>
        <w:t xml:space="preserve"> janë realizuar në vlerën 15.3 miliard lekë, 5.3% ose 775 milion lekë më shumë se e njëjta periudhë e vitit të kaluar dhe 31% ose 3.6 miliard lekë më shumë se plani. Ndikimin kryesor në këtë rezultat e ka patur rritja e ndërgjegjësimit të taksapaguesve për deklarimin real të transaksioneve deri tek konsumatorët fundorë.</w:t>
      </w:r>
    </w:p>
    <w:p w:rsidR="00A42656" w:rsidRPr="00A42656" w:rsidRDefault="00A42656" w:rsidP="00A42656">
      <w:pPr>
        <w:tabs>
          <w:tab w:val="left" w:pos="1530"/>
          <w:tab w:val="center" w:pos="4680"/>
          <w:tab w:val="left" w:pos="9360"/>
        </w:tabs>
        <w:spacing w:line="276" w:lineRule="auto"/>
        <w:jc w:val="both"/>
        <w:rPr>
          <w:rFonts w:asciiTheme="minorHAnsi" w:eastAsia="SimSun" w:hAnsiTheme="minorHAnsi"/>
          <w:i/>
          <w:sz w:val="8"/>
          <w:szCs w:val="8"/>
          <w:lang w:val="sq-AL"/>
        </w:rPr>
      </w:pPr>
    </w:p>
    <w:p w:rsidR="00A42656" w:rsidRPr="00E67B09" w:rsidRDefault="00A42656" w:rsidP="00FD7B3F">
      <w:pPr>
        <w:tabs>
          <w:tab w:val="left" w:pos="153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6F3FDF">
        <w:rPr>
          <w:rFonts w:asciiTheme="minorHAnsi" w:eastAsia="SimSun" w:hAnsiTheme="minorHAnsi"/>
          <w:i/>
          <w:lang w:val="sq-AL"/>
        </w:rPr>
        <w:t>8</w:t>
      </w:r>
      <w:r w:rsidR="00FD7B3F">
        <w:rPr>
          <w:rFonts w:asciiTheme="minorHAnsi" w:eastAsia="SimSun" w:hAnsiTheme="minorHAnsi"/>
          <w:i/>
          <w:lang w:val="sq-AL"/>
        </w:rPr>
        <w:t>:</w:t>
      </w:r>
      <w:r w:rsidR="00FD7B3F">
        <w:rPr>
          <w:rFonts w:asciiTheme="minorHAnsi" w:eastAsia="SimSun" w:hAnsiTheme="minorHAnsi"/>
          <w:i/>
          <w:lang w:val="sq-AL"/>
        </w:rPr>
        <w:tab/>
      </w:r>
      <w:r w:rsidRPr="00A42656">
        <w:rPr>
          <w:rFonts w:asciiTheme="minorHAnsi" w:eastAsia="SimSun" w:hAnsiTheme="minorHAnsi"/>
          <w:lang w:val="sq-AL"/>
        </w:rPr>
        <w:t>Të ardhurat nga Tatim Fitimi</w:t>
      </w:r>
      <w:r>
        <w:rPr>
          <w:rFonts w:asciiTheme="minorHAnsi" w:eastAsia="SimSun" w:hAnsiTheme="minorHAnsi"/>
          <w:lang w:val="sq-AL"/>
        </w:rPr>
        <w:t>,</w:t>
      </w:r>
      <w:r w:rsidRPr="00A42656">
        <w:rPr>
          <w:rFonts w:asciiTheme="minorHAnsi" w:eastAsia="SimSun" w:hAnsiTheme="minorHAnsi"/>
          <w:lang w:val="sq-AL"/>
        </w:rPr>
        <w:t xml:space="preserve"> në vite dhe sipas zërave </w:t>
      </w:r>
      <w:r w:rsidRPr="00E67B09">
        <w:rPr>
          <w:rFonts w:asciiTheme="minorHAnsi" w:eastAsia="SimSun" w:hAnsiTheme="minorHAnsi"/>
          <w:lang w:val="sq-AL"/>
        </w:rPr>
        <w:t>(në milion lekë)</w:t>
      </w:r>
    </w:p>
    <w:p w:rsidR="00A42656" w:rsidRPr="009C40B4" w:rsidRDefault="00A42656" w:rsidP="00A42656">
      <w:pPr>
        <w:tabs>
          <w:tab w:val="left" w:pos="2511"/>
          <w:tab w:val="center" w:pos="4680"/>
        </w:tabs>
        <w:spacing w:line="276" w:lineRule="auto"/>
        <w:rPr>
          <w:rFonts w:asciiTheme="minorHAnsi" w:hAnsiTheme="minorHAnsi"/>
          <w:lang w:val="sq-AL"/>
        </w:rPr>
      </w:pPr>
      <w:r w:rsidRPr="009C40B4">
        <w:rPr>
          <w:rFonts w:asciiTheme="minorHAnsi" w:hAnsiTheme="minorHAnsi"/>
          <w:noProof/>
        </w:rPr>
        <w:drawing>
          <wp:inline distT="0" distB="0" distL="0" distR="0" wp14:anchorId="3D9130EF" wp14:editId="060F2515">
            <wp:extent cx="2933700" cy="1729740"/>
            <wp:effectExtent l="0" t="0" r="0" b="381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C40B4">
        <w:rPr>
          <w:rFonts w:asciiTheme="minorHAnsi" w:hAnsiTheme="minorHAnsi"/>
          <w:noProof/>
        </w:rPr>
        <w:drawing>
          <wp:inline distT="0" distB="0" distL="0" distR="0" wp14:anchorId="0E0E4B75" wp14:editId="55717D27">
            <wp:extent cx="3014345" cy="164592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7B3F" w:rsidRPr="00E67B09" w:rsidRDefault="00FD7B3F" w:rsidP="00FD7B3F">
      <w:pPr>
        <w:tabs>
          <w:tab w:val="left" w:pos="153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6F3FDF">
        <w:rPr>
          <w:rFonts w:asciiTheme="minorHAnsi" w:eastAsia="SimSun" w:hAnsiTheme="minorHAnsi"/>
          <w:i/>
          <w:lang w:val="sq-AL"/>
        </w:rPr>
        <w:t>9</w:t>
      </w:r>
      <w:r>
        <w:rPr>
          <w:rFonts w:asciiTheme="minorHAnsi" w:eastAsia="SimSun" w:hAnsiTheme="minorHAnsi"/>
          <w:i/>
          <w:lang w:val="sq-AL"/>
        </w:rPr>
        <w:t>:</w:t>
      </w:r>
      <w:r>
        <w:rPr>
          <w:rFonts w:asciiTheme="minorHAnsi" w:eastAsia="SimSun" w:hAnsiTheme="minorHAnsi"/>
          <w:i/>
          <w:lang w:val="sq-AL"/>
        </w:rPr>
        <w:tab/>
      </w:r>
      <w:r w:rsidRPr="00FD7B3F">
        <w:rPr>
          <w:rFonts w:asciiTheme="minorHAnsi" w:eastAsia="SimSun" w:hAnsiTheme="minorHAnsi"/>
          <w:lang w:val="sq-AL"/>
        </w:rPr>
        <w:t>Të ardhurat nga Tatim Fitimi</w:t>
      </w:r>
      <w:r>
        <w:rPr>
          <w:rFonts w:asciiTheme="minorHAnsi" w:eastAsia="SimSun" w:hAnsiTheme="minorHAnsi"/>
          <w:lang w:val="sq-AL"/>
        </w:rPr>
        <w:t>,</w:t>
      </w:r>
      <w:r w:rsidRPr="00FD7B3F">
        <w:rPr>
          <w:rFonts w:asciiTheme="minorHAnsi" w:eastAsia="SimSun" w:hAnsiTheme="minorHAnsi"/>
          <w:lang w:val="sq-AL"/>
        </w:rPr>
        <w:t xml:space="preserve"> sipas sektorëve </w:t>
      </w:r>
      <w:r>
        <w:rPr>
          <w:rFonts w:asciiTheme="minorHAnsi" w:eastAsia="SimSun" w:hAnsiTheme="minorHAnsi"/>
          <w:lang w:val="sq-AL"/>
        </w:rPr>
        <w:t xml:space="preserve">të </w:t>
      </w:r>
      <w:r w:rsidRPr="00FD7B3F">
        <w:rPr>
          <w:rFonts w:asciiTheme="minorHAnsi" w:eastAsia="SimSun" w:hAnsiTheme="minorHAnsi"/>
          <w:lang w:val="sq-AL"/>
        </w:rPr>
        <w:t>ekonomi</w:t>
      </w:r>
      <w:r>
        <w:rPr>
          <w:rFonts w:asciiTheme="minorHAnsi" w:eastAsia="SimSun" w:hAnsiTheme="minorHAnsi"/>
          <w:lang w:val="sq-AL"/>
        </w:rPr>
        <w:t>së</w:t>
      </w:r>
      <w:r w:rsidRPr="00FD7B3F">
        <w:rPr>
          <w:rFonts w:asciiTheme="minorHAnsi" w:eastAsia="SimSun" w:hAnsiTheme="minorHAnsi"/>
          <w:lang w:val="sq-AL"/>
        </w:rPr>
        <w:t xml:space="preserve"> </w:t>
      </w:r>
      <w:r w:rsidRPr="00E67B09">
        <w:rPr>
          <w:rFonts w:asciiTheme="minorHAnsi" w:eastAsia="SimSun" w:hAnsiTheme="minorHAnsi"/>
          <w:lang w:val="sq-AL"/>
        </w:rPr>
        <w:t>(në milion lekë)</w:t>
      </w:r>
    </w:p>
    <w:p w:rsidR="00FC76FF" w:rsidRPr="009C40B4" w:rsidRDefault="00FD7B3F" w:rsidP="00A42656">
      <w:pPr>
        <w:tabs>
          <w:tab w:val="left" w:pos="2511"/>
          <w:tab w:val="center" w:pos="4680"/>
          <w:tab w:val="left" w:pos="9360"/>
        </w:tabs>
        <w:spacing w:line="276" w:lineRule="auto"/>
        <w:jc w:val="center"/>
        <w:rPr>
          <w:rFonts w:asciiTheme="minorHAnsi" w:hAnsiTheme="minorHAnsi"/>
          <w:noProof/>
          <w:lang w:val="sq-AL"/>
        </w:rPr>
      </w:pPr>
      <w:r w:rsidRPr="009C40B4">
        <w:rPr>
          <w:rFonts w:asciiTheme="minorHAnsi" w:hAnsiTheme="minorHAnsi"/>
          <w:i/>
          <w:noProof/>
        </w:rPr>
        <w:drawing>
          <wp:inline distT="0" distB="0" distL="0" distR="0" wp14:anchorId="7DDB1D1A" wp14:editId="59F869C7">
            <wp:extent cx="5943600" cy="2232660"/>
            <wp:effectExtent l="0" t="0" r="0" b="152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D7B3F" w:rsidRPr="0089630D" w:rsidRDefault="00FD7B3F" w:rsidP="00FD7B3F">
      <w:pPr>
        <w:tabs>
          <w:tab w:val="left" w:pos="2511"/>
          <w:tab w:val="center" w:pos="4680"/>
        </w:tabs>
        <w:spacing w:line="276" w:lineRule="auto"/>
        <w:jc w:val="both"/>
        <w:rPr>
          <w:rFonts w:asciiTheme="minorHAnsi" w:hAnsiTheme="minorHAnsi"/>
          <w:b/>
          <w:i/>
          <w:sz w:val="20"/>
          <w:lang w:val="it-IT"/>
        </w:rPr>
      </w:pPr>
    </w:p>
    <w:p w:rsidR="00FD7B3F" w:rsidRPr="009C40B4" w:rsidRDefault="00FD7B3F" w:rsidP="00FD7B3F">
      <w:pPr>
        <w:tabs>
          <w:tab w:val="left" w:pos="2511"/>
          <w:tab w:val="center" w:pos="4680"/>
        </w:tabs>
        <w:spacing w:line="276" w:lineRule="auto"/>
        <w:jc w:val="both"/>
        <w:rPr>
          <w:rFonts w:asciiTheme="minorHAnsi" w:hAnsiTheme="minorHAnsi"/>
          <w:i/>
        </w:rPr>
      </w:pPr>
      <w:r w:rsidRPr="009C40B4">
        <w:rPr>
          <w:rFonts w:asciiTheme="minorHAnsi" w:hAnsiTheme="minorHAnsi"/>
          <w:b/>
          <w:i/>
          <w:lang w:val="it-IT"/>
        </w:rPr>
        <w:t>Nga tatimi mbi të ardhurat personale</w:t>
      </w:r>
      <w:r w:rsidRPr="009C40B4">
        <w:rPr>
          <w:rFonts w:asciiTheme="minorHAnsi" w:hAnsiTheme="minorHAnsi"/>
          <w:lang w:val="it-IT"/>
        </w:rPr>
        <w:t xml:space="preserve"> janë realizuar 12.9 miliard lekë. Kontributi i këtij zëri në të ardhura është 3.8% ose 515 milion lekë më pak se 5 mujori i vitit 2016 dhe 8.7% ose 1.2 miliard lekë më pak se plani. Ndikim në deklarimet e kësaj takse ka pasur reduktimi i pagesës së tatimit në burim për shitjet e pasurive të paluajtshme për shkak të aplikimit të ligjit të rivlerësimit të pasurive deri në fund të muajit maj 2017. Por kjo ulje të ardhurash  në këtë zë, është  kompensuar nga  arkëtimet e të ardhurave nga rivlerësimi, të cilat për periudhën Janar-Maj 2017 kanë qënë rreth 3.6 miliard lekë, dhe janë raportuar në zërin e të ardhurave nga taksat nacionale e të tjera. </w:t>
      </w:r>
    </w:p>
    <w:p w:rsidR="00FD7B3F" w:rsidRPr="00FD7B3F" w:rsidRDefault="00FD7B3F" w:rsidP="00FD7B3F">
      <w:pPr>
        <w:tabs>
          <w:tab w:val="left" w:pos="1530"/>
          <w:tab w:val="center" w:pos="4680"/>
          <w:tab w:val="left" w:pos="9360"/>
        </w:tabs>
        <w:spacing w:line="276" w:lineRule="auto"/>
        <w:jc w:val="both"/>
        <w:rPr>
          <w:rFonts w:asciiTheme="minorHAnsi" w:eastAsia="SimSun" w:hAnsiTheme="minorHAnsi"/>
          <w:i/>
          <w:sz w:val="8"/>
          <w:szCs w:val="8"/>
          <w:lang w:val="sq-AL"/>
        </w:rPr>
      </w:pPr>
    </w:p>
    <w:p w:rsidR="00FD7B3F" w:rsidRPr="00E67B09" w:rsidRDefault="00FD7B3F" w:rsidP="00FD7B3F">
      <w:pPr>
        <w:tabs>
          <w:tab w:val="left" w:pos="153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Pr>
          <w:rFonts w:asciiTheme="minorHAnsi" w:eastAsia="SimSun" w:hAnsiTheme="minorHAnsi"/>
          <w:i/>
          <w:lang w:val="sq-AL"/>
        </w:rPr>
        <w:t>1</w:t>
      </w:r>
      <w:r w:rsidR="000B3625">
        <w:rPr>
          <w:rFonts w:asciiTheme="minorHAnsi" w:eastAsia="SimSun" w:hAnsiTheme="minorHAnsi"/>
          <w:i/>
          <w:lang w:val="sq-AL"/>
        </w:rPr>
        <w:t>0</w:t>
      </w:r>
      <w:r>
        <w:rPr>
          <w:rFonts w:asciiTheme="minorHAnsi" w:eastAsia="SimSun" w:hAnsiTheme="minorHAnsi"/>
          <w:i/>
          <w:lang w:val="sq-AL"/>
        </w:rPr>
        <w:t>:</w:t>
      </w:r>
      <w:r>
        <w:rPr>
          <w:rFonts w:asciiTheme="minorHAnsi" w:eastAsia="SimSun" w:hAnsiTheme="minorHAnsi"/>
          <w:i/>
          <w:lang w:val="sq-AL"/>
        </w:rPr>
        <w:tab/>
      </w:r>
      <w:r w:rsidRPr="00FD7B3F">
        <w:rPr>
          <w:rFonts w:asciiTheme="minorHAnsi" w:eastAsia="SimSun" w:hAnsiTheme="minorHAnsi"/>
          <w:lang w:val="sq-AL"/>
        </w:rPr>
        <w:t xml:space="preserve">Të ardhurat nga Tatimi mbi të </w:t>
      </w:r>
      <w:r>
        <w:rPr>
          <w:rFonts w:asciiTheme="minorHAnsi" w:eastAsia="SimSun" w:hAnsiTheme="minorHAnsi"/>
          <w:lang w:val="sq-AL"/>
        </w:rPr>
        <w:t>A</w:t>
      </w:r>
      <w:r w:rsidRPr="00FD7B3F">
        <w:rPr>
          <w:rFonts w:asciiTheme="minorHAnsi" w:eastAsia="SimSun" w:hAnsiTheme="minorHAnsi"/>
          <w:lang w:val="sq-AL"/>
        </w:rPr>
        <w:t>rdhurat Personale</w:t>
      </w:r>
      <w:r>
        <w:rPr>
          <w:rFonts w:asciiTheme="minorHAnsi" w:eastAsia="SimSun" w:hAnsiTheme="minorHAnsi"/>
          <w:lang w:val="sq-AL"/>
        </w:rPr>
        <w:t>,</w:t>
      </w:r>
      <w:r w:rsidRPr="00FD7B3F">
        <w:rPr>
          <w:rFonts w:asciiTheme="minorHAnsi" w:eastAsia="SimSun" w:hAnsiTheme="minorHAnsi"/>
          <w:lang w:val="sq-AL"/>
        </w:rPr>
        <w:t xml:space="preserve"> në vite </w:t>
      </w:r>
      <w:r w:rsidRPr="00E67B09">
        <w:rPr>
          <w:rFonts w:asciiTheme="minorHAnsi" w:eastAsia="SimSun" w:hAnsiTheme="minorHAnsi"/>
          <w:lang w:val="sq-AL"/>
        </w:rPr>
        <w:t>(në milion lekë)</w:t>
      </w:r>
    </w:p>
    <w:p w:rsidR="00BF12EE" w:rsidRDefault="00FD7B3F" w:rsidP="00FD7B3F">
      <w:pPr>
        <w:spacing w:line="276" w:lineRule="auto"/>
        <w:jc w:val="center"/>
        <w:rPr>
          <w:rFonts w:asciiTheme="minorHAnsi" w:hAnsiTheme="minorHAnsi"/>
          <w:lang w:val="sq-AL"/>
        </w:rPr>
      </w:pPr>
      <w:r w:rsidRPr="009C40B4">
        <w:rPr>
          <w:rFonts w:asciiTheme="minorHAnsi" w:hAnsiTheme="minorHAnsi"/>
          <w:noProof/>
        </w:rPr>
        <w:drawing>
          <wp:inline distT="0" distB="0" distL="0" distR="0" wp14:anchorId="29FED089" wp14:editId="2F92D80F">
            <wp:extent cx="5919470" cy="1790700"/>
            <wp:effectExtent l="0" t="0" r="5080" b="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630D" w:rsidRPr="0089630D" w:rsidRDefault="0089630D" w:rsidP="00291EF6">
      <w:pPr>
        <w:spacing w:line="276" w:lineRule="auto"/>
        <w:jc w:val="both"/>
        <w:rPr>
          <w:rFonts w:asciiTheme="minorHAnsi" w:eastAsia="SimSun" w:hAnsiTheme="minorHAnsi"/>
          <w:i/>
          <w:lang w:val="sq-AL"/>
        </w:rPr>
      </w:pPr>
    </w:p>
    <w:p w:rsidR="00291EF6" w:rsidRDefault="00291EF6" w:rsidP="00291EF6">
      <w:pPr>
        <w:spacing w:line="276" w:lineRule="auto"/>
        <w:jc w:val="both"/>
        <w:rPr>
          <w:rFonts w:asciiTheme="minorHAnsi" w:hAnsiTheme="minorHAns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8</w:t>
      </w:r>
      <w:r w:rsidRPr="007138C5">
        <w:rPr>
          <w:rFonts w:asciiTheme="minorHAnsi" w:eastAsia="SimSun" w:hAnsiTheme="minorHAnsi"/>
          <w:i/>
          <w:lang w:val="sq-AL"/>
        </w:rPr>
        <w:t>:</w:t>
      </w:r>
      <w:r w:rsidRPr="007138C5">
        <w:rPr>
          <w:rFonts w:asciiTheme="minorHAnsi" w:eastAsia="SimSun" w:hAnsiTheme="minorHAnsi"/>
          <w:i/>
          <w:lang w:val="sq-AL"/>
        </w:rPr>
        <w:tab/>
      </w:r>
      <w:r w:rsidRPr="00291EF6">
        <w:rPr>
          <w:rFonts w:asciiTheme="minorHAnsi" w:hAnsiTheme="minorHAnsi"/>
          <w:lang w:val="sq-AL"/>
        </w:rPr>
        <w:t xml:space="preserve">Të ardhurat nga Tatimi mbi të </w:t>
      </w:r>
      <w:r>
        <w:rPr>
          <w:rFonts w:asciiTheme="minorHAnsi" w:hAnsiTheme="minorHAnsi"/>
          <w:lang w:val="sq-AL"/>
        </w:rPr>
        <w:t>A</w:t>
      </w:r>
      <w:r w:rsidRPr="00291EF6">
        <w:rPr>
          <w:rFonts w:asciiTheme="minorHAnsi" w:hAnsiTheme="minorHAnsi"/>
          <w:lang w:val="sq-AL"/>
        </w:rPr>
        <w:t>rdhurat Personale</w:t>
      </w:r>
      <w:r>
        <w:rPr>
          <w:rFonts w:asciiTheme="minorHAnsi" w:hAnsiTheme="minorHAnsi"/>
          <w:lang w:val="sq-AL"/>
        </w:rPr>
        <w:t>,</w:t>
      </w:r>
      <w:r w:rsidRPr="00291EF6">
        <w:rPr>
          <w:rFonts w:asciiTheme="minorHAnsi" w:hAnsiTheme="minorHAnsi"/>
          <w:lang w:val="sq-AL"/>
        </w:rPr>
        <w:t xml:space="preserve"> sipas zërave </w:t>
      </w:r>
      <w:r w:rsidRPr="00D414C0">
        <w:rPr>
          <w:rFonts w:asciiTheme="minorHAnsi" w:hAnsiTheme="minorHAnsi"/>
          <w:lang w:val="sq-AL"/>
        </w:rPr>
        <w:t>(</w:t>
      </w:r>
      <w:r>
        <w:rPr>
          <w:rFonts w:asciiTheme="minorHAnsi" w:hAnsiTheme="minorHAnsi"/>
          <w:lang w:val="sq-AL"/>
        </w:rPr>
        <w:t>në milion</w:t>
      </w:r>
      <w:r w:rsidRPr="00D414C0">
        <w:rPr>
          <w:rFonts w:asciiTheme="minorHAnsi" w:hAnsiTheme="minorHAnsi"/>
          <w:lang w:val="sq-AL"/>
        </w:rPr>
        <w:t xml:space="preserve"> lekë)</w:t>
      </w:r>
    </w:p>
    <w:tbl>
      <w:tblPr>
        <w:tblStyle w:val="GridTable1Light"/>
        <w:tblW w:w="9188" w:type="dxa"/>
        <w:tblLook w:val="0600" w:firstRow="0" w:lastRow="0" w:firstColumn="0" w:lastColumn="0" w:noHBand="1" w:noVBand="1"/>
      </w:tblPr>
      <w:tblGrid>
        <w:gridCol w:w="4945"/>
        <w:gridCol w:w="810"/>
        <w:gridCol w:w="1080"/>
        <w:gridCol w:w="1080"/>
        <w:gridCol w:w="1273"/>
      </w:tblGrid>
      <w:tr w:rsidR="00291EF6" w:rsidRPr="00291EF6" w:rsidTr="00291EF6">
        <w:trPr>
          <w:trHeight w:val="191"/>
        </w:trPr>
        <w:tc>
          <w:tcPr>
            <w:tcW w:w="4945" w:type="dxa"/>
            <w:hideMark/>
          </w:tcPr>
          <w:p w:rsidR="00291EF6" w:rsidRPr="00291EF6" w:rsidRDefault="00291EF6" w:rsidP="00B17E1B">
            <w:pPr>
              <w:spacing w:line="276" w:lineRule="auto"/>
              <w:jc w:val="both"/>
              <w:rPr>
                <w:b/>
                <w:sz w:val="20"/>
              </w:rPr>
            </w:pPr>
            <w:r w:rsidRPr="00291EF6">
              <w:rPr>
                <w:b/>
                <w:bCs/>
                <w:sz w:val="20"/>
              </w:rPr>
              <w:t> </w:t>
            </w:r>
          </w:p>
        </w:tc>
        <w:tc>
          <w:tcPr>
            <w:tcW w:w="810" w:type="dxa"/>
            <w:hideMark/>
          </w:tcPr>
          <w:p w:rsidR="00291EF6" w:rsidRPr="00291EF6" w:rsidRDefault="00291EF6" w:rsidP="00291EF6">
            <w:pPr>
              <w:spacing w:line="276" w:lineRule="auto"/>
              <w:jc w:val="center"/>
              <w:rPr>
                <w:b/>
                <w:sz w:val="20"/>
              </w:rPr>
            </w:pPr>
            <w:r w:rsidRPr="00291EF6">
              <w:rPr>
                <w:b/>
                <w:bCs/>
                <w:sz w:val="20"/>
              </w:rPr>
              <w:t>2016</w:t>
            </w:r>
          </w:p>
        </w:tc>
        <w:tc>
          <w:tcPr>
            <w:tcW w:w="1080" w:type="dxa"/>
            <w:hideMark/>
          </w:tcPr>
          <w:p w:rsidR="00291EF6" w:rsidRPr="00291EF6" w:rsidRDefault="00291EF6" w:rsidP="00291EF6">
            <w:pPr>
              <w:spacing w:line="276" w:lineRule="auto"/>
              <w:jc w:val="center"/>
              <w:rPr>
                <w:b/>
                <w:sz w:val="20"/>
              </w:rPr>
            </w:pPr>
            <w:r w:rsidRPr="00291EF6">
              <w:rPr>
                <w:b/>
                <w:bCs/>
                <w:sz w:val="20"/>
              </w:rPr>
              <w:t>2017</w:t>
            </w:r>
          </w:p>
        </w:tc>
        <w:tc>
          <w:tcPr>
            <w:tcW w:w="1080" w:type="dxa"/>
            <w:hideMark/>
          </w:tcPr>
          <w:p w:rsidR="00291EF6" w:rsidRPr="00291EF6" w:rsidRDefault="00291EF6" w:rsidP="00291EF6">
            <w:pPr>
              <w:spacing w:line="276" w:lineRule="auto"/>
              <w:jc w:val="center"/>
              <w:rPr>
                <w:b/>
                <w:sz w:val="20"/>
              </w:rPr>
            </w:pPr>
            <w:r w:rsidRPr="00291EF6">
              <w:rPr>
                <w:b/>
                <w:bCs/>
                <w:sz w:val="20"/>
              </w:rPr>
              <w:t>Diferenca</w:t>
            </w:r>
          </w:p>
        </w:tc>
        <w:tc>
          <w:tcPr>
            <w:tcW w:w="1273" w:type="dxa"/>
            <w:hideMark/>
          </w:tcPr>
          <w:p w:rsidR="00291EF6" w:rsidRPr="00291EF6" w:rsidRDefault="00291EF6" w:rsidP="00291EF6">
            <w:pPr>
              <w:spacing w:line="276" w:lineRule="auto"/>
              <w:jc w:val="center"/>
              <w:rPr>
                <w:b/>
                <w:sz w:val="20"/>
              </w:rPr>
            </w:pPr>
            <w:r w:rsidRPr="00291EF6">
              <w:rPr>
                <w:b/>
                <w:bCs/>
                <w:sz w:val="20"/>
              </w:rPr>
              <w:t>në %</w:t>
            </w:r>
          </w:p>
        </w:tc>
      </w:tr>
      <w:tr w:rsidR="00291EF6" w:rsidRPr="00291EF6" w:rsidTr="00291EF6">
        <w:trPr>
          <w:trHeight w:val="191"/>
        </w:trPr>
        <w:tc>
          <w:tcPr>
            <w:tcW w:w="4945" w:type="dxa"/>
            <w:hideMark/>
          </w:tcPr>
          <w:p w:rsidR="00291EF6" w:rsidRPr="00291EF6" w:rsidRDefault="00291EF6" w:rsidP="00B17E1B">
            <w:pPr>
              <w:spacing w:line="276" w:lineRule="auto"/>
              <w:jc w:val="both"/>
              <w:rPr>
                <w:sz w:val="20"/>
              </w:rPr>
            </w:pPr>
            <w:r w:rsidRPr="00291EF6">
              <w:rPr>
                <w:sz w:val="20"/>
              </w:rPr>
              <w:t xml:space="preserve">Nga të punësuarit e Sektorit  Publik </w:t>
            </w:r>
          </w:p>
        </w:tc>
        <w:tc>
          <w:tcPr>
            <w:tcW w:w="810" w:type="dxa"/>
            <w:hideMark/>
          </w:tcPr>
          <w:p w:rsidR="00291EF6" w:rsidRPr="00291EF6" w:rsidRDefault="00291EF6" w:rsidP="00291EF6">
            <w:pPr>
              <w:spacing w:line="276" w:lineRule="auto"/>
              <w:jc w:val="center"/>
              <w:rPr>
                <w:sz w:val="20"/>
              </w:rPr>
            </w:pPr>
            <w:r w:rsidRPr="00291EF6">
              <w:rPr>
                <w:sz w:val="20"/>
              </w:rPr>
              <w:t>2,447</w:t>
            </w:r>
          </w:p>
        </w:tc>
        <w:tc>
          <w:tcPr>
            <w:tcW w:w="1080" w:type="dxa"/>
            <w:hideMark/>
          </w:tcPr>
          <w:p w:rsidR="00291EF6" w:rsidRPr="00291EF6" w:rsidRDefault="00291EF6" w:rsidP="00291EF6">
            <w:pPr>
              <w:spacing w:line="276" w:lineRule="auto"/>
              <w:jc w:val="center"/>
              <w:rPr>
                <w:sz w:val="20"/>
              </w:rPr>
            </w:pPr>
            <w:r w:rsidRPr="00291EF6">
              <w:rPr>
                <w:sz w:val="20"/>
              </w:rPr>
              <w:t>2,765</w:t>
            </w:r>
          </w:p>
        </w:tc>
        <w:tc>
          <w:tcPr>
            <w:tcW w:w="1080" w:type="dxa"/>
            <w:hideMark/>
          </w:tcPr>
          <w:p w:rsidR="00291EF6" w:rsidRPr="00291EF6" w:rsidRDefault="00291EF6" w:rsidP="00291EF6">
            <w:pPr>
              <w:spacing w:line="276" w:lineRule="auto"/>
              <w:jc w:val="center"/>
              <w:rPr>
                <w:sz w:val="20"/>
              </w:rPr>
            </w:pPr>
            <w:r w:rsidRPr="00291EF6">
              <w:rPr>
                <w:sz w:val="20"/>
              </w:rPr>
              <w:t>317</w:t>
            </w:r>
          </w:p>
        </w:tc>
        <w:tc>
          <w:tcPr>
            <w:tcW w:w="1273" w:type="dxa"/>
            <w:hideMark/>
          </w:tcPr>
          <w:p w:rsidR="00291EF6" w:rsidRPr="00291EF6" w:rsidRDefault="00291EF6" w:rsidP="00291EF6">
            <w:pPr>
              <w:spacing w:line="276" w:lineRule="auto"/>
              <w:jc w:val="center"/>
              <w:rPr>
                <w:sz w:val="20"/>
              </w:rPr>
            </w:pPr>
            <w:r w:rsidRPr="00291EF6">
              <w:rPr>
                <w:sz w:val="20"/>
              </w:rPr>
              <w:t>12.95%</w:t>
            </w:r>
          </w:p>
        </w:tc>
      </w:tr>
      <w:tr w:rsidR="00291EF6" w:rsidRPr="00291EF6" w:rsidTr="00291EF6">
        <w:trPr>
          <w:trHeight w:val="191"/>
        </w:trPr>
        <w:tc>
          <w:tcPr>
            <w:tcW w:w="4945" w:type="dxa"/>
            <w:hideMark/>
          </w:tcPr>
          <w:p w:rsidR="00291EF6" w:rsidRPr="00291EF6" w:rsidRDefault="00291EF6" w:rsidP="00B17E1B">
            <w:pPr>
              <w:spacing w:line="276" w:lineRule="auto"/>
              <w:jc w:val="both"/>
              <w:rPr>
                <w:sz w:val="20"/>
              </w:rPr>
            </w:pPr>
            <w:r w:rsidRPr="00291EF6">
              <w:rPr>
                <w:sz w:val="20"/>
                <w:lang w:val="sv-SE"/>
              </w:rPr>
              <w:t>Nga të punësuarit e Sektorit  Privat</w:t>
            </w:r>
          </w:p>
        </w:tc>
        <w:tc>
          <w:tcPr>
            <w:tcW w:w="810" w:type="dxa"/>
            <w:hideMark/>
          </w:tcPr>
          <w:p w:rsidR="00291EF6" w:rsidRPr="00291EF6" w:rsidRDefault="00291EF6" w:rsidP="00291EF6">
            <w:pPr>
              <w:spacing w:line="276" w:lineRule="auto"/>
              <w:jc w:val="center"/>
              <w:rPr>
                <w:sz w:val="20"/>
              </w:rPr>
            </w:pPr>
            <w:r w:rsidRPr="00291EF6">
              <w:rPr>
                <w:sz w:val="20"/>
              </w:rPr>
              <w:t>4,868</w:t>
            </w:r>
          </w:p>
        </w:tc>
        <w:tc>
          <w:tcPr>
            <w:tcW w:w="1080" w:type="dxa"/>
            <w:hideMark/>
          </w:tcPr>
          <w:p w:rsidR="00291EF6" w:rsidRPr="00291EF6" w:rsidRDefault="00291EF6" w:rsidP="00291EF6">
            <w:pPr>
              <w:spacing w:line="276" w:lineRule="auto"/>
              <w:jc w:val="center"/>
              <w:rPr>
                <w:sz w:val="20"/>
              </w:rPr>
            </w:pPr>
            <w:r w:rsidRPr="00291EF6">
              <w:rPr>
                <w:sz w:val="20"/>
              </w:rPr>
              <w:t>5,244</w:t>
            </w:r>
          </w:p>
        </w:tc>
        <w:tc>
          <w:tcPr>
            <w:tcW w:w="1080" w:type="dxa"/>
            <w:hideMark/>
          </w:tcPr>
          <w:p w:rsidR="00291EF6" w:rsidRPr="00291EF6" w:rsidRDefault="00291EF6" w:rsidP="00291EF6">
            <w:pPr>
              <w:spacing w:line="276" w:lineRule="auto"/>
              <w:jc w:val="center"/>
              <w:rPr>
                <w:sz w:val="20"/>
              </w:rPr>
            </w:pPr>
            <w:r w:rsidRPr="00291EF6">
              <w:rPr>
                <w:sz w:val="20"/>
              </w:rPr>
              <w:t>375</w:t>
            </w:r>
          </w:p>
        </w:tc>
        <w:tc>
          <w:tcPr>
            <w:tcW w:w="1273" w:type="dxa"/>
            <w:hideMark/>
          </w:tcPr>
          <w:p w:rsidR="00291EF6" w:rsidRPr="00291EF6" w:rsidRDefault="00291EF6" w:rsidP="00291EF6">
            <w:pPr>
              <w:spacing w:line="276" w:lineRule="auto"/>
              <w:jc w:val="center"/>
              <w:rPr>
                <w:sz w:val="20"/>
              </w:rPr>
            </w:pPr>
            <w:r w:rsidRPr="00291EF6">
              <w:rPr>
                <w:sz w:val="20"/>
              </w:rPr>
              <w:t>7.71%</w:t>
            </w:r>
          </w:p>
        </w:tc>
      </w:tr>
      <w:tr w:rsidR="00291EF6" w:rsidRPr="00291EF6" w:rsidTr="00291EF6">
        <w:trPr>
          <w:trHeight w:val="191"/>
        </w:trPr>
        <w:tc>
          <w:tcPr>
            <w:tcW w:w="4945" w:type="dxa"/>
            <w:hideMark/>
          </w:tcPr>
          <w:p w:rsidR="00291EF6" w:rsidRPr="00291EF6" w:rsidRDefault="00291EF6" w:rsidP="00B17E1B">
            <w:pPr>
              <w:spacing w:line="276" w:lineRule="auto"/>
              <w:jc w:val="both"/>
              <w:rPr>
                <w:sz w:val="20"/>
              </w:rPr>
            </w:pPr>
            <w:r w:rsidRPr="00291EF6">
              <w:rPr>
                <w:sz w:val="20"/>
              </w:rPr>
              <w:t xml:space="preserve">Tatim mbi të Ardhurat nga Interesat </w:t>
            </w:r>
          </w:p>
        </w:tc>
        <w:tc>
          <w:tcPr>
            <w:tcW w:w="810" w:type="dxa"/>
            <w:hideMark/>
          </w:tcPr>
          <w:p w:rsidR="00291EF6" w:rsidRPr="00291EF6" w:rsidRDefault="00291EF6" w:rsidP="00291EF6">
            <w:pPr>
              <w:spacing w:line="276" w:lineRule="auto"/>
              <w:jc w:val="center"/>
              <w:rPr>
                <w:sz w:val="20"/>
              </w:rPr>
            </w:pPr>
            <w:r w:rsidRPr="00291EF6">
              <w:rPr>
                <w:sz w:val="20"/>
              </w:rPr>
              <w:t>1,205</w:t>
            </w:r>
          </w:p>
        </w:tc>
        <w:tc>
          <w:tcPr>
            <w:tcW w:w="1080" w:type="dxa"/>
            <w:hideMark/>
          </w:tcPr>
          <w:p w:rsidR="00291EF6" w:rsidRPr="00291EF6" w:rsidRDefault="00291EF6" w:rsidP="00291EF6">
            <w:pPr>
              <w:spacing w:line="276" w:lineRule="auto"/>
              <w:jc w:val="center"/>
              <w:rPr>
                <w:sz w:val="20"/>
              </w:rPr>
            </w:pPr>
            <w:r w:rsidRPr="00291EF6">
              <w:rPr>
                <w:sz w:val="20"/>
              </w:rPr>
              <w:t>967</w:t>
            </w:r>
          </w:p>
        </w:tc>
        <w:tc>
          <w:tcPr>
            <w:tcW w:w="1080" w:type="dxa"/>
            <w:hideMark/>
          </w:tcPr>
          <w:p w:rsidR="00291EF6" w:rsidRPr="00291EF6" w:rsidRDefault="00291EF6" w:rsidP="00291EF6">
            <w:pPr>
              <w:spacing w:line="276" w:lineRule="auto"/>
              <w:jc w:val="center"/>
              <w:rPr>
                <w:sz w:val="20"/>
              </w:rPr>
            </w:pPr>
            <w:r w:rsidRPr="00291EF6">
              <w:rPr>
                <w:sz w:val="20"/>
              </w:rPr>
              <w:t>-238</w:t>
            </w:r>
          </w:p>
        </w:tc>
        <w:tc>
          <w:tcPr>
            <w:tcW w:w="1273" w:type="dxa"/>
            <w:hideMark/>
          </w:tcPr>
          <w:p w:rsidR="00291EF6" w:rsidRPr="00291EF6" w:rsidRDefault="00291EF6" w:rsidP="00291EF6">
            <w:pPr>
              <w:spacing w:line="276" w:lineRule="auto"/>
              <w:jc w:val="center"/>
              <w:rPr>
                <w:sz w:val="20"/>
              </w:rPr>
            </w:pPr>
            <w:r w:rsidRPr="00291EF6">
              <w:rPr>
                <w:sz w:val="20"/>
              </w:rPr>
              <w:t>-19.74%</w:t>
            </w:r>
          </w:p>
        </w:tc>
      </w:tr>
      <w:tr w:rsidR="00291EF6" w:rsidRPr="00291EF6" w:rsidTr="00291EF6">
        <w:trPr>
          <w:trHeight w:val="191"/>
        </w:trPr>
        <w:tc>
          <w:tcPr>
            <w:tcW w:w="4945" w:type="dxa"/>
            <w:hideMark/>
          </w:tcPr>
          <w:p w:rsidR="00291EF6" w:rsidRPr="00291EF6" w:rsidRDefault="00291EF6" w:rsidP="00B17E1B">
            <w:pPr>
              <w:spacing w:line="276" w:lineRule="auto"/>
              <w:jc w:val="both"/>
              <w:rPr>
                <w:sz w:val="20"/>
              </w:rPr>
            </w:pPr>
            <w:r w:rsidRPr="00291EF6">
              <w:rPr>
                <w:sz w:val="20"/>
              </w:rPr>
              <w:t>Tatim mbi të Ardhurat nga Qeratë dhe Enfiteoza</w:t>
            </w:r>
          </w:p>
        </w:tc>
        <w:tc>
          <w:tcPr>
            <w:tcW w:w="810" w:type="dxa"/>
            <w:hideMark/>
          </w:tcPr>
          <w:p w:rsidR="00291EF6" w:rsidRPr="00291EF6" w:rsidRDefault="00291EF6" w:rsidP="00291EF6">
            <w:pPr>
              <w:spacing w:line="276" w:lineRule="auto"/>
              <w:jc w:val="center"/>
              <w:rPr>
                <w:sz w:val="20"/>
              </w:rPr>
            </w:pPr>
            <w:r w:rsidRPr="00291EF6">
              <w:rPr>
                <w:sz w:val="20"/>
              </w:rPr>
              <w:t>1,545</w:t>
            </w:r>
          </w:p>
        </w:tc>
        <w:tc>
          <w:tcPr>
            <w:tcW w:w="1080" w:type="dxa"/>
            <w:hideMark/>
          </w:tcPr>
          <w:p w:rsidR="00291EF6" w:rsidRPr="00291EF6" w:rsidRDefault="00291EF6" w:rsidP="00291EF6">
            <w:pPr>
              <w:spacing w:line="276" w:lineRule="auto"/>
              <w:jc w:val="center"/>
              <w:rPr>
                <w:sz w:val="20"/>
              </w:rPr>
            </w:pPr>
            <w:r w:rsidRPr="00291EF6">
              <w:rPr>
                <w:sz w:val="20"/>
              </w:rPr>
              <w:t>1,594</w:t>
            </w:r>
          </w:p>
        </w:tc>
        <w:tc>
          <w:tcPr>
            <w:tcW w:w="1080" w:type="dxa"/>
            <w:hideMark/>
          </w:tcPr>
          <w:p w:rsidR="00291EF6" w:rsidRPr="00291EF6" w:rsidRDefault="00291EF6" w:rsidP="00291EF6">
            <w:pPr>
              <w:spacing w:line="276" w:lineRule="auto"/>
              <w:jc w:val="center"/>
              <w:rPr>
                <w:sz w:val="20"/>
              </w:rPr>
            </w:pPr>
            <w:r w:rsidRPr="00291EF6">
              <w:rPr>
                <w:sz w:val="20"/>
              </w:rPr>
              <w:t>49</w:t>
            </w:r>
          </w:p>
        </w:tc>
        <w:tc>
          <w:tcPr>
            <w:tcW w:w="1273" w:type="dxa"/>
            <w:hideMark/>
          </w:tcPr>
          <w:p w:rsidR="00291EF6" w:rsidRPr="00291EF6" w:rsidRDefault="00291EF6" w:rsidP="00291EF6">
            <w:pPr>
              <w:spacing w:line="276" w:lineRule="auto"/>
              <w:jc w:val="center"/>
              <w:rPr>
                <w:sz w:val="20"/>
              </w:rPr>
            </w:pPr>
            <w:r w:rsidRPr="00291EF6">
              <w:rPr>
                <w:sz w:val="20"/>
              </w:rPr>
              <w:t>3.16%</w:t>
            </w:r>
          </w:p>
        </w:tc>
      </w:tr>
      <w:tr w:rsidR="00291EF6" w:rsidRPr="00291EF6" w:rsidTr="00291EF6">
        <w:trPr>
          <w:trHeight w:val="191"/>
        </w:trPr>
        <w:tc>
          <w:tcPr>
            <w:tcW w:w="4945" w:type="dxa"/>
            <w:hideMark/>
          </w:tcPr>
          <w:p w:rsidR="00291EF6" w:rsidRPr="00291EF6" w:rsidRDefault="00291EF6" w:rsidP="00B17E1B">
            <w:pPr>
              <w:spacing w:line="276" w:lineRule="auto"/>
              <w:jc w:val="both"/>
              <w:rPr>
                <w:sz w:val="20"/>
              </w:rPr>
            </w:pPr>
            <w:r w:rsidRPr="00291EF6">
              <w:rPr>
                <w:sz w:val="20"/>
              </w:rPr>
              <w:t>Tatim mbi Fituesit e Lodra ve të Fatit</w:t>
            </w:r>
          </w:p>
        </w:tc>
        <w:tc>
          <w:tcPr>
            <w:tcW w:w="810" w:type="dxa"/>
            <w:hideMark/>
          </w:tcPr>
          <w:p w:rsidR="00291EF6" w:rsidRPr="00291EF6" w:rsidRDefault="00291EF6" w:rsidP="00291EF6">
            <w:pPr>
              <w:spacing w:line="276" w:lineRule="auto"/>
              <w:jc w:val="center"/>
              <w:rPr>
                <w:sz w:val="20"/>
              </w:rPr>
            </w:pPr>
            <w:r w:rsidRPr="00291EF6">
              <w:rPr>
                <w:sz w:val="20"/>
              </w:rPr>
              <w:t>25</w:t>
            </w:r>
          </w:p>
        </w:tc>
        <w:tc>
          <w:tcPr>
            <w:tcW w:w="1080" w:type="dxa"/>
            <w:hideMark/>
          </w:tcPr>
          <w:p w:rsidR="00291EF6" w:rsidRPr="00291EF6" w:rsidRDefault="00291EF6" w:rsidP="00291EF6">
            <w:pPr>
              <w:spacing w:line="276" w:lineRule="auto"/>
              <w:jc w:val="center"/>
              <w:rPr>
                <w:sz w:val="20"/>
              </w:rPr>
            </w:pPr>
            <w:r w:rsidRPr="00291EF6">
              <w:rPr>
                <w:sz w:val="20"/>
              </w:rPr>
              <w:t>26</w:t>
            </w:r>
          </w:p>
        </w:tc>
        <w:tc>
          <w:tcPr>
            <w:tcW w:w="1080" w:type="dxa"/>
            <w:hideMark/>
          </w:tcPr>
          <w:p w:rsidR="00291EF6" w:rsidRPr="00291EF6" w:rsidRDefault="00291EF6" w:rsidP="00291EF6">
            <w:pPr>
              <w:spacing w:line="276" w:lineRule="auto"/>
              <w:jc w:val="center"/>
              <w:rPr>
                <w:sz w:val="20"/>
              </w:rPr>
            </w:pPr>
            <w:r w:rsidRPr="00291EF6">
              <w:rPr>
                <w:sz w:val="20"/>
              </w:rPr>
              <w:t>1</w:t>
            </w:r>
          </w:p>
        </w:tc>
        <w:tc>
          <w:tcPr>
            <w:tcW w:w="1273" w:type="dxa"/>
            <w:hideMark/>
          </w:tcPr>
          <w:p w:rsidR="00291EF6" w:rsidRPr="00291EF6" w:rsidRDefault="00291EF6" w:rsidP="00291EF6">
            <w:pPr>
              <w:spacing w:line="276" w:lineRule="auto"/>
              <w:jc w:val="center"/>
              <w:rPr>
                <w:sz w:val="20"/>
              </w:rPr>
            </w:pPr>
            <w:r w:rsidRPr="00291EF6">
              <w:rPr>
                <w:sz w:val="20"/>
              </w:rPr>
              <w:t>4.43%</w:t>
            </w:r>
          </w:p>
        </w:tc>
      </w:tr>
      <w:tr w:rsidR="00291EF6" w:rsidRPr="00291EF6" w:rsidTr="00291EF6">
        <w:trPr>
          <w:trHeight w:val="191"/>
        </w:trPr>
        <w:tc>
          <w:tcPr>
            <w:tcW w:w="4945" w:type="dxa"/>
            <w:hideMark/>
          </w:tcPr>
          <w:p w:rsidR="00291EF6" w:rsidRPr="00291EF6" w:rsidRDefault="00291EF6" w:rsidP="00B17E1B">
            <w:pPr>
              <w:spacing w:line="276" w:lineRule="auto"/>
              <w:jc w:val="both"/>
              <w:rPr>
                <w:sz w:val="20"/>
              </w:rPr>
            </w:pPr>
            <w:r w:rsidRPr="00291EF6">
              <w:rPr>
                <w:sz w:val="20"/>
                <w:lang w:val="nn-NO"/>
              </w:rPr>
              <w:t>Të tjera Tatime mbi të Ardhurat në Burim</w:t>
            </w:r>
          </w:p>
        </w:tc>
        <w:tc>
          <w:tcPr>
            <w:tcW w:w="810" w:type="dxa"/>
            <w:hideMark/>
          </w:tcPr>
          <w:p w:rsidR="00291EF6" w:rsidRPr="00291EF6" w:rsidRDefault="00291EF6" w:rsidP="00291EF6">
            <w:pPr>
              <w:spacing w:line="276" w:lineRule="auto"/>
              <w:jc w:val="center"/>
              <w:rPr>
                <w:sz w:val="20"/>
              </w:rPr>
            </w:pPr>
            <w:r w:rsidRPr="00291EF6">
              <w:rPr>
                <w:sz w:val="20"/>
              </w:rPr>
              <w:t>2,299</w:t>
            </w:r>
          </w:p>
        </w:tc>
        <w:tc>
          <w:tcPr>
            <w:tcW w:w="1080" w:type="dxa"/>
            <w:hideMark/>
          </w:tcPr>
          <w:p w:rsidR="00291EF6" w:rsidRPr="00291EF6" w:rsidRDefault="00291EF6" w:rsidP="00291EF6">
            <w:pPr>
              <w:spacing w:line="276" w:lineRule="auto"/>
              <w:jc w:val="center"/>
              <w:rPr>
                <w:sz w:val="20"/>
              </w:rPr>
            </w:pPr>
            <w:r w:rsidRPr="00291EF6">
              <w:rPr>
                <w:sz w:val="20"/>
              </w:rPr>
              <w:t>1,186</w:t>
            </w:r>
          </w:p>
        </w:tc>
        <w:tc>
          <w:tcPr>
            <w:tcW w:w="1080" w:type="dxa"/>
            <w:hideMark/>
          </w:tcPr>
          <w:p w:rsidR="00291EF6" w:rsidRPr="00291EF6" w:rsidRDefault="00291EF6" w:rsidP="00291EF6">
            <w:pPr>
              <w:spacing w:line="276" w:lineRule="auto"/>
              <w:jc w:val="center"/>
              <w:rPr>
                <w:sz w:val="20"/>
              </w:rPr>
            </w:pPr>
            <w:r w:rsidRPr="00291EF6">
              <w:rPr>
                <w:sz w:val="20"/>
              </w:rPr>
              <w:t>-1,113</w:t>
            </w:r>
          </w:p>
        </w:tc>
        <w:tc>
          <w:tcPr>
            <w:tcW w:w="1273" w:type="dxa"/>
            <w:hideMark/>
          </w:tcPr>
          <w:p w:rsidR="00291EF6" w:rsidRPr="00291EF6" w:rsidRDefault="00291EF6" w:rsidP="00291EF6">
            <w:pPr>
              <w:spacing w:line="276" w:lineRule="auto"/>
              <w:jc w:val="center"/>
              <w:rPr>
                <w:sz w:val="20"/>
              </w:rPr>
            </w:pPr>
            <w:r w:rsidRPr="00291EF6">
              <w:rPr>
                <w:sz w:val="20"/>
              </w:rPr>
              <w:t>-48.42%</w:t>
            </w:r>
          </w:p>
        </w:tc>
      </w:tr>
      <w:tr w:rsidR="00291EF6" w:rsidRPr="00291EF6" w:rsidTr="00291EF6">
        <w:trPr>
          <w:trHeight w:val="191"/>
        </w:trPr>
        <w:tc>
          <w:tcPr>
            <w:tcW w:w="4945" w:type="dxa"/>
            <w:hideMark/>
          </w:tcPr>
          <w:p w:rsidR="00291EF6" w:rsidRPr="00291EF6" w:rsidRDefault="00291EF6" w:rsidP="00B17E1B">
            <w:pPr>
              <w:spacing w:line="276" w:lineRule="auto"/>
              <w:jc w:val="both"/>
              <w:rPr>
                <w:sz w:val="20"/>
              </w:rPr>
            </w:pPr>
            <w:r w:rsidRPr="00291EF6">
              <w:rPr>
                <w:sz w:val="20"/>
              </w:rPr>
              <w:t>Tatimi mbi të ardhurat nga Dividentët dhe Aksionet</w:t>
            </w:r>
          </w:p>
        </w:tc>
        <w:tc>
          <w:tcPr>
            <w:tcW w:w="810" w:type="dxa"/>
            <w:hideMark/>
          </w:tcPr>
          <w:p w:rsidR="00291EF6" w:rsidRPr="00291EF6" w:rsidRDefault="00291EF6" w:rsidP="00291EF6">
            <w:pPr>
              <w:spacing w:line="276" w:lineRule="auto"/>
              <w:jc w:val="center"/>
              <w:rPr>
                <w:sz w:val="20"/>
              </w:rPr>
            </w:pPr>
            <w:r w:rsidRPr="00291EF6">
              <w:rPr>
                <w:sz w:val="20"/>
              </w:rPr>
              <w:t>641</w:t>
            </w:r>
          </w:p>
        </w:tc>
        <w:tc>
          <w:tcPr>
            <w:tcW w:w="1080" w:type="dxa"/>
            <w:hideMark/>
          </w:tcPr>
          <w:p w:rsidR="00291EF6" w:rsidRPr="00291EF6" w:rsidRDefault="00291EF6" w:rsidP="00291EF6">
            <w:pPr>
              <w:spacing w:line="276" w:lineRule="auto"/>
              <w:jc w:val="center"/>
              <w:rPr>
                <w:sz w:val="20"/>
              </w:rPr>
            </w:pPr>
            <w:r w:rsidRPr="00291EF6">
              <w:rPr>
                <w:sz w:val="20"/>
              </w:rPr>
              <w:t>756</w:t>
            </w:r>
          </w:p>
        </w:tc>
        <w:tc>
          <w:tcPr>
            <w:tcW w:w="1080" w:type="dxa"/>
            <w:hideMark/>
          </w:tcPr>
          <w:p w:rsidR="00291EF6" w:rsidRPr="00291EF6" w:rsidRDefault="00291EF6" w:rsidP="00291EF6">
            <w:pPr>
              <w:spacing w:line="276" w:lineRule="auto"/>
              <w:jc w:val="center"/>
              <w:rPr>
                <w:sz w:val="20"/>
              </w:rPr>
            </w:pPr>
            <w:r w:rsidRPr="00291EF6">
              <w:rPr>
                <w:sz w:val="20"/>
              </w:rPr>
              <w:t>115</w:t>
            </w:r>
          </w:p>
        </w:tc>
        <w:tc>
          <w:tcPr>
            <w:tcW w:w="1273" w:type="dxa"/>
            <w:hideMark/>
          </w:tcPr>
          <w:p w:rsidR="00291EF6" w:rsidRPr="00291EF6" w:rsidRDefault="00291EF6" w:rsidP="00291EF6">
            <w:pPr>
              <w:spacing w:line="276" w:lineRule="auto"/>
              <w:jc w:val="center"/>
              <w:rPr>
                <w:sz w:val="20"/>
              </w:rPr>
            </w:pPr>
            <w:r w:rsidRPr="00291EF6">
              <w:rPr>
                <w:sz w:val="20"/>
              </w:rPr>
              <w:t>17.87%</w:t>
            </w:r>
          </w:p>
        </w:tc>
      </w:tr>
      <w:tr w:rsidR="00291EF6" w:rsidRPr="00291EF6" w:rsidTr="00291EF6">
        <w:trPr>
          <w:trHeight w:val="191"/>
        </w:trPr>
        <w:tc>
          <w:tcPr>
            <w:tcW w:w="4945" w:type="dxa"/>
            <w:hideMark/>
          </w:tcPr>
          <w:p w:rsidR="00291EF6" w:rsidRPr="00291EF6" w:rsidRDefault="00291EF6" w:rsidP="00B17E1B">
            <w:pPr>
              <w:spacing w:line="276" w:lineRule="auto"/>
              <w:jc w:val="both"/>
              <w:rPr>
                <w:sz w:val="20"/>
              </w:rPr>
            </w:pPr>
            <w:r w:rsidRPr="00291EF6">
              <w:rPr>
                <w:sz w:val="20"/>
              </w:rPr>
              <w:t>Tatim mbi të Drejtën e Autorit dhe Pronësisë Intelektuale</w:t>
            </w:r>
          </w:p>
        </w:tc>
        <w:tc>
          <w:tcPr>
            <w:tcW w:w="810" w:type="dxa"/>
            <w:hideMark/>
          </w:tcPr>
          <w:p w:rsidR="00291EF6" w:rsidRPr="00291EF6" w:rsidRDefault="00291EF6" w:rsidP="00291EF6">
            <w:pPr>
              <w:spacing w:line="276" w:lineRule="auto"/>
              <w:jc w:val="center"/>
              <w:rPr>
                <w:sz w:val="20"/>
              </w:rPr>
            </w:pPr>
            <w:r w:rsidRPr="00291EF6">
              <w:rPr>
                <w:sz w:val="20"/>
              </w:rPr>
              <w:t>106</w:t>
            </w:r>
          </w:p>
        </w:tc>
        <w:tc>
          <w:tcPr>
            <w:tcW w:w="1080" w:type="dxa"/>
            <w:hideMark/>
          </w:tcPr>
          <w:p w:rsidR="00291EF6" w:rsidRPr="00291EF6" w:rsidRDefault="00291EF6" w:rsidP="00291EF6">
            <w:pPr>
              <w:spacing w:line="276" w:lineRule="auto"/>
              <w:jc w:val="center"/>
              <w:rPr>
                <w:sz w:val="20"/>
              </w:rPr>
            </w:pPr>
            <w:r w:rsidRPr="00291EF6">
              <w:rPr>
                <w:sz w:val="20"/>
              </w:rPr>
              <w:t>105</w:t>
            </w:r>
          </w:p>
        </w:tc>
        <w:tc>
          <w:tcPr>
            <w:tcW w:w="1080" w:type="dxa"/>
            <w:hideMark/>
          </w:tcPr>
          <w:p w:rsidR="00291EF6" w:rsidRPr="00291EF6" w:rsidRDefault="00291EF6" w:rsidP="00291EF6">
            <w:pPr>
              <w:spacing w:line="276" w:lineRule="auto"/>
              <w:jc w:val="center"/>
              <w:rPr>
                <w:sz w:val="20"/>
              </w:rPr>
            </w:pPr>
            <w:r w:rsidRPr="00291EF6">
              <w:rPr>
                <w:sz w:val="20"/>
              </w:rPr>
              <w:t>-1</w:t>
            </w:r>
          </w:p>
        </w:tc>
        <w:tc>
          <w:tcPr>
            <w:tcW w:w="1273" w:type="dxa"/>
            <w:hideMark/>
          </w:tcPr>
          <w:p w:rsidR="00291EF6" w:rsidRPr="00291EF6" w:rsidRDefault="00291EF6" w:rsidP="00291EF6">
            <w:pPr>
              <w:spacing w:line="276" w:lineRule="auto"/>
              <w:jc w:val="center"/>
              <w:rPr>
                <w:sz w:val="20"/>
              </w:rPr>
            </w:pPr>
            <w:r w:rsidRPr="00291EF6">
              <w:rPr>
                <w:sz w:val="20"/>
              </w:rPr>
              <w:t>-1.31%</w:t>
            </w:r>
          </w:p>
        </w:tc>
      </w:tr>
      <w:tr w:rsidR="00291EF6" w:rsidRPr="00291EF6" w:rsidTr="00291EF6">
        <w:trPr>
          <w:trHeight w:val="37"/>
        </w:trPr>
        <w:tc>
          <w:tcPr>
            <w:tcW w:w="4945" w:type="dxa"/>
            <w:hideMark/>
          </w:tcPr>
          <w:p w:rsidR="00291EF6" w:rsidRPr="00291EF6" w:rsidRDefault="00291EF6" w:rsidP="00B17E1B">
            <w:pPr>
              <w:spacing w:line="276" w:lineRule="auto"/>
              <w:jc w:val="both"/>
              <w:rPr>
                <w:sz w:val="20"/>
              </w:rPr>
            </w:pPr>
            <w:r w:rsidRPr="00291EF6">
              <w:rPr>
                <w:sz w:val="20"/>
              </w:rPr>
              <w:t>Tatimi mbi Deklaraten Individuale Vjetore të të ardhurave</w:t>
            </w:r>
          </w:p>
        </w:tc>
        <w:tc>
          <w:tcPr>
            <w:tcW w:w="810" w:type="dxa"/>
            <w:hideMark/>
          </w:tcPr>
          <w:p w:rsidR="00291EF6" w:rsidRPr="00291EF6" w:rsidRDefault="00291EF6" w:rsidP="00291EF6">
            <w:pPr>
              <w:spacing w:line="276" w:lineRule="auto"/>
              <w:jc w:val="center"/>
              <w:rPr>
                <w:sz w:val="20"/>
              </w:rPr>
            </w:pPr>
            <w:r w:rsidRPr="00291EF6">
              <w:rPr>
                <w:sz w:val="20"/>
              </w:rPr>
              <w:t>240</w:t>
            </w:r>
          </w:p>
        </w:tc>
        <w:tc>
          <w:tcPr>
            <w:tcW w:w="1080" w:type="dxa"/>
            <w:hideMark/>
          </w:tcPr>
          <w:p w:rsidR="00291EF6" w:rsidRPr="00291EF6" w:rsidRDefault="00291EF6" w:rsidP="00291EF6">
            <w:pPr>
              <w:spacing w:line="276" w:lineRule="auto"/>
              <w:jc w:val="center"/>
              <w:rPr>
                <w:sz w:val="20"/>
              </w:rPr>
            </w:pPr>
            <w:r w:rsidRPr="00291EF6">
              <w:rPr>
                <w:sz w:val="20"/>
              </w:rPr>
              <w:t>189</w:t>
            </w:r>
          </w:p>
        </w:tc>
        <w:tc>
          <w:tcPr>
            <w:tcW w:w="1080" w:type="dxa"/>
            <w:hideMark/>
          </w:tcPr>
          <w:p w:rsidR="00291EF6" w:rsidRPr="00291EF6" w:rsidRDefault="00291EF6" w:rsidP="00291EF6">
            <w:pPr>
              <w:spacing w:line="276" w:lineRule="auto"/>
              <w:jc w:val="center"/>
              <w:rPr>
                <w:sz w:val="20"/>
              </w:rPr>
            </w:pPr>
            <w:r w:rsidRPr="00291EF6">
              <w:rPr>
                <w:sz w:val="20"/>
              </w:rPr>
              <w:t>-51</w:t>
            </w:r>
          </w:p>
        </w:tc>
        <w:tc>
          <w:tcPr>
            <w:tcW w:w="1273" w:type="dxa"/>
            <w:hideMark/>
          </w:tcPr>
          <w:p w:rsidR="00291EF6" w:rsidRPr="00291EF6" w:rsidRDefault="00291EF6" w:rsidP="00291EF6">
            <w:pPr>
              <w:spacing w:line="276" w:lineRule="auto"/>
              <w:jc w:val="center"/>
              <w:rPr>
                <w:sz w:val="20"/>
              </w:rPr>
            </w:pPr>
            <w:r w:rsidRPr="00291EF6">
              <w:rPr>
                <w:sz w:val="20"/>
              </w:rPr>
              <w:t>-21.33%</w:t>
            </w:r>
          </w:p>
        </w:tc>
      </w:tr>
    </w:tbl>
    <w:p w:rsidR="00FD7B3F" w:rsidRPr="0085454B" w:rsidRDefault="00FD7B3F" w:rsidP="0085454B">
      <w:pPr>
        <w:spacing w:line="276" w:lineRule="auto"/>
        <w:jc w:val="both"/>
        <w:rPr>
          <w:rFonts w:asciiTheme="minorHAnsi" w:hAnsiTheme="minorHAnsi"/>
          <w:sz w:val="16"/>
          <w:lang w:val="sq-AL"/>
        </w:rPr>
      </w:pPr>
    </w:p>
    <w:p w:rsidR="00291EF6" w:rsidRPr="009C40B4" w:rsidRDefault="00291EF6" w:rsidP="00291EF6">
      <w:pPr>
        <w:spacing w:line="276" w:lineRule="auto"/>
        <w:jc w:val="both"/>
        <w:rPr>
          <w:rFonts w:asciiTheme="minorHAnsi" w:hAnsiTheme="minorHAnsi"/>
        </w:rPr>
      </w:pPr>
      <w:r w:rsidRPr="00291EF6">
        <w:rPr>
          <w:rFonts w:asciiTheme="minorHAnsi" w:hAnsiTheme="minorHAnsi"/>
          <w:bCs/>
        </w:rPr>
        <w:t>Në zërin “Të tjera tatime mbi të ardhurat në burim” përfshihet</w:t>
      </w:r>
      <w:r w:rsidRPr="009C40B4">
        <w:rPr>
          <w:rFonts w:asciiTheme="minorHAnsi" w:hAnsiTheme="minorHAnsi"/>
          <w:bCs/>
        </w:rPr>
        <w:t xml:space="preserve"> edhe zëri Tatimi në burim mbi shitjen e pasurive të paluajtshme. </w:t>
      </w:r>
      <w:r w:rsidR="003A67D5" w:rsidRPr="003A67D5">
        <w:rPr>
          <w:rFonts w:asciiTheme="minorHAnsi" w:hAnsiTheme="minorHAnsi"/>
          <w:bCs/>
        </w:rPr>
        <w:t xml:space="preserve">Për periudhën janar- maj 2017  </w:t>
      </w:r>
      <w:r w:rsidR="003A67D5" w:rsidRPr="003A67D5">
        <w:rPr>
          <w:rFonts w:asciiTheme="minorHAnsi" w:hAnsiTheme="minorHAnsi"/>
          <w:b/>
          <w:bCs/>
        </w:rPr>
        <w:t>“Tatimi në burim mbi shitjen e pasurive të paluajtshme”</w:t>
      </w:r>
      <w:r w:rsidR="003A67D5" w:rsidRPr="003A67D5">
        <w:rPr>
          <w:rFonts w:asciiTheme="minorHAnsi" w:hAnsiTheme="minorHAnsi"/>
          <w:bCs/>
        </w:rPr>
        <w:t xml:space="preserve"> rezultoi 65 milion lekë nga 1,030 milion lekë të realizuara në të njëjtën periudhë të vitit të kaluar, me një </w:t>
      </w:r>
      <w:r w:rsidR="003A67D5">
        <w:rPr>
          <w:rFonts w:asciiTheme="minorHAnsi" w:hAnsiTheme="minorHAnsi"/>
          <w:bCs/>
        </w:rPr>
        <w:t>diference prej -965 milion lekë</w:t>
      </w:r>
      <w:r w:rsidRPr="009C40B4">
        <w:rPr>
          <w:rFonts w:asciiTheme="minorHAnsi" w:hAnsiTheme="minorHAnsi"/>
          <w:bCs/>
        </w:rPr>
        <w:t>.</w:t>
      </w:r>
    </w:p>
    <w:p w:rsidR="0089630D" w:rsidRPr="0089630D" w:rsidRDefault="0089630D" w:rsidP="00291EF6">
      <w:pPr>
        <w:spacing w:line="276" w:lineRule="auto"/>
        <w:jc w:val="both"/>
        <w:rPr>
          <w:rFonts w:asciiTheme="minorHAnsi" w:hAnsiTheme="minorHAnsi"/>
          <w:b/>
          <w:bCs/>
          <w:sz w:val="8"/>
        </w:rPr>
      </w:pPr>
    </w:p>
    <w:p w:rsidR="00291EF6" w:rsidRPr="009C40B4" w:rsidRDefault="00291EF6" w:rsidP="00291EF6">
      <w:pPr>
        <w:spacing w:line="276" w:lineRule="auto"/>
        <w:jc w:val="both"/>
        <w:rPr>
          <w:rFonts w:asciiTheme="minorHAnsi" w:hAnsiTheme="minorHAnsi"/>
        </w:rPr>
      </w:pPr>
      <w:r w:rsidRPr="00291EF6">
        <w:rPr>
          <w:rFonts w:asciiTheme="minorHAnsi" w:hAnsiTheme="minorHAnsi"/>
          <w:b/>
          <w:bCs/>
        </w:rPr>
        <w:t>Të ardhurat nga “Tatim mbi të Ardhurat nga Interesat”</w:t>
      </w:r>
      <w:r w:rsidRPr="009C40B4">
        <w:rPr>
          <w:rFonts w:asciiTheme="minorHAnsi" w:hAnsiTheme="minorHAnsi"/>
          <w:bCs/>
        </w:rPr>
        <w:t xml:space="preserve"> u realizuan 19.7% më pak se e njëjta periudhë e vitit të kaluar. </w:t>
      </w:r>
      <w:r w:rsidRPr="009C40B4">
        <w:rPr>
          <w:rFonts w:asciiTheme="minorHAnsi" w:hAnsiTheme="minorHAnsi"/>
        </w:rPr>
        <w:t>Faktorët të cilët kanë ndikuar në këtë rezultat janë rënia e depozitave në lekë  dhe në valutë respektivisht -2.8% dhe -0.4%, si edhe rënia e normave të interesit për bonot e thesarit me -0.7%.</w:t>
      </w:r>
    </w:p>
    <w:p w:rsidR="0089630D" w:rsidRPr="0089630D" w:rsidRDefault="0089630D" w:rsidP="00291EF6">
      <w:pPr>
        <w:spacing w:line="276" w:lineRule="auto"/>
        <w:jc w:val="both"/>
        <w:rPr>
          <w:rFonts w:asciiTheme="minorHAnsi" w:hAnsiTheme="minorHAnsi"/>
          <w:b/>
          <w:i/>
          <w:sz w:val="8"/>
          <w:lang w:val="it-IT"/>
        </w:rPr>
      </w:pPr>
    </w:p>
    <w:p w:rsidR="00291EF6" w:rsidRPr="009C40B4" w:rsidRDefault="00291EF6" w:rsidP="00291EF6">
      <w:pPr>
        <w:spacing w:line="276" w:lineRule="auto"/>
        <w:jc w:val="both"/>
        <w:rPr>
          <w:rFonts w:asciiTheme="minorHAnsi" w:hAnsiTheme="minorHAnsi"/>
          <w:lang w:val="it-IT"/>
        </w:rPr>
      </w:pPr>
      <w:r w:rsidRPr="009C40B4">
        <w:rPr>
          <w:rFonts w:asciiTheme="minorHAnsi" w:hAnsiTheme="minorHAnsi"/>
          <w:b/>
          <w:i/>
          <w:lang w:val="it-IT"/>
        </w:rPr>
        <w:t xml:space="preserve">Zëri “Taksat Kombëtare” </w:t>
      </w:r>
      <w:r w:rsidRPr="009C40B4">
        <w:rPr>
          <w:rFonts w:asciiTheme="minorHAnsi" w:hAnsiTheme="minorHAnsi"/>
          <w:lang w:val="it-IT"/>
        </w:rPr>
        <w:t>janë realizuar 16.4 miliard lekë, 32.5% ose  4 miliard lekë më shumë se 5 mujori i vitit 2016 dhe me  një realizim të planit në masën 130.2% ose 3.8 miliard lekë.</w:t>
      </w:r>
      <w:r w:rsidRPr="009C40B4">
        <w:rPr>
          <w:rFonts w:asciiTheme="minorHAnsi" w:eastAsiaTheme="minorEastAsia" w:hAnsiTheme="minorHAnsi"/>
          <w:color w:val="000000" w:themeColor="text1"/>
          <w:kern w:val="24"/>
          <w:lang w:val="it-IT"/>
        </w:rPr>
        <w:t xml:space="preserve"> </w:t>
      </w:r>
      <w:r w:rsidRPr="009C40B4">
        <w:rPr>
          <w:rFonts w:asciiTheme="minorHAnsi" w:hAnsiTheme="minorHAnsi"/>
          <w:lang w:val="it-IT"/>
        </w:rPr>
        <w:t>Faktor kryesor me ndikim në këtë realizim kanë qenë të ardhurat nga rivlerësimi i pasurive të paluajtshme rreth 3.6 miliard lekë.</w:t>
      </w:r>
    </w:p>
    <w:p w:rsidR="00291EF6" w:rsidRPr="00291EF6" w:rsidRDefault="00291EF6" w:rsidP="00291EF6">
      <w:pPr>
        <w:tabs>
          <w:tab w:val="left" w:pos="1530"/>
          <w:tab w:val="center" w:pos="4680"/>
          <w:tab w:val="left" w:pos="9360"/>
        </w:tabs>
        <w:spacing w:line="276" w:lineRule="auto"/>
        <w:jc w:val="both"/>
        <w:rPr>
          <w:rFonts w:asciiTheme="minorHAnsi" w:eastAsia="SimSun" w:hAnsiTheme="minorHAnsi"/>
          <w:i/>
          <w:sz w:val="8"/>
          <w:szCs w:val="8"/>
          <w:lang w:val="sq-AL"/>
        </w:rPr>
      </w:pPr>
    </w:p>
    <w:p w:rsidR="00291EF6" w:rsidRPr="00E67B09" w:rsidRDefault="00291EF6" w:rsidP="00291EF6">
      <w:pPr>
        <w:tabs>
          <w:tab w:val="left" w:pos="153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Pr>
          <w:rFonts w:asciiTheme="minorHAnsi" w:eastAsia="SimSun" w:hAnsiTheme="minorHAnsi"/>
          <w:i/>
          <w:lang w:val="sq-AL"/>
        </w:rPr>
        <w:t>1</w:t>
      </w:r>
      <w:r w:rsidR="000B3625">
        <w:rPr>
          <w:rFonts w:asciiTheme="minorHAnsi" w:eastAsia="SimSun" w:hAnsiTheme="minorHAnsi"/>
          <w:i/>
          <w:lang w:val="sq-AL"/>
        </w:rPr>
        <w:t>1</w:t>
      </w:r>
      <w:r>
        <w:rPr>
          <w:rFonts w:asciiTheme="minorHAnsi" w:eastAsia="SimSun" w:hAnsiTheme="minorHAnsi"/>
          <w:i/>
          <w:lang w:val="sq-AL"/>
        </w:rPr>
        <w:t>:</w:t>
      </w:r>
      <w:r>
        <w:rPr>
          <w:rFonts w:asciiTheme="minorHAnsi" w:eastAsia="SimSun" w:hAnsiTheme="minorHAnsi"/>
          <w:i/>
          <w:lang w:val="sq-AL"/>
        </w:rPr>
        <w:tab/>
      </w:r>
      <w:r w:rsidRPr="00291EF6">
        <w:rPr>
          <w:rFonts w:asciiTheme="minorHAnsi" w:eastAsia="SimSun" w:hAnsiTheme="minorHAnsi"/>
          <w:lang w:val="sq-AL"/>
        </w:rPr>
        <w:t>Të ardhurat nga Taksat nacionale</w:t>
      </w:r>
      <w:r>
        <w:rPr>
          <w:rFonts w:asciiTheme="minorHAnsi" w:eastAsia="SimSun" w:hAnsiTheme="minorHAnsi"/>
          <w:lang w:val="sq-AL"/>
        </w:rPr>
        <w:t>,</w:t>
      </w:r>
      <w:r w:rsidRPr="00FD7B3F">
        <w:rPr>
          <w:rFonts w:asciiTheme="minorHAnsi" w:eastAsia="SimSun" w:hAnsiTheme="minorHAnsi"/>
          <w:lang w:val="sq-AL"/>
        </w:rPr>
        <w:t xml:space="preserve"> në vite </w:t>
      </w:r>
      <w:r w:rsidRPr="00E67B09">
        <w:rPr>
          <w:rFonts w:asciiTheme="minorHAnsi" w:eastAsia="SimSun" w:hAnsiTheme="minorHAnsi"/>
          <w:lang w:val="sq-AL"/>
        </w:rPr>
        <w:t>(në milion lekë)</w:t>
      </w:r>
    </w:p>
    <w:p w:rsidR="00FD7B3F" w:rsidRDefault="00291EF6" w:rsidP="00291EF6">
      <w:pPr>
        <w:spacing w:line="276" w:lineRule="auto"/>
        <w:jc w:val="center"/>
        <w:rPr>
          <w:rFonts w:asciiTheme="minorHAnsi" w:hAnsiTheme="minorHAnsi"/>
          <w:lang w:val="sq-AL"/>
        </w:rPr>
      </w:pPr>
      <w:r w:rsidRPr="009C40B4">
        <w:rPr>
          <w:rFonts w:asciiTheme="minorHAnsi" w:hAnsiTheme="minorHAnsi"/>
          <w:noProof/>
        </w:rPr>
        <w:drawing>
          <wp:inline distT="0" distB="0" distL="0" distR="0" wp14:anchorId="2F778B72" wp14:editId="182D5FA5">
            <wp:extent cx="5775960" cy="2255520"/>
            <wp:effectExtent l="0" t="0" r="0" b="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630D" w:rsidRPr="0089630D" w:rsidRDefault="0089630D" w:rsidP="00E66C55">
      <w:pPr>
        <w:spacing w:line="276" w:lineRule="auto"/>
        <w:jc w:val="both"/>
        <w:rPr>
          <w:rFonts w:asciiTheme="minorHAnsi" w:hAnsiTheme="minorHAnsi"/>
          <w:b/>
          <w:i/>
          <w:sz w:val="20"/>
          <w:lang w:val="it-IT"/>
        </w:rPr>
      </w:pPr>
    </w:p>
    <w:p w:rsidR="00E66C55" w:rsidRPr="009C40B4" w:rsidRDefault="00E66C55" w:rsidP="00E66C55">
      <w:pPr>
        <w:spacing w:line="276" w:lineRule="auto"/>
        <w:jc w:val="both"/>
        <w:rPr>
          <w:rFonts w:asciiTheme="minorHAnsi" w:hAnsiTheme="minorHAnsi"/>
          <w:lang w:val="it-IT"/>
        </w:rPr>
      </w:pPr>
      <w:r w:rsidRPr="009C40B4">
        <w:rPr>
          <w:rFonts w:asciiTheme="minorHAnsi" w:hAnsiTheme="minorHAnsi"/>
          <w:b/>
          <w:i/>
          <w:lang w:val="it-IT"/>
        </w:rPr>
        <w:t>Të ardhurat nga kontributet e DPT</w:t>
      </w:r>
      <w:r w:rsidRPr="009C40B4">
        <w:rPr>
          <w:rFonts w:asciiTheme="minorHAnsi" w:hAnsiTheme="minorHAnsi"/>
          <w:lang w:val="it-IT"/>
        </w:rPr>
        <w:t xml:space="preserve"> janë realizuar në vlerën 33.5 miliard lekë, 7.6% ose rreth 2.4 miliard lekë më shumë se 5 mujori i vitit 2016 dhe 4.6% ose rreth 1.5 miliard lekë më shumë se plani. Rezultati shumë i lartë me rritje të qëndrueshme buron kryesisht nga situata pozitive ekonomike dhe rritja si rrjedhoje e numrit të të punësuarve. </w:t>
      </w:r>
    </w:p>
    <w:p w:rsidR="00E66C55" w:rsidRPr="00E66C55" w:rsidRDefault="00E66C55" w:rsidP="00E66C55">
      <w:pPr>
        <w:tabs>
          <w:tab w:val="left" w:pos="1530"/>
          <w:tab w:val="center" w:pos="4680"/>
          <w:tab w:val="left" w:pos="9360"/>
        </w:tabs>
        <w:spacing w:line="276" w:lineRule="auto"/>
        <w:jc w:val="both"/>
        <w:rPr>
          <w:rFonts w:asciiTheme="minorHAnsi" w:eastAsia="SimSun" w:hAnsiTheme="minorHAnsi"/>
          <w:i/>
          <w:sz w:val="8"/>
          <w:szCs w:val="8"/>
          <w:lang w:val="sq-AL"/>
        </w:rPr>
      </w:pPr>
    </w:p>
    <w:p w:rsidR="00E66C55" w:rsidRPr="00E67B09" w:rsidRDefault="00E66C55" w:rsidP="00E66C55">
      <w:pPr>
        <w:tabs>
          <w:tab w:val="left" w:pos="1530"/>
          <w:tab w:val="center" w:pos="4680"/>
          <w:tab w:val="left" w:pos="9360"/>
        </w:tabs>
        <w:spacing w:line="276" w:lineRule="auto"/>
        <w:jc w:val="both"/>
        <w:rPr>
          <w:rFonts w:asciiTheme="minorHAnsi" w:eastAsia="SimSun" w:hAnsiTheme="minorHAns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Pr>
          <w:rFonts w:asciiTheme="minorHAnsi" w:eastAsia="SimSun" w:hAnsiTheme="minorHAnsi"/>
          <w:i/>
          <w:lang w:val="sq-AL"/>
        </w:rPr>
        <w:t>1</w:t>
      </w:r>
      <w:r w:rsidR="000B3625">
        <w:rPr>
          <w:rFonts w:asciiTheme="minorHAnsi" w:eastAsia="SimSun" w:hAnsiTheme="minorHAnsi"/>
          <w:i/>
          <w:lang w:val="sq-AL"/>
        </w:rPr>
        <w:t>2</w:t>
      </w:r>
      <w:r>
        <w:rPr>
          <w:rFonts w:asciiTheme="minorHAnsi" w:eastAsia="SimSun" w:hAnsiTheme="minorHAnsi"/>
          <w:i/>
          <w:lang w:val="sq-AL"/>
        </w:rPr>
        <w:t>:</w:t>
      </w:r>
      <w:r>
        <w:rPr>
          <w:rFonts w:asciiTheme="minorHAnsi" w:eastAsia="SimSun" w:hAnsiTheme="minorHAnsi"/>
          <w:i/>
          <w:lang w:val="sq-AL"/>
        </w:rPr>
        <w:tab/>
      </w:r>
      <w:r w:rsidRPr="00E66C55">
        <w:rPr>
          <w:rFonts w:asciiTheme="minorHAnsi" w:eastAsia="SimSun" w:hAnsiTheme="minorHAnsi"/>
          <w:lang w:val="sq-AL"/>
        </w:rPr>
        <w:t>Të ardhurat nga kon</w:t>
      </w:r>
      <w:r w:rsidR="00AC0C8D">
        <w:rPr>
          <w:rFonts w:asciiTheme="minorHAnsi" w:eastAsia="SimSun" w:hAnsiTheme="minorHAnsi"/>
          <w:lang w:val="sq-AL"/>
        </w:rPr>
        <w:t>t</w:t>
      </w:r>
      <w:r w:rsidRPr="00E66C55">
        <w:rPr>
          <w:rFonts w:asciiTheme="minorHAnsi" w:eastAsia="SimSun" w:hAnsiTheme="minorHAnsi"/>
          <w:lang w:val="sq-AL"/>
        </w:rPr>
        <w:t>ributet e mbledhura nga DPT</w:t>
      </w:r>
      <w:r>
        <w:rPr>
          <w:rFonts w:asciiTheme="minorHAnsi" w:eastAsia="SimSun" w:hAnsiTheme="minorHAnsi"/>
          <w:lang w:val="sq-AL"/>
        </w:rPr>
        <w:t>,</w:t>
      </w:r>
      <w:r w:rsidRPr="00FD7B3F">
        <w:rPr>
          <w:rFonts w:asciiTheme="minorHAnsi" w:eastAsia="SimSun" w:hAnsiTheme="minorHAnsi"/>
          <w:lang w:val="sq-AL"/>
        </w:rPr>
        <w:t xml:space="preserve"> në vite </w:t>
      </w:r>
      <w:r w:rsidRPr="00E67B09">
        <w:rPr>
          <w:rFonts w:asciiTheme="minorHAnsi" w:eastAsia="SimSun" w:hAnsiTheme="minorHAnsi"/>
          <w:lang w:val="sq-AL"/>
        </w:rPr>
        <w:t>(në milion lekë)</w:t>
      </w:r>
    </w:p>
    <w:p w:rsidR="00FD7B3F" w:rsidRDefault="00E66C55" w:rsidP="00E66C55">
      <w:pPr>
        <w:spacing w:line="276" w:lineRule="auto"/>
        <w:jc w:val="center"/>
        <w:rPr>
          <w:rFonts w:asciiTheme="minorHAnsi" w:hAnsiTheme="minorHAnsi"/>
          <w:lang w:val="sq-AL"/>
        </w:rPr>
      </w:pPr>
      <w:r w:rsidRPr="009C40B4">
        <w:rPr>
          <w:rFonts w:asciiTheme="minorHAnsi" w:hAnsiTheme="minorHAnsi"/>
          <w:noProof/>
        </w:rPr>
        <w:drawing>
          <wp:inline distT="0" distB="0" distL="0" distR="0" wp14:anchorId="1FBAFE82" wp14:editId="63C2723A">
            <wp:extent cx="5943600" cy="2186940"/>
            <wp:effectExtent l="0" t="0" r="0" b="381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1589" w:rsidRPr="00886D9A" w:rsidRDefault="003A1589" w:rsidP="00BF12EE">
      <w:pPr>
        <w:pStyle w:val="Heading2"/>
        <w:spacing w:line="276" w:lineRule="auto"/>
        <w:rPr>
          <w:rFonts w:asciiTheme="minorHAnsi" w:hAnsiTheme="minorHAnsi"/>
          <w:noProof/>
          <w:color w:val="4F81BD" w:themeColor="accent1"/>
          <w:sz w:val="28"/>
          <w:szCs w:val="24"/>
          <w:lang w:val="sq-AL"/>
        </w:rPr>
      </w:pPr>
      <w:bookmarkStart w:id="7" w:name="_Toc486582880"/>
      <w:r w:rsidRPr="00886D9A">
        <w:rPr>
          <w:rFonts w:asciiTheme="minorHAnsi" w:hAnsiTheme="minorHAnsi"/>
          <w:noProof/>
          <w:color w:val="4F81BD" w:themeColor="accent1"/>
          <w:sz w:val="28"/>
          <w:szCs w:val="24"/>
          <w:lang w:val="sq-AL"/>
        </w:rPr>
        <w:t>II.2</w:t>
      </w:r>
      <w:r w:rsidRPr="00886D9A">
        <w:rPr>
          <w:rFonts w:asciiTheme="minorHAnsi" w:hAnsiTheme="minorHAnsi"/>
          <w:noProof/>
          <w:color w:val="4F81BD" w:themeColor="accent1"/>
          <w:sz w:val="28"/>
          <w:szCs w:val="24"/>
          <w:lang w:val="sq-AL"/>
        </w:rPr>
        <w:tab/>
        <w:t>Pritshmëritë fiskale deri në fund të vitit 2017</w:t>
      </w:r>
      <w:bookmarkEnd w:id="7"/>
    </w:p>
    <w:p w:rsidR="00886D9A" w:rsidRPr="002255E1" w:rsidRDefault="00886D9A" w:rsidP="00886D9A">
      <w:pPr>
        <w:spacing w:line="276" w:lineRule="auto"/>
        <w:jc w:val="both"/>
        <w:rPr>
          <w:rFonts w:asciiTheme="minorHAnsi" w:hAnsiTheme="minorHAnsi"/>
          <w:b/>
          <w:sz w:val="12"/>
        </w:rPr>
      </w:pPr>
    </w:p>
    <w:p w:rsidR="00886D9A" w:rsidRPr="009C40B4" w:rsidRDefault="00886D9A" w:rsidP="00886D9A">
      <w:pPr>
        <w:spacing w:line="276" w:lineRule="auto"/>
        <w:jc w:val="both"/>
        <w:rPr>
          <w:rFonts w:asciiTheme="minorHAnsi" w:hAnsiTheme="minorHAnsi"/>
          <w:b/>
        </w:rPr>
      </w:pPr>
      <w:r w:rsidRPr="009C40B4">
        <w:rPr>
          <w:rFonts w:asciiTheme="minorHAnsi" w:hAnsiTheme="minorHAnsi"/>
          <w:b/>
        </w:rPr>
        <w:t xml:space="preserve">Të ardhurat nga Tatimet dhe Doganat. </w:t>
      </w:r>
    </w:p>
    <w:p w:rsidR="00886D9A" w:rsidRPr="009C40B4" w:rsidRDefault="00886D9A" w:rsidP="00886D9A">
      <w:pPr>
        <w:spacing w:line="276" w:lineRule="auto"/>
        <w:jc w:val="both"/>
        <w:rPr>
          <w:rFonts w:asciiTheme="minorHAnsi" w:hAnsiTheme="minorHAnsi"/>
          <w:noProof/>
          <w:lang w:val="sq-AL"/>
        </w:rPr>
      </w:pPr>
      <w:r w:rsidRPr="009C40B4">
        <w:rPr>
          <w:rFonts w:asciiTheme="minorHAnsi" w:hAnsiTheme="minorHAnsi"/>
          <w:lang w:val="sq-AL"/>
        </w:rPr>
        <w:t>Të ardhurat që administrohen nga Drejtoria e Përgjithshme e Tatimeve (DPT) dhe Drejtoria e Përgjithshme e Doganave (DPD), p</w:t>
      </w:r>
      <w:r w:rsidRPr="009C40B4">
        <w:rPr>
          <w:rFonts w:asciiTheme="minorHAnsi" w:hAnsiTheme="minorHAnsi"/>
          <w:noProof/>
          <w:lang w:val="sq-AL"/>
        </w:rPr>
        <w:t xml:space="preserve">ërfshirë kontributet e sigurimeve shoqërore dhe shëndetësore, pritet të realizohen në nivelin e planifikuar për vitin 2017, pra në shumën 377.6  miliard lekë. </w:t>
      </w:r>
    </w:p>
    <w:tbl>
      <w:tblPr>
        <w:tblW w:w="8280" w:type="dxa"/>
        <w:jc w:val="center"/>
        <w:tblLook w:val="04A0" w:firstRow="1" w:lastRow="0" w:firstColumn="1" w:lastColumn="0" w:noHBand="0" w:noVBand="1"/>
      </w:tblPr>
      <w:tblGrid>
        <w:gridCol w:w="3240"/>
        <w:gridCol w:w="2520"/>
        <w:gridCol w:w="2520"/>
      </w:tblGrid>
      <w:tr w:rsidR="00886D9A" w:rsidRPr="00CB4875" w:rsidTr="00886D9A">
        <w:trPr>
          <w:trHeight w:val="444"/>
          <w:jc w:val="center"/>
        </w:trPr>
        <w:tc>
          <w:tcPr>
            <w:tcW w:w="3240" w:type="dxa"/>
            <w:tcBorders>
              <w:top w:val="single" w:sz="8" w:space="0" w:color="auto"/>
              <w:left w:val="nil"/>
              <w:bottom w:val="double" w:sz="6" w:space="0" w:color="auto"/>
              <w:right w:val="nil"/>
            </w:tcBorders>
            <w:shd w:val="clear" w:color="000000" w:fill="FFFFFF"/>
            <w:noWrap/>
            <w:vAlign w:val="center"/>
            <w:hideMark/>
          </w:tcPr>
          <w:p w:rsidR="00886D9A" w:rsidRPr="00CB4875" w:rsidRDefault="00886D9A" w:rsidP="00B17E1B">
            <w:pPr>
              <w:spacing w:line="276" w:lineRule="auto"/>
              <w:rPr>
                <w:rFonts w:asciiTheme="minorHAnsi" w:hAnsiTheme="minorHAnsi"/>
                <w:b/>
                <w:bCs/>
                <w:color w:val="000000"/>
                <w:sz w:val="18"/>
              </w:rPr>
            </w:pPr>
            <w:r w:rsidRPr="00CB4875">
              <w:rPr>
                <w:rFonts w:asciiTheme="minorHAnsi" w:hAnsiTheme="minorHAnsi"/>
                <w:b/>
                <w:bCs/>
                <w:color w:val="000000"/>
                <w:sz w:val="18"/>
              </w:rPr>
              <w:t>Tatime dhe dogana</w:t>
            </w:r>
          </w:p>
        </w:tc>
        <w:tc>
          <w:tcPr>
            <w:tcW w:w="2520" w:type="dxa"/>
            <w:tcBorders>
              <w:top w:val="single" w:sz="8" w:space="0" w:color="auto"/>
              <w:left w:val="nil"/>
              <w:bottom w:val="double" w:sz="6" w:space="0" w:color="auto"/>
              <w:right w:val="nil"/>
            </w:tcBorders>
            <w:shd w:val="clear" w:color="000000" w:fill="FFFFFF"/>
            <w:vAlign w:val="center"/>
            <w:hideMark/>
          </w:tcPr>
          <w:p w:rsidR="00886D9A" w:rsidRPr="00CB4875" w:rsidRDefault="00886D9A" w:rsidP="00886D9A">
            <w:pPr>
              <w:spacing w:line="276" w:lineRule="auto"/>
              <w:jc w:val="center"/>
              <w:rPr>
                <w:rFonts w:asciiTheme="minorHAnsi" w:hAnsiTheme="minorHAnsi"/>
                <w:b/>
                <w:bCs/>
                <w:color w:val="000000"/>
                <w:sz w:val="18"/>
              </w:rPr>
            </w:pPr>
            <w:r w:rsidRPr="00CB4875">
              <w:rPr>
                <w:rFonts w:asciiTheme="minorHAnsi" w:hAnsiTheme="minorHAnsi"/>
                <w:b/>
                <w:bCs/>
                <w:color w:val="000000"/>
                <w:sz w:val="18"/>
              </w:rPr>
              <w:t>Plan  2017</w:t>
            </w:r>
          </w:p>
        </w:tc>
        <w:tc>
          <w:tcPr>
            <w:tcW w:w="2520" w:type="dxa"/>
            <w:tcBorders>
              <w:top w:val="single" w:sz="8" w:space="0" w:color="auto"/>
              <w:left w:val="nil"/>
              <w:bottom w:val="double" w:sz="6" w:space="0" w:color="auto"/>
              <w:right w:val="nil"/>
            </w:tcBorders>
            <w:shd w:val="clear" w:color="000000" w:fill="FFFFFF"/>
            <w:vAlign w:val="center"/>
            <w:hideMark/>
          </w:tcPr>
          <w:p w:rsidR="00886D9A" w:rsidRPr="00CB4875" w:rsidRDefault="00886D9A" w:rsidP="00886D9A">
            <w:pPr>
              <w:spacing w:line="276" w:lineRule="auto"/>
              <w:jc w:val="center"/>
              <w:rPr>
                <w:rFonts w:asciiTheme="minorHAnsi" w:hAnsiTheme="minorHAnsi"/>
                <w:b/>
                <w:bCs/>
                <w:color w:val="000000"/>
                <w:sz w:val="18"/>
              </w:rPr>
            </w:pPr>
            <w:r w:rsidRPr="00CB4875">
              <w:rPr>
                <w:rFonts w:asciiTheme="minorHAnsi" w:hAnsiTheme="minorHAnsi"/>
                <w:b/>
                <w:bCs/>
                <w:color w:val="000000"/>
                <w:sz w:val="18"/>
              </w:rPr>
              <w:t>I pritshmi 2017</w:t>
            </w:r>
          </w:p>
        </w:tc>
      </w:tr>
      <w:tr w:rsidR="00886D9A" w:rsidRPr="00CB4875" w:rsidTr="00886D9A">
        <w:trPr>
          <w:trHeight w:val="266"/>
          <w:jc w:val="center"/>
        </w:trPr>
        <w:tc>
          <w:tcPr>
            <w:tcW w:w="3240" w:type="dxa"/>
            <w:tcBorders>
              <w:top w:val="nil"/>
              <w:left w:val="nil"/>
              <w:bottom w:val="nil"/>
              <w:right w:val="nil"/>
            </w:tcBorders>
            <w:shd w:val="clear" w:color="auto" w:fill="auto"/>
            <w:noWrap/>
            <w:vAlign w:val="center"/>
            <w:hideMark/>
          </w:tcPr>
          <w:p w:rsidR="00886D9A" w:rsidRPr="00CB4875" w:rsidRDefault="00886D9A" w:rsidP="00B17E1B">
            <w:pPr>
              <w:spacing w:line="276" w:lineRule="auto"/>
              <w:rPr>
                <w:rFonts w:asciiTheme="minorHAnsi" w:hAnsiTheme="minorHAnsi"/>
                <w:color w:val="000000"/>
                <w:sz w:val="18"/>
              </w:rPr>
            </w:pPr>
            <w:r w:rsidRPr="00CB4875">
              <w:rPr>
                <w:rFonts w:asciiTheme="minorHAnsi" w:hAnsiTheme="minorHAnsi"/>
                <w:color w:val="000000"/>
                <w:sz w:val="18"/>
              </w:rPr>
              <w:t>Tatimi mbi vlerën e shtuar</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141,200</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138,200</w:t>
            </w:r>
          </w:p>
        </w:tc>
      </w:tr>
      <w:tr w:rsidR="00886D9A" w:rsidRPr="00CB4875" w:rsidTr="00886D9A">
        <w:trPr>
          <w:trHeight w:val="253"/>
          <w:jc w:val="center"/>
        </w:trPr>
        <w:tc>
          <w:tcPr>
            <w:tcW w:w="3240" w:type="dxa"/>
            <w:tcBorders>
              <w:top w:val="nil"/>
              <w:left w:val="nil"/>
              <w:bottom w:val="nil"/>
              <w:right w:val="nil"/>
            </w:tcBorders>
            <w:shd w:val="clear" w:color="auto" w:fill="auto"/>
            <w:noWrap/>
            <w:vAlign w:val="center"/>
            <w:hideMark/>
          </w:tcPr>
          <w:p w:rsidR="00886D9A" w:rsidRPr="00CB4875" w:rsidRDefault="00886D9A" w:rsidP="00B17E1B">
            <w:pPr>
              <w:spacing w:line="276" w:lineRule="auto"/>
              <w:rPr>
                <w:rFonts w:asciiTheme="minorHAnsi" w:hAnsiTheme="minorHAnsi"/>
                <w:color w:val="000000"/>
                <w:sz w:val="18"/>
              </w:rPr>
            </w:pPr>
            <w:r w:rsidRPr="00CB4875">
              <w:rPr>
                <w:rFonts w:asciiTheme="minorHAnsi" w:hAnsiTheme="minorHAnsi"/>
                <w:color w:val="000000"/>
                <w:sz w:val="18"/>
              </w:rPr>
              <w:t>Tatimi mbi fitimin</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29,200</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33,200</w:t>
            </w:r>
          </w:p>
        </w:tc>
      </w:tr>
      <w:tr w:rsidR="00886D9A" w:rsidRPr="00CB4875" w:rsidTr="00886D9A">
        <w:trPr>
          <w:trHeight w:val="253"/>
          <w:jc w:val="center"/>
        </w:trPr>
        <w:tc>
          <w:tcPr>
            <w:tcW w:w="3240" w:type="dxa"/>
            <w:tcBorders>
              <w:top w:val="nil"/>
              <w:left w:val="nil"/>
              <w:bottom w:val="nil"/>
              <w:right w:val="nil"/>
            </w:tcBorders>
            <w:shd w:val="clear" w:color="auto" w:fill="auto"/>
            <w:noWrap/>
            <w:vAlign w:val="center"/>
            <w:hideMark/>
          </w:tcPr>
          <w:p w:rsidR="00886D9A" w:rsidRPr="00CB4875" w:rsidRDefault="00886D9A" w:rsidP="00B17E1B">
            <w:pPr>
              <w:spacing w:line="276" w:lineRule="auto"/>
              <w:rPr>
                <w:rFonts w:asciiTheme="minorHAnsi" w:hAnsiTheme="minorHAnsi"/>
                <w:color w:val="000000"/>
                <w:sz w:val="18"/>
              </w:rPr>
            </w:pPr>
            <w:r w:rsidRPr="00CB4875">
              <w:rPr>
                <w:rFonts w:asciiTheme="minorHAnsi" w:hAnsiTheme="minorHAnsi"/>
                <w:color w:val="000000"/>
                <w:sz w:val="18"/>
              </w:rPr>
              <w:t>Akciza</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46,700</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46,700</w:t>
            </w:r>
          </w:p>
        </w:tc>
      </w:tr>
      <w:tr w:rsidR="00886D9A" w:rsidRPr="00CB4875" w:rsidTr="00886D9A">
        <w:trPr>
          <w:trHeight w:val="253"/>
          <w:jc w:val="center"/>
        </w:trPr>
        <w:tc>
          <w:tcPr>
            <w:tcW w:w="3240" w:type="dxa"/>
            <w:tcBorders>
              <w:top w:val="nil"/>
              <w:left w:val="nil"/>
              <w:bottom w:val="nil"/>
              <w:right w:val="nil"/>
            </w:tcBorders>
            <w:shd w:val="clear" w:color="auto" w:fill="auto"/>
            <w:noWrap/>
            <w:vAlign w:val="center"/>
            <w:hideMark/>
          </w:tcPr>
          <w:p w:rsidR="00886D9A" w:rsidRPr="00CB4875" w:rsidRDefault="00886D9A" w:rsidP="00B17E1B">
            <w:pPr>
              <w:spacing w:line="276" w:lineRule="auto"/>
              <w:rPr>
                <w:rFonts w:asciiTheme="minorHAnsi" w:hAnsiTheme="minorHAnsi"/>
                <w:color w:val="000000"/>
                <w:sz w:val="18"/>
              </w:rPr>
            </w:pPr>
            <w:r w:rsidRPr="00CB4875">
              <w:rPr>
                <w:rFonts w:asciiTheme="minorHAnsi" w:hAnsiTheme="minorHAnsi"/>
                <w:color w:val="000000"/>
                <w:sz w:val="18"/>
              </w:rPr>
              <w:t>Tatimi mbi të ardhurat personale</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36,200</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34,200</w:t>
            </w:r>
          </w:p>
        </w:tc>
      </w:tr>
      <w:tr w:rsidR="00886D9A" w:rsidRPr="00CB4875" w:rsidTr="00886D9A">
        <w:trPr>
          <w:trHeight w:val="253"/>
          <w:jc w:val="center"/>
        </w:trPr>
        <w:tc>
          <w:tcPr>
            <w:tcW w:w="3240" w:type="dxa"/>
            <w:tcBorders>
              <w:top w:val="nil"/>
              <w:left w:val="nil"/>
              <w:bottom w:val="nil"/>
              <w:right w:val="nil"/>
            </w:tcBorders>
            <w:shd w:val="clear" w:color="auto" w:fill="auto"/>
            <w:noWrap/>
            <w:vAlign w:val="center"/>
            <w:hideMark/>
          </w:tcPr>
          <w:p w:rsidR="00886D9A" w:rsidRPr="00CB4875" w:rsidRDefault="00886D9A" w:rsidP="00B17E1B">
            <w:pPr>
              <w:spacing w:line="276" w:lineRule="auto"/>
              <w:rPr>
                <w:rFonts w:asciiTheme="minorHAnsi" w:hAnsiTheme="minorHAnsi"/>
                <w:color w:val="000000"/>
                <w:sz w:val="18"/>
              </w:rPr>
            </w:pPr>
            <w:r w:rsidRPr="00CB4875">
              <w:rPr>
                <w:rFonts w:asciiTheme="minorHAnsi" w:hAnsiTheme="minorHAnsi"/>
                <w:color w:val="000000"/>
                <w:sz w:val="18"/>
              </w:rPr>
              <w:t>Taksa Nacionale dhe të tjera</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39,700</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themeColor="text1"/>
                <w:sz w:val="18"/>
              </w:rPr>
              <w:t>40,700</w:t>
            </w:r>
          </w:p>
        </w:tc>
      </w:tr>
      <w:tr w:rsidR="00886D9A" w:rsidRPr="00CB4875" w:rsidTr="00886D9A">
        <w:trPr>
          <w:trHeight w:val="253"/>
          <w:jc w:val="center"/>
        </w:trPr>
        <w:tc>
          <w:tcPr>
            <w:tcW w:w="3240" w:type="dxa"/>
            <w:tcBorders>
              <w:top w:val="nil"/>
              <w:left w:val="nil"/>
              <w:bottom w:val="nil"/>
              <w:right w:val="nil"/>
            </w:tcBorders>
            <w:shd w:val="clear" w:color="auto" w:fill="auto"/>
            <w:noWrap/>
            <w:vAlign w:val="center"/>
            <w:hideMark/>
          </w:tcPr>
          <w:p w:rsidR="00886D9A" w:rsidRPr="00CB4875" w:rsidRDefault="00886D9A" w:rsidP="00B17E1B">
            <w:pPr>
              <w:spacing w:line="276" w:lineRule="auto"/>
              <w:rPr>
                <w:rFonts w:asciiTheme="minorHAnsi" w:hAnsiTheme="minorHAnsi"/>
                <w:color w:val="000000"/>
                <w:sz w:val="18"/>
              </w:rPr>
            </w:pPr>
            <w:r w:rsidRPr="00CB4875">
              <w:rPr>
                <w:rFonts w:asciiTheme="minorHAnsi" w:hAnsiTheme="minorHAnsi"/>
                <w:color w:val="000000"/>
                <w:sz w:val="18"/>
              </w:rPr>
              <w:t>Taksa doganore</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6,400</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6,400</w:t>
            </w:r>
          </w:p>
        </w:tc>
      </w:tr>
      <w:tr w:rsidR="00886D9A" w:rsidRPr="00CB4875" w:rsidTr="00886D9A">
        <w:trPr>
          <w:trHeight w:val="253"/>
          <w:jc w:val="center"/>
        </w:trPr>
        <w:tc>
          <w:tcPr>
            <w:tcW w:w="3240" w:type="dxa"/>
            <w:tcBorders>
              <w:top w:val="nil"/>
              <w:left w:val="nil"/>
              <w:bottom w:val="nil"/>
              <w:right w:val="nil"/>
            </w:tcBorders>
            <w:shd w:val="clear" w:color="auto" w:fill="auto"/>
            <w:noWrap/>
            <w:vAlign w:val="center"/>
            <w:hideMark/>
          </w:tcPr>
          <w:p w:rsidR="00886D9A" w:rsidRPr="00CB4875" w:rsidRDefault="00886D9A" w:rsidP="00B17E1B">
            <w:pPr>
              <w:spacing w:line="276" w:lineRule="auto"/>
              <w:rPr>
                <w:rFonts w:asciiTheme="minorHAnsi" w:hAnsiTheme="minorHAnsi"/>
                <w:b/>
                <w:bCs/>
                <w:color w:val="000000"/>
                <w:sz w:val="18"/>
              </w:rPr>
            </w:pPr>
            <w:r w:rsidRPr="00CB4875">
              <w:rPr>
                <w:rFonts w:asciiTheme="minorHAnsi" w:hAnsiTheme="minorHAnsi"/>
                <w:b/>
                <w:bCs/>
                <w:color w:val="000000"/>
                <w:sz w:val="18"/>
              </w:rPr>
              <w:t>Totali "Tatime dhe Dogana"</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b/>
                <w:bCs/>
                <w:color w:val="000000"/>
                <w:sz w:val="18"/>
              </w:rPr>
            </w:pPr>
            <w:r w:rsidRPr="00CB4875">
              <w:rPr>
                <w:rFonts w:asciiTheme="minorHAnsi" w:hAnsiTheme="minorHAnsi"/>
                <w:b/>
                <w:bCs/>
                <w:color w:val="000000"/>
                <w:sz w:val="18"/>
              </w:rPr>
              <w:t>299,400</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b/>
                <w:bCs/>
                <w:color w:val="000000"/>
                <w:sz w:val="18"/>
              </w:rPr>
            </w:pPr>
            <w:r w:rsidRPr="00CB4875">
              <w:rPr>
                <w:rFonts w:asciiTheme="minorHAnsi" w:hAnsiTheme="minorHAnsi"/>
                <w:b/>
                <w:bCs/>
                <w:color w:val="000000"/>
                <w:sz w:val="18"/>
              </w:rPr>
              <w:t>299,400</w:t>
            </w:r>
          </w:p>
        </w:tc>
      </w:tr>
      <w:tr w:rsidR="00886D9A" w:rsidRPr="00CB4875" w:rsidTr="00886D9A">
        <w:trPr>
          <w:trHeight w:val="266"/>
          <w:jc w:val="center"/>
        </w:trPr>
        <w:tc>
          <w:tcPr>
            <w:tcW w:w="3240" w:type="dxa"/>
            <w:tcBorders>
              <w:top w:val="nil"/>
              <w:left w:val="nil"/>
              <w:bottom w:val="nil"/>
              <w:right w:val="nil"/>
            </w:tcBorders>
            <w:shd w:val="clear" w:color="auto" w:fill="auto"/>
            <w:noWrap/>
            <w:vAlign w:val="center"/>
            <w:hideMark/>
          </w:tcPr>
          <w:p w:rsidR="00886D9A" w:rsidRPr="00CB4875" w:rsidRDefault="00886D9A" w:rsidP="00B17E1B">
            <w:pPr>
              <w:spacing w:line="276" w:lineRule="auto"/>
              <w:rPr>
                <w:rFonts w:asciiTheme="minorHAnsi" w:hAnsiTheme="minorHAnsi"/>
                <w:color w:val="000000"/>
                <w:sz w:val="18"/>
              </w:rPr>
            </w:pPr>
            <w:r w:rsidRPr="00CB4875">
              <w:rPr>
                <w:rFonts w:asciiTheme="minorHAnsi" w:hAnsiTheme="minorHAnsi"/>
                <w:color w:val="000000"/>
                <w:sz w:val="18"/>
              </w:rPr>
              <w:t>Kontribute nga DPT</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78,250</w:t>
            </w:r>
          </w:p>
        </w:tc>
        <w:tc>
          <w:tcPr>
            <w:tcW w:w="2520" w:type="dxa"/>
            <w:tcBorders>
              <w:top w:val="nil"/>
              <w:left w:val="nil"/>
              <w:bottom w:val="nil"/>
              <w:right w:val="nil"/>
            </w:tcBorders>
            <w:shd w:val="clear" w:color="auto" w:fill="auto"/>
            <w:noWrap/>
            <w:vAlign w:val="center"/>
            <w:hideMark/>
          </w:tcPr>
          <w:p w:rsidR="00886D9A" w:rsidRPr="00CB4875" w:rsidRDefault="00886D9A" w:rsidP="00886D9A">
            <w:pPr>
              <w:spacing w:line="276" w:lineRule="auto"/>
              <w:jc w:val="center"/>
              <w:rPr>
                <w:rFonts w:asciiTheme="minorHAnsi" w:hAnsiTheme="minorHAnsi"/>
                <w:color w:val="000000"/>
                <w:sz w:val="18"/>
              </w:rPr>
            </w:pPr>
            <w:r w:rsidRPr="00CB4875">
              <w:rPr>
                <w:rFonts w:asciiTheme="minorHAnsi" w:hAnsiTheme="minorHAnsi"/>
                <w:color w:val="000000"/>
                <w:sz w:val="18"/>
              </w:rPr>
              <w:t>78,250</w:t>
            </w:r>
          </w:p>
        </w:tc>
      </w:tr>
      <w:tr w:rsidR="00886D9A" w:rsidRPr="00CB4875" w:rsidTr="00CB4875">
        <w:trPr>
          <w:trHeight w:val="48"/>
          <w:jc w:val="center"/>
        </w:trPr>
        <w:tc>
          <w:tcPr>
            <w:tcW w:w="3240" w:type="dxa"/>
            <w:tcBorders>
              <w:top w:val="single" w:sz="8" w:space="0" w:color="auto"/>
              <w:left w:val="nil"/>
              <w:bottom w:val="double" w:sz="6" w:space="0" w:color="auto"/>
              <w:right w:val="nil"/>
            </w:tcBorders>
            <w:shd w:val="clear" w:color="000000" w:fill="FFFFFF"/>
            <w:noWrap/>
            <w:vAlign w:val="center"/>
            <w:hideMark/>
          </w:tcPr>
          <w:p w:rsidR="00886D9A" w:rsidRPr="00CB4875" w:rsidRDefault="00886D9A" w:rsidP="00886D9A">
            <w:pPr>
              <w:spacing w:line="276" w:lineRule="auto"/>
              <w:jc w:val="center"/>
              <w:rPr>
                <w:rFonts w:asciiTheme="minorHAnsi" w:hAnsiTheme="minorHAnsi"/>
                <w:b/>
                <w:bCs/>
                <w:color w:val="000000"/>
                <w:sz w:val="18"/>
              </w:rPr>
            </w:pPr>
            <w:r w:rsidRPr="00CB4875">
              <w:rPr>
                <w:rFonts w:asciiTheme="minorHAnsi" w:hAnsiTheme="minorHAnsi"/>
                <w:b/>
                <w:bCs/>
                <w:color w:val="000000"/>
                <w:sz w:val="18"/>
              </w:rPr>
              <w:t>Totali</w:t>
            </w:r>
          </w:p>
        </w:tc>
        <w:tc>
          <w:tcPr>
            <w:tcW w:w="2520" w:type="dxa"/>
            <w:tcBorders>
              <w:top w:val="single" w:sz="8" w:space="0" w:color="auto"/>
              <w:left w:val="nil"/>
              <w:bottom w:val="double" w:sz="6" w:space="0" w:color="auto"/>
              <w:right w:val="nil"/>
            </w:tcBorders>
            <w:shd w:val="clear" w:color="000000" w:fill="FFFFFF"/>
            <w:noWrap/>
            <w:vAlign w:val="center"/>
            <w:hideMark/>
          </w:tcPr>
          <w:p w:rsidR="00886D9A" w:rsidRPr="00CB4875" w:rsidRDefault="00886D9A" w:rsidP="00886D9A">
            <w:pPr>
              <w:spacing w:line="276" w:lineRule="auto"/>
              <w:jc w:val="center"/>
              <w:rPr>
                <w:rFonts w:asciiTheme="minorHAnsi" w:hAnsiTheme="minorHAnsi"/>
                <w:b/>
                <w:bCs/>
                <w:color w:val="000000"/>
                <w:sz w:val="18"/>
              </w:rPr>
            </w:pPr>
            <w:r w:rsidRPr="00CB4875">
              <w:rPr>
                <w:rFonts w:asciiTheme="minorHAnsi" w:hAnsiTheme="minorHAnsi"/>
                <w:b/>
                <w:bCs/>
                <w:color w:val="000000"/>
                <w:sz w:val="18"/>
              </w:rPr>
              <w:t>377,650</w:t>
            </w:r>
          </w:p>
        </w:tc>
        <w:tc>
          <w:tcPr>
            <w:tcW w:w="2520" w:type="dxa"/>
            <w:tcBorders>
              <w:top w:val="single" w:sz="8" w:space="0" w:color="auto"/>
              <w:left w:val="nil"/>
              <w:bottom w:val="double" w:sz="6" w:space="0" w:color="auto"/>
              <w:right w:val="nil"/>
            </w:tcBorders>
            <w:shd w:val="clear" w:color="000000" w:fill="FFFFFF"/>
            <w:noWrap/>
            <w:vAlign w:val="center"/>
            <w:hideMark/>
          </w:tcPr>
          <w:p w:rsidR="00886D9A" w:rsidRPr="00CB4875" w:rsidRDefault="00886D9A" w:rsidP="00886D9A">
            <w:pPr>
              <w:spacing w:line="276" w:lineRule="auto"/>
              <w:jc w:val="center"/>
              <w:rPr>
                <w:rFonts w:asciiTheme="minorHAnsi" w:hAnsiTheme="minorHAnsi"/>
                <w:b/>
                <w:bCs/>
                <w:color w:val="000000"/>
                <w:sz w:val="18"/>
              </w:rPr>
            </w:pPr>
            <w:r w:rsidRPr="00CB4875">
              <w:rPr>
                <w:rFonts w:asciiTheme="minorHAnsi" w:hAnsiTheme="minorHAnsi"/>
                <w:b/>
                <w:bCs/>
                <w:color w:val="000000"/>
                <w:sz w:val="18"/>
              </w:rPr>
              <w:t>377,650</w:t>
            </w:r>
          </w:p>
        </w:tc>
      </w:tr>
    </w:tbl>
    <w:p w:rsidR="003A1589" w:rsidRPr="00CB4875" w:rsidRDefault="003A1589" w:rsidP="00A40986">
      <w:pPr>
        <w:spacing w:line="276" w:lineRule="auto"/>
        <w:rPr>
          <w:rFonts w:asciiTheme="minorHAnsi" w:hAnsiTheme="minorHAnsi"/>
          <w:sz w:val="20"/>
          <w:highlight w:val="green"/>
          <w:lang w:val="sq-AL"/>
        </w:rPr>
      </w:pPr>
    </w:p>
    <w:p w:rsidR="00CE7D65" w:rsidRPr="009C40B4" w:rsidRDefault="00CE7D65" w:rsidP="00CE7D65">
      <w:pPr>
        <w:spacing w:line="276" w:lineRule="auto"/>
        <w:jc w:val="both"/>
        <w:rPr>
          <w:rFonts w:asciiTheme="minorHAnsi" w:hAnsiTheme="minorHAnsi"/>
          <w:lang w:val="sq-AL"/>
        </w:rPr>
      </w:pPr>
      <w:r w:rsidRPr="009C40B4">
        <w:rPr>
          <w:rFonts w:asciiTheme="minorHAnsi" w:hAnsiTheme="minorHAnsi"/>
          <w:lang w:val="sq-AL"/>
        </w:rPr>
        <w:t xml:space="preserve">Ndër faktorët kryesorë të cilët do të ndikojnë në realizimin e  pritshëm të të ardhurave deri në fund të vitit 2017 janë: </w:t>
      </w:r>
    </w:p>
    <w:p w:rsidR="00CE7D65" w:rsidRPr="00CE7D65" w:rsidRDefault="00CE7D65" w:rsidP="00CE7D65">
      <w:pPr>
        <w:pStyle w:val="ListParagraph"/>
        <w:widowControl w:val="0"/>
        <w:numPr>
          <w:ilvl w:val="0"/>
          <w:numId w:val="16"/>
        </w:numPr>
        <w:spacing w:line="276" w:lineRule="auto"/>
        <w:ind w:left="270" w:hanging="270"/>
        <w:jc w:val="both"/>
        <w:rPr>
          <w:rFonts w:asciiTheme="minorHAnsi" w:hAnsiTheme="minorHAnsi"/>
          <w:lang w:val="sq-AL"/>
        </w:rPr>
      </w:pPr>
      <w:r w:rsidRPr="00CE7D65">
        <w:rPr>
          <w:rFonts w:asciiTheme="minorHAnsi" w:hAnsiTheme="minorHAnsi"/>
          <w:i/>
          <w:u w:val="single"/>
          <w:lang w:val="sq-AL"/>
        </w:rPr>
        <w:t>Çmimi i naftës bruto</w:t>
      </w:r>
      <w:r w:rsidRPr="00CE7D65">
        <w:rPr>
          <w:rFonts w:asciiTheme="minorHAnsi" w:hAnsiTheme="minorHAnsi"/>
          <w:lang w:val="sq-AL"/>
        </w:rPr>
        <w:t xml:space="preserve"> i cili sipas US Energy Information Administration, është rritur me rreth 39% krahasuar me 5-mujorin e vitit 2016 dhe rreth 18% krahasuar me muajin Nëntor të vitit 2016. Ndërkohë për muajt në vijim, parashikimet tregojnë për ulje të çmimeve me rreth 3% për muajin Qershor krahasuar me Maj 2017, dhe rreth 4.2% deri në fund të vitit 2017.  </w:t>
      </w:r>
    </w:p>
    <w:p w:rsidR="00CE7D65" w:rsidRPr="00CE7D65" w:rsidRDefault="00CE7D65" w:rsidP="00CE7D65">
      <w:pPr>
        <w:pStyle w:val="ListParagraph"/>
        <w:widowControl w:val="0"/>
        <w:numPr>
          <w:ilvl w:val="0"/>
          <w:numId w:val="16"/>
        </w:numPr>
        <w:spacing w:line="276" w:lineRule="auto"/>
        <w:ind w:left="270" w:hanging="270"/>
        <w:jc w:val="both"/>
        <w:rPr>
          <w:rFonts w:asciiTheme="minorHAnsi" w:hAnsiTheme="minorHAnsi"/>
          <w:lang w:val="sq-AL"/>
        </w:rPr>
      </w:pPr>
      <w:r w:rsidRPr="00CE7D65">
        <w:rPr>
          <w:rFonts w:asciiTheme="minorHAnsi" w:hAnsiTheme="minorHAnsi"/>
          <w:i/>
          <w:u w:val="single"/>
          <w:lang w:val="sq-AL"/>
        </w:rPr>
        <w:t>Rritja e çmimeve të mineraleve</w:t>
      </w:r>
      <w:r w:rsidRPr="00CE7D65">
        <w:rPr>
          <w:rFonts w:asciiTheme="minorHAnsi" w:hAnsiTheme="minorHAnsi"/>
          <w:lang w:val="sq-AL"/>
        </w:rPr>
        <w:t xml:space="preserve"> të tjera si kromi dhe bakri </w:t>
      </w:r>
    </w:p>
    <w:p w:rsidR="00CE7D65" w:rsidRPr="00CE7D65" w:rsidRDefault="00CE7D65" w:rsidP="00CE7D65">
      <w:pPr>
        <w:pStyle w:val="ListParagraph"/>
        <w:widowControl w:val="0"/>
        <w:numPr>
          <w:ilvl w:val="0"/>
          <w:numId w:val="16"/>
        </w:numPr>
        <w:spacing w:line="276" w:lineRule="auto"/>
        <w:ind w:left="270" w:hanging="270"/>
        <w:jc w:val="both"/>
        <w:rPr>
          <w:rFonts w:asciiTheme="minorHAnsi" w:hAnsiTheme="minorHAnsi"/>
          <w:lang w:val="sq-AL"/>
        </w:rPr>
      </w:pPr>
      <w:r w:rsidRPr="00CE7D65">
        <w:rPr>
          <w:rFonts w:asciiTheme="minorHAnsi" w:hAnsiTheme="minorHAnsi"/>
          <w:i/>
          <w:u w:val="single"/>
          <w:lang w:val="sq-AL"/>
        </w:rPr>
        <w:t>Rënia e kurseve të këmbimit</w:t>
      </w:r>
      <w:r w:rsidRPr="00CE7D65">
        <w:rPr>
          <w:rFonts w:asciiTheme="minorHAnsi" w:hAnsiTheme="minorHAnsi"/>
          <w:lang w:val="sq-AL"/>
        </w:rPr>
        <w:t xml:space="preserve"> të Euro dhe Dollarit</w:t>
      </w:r>
    </w:p>
    <w:p w:rsidR="00CE7D65" w:rsidRPr="00CE7D65" w:rsidRDefault="00CE7D65" w:rsidP="00CE7D65">
      <w:pPr>
        <w:pStyle w:val="ListParagraph"/>
        <w:widowControl w:val="0"/>
        <w:numPr>
          <w:ilvl w:val="0"/>
          <w:numId w:val="16"/>
        </w:numPr>
        <w:spacing w:line="276" w:lineRule="auto"/>
        <w:ind w:left="270" w:hanging="270"/>
        <w:jc w:val="both"/>
        <w:rPr>
          <w:rFonts w:asciiTheme="minorHAnsi" w:hAnsiTheme="minorHAnsi"/>
          <w:i/>
          <w:u w:val="single"/>
          <w:lang w:val="sq-AL"/>
        </w:rPr>
      </w:pPr>
      <w:r w:rsidRPr="00CE7D65">
        <w:rPr>
          <w:rFonts w:asciiTheme="minorHAnsi" w:hAnsiTheme="minorHAnsi"/>
          <w:i/>
          <w:u w:val="single"/>
          <w:lang w:val="sq-AL"/>
        </w:rPr>
        <w:t>Rritje e importit të taksuar</w:t>
      </w:r>
    </w:p>
    <w:p w:rsidR="00CE7D65" w:rsidRPr="00CE7D65" w:rsidRDefault="00CE7D65" w:rsidP="00CE7D65">
      <w:pPr>
        <w:pStyle w:val="ListParagraph"/>
        <w:widowControl w:val="0"/>
        <w:numPr>
          <w:ilvl w:val="0"/>
          <w:numId w:val="16"/>
        </w:numPr>
        <w:spacing w:line="276" w:lineRule="auto"/>
        <w:ind w:left="270" w:hanging="270"/>
        <w:jc w:val="both"/>
        <w:rPr>
          <w:rFonts w:asciiTheme="minorHAnsi" w:hAnsiTheme="minorHAnsi"/>
          <w:lang w:val="sq-AL"/>
        </w:rPr>
      </w:pPr>
      <w:r w:rsidRPr="00CE7D65">
        <w:rPr>
          <w:rFonts w:asciiTheme="minorHAnsi" w:hAnsiTheme="minorHAnsi"/>
          <w:i/>
          <w:u w:val="single"/>
          <w:lang w:val="sq-AL"/>
        </w:rPr>
        <w:t>Rritja e prodhimit vendas të karburantit</w:t>
      </w:r>
      <w:r w:rsidRPr="00CE7D65">
        <w:rPr>
          <w:rFonts w:asciiTheme="minorHAnsi" w:hAnsiTheme="minorHAnsi"/>
          <w:lang w:val="sq-AL"/>
        </w:rPr>
        <w:t xml:space="preserve"> dhe rënia e importit për këtë shkak, duke sjellë zhvendosje të të ardhurave nga TVSH nga Doganat në Tatime. </w:t>
      </w:r>
    </w:p>
    <w:p w:rsidR="00CE7D65" w:rsidRDefault="00CE7D65" w:rsidP="00CE7D65">
      <w:pPr>
        <w:pStyle w:val="ListParagraph"/>
        <w:widowControl w:val="0"/>
        <w:numPr>
          <w:ilvl w:val="0"/>
          <w:numId w:val="16"/>
        </w:numPr>
        <w:spacing w:line="276" w:lineRule="auto"/>
        <w:ind w:left="270" w:hanging="270"/>
        <w:jc w:val="both"/>
        <w:rPr>
          <w:rFonts w:asciiTheme="minorHAnsi" w:hAnsiTheme="minorHAnsi"/>
          <w:lang w:val="sq-AL"/>
        </w:rPr>
      </w:pPr>
      <w:r w:rsidRPr="00CE7D65">
        <w:rPr>
          <w:rFonts w:asciiTheme="minorHAnsi" w:hAnsiTheme="minorHAnsi"/>
          <w:i/>
          <w:u w:val="single"/>
          <w:lang w:val="sq-AL"/>
        </w:rPr>
        <w:t>Vazhdimi i përpjekjeve</w:t>
      </w:r>
      <w:r w:rsidRPr="00CE7D65">
        <w:rPr>
          <w:rFonts w:asciiTheme="minorHAnsi" w:hAnsiTheme="minorHAnsi"/>
          <w:lang w:val="sq-AL"/>
        </w:rPr>
        <w:t xml:space="preserve"> për mir</w:t>
      </w:r>
      <w:r w:rsidR="00A25454">
        <w:rPr>
          <w:rFonts w:asciiTheme="minorHAnsi" w:hAnsiTheme="minorHAnsi"/>
          <w:lang w:val="sq-AL"/>
        </w:rPr>
        <w:t>ë</w:t>
      </w:r>
      <w:r>
        <w:rPr>
          <w:rFonts w:asciiTheme="minorHAnsi" w:hAnsiTheme="minorHAnsi"/>
          <w:lang w:val="sq-AL"/>
        </w:rPr>
        <w:t>-</w:t>
      </w:r>
      <w:r w:rsidRPr="00CE7D65">
        <w:rPr>
          <w:rFonts w:asciiTheme="minorHAnsi" w:hAnsiTheme="minorHAnsi"/>
          <w:lang w:val="sq-AL"/>
        </w:rPr>
        <w:t xml:space="preserve">administrim dhe luftën kundër informalitetit. </w:t>
      </w:r>
    </w:p>
    <w:p w:rsidR="0085454B" w:rsidRPr="00050FA7" w:rsidRDefault="0085454B" w:rsidP="0085454B">
      <w:pPr>
        <w:pStyle w:val="ListParagraph"/>
        <w:widowControl w:val="0"/>
        <w:spacing w:line="276" w:lineRule="auto"/>
        <w:ind w:left="270"/>
        <w:jc w:val="both"/>
        <w:rPr>
          <w:rFonts w:asciiTheme="minorHAnsi" w:hAnsiTheme="minorHAnsi"/>
          <w:lang w:val="sq-AL"/>
        </w:rPr>
      </w:pPr>
    </w:p>
    <w:p w:rsidR="00AE3C1B" w:rsidRPr="00444289" w:rsidRDefault="00AE3C1B" w:rsidP="00A40986">
      <w:pPr>
        <w:pStyle w:val="Heading1"/>
        <w:numPr>
          <w:ilvl w:val="0"/>
          <w:numId w:val="7"/>
        </w:numPr>
        <w:spacing w:line="276" w:lineRule="auto"/>
        <w:ind w:left="720"/>
        <w:rPr>
          <w:rFonts w:asciiTheme="minorHAnsi" w:hAnsiTheme="minorHAnsi"/>
          <w:noProof/>
          <w:color w:val="365F91" w:themeColor="accent1" w:themeShade="BF"/>
          <w:sz w:val="32"/>
          <w:szCs w:val="24"/>
          <w:lang w:val="sq-AL"/>
        </w:rPr>
      </w:pPr>
      <w:bookmarkStart w:id="8" w:name="_Toc486582881"/>
      <w:r w:rsidRPr="00444289">
        <w:rPr>
          <w:rFonts w:asciiTheme="minorHAnsi" w:hAnsiTheme="minorHAnsi"/>
          <w:noProof/>
          <w:color w:val="365F91" w:themeColor="accent1" w:themeShade="BF"/>
          <w:sz w:val="32"/>
          <w:szCs w:val="24"/>
          <w:lang w:val="sq-AL"/>
        </w:rPr>
        <w:t>BUXHETI I VITIT 201</w:t>
      </w:r>
      <w:r w:rsidR="003A1589" w:rsidRPr="00444289">
        <w:rPr>
          <w:rFonts w:asciiTheme="minorHAnsi" w:hAnsiTheme="minorHAnsi"/>
          <w:noProof/>
          <w:color w:val="365F91" w:themeColor="accent1" w:themeShade="BF"/>
          <w:sz w:val="32"/>
          <w:szCs w:val="24"/>
          <w:lang w:val="sq-AL"/>
        </w:rPr>
        <w:t>7</w:t>
      </w:r>
      <w:bookmarkEnd w:id="8"/>
    </w:p>
    <w:p w:rsidR="00050FA7" w:rsidRDefault="00050FA7" w:rsidP="00050FA7">
      <w:pPr>
        <w:spacing w:line="276" w:lineRule="auto"/>
        <w:jc w:val="both"/>
        <w:rPr>
          <w:rFonts w:asciiTheme="minorHAnsi" w:hAnsiTheme="minorHAnsi"/>
          <w:lang w:val="sq-AL"/>
        </w:rPr>
      </w:pPr>
      <w:r w:rsidRPr="00050FA7">
        <w:rPr>
          <w:rFonts w:asciiTheme="minorHAnsi" w:hAnsiTheme="minorHAnsi"/>
          <w:lang w:val="sq-AL"/>
        </w:rPr>
        <w:t>Buxheti i vitit 2017, financon 127 programe buxhetore dhe synon realizimin e 8</w:t>
      </w:r>
      <w:r w:rsidR="006A1E00">
        <w:rPr>
          <w:rFonts w:asciiTheme="minorHAnsi" w:hAnsiTheme="minorHAnsi"/>
          <w:lang w:val="sq-AL"/>
        </w:rPr>
        <w:t>79</w:t>
      </w:r>
      <w:r w:rsidRPr="00050FA7">
        <w:rPr>
          <w:rFonts w:asciiTheme="minorHAnsi" w:hAnsiTheme="minorHAnsi"/>
          <w:lang w:val="sq-AL"/>
        </w:rPr>
        <w:t xml:space="preserve"> produkteve të 16 ministrive, financimin e 30 institucioneve qendrore dhe fondeve speciale për sigurimet shoqërore, shëndetësore dhe kompensimin në vlerë të ish-pronarëve. Gjithashtu, këto shpenzime kanë financuar edhe buxhetin e 61 bashkive dhe 12 qarqeve. </w:t>
      </w:r>
    </w:p>
    <w:p w:rsidR="00050FA7" w:rsidRDefault="00050FA7" w:rsidP="00050FA7">
      <w:pPr>
        <w:spacing w:line="276" w:lineRule="auto"/>
        <w:jc w:val="both"/>
        <w:rPr>
          <w:rFonts w:asciiTheme="minorHAnsi" w:hAnsiTheme="minorHAnsi"/>
          <w:lang w:val="sq-AL"/>
        </w:rPr>
      </w:pPr>
      <w:r w:rsidRPr="00050FA7">
        <w:rPr>
          <w:rFonts w:asciiTheme="minorHAnsi" w:hAnsiTheme="minorHAnsi"/>
          <w:lang w:val="sq-AL"/>
        </w:rPr>
        <w:t>Për periudhën pesë mujore janar-maj 2017, në përgjithësi evidentohet një performancë relativisht e mirë e realizimit të produkteve buxhetore nga ministritë e linjës. Nga 8</w:t>
      </w:r>
      <w:r w:rsidR="006A1E00">
        <w:rPr>
          <w:rFonts w:asciiTheme="minorHAnsi" w:hAnsiTheme="minorHAnsi"/>
          <w:lang w:val="sq-AL"/>
        </w:rPr>
        <w:t>79</w:t>
      </w:r>
      <w:r w:rsidRPr="00050FA7">
        <w:rPr>
          <w:rFonts w:asciiTheme="minorHAnsi" w:hAnsiTheme="minorHAnsi"/>
          <w:lang w:val="sq-AL"/>
        </w:rPr>
        <w:t xml:space="preserve"> produkte të parashikuara, janë realizuar plotësisht 3</w:t>
      </w:r>
      <w:r w:rsidR="006A1E00">
        <w:rPr>
          <w:rFonts w:asciiTheme="minorHAnsi" w:hAnsiTheme="minorHAnsi"/>
          <w:lang w:val="sq-AL"/>
        </w:rPr>
        <w:t>79</w:t>
      </w:r>
      <w:r w:rsidRPr="00050FA7">
        <w:rPr>
          <w:rFonts w:asciiTheme="minorHAnsi" w:hAnsiTheme="minorHAnsi"/>
          <w:lang w:val="sq-AL"/>
        </w:rPr>
        <w:t xml:space="preserve"> produkte ose 4</w:t>
      </w:r>
      <w:r w:rsidR="006A1E00">
        <w:rPr>
          <w:rFonts w:asciiTheme="minorHAnsi" w:hAnsiTheme="minorHAnsi"/>
          <w:lang w:val="sq-AL"/>
        </w:rPr>
        <w:t>3.1</w:t>
      </w:r>
      <w:r w:rsidRPr="00050FA7">
        <w:rPr>
          <w:rFonts w:asciiTheme="minorHAnsi" w:hAnsiTheme="minorHAnsi"/>
          <w:lang w:val="sq-AL"/>
        </w:rPr>
        <w:t xml:space="preserve"> përqind, realizuar pjesërisht 251 produkte ose </w:t>
      </w:r>
      <w:r w:rsidR="006A1E00">
        <w:rPr>
          <w:rFonts w:asciiTheme="minorHAnsi" w:hAnsiTheme="minorHAnsi"/>
          <w:lang w:val="sq-AL"/>
        </w:rPr>
        <w:t>28.5</w:t>
      </w:r>
      <w:r w:rsidRPr="00050FA7">
        <w:rPr>
          <w:rFonts w:asciiTheme="minorHAnsi" w:hAnsiTheme="minorHAnsi"/>
          <w:lang w:val="sq-AL"/>
        </w:rPr>
        <w:t xml:space="preserve"> përqind</w:t>
      </w:r>
      <w:r w:rsidR="006A1E00">
        <w:rPr>
          <w:rFonts w:asciiTheme="minorHAnsi" w:hAnsiTheme="minorHAnsi"/>
          <w:lang w:val="sq-AL"/>
        </w:rPr>
        <w:t>, si e</w:t>
      </w:r>
      <w:r w:rsidRPr="00050FA7">
        <w:rPr>
          <w:rFonts w:asciiTheme="minorHAnsi" w:hAnsiTheme="minorHAnsi"/>
          <w:lang w:val="sq-AL"/>
        </w:rPr>
        <w:t xml:space="preserve">dhe nuk janë realizuar </w:t>
      </w:r>
      <w:r w:rsidR="006A1E00">
        <w:rPr>
          <w:rFonts w:asciiTheme="minorHAnsi" w:hAnsiTheme="minorHAnsi"/>
          <w:lang w:val="sq-AL"/>
        </w:rPr>
        <w:t>vet</w:t>
      </w:r>
      <w:r w:rsidR="00C15E4A">
        <w:rPr>
          <w:rFonts w:asciiTheme="minorHAnsi" w:hAnsiTheme="minorHAnsi"/>
          <w:lang w:val="sq-AL"/>
        </w:rPr>
        <w:t>ë</w:t>
      </w:r>
      <w:r w:rsidR="006A1E00">
        <w:rPr>
          <w:rFonts w:asciiTheme="minorHAnsi" w:hAnsiTheme="minorHAnsi"/>
          <w:lang w:val="sq-AL"/>
        </w:rPr>
        <w:t xml:space="preserve">m </w:t>
      </w:r>
      <w:r w:rsidRPr="00050FA7">
        <w:rPr>
          <w:rFonts w:asciiTheme="minorHAnsi" w:hAnsiTheme="minorHAnsi"/>
          <w:lang w:val="sq-AL"/>
        </w:rPr>
        <w:t>2</w:t>
      </w:r>
      <w:r w:rsidR="006A1E00">
        <w:rPr>
          <w:rFonts w:asciiTheme="minorHAnsi" w:hAnsiTheme="minorHAnsi"/>
          <w:lang w:val="sq-AL"/>
        </w:rPr>
        <w:t>4</w:t>
      </w:r>
      <w:r w:rsidRPr="00050FA7">
        <w:rPr>
          <w:rFonts w:asciiTheme="minorHAnsi" w:hAnsiTheme="minorHAnsi"/>
          <w:lang w:val="sq-AL"/>
        </w:rPr>
        <w:t>9 produkte ose 28.</w:t>
      </w:r>
      <w:r w:rsidR="006A1E00">
        <w:rPr>
          <w:rFonts w:asciiTheme="minorHAnsi" w:hAnsiTheme="minorHAnsi"/>
          <w:lang w:val="sq-AL"/>
        </w:rPr>
        <w:t>3</w:t>
      </w:r>
      <w:r w:rsidRPr="00050FA7">
        <w:rPr>
          <w:rFonts w:asciiTheme="minorHAnsi" w:hAnsiTheme="minorHAnsi"/>
          <w:lang w:val="sq-AL"/>
        </w:rPr>
        <w:t xml:space="preserve"> përqind nga</w:t>
      </w:r>
      <w:r w:rsidR="006A1E00">
        <w:rPr>
          <w:rFonts w:asciiTheme="minorHAnsi" w:hAnsiTheme="minorHAnsi"/>
          <w:lang w:val="sq-AL"/>
        </w:rPr>
        <w:t xml:space="preserve"> ato</w:t>
      </w:r>
      <w:r w:rsidRPr="00050FA7">
        <w:rPr>
          <w:rFonts w:asciiTheme="minorHAnsi" w:hAnsiTheme="minorHAnsi"/>
          <w:lang w:val="sq-AL"/>
        </w:rPr>
        <w:t xml:space="preserve"> të planifikuara.</w:t>
      </w:r>
    </w:p>
    <w:p w:rsidR="00923599" w:rsidRDefault="00923599" w:rsidP="00050FA7">
      <w:pPr>
        <w:spacing w:line="276" w:lineRule="auto"/>
        <w:jc w:val="both"/>
        <w:rPr>
          <w:rFonts w:asciiTheme="minorHAnsi" w:hAnsiTheme="minorHAnsi"/>
          <w:lang w:val="sq-AL"/>
        </w:rPr>
      </w:pPr>
    </w:p>
    <w:p w:rsidR="00786A15" w:rsidRDefault="00786A15" w:rsidP="00786A15">
      <w:pPr>
        <w:spacing w:line="276" w:lineRule="auto"/>
        <w:jc w:val="center"/>
        <w:rPr>
          <w:rFonts w:asciiTheme="minorHAnsi" w:hAnsiTheme="minorHAnsi"/>
          <w:lang w:val="sq-AL"/>
        </w:rPr>
      </w:pPr>
      <w:bookmarkStart w:id="9" w:name="_Toc486577059"/>
      <w:r w:rsidRPr="00786A15">
        <w:rPr>
          <w:noProof/>
        </w:rPr>
        <w:drawing>
          <wp:inline distT="0" distB="0" distL="0" distR="0" wp14:anchorId="35A51355" wp14:editId="18E36BD0">
            <wp:extent cx="6000115" cy="2392680"/>
            <wp:effectExtent l="0" t="0" r="63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1758" cy="2393335"/>
                    </a:xfrm>
                    <a:prstGeom prst="rect">
                      <a:avLst/>
                    </a:prstGeom>
                    <a:noFill/>
                    <a:ln>
                      <a:noFill/>
                    </a:ln>
                  </pic:spPr>
                </pic:pic>
              </a:graphicData>
            </a:graphic>
          </wp:inline>
        </w:drawing>
      </w:r>
      <w:bookmarkEnd w:id="9"/>
    </w:p>
    <w:p w:rsidR="00786A15" w:rsidRPr="00444289" w:rsidRDefault="00786A15" w:rsidP="00050FA7">
      <w:pPr>
        <w:spacing w:line="276" w:lineRule="auto"/>
        <w:jc w:val="both"/>
        <w:rPr>
          <w:rFonts w:asciiTheme="minorHAnsi" w:hAnsiTheme="minorHAnsi"/>
          <w:lang w:val="sq-AL"/>
        </w:rPr>
      </w:pPr>
    </w:p>
    <w:p w:rsidR="00273119" w:rsidRPr="005E6CF7" w:rsidRDefault="005D6734" w:rsidP="00A40986">
      <w:pPr>
        <w:pStyle w:val="Heading2"/>
        <w:spacing w:line="276" w:lineRule="auto"/>
        <w:rPr>
          <w:rFonts w:asciiTheme="minorHAnsi" w:hAnsiTheme="minorHAnsi"/>
          <w:noProof/>
          <w:color w:val="4F81BD" w:themeColor="accent1"/>
          <w:sz w:val="28"/>
          <w:szCs w:val="24"/>
          <w:lang w:val="sq-AL"/>
        </w:rPr>
      </w:pPr>
      <w:bookmarkStart w:id="10" w:name="_Toc486582882"/>
      <w:r w:rsidRPr="005E6CF7">
        <w:rPr>
          <w:rFonts w:asciiTheme="minorHAnsi" w:hAnsiTheme="minorHAnsi"/>
          <w:noProof/>
          <w:color w:val="4F81BD" w:themeColor="accent1"/>
          <w:sz w:val="28"/>
          <w:szCs w:val="24"/>
          <w:lang w:val="sq-AL"/>
        </w:rPr>
        <w:t>III.</w:t>
      </w:r>
      <w:r w:rsidR="00787992" w:rsidRPr="005E6CF7">
        <w:rPr>
          <w:rFonts w:asciiTheme="minorHAnsi" w:hAnsiTheme="minorHAnsi"/>
          <w:noProof/>
          <w:color w:val="4F81BD" w:themeColor="accent1"/>
          <w:sz w:val="28"/>
          <w:szCs w:val="24"/>
          <w:lang w:val="sq-AL"/>
        </w:rPr>
        <w:t>1</w:t>
      </w:r>
      <w:r w:rsidR="00AE3C1B" w:rsidRPr="005E6CF7">
        <w:rPr>
          <w:rFonts w:asciiTheme="minorHAnsi" w:hAnsiTheme="minorHAnsi"/>
          <w:noProof/>
          <w:color w:val="4F81BD" w:themeColor="accent1"/>
          <w:sz w:val="28"/>
          <w:szCs w:val="24"/>
          <w:lang w:val="sq-AL"/>
        </w:rPr>
        <w:tab/>
      </w:r>
      <w:r w:rsidR="006C739C" w:rsidRPr="005E6CF7">
        <w:rPr>
          <w:rFonts w:asciiTheme="minorHAnsi" w:hAnsiTheme="minorHAnsi"/>
          <w:noProof/>
          <w:color w:val="4F81BD" w:themeColor="accent1"/>
          <w:sz w:val="28"/>
          <w:szCs w:val="24"/>
          <w:lang w:val="sq-AL"/>
        </w:rPr>
        <w:t>Punë dhe Investime konkrete,</w:t>
      </w:r>
      <w:r w:rsidR="00273119" w:rsidRPr="005E6CF7">
        <w:rPr>
          <w:rFonts w:asciiTheme="minorHAnsi" w:hAnsiTheme="minorHAnsi"/>
          <w:noProof/>
          <w:color w:val="4F81BD" w:themeColor="accent1"/>
          <w:sz w:val="28"/>
          <w:szCs w:val="24"/>
          <w:lang w:val="sq-AL"/>
        </w:rPr>
        <w:t xml:space="preserve"> të </w:t>
      </w:r>
      <w:r w:rsidRPr="005E6CF7">
        <w:rPr>
          <w:rFonts w:asciiTheme="minorHAnsi" w:hAnsiTheme="minorHAnsi"/>
          <w:noProof/>
          <w:color w:val="4F81BD" w:themeColor="accent1"/>
          <w:sz w:val="28"/>
          <w:szCs w:val="24"/>
          <w:lang w:val="sq-AL"/>
        </w:rPr>
        <w:t>realizuara gjat</w:t>
      </w:r>
      <w:r w:rsidR="006B2026" w:rsidRPr="005E6CF7">
        <w:rPr>
          <w:rFonts w:asciiTheme="minorHAnsi" w:hAnsiTheme="minorHAnsi"/>
          <w:noProof/>
          <w:color w:val="4F81BD" w:themeColor="accent1"/>
          <w:sz w:val="28"/>
          <w:szCs w:val="24"/>
          <w:lang w:val="sq-AL"/>
        </w:rPr>
        <w:t>ë</w:t>
      </w:r>
      <w:r w:rsidRPr="005E6CF7">
        <w:rPr>
          <w:rFonts w:asciiTheme="minorHAnsi" w:hAnsiTheme="minorHAnsi"/>
          <w:noProof/>
          <w:color w:val="4F81BD" w:themeColor="accent1"/>
          <w:sz w:val="28"/>
          <w:szCs w:val="24"/>
          <w:lang w:val="sq-AL"/>
        </w:rPr>
        <w:t xml:space="preserve"> janar-maj</w:t>
      </w:r>
      <w:r w:rsidR="00273119" w:rsidRPr="005E6CF7">
        <w:rPr>
          <w:rFonts w:asciiTheme="minorHAnsi" w:hAnsiTheme="minorHAnsi"/>
          <w:noProof/>
          <w:color w:val="4F81BD" w:themeColor="accent1"/>
          <w:sz w:val="28"/>
          <w:szCs w:val="24"/>
          <w:lang w:val="sq-AL"/>
        </w:rPr>
        <w:t xml:space="preserve"> 201</w:t>
      </w:r>
      <w:r w:rsidRPr="005E6CF7">
        <w:rPr>
          <w:rFonts w:asciiTheme="minorHAnsi" w:hAnsiTheme="minorHAnsi"/>
          <w:noProof/>
          <w:color w:val="4F81BD" w:themeColor="accent1"/>
          <w:sz w:val="28"/>
          <w:szCs w:val="24"/>
          <w:lang w:val="sq-AL"/>
        </w:rPr>
        <w:t>7</w:t>
      </w:r>
      <w:bookmarkEnd w:id="10"/>
    </w:p>
    <w:p w:rsidR="009F115E" w:rsidRPr="00923496" w:rsidRDefault="009F115E" w:rsidP="00A40986">
      <w:pPr>
        <w:spacing w:line="276" w:lineRule="auto"/>
        <w:jc w:val="both"/>
        <w:rPr>
          <w:rFonts w:asciiTheme="minorHAnsi" w:hAnsiTheme="minorHAnsi"/>
          <w:i/>
          <w:sz w:val="12"/>
          <w:highlight w:val="cyan"/>
          <w:u w:val="single"/>
          <w:lang w:val="sq-AL"/>
        </w:rPr>
      </w:pPr>
    </w:p>
    <w:p w:rsidR="00273119" w:rsidRPr="00D637D2" w:rsidRDefault="00273119" w:rsidP="00A40986">
      <w:pPr>
        <w:spacing w:line="276" w:lineRule="auto"/>
        <w:jc w:val="both"/>
        <w:rPr>
          <w:rFonts w:asciiTheme="minorHAnsi" w:hAnsiTheme="minorHAnsi"/>
          <w:i/>
          <w:u w:val="single"/>
          <w:lang w:val="sq-AL"/>
        </w:rPr>
      </w:pPr>
      <w:r w:rsidRPr="00D637D2">
        <w:rPr>
          <w:rFonts w:asciiTheme="minorHAnsi" w:hAnsiTheme="minorHAnsi"/>
          <w:i/>
          <w:u w:val="single"/>
          <w:lang w:val="sq-AL"/>
        </w:rPr>
        <w:t xml:space="preserve">Në fushën e </w:t>
      </w:r>
      <w:r w:rsidR="009F115E" w:rsidRPr="00D637D2">
        <w:rPr>
          <w:rFonts w:asciiTheme="minorHAnsi" w:hAnsiTheme="minorHAnsi"/>
          <w:i/>
          <w:u w:val="single"/>
          <w:lang w:val="sq-AL"/>
        </w:rPr>
        <w:t>A</w:t>
      </w:r>
      <w:r w:rsidRPr="00D637D2">
        <w:rPr>
          <w:rFonts w:asciiTheme="minorHAnsi" w:hAnsiTheme="minorHAnsi"/>
          <w:i/>
          <w:u w:val="single"/>
          <w:lang w:val="sq-AL"/>
        </w:rPr>
        <w:t xml:space="preserve">rsimit </w:t>
      </w:r>
    </w:p>
    <w:p w:rsid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sidRPr="00D637D2">
        <w:rPr>
          <w:rFonts w:asciiTheme="minorHAnsi" w:hAnsiTheme="minorHAnsi"/>
          <w:lang w:val="sq-AL"/>
        </w:rPr>
        <w:t xml:space="preserve">U sigurua rritja e numrit të fëmijëve që frekuentojnë arsimin parashkollor për vitin 2016-2017 me 4-5% ndaj vitit paraardhës. </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sidRPr="00D637D2">
        <w:rPr>
          <w:rFonts w:asciiTheme="minorHAnsi" w:hAnsiTheme="minorHAnsi"/>
          <w:lang w:val="sq-AL"/>
        </w:rPr>
        <w:t xml:space="preserve">U integrua kurrikula e re për për rreth 86,000 fëmijë/nxënës të grupmoshës 3-6 vjeç, dhe u realizuar trajnimi i 12 000 mësuesve për këtë kurrikul. </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Pr>
          <w:rFonts w:asciiTheme="minorHAnsi" w:hAnsiTheme="minorHAnsi"/>
          <w:lang w:val="sq-AL"/>
        </w:rPr>
        <w:t>U pilotuan p</w:t>
      </w:r>
      <w:r w:rsidRPr="00D637D2">
        <w:rPr>
          <w:rFonts w:asciiTheme="minorHAnsi" w:hAnsiTheme="minorHAnsi"/>
          <w:lang w:val="sq-AL"/>
        </w:rPr>
        <w:t>rogramet dhe fushat e të nxënit në 26 klasa të</w:t>
      </w:r>
      <w:r>
        <w:rPr>
          <w:rFonts w:asciiTheme="minorHAnsi" w:hAnsiTheme="minorHAnsi"/>
          <w:lang w:val="sq-AL"/>
        </w:rPr>
        <w:t xml:space="preserve"> treta dhe të teta në 13 DAR- e, si edhe</w:t>
      </w:r>
      <w:r w:rsidRPr="00D637D2">
        <w:rPr>
          <w:rFonts w:asciiTheme="minorHAnsi" w:hAnsiTheme="minorHAnsi"/>
          <w:lang w:val="sq-AL"/>
        </w:rPr>
        <w:t xml:space="preserve"> filloi implementimi i kurrikulës së re në kl</w:t>
      </w:r>
      <w:r>
        <w:rPr>
          <w:rFonts w:asciiTheme="minorHAnsi" w:hAnsiTheme="minorHAnsi"/>
          <w:lang w:val="sq-AL"/>
        </w:rPr>
        <w:t>as</w:t>
      </w:r>
      <w:r w:rsidR="000E3075">
        <w:rPr>
          <w:rFonts w:asciiTheme="minorHAnsi" w:hAnsiTheme="minorHAnsi"/>
          <w:lang w:val="sq-AL"/>
        </w:rPr>
        <w:t>ë</w:t>
      </w:r>
      <w:r>
        <w:rPr>
          <w:rFonts w:asciiTheme="minorHAnsi" w:hAnsiTheme="minorHAnsi"/>
          <w:lang w:val="sq-AL"/>
        </w:rPr>
        <w:t>n</w:t>
      </w:r>
      <w:r w:rsidRPr="00D637D2">
        <w:rPr>
          <w:rFonts w:asciiTheme="minorHAnsi" w:hAnsiTheme="minorHAnsi"/>
          <w:lang w:val="sq-AL"/>
        </w:rPr>
        <w:t xml:space="preserve"> 10 të gjimnazit.</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Pr>
          <w:rFonts w:asciiTheme="minorHAnsi" w:hAnsiTheme="minorHAnsi"/>
          <w:lang w:val="sq-AL"/>
        </w:rPr>
        <w:t>U</w:t>
      </w:r>
      <w:r w:rsidRPr="00D637D2">
        <w:rPr>
          <w:rFonts w:asciiTheme="minorHAnsi" w:hAnsiTheme="minorHAnsi"/>
          <w:lang w:val="sq-AL"/>
        </w:rPr>
        <w:t xml:space="preserve"> trajnuan 1</w:t>
      </w:r>
      <w:r w:rsidR="0011683A">
        <w:rPr>
          <w:rFonts w:asciiTheme="minorHAnsi" w:hAnsiTheme="minorHAnsi"/>
          <w:lang w:val="sq-AL"/>
        </w:rPr>
        <w:t>.</w:t>
      </w:r>
      <w:r w:rsidRPr="00D637D2">
        <w:rPr>
          <w:rFonts w:asciiTheme="minorHAnsi" w:hAnsiTheme="minorHAnsi"/>
          <w:lang w:val="sq-AL"/>
        </w:rPr>
        <w:t xml:space="preserve">302 drejtorë shkollash </w:t>
      </w:r>
      <w:r>
        <w:rPr>
          <w:rFonts w:asciiTheme="minorHAnsi" w:hAnsiTheme="minorHAnsi"/>
          <w:lang w:val="sq-AL"/>
        </w:rPr>
        <w:t>n</w:t>
      </w:r>
      <w:r w:rsidRPr="00D637D2">
        <w:rPr>
          <w:rFonts w:asciiTheme="minorHAnsi" w:hAnsiTheme="minorHAnsi"/>
          <w:lang w:val="sq-AL"/>
        </w:rPr>
        <w:t xml:space="preserve">ë </w:t>
      </w:r>
      <w:r>
        <w:rPr>
          <w:rFonts w:asciiTheme="minorHAnsi" w:hAnsiTheme="minorHAnsi"/>
          <w:lang w:val="sq-AL"/>
        </w:rPr>
        <w:t xml:space="preserve">muajin </w:t>
      </w:r>
      <w:r w:rsidRPr="00D637D2">
        <w:rPr>
          <w:rFonts w:asciiTheme="minorHAnsi" w:hAnsiTheme="minorHAnsi"/>
          <w:lang w:val="sq-AL"/>
        </w:rPr>
        <w:t xml:space="preserve">mars 2017, për </w:t>
      </w:r>
      <w:r>
        <w:rPr>
          <w:rFonts w:asciiTheme="minorHAnsi" w:hAnsiTheme="minorHAnsi"/>
          <w:lang w:val="sq-AL"/>
        </w:rPr>
        <w:t>s</w:t>
      </w:r>
      <w:r w:rsidRPr="00D637D2">
        <w:rPr>
          <w:rFonts w:asciiTheme="minorHAnsi" w:hAnsiTheme="minorHAnsi"/>
          <w:lang w:val="sq-AL"/>
        </w:rPr>
        <w:t xml:space="preserve">tandardet e performancës dhe kriteret e vlerësimit për drejtorët e shkollave. Ka filluar procedura për trajnimin e </w:t>
      </w:r>
      <w:r>
        <w:rPr>
          <w:rFonts w:asciiTheme="minorHAnsi" w:hAnsiTheme="minorHAnsi"/>
          <w:lang w:val="sq-AL"/>
        </w:rPr>
        <w:t xml:space="preserve">12.000 mësuesve të kl 2 dhe 7 për kurrikulën e re, ku </w:t>
      </w:r>
      <w:r w:rsidRPr="00D637D2">
        <w:rPr>
          <w:rFonts w:asciiTheme="minorHAnsi" w:hAnsiTheme="minorHAnsi"/>
          <w:lang w:val="sq-AL"/>
        </w:rPr>
        <w:t>do të përfshihen dhe 40 mësues të minoriteteve.</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sidRPr="00D637D2">
        <w:rPr>
          <w:rFonts w:asciiTheme="minorHAnsi" w:hAnsiTheme="minorHAnsi"/>
          <w:lang w:val="sq-AL"/>
        </w:rPr>
        <w:t>U sigurua kompensimi me një fond prej 340 milion lekë</w:t>
      </w:r>
      <w:r>
        <w:rPr>
          <w:rFonts w:asciiTheme="minorHAnsi" w:hAnsiTheme="minorHAnsi"/>
          <w:lang w:val="sq-AL"/>
        </w:rPr>
        <w:t>,</w:t>
      </w:r>
      <w:r w:rsidRPr="00D637D2">
        <w:rPr>
          <w:rFonts w:asciiTheme="minorHAnsi" w:hAnsiTheme="minorHAnsi"/>
          <w:lang w:val="sq-AL"/>
        </w:rPr>
        <w:t xml:space="preserve"> i çmimit të  teksteve shkollore për nxënësit nga klasa I-IX që ndjekin vitin shkollor 2016-2017</w:t>
      </w:r>
      <w:r>
        <w:rPr>
          <w:rFonts w:asciiTheme="minorHAnsi" w:hAnsiTheme="minorHAnsi"/>
          <w:lang w:val="sq-AL"/>
        </w:rPr>
        <w:t>,</w:t>
      </w:r>
      <w:r w:rsidRPr="00D637D2">
        <w:rPr>
          <w:rFonts w:asciiTheme="minorHAnsi" w:hAnsiTheme="minorHAnsi"/>
          <w:lang w:val="sq-AL"/>
        </w:rPr>
        <w:t xml:space="preserve"> për rreth 96,000 fëmijë ose në masën 100 % fëmijëve që vijnë nga </w:t>
      </w:r>
      <w:r>
        <w:rPr>
          <w:rFonts w:asciiTheme="minorHAnsi" w:hAnsiTheme="minorHAnsi"/>
          <w:lang w:val="sq-AL"/>
        </w:rPr>
        <w:t>shtresat n</w:t>
      </w:r>
      <w:r w:rsidR="000E3075">
        <w:rPr>
          <w:rFonts w:asciiTheme="minorHAnsi" w:hAnsiTheme="minorHAnsi"/>
          <w:lang w:val="sq-AL"/>
        </w:rPr>
        <w:t>ë</w:t>
      </w:r>
      <w:r>
        <w:rPr>
          <w:rFonts w:asciiTheme="minorHAnsi" w:hAnsiTheme="minorHAnsi"/>
          <w:lang w:val="sq-AL"/>
        </w:rPr>
        <w:t xml:space="preserve"> nevoj</w:t>
      </w:r>
      <w:r w:rsidR="000E3075">
        <w:rPr>
          <w:rFonts w:asciiTheme="minorHAnsi" w:hAnsiTheme="minorHAnsi"/>
          <w:lang w:val="sq-AL"/>
        </w:rPr>
        <w:t>ë</w:t>
      </w:r>
      <w:r>
        <w:rPr>
          <w:rFonts w:asciiTheme="minorHAnsi" w:hAnsiTheme="minorHAnsi"/>
          <w:lang w:val="sq-AL"/>
        </w:rPr>
        <w:t>.</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sidRPr="00D637D2">
        <w:rPr>
          <w:rFonts w:asciiTheme="minorHAnsi" w:hAnsiTheme="minorHAnsi"/>
          <w:lang w:val="sq-AL"/>
        </w:rPr>
        <w:t>U sigurua i transportit të nxënësve për ndjekjen e arsimit parashkollor dhe arsimi</w:t>
      </w:r>
      <w:r>
        <w:rPr>
          <w:rFonts w:asciiTheme="minorHAnsi" w:hAnsiTheme="minorHAnsi"/>
          <w:lang w:val="sq-AL"/>
        </w:rPr>
        <w:t>t bazë për rreth 31,000 fëmijë/</w:t>
      </w:r>
      <w:r w:rsidRPr="00D637D2">
        <w:rPr>
          <w:rFonts w:asciiTheme="minorHAnsi" w:hAnsiTheme="minorHAnsi"/>
          <w:lang w:val="sq-AL"/>
        </w:rPr>
        <w:t>nx</w:t>
      </w:r>
      <w:r w:rsidR="000E3075">
        <w:rPr>
          <w:rFonts w:asciiTheme="minorHAnsi" w:hAnsiTheme="minorHAnsi"/>
          <w:lang w:val="sq-AL"/>
        </w:rPr>
        <w:t>ë</w:t>
      </w:r>
      <w:r w:rsidRPr="00D637D2">
        <w:rPr>
          <w:rFonts w:asciiTheme="minorHAnsi" w:hAnsiTheme="minorHAnsi"/>
          <w:lang w:val="sq-AL"/>
        </w:rPr>
        <w:t>nës që mësojnë në një distancë prej më shumë se 2 km nga vendbanimi i përhershëm i tyre</w:t>
      </w:r>
      <w:r>
        <w:rPr>
          <w:rFonts w:asciiTheme="minorHAnsi" w:hAnsiTheme="minorHAnsi"/>
          <w:lang w:val="sq-AL"/>
        </w:rPr>
        <w:t>,</w:t>
      </w:r>
      <w:r w:rsidRPr="00D637D2">
        <w:rPr>
          <w:rFonts w:asciiTheme="minorHAnsi" w:hAnsiTheme="minorHAnsi"/>
          <w:lang w:val="sq-AL"/>
        </w:rPr>
        <w:t xml:space="preserve"> si dhe </w:t>
      </w:r>
      <w:r>
        <w:rPr>
          <w:rFonts w:asciiTheme="minorHAnsi" w:hAnsiTheme="minorHAnsi"/>
          <w:lang w:val="sq-AL"/>
        </w:rPr>
        <w:t xml:space="preserve">i </w:t>
      </w:r>
      <w:r w:rsidRPr="00D637D2">
        <w:rPr>
          <w:rFonts w:asciiTheme="minorHAnsi" w:hAnsiTheme="minorHAnsi"/>
          <w:lang w:val="sq-AL"/>
        </w:rPr>
        <w:t>rreth 11,000 mësuesve dhe edukatorëve që punojnë e banojnë më shumë se 5 km nga vendbanimi i tyre</w:t>
      </w:r>
      <w:r>
        <w:rPr>
          <w:rFonts w:asciiTheme="minorHAnsi" w:hAnsiTheme="minorHAnsi"/>
          <w:lang w:val="sq-AL"/>
        </w:rPr>
        <w:t>. M</w:t>
      </w:r>
      <w:r w:rsidRPr="00D637D2">
        <w:rPr>
          <w:rFonts w:asciiTheme="minorHAnsi" w:hAnsiTheme="minorHAnsi"/>
          <w:lang w:val="sq-AL"/>
        </w:rPr>
        <w:t>bulimi 100% i shpenzimeve të transporti</w:t>
      </w:r>
      <w:r>
        <w:rPr>
          <w:rFonts w:asciiTheme="minorHAnsi" w:hAnsiTheme="minorHAnsi"/>
          <w:lang w:val="sq-AL"/>
        </w:rPr>
        <w:t>t u realizua</w:t>
      </w:r>
      <w:r w:rsidRPr="00D637D2">
        <w:rPr>
          <w:rFonts w:asciiTheme="minorHAnsi" w:hAnsiTheme="minorHAnsi"/>
          <w:lang w:val="sq-AL"/>
        </w:rPr>
        <w:t xml:space="preserve"> me një fond prej 600 milion lekë </w:t>
      </w:r>
      <w:r>
        <w:rPr>
          <w:rFonts w:asciiTheme="minorHAnsi" w:hAnsiTheme="minorHAnsi"/>
          <w:lang w:val="sq-AL"/>
        </w:rPr>
        <w:t>nga buxheti i shtetit</w:t>
      </w:r>
      <w:r w:rsidRPr="00D637D2">
        <w:rPr>
          <w:rFonts w:asciiTheme="minorHAnsi" w:hAnsiTheme="minorHAnsi"/>
          <w:lang w:val="sq-AL"/>
        </w:rPr>
        <w:t>.</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sidRPr="00D637D2">
        <w:rPr>
          <w:rFonts w:asciiTheme="minorHAnsi" w:hAnsiTheme="minorHAnsi"/>
          <w:lang w:val="sq-AL"/>
        </w:rPr>
        <w:t xml:space="preserve">U sigurua regjistrimi në arsimin e mesëm </w:t>
      </w:r>
      <w:r>
        <w:rPr>
          <w:rFonts w:asciiTheme="minorHAnsi" w:hAnsiTheme="minorHAnsi"/>
          <w:lang w:val="sq-AL"/>
        </w:rPr>
        <w:t xml:space="preserve">i </w:t>
      </w:r>
      <w:r w:rsidRPr="00D637D2">
        <w:rPr>
          <w:rFonts w:asciiTheme="minorHAnsi" w:hAnsiTheme="minorHAnsi"/>
          <w:lang w:val="sq-AL"/>
        </w:rPr>
        <w:t>95%</w:t>
      </w:r>
      <w:r>
        <w:rPr>
          <w:rFonts w:asciiTheme="minorHAnsi" w:hAnsiTheme="minorHAnsi"/>
          <w:lang w:val="sq-AL"/>
        </w:rPr>
        <w:t xml:space="preserve"> t</w:t>
      </w:r>
      <w:r w:rsidR="000E3075">
        <w:rPr>
          <w:rFonts w:asciiTheme="minorHAnsi" w:hAnsiTheme="minorHAnsi"/>
          <w:lang w:val="sq-AL"/>
        </w:rPr>
        <w:t>ë</w:t>
      </w:r>
      <w:r>
        <w:rPr>
          <w:rFonts w:asciiTheme="minorHAnsi" w:hAnsiTheme="minorHAnsi"/>
          <w:lang w:val="sq-AL"/>
        </w:rPr>
        <w:t xml:space="preserve"> </w:t>
      </w:r>
      <w:r w:rsidRPr="00D637D2">
        <w:rPr>
          <w:rFonts w:asciiTheme="minorHAnsi" w:hAnsiTheme="minorHAnsi"/>
          <w:lang w:val="sq-AL"/>
        </w:rPr>
        <w:t>nxënësve që përfundojnë arsimin bazë, me synim</w:t>
      </w:r>
      <w:r>
        <w:rPr>
          <w:rFonts w:asciiTheme="minorHAnsi" w:hAnsiTheme="minorHAnsi"/>
          <w:lang w:val="sq-AL"/>
        </w:rPr>
        <w:t>in</w:t>
      </w:r>
      <w:r w:rsidRPr="00D637D2">
        <w:rPr>
          <w:rFonts w:asciiTheme="minorHAnsi" w:hAnsiTheme="minorHAnsi"/>
          <w:lang w:val="sq-AL"/>
        </w:rPr>
        <w:t xml:space="preserve"> që në vitin 2020 të arrijë në 100%, nga të cilët 65% të ndjekin arsimin e mesëm  “Gjimnaze” dhe 35% e tyre të regjistrohen dhe ndjekin arsimin profesional.  </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Pr>
          <w:rFonts w:asciiTheme="minorHAnsi" w:hAnsiTheme="minorHAnsi"/>
          <w:lang w:val="sq-AL"/>
        </w:rPr>
        <w:t xml:space="preserve">U </w:t>
      </w:r>
      <w:r w:rsidRPr="00D637D2">
        <w:rPr>
          <w:rFonts w:asciiTheme="minorHAnsi" w:hAnsiTheme="minorHAnsi"/>
          <w:lang w:val="sq-AL"/>
        </w:rPr>
        <w:t>sigurua</w:t>
      </w:r>
      <w:r>
        <w:rPr>
          <w:rFonts w:asciiTheme="minorHAnsi" w:hAnsiTheme="minorHAnsi"/>
          <w:lang w:val="sq-AL"/>
        </w:rPr>
        <w:t>n</w:t>
      </w:r>
      <w:r w:rsidRPr="00D637D2">
        <w:rPr>
          <w:rFonts w:asciiTheme="minorHAnsi" w:hAnsiTheme="minorHAnsi"/>
          <w:lang w:val="sq-AL"/>
        </w:rPr>
        <w:t xml:space="preserve"> të gjitha testet, trajnimet për personelin, si dhe materialet për realizimin e Maturës Shtetërore 2017. </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Pr>
          <w:rFonts w:asciiTheme="minorHAnsi" w:hAnsiTheme="minorHAnsi"/>
          <w:lang w:val="sq-AL"/>
        </w:rPr>
        <w:t>U realizua testimi</w:t>
      </w:r>
      <w:r w:rsidRPr="00D637D2">
        <w:rPr>
          <w:rFonts w:asciiTheme="minorHAnsi" w:hAnsiTheme="minorHAnsi"/>
          <w:lang w:val="sq-AL"/>
        </w:rPr>
        <w:t xml:space="preserve"> "Mësues për Shqipërinë" </w:t>
      </w:r>
      <w:r>
        <w:rPr>
          <w:rFonts w:asciiTheme="minorHAnsi" w:hAnsiTheme="minorHAnsi"/>
          <w:lang w:val="sq-AL"/>
        </w:rPr>
        <w:t>n</w:t>
      </w:r>
      <w:r w:rsidR="000E3075">
        <w:rPr>
          <w:rFonts w:asciiTheme="minorHAnsi" w:hAnsiTheme="minorHAnsi"/>
          <w:lang w:val="sq-AL"/>
        </w:rPr>
        <w:t>ë</w:t>
      </w:r>
      <w:r>
        <w:rPr>
          <w:rFonts w:asciiTheme="minorHAnsi" w:hAnsiTheme="minorHAnsi"/>
          <w:lang w:val="sq-AL"/>
        </w:rPr>
        <w:t xml:space="preserve"> j</w:t>
      </w:r>
      <w:r w:rsidRPr="00D637D2">
        <w:rPr>
          <w:rFonts w:asciiTheme="minorHAnsi" w:hAnsiTheme="minorHAnsi"/>
          <w:lang w:val="sq-AL"/>
        </w:rPr>
        <w:t>anar 2017</w:t>
      </w:r>
      <w:r>
        <w:rPr>
          <w:rFonts w:asciiTheme="minorHAnsi" w:hAnsiTheme="minorHAnsi"/>
          <w:lang w:val="sq-AL"/>
        </w:rPr>
        <w:t>,</w:t>
      </w:r>
      <w:r w:rsidRPr="00D637D2">
        <w:rPr>
          <w:rFonts w:asciiTheme="minorHAnsi" w:hAnsiTheme="minorHAnsi"/>
          <w:lang w:val="sq-AL"/>
        </w:rPr>
        <w:t xml:space="preserve"> në 40 profile të kandidateve për usht</w:t>
      </w:r>
      <w:r>
        <w:rPr>
          <w:rFonts w:asciiTheme="minorHAnsi" w:hAnsiTheme="minorHAnsi"/>
          <w:lang w:val="sq-AL"/>
        </w:rPr>
        <w:t>rimin e profesionit te mësuesit</w:t>
      </w:r>
      <w:r w:rsidRPr="00D637D2">
        <w:rPr>
          <w:rFonts w:asciiTheme="minorHAnsi" w:hAnsiTheme="minorHAnsi"/>
          <w:lang w:val="sq-AL"/>
        </w:rPr>
        <w:t>.</w:t>
      </w:r>
    </w:p>
    <w:p w:rsidR="00D637D2" w:rsidRPr="00D637D2" w:rsidRDefault="0011683A" w:rsidP="00D637D2">
      <w:pPr>
        <w:pStyle w:val="ListParagraph"/>
        <w:widowControl w:val="0"/>
        <w:numPr>
          <w:ilvl w:val="0"/>
          <w:numId w:val="16"/>
        </w:numPr>
        <w:spacing w:line="276" w:lineRule="auto"/>
        <w:ind w:left="270" w:hanging="270"/>
        <w:jc w:val="both"/>
        <w:rPr>
          <w:rFonts w:asciiTheme="minorHAnsi" w:hAnsiTheme="minorHAnsi"/>
          <w:lang w:val="sq-AL"/>
        </w:rPr>
      </w:pPr>
      <w:r>
        <w:rPr>
          <w:rFonts w:asciiTheme="minorHAnsi" w:hAnsiTheme="minorHAnsi"/>
          <w:lang w:val="sq-AL"/>
        </w:rPr>
        <w:t>U punësuan rreth 2.</w:t>
      </w:r>
      <w:r w:rsidR="00D637D2" w:rsidRPr="00D637D2">
        <w:rPr>
          <w:rFonts w:asciiTheme="minorHAnsi" w:hAnsiTheme="minorHAnsi"/>
          <w:lang w:val="sq-AL"/>
        </w:rPr>
        <w:t>826 mësues, përmes skemës së re të punësimit në p</w:t>
      </w:r>
      <w:r w:rsidR="00D637D2">
        <w:rPr>
          <w:rFonts w:asciiTheme="minorHAnsi" w:hAnsiTheme="minorHAnsi"/>
          <w:lang w:val="sq-AL"/>
        </w:rPr>
        <w:t>ortalin “Mësues për Shqipërinë”.</w:t>
      </w:r>
      <w:r w:rsidR="00D637D2" w:rsidRPr="00D637D2">
        <w:rPr>
          <w:rFonts w:asciiTheme="minorHAnsi" w:hAnsiTheme="minorHAnsi"/>
          <w:lang w:val="sq-AL"/>
        </w:rPr>
        <w:t xml:space="preserve"> </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Pr>
          <w:rFonts w:asciiTheme="minorHAnsi" w:hAnsiTheme="minorHAnsi"/>
          <w:lang w:val="sq-AL"/>
        </w:rPr>
        <w:t>U rrit n</w:t>
      </w:r>
      <w:r w:rsidR="000E3075">
        <w:rPr>
          <w:rFonts w:asciiTheme="minorHAnsi" w:hAnsiTheme="minorHAnsi"/>
          <w:lang w:val="sq-AL"/>
        </w:rPr>
        <w:t>ë</w:t>
      </w:r>
      <w:r>
        <w:rPr>
          <w:rFonts w:asciiTheme="minorHAnsi" w:hAnsiTheme="minorHAnsi"/>
          <w:lang w:val="sq-AL"/>
        </w:rPr>
        <w:t xml:space="preserve"> 310 numri i m</w:t>
      </w:r>
      <w:r w:rsidR="000E3075">
        <w:rPr>
          <w:rFonts w:asciiTheme="minorHAnsi" w:hAnsiTheme="minorHAnsi"/>
          <w:lang w:val="sq-AL"/>
        </w:rPr>
        <w:t>ë</w:t>
      </w:r>
      <w:r>
        <w:rPr>
          <w:rFonts w:asciiTheme="minorHAnsi" w:hAnsiTheme="minorHAnsi"/>
          <w:lang w:val="sq-AL"/>
        </w:rPr>
        <w:t xml:space="preserve">suesve </w:t>
      </w:r>
      <w:r w:rsidRPr="00D637D2">
        <w:rPr>
          <w:rFonts w:asciiTheme="minorHAnsi" w:hAnsiTheme="minorHAnsi"/>
          <w:lang w:val="sq-AL"/>
        </w:rPr>
        <w:t xml:space="preserve">ndihmës për fëmijët me aftësi të kufizuara </w:t>
      </w:r>
      <w:r w:rsidR="0011683A">
        <w:rPr>
          <w:rFonts w:asciiTheme="minorHAnsi" w:hAnsiTheme="minorHAnsi"/>
          <w:lang w:val="sq-AL"/>
        </w:rPr>
        <w:t>në arsimin bazë, p</w:t>
      </w:r>
      <w:r w:rsidRPr="00D637D2">
        <w:rPr>
          <w:rFonts w:asciiTheme="minorHAnsi" w:hAnsiTheme="minorHAnsi"/>
          <w:lang w:val="sq-AL"/>
        </w:rPr>
        <w:t>ë</w:t>
      </w:r>
      <w:r w:rsidR="0011683A">
        <w:rPr>
          <w:rFonts w:asciiTheme="minorHAnsi" w:hAnsiTheme="minorHAnsi"/>
          <w:lang w:val="sq-AL"/>
        </w:rPr>
        <w:t>r</w:t>
      </w:r>
      <w:r w:rsidRPr="00D637D2">
        <w:rPr>
          <w:rFonts w:asciiTheme="minorHAnsi" w:hAnsiTheme="minorHAnsi"/>
          <w:lang w:val="sq-AL"/>
        </w:rPr>
        <w:t xml:space="preserve"> vitin shkol</w:t>
      </w:r>
      <w:r w:rsidR="0011683A">
        <w:rPr>
          <w:rFonts w:asciiTheme="minorHAnsi" w:hAnsiTheme="minorHAnsi"/>
          <w:lang w:val="sq-AL"/>
        </w:rPr>
        <w:t>lor 2016-2017</w:t>
      </w:r>
      <w:r w:rsidRPr="00D637D2">
        <w:rPr>
          <w:rFonts w:asciiTheme="minorHAnsi" w:hAnsiTheme="minorHAnsi"/>
          <w:lang w:val="sq-AL"/>
        </w:rPr>
        <w:t xml:space="preserve">. </w:t>
      </w:r>
    </w:p>
    <w:p w:rsidR="0011683A" w:rsidRDefault="0011683A" w:rsidP="003E788A">
      <w:pPr>
        <w:pStyle w:val="ListParagraph"/>
        <w:widowControl w:val="0"/>
        <w:numPr>
          <w:ilvl w:val="0"/>
          <w:numId w:val="16"/>
        </w:numPr>
        <w:spacing w:line="276" w:lineRule="auto"/>
        <w:ind w:left="270" w:hanging="270"/>
        <w:jc w:val="both"/>
        <w:rPr>
          <w:rFonts w:asciiTheme="minorHAnsi" w:hAnsiTheme="minorHAnsi"/>
          <w:lang w:val="sq-AL"/>
        </w:rPr>
      </w:pPr>
      <w:r w:rsidRPr="0011683A">
        <w:rPr>
          <w:rFonts w:asciiTheme="minorHAnsi" w:hAnsiTheme="minorHAnsi"/>
          <w:lang w:val="sq-AL"/>
        </w:rPr>
        <w:t>U zbatua programi “</w:t>
      </w:r>
      <w:r w:rsidRPr="0011683A">
        <w:rPr>
          <w:rFonts w:asciiTheme="minorHAnsi" w:hAnsiTheme="minorHAnsi"/>
          <w:i/>
          <w:lang w:val="sq-AL"/>
        </w:rPr>
        <w:t>Edukimi, ndërgjegjësimi dhe reduktimi i kërkesës për drogë dhe substanca të tjera të rrezikshme</w:t>
      </w:r>
      <w:r w:rsidRPr="0011683A">
        <w:rPr>
          <w:rFonts w:asciiTheme="minorHAnsi" w:hAnsiTheme="minorHAnsi"/>
          <w:lang w:val="sq-AL"/>
        </w:rPr>
        <w:t>” n</w:t>
      </w:r>
      <w:r w:rsidR="00D637D2" w:rsidRPr="0011683A">
        <w:rPr>
          <w:rFonts w:asciiTheme="minorHAnsi" w:hAnsiTheme="minorHAnsi"/>
          <w:lang w:val="sq-AL"/>
        </w:rPr>
        <w:t xml:space="preserve">ë 365 shkolla 9-vjeçare publike dhe private të vendit, bazuar në marrëveshjen e bashkëpunimit </w:t>
      </w:r>
      <w:r w:rsidRPr="0011683A">
        <w:rPr>
          <w:rFonts w:asciiTheme="minorHAnsi" w:hAnsiTheme="minorHAnsi"/>
          <w:lang w:val="sq-AL"/>
        </w:rPr>
        <w:t xml:space="preserve">mes MAS dhe </w:t>
      </w:r>
      <w:r w:rsidR="00D637D2" w:rsidRPr="0011683A">
        <w:rPr>
          <w:rFonts w:asciiTheme="minorHAnsi" w:hAnsiTheme="minorHAnsi"/>
          <w:lang w:val="sq-AL"/>
        </w:rPr>
        <w:t xml:space="preserve">Drejtorisë së Përgjithshme të Policisë së Shtetit. </w:t>
      </w:r>
    </w:p>
    <w:p w:rsidR="00D637D2" w:rsidRPr="0011683A" w:rsidRDefault="00D637D2" w:rsidP="003E788A">
      <w:pPr>
        <w:pStyle w:val="ListParagraph"/>
        <w:widowControl w:val="0"/>
        <w:numPr>
          <w:ilvl w:val="0"/>
          <w:numId w:val="16"/>
        </w:numPr>
        <w:spacing w:line="276" w:lineRule="auto"/>
        <w:ind w:left="270" w:hanging="270"/>
        <w:jc w:val="both"/>
        <w:rPr>
          <w:rFonts w:asciiTheme="minorHAnsi" w:hAnsiTheme="minorHAnsi"/>
          <w:lang w:val="sq-AL"/>
        </w:rPr>
      </w:pPr>
      <w:r w:rsidRPr="0011683A">
        <w:rPr>
          <w:rFonts w:asciiTheme="minorHAnsi" w:hAnsiTheme="minorHAnsi"/>
          <w:lang w:val="sq-AL"/>
        </w:rPr>
        <w:t>U hartua dhe zbatua plani kombëtar i veprimit për nismën “Stop dhunës në shkollë”. Në këtë nismë u përfshinë 3</w:t>
      </w:r>
      <w:r w:rsidR="0011683A">
        <w:rPr>
          <w:rFonts w:asciiTheme="minorHAnsi" w:hAnsiTheme="minorHAnsi"/>
          <w:lang w:val="sq-AL"/>
        </w:rPr>
        <w:t>.</w:t>
      </w:r>
      <w:r w:rsidRPr="0011683A">
        <w:rPr>
          <w:rFonts w:asciiTheme="minorHAnsi" w:hAnsiTheme="minorHAnsi"/>
          <w:lang w:val="sq-AL"/>
        </w:rPr>
        <w:t>235 shkolla dhe kopshte publike, që përfshijnë 515</w:t>
      </w:r>
      <w:r w:rsidR="0011683A">
        <w:rPr>
          <w:rFonts w:asciiTheme="minorHAnsi" w:hAnsiTheme="minorHAnsi"/>
          <w:lang w:val="sq-AL"/>
        </w:rPr>
        <w:t>.</w:t>
      </w:r>
      <w:r w:rsidRPr="0011683A">
        <w:rPr>
          <w:rFonts w:asciiTheme="minorHAnsi" w:hAnsiTheme="minorHAnsi"/>
          <w:lang w:val="sq-AL"/>
        </w:rPr>
        <w:t>981 nxënës në të gjithë vendin.</w:t>
      </w:r>
    </w:p>
    <w:p w:rsidR="00D637D2" w:rsidRPr="00D637D2" w:rsidRDefault="0011683A" w:rsidP="00D637D2">
      <w:pPr>
        <w:pStyle w:val="ListParagraph"/>
        <w:widowControl w:val="0"/>
        <w:numPr>
          <w:ilvl w:val="0"/>
          <w:numId w:val="16"/>
        </w:numPr>
        <w:spacing w:line="276" w:lineRule="auto"/>
        <w:ind w:left="270" w:hanging="270"/>
        <w:jc w:val="both"/>
        <w:rPr>
          <w:rFonts w:asciiTheme="minorHAnsi" w:hAnsiTheme="minorHAnsi"/>
          <w:lang w:val="sq-AL"/>
        </w:rPr>
      </w:pPr>
      <w:r>
        <w:rPr>
          <w:rFonts w:asciiTheme="minorHAnsi" w:hAnsiTheme="minorHAnsi"/>
          <w:lang w:val="sq-AL"/>
        </w:rPr>
        <w:t>U trajnuan gjat</w:t>
      </w:r>
      <w:r w:rsidR="000E3075">
        <w:rPr>
          <w:rFonts w:asciiTheme="minorHAnsi" w:hAnsiTheme="minorHAnsi"/>
          <w:lang w:val="sq-AL"/>
        </w:rPr>
        <w:t>ë</w:t>
      </w:r>
      <w:r>
        <w:rPr>
          <w:rFonts w:asciiTheme="minorHAnsi" w:hAnsiTheme="minorHAnsi"/>
          <w:lang w:val="sq-AL"/>
        </w:rPr>
        <w:t xml:space="preserve"> </w:t>
      </w:r>
      <w:r w:rsidRPr="00D637D2">
        <w:rPr>
          <w:rFonts w:asciiTheme="minorHAnsi" w:hAnsiTheme="minorHAnsi"/>
          <w:lang w:val="sq-AL"/>
        </w:rPr>
        <w:t>periudhë</w:t>
      </w:r>
      <w:r>
        <w:rPr>
          <w:rFonts w:asciiTheme="minorHAnsi" w:hAnsiTheme="minorHAnsi"/>
          <w:lang w:val="sq-AL"/>
        </w:rPr>
        <w:t>s</w:t>
      </w:r>
      <w:r w:rsidRPr="00D637D2">
        <w:rPr>
          <w:rFonts w:asciiTheme="minorHAnsi" w:hAnsiTheme="minorHAnsi"/>
          <w:lang w:val="sq-AL"/>
        </w:rPr>
        <w:t xml:space="preserve"> shkurt-prill 2017 </w:t>
      </w:r>
      <w:r>
        <w:rPr>
          <w:rFonts w:asciiTheme="minorHAnsi" w:hAnsiTheme="minorHAnsi"/>
          <w:lang w:val="sq-AL"/>
        </w:rPr>
        <w:t xml:space="preserve">rreth </w:t>
      </w:r>
      <w:r w:rsidRPr="00D637D2">
        <w:rPr>
          <w:rFonts w:asciiTheme="minorHAnsi" w:hAnsiTheme="minorHAnsi"/>
          <w:lang w:val="sq-AL"/>
        </w:rPr>
        <w:t>60 psikologë dhe punonjës sociale të DAR Vlore, Fier dhe Berat</w:t>
      </w:r>
      <w:r>
        <w:rPr>
          <w:rFonts w:asciiTheme="minorHAnsi" w:hAnsiTheme="minorHAnsi"/>
          <w:lang w:val="sq-AL"/>
        </w:rPr>
        <w:t>,</w:t>
      </w:r>
      <w:r w:rsidR="00D637D2" w:rsidRPr="00D637D2">
        <w:rPr>
          <w:rFonts w:asciiTheme="minorHAnsi" w:hAnsiTheme="minorHAnsi"/>
          <w:lang w:val="sq-AL"/>
        </w:rPr>
        <w:t xml:space="preserve"> në bashkëpunim me Qendren Psiko-</w:t>
      </w:r>
      <w:r>
        <w:rPr>
          <w:rFonts w:asciiTheme="minorHAnsi" w:hAnsiTheme="minorHAnsi"/>
          <w:lang w:val="sq-AL"/>
        </w:rPr>
        <w:t>S</w:t>
      </w:r>
      <w:r w:rsidR="00D637D2" w:rsidRPr="00D637D2">
        <w:rPr>
          <w:rFonts w:asciiTheme="minorHAnsi" w:hAnsiTheme="minorHAnsi"/>
          <w:lang w:val="sq-AL"/>
        </w:rPr>
        <w:t>ociale “Vatra”</w:t>
      </w:r>
      <w:r>
        <w:rPr>
          <w:rFonts w:asciiTheme="minorHAnsi" w:hAnsiTheme="minorHAnsi"/>
          <w:lang w:val="sq-AL"/>
        </w:rPr>
        <w:t>,</w:t>
      </w:r>
      <w:r w:rsidR="00D637D2" w:rsidRPr="00D637D2">
        <w:rPr>
          <w:rFonts w:asciiTheme="minorHAnsi" w:hAnsiTheme="minorHAnsi"/>
          <w:lang w:val="sq-AL"/>
        </w:rPr>
        <w:t xml:space="preserve"> </w:t>
      </w:r>
      <w:r>
        <w:rPr>
          <w:rFonts w:asciiTheme="minorHAnsi" w:hAnsiTheme="minorHAnsi"/>
          <w:lang w:val="sq-AL"/>
        </w:rPr>
        <w:t>mbi</w:t>
      </w:r>
      <w:r w:rsidR="00D637D2" w:rsidRPr="00D637D2">
        <w:rPr>
          <w:rFonts w:asciiTheme="minorHAnsi" w:hAnsiTheme="minorHAnsi"/>
          <w:lang w:val="sq-AL"/>
        </w:rPr>
        <w:t xml:space="preserve"> rrezikun e trafikimit dhe të shfrytëzimit të qenieve njerëzore. </w:t>
      </w:r>
    </w:p>
    <w:p w:rsidR="00D637D2" w:rsidRPr="00D637D2" w:rsidRDefault="0011683A" w:rsidP="00D637D2">
      <w:pPr>
        <w:pStyle w:val="ListParagraph"/>
        <w:widowControl w:val="0"/>
        <w:numPr>
          <w:ilvl w:val="0"/>
          <w:numId w:val="16"/>
        </w:numPr>
        <w:spacing w:line="276" w:lineRule="auto"/>
        <w:ind w:left="270" w:hanging="270"/>
        <w:jc w:val="both"/>
        <w:rPr>
          <w:rFonts w:asciiTheme="minorHAnsi" w:hAnsiTheme="minorHAnsi"/>
          <w:lang w:val="sq-AL"/>
        </w:rPr>
      </w:pPr>
      <w:r>
        <w:rPr>
          <w:rFonts w:asciiTheme="minorHAnsi" w:hAnsiTheme="minorHAnsi"/>
          <w:lang w:val="sq-AL"/>
        </w:rPr>
        <w:t>U pajis</w:t>
      </w:r>
      <w:r w:rsidR="000E3075">
        <w:rPr>
          <w:rFonts w:asciiTheme="minorHAnsi" w:hAnsiTheme="minorHAnsi"/>
          <w:lang w:val="sq-AL"/>
        </w:rPr>
        <w:t>ë</w:t>
      </w:r>
      <w:r>
        <w:rPr>
          <w:rFonts w:asciiTheme="minorHAnsi" w:hAnsiTheme="minorHAnsi"/>
          <w:lang w:val="sq-AL"/>
        </w:rPr>
        <w:t xml:space="preserve">n </w:t>
      </w:r>
      <w:r w:rsidRPr="00D637D2">
        <w:rPr>
          <w:rFonts w:asciiTheme="minorHAnsi" w:hAnsiTheme="minorHAnsi"/>
          <w:lang w:val="sq-AL"/>
        </w:rPr>
        <w:t xml:space="preserve">me tekste shkollore falas </w:t>
      </w:r>
      <w:r>
        <w:rPr>
          <w:rFonts w:asciiTheme="minorHAnsi" w:hAnsiTheme="minorHAnsi"/>
          <w:lang w:val="sq-AL"/>
        </w:rPr>
        <w:t xml:space="preserve">rreth </w:t>
      </w:r>
      <w:r w:rsidRPr="00D637D2">
        <w:rPr>
          <w:rFonts w:asciiTheme="minorHAnsi" w:hAnsiTheme="minorHAnsi"/>
          <w:lang w:val="sq-AL"/>
        </w:rPr>
        <w:t>3</w:t>
      </w:r>
      <w:r>
        <w:rPr>
          <w:rFonts w:asciiTheme="minorHAnsi" w:hAnsiTheme="minorHAnsi"/>
          <w:lang w:val="sq-AL"/>
        </w:rPr>
        <w:t>.</w:t>
      </w:r>
      <w:r w:rsidRPr="00D637D2">
        <w:rPr>
          <w:rFonts w:asciiTheme="minorHAnsi" w:hAnsiTheme="minorHAnsi"/>
          <w:lang w:val="sq-AL"/>
        </w:rPr>
        <w:t>444 nxënës romë dhe 5</w:t>
      </w:r>
      <w:r>
        <w:rPr>
          <w:rFonts w:asciiTheme="minorHAnsi" w:hAnsiTheme="minorHAnsi"/>
          <w:lang w:val="sq-AL"/>
        </w:rPr>
        <w:t>.</w:t>
      </w:r>
      <w:r w:rsidRPr="00D637D2">
        <w:rPr>
          <w:rFonts w:asciiTheme="minorHAnsi" w:hAnsiTheme="minorHAnsi"/>
          <w:lang w:val="sq-AL"/>
        </w:rPr>
        <w:t xml:space="preserve">833 nxënës egjiptianë </w:t>
      </w:r>
      <w:r>
        <w:rPr>
          <w:rFonts w:asciiTheme="minorHAnsi" w:hAnsiTheme="minorHAnsi"/>
          <w:lang w:val="sq-AL"/>
        </w:rPr>
        <w:t>p</w:t>
      </w:r>
      <w:r w:rsidR="000E3075">
        <w:rPr>
          <w:rFonts w:asciiTheme="minorHAnsi" w:hAnsiTheme="minorHAnsi"/>
          <w:lang w:val="sq-AL"/>
        </w:rPr>
        <w:t>ë</w:t>
      </w:r>
      <w:r>
        <w:rPr>
          <w:rFonts w:asciiTheme="minorHAnsi" w:hAnsiTheme="minorHAnsi"/>
          <w:lang w:val="sq-AL"/>
        </w:rPr>
        <w:t xml:space="preserve">r </w:t>
      </w:r>
      <w:r w:rsidR="00D637D2" w:rsidRPr="00D637D2">
        <w:rPr>
          <w:rFonts w:asciiTheme="minorHAnsi" w:hAnsiTheme="minorHAnsi"/>
          <w:lang w:val="sq-AL"/>
        </w:rPr>
        <w:t>vitin shkollor 2016-2017</w:t>
      </w:r>
      <w:r>
        <w:rPr>
          <w:rFonts w:asciiTheme="minorHAnsi" w:hAnsiTheme="minorHAnsi"/>
          <w:lang w:val="sq-AL"/>
        </w:rPr>
        <w:t xml:space="preserve">, si edhe </w:t>
      </w:r>
      <w:r w:rsidR="00D637D2" w:rsidRPr="00D637D2">
        <w:rPr>
          <w:rFonts w:asciiTheme="minorHAnsi" w:hAnsiTheme="minorHAnsi"/>
          <w:lang w:val="sq-AL"/>
        </w:rPr>
        <w:t>u sigur</w:t>
      </w:r>
      <w:r>
        <w:rPr>
          <w:rFonts w:asciiTheme="minorHAnsi" w:hAnsiTheme="minorHAnsi"/>
          <w:lang w:val="sq-AL"/>
        </w:rPr>
        <w:t>ua</w:t>
      </w:r>
      <w:r w:rsidR="00D637D2" w:rsidRPr="00D637D2">
        <w:rPr>
          <w:rFonts w:asciiTheme="minorHAnsi" w:hAnsiTheme="minorHAnsi"/>
          <w:lang w:val="sq-AL"/>
        </w:rPr>
        <w:t xml:space="preserve"> transport</w:t>
      </w:r>
      <w:r>
        <w:rPr>
          <w:rFonts w:asciiTheme="minorHAnsi" w:hAnsiTheme="minorHAnsi"/>
          <w:lang w:val="sq-AL"/>
        </w:rPr>
        <w:t>i</w:t>
      </w:r>
      <w:r w:rsidR="00D637D2" w:rsidRPr="00D637D2">
        <w:rPr>
          <w:rFonts w:asciiTheme="minorHAnsi" w:hAnsiTheme="minorHAnsi"/>
          <w:lang w:val="sq-AL"/>
        </w:rPr>
        <w:t xml:space="preserve"> falas </w:t>
      </w:r>
      <w:r>
        <w:rPr>
          <w:rFonts w:asciiTheme="minorHAnsi" w:hAnsiTheme="minorHAnsi"/>
          <w:lang w:val="sq-AL"/>
        </w:rPr>
        <w:t>p</w:t>
      </w:r>
      <w:r w:rsidR="000E3075">
        <w:rPr>
          <w:rFonts w:asciiTheme="minorHAnsi" w:hAnsiTheme="minorHAnsi"/>
          <w:lang w:val="sq-AL"/>
        </w:rPr>
        <w:t>ë</w:t>
      </w:r>
      <w:r>
        <w:rPr>
          <w:rFonts w:asciiTheme="minorHAnsi" w:hAnsiTheme="minorHAnsi"/>
          <w:lang w:val="sq-AL"/>
        </w:rPr>
        <w:t xml:space="preserve">r </w:t>
      </w:r>
      <w:r w:rsidR="00D637D2" w:rsidRPr="00D637D2">
        <w:rPr>
          <w:rFonts w:asciiTheme="minorHAnsi" w:hAnsiTheme="minorHAnsi"/>
          <w:lang w:val="sq-AL"/>
        </w:rPr>
        <w:t>të gjithë fëmijë</w:t>
      </w:r>
      <w:r>
        <w:rPr>
          <w:rFonts w:asciiTheme="minorHAnsi" w:hAnsiTheme="minorHAnsi"/>
          <w:lang w:val="sq-AL"/>
        </w:rPr>
        <w:t>t</w:t>
      </w:r>
      <w:r w:rsidR="00D637D2" w:rsidRPr="00D637D2">
        <w:rPr>
          <w:rFonts w:asciiTheme="minorHAnsi" w:hAnsiTheme="minorHAnsi"/>
          <w:lang w:val="sq-AL"/>
        </w:rPr>
        <w:t xml:space="preserve"> </w:t>
      </w:r>
      <w:r>
        <w:rPr>
          <w:rFonts w:asciiTheme="minorHAnsi" w:hAnsiTheme="minorHAnsi"/>
          <w:lang w:val="sq-AL"/>
        </w:rPr>
        <w:t>dhe</w:t>
      </w:r>
      <w:r w:rsidR="00D637D2" w:rsidRPr="00D637D2">
        <w:rPr>
          <w:rFonts w:asciiTheme="minorHAnsi" w:hAnsiTheme="minorHAnsi"/>
          <w:lang w:val="sq-AL"/>
        </w:rPr>
        <w:t xml:space="preserve"> nxënës</w:t>
      </w:r>
      <w:r>
        <w:rPr>
          <w:rFonts w:asciiTheme="minorHAnsi" w:hAnsiTheme="minorHAnsi"/>
          <w:lang w:val="sq-AL"/>
        </w:rPr>
        <w:t>it rome/</w:t>
      </w:r>
      <w:r w:rsidR="00D637D2" w:rsidRPr="00D637D2">
        <w:rPr>
          <w:rFonts w:asciiTheme="minorHAnsi" w:hAnsiTheme="minorHAnsi"/>
          <w:lang w:val="sq-AL"/>
        </w:rPr>
        <w:t>egjiptianë në kopshte e shkolla që udhëtojnë në largësinë mbi 2 km nga shtëpia.</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sidRPr="00D637D2">
        <w:rPr>
          <w:rFonts w:asciiTheme="minorHAnsi" w:hAnsiTheme="minorHAnsi"/>
          <w:lang w:val="sq-AL"/>
        </w:rPr>
        <w:t xml:space="preserve">U sigurua rritja e mbështetjes financiare </w:t>
      </w:r>
      <w:r w:rsidR="0011683A" w:rsidRPr="00D637D2">
        <w:rPr>
          <w:rFonts w:asciiTheme="minorHAnsi" w:hAnsiTheme="minorHAnsi"/>
          <w:lang w:val="sq-AL"/>
        </w:rPr>
        <w:t xml:space="preserve">me një fond prej 400 milion lekë </w:t>
      </w:r>
      <w:r w:rsidRPr="00D637D2">
        <w:rPr>
          <w:rFonts w:asciiTheme="minorHAnsi" w:hAnsiTheme="minorHAnsi"/>
          <w:lang w:val="sq-AL"/>
        </w:rPr>
        <w:t xml:space="preserve">për </w:t>
      </w:r>
      <w:r w:rsidR="0011683A">
        <w:rPr>
          <w:rFonts w:asciiTheme="minorHAnsi" w:hAnsiTheme="minorHAnsi"/>
          <w:lang w:val="sq-AL"/>
        </w:rPr>
        <w:t xml:space="preserve">bursat e </w:t>
      </w:r>
      <w:r w:rsidRPr="00D637D2">
        <w:rPr>
          <w:rFonts w:asciiTheme="minorHAnsi" w:hAnsiTheme="minorHAnsi"/>
          <w:lang w:val="sq-AL"/>
        </w:rPr>
        <w:t>studentë</w:t>
      </w:r>
      <w:r w:rsidR="0011683A">
        <w:rPr>
          <w:rFonts w:asciiTheme="minorHAnsi" w:hAnsiTheme="minorHAnsi"/>
          <w:lang w:val="sq-AL"/>
        </w:rPr>
        <w:t>ve</w:t>
      </w:r>
      <w:r w:rsidRPr="00D637D2">
        <w:rPr>
          <w:rFonts w:asciiTheme="minorHAnsi" w:hAnsiTheme="minorHAnsi"/>
          <w:lang w:val="sq-AL"/>
        </w:rPr>
        <w:t xml:space="preserve"> </w:t>
      </w:r>
      <w:r w:rsidR="0011683A">
        <w:rPr>
          <w:rFonts w:asciiTheme="minorHAnsi" w:hAnsiTheme="minorHAnsi"/>
          <w:lang w:val="sq-AL"/>
        </w:rPr>
        <w:t>t</w:t>
      </w:r>
      <w:r w:rsidR="000E3075">
        <w:rPr>
          <w:rFonts w:asciiTheme="minorHAnsi" w:hAnsiTheme="minorHAnsi"/>
          <w:lang w:val="sq-AL"/>
        </w:rPr>
        <w:t>ë</w:t>
      </w:r>
      <w:r w:rsidRPr="00D637D2">
        <w:rPr>
          <w:rFonts w:asciiTheme="minorHAnsi" w:hAnsiTheme="minorHAnsi"/>
          <w:lang w:val="sq-AL"/>
        </w:rPr>
        <w:t xml:space="preserve"> shkëlqyer, </w:t>
      </w:r>
      <w:r w:rsidR="0011683A">
        <w:rPr>
          <w:rFonts w:asciiTheme="minorHAnsi" w:hAnsiTheme="minorHAnsi"/>
          <w:lang w:val="sq-AL"/>
        </w:rPr>
        <w:t xml:space="preserve">atyre </w:t>
      </w:r>
      <w:r w:rsidRPr="00D637D2">
        <w:rPr>
          <w:rFonts w:asciiTheme="minorHAnsi" w:hAnsiTheme="minorHAnsi"/>
          <w:lang w:val="sq-AL"/>
        </w:rPr>
        <w:t>që studiojnë në programe studimi në fushat prioritare</w:t>
      </w:r>
      <w:r w:rsidR="0011683A">
        <w:rPr>
          <w:rFonts w:asciiTheme="minorHAnsi" w:hAnsiTheme="minorHAnsi"/>
          <w:lang w:val="sq-AL"/>
        </w:rPr>
        <w:t>,</w:t>
      </w:r>
      <w:r w:rsidRPr="00D637D2">
        <w:rPr>
          <w:rFonts w:asciiTheme="minorHAnsi" w:hAnsiTheme="minorHAnsi"/>
          <w:lang w:val="sq-AL"/>
        </w:rPr>
        <w:t xml:space="preserve"> dhe studentë</w:t>
      </w:r>
      <w:r w:rsidR="0011683A">
        <w:rPr>
          <w:rFonts w:asciiTheme="minorHAnsi" w:hAnsiTheme="minorHAnsi"/>
          <w:lang w:val="sq-AL"/>
        </w:rPr>
        <w:t>ve</w:t>
      </w:r>
      <w:r w:rsidRPr="00D637D2">
        <w:rPr>
          <w:rFonts w:asciiTheme="minorHAnsi" w:hAnsiTheme="minorHAnsi"/>
          <w:lang w:val="sq-AL"/>
        </w:rPr>
        <w:t xml:space="preserve"> në</w:t>
      </w:r>
      <w:r w:rsidR="0011683A">
        <w:rPr>
          <w:rFonts w:asciiTheme="minorHAnsi" w:hAnsiTheme="minorHAnsi"/>
          <w:lang w:val="sq-AL"/>
        </w:rPr>
        <w:t xml:space="preserve"> </w:t>
      </w:r>
      <w:r w:rsidRPr="00D637D2">
        <w:rPr>
          <w:rFonts w:asciiTheme="minorHAnsi" w:hAnsiTheme="minorHAnsi"/>
          <w:lang w:val="sq-AL"/>
        </w:rPr>
        <w:t xml:space="preserve">nevojë. </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sidRPr="00D637D2">
        <w:rPr>
          <w:rFonts w:asciiTheme="minorHAnsi" w:hAnsiTheme="minorHAnsi"/>
          <w:lang w:val="sq-AL"/>
        </w:rPr>
        <w:t>U realizuan procedurat për studentët që përjashtohen nga tarifa vjetore e shkollimit për përcaktimin e kategorive të individëve që plotësojnë kriteret e pranimit në një program të ciklit të parë të studimeve, në një program të integruar të studimeve ose në një program të studimeve profesionale, duke siguruar trajtim për rreth 5000-6000 studentë që vijojnë studimet me tarifa zero.</w:t>
      </w:r>
    </w:p>
    <w:p w:rsidR="00D637D2" w:rsidRPr="00D637D2" w:rsidRDefault="00D637D2" w:rsidP="00D637D2">
      <w:pPr>
        <w:pStyle w:val="ListParagraph"/>
        <w:widowControl w:val="0"/>
        <w:numPr>
          <w:ilvl w:val="0"/>
          <w:numId w:val="16"/>
        </w:numPr>
        <w:spacing w:line="276" w:lineRule="auto"/>
        <w:ind w:left="270" w:hanging="270"/>
        <w:jc w:val="both"/>
        <w:rPr>
          <w:rFonts w:asciiTheme="minorHAnsi" w:hAnsiTheme="minorHAnsi"/>
          <w:lang w:val="sq-AL"/>
        </w:rPr>
      </w:pPr>
      <w:r w:rsidRPr="00D637D2">
        <w:rPr>
          <w:rFonts w:asciiTheme="minorHAnsi" w:hAnsiTheme="minorHAnsi"/>
          <w:lang w:val="sq-AL"/>
        </w:rPr>
        <w:t>U sigurua mbështetj</w:t>
      </w:r>
      <w:r w:rsidR="0011683A">
        <w:rPr>
          <w:rFonts w:asciiTheme="minorHAnsi" w:hAnsiTheme="minorHAnsi"/>
          <w:lang w:val="sq-AL"/>
        </w:rPr>
        <w:t>a</w:t>
      </w:r>
      <w:r w:rsidRPr="00D637D2">
        <w:rPr>
          <w:rFonts w:asciiTheme="minorHAnsi" w:hAnsiTheme="minorHAnsi"/>
          <w:lang w:val="sq-AL"/>
        </w:rPr>
        <w:t xml:space="preserve"> financiare për marrëveshjen “Horizon 2020”, me një fond prej 140 milion lekë, për pjesëmarrjen në programi</w:t>
      </w:r>
      <w:r w:rsidR="0011683A">
        <w:rPr>
          <w:rFonts w:asciiTheme="minorHAnsi" w:hAnsiTheme="minorHAnsi"/>
          <w:lang w:val="sq-AL"/>
        </w:rPr>
        <w:t>n</w:t>
      </w:r>
      <w:r w:rsidRPr="00D637D2">
        <w:rPr>
          <w:rFonts w:asciiTheme="minorHAnsi" w:hAnsiTheme="minorHAnsi"/>
          <w:lang w:val="sq-AL"/>
        </w:rPr>
        <w:t xml:space="preserve"> </w:t>
      </w:r>
      <w:r w:rsidR="0011683A">
        <w:rPr>
          <w:rFonts w:asciiTheme="minorHAnsi" w:hAnsiTheme="minorHAnsi"/>
          <w:lang w:val="sq-AL"/>
        </w:rPr>
        <w:t>e</w:t>
      </w:r>
      <w:r w:rsidRPr="00D637D2">
        <w:rPr>
          <w:rFonts w:asciiTheme="minorHAnsi" w:hAnsiTheme="minorHAnsi"/>
          <w:lang w:val="sq-AL"/>
        </w:rPr>
        <w:t xml:space="preserve"> BE-së </w:t>
      </w:r>
      <w:r w:rsidR="0011683A">
        <w:rPr>
          <w:rFonts w:asciiTheme="minorHAnsi" w:hAnsiTheme="minorHAnsi"/>
          <w:lang w:val="sq-AL"/>
        </w:rPr>
        <w:t>“P</w:t>
      </w:r>
      <w:r w:rsidRPr="00D637D2">
        <w:rPr>
          <w:rFonts w:asciiTheme="minorHAnsi" w:hAnsiTheme="minorHAnsi"/>
          <w:lang w:val="sq-AL"/>
        </w:rPr>
        <w:t>ër Kërkim dhe Inovacion</w:t>
      </w:r>
      <w:r w:rsidR="0011683A">
        <w:rPr>
          <w:rFonts w:asciiTheme="minorHAnsi" w:hAnsiTheme="minorHAnsi"/>
          <w:lang w:val="sq-AL"/>
        </w:rPr>
        <w:t>”</w:t>
      </w:r>
      <w:r w:rsidRPr="00D637D2">
        <w:rPr>
          <w:rFonts w:asciiTheme="minorHAnsi" w:hAnsiTheme="minorHAnsi"/>
          <w:lang w:val="sq-AL"/>
        </w:rPr>
        <w:t xml:space="preserve"> të të gjithë kërkuesve e shkencëtarëve dhe institucioneve kërkimore shkencore, i cili premton arritje të mëdha në kërkimin shkencor dhe synon sigurimin e konkurrueshmërisë së Europës në nivel global.</w:t>
      </w:r>
    </w:p>
    <w:p w:rsidR="00D637D2" w:rsidRPr="000E3075" w:rsidRDefault="00D637D2" w:rsidP="00A40986">
      <w:pPr>
        <w:spacing w:line="276" w:lineRule="auto"/>
        <w:jc w:val="both"/>
        <w:rPr>
          <w:rFonts w:asciiTheme="minorHAnsi" w:hAnsiTheme="minorHAnsi"/>
          <w:i/>
          <w:sz w:val="20"/>
          <w:u w:val="single"/>
          <w:lang w:val="sq-AL"/>
        </w:rPr>
      </w:pPr>
    </w:p>
    <w:p w:rsidR="00273119" w:rsidRPr="00CB4875" w:rsidRDefault="00273119" w:rsidP="00A40986">
      <w:pPr>
        <w:spacing w:line="276" w:lineRule="auto"/>
        <w:jc w:val="both"/>
        <w:rPr>
          <w:rFonts w:asciiTheme="minorHAnsi" w:hAnsiTheme="minorHAnsi"/>
          <w:i/>
          <w:u w:val="single"/>
          <w:lang w:val="sq-AL"/>
        </w:rPr>
      </w:pPr>
      <w:r w:rsidRPr="00CB4875">
        <w:rPr>
          <w:rFonts w:asciiTheme="minorHAnsi" w:hAnsiTheme="minorHAnsi"/>
          <w:i/>
          <w:u w:val="single"/>
          <w:lang w:val="sq-AL"/>
        </w:rPr>
        <w:t xml:space="preserve">Në fushën e </w:t>
      </w:r>
      <w:r w:rsidR="009F115E" w:rsidRPr="00CB4875">
        <w:rPr>
          <w:rFonts w:asciiTheme="minorHAnsi" w:hAnsiTheme="minorHAnsi"/>
          <w:i/>
          <w:u w:val="single"/>
          <w:lang w:val="sq-AL"/>
        </w:rPr>
        <w:t>S</w:t>
      </w:r>
      <w:r w:rsidRPr="00CB4875">
        <w:rPr>
          <w:rFonts w:asciiTheme="minorHAnsi" w:hAnsiTheme="minorHAnsi"/>
          <w:i/>
          <w:u w:val="single"/>
          <w:lang w:val="sq-AL"/>
        </w:rPr>
        <w:t>hëndetësisë</w:t>
      </w:r>
    </w:p>
    <w:p w:rsidR="00CA470E" w:rsidRPr="00444289" w:rsidRDefault="00CA470E"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Zgjerimi i program</w:t>
      </w:r>
      <w:r w:rsidR="00465363" w:rsidRPr="00444289">
        <w:rPr>
          <w:rFonts w:asciiTheme="minorHAnsi" w:hAnsiTheme="minorHAnsi"/>
          <w:lang w:val="sq-AL"/>
        </w:rPr>
        <w:t>i</w:t>
      </w:r>
      <w:r w:rsidRPr="00444289">
        <w:rPr>
          <w:rFonts w:asciiTheme="minorHAnsi" w:hAnsiTheme="minorHAnsi"/>
          <w:lang w:val="sq-AL"/>
        </w:rPr>
        <w:t xml:space="preserve">t të kontrollit bazë për grupmoshat , nga 40-65 vjeç ne 35-70 vjeç. </w:t>
      </w:r>
    </w:p>
    <w:p w:rsidR="00CA470E" w:rsidRPr="00444289" w:rsidRDefault="00CA470E"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 xml:space="preserve">Është drejt përfundimit rikonstruksioni i ambienteve të reanimacionit të spitalit Shkodër. </w:t>
      </w:r>
    </w:p>
    <w:p w:rsidR="00CA470E" w:rsidRPr="00444289" w:rsidRDefault="00CA470E"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 xml:space="preserve">Vijon zbatimi i investimit për ndërtimin e maternitetit të ri, shtesë 2 kate dhe rikonstruksion i repartit kirurgji+patologji në spitalin e Sarandës, me një vlerë totale prej rreth 222 milionë </w:t>
      </w:r>
      <w:r w:rsidR="00C8213D">
        <w:rPr>
          <w:rFonts w:asciiTheme="minorHAnsi" w:hAnsiTheme="minorHAnsi"/>
          <w:lang w:val="sq-AL"/>
        </w:rPr>
        <w:t>LEK</w:t>
      </w:r>
      <w:r w:rsidRPr="00444289">
        <w:rPr>
          <w:rFonts w:asciiTheme="minorHAnsi" w:hAnsiTheme="minorHAnsi"/>
          <w:lang w:val="sq-AL"/>
        </w:rPr>
        <w:t xml:space="preserve">, nga të cilat 56 milionë </w:t>
      </w:r>
      <w:r w:rsidR="00C8213D">
        <w:rPr>
          <w:rFonts w:asciiTheme="minorHAnsi" w:hAnsiTheme="minorHAnsi"/>
          <w:lang w:val="sq-AL"/>
        </w:rPr>
        <w:t>LEK</w:t>
      </w:r>
      <w:r w:rsidRPr="00444289">
        <w:rPr>
          <w:rFonts w:asciiTheme="minorHAnsi" w:hAnsiTheme="minorHAnsi"/>
          <w:lang w:val="sq-AL"/>
        </w:rPr>
        <w:t xml:space="preserve"> janë për vazhdimin e punimeve për vitin 2017.</w:t>
      </w:r>
    </w:p>
    <w:p w:rsidR="00CA470E" w:rsidRPr="00444289" w:rsidRDefault="00CA470E"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 xml:space="preserve">Vazhdojnë punimet për rikonstruksionin e ambjenteve egzistuese dhe shtesë ambjentesh të reja në spitalin Universitar të Traumës. </w:t>
      </w:r>
    </w:p>
    <w:p w:rsidR="00CA470E" w:rsidRPr="00444289" w:rsidRDefault="00CA470E"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Ka filluar puna për sistemin on-line të raportimit të informacionit shëndetësor dhe monitorimit të indikatorëve të performancës së sistemit shendetesor.</w:t>
      </w:r>
    </w:p>
    <w:p w:rsidR="00923496" w:rsidRPr="00923496" w:rsidRDefault="00923496" w:rsidP="00A40986">
      <w:pPr>
        <w:spacing w:line="276" w:lineRule="auto"/>
        <w:jc w:val="both"/>
        <w:rPr>
          <w:rFonts w:asciiTheme="minorHAnsi" w:hAnsiTheme="minorHAnsi"/>
          <w:i/>
          <w:sz w:val="20"/>
          <w:u w:val="single"/>
          <w:lang w:val="sq-AL"/>
        </w:rPr>
      </w:pPr>
    </w:p>
    <w:p w:rsidR="00273119" w:rsidRPr="00444289" w:rsidRDefault="00273119" w:rsidP="00A40986">
      <w:pPr>
        <w:spacing w:line="276" w:lineRule="auto"/>
        <w:jc w:val="both"/>
        <w:rPr>
          <w:rFonts w:asciiTheme="minorHAnsi" w:hAnsiTheme="minorHAnsi"/>
          <w:lang w:val="sq-AL"/>
        </w:rPr>
      </w:pPr>
      <w:r w:rsidRPr="00444289">
        <w:rPr>
          <w:rFonts w:asciiTheme="minorHAnsi" w:hAnsiTheme="minorHAnsi"/>
          <w:i/>
          <w:u w:val="single"/>
          <w:lang w:val="sq-AL"/>
        </w:rPr>
        <w:t xml:space="preserve">Në fushën e </w:t>
      </w:r>
      <w:r w:rsidR="009F115E" w:rsidRPr="00444289">
        <w:rPr>
          <w:rFonts w:asciiTheme="minorHAnsi" w:hAnsiTheme="minorHAnsi"/>
          <w:i/>
          <w:u w:val="single"/>
          <w:lang w:val="sq-AL"/>
        </w:rPr>
        <w:t>E</w:t>
      </w:r>
      <w:r w:rsidRPr="00444289">
        <w:rPr>
          <w:rFonts w:asciiTheme="minorHAnsi" w:hAnsiTheme="minorHAnsi"/>
          <w:i/>
          <w:u w:val="single"/>
          <w:lang w:val="sq-AL"/>
        </w:rPr>
        <w:t>konomisë</w:t>
      </w:r>
      <w:r w:rsidR="005863E3" w:rsidRPr="00444289">
        <w:rPr>
          <w:rFonts w:asciiTheme="minorHAnsi" w:hAnsiTheme="minorHAnsi"/>
          <w:i/>
          <w:lang w:val="sq-AL"/>
        </w:rPr>
        <w:t>, d</w:t>
      </w:r>
      <w:r w:rsidRPr="00444289">
        <w:rPr>
          <w:rFonts w:asciiTheme="minorHAnsi" w:hAnsiTheme="minorHAnsi"/>
          <w:lang w:val="sq-AL"/>
        </w:rPr>
        <w:t>isa nga treguesit e arritur nga financimi i projekteve për vitin 201</w:t>
      </w:r>
      <w:r w:rsidR="002370D8" w:rsidRPr="00444289">
        <w:rPr>
          <w:rFonts w:asciiTheme="minorHAnsi" w:hAnsiTheme="minorHAnsi"/>
          <w:lang w:val="sq-AL"/>
        </w:rPr>
        <w:t>6</w:t>
      </w:r>
      <w:r w:rsidRPr="00444289">
        <w:rPr>
          <w:rFonts w:asciiTheme="minorHAnsi" w:hAnsiTheme="minorHAnsi"/>
          <w:lang w:val="sq-AL"/>
        </w:rPr>
        <w:t xml:space="preserve"> janë:</w:t>
      </w:r>
    </w:p>
    <w:p w:rsidR="00465363" w:rsidRPr="00444289" w:rsidRDefault="00465363"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Mbështetja përmes skemave të financimit të kompanive shqiptare që operojnë në sektorë të ndryshëm të ekonomisë (sektori fason, sektori i agro-përpunimit, sektori i plastikës, sektori i industrisë së drurit, sektori i turizmit, sektori i artizanatit dhe Teknologjia e Komunikimit dhe Informacionit) nëpërmjet:</w:t>
      </w:r>
    </w:p>
    <w:p w:rsidR="00465363" w:rsidRPr="00444289" w:rsidRDefault="00465363" w:rsidP="00A40986">
      <w:pPr>
        <w:numPr>
          <w:ilvl w:val="1"/>
          <w:numId w:val="10"/>
        </w:numPr>
        <w:spacing w:line="276" w:lineRule="auto"/>
        <w:ind w:left="900"/>
        <w:contextualSpacing/>
        <w:jc w:val="both"/>
        <w:rPr>
          <w:rFonts w:ascii="Calibri" w:hAnsi="Calibri"/>
          <w:i/>
          <w:lang w:val="sq-AL"/>
        </w:rPr>
      </w:pPr>
      <w:r w:rsidRPr="00444289">
        <w:rPr>
          <w:rFonts w:ascii="Calibri" w:hAnsi="Calibri"/>
          <w:i/>
          <w:lang w:val="sq-AL"/>
        </w:rPr>
        <w:t>Fondit të konkurrueshmërisë me të cilin kanë përfituar 2 kompani. Realizimi i këtij projekti ka pasur impakt në zhvillimin e SME-ve në sektorin e eksporteve, përmirësim në cilësinë e produkteve të eksportuara, si dhe rritje të konkurrueshmerisë së tyre në treg.</w:t>
      </w:r>
    </w:p>
    <w:p w:rsidR="00465363" w:rsidRPr="00444289" w:rsidRDefault="00465363" w:rsidP="00A40986">
      <w:pPr>
        <w:numPr>
          <w:ilvl w:val="1"/>
          <w:numId w:val="10"/>
        </w:numPr>
        <w:spacing w:line="276" w:lineRule="auto"/>
        <w:ind w:left="900"/>
        <w:contextualSpacing/>
        <w:jc w:val="both"/>
        <w:rPr>
          <w:rFonts w:ascii="Calibri" w:hAnsi="Calibri"/>
          <w:i/>
          <w:lang w:val="sq-AL"/>
        </w:rPr>
      </w:pPr>
      <w:r w:rsidRPr="00444289">
        <w:rPr>
          <w:rFonts w:ascii="Calibri" w:hAnsi="Calibri"/>
          <w:i/>
          <w:lang w:val="sq-AL"/>
        </w:rPr>
        <w:t xml:space="preserve">Fondit start-up, me të cilin janë mbështetur 2 biznese që drejtohen nga femra apo që janë në fazën fillestare të tyre, </w:t>
      </w:r>
    </w:p>
    <w:p w:rsidR="00465363" w:rsidRPr="00444289" w:rsidRDefault="00465363" w:rsidP="00A40986">
      <w:pPr>
        <w:numPr>
          <w:ilvl w:val="1"/>
          <w:numId w:val="10"/>
        </w:numPr>
        <w:spacing w:line="276" w:lineRule="auto"/>
        <w:ind w:left="900"/>
        <w:contextualSpacing/>
        <w:jc w:val="both"/>
        <w:rPr>
          <w:rFonts w:ascii="Calibri" w:hAnsi="Calibri"/>
          <w:i/>
          <w:lang w:val="sq-AL"/>
        </w:rPr>
      </w:pPr>
      <w:r w:rsidRPr="00444289">
        <w:rPr>
          <w:rFonts w:ascii="Calibri" w:hAnsi="Calibri"/>
          <w:i/>
          <w:lang w:val="sq-AL"/>
        </w:rPr>
        <w:t>Rritja e cilësisë së ekzaminimeve të objekteve të Pronësisë Industriale ka sjellë rregjistrimin e 446 aplikantëve për marka dhe pantenta pranë DPPI, një tregues i zhvillimit të inovacionit dhe ekonomisë në vend.</w:t>
      </w:r>
    </w:p>
    <w:p w:rsidR="00465363" w:rsidRPr="00444289" w:rsidRDefault="00465363" w:rsidP="00A40986">
      <w:pPr>
        <w:numPr>
          <w:ilvl w:val="1"/>
          <w:numId w:val="10"/>
        </w:numPr>
        <w:spacing w:line="276" w:lineRule="auto"/>
        <w:ind w:left="900"/>
        <w:contextualSpacing/>
        <w:jc w:val="both"/>
        <w:rPr>
          <w:rFonts w:ascii="Calibri" w:hAnsi="Calibri"/>
          <w:i/>
          <w:lang w:val="sq-AL"/>
        </w:rPr>
      </w:pPr>
      <w:r w:rsidRPr="00444289">
        <w:rPr>
          <w:rFonts w:ascii="Calibri" w:hAnsi="Calibri"/>
          <w:i/>
          <w:lang w:val="sq-AL"/>
        </w:rPr>
        <w:t>Projekti mbështetje SME kanë përfituar 3 SME kredi me interesa të ulët.</w:t>
      </w:r>
    </w:p>
    <w:p w:rsidR="00465363" w:rsidRPr="00923496" w:rsidRDefault="00465363" w:rsidP="00A40986">
      <w:pPr>
        <w:spacing w:line="276" w:lineRule="auto"/>
        <w:jc w:val="both"/>
        <w:rPr>
          <w:rFonts w:asciiTheme="minorHAnsi" w:hAnsiTheme="minorHAnsi"/>
          <w:sz w:val="20"/>
          <w:highlight w:val="cyan"/>
          <w:lang w:val="sq-AL"/>
        </w:rPr>
      </w:pPr>
    </w:p>
    <w:p w:rsidR="00273119" w:rsidRPr="00923496" w:rsidRDefault="009F115E" w:rsidP="00A40986">
      <w:pPr>
        <w:spacing w:line="276" w:lineRule="auto"/>
        <w:jc w:val="both"/>
        <w:rPr>
          <w:rFonts w:asciiTheme="minorHAnsi" w:hAnsiTheme="minorHAnsi"/>
          <w:i/>
          <w:u w:val="single"/>
          <w:lang w:val="sq-AL"/>
        </w:rPr>
      </w:pPr>
      <w:r w:rsidRPr="00923496">
        <w:rPr>
          <w:rFonts w:asciiTheme="minorHAnsi" w:hAnsiTheme="minorHAnsi"/>
          <w:i/>
          <w:u w:val="single"/>
          <w:lang w:val="sq-AL"/>
        </w:rPr>
        <w:t>N</w:t>
      </w:r>
      <w:r w:rsidR="00794876" w:rsidRPr="00923496">
        <w:rPr>
          <w:rFonts w:asciiTheme="minorHAnsi" w:hAnsiTheme="minorHAnsi"/>
          <w:i/>
          <w:u w:val="single"/>
          <w:lang w:val="sq-AL"/>
        </w:rPr>
        <w:t>ë</w:t>
      </w:r>
      <w:r w:rsidRPr="00923496">
        <w:rPr>
          <w:rFonts w:asciiTheme="minorHAnsi" w:hAnsiTheme="minorHAnsi"/>
          <w:i/>
          <w:u w:val="single"/>
          <w:lang w:val="sq-AL"/>
        </w:rPr>
        <w:t xml:space="preserve"> </w:t>
      </w:r>
      <w:r w:rsidR="00273119" w:rsidRPr="00923496">
        <w:rPr>
          <w:rFonts w:asciiTheme="minorHAnsi" w:hAnsiTheme="minorHAnsi"/>
          <w:i/>
          <w:u w:val="single"/>
          <w:lang w:val="sq-AL"/>
        </w:rPr>
        <w:t>Infrastruktur</w:t>
      </w:r>
      <w:r w:rsidR="00794876" w:rsidRPr="00923496">
        <w:rPr>
          <w:rFonts w:asciiTheme="minorHAnsi" w:hAnsiTheme="minorHAnsi"/>
          <w:i/>
          <w:u w:val="single"/>
          <w:lang w:val="sq-AL"/>
        </w:rPr>
        <w:t>ë</w:t>
      </w:r>
      <w:r w:rsidR="00273119" w:rsidRPr="00923496">
        <w:rPr>
          <w:rFonts w:asciiTheme="minorHAnsi" w:hAnsiTheme="minorHAnsi"/>
          <w:i/>
          <w:u w:val="single"/>
          <w:lang w:val="sq-AL"/>
        </w:rPr>
        <w:t xml:space="preserve"> </w:t>
      </w:r>
    </w:p>
    <w:p w:rsidR="00693A38" w:rsidRPr="00CD530F" w:rsidRDefault="00693A38" w:rsidP="00693A38">
      <w:pPr>
        <w:widowControl w:val="0"/>
        <w:numPr>
          <w:ilvl w:val="0"/>
          <w:numId w:val="16"/>
        </w:numPr>
        <w:spacing w:line="276" w:lineRule="auto"/>
        <w:ind w:left="270" w:hanging="270"/>
        <w:contextualSpacing/>
        <w:jc w:val="both"/>
        <w:rPr>
          <w:rFonts w:ascii="Calibri" w:hAnsi="Calibri"/>
          <w:lang w:val="sq-AL"/>
        </w:rPr>
      </w:pPr>
      <w:r w:rsidRPr="00CD530F">
        <w:rPr>
          <w:rFonts w:ascii="Calibri" w:hAnsi="Calibri"/>
          <w:lang w:val="sq-AL"/>
        </w:rPr>
        <w:t>Janë realizuar 102,126 ml “Linja të reja ujesjellesi për furnizimin me ujë”, gjithsej me financim të brendshëm dhe të huaj.</w:t>
      </w:r>
    </w:p>
    <w:p w:rsidR="00693A38" w:rsidRPr="00CD530F" w:rsidRDefault="00693A38" w:rsidP="00693A38">
      <w:pPr>
        <w:widowControl w:val="0"/>
        <w:numPr>
          <w:ilvl w:val="0"/>
          <w:numId w:val="16"/>
        </w:numPr>
        <w:spacing w:line="276" w:lineRule="auto"/>
        <w:ind w:left="270" w:hanging="270"/>
        <w:contextualSpacing/>
        <w:jc w:val="both"/>
        <w:rPr>
          <w:rFonts w:ascii="Calibri" w:hAnsi="Calibri"/>
          <w:lang w:val="sq-AL"/>
        </w:rPr>
      </w:pPr>
      <w:r w:rsidRPr="00CD530F">
        <w:rPr>
          <w:rFonts w:ascii="Calibri" w:hAnsi="Calibri"/>
          <w:lang w:val="sq-AL"/>
        </w:rPr>
        <w:t>Janë ndërtuar 14,272 ml “Rrjet kanalizimesh të ujërave të zeza i shtruar”gjithsej me financim të brendshëm dhe financim të huaj.</w:t>
      </w:r>
    </w:p>
    <w:p w:rsidR="00693A38" w:rsidRPr="00CD530F" w:rsidRDefault="00693A38" w:rsidP="00693A38">
      <w:pPr>
        <w:widowControl w:val="0"/>
        <w:numPr>
          <w:ilvl w:val="0"/>
          <w:numId w:val="16"/>
        </w:numPr>
        <w:spacing w:line="276" w:lineRule="auto"/>
        <w:ind w:left="270" w:hanging="270"/>
        <w:contextualSpacing/>
        <w:jc w:val="both"/>
        <w:rPr>
          <w:rFonts w:ascii="Calibri" w:hAnsi="Calibri"/>
          <w:lang w:val="sq-AL"/>
        </w:rPr>
      </w:pPr>
      <w:r w:rsidRPr="00CD530F">
        <w:rPr>
          <w:rFonts w:ascii="Calibri" w:hAnsi="Calibri"/>
          <w:lang w:val="sq-AL"/>
        </w:rPr>
        <w:t xml:space="preserve">Janë ndërtuar 14,258 ml “Lidhje të reja të furnizimit me ujë”, me financim të huaj. </w:t>
      </w:r>
    </w:p>
    <w:p w:rsidR="00693A38" w:rsidRPr="00693A38" w:rsidRDefault="00693A38" w:rsidP="00693A38">
      <w:pPr>
        <w:widowControl w:val="0"/>
        <w:spacing w:line="276" w:lineRule="auto"/>
        <w:ind w:left="270"/>
        <w:contextualSpacing/>
        <w:jc w:val="both"/>
        <w:rPr>
          <w:rFonts w:ascii="Calibri" w:hAnsi="Calibri"/>
          <w:sz w:val="8"/>
          <w:lang w:val="sq-AL"/>
        </w:rPr>
      </w:pPr>
    </w:p>
    <w:p w:rsidR="00923496" w:rsidRPr="00CD530F" w:rsidRDefault="00923496" w:rsidP="00923496">
      <w:pPr>
        <w:widowControl w:val="0"/>
        <w:numPr>
          <w:ilvl w:val="0"/>
          <w:numId w:val="16"/>
        </w:numPr>
        <w:spacing w:line="276" w:lineRule="auto"/>
        <w:ind w:left="270" w:hanging="270"/>
        <w:contextualSpacing/>
        <w:jc w:val="both"/>
        <w:rPr>
          <w:rFonts w:ascii="Calibri" w:hAnsi="Calibri"/>
          <w:lang w:val="sq-AL"/>
        </w:rPr>
      </w:pPr>
      <w:r w:rsidRPr="00CD530F">
        <w:rPr>
          <w:rFonts w:ascii="Calibri" w:hAnsi="Calibri"/>
          <w:lang w:val="sq-AL"/>
        </w:rPr>
        <w:t xml:space="preserve">Projekte të rëndësishme infrastrukturore </w:t>
      </w:r>
      <w:r w:rsidRPr="00CD530F">
        <w:rPr>
          <w:rFonts w:ascii="Calibri" w:hAnsi="Calibri"/>
          <w:b/>
          <w:lang w:val="sq-AL"/>
        </w:rPr>
        <w:t>të përfunduara</w:t>
      </w:r>
      <w:r w:rsidRPr="00CD530F">
        <w:rPr>
          <w:rFonts w:ascii="Calibri" w:hAnsi="Calibri"/>
          <w:lang w:val="sq-AL"/>
        </w:rPr>
        <w:t>, përmendim:</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Sistemim Asfaltim rruga Elbasan-Banjë / Loti 3</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Sistemim –Asfaltim rruga Këlcyrë – Përmet / Loti 3</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Sistemim Asfaltim Rruga Korce – Ersekë / Loti 1</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Sistemim Asfaltim rruga Librazhd – Qafë Stude / Loti 3</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Ndërtim Rruga by Pass Plepa – Kavajë – Rrogozhinë / Loti 7</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 xml:space="preserve">Vendosja e mbikalimeve për këmbësorë në aksin Plepa – Kavajë – Rrogozhinë </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Ndërtim Rruga Lushnjë – Berat / Loti 3</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Ndërtim Rruga Unaza e Re e Tiranës (segmenti Komuna Parisit – rruga e Kavajës),</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Ndërtim Rruga Unaza e Re e Tiranës (segmenti Komuna Parisit – shkolla teknologjike pjesa e mbetur),</w:t>
      </w:r>
    </w:p>
    <w:p w:rsidR="00693A38" w:rsidRPr="00CD530F"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Ndërtim Rruga Unaza e Jahtme Tiranë, pjesa verilindore</w:t>
      </w:r>
    </w:p>
    <w:p w:rsidR="00693A38" w:rsidRPr="00867CF4" w:rsidRDefault="00693A38" w:rsidP="00693A38">
      <w:pPr>
        <w:numPr>
          <w:ilvl w:val="1"/>
          <w:numId w:val="10"/>
        </w:numPr>
        <w:spacing w:line="276" w:lineRule="auto"/>
        <w:ind w:left="900"/>
        <w:contextualSpacing/>
        <w:jc w:val="both"/>
        <w:rPr>
          <w:rFonts w:ascii="Calibri" w:hAnsi="Calibri"/>
          <w:i/>
          <w:lang w:val="sq-AL"/>
        </w:rPr>
      </w:pPr>
      <w:r w:rsidRPr="00CD530F">
        <w:rPr>
          <w:rFonts w:ascii="Calibri" w:hAnsi="Calibri"/>
          <w:i/>
          <w:lang w:val="sq-AL"/>
        </w:rPr>
        <w:t xml:space="preserve">Ndërtim mbrojtja nga lumi km 16+200 aksi rrugor Elbasan – Librazhd </w:t>
      </w:r>
    </w:p>
    <w:p w:rsidR="00923496" w:rsidRPr="00923496" w:rsidRDefault="00923496" w:rsidP="00923496">
      <w:pPr>
        <w:widowControl w:val="0"/>
        <w:spacing w:line="276" w:lineRule="auto"/>
        <w:ind w:left="270"/>
        <w:contextualSpacing/>
        <w:jc w:val="both"/>
        <w:rPr>
          <w:rFonts w:ascii="Calibri" w:hAnsi="Calibri"/>
          <w:sz w:val="8"/>
          <w:lang w:val="sq-AL"/>
        </w:rPr>
      </w:pPr>
    </w:p>
    <w:p w:rsidR="00923496" w:rsidRPr="00CD530F" w:rsidRDefault="00923496" w:rsidP="00923496">
      <w:pPr>
        <w:widowControl w:val="0"/>
        <w:numPr>
          <w:ilvl w:val="0"/>
          <w:numId w:val="16"/>
        </w:numPr>
        <w:spacing w:line="276" w:lineRule="auto"/>
        <w:ind w:left="270" w:hanging="270"/>
        <w:contextualSpacing/>
        <w:jc w:val="both"/>
        <w:rPr>
          <w:rFonts w:ascii="Calibri" w:hAnsi="Calibri"/>
          <w:lang w:val="sq-AL"/>
        </w:rPr>
      </w:pPr>
      <w:r w:rsidRPr="007775D4">
        <w:rPr>
          <w:rFonts w:ascii="Calibri" w:hAnsi="Calibri"/>
          <w:lang w:val="sq-AL"/>
        </w:rPr>
        <w:t>Projekte të sektorit të</w:t>
      </w:r>
      <w:r w:rsidRPr="00CD530F">
        <w:rPr>
          <w:rFonts w:ascii="Calibri" w:hAnsi="Calibri"/>
          <w:b/>
          <w:lang w:val="sq-AL"/>
        </w:rPr>
        <w:t xml:space="preserve"> ujësjellës-kanalizimeve</w:t>
      </w:r>
      <w:r w:rsidRPr="00CD530F">
        <w:rPr>
          <w:rFonts w:ascii="Calibri" w:hAnsi="Calibri"/>
          <w:lang w:val="sq-AL"/>
        </w:rPr>
        <w:t>, përmendim:</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 xml:space="preserve">Furnizimi me ujë i plazheve Durrës – Kavajë  </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 xml:space="preserve">Ndërtimi i rrjetit të ujësjellësit te Gjiri Lalzit, Durrës </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 xml:space="preserve">Furnizimi me ujë i fshatrave të Komunës Golem </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 xml:space="preserve">Ndërtimi ujësjellësi Troshan, Komuna Blinisht </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 xml:space="preserve">Ndërtimi koleltori i ujrave të zeza, fshati Drashovicë </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Kanalizimet e Ujërave të bardha e të zeza , dalja shinat e trenit-lumi Kir</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Furnizimi me ujë i fshatrave Dorez, Gizavesh, Librazhd Katund dhe Librazhd Qendër.</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Përfundimi i sistemit të KUZ dhe zgjerimi në Vlorë</w:t>
      </w:r>
    </w:p>
    <w:p w:rsidR="00923496" w:rsidRPr="00923496" w:rsidRDefault="00923496" w:rsidP="00923496">
      <w:pPr>
        <w:spacing w:before="240" w:line="276" w:lineRule="auto"/>
        <w:ind w:left="270"/>
        <w:contextualSpacing/>
        <w:jc w:val="both"/>
        <w:rPr>
          <w:rFonts w:asciiTheme="minorHAnsi" w:hAnsiTheme="minorHAnsi"/>
          <w:sz w:val="8"/>
          <w:szCs w:val="12"/>
          <w:highlight w:val="cyan"/>
          <w:lang w:val="sq-AL"/>
        </w:rPr>
      </w:pPr>
    </w:p>
    <w:p w:rsidR="00693A38" w:rsidRPr="00693A38" w:rsidRDefault="00693A38" w:rsidP="00693A38">
      <w:pPr>
        <w:numPr>
          <w:ilvl w:val="0"/>
          <w:numId w:val="10"/>
        </w:numPr>
        <w:spacing w:before="240" w:line="276" w:lineRule="auto"/>
        <w:ind w:left="270" w:hanging="270"/>
        <w:contextualSpacing/>
        <w:jc w:val="both"/>
        <w:rPr>
          <w:rFonts w:asciiTheme="minorHAnsi" w:hAnsiTheme="minorHAnsi"/>
          <w:lang w:val="sq-AL"/>
        </w:rPr>
      </w:pPr>
      <w:r w:rsidRPr="00693A38">
        <w:rPr>
          <w:rFonts w:asciiTheme="minorHAnsi" w:hAnsiTheme="minorHAnsi"/>
          <w:lang w:val="sq-AL"/>
        </w:rPr>
        <w:t xml:space="preserve">Projekte të rëndësishme infrastrukturore të </w:t>
      </w:r>
      <w:r w:rsidRPr="00693A38">
        <w:rPr>
          <w:rFonts w:asciiTheme="minorHAnsi" w:hAnsiTheme="minorHAnsi"/>
          <w:b/>
          <w:lang w:val="sq-AL"/>
        </w:rPr>
        <w:t>Fondit Shqiptar të Zhvillimit dhe Fondit të Zhvillimit të Rajoneve</w:t>
      </w:r>
      <w:r>
        <w:rPr>
          <w:rFonts w:asciiTheme="minorHAnsi" w:hAnsiTheme="minorHAnsi"/>
          <w:b/>
          <w:lang w:val="sq-AL"/>
        </w:rPr>
        <w:t xml:space="preserve">, </w:t>
      </w:r>
      <w:r w:rsidRPr="00693A38">
        <w:rPr>
          <w:rFonts w:asciiTheme="minorHAnsi" w:hAnsiTheme="minorHAnsi"/>
          <w:lang w:val="sq-AL"/>
        </w:rPr>
        <w:t>të cilat kanë shënuar ecuri të kënaqëshme gjate muajve të parë të vitit janë:</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Sistemim asfaltim i rrugës Tepelenë-Bënçë-Lekdush</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Ndërtimi ujësjellësit Çermë – Sulzotaj- Tërbuf</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Rikonstruksion i Rrugës Autostradë -Fshati Bulo</w:t>
      </w:r>
    </w:p>
    <w:p w:rsidR="00693A38" w:rsidRPr="00693A38" w:rsidRDefault="00693A38" w:rsidP="00693A38">
      <w:pPr>
        <w:numPr>
          <w:ilvl w:val="1"/>
          <w:numId w:val="10"/>
        </w:numPr>
        <w:spacing w:line="276" w:lineRule="auto"/>
        <w:ind w:left="900"/>
        <w:contextualSpacing/>
        <w:jc w:val="both"/>
        <w:rPr>
          <w:rFonts w:ascii="Calibri" w:hAnsi="Calibri"/>
          <w:i/>
          <w:lang w:val="sq-AL"/>
        </w:rPr>
      </w:pPr>
      <w:r w:rsidRPr="00693A38">
        <w:rPr>
          <w:rFonts w:ascii="Calibri" w:hAnsi="Calibri"/>
          <w:i/>
          <w:lang w:val="sq-AL"/>
        </w:rPr>
        <w:t>Mbëhtetje për sistemin e furnizimit me ujë në zonat rurale</w:t>
      </w:r>
    </w:p>
    <w:p w:rsidR="00273119" w:rsidRPr="00923496" w:rsidRDefault="00273119" w:rsidP="00A40986">
      <w:pPr>
        <w:spacing w:line="276" w:lineRule="auto"/>
        <w:jc w:val="both"/>
        <w:rPr>
          <w:rFonts w:asciiTheme="minorHAnsi" w:hAnsiTheme="minorHAnsi"/>
          <w:sz w:val="20"/>
          <w:highlight w:val="cyan"/>
          <w:lang w:val="sq-AL"/>
        </w:rPr>
      </w:pPr>
    </w:p>
    <w:p w:rsidR="00273119" w:rsidRPr="00585F5C" w:rsidRDefault="009F115E" w:rsidP="00A40986">
      <w:pPr>
        <w:spacing w:line="276" w:lineRule="auto"/>
        <w:jc w:val="both"/>
        <w:rPr>
          <w:rFonts w:asciiTheme="minorHAnsi" w:hAnsiTheme="minorHAnsi"/>
          <w:i/>
          <w:u w:val="single"/>
          <w:lang w:val="sq-AL"/>
        </w:rPr>
      </w:pPr>
      <w:r w:rsidRPr="00585F5C">
        <w:rPr>
          <w:rFonts w:asciiTheme="minorHAnsi" w:hAnsiTheme="minorHAnsi"/>
          <w:i/>
          <w:u w:val="single"/>
          <w:lang w:val="sq-AL"/>
        </w:rPr>
        <w:t>N</w:t>
      </w:r>
      <w:r w:rsidR="00794876" w:rsidRPr="00585F5C">
        <w:rPr>
          <w:rFonts w:asciiTheme="minorHAnsi" w:hAnsiTheme="minorHAnsi"/>
          <w:i/>
          <w:u w:val="single"/>
          <w:lang w:val="sq-AL"/>
        </w:rPr>
        <w:t>ë</w:t>
      </w:r>
      <w:r w:rsidRPr="00585F5C">
        <w:rPr>
          <w:rFonts w:asciiTheme="minorHAnsi" w:hAnsiTheme="minorHAnsi"/>
          <w:i/>
          <w:u w:val="single"/>
          <w:lang w:val="sq-AL"/>
        </w:rPr>
        <w:t xml:space="preserve"> fush</w:t>
      </w:r>
      <w:r w:rsidR="00794876" w:rsidRPr="00585F5C">
        <w:rPr>
          <w:rFonts w:asciiTheme="minorHAnsi" w:hAnsiTheme="minorHAnsi"/>
          <w:i/>
          <w:u w:val="single"/>
          <w:lang w:val="sq-AL"/>
        </w:rPr>
        <w:t>ë</w:t>
      </w:r>
      <w:r w:rsidRPr="00585F5C">
        <w:rPr>
          <w:rFonts w:asciiTheme="minorHAnsi" w:hAnsiTheme="minorHAnsi"/>
          <w:i/>
          <w:u w:val="single"/>
          <w:lang w:val="sq-AL"/>
        </w:rPr>
        <w:t xml:space="preserve">n e </w:t>
      </w:r>
      <w:r w:rsidR="00273119" w:rsidRPr="00585F5C">
        <w:rPr>
          <w:rFonts w:asciiTheme="minorHAnsi" w:hAnsiTheme="minorHAnsi"/>
          <w:i/>
          <w:u w:val="single"/>
          <w:lang w:val="sq-AL"/>
        </w:rPr>
        <w:t>Bujqësi</w:t>
      </w:r>
      <w:r w:rsidRPr="00585F5C">
        <w:rPr>
          <w:rFonts w:asciiTheme="minorHAnsi" w:hAnsiTheme="minorHAnsi"/>
          <w:i/>
          <w:u w:val="single"/>
          <w:lang w:val="sq-AL"/>
        </w:rPr>
        <w:t>s</w:t>
      </w:r>
      <w:r w:rsidR="00794876" w:rsidRPr="00585F5C">
        <w:rPr>
          <w:rFonts w:asciiTheme="minorHAnsi" w:hAnsiTheme="minorHAnsi"/>
          <w:i/>
          <w:u w:val="single"/>
          <w:lang w:val="sq-AL"/>
        </w:rPr>
        <w:t>ë</w:t>
      </w:r>
      <w:r w:rsidR="00273119" w:rsidRPr="00585F5C">
        <w:rPr>
          <w:rFonts w:asciiTheme="minorHAnsi" w:hAnsiTheme="minorHAnsi"/>
          <w:i/>
          <w:u w:val="single"/>
          <w:lang w:val="sq-AL"/>
        </w:rPr>
        <w:t xml:space="preserve"> dhe </w:t>
      </w:r>
      <w:r w:rsidRPr="00585F5C">
        <w:rPr>
          <w:rFonts w:asciiTheme="minorHAnsi" w:hAnsiTheme="minorHAnsi"/>
          <w:i/>
          <w:u w:val="single"/>
          <w:lang w:val="sq-AL"/>
        </w:rPr>
        <w:t>Z</w:t>
      </w:r>
      <w:r w:rsidR="00273119" w:rsidRPr="00585F5C">
        <w:rPr>
          <w:rFonts w:asciiTheme="minorHAnsi" w:hAnsiTheme="minorHAnsi"/>
          <w:i/>
          <w:u w:val="single"/>
          <w:lang w:val="sq-AL"/>
        </w:rPr>
        <w:t>hvillimi</w:t>
      </w:r>
      <w:r w:rsidRPr="00585F5C">
        <w:rPr>
          <w:rFonts w:asciiTheme="minorHAnsi" w:hAnsiTheme="minorHAnsi"/>
          <w:i/>
          <w:u w:val="single"/>
          <w:lang w:val="sq-AL"/>
        </w:rPr>
        <w:t>t</w:t>
      </w:r>
      <w:r w:rsidR="00273119" w:rsidRPr="00585F5C">
        <w:rPr>
          <w:rFonts w:asciiTheme="minorHAnsi" w:hAnsiTheme="minorHAnsi"/>
          <w:i/>
          <w:u w:val="single"/>
          <w:lang w:val="sq-AL"/>
        </w:rPr>
        <w:t xml:space="preserve"> </w:t>
      </w:r>
      <w:r w:rsidRPr="00585F5C">
        <w:rPr>
          <w:rFonts w:asciiTheme="minorHAnsi" w:hAnsiTheme="minorHAnsi"/>
          <w:i/>
          <w:u w:val="single"/>
          <w:lang w:val="sq-AL"/>
        </w:rPr>
        <w:t>R</w:t>
      </w:r>
      <w:r w:rsidR="00273119" w:rsidRPr="00585F5C">
        <w:rPr>
          <w:rFonts w:asciiTheme="minorHAnsi" w:hAnsiTheme="minorHAnsi"/>
          <w:i/>
          <w:u w:val="single"/>
          <w:lang w:val="sq-AL"/>
        </w:rPr>
        <w:t>ural</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Janë në përfundim punimet civile në objektin kryesor ujitës “M051470 - KJU - 1, Kanali Peqin - Kavajë (Lumi Shkumbin)”, i cili aktualisht mundëson ujitjen në zonën Peqin-Kavajë-Rrogozhinë  në rreth 9 000 ha tokë bujqësore.</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Janë dëmshpërblyer një numër prej 40 krerë gjedh dhe të imta kundër sëmundjes së plasjes dhe brucelozës.</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Gjithashtu kanë përfunduar punimet në 5 objekte të mbrojtjes nga përmbytja dhe vazhdon puna në objektet e tjera që duhet të përfundojnë brenda 4 mujorit të dytë.</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Gjatë katër mujorit të parë të vitit 2017 janë në proces testimet e 42 varieteteve dhe vazhdojnë kontrollet e fidanëve të ullirit, të pemëve frutore dhe hardhive, si dhe farave të bimëve të arave dhe primeve për certifikim sipas kërkesave të operatorëve.</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Nga strukturat e shërbimit Këshillimor janë kontaktuar direkt dhe indirekt dhe kanë marrë informacion gjithsej rreth 37,580 fermerë dhe agrobiznese, nga 66,200 fermerë dhe agrobiznese të synuara.</w:t>
      </w:r>
    </w:p>
    <w:p w:rsidR="00923496" w:rsidRPr="005E6CF7" w:rsidRDefault="00923496" w:rsidP="00A40986">
      <w:pPr>
        <w:spacing w:line="276" w:lineRule="auto"/>
        <w:jc w:val="both"/>
        <w:rPr>
          <w:rFonts w:asciiTheme="minorHAnsi" w:hAnsiTheme="minorHAnsi"/>
          <w:sz w:val="20"/>
          <w:szCs w:val="20"/>
          <w:highlight w:val="cyan"/>
          <w:lang w:val="sq-AL"/>
        </w:rPr>
      </w:pPr>
    </w:p>
    <w:p w:rsidR="00B96CB1" w:rsidRPr="00444289" w:rsidRDefault="00B96CB1" w:rsidP="00A40986">
      <w:pPr>
        <w:spacing w:line="276" w:lineRule="auto"/>
        <w:jc w:val="both"/>
        <w:rPr>
          <w:rFonts w:asciiTheme="minorHAnsi" w:hAnsiTheme="minorHAnsi"/>
          <w:i/>
          <w:u w:val="single"/>
          <w:lang w:val="sq-AL"/>
        </w:rPr>
      </w:pPr>
      <w:r w:rsidRPr="00444289">
        <w:rPr>
          <w:rFonts w:asciiTheme="minorHAnsi" w:hAnsiTheme="minorHAnsi"/>
          <w:i/>
          <w:u w:val="single"/>
          <w:lang w:val="sq-AL"/>
        </w:rPr>
        <w:t>Në fushën e P</w:t>
      </w:r>
      <w:r w:rsidR="007544A1" w:rsidRPr="00444289">
        <w:rPr>
          <w:rFonts w:asciiTheme="minorHAnsi" w:hAnsiTheme="minorHAnsi"/>
          <w:i/>
          <w:u w:val="single"/>
          <w:lang w:val="sq-AL"/>
        </w:rPr>
        <w:t>ë</w:t>
      </w:r>
      <w:r w:rsidRPr="00444289">
        <w:rPr>
          <w:rFonts w:asciiTheme="minorHAnsi" w:hAnsiTheme="minorHAnsi"/>
          <w:i/>
          <w:u w:val="single"/>
          <w:lang w:val="sq-AL"/>
        </w:rPr>
        <w:t>rkujdesit Social dhe Pun</w:t>
      </w:r>
      <w:r w:rsidR="007544A1" w:rsidRPr="00444289">
        <w:rPr>
          <w:rFonts w:asciiTheme="minorHAnsi" w:hAnsiTheme="minorHAnsi"/>
          <w:i/>
          <w:u w:val="single"/>
          <w:lang w:val="sq-AL"/>
        </w:rPr>
        <w:t>ë</w:t>
      </w:r>
      <w:r w:rsidRPr="00444289">
        <w:rPr>
          <w:rFonts w:asciiTheme="minorHAnsi" w:hAnsiTheme="minorHAnsi"/>
          <w:i/>
          <w:u w:val="single"/>
          <w:lang w:val="sq-AL"/>
        </w:rPr>
        <w:t>simit</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Janë trajtuar me ndihmë ekonomike 81,638 familje përfituese të ndihmës ekonomike;</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Janë trajtuar me pagesën e aftësisë së kufizuar 156,958 persona  nga disa kategori, “Individë të verbër përfitues nga programi i Aftësisë së Kufizuar”, “Individë paraplegjikë e tetraplegjikë përfitues nga programi i Aftësisë së Kufizuar”, “Personat me aftësi të kufizuara mendore, fizike përfitues nga programi i Aftësisë së Kufizuar”;</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Janë trajtuar me shërbime në institucionet e përkujdesit social 272 fëmijë, 473 të moshuar, 395 persona me Aftësi të Kufizuar që përfitojnë shërbime rezidenciale publike, 51 gra të trafikuara dhe 31 vajza të dhunuara;</w:t>
      </w:r>
    </w:p>
    <w:p w:rsidR="00465363" w:rsidRPr="00444289" w:rsidRDefault="00465363"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Në fushën e nxitjes së punësimit:</w:t>
      </w:r>
    </w:p>
    <w:p w:rsidR="00465363" w:rsidRPr="00444289" w:rsidRDefault="00465363" w:rsidP="00A40986">
      <w:pPr>
        <w:pStyle w:val="ListParagraph"/>
        <w:numPr>
          <w:ilvl w:val="1"/>
          <w:numId w:val="10"/>
        </w:numPr>
        <w:spacing w:line="276" w:lineRule="auto"/>
        <w:ind w:left="900"/>
        <w:jc w:val="both"/>
        <w:rPr>
          <w:rFonts w:asciiTheme="minorHAnsi" w:hAnsiTheme="minorHAnsi"/>
          <w:i/>
          <w:lang w:val="sq-AL"/>
        </w:rPr>
      </w:pPr>
      <w:r w:rsidRPr="00444289">
        <w:rPr>
          <w:rFonts w:asciiTheme="minorHAnsi" w:hAnsiTheme="minorHAnsi"/>
          <w:i/>
          <w:lang w:val="sq-AL"/>
        </w:rPr>
        <w:t>Janë trajnuar dhe pajisur me certifikatë 5,099 persona;</w:t>
      </w:r>
    </w:p>
    <w:p w:rsidR="00465363" w:rsidRPr="00444289" w:rsidRDefault="00465363" w:rsidP="00A40986">
      <w:pPr>
        <w:pStyle w:val="ListParagraph"/>
        <w:numPr>
          <w:ilvl w:val="1"/>
          <w:numId w:val="10"/>
        </w:numPr>
        <w:spacing w:line="276" w:lineRule="auto"/>
        <w:ind w:left="900"/>
        <w:jc w:val="both"/>
        <w:rPr>
          <w:rFonts w:asciiTheme="minorHAnsi" w:hAnsiTheme="minorHAnsi"/>
          <w:i/>
          <w:lang w:val="sq-AL"/>
        </w:rPr>
      </w:pPr>
      <w:r w:rsidRPr="00444289">
        <w:rPr>
          <w:rFonts w:asciiTheme="minorHAnsi" w:hAnsiTheme="minorHAnsi"/>
          <w:i/>
          <w:lang w:val="sq-AL"/>
        </w:rPr>
        <w:t xml:space="preserve">Janë trajtuar 2,087 persona </w:t>
      </w:r>
      <w:r w:rsidRPr="00444289">
        <w:rPr>
          <w:rFonts w:asciiTheme="minorHAnsi" w:hAnsiTheme="minorHAnsi"/>
          <w:lang w:val="sq-AL"/>
        </w:rPr>
        <w:t>në programin e nxitjes së punësimit</w:t>
      </w:r>
      <w:r w:rsidRPr="00444289">
        <w:rPr>
          <w:rFonts w:asciiTheme="minorHAnsi" w:hAnsiTheme="minorHAnsi"/>
          <w:i/>
          <w:lang w:val="sq-AL"/>
        </w:rPr>
        <w:t>;</w:t>
      </w:r>
    </w:p>
    <w:p w:rsidR="00465363" w:rsidRPr="00444289" w:rsidRDefault="00465363" w:rsidP="00A40986">
      <w:pPr>
        <w:pStyle w:val="ListParagraph"/>
        <w:numPr>
          <w:ilvl w:val="1"/>
          <w:numId w:val="10"/>
        </w:numPr>
        <w:spacing w:line="276" w:lineRule="auto"/>
        <w:ind w:left="900"/>
        <w:jc w:val="both"/>
        <w:rPr>
          <w:rFonts w:asciiTheme="minorHAnsi" w:hAnsiTheme="minorHAnsi"/>
          <w:i/>
          <w:lang w:val="sq-AL"/>
        </w:rPr>
      </w:pPr>
      <w:r w:rsidRPr="00444289">
        <w:rPr>
          <w:rFonts w:asciiTheme="minorHAnsi" w:hAnsiTheme="minorHAnsi"/>
          <w:i/>
          <w:lang w:val="sq-AL"/>
        </w:rPr>
        <w:t>Janë ofruar ndërmjetësime për 5,240 punëkërkues të papunë;</w:t>
      </w:r>
    </w:p>
    <w:p w:rsidR="00465363" w:rsidRPr="00444289" w:rsidRDefault="00465363" w:rsidP="00A40986">
      <w:pPr>
        <w:pStyle w:val="ListParagraph"/>
        <w:numPr>
          <w:ilvl w:val="1"/>
          <w:numId w:val="10"/>
        </w:numPr>
        <w:spacing w:line="276" w:lineRule="auto"/>
        <w:ind w:left="900"/>
        <w:jc w:val="both"/>
        <w:rPr>
          <w:rFonts w:asciiTheme="minorHAnsi" w:hAnsiTheme="minorHAnsi"/>
          <w:i/>
          <w:lang w:val="sq-AL"/>
        </w:rPr>
      </w:pPr>
      <w:r w:rsidRPr="00444289">
        <w:rPr>
          <w:rFonts w:asciiTheme="minorHAnsi" w:hAnsiTheme="minorHAnsi"/>
          <w:i/>
          <w:lang w:val="sq-AL"/>
        </w:rPr>
        <w:t>Janë trajtuar me pagesë papunësie 2,355 persona.</w:t>
      </w:r>
    </w:p>
    <w:p w:rsidR="005D6734" w:rsidRPr="005E6CF7" w:rsidRDefault="005D6734" w:rsidP="00A40986">
      <w:pPr>
        <w:spacing w:line="276" w:lineRule="auto"/>
        <w:jc w:val="both"/>
        <w:rPr>
          <w:rFonts w:asciiTheme="minorHAnsi" w:hAnsiTheme="minorHAnsi"/>
          <w:i/>
          <w:sz w:val="20"/>
          <w:szCs w:val="20"/>
          <w:highlight w:val="cyan"/>
          <w:u w:val="single"/>
          <w:lang w:val="sq-AL"/>
        </w:rPr>
      </w:pPr>
    </w:p>
    <w:p w:rsidR="00273119" w:rsidRPr="00444289" w:rsidRDefault="00273119" w:rsidP="00A40986">
      <w:pPr>
        <w:spacing w:line="276" w:lineRule="auto"/>
        <w:jc w:val="both"/>
        <w:rPr>
          <w:rFonts w:asciiTheme="minorHAnsi" w:hAnsiTheme="minorHAnsi"/>
          <w:i/>
          <w:u w:val="single"/>
          <w:lang w:val="sq-AL"/>
        </w:rPr>
      </w:pPr>
      <w:r w:rsidRPr="00444289">
        <w:rPr>
          <w:rFonts w:asciiTheme="minorHAnsi" w:hAnsiTheme="minorHAnsi"/>
          <w:i/>
          <w:u w:val="single"/>
          <w:lang w:val="sq-AL"/>
        </w:rPr>
        <w:t xml:space="preserve">Drejtësia </w:t>
      </w:r>
    </w:p>
    <w:p w:rsidR="0092202A" w:rsidRPr="00444289" w:rsidRDefault="0092202A" w:rsidP="00A40986">
      <w:pPr>
        <w:widowControl w:val="0"/>
        <w:numPr>
          <w:ilvl w:val="0"/>
          <w:numId w:val="27"/>
        </w:numPr>
        <w:tabs>
          <w:tab w:val="left" w:pos="360"/>
        </w:tabs>
        <w:spacing w:line="276" w:lineRule="auto"/>
        <w:ind w:left="270" w:hanging="270"/>
        <w:contextualSpacing/>
        <w:jc w:val="both"/>
        <w:rPr>
          <w:rFonts w:ascii="Calibri" w:hAnsi="Calibri"/>
          <w:lang w:val="sq-AL"/>
        </w:rPr>
      </w:pPr>
      <w:r w:rsidRPr="00444289">
        <w:rPr>
          <w:rFonts w:ascii="Calibri" w:hAnsi="Calibri"/>
          <w:lang w:val="sq-AL"/>
        </w:rPr>
        <w:t>Është bërë shpërndaja e fondit vjetor të kompesimit financiar për 142 raste.</w:t>
      </w:r>
    </w:p>
    <w:p w:rsidR="0092202A" w:rsidRPr="00444289" w:rsidRDefault="0092202A" w:rsidP="00A40986">
      <w:pPr>
        <w:widowControl w:val="0"/>
        <w:numPr>
          <w:ilvl w:val="0"/>
          <w:numId w:val="27"/>
        </w:numPr>
        <w:tabs>
          <w:tab w:val="left" w:pos="360"/>
        </w:tabs>
        <w:spacing w:line="276" w:lineRule="auto"/>
        <w:ind w:left="270" w:hanging="270"/>
        <w:contextualSpacing/>
        <w:jc w:val="both"/>
        <w:rPr>
          <w:rFonts w:ascii="Calibri" w:hAnsi="Calibri"/>
          <w:lang w:val="sq-AL"/>
        </w:rPr>
      </w:pPr>
      <w:r w:rsidRPr="00444289">
        <w:rPr>
          <w:rFonts w:ascii="Calibri" w:hAnsi="Calibri"/>
          <w:lang w:val="sq-AL"/>
        </w:rPr>
        <w:t>Është realizuar  kompesimi për 247 raste, sipas fondit “Toke në dispozicion të subjekteve që trajtohen nga ATP”.</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Janë trajtuar rreth 500 kërkesa për njohje pronësie ndër vite.</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Janë miratuar procedurat e birësimit të 10 fëmijëve, tek familje shqiptare dhe të huaja.</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Janë realizuar rreth 3408 akte ekspertimi mjeko-ligjor.</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Është ofruar asistencë juridike ndaj institucioneve shtetërore dhe enteve publike, nëpërmjet këshillimit dhe përfaqësimit në Gjykatat Kombëtare dhe Ndërkombëtare, për rreth 4202 çështje.</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Janë realizuar 1800 raste për shërbime mbështetëse për riintegrimin social-ekonomik të fëmijeve në konflikt me ligjin, pjesë e shërbimit të provës.</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Është ofruar ndihmë juridike, këshillim dhe mbrojtje në proceset penale  për 217 raste.</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Jane realizuar 133 raste te integrimit të të miturve në konflikt me ligjin përmes “drejtësisë restauruese”.</w:t>
      </w:r>
    </w:p>
    <w:p w:rsidR="00CB4875" w:rsidRPr="00923496" w:rsidRDefault="00CB4875" w:rsidP="00A40986">
      <w:pPr>
        <w:spacing w:line="276" w:lineRule="auto"/>
        <w:jc w:val="both"/>
        <w:rPr>
          <w:rFonts w:asciiTheme="minorHAnsi" w:hAnsiTheme="minorHAnsi"/>
          <w:i/>
          <w:sz w:val="20"/>
          <w:u w:val="single"/>
          <w:lang w:val="sq-AL"/>
        </w:rPr>
      </w:pPr>
    </w:p>
    <w:p w:rsidR="00273119" w:rsidRPr="00444289" w:rsidRDefault="00273119" w:rsidP="00A40986">
      <w:pPr>
        <w:spacing w:line="276" w:lineRule="auto"/>
        <w:jc w:val="both"/>
        <w:rPr>
          <w:rFonts w:asciiTheme="minorHAnsi" w:hAnsiTheme="minorHAnsi"/>
          <w:i/>
          <w:u w:val="single"/>
          <w:lang w:val="sq-AL"/>
        </w:rPr>
      </w:pPr>
      <w:r w:rsidRPr="00444289">
        <w:rPr>
          <w:rFonts w:asciiTheme="minorHAnsi" w:hAnsiTheme="minorHAnsi"/>
          <w:i/>
          <w:u w:val="single"/>
          <w:lang w:val="sq-AL"/>
        </w:rPr>
        <w:t>Zhvillimi Urban dhe Turizmi</w:t>
      </w:r>
    </w:p>
    <w:p w:rsidR="0092202A" w:rsidRPr="00444289" w:rsidRDefault="0092202A"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Në fushën e strehimit janë kryer ndërhyrje emergjente dhe rikonstruksione të banesave të romëve nëpërmjet projektit “Përmirësimi i kushteve të komunitetit rom/egjiptian”, ku është parashikuar të përfitojnë 270 familje në 13 bashki të vendit;</w:t>
      </w:r>
    </w:p>
    <w:p w:rsidR="0092202A" w:rsidRPr="00444289" w:rsidRDefault="0092202A"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Nëpërmjet subvencionit të interesave të kredisë, përfituan 4097 familje, nga të cilat 745 përfitojnë kredi me interes 0 dhe pjesa tjetër përfitojnë kredi me interes sipas normës së inflacionit (3-4 përqind);</w:t>
      </w:r>
    </w:p>
    <w:p w:rsidR="0092202A" w:rsidRPr="00444289" w:rsidRDefault="0092202A"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Është parashikuar të përfitojnë bonus strehimi 120 familje si dhe grant të menjëhershëm strehimi 20 familje që plotësojnë kriteret sipas përcaktimeve ligjore;</w:t>
      </w:r>
    </w:p>
    <w:p w:rsidR="0092202A" w:rsidRPr="00444289" w:rsidRDefault="0092202A"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Janë trajtuar me qera financiare 44 familje në Tiranë (18) e Vlorë (26), sipas VKM-ve;</w:t>
      </w:r>
    </w:p>
    <w:p w:rsidR="0092202A" w:rsidRPr="00444289" w:rsidRDefault="0092202A" w:rsidP="00A40986">
      <w:pPr>
        <w:pStyle w:val="ListParagraph"/>
        <w:widowControl w:val="0"/>
        <w:numPr>
          <w:ilvl w:val="0"/>
          <w:numId w:val="16"/>
        </w:numPr>
        <w:spacing w:line="276" w:lineRule="auto"/>
        <w:ind w:left="270" w:hanging="270"/>
        <w:jc w:val="both"/>
        <w:rPr>
          <w:rFonts w:asciiTheme="minorHAnsi" w:hAnsiTheme="minorHAnsi"/>
          <w:lang w:val="sq-AL"/>
        </w:rPr>
      </w:pPr>
      <w:r w:rsidRPr="00444289">
        <w:rPr>
          <w:rFonts w:asciiTheme="minorHAnsi" w:hAnsiTheme="minorHAnsi"/>
          <w:lang w:val="sq-AL"/>
        </w:rPr>
        <w:t>Janë kryer 10,266 praktika legalizimi të pasurive informale dhe deri në fund të katërmujorit të vitit 2017 nga 40,000 të parashikuara.</w:t>
      </w:r>
    </w:p>
    <w:p w:rsidR="002C4E7B" w:rsidRPr="00923496" w:rsidRDefault="002C4E7B" w:rsidP="00A40986">
      <w:pPr>
        <w:spacing w:line="276" w:lineRule="auto"/>
        <w:ind w:left="360"/>
        <w:jc w:val="both"/>
        <w:rPr>
          <w:rFonts w:asciiTheme="minorHAnsi" w:hAnsiTheme="minorHAnsi"/>
          <w:sz w:val="20"/>
          <w:highlight w:val="cyan"/>
          <w:lang w:val="sq-AL"/>
        </w:rPr>
      </w:pPr>
    </w:p>
    <w:p w:rsidR="00EB6117" w:rsidRPr="00444289" w:rsidRDefault="00EB6117" w:rsidP="00A40986">
      <w:pPr>
        <w:spacing w:line="276" w:lineRule="auto"/>
        <w:jc w:val="both"/>
        <w:rPr>
          <w:rFonts w:asciiTheme="minorHAnsi" w:hAnsiTheme="minorHAnsi"/>
          <w:i/>
          <w:u w:val="single"/>
          <w:lang w:val="sq-AL"/>
        </w:rPr>
      </w:pPr>
      <w:r w:rsidRPr="00444289">
        <w:rPr>
          <w:rFonts w:asciiTheme="minorHAnsi" w:hAnsiTheme="minorHAnsi"/>
          <w:i/>
          <w:u w:val="single"/>
          <w:lang w:val="sq-AL"/>
        </w:rPr>
        <w:t xml:space="preserve">Kultura </w:t>
      </w:r>
    </w:p>
    <w:p w:rsidR="0092202A" w:rsidRPr="00444289" w:rsidRDefault="0092202A" w:rsidP="00A40986">
      <w:pPr>
        <w:spacing w:line="276" w:lineRule="auto"/>
        <w:jc w:val="both"/>
        <w:rPr>
          <w:rFonts w:ascii="Calibri" w:hAnsi="Calibri"/>
          <w:lang w:val="sq-AL"/>
        </w:rPr>
      </w:pPr>
      <w:r w:rsidRPr="00444289">
        <w:rPr>
          <w:rFonts w:ascii="Calibri" w:hAnsi="Calibri"/>
          <w:lang w:val="sq-AL"/>
        </w:rPr>
        <w:t>Gjatë periudhës Janar-Prill 2017 është realizuar promovimi, ruajtja, konservimi, restaurimi i objekteve dhe fondeve muzeore, si edhe një sërë projektesh artistike-kulturore, nëpërmjet:</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Mirëmbajtjes dhe restaurimit të 3 monumenteve në të gjithë vendin.</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Investime dhe ndërtime të reja të skenave bashkëkohore, rikonstruksione infrastrukturore në nivel qendror dhe vendor në institucionet e TRKOB (në proces pune); Teatri Migjeni, Shkodër (drejt përfundimit); Teatri Andon Zako Cajupi, Korçë (Qershor inagurimi)</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Realizimit të rreth 11 aktiviteteve të trashëgimisë materiale, jomateriale dhe të diversitetit kulturor të organizuara në rang vendi.</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Inventarizimit dhe katalogimit të pasurive kulturore, duke rregjistruar 6,689 objekte në Fondin Kombëtar të Pasurive Kulturore.</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Realizimit të 31 aktiviteteve artistiko kulturore të inicuara nga MK, sipas prioriteteve institucionale dhe integriteti gjinor.</w:t>
      </w:r>
    </w:p>
    <w:p w:rsidR="0092202A" w:rsidRPr="00444289" w:rsidRDefault="0092202A" w:rsidP="00A40986">
      <w:pPr>
        <w:widowControl w:val="0"/>
        <w:numPr>
          <w:ilvl w:val="0"/>
          <w:numId w:val="16"/>
        </w:numPr>
        <w:spacing w:line="276" w:lineRule="auto"/>
        <w:ind w:left="270" w:hanging="270"/>
        <w:contextualSpacing/>
        <w:jc w:val="both"/>
        <w:rPr>
          <w:rFonts w:ascii="Calibri" w:hAnsi="Calibri"/>
          <w:lang w:val="sq-AL"/>
        </w:rPr>
      </w:pPr>
      <w:r w:rsidRPr="00444289">
        <w:rPr>
          <w:rFonts w:ascii="Calibri" w:hAnsi="Calibri"/>
          <w:lang w:val="sq-AL"/>
        </w:rPr>
        <w:t>Përfaqësimit në Edicionin e 11 Jubilar të Festivalit Ndërkombëtar Kulturor “Ballkan Trafik”.</w:t>
      </w:r>
    </w:p>
    <w:p w:rsidR="00EB6117" w:rsidRDefault="00EB6117" w:rsidP="00A40986">
      <w:pPr>
        <w:spacing w:line="276" w:lineRule="auto"/>
        <w:ind w:left="360"/>
        <w:jc w:val="both"/>
        <w:rPr>
          <w:rFonts w:asciiTheme="minorHAnsi" w:hAnsiTheme="minorHAnsi"/>
          <w:sz w:val="20"/>
          <w:highlight w:val="cyan"/>
          <w:lang w:val="sq-AL"/>
        </w:rPr>
      </w:pPr>
    </w:p>
    <w:p w:rsidR="000E3075" w:rsidRPr="00923496" w:rsidRDefault="000E3075" w:rsidP="00A40986">
      <w:pPr>
        <w:spacing w:line="276" w:lineRule="auto"/>
        <w:ind w:left="360"/>
        <w:jc w:val="both"/>
        <w:rPr>
          <w:rFonts w:asciiTheme="minorHAnsi" w:hAnsiTheme="minorHAnsi"/>
          <w:sz w:val="20"/>
          <w:highlight w:val="cyan"/>
          <w:lang w:val="sq-AL"/>
        </w:rPr>
      </w:pPr>
    </w:p>
    <w:p w:rsidR="00392AE6" w:rsidRPr="00444289" w:rsidRDefault="00273119" w:rsidP="00A40986">
      <w:pPr>
        <w:spacing w:line="276" w:lineRule="auto"/>
        <w:jc w:val="both"/>
        <w:rPr>
          <w:rFonts w:asciiTheme="minorHAnsi" w:hAnsiTheme="minorHAnsi"/>
          <w:highlight w:val="cyan"/>
          <w:lang w:val="sq-AL"/>
        </w:rPr>
      </w:pPr>
      <w:r w:rsidRPr="00444289">
        <w:rPr>
          <w:rFonts w:asciiTheme="minorHAnsi" w:hAnsiTheme="minorHAnsi"/>
          <w:i/>
          <w:u w:val="single"/>
          <w:lang w:val="sq-AL"/>
        </w:rPr>
        <w:t xml:space="preserve">Buxheti Vendor </w:t>
      </w:r>
      <w:r w:rsidR="005D6734" w:rsidRPr="00444289">
        <w:rPr>
          <w:rFonts w:asciiTheme="minorHAnsi" w:hAnsiTheme="minorHAnsi"/>
          <w:i/>
          <w:u w:val="single"/>
          <w:lang w:val="sq-AL"/>
        </w:rPr>
        <w:t>janar-maj 2017</w:t>
      </w:r>
      <w:r w:rsidR="00392AE6" w:rsidRPr="00444289">
        <w:rPr>
          <w:rFonts w:asciiTheme="minorHAnsi" w:hAnsiTheme="minorHAnsi"/>
          <w:i/>
          <w:lang w:val="sq-AL"/>
        </w:rPr>
        <w:t xml:space="preserve"> – </w:t>
      </w:r>
      <w:r w:rsidR="00444289" w:rsidRPr="00444289">
        <w:rPr>
          <w:rFonts w:ascii="Calibri" w:hAnsi="Calibri"/>
          <w:lang w:val="sq-AL"/>
        </w:rPr>
        <w:t>Efektet e reformës administrativo-territoriale në disa drejtime:</w:t>
      </w:r>
    </w:p>
    <w:p w:rsidR="00444289" w:rsidRPr="00444289" w:rsidRDefault="00444289" w:rsidP="00A40986">
      <w:pPr>
        <w:pStyle w:val="ListParagraph"/>
        <w:widowControl w:val="0"/>
        <w:numPr>
          <w:ilvl w:val="0"/>
          <w:numId w:val="16"/>
        </w:numPr>
        <w:spacing w:line="276" w:lineRule="auto"/>
        <w:ind w:left="270" w:hanging="270"/>
        <w:jc w:val="both"/>
        <w:rPr>
          <w:rFonts w:ascii="Calibri" w:hAnsi="Calibri"/>
          <w:lang w:val="sq-AL"/>
        </w:rPr>
      </w:pPr>
      <w:r w:rsidRPr="00444289">
        <w:rPr>
          <w:rFonts w:ascii="Calibri" w:hAnsi="Calibri"/>
          <w:lang w:val="sq-AL"/>
        </w:rPr>
        <w:t>Përmirësimi i procesit të decentralizimit të financave vendore, nëpërmjet akordimit të fondit prej 2 miliardë LEK, për reformën e decentralizimit.</w:t>
      </w:r>
    </w:p>
    <w:p w:rsidR="00444289" w:rsidRPr="00444289" w:rsidRDefault="00444289" w:rsidP="00A40986">
      <w:pPr>
        <w:pStyle w:val="ListParagraph"/>
        <w:widowControl w:val="0"/>
        <w:numPr>
          <w:ilvl w:val="0"/>
          <w:numId w:val="16"/>
        </w:numPr>
        <w:spacing w:line="276" w:lineRule="auto"/>
        <w:ind w:left="270" w:hanging="270"/>
        <w:jc w:val="both"/>
        <w:rPr>
          <w:rFonts w:ascii="Calibri" w:hAnsi="Calibri"/>
          <w:lang w:val="sq-AL"/>
        </w:rPr>
      </w:pPr>
      <w:r w:rsidRPr="00444289">
        <w:rPr>
          <w:rFonts w:ascii="Calibri" w:hAnsi="Calibri"/>
          <w:lang w:val="sq-AL"/>
        </w:rPr>
        <w:t>Akordimi i fondit për rrtijen e pagave për funksionet e transferuara në nivel vendor, në vlerën rreth 416 milionë LEK.</w:t>
      </w:r>
    </w:p>
    <w:p w:rsidR="00444289" w:rsidRPr="00444289" w:rsidRDefault="00444289" w:rsidP="00A40986">
      <w:pPr>
        <w:pStyle w:val="ListParagraph"/>
        <w:widowControl w:val="0"/>
        <w:numPr>
          <w:ilvl w:val="0"/>
          <w:numId w:val="16"/>
        </w:numPr>
        <w:spacing w:line="276" w:lineRule="auto"/>
        <w:ind w:left="270" w:hanging="270"/>
        <w:jc w:val="both"/>
        <w:rPr>
          <w:rFonts w:ascii="Calibri" w:hAnsi="Calibri"/>
          <w:lang w:val="sq-AL"/>
        </w:rPr>
      </w:pPr>
      <w:r w:rsidRPr="00444289">
        <w:rPr>
          <w:rFonts w:ascii="Calibri" w:hAnsi="Calibri"/>
          <w:lang w:val="sq-AL"/>
        </w:rPr>
        <w:t xml:space="preserve">Akordimi për </w:t>
      </w:r>
      <w:r w:rsidR="005E6CF7">
        <w:rPr>
          <w:rFonts w:ascii="Calibri" w:hAnsi="Calibri"/>
          <w:lang w:val="sq-AL"/>
        </w:rPr>
        <w:t>pes</w:t>
      </w:r>
      <w:r w:rsidR="00C8213D">
        <w:rPr>
          <w:rFonts w:ascii="Calibri" w:hAnsi="Calibri"/>
          <w:lang w:val="sq-AL"/>
        </w:rPr>
        <w:t>ë</w:t>
      </w:r>
      <w:r w:rsidRPr="00444289">
        <w:rPr>
          <w:rFonts w:ascii="Calibri" w:hAnsi="Calibri"/>
          <w:lang w:val="sq-AL"/>
        </w:rPr>
        <w:t xml:space="preserve"> bashki i nj</w:t>
      </w:r>
      <w:r w:rsidR="007904FF">
        <w:rPr>
          <w:rFonts w:ascii="Calibri" w:hAnsi="Calibri"/>
          <w:lang w:val="sq-AL"/>
        </w:rPr>
        <w:t>ë</w:t>
      </w:r>
      <w:r w:rsidRPr="00444289">
        <w:rPr>
          <w:rFonts w:ascii="Calibri" w:hAnsi="Calibri"/>
          <w:lang w:val="sq-AL"/>
        </w:rPr>
        <w:t xml:space="preserve"> fondi investime</w:t>
      </w:r>
      <w:r>
        <w:rPr>
          <w:rFonts w:ascii="Calibri" w:hAnsi="Calibri"/>
          <w:lang w:val="sq-AL"/>
        </w:rPr>
        <w:t>sh</w:t>
      </w:r>
      <w:r w:rsidRPr="00444289">
        <w:rPr>
          <w:rFonts w:ascii="Calibri" w:hAnsi="Calibri"/>
          <w:lang w:val="sq-AL"/>
        </w:rPr>
        <w:t xml:space="preserve"> në vlerë</w:t>
      </w:r>
      <w:r>
        <w:rPr>
          <w:rFonts w:ascii="Calibri" w:hAnsi="Calibri"/>
          <w:lang w:val="sq-AL"/>
        </w:rPr>
        <w:t>n</w:t>
      </w:r>
      <w:r w:rsidRPr="00444289">
        <w:rPr>
          <w:rFonts w:ascii="Calibri" w:hAnsi="Calibri"/>
          <w:lang w:val="sq-AL"/>
        </w:rPr>
        <w:t xml:space="preserve"> </w:t>
      </w:r>
      <w:r w:rsidR="00C708D3">
        <w:rPr>
          <w:rFonts w:ascii="Calibri" w:hAnsi="Calibri"/>
          <w:lang w:val="sq-AL"/>
        </w:rPr>
        <w:t xml:space="preserve">totale </w:t>
      </w:r>
      <w:r w:rsidRPr="00444289">
        <w:rPr>
          <w:rFonts w:ascii="Calibri" w:hAnsi="Calibri"/>
          <w:lang w:val="sq-AL"/>
        </w:rPr>
        <w:t xml:space="preserve">20 milionë </w:t>
      </w:r>
      <w:r>
        <w:rPr>
          <w:rFonts w:ascii="Calibri" w:hAnsi="Calibri"/>
          <w:lang w:val="sq-AL"/>
        </w:rPr>
        <w:t>LEK</w:t>
      </w:r>
      <w:r w:rsidR="00C708D3">
        <w:rPr>
          <w:rFonts w:ascii="Calibri" w:hAnsi="Calibri"/>
          <w:lang w:val="sq-AL"/>
        </w:rPr>
        <w:t>,</w:t>
      </w:r>
      <w:r w:rsidRPr="00444289">
        <w:rPr>
          <w:rFonts w:ascii="Calibri" w:hAnsi="Calibri"/>
          <w:lang w:val="sq-AL"/>
        </w:rPr>
        <w:t xml:space="preserve"> për ngritjen e stacioneve të reja zjarrfikëse</w:t>
      </w:r>
      <w:r>
        <w:rPr>
          <w:rFonts w:ascii="Calibri" w:hAnsi="Calibri"/>
          <w:lang w:val="sq-AL"/>
        </w:rPr>
        <w:t>. Kjo, n</w:t>
      </w:r>
      <w:r w:rsidR="007904FF">
        <w:rPr>
          <w:rFonts w:ascii="Calibri" w:hAnsi="Calibri"/>
          <w:lang w:val="sq-AL"/>
        </w:rPr>
        <w:t>ë</w:t>
      </w:r>
      <w:r>
        <w:rPr>
          <w:rFonts w:ascii="Calibri" w:hAnsi="Calibri"/>
          <w:lang w:val="sq-AL"/>
        </w:rPr>
        <w:t xml:space="preserve"> mb</w:t>
      </w:r>
      <w:r w:rsidR="007904FF">
        <w:rPr>
          <w:rFonts w:ascii="Calibri" w:hAnsi="Calibri"/>
          <w:lang w:val="sq-AL"/>
        </w:rPr>
        <w:t>ë</w:t>
      </w:r>
      <w:r>
        <w:rPr>
          <w:rFonts w:ascii="Calibri" w:hAnsi="Calibri"/>
          <w:lang w:val="sq-AL"/>
        </w:rPr>
        <w:t>shtetje t</w:t>
      </w:r>
      <w:r w:rsidR="007904FF">
        <w:rPr>
          <w:rFonts w:ascii="Calibri" w:hAnsi="Calibri"/>
          <w:lang w:val="sq-AL"/>
        </w:rPr>
        <w:t>ë</w:t>
      </w:r>
      <w:r>
        <w:rPr>
          <w:rFonts w:ascii="Calibri" w:hAnsi="Calibri"/>
          <w:lang w:val="sq-AL"/>
        </w:rPr>
        <w:t xml:space="preserve"> mbar</w:t>
      </w:r>
      <w:r w:rsidR="007904FF">
        <w:rPr>
          <w:rFonts w:ascii="Calibri" w:hAnsi="Calibri"/>
          <w:lang w:val="sq-AL"/>
        </w:rPr>
        <w:t>ë</w:t>
      </w:r>
      <w:r>
        <w:rPr>
          <w:rFonts w:ascii="Calibri" w:hAnsi="Calibri"/>
          <w:lang w:val="sq-AL"/>
        </w:rPr>
        <w:t>vajtjes</w:t>
      </w:r>
      <w:r w:rsidRPr="00444289">
        <w:rPr>
          <w:rFonts w:ascii="Calibri" w:hAnsi="Calibri"/>
          <w:lang w:val="sq-AL"/>
        </w:rPr>
        <w:t xml:space="preserve"> </w:t>
      </w:r>
      <w:r>
        <w:rPr>
          <w:rFonts w:ascii="Calibri" w:hAnsi="Calibri"/>
          <w:lang w:val="sq-AL"/>
        </w:rPr>
        <w:t>s</w:t>
      </w:r>
      <w:r w:rsidR="007904FF">
        <w:rPr>
          <w:rFonts w:ascii="Calibri" w:hAnsi="Calibri"/>
          <w:lang w:val="sq-AL"/>
        </w:rPr>
        <w:t>ë</w:t>
      </w:r>
      <w:r w:rsidRPr="00444289">
        <w:rPr>
          <w:rFonts w:ascii="Calibri" w:hAnsi="Calibri"/>
          <w:lang w:val="sq-AL"/>
        </w:rPr>
        <w:t xml:space="preserve"> funksionit të transferuar për mbrojtjen dhe shpëtimin nga zjarri.</w:t>
      </w:r>
    </w:p>
    <w:p w:rsidR="00444289" w:rsidRPr="00444289" w:rsidRDefault="00444289" w:rsidP="00A40986">
      <w:pPr>
        <w:pStyle w:val="ListParagraph"/>
        <w:widowControl w:val="0"/>
        <w:numPr>
          <w:ilvl w:val="0"/>
          <w:numId w:val="16"/>
        </w:numPr>
        <w:spacing w:line="276" w:lineRule="auto"/>
        <w:ind w:left="270" w:hanging="270"/>
        <w:jc w:val="both"/>
        <w:rPr>
          <w:rFonts w:ascii="Calibri" w:hAnsi="Calibri"/>
          <w:lang w:val="sq-AL"/>
        </w:rPr>
      </w:pPr>
      <w:r w:rsidRPr="00444289">
        <w:rPr>
          <w:rFonts w:ascii="Calibri" w:hAnsi="Calibri"/>
          <w:lang w:val="sq-AL"/>
        </w:rPr>
        <w:t xml:space="preserve">Promovimi i zhvillimit të qëndrueshëm në nivel vendor dhe rajonal, nëpërmjet financimeve infrastrukturore nga Fondi i Zhvillimit të Rajoneve, në vlerën rreth 8 miliardë </w:t>
      </w:r>
      <w:r w:rsidR="004D0619">
        <w:rPr>
          <w:rFonts w:ascii="Calibri" w:hAnsi="Calibri"/>
          <w:lang w:val="sq-AL"/>
        </w:rPr>
        <w:t>LEK</w:t>
      </w:r>
      <w:r w:rsidRPr="00444289">
        <w:rPr>
          <w:rFonts w:ascii="Calibri" w:hAnsi="Calibri"/>
          <w:lang w:val="sq-AL"/>
        </w:rPr>
        <w:t>.</w:t>
      </w:r>
    </w:p>
    <w:p w:rsidR="00444289" w:rsidRPr="00444289" w:rsidRDefault="004D0619" w:rsidP="00A40986">
      <w:pPr>
        <w:numPr>
          <w:ilvl w:val="0"/>
          <w:numId w:val="28"/>
        </w:numPr>
        <w:tabs>
          <w:tab w:val="left" w:pos="0"/>
          <w:tab w:val="left" w:pos="270"/>
          <w:tab w:val="right" w:pos="8640"/>
          <w:tab w:val="right" w:pos="9360"/>
        </w:tabs>
        <w:spacing w:line="276" w:lineRule="auto"/>
        <w:ind w:left="270" w:right="-43" w:hanging="270"/>
        <w:jc w:val="both"/>
        <w:rPr>
          <w:rFonts w:ascii="Calibri" w:hAnsi="Calibri"/>
          <w:lang w:val="sq-AL"/>
        </w:rPr>
      </w:pPr>
      <w:r>
        <w:rPr>
          <w:rFonts w:ascii="Calibri" w:hAnsi="Calibri"/>
          <w:lang w:val="sq-AL"/>
        </w:rPr>
        <w:t>M</w:t>
      </w:r>
      <w:r w:rsidR="00444289" w:rsidRPr="00444289">
        <w:rPr>
          <w:rFonts w:ascii="Calibri" w:hAnsi="Calibri"/>
          <w:lang w:val="sq-AL"/>
        </w:rPr>
        <w:t xml:space="preserve">iratimi </w:t>
      </w:r>
      <w:r>
        <w:rPr>
          <w:rFonts w:ascii="Calibri" w:hAnsi="Calibri"/>
          <w:lang w:val="sq-AL"/>
        </w:rPr>
        <w:t>i</w:t>
      </w:r>
      <w:r w:rsidR="00444289" w:rsidRPr="00444289">
        <w:rPr>
          <w:rFonts w:ascii="Calibri" w:hAnsi="Calibri"/>
          <w:lang w:val="sq-AL"/>
        </w:rPr>
        <w:t xml:space="preserve"> ligjit për financat e vetëqeverisjes vendore, </w:t>
      </w:r>
      <w:r w:rsidR="007904FF">
        <w:rPr>
          <w:rFonts w:ascii="Calibri" w:hAnsi="Calibri"/>
          <w:lang w:val="sq-AL"/>
        </w:rPr>
        <w:t>përmes së cilit u bë i mundur</w:t>
      </w:r>
      <w:r w:rsidR="00444289" w:rsidRPr="00444289">
        <w:rPr>
          <w:rFonts w:ascii="Calibri" w:hAnsi="Calibri"/>
          <w:lang w:val="sq-AL"/>
        </w:rPr>
        <w:t>:</w:t>
      </w:r>
    </w:p>
    <w:p w:rsidR="00444289" w:rsidRPr="007904FF" w:rsidRDefault="00444289" w:rsidP="00A40986">
      <w:pPr>
        <w:pStyle w:val="ListParagraph"/>
        <w:numPr>
          <w:ilvl w:val="1"/>
          <w:numId w:val="10"/>
        </w:numPr>
        <w:spacing w:line="276" w:lineRule="auto"/>
        <w:ind w:left="900"/>
        <w:jc w:val="both"/>
        <w:rPr>
          <w:rFonts w:asciiTheme="minorHAnsi" w:hAnsiTheme="minorHAnsi"/>
          <w:i/>
          <w:lang w:val="sq-AL"/>
        </w:rPr>
      </w:pPr>
      <w:r w:rsidRPr="007904FF">
        <w:rPr>
          <w:rFonts w:asciiTheme="minorHAnsi" w:hAnsiTheme="minorHAnsi"/>
          <w:i/>
          <w:lang w:val="sq-AL"/>
        </w:rPr>
        <w:t>Forcimi i rregullave për procesin buxhetor dhe disiplinën fiskale e financiare në menaxhimin e financave vendore, si dhe rolit më të madh mbikqyrës të Ministrisë së Financave në këtë drejtim;</w:t>
      </w:r>
    </w:p>
    <w:p w:rsidR="00444289" w:rsidRPr="007904FF" w:rsidRDefault="00444289" w:rsidP="00A40986">
      <w:pPr>
        <w:pStyle w:val="ListParagraph"/>
        <w:numPr>
          <w:ilvl w:val="1"/>
          <w:numId w:val="10"/>
        </w:numPr>
        <w:spacing w:line="276" w:lineRule="auto"/>
        <w:ind w:left="900"/>
        <w:jc w:val="both"/>
        <w:rPr>
          <w:rFonts w:asciiTheme="minorHAnsi" w:hAnsiTheme="minorHAnsi"/>
          <w:i/>
          <w:lang w:val="sq-AL"/>
        </w:rPr>
      </w:pPr>
      <w:r w:rsidRPr="007904FF">
        <w:rPr>
          <w:rFonts w:asciiTheme="minorHAnsi" w:hAnsiTheme="minorHAnsi"/>
          <w:i/>
          <w:lang w:val="sq-AL"/>
        </w:rPr>
        <w:t>Rritja e aftësisë së parashikueshmerisë së burimeve financiare publike në nivel vendor;</w:t>
      </w:r>
    </w:p>
    <w:p w:rsidR="00444289" w:rsidRPr="007904FF" w:rsidRDefault="00444289" w:rsidP="00A40986">
      <w:pPr>
        <w:pStyle w:val="ListParagraph"/>
        <w:numPr>
          <w:ilvl w:val="1"/>
          <w:numId w:val="10"/>
        </w:numPr>
        <w:spacing w:line="276" w:lineRule="auto"/>
        <w:ind w:left="900"/>
        <w:jc w:val="both"/>
        <w:rPr>
          <w:rFonts w:asciiTheme="minorHAnsi" w:hAnsiTheme="minorHAnsi"/>
          <w:i/>
          <w:lang w:val="sq-AL"/>
        </w:rPr>
      </w:pPr>
      <w:r w:rsidRPr="007904FF">
        <w:rPr>
          <w:rFonts w:asciiTheme="minorHAnsi" w:hAnsiTheme="minorHAnsi"/>
          <w:i/>
          <w:lang w:val="sq-AL"/>
        </w:rPr>
        <w:t>Sigurimi dhe konsilodimi i një dialogu efektiv ndërmjet dy niveleve të qeverisjes për ndarjen e detyrave dhe burimeve.</w:t>
      </w:r>
    </w:p>
    <w:p w:rsidR="00444289" w:rsidRPr="007904FF" w:rsidRDefault="00444289" w:rsidP="00A40986">
      <w:pPr>
        <w:pStyle w:val="ListParagraph"/>
        <w:numPr>
          <w:ilvl w:val="1"/>
          <w:numId w:val="10"/>
        </w:numPr>
        <w:spacing w:line="276" w:lineRule="auto"/>
        <w:ind w:left="900"/>
        <w:jc w:val="both"/>
        <w:rPr>
          <w:rFonts w:asciiTheme="minorHAnsi" w:hAnsiTheme="minorHAnsi"/>
          <w:i/>
          <w:lang w:val="sq-AL"/>
        </w:rPr>
      </w:pPr>
      <w:r w:rsidRPr="007904FF">
        <w:rPr>
          <w:rFonts w:asciiTheme="minorHAnsi" w:hAnsiTheme="minorHAnsi"/>
          <w:i/>
          <w:lang w:val="sq-AL"/>
        </w:rPr>
        <w:t>Unifikimi dhe standartizimi i procedurave të buxhetit vendor me qeverisjen qendrore;</w:t>
      </w:r>
    </w:p>
    <w:p w:rsidR="00444289" w:rsidRPr="007904FF" w:rsidRDefault="00444289" w:rsidP="00A40986">
      <w:pPr>
        <w:pStyle w:val="ListParagraph"/>
        <w:numPr>
          <w:ilvl w:val="1"/>
          <w:numId w:val="10"/>
        </w:numPr>
        <w:spacing w:line="276" w:lineRule="auto"/>
        <w:ind w:left="900"/>
        <w:jc w:val="both"/>
        <w:rPr>
          <w:rFonts w:asciiTheme="minorHAnsi" w:hAnsiTheme="minorHAnsi"/>
          <w:i/>
          <w:lang w:val="sq-AL"/>
        </w:rPr>
      </w:pPr>
      <w:r w:rsidRPr="007904FF">
        <w:rPr>
          <w:rFonts w:asciiTheme="minorHAnsi" w:hAnsiTheme="minorHAnsi"/>
          <w:i/>
          <w:lang w:val="sq-AL"/>
        </w:rPr>
        <w:t>Përcaktimi i rregullave për menaxhimin e situatave të vështirësive financiare;</w:t>
      </w:r>
    </w:p>
    <w:p w:rsidR="00444289" w:rsidRPr="007904FF" w:rsidRDefault="00444289" w:rsidP="00A40986">
      <w:pPr>
        <w:pStyle w:val="ListParagraph"/>
        <w:numPr>
          <w:ilvl w:val="1"/>
          <w:numId w:val="10"/>
        </w:numPr>
        <w:spacing w:line="276" w:lineRule="auto"/>
        <w:ind w:left="900"/>
        <w:jc w:val="both"/>
        <w:rPr>
          <w:rFonts w:asciiTheme="minorHAnsi" w:hAnsiTheme="minorHAnsi"/>
          <w:i/>
          <w:lang w:val="sq-AL"/>
        </w:rPr>
      </w:pPr>
      <w:r w:rsidRPr="007904FF">
        <w:rPr>
          <w:rFonts w:asciiTheme="minorHAnsi" w:hAnsiTheme="minorHAnsi"/>
          <w:i/>
          <w:lang w:val="sq-AL"/>
        </w:rPr>
        <w:t>Rritja së parashikueshmërisë, efektivitetit dhe transparencës së transfertave ndërqeveritare;</w:t>
      </w:r>
    </w:p>
    <w:p w:rsidR="00444289" w:rsidRDefault="00444289" w:rsidP="00A40986">
      <w:pPr>
        <w:pStyle w:val="ListParagraph"/>
        <w:numPr>
          <w:ilvl w:val="1"/>
          <w:numId w:val="10"/>
        </w:numPr>
        <w:spacing w:line="276" w:lineRule="auto"/>
        <w:ind w:left="900"/>
        <w:jc w:val="both"/>
        <w:rPr>
          <w:rFonts w:asciiTheme="minorHAnsi" w:hAnsiTheme="minorHAnsi"/>
          <w:i/>
          <w:lang w:val="sq-AL"/>
        </w:rPr>
      </w:pPr>
      <w:r w:rsidRPr="007904FF">
        <w:rPr>
          <w:rFonts w:asciiTheme="minorHAnsi" w:hAnsiTheme="minorHAnsi"/>
          <w:i/>
          <w:lang w:val="sq-AL"/>
        </w:rPr>
        <w:t>Rregullimi i procedurave për menaxhimin e situatave të bllokimit të miratimit të buxheteve nga këshillat e vetëqeverisjes vendore;</w:t>
      </w:r>
    </w:p>
    <w:p w:rsidR="00CB4875" w:rsidRPr="00CB4875" w:rsidRDefault="00CB4875" w:rsidP="00CB4875">
      <w:pPr>
        <w:pStyle w:val="ListParagraph"/>
        <w:spacing w:line="276" w:lineRule="auto"/>
        <w:ind w:left="900"/>
        <w:jc w:val="both"/>
        <w:rPr>
          <w:rFonts w:asciiTheme="minorHAnsi" w:hAnsiTheme="minorHAnsi"/>
          <w:i/>
          <w:sz w:val="20"/>
          <w:lang w:val="sq-AL"/>
        </w:rPr>
      </w:pPr>
    </w:p>
    <w:p w:rsidR="00CE3733" w:rsidRPr="00444289" w:rsidRDefault="009E4504" w:rsidP="00A40986">
      <w:pPr>
        <w:pStyle w:val="Heading2"/>
        <w:spacing w:line="276" w:lineRule="auto"/>
        <w:ind w:left="720" w:hanging="720"/>
        <w:rPr>
          <w:rFonts w:asciiTheme="minorHAnsi" w:hAnsiTheme="minorHAnsi"/>
          <w:noProof/>
          <w:color w:val="4F81BD" w:themeColor="accent1"/>
          <w:sz w:val="28"/>
          <w:szCs w:val="24"/>
          <w:lang w:val="sq-AL"/>
        </w:rPr>
      </w:pPr>
      <w:bookmarkStart w:id="11" w:name="_Toc486582883"/>
      <w:r w:rsidRPr="00444289">
        <w:rPr>
          <w:rFonts w:asciiTheme="minorHAnsi" w:hAnsiTheme="minorHAnsi"/>
          <w:noProof/>
          <w:color w:val="4F81BD" w:themeColor="accent1"/>
          <w:sz w:val="28"/>
          <w:szCs w:val="24"/>
          <w:lang w:val="sq-AL"/>
        </w:rPr>
        <w:t>I</w:t>
      </w:r>
      <w:r w:rsidR="00CB4875">
        <w:rPr>
          <w:rFonts w:asciiTheme="minorHAnsi" w:hAnsiTheme="minorHAnsi"/>
          <w:noProof/>
          <w:color w:val="4F81BD" w:themeColor="accent1"/>
          <w:sz w:val="28"/>
          <w:szCs w:val="24"/>
          <w:lang w:val="sq-AL"/>
        </w:rPr>
        <w:t>II</w:t>
      </w:r>
      <w:r w:rsidRPr="00444289">
        <w:rPr>
          <w:rFonts w:asciiTheme="minorHAnsi" w:hAnsiTheme="minorHAnsi"/>
          <w:noProof/>
          <w:color w:val="4F81BD" w:themeColor="accent1"/>
          <w:sz w:val="28"/>
          <w:szCs w:val="24"/>
          <w:lang w:val="sq-AL"/>
        </w:rPr>
        <w:t>.2</w:t>
      </w:r>
      <w:r w:rsidRPr="00444289">
        <w:rPr>
          <w:rFonts w:asciiTheme="minorHAnsi" w:hAnsiTheme="minorHAnsi"/>
          <w:noProof/>
          <w:color w:val="4F81BD" w:themeColor="accent1"/>
          <w:sz w:val="28"/>
          <w:szCs w:val="24"/>
          <w:lang w:val="sq-AL"/>
        </w:rPr>
        <w:tab/>
      </w:r>
      <w:r w:rsidR="002570C3" w:rsidRPr="00444289">
        <w:rPr>
          <w:rFonts w:asciiTheme="minorHAnsi" w:hAnsiTheme="minorHAnsi"/>
          <w:noProof/>
          <w:color w:val="4F81BD" w:themeColor="accent1"/>
          <w:sz w:val="28"/>
          <w:szCs w:val="24"/>
          <w:lang w:val="sq-AL"/>
        </w:rPr>
        <w:t>Shpenzimet e P</w:t>
      </w:r>
      <w:r w:rsidR="00F268DF" w:rsidRPr="00444289">
        <w:rPr>
          <w:rFonts w:asciiTheme="minorHAnsi" w:hAnsiTheme="minorHAnsi"/>
          <w:noProof/>
          <w:color w:val="4F81BD" w:themeColor="accent1"/>
          <w:sz w:val="28"/>
          <w:szCs w:val="24"/>
          <w:lang w:val="sq-AL"/>
        </w:rPr>
        <w:t>ë</w:t>
      </w:r>
      <w:r w:rsidR="002570C3" w:rsidRPr="00444289">
        <w:rPr>
          <w:rFonts w:asciiTheme="minorHAnsi" w:hAnsiTheme="minorHAnsi"/>
          <w:noProof/>
          <w:color w:val="4F81BD" w:themeColor="accent1"/>
          <w:sz w:val="28"/>
          <w:szCs w:val="24"/>
          <w:lang w:val="sq-AL"/>
        </w:rPr>
        <w:t>rgjithshme</w:t>
      </w:r>
      <w:r w:rsidR="005D6734" w:rsidRPr="00444289">
        <w:rPr>
          <w:rFonts w:asciiTheme="minorHAnsi" w:hAnsiTheme="minorHAnsi"/>
          <w:noProof/>
          <w:color w:val="4F81BD" w:themeColor="accent1"/>
          <w:sz w:val="28"/>
          <w:szCs w:val="24"/>
          <w:lang w:val="sq-AL"/>
        </w:rPr>
        <w:t xml:space="preserve"> </w:t>
      </w:r>
      <w:r w:rsidR="00CB4875">
        <w:rPr>
          <w:rFonts w:asciiTheme="minorHAnsi" w:hAnsiTheme="minorHAnsi"/>
          <w:noProof/>
          <w:color w:val="4F81BD" w:themeColor="accent1"/>
          <w:sz w:val="28"/>
          <w:szCs w:val="24"/>
          <w:lang w:val="sq-AL"/>
        </w:rPr>
        <w:t xml:space="preserve">Buxhetore </w:t>
      </w:r>
      <w:r w:rsidR="005D6734" w:rsidRPr="00444289">
        <w:rPr>
          <w:rFonts w:asciiTheme="minorHAnsi" w:hAnsiTheme="minorHAnsi"/>
          <w:noProof/>
          <w:color w:val="4F81BD" w:themeColor="accent1"/>
          <w:sz w:val="28"/>
          <w:szCs w:val="24"/>
          <w:lang w:val="sq-AL"/>
        </w:rPr>
        <w:t>gjat</w:t>
      </w:r>
      <w:r w:rsidR="006B2026" w:rsidRPr="00444289">
        <w:rPr>
          <w:rFonts w:asciiTheme="minorHAnsi" w:hAnsiTheme="minorHAnsi"/>
          <w:noProof/>
          <w:color w:val="4F81BD" w:themeColor="accent1"/>
          <w:sz w:val="28"/>
          <w:szCs w:val="24"/>
          <w:lang w:val="sq-AL"/>
        </w:rPr>
        <w:t>ë</w:t>
      </w:r>
      <w:r w:rsidR="005D6734" w:rsidRPr="00444289">
        <w:rPr>
          <w:rFonts w:asciiTheme="minorHAnsi" w:hAnsiTheme="minorHAnsi"/>
          <w:noProof/>
          <w:color w:val="4F81BD" w:themeColor="accent1"/>
          <w:sz w:val="28"/>
          <w:szCs w:val="24"/>
          <w:lang w:val="sq-AL"/>
        </w:rPr>
        <w:t xml:space="preserve"> periudh</w:t>
      </w:r>
      <w:r w:rsidR="006B2026" w:rsidRPr="00444289">
        <w:rPr>
          <w:rFonts w:asciiTheme="minorHAnsi" w:hAnsiTheme="minorHAnsi"/>
          <w:noProof/>
          <w:color w:val="4F81BD" w:themeColor="accent1"/>
          <w:sz w:val="28"/>
          <w:szCs w:val="24"/>
          <w:lang w:val="sq-AL"/>
        </w:rPr>
        <w:t>ë</w:t>
      </w:r>
      <w:r w:rsidR="005D6734" w:rsidRPr="00444289">
        <w:rPr>
          <w:rFonts w:asciiTheme="minorHAnsi" w:hAnsiTheme="minorHAnsi"/>
          <w:noProof/>
          <w:color w:val="4F81BD" w:themeColor="accent1"/>
          <w:sz w:val="28"/>
          <w:szCs w:val="24"/>
          <w:lang w:val="sq-AL"/>
        </w:rPr>
        <w:t>s janar-maj 2017</w:t>
      </w:r>
      <w:bookmarkEnd w:id="11"/>
    </w:p>
    <w:p w:rsidR="00A06C7D" w:rsidRPr="00444289" w:rsidRDefault="00A06C7D" w:rsidP="00A06C7D">
      <w:pPr>
        <w:spacing w:line="276" w:lineRule="auto"/>
        <w:jc w:val="both"/>
        <w:rPr>
          <w:rFonts w:asciiTheme="minorHAnsi" w:hAnsiTheme="minorHAnsi"/>
          <w:lang w:val="sq-AL"/>
        </w:rPr>
      </w:pPr>
      <w:r w:rsidRPr="00444289">
        <w:rPr>
          <w:rFonts w:asciiTheme="minorHAnsi" w:hAnsiTheme="minorHAnsi"/>
          <w:lang w:val="sq-AL"/>
        </w:rPr>
        <w:t>Zbatimi i buxhetit të shtetit në kohë dhe në respekt të përcaktimeve ligjore, përveçse një faktor orientues, është edhe një instrument stimulues për aktivitetin ekonomik nëpërmjet ekzekutimit të shpenzimeve publike. Realizimi me efektivitet i shpenzimeve buxhetore sipas programit, mbetet një prioritet i Qeverisë, duke krijuar në këtë mënyrë një pasqyrë të saktë të shpenzimeve të realizuara për pesëmujorin e parë të vitit 2017. Ministria e Financave ka kontribuar në lehtësimin e këtij procesi duke harmonizuar kërkesat e institucioneve buxhetore me politikën fiskale të Qeverisë dhe si rezultat i monitorimit të vazhdueshëm, ka trajtuar me kompetencë çdo specifikë të luhatjes së shpenzimeve qeveritare.</w:t>
      </w:r>
    </w:p>
    <w:p w:rsidR="00A06C7D" w:rsidRPr="00193EF8" w:rsidRDefault="00A06C7D" w:rsidP="00A06C7D">
      <w:pPr>
        <w:spacing w:line="276" w:lineRule="auto"/>
        <w:ind w:firstLine="720"/>
        <w:jc w:val="both"/>
        <w:rPr>
          <w:rFonts w:asciiTheme="minorHAnsi" w:eastAsia="SimSun" w:hAnsiTheme="minorHAnsi"/>
          <w:lang w:val="sq-AL"/>
        </w:rPr>
      </w:pPr>
      <w:r w:rsidRPr="00193EF8">
        <w:rPr>
          <w:rFonts w:asciiTheme="minorHAnsi" w:eastAsia="SimSun" w:hAnsiTheme="minorHAnsi"/>
          <w:b/>
          <w:bCs/>
          <w:lang w:val="sq-AL"/>
        </w:rPr>
        <w:t>Shpenzimet e përgjithshme publike</w:t>
      </w:r>
      <w:r w:rsidRPr="00193EF8">
        <w:rPr>
          <w:rFonts w:asciiTheme="minorHAnsi" w:eastAsia="SimSun" w:hAnsiTheme="minorHAnsi"/>
          <w:bCs/>
          <w:lang w:val="sq-AL"/>
        </w:rPr>
        <w:t xml:space="preserve">, për muajin e pestë të </w:t>
      </w:r>
      <w:r>
        <w:rPr>
          <w:rFonts w:asciiTheme="minorHAnsi" w:eastAsia="SimSun" w:hAnsiTheme="minorHAnsi"/>
          <w:bCs/>
          <w:lang w:val="sq-AL"/>
        </w:rPr>
        <w:t>vitit 2017, arritën në rreth 170.45</w:t>
      </w:r>
      <w:r w:rsidRPr="00193EF8">
        <w:rPr>
          <w:rFonts w:asciiTheme="minorHAnsi" w:eastAsia="SimSun" w:hAnsiTheme="minorHAnsi"/>
          <w:bCs/>
          <w:lang w:val="sq-AL"/>
        </w:rPr>
        <w:t xml:space="preserve"> miliardë LEK me një realizim në masën 100</w:t>
      </w:r>
      <w:r>
        <w:rPr>
          <w:rFonts w:asciiTheme="minorHAnsi" w:eastAsia="SimSun" w:hAnsiTheme="minorHAnsi"/>
          <w:bCs/>
          <w:lang w:val="sq-AL"/>
        </w:rPr>
        <w:t>.3</w:t>
      </w:r>
      <w:r w:rsidRPr="00193EF8">
        <w:rPr>
          <w:rFonts w:asciiTheme="minorHAnsi" w:eastAsia="SimSun" w:hAnsiTheme="minorHAnsi"/>
          <w:bCs/>
          <w:lang w:val="sq-AL"/>
        </w:rPr>
        <w:t xml:space="preserve"> përqind të planit të periudhës, </w:t>
      </w:r>
      <w:r w:rsidRPr="00193EF8">
        <w:rPr>
          <w:rFonts w:asciiTheme="minorHAnsi" w:eastAsia="SimSun" w:hAnsiTheme="minorHAnsi"/>
          <w:lang w:val="sq-AL"/>
        </w:rPr>
        <w:t>n</w:t>
      </w:r>
      <w:r w:rsidRPr="00193EF8">
        <w:rPr>
          <w:rFonts w:asciiTheme="minorHAnsi" w:hAnsiTheme="minorHAnsi"/>
          <w:lang w:val="sq-AL"/>
        </w:rPr>
        <w:t xml:space="preserve">dërsa krahasuar me të njëjtën </w:t>
      </w:r>
      <w:r w:rsidRPr="00193EF8">
        <w:rPr>
          <w:rFonts w:asciiTheme="minorHAnsi" w:eastAsia="SimSun" w:hAnsiTheme="minorHAnsi"/>
          <w:lang w:val="sq-AL"/>
        </w:rPr>
        <w:t xml:space="preserve">periudhë të vitit 2016 ky zë ka rezultuar </w:t>
      </w:r>
      <w:r>
        <w:rPr>
          <w:rFonts w:asciiTheme="minorHAnsi" w:eastAsia="SimSun" w:hAnsiTheme="minorHAnsi"/>
          <w:lang w:val="sq-AL"/>
        </w:rPr>
        <w:t>17.1</w:t>
      </w:r>
      <w:r w:rsidRPr="00193EF8">
        <w:rPr>
          <w:rFonts w:asciiTheme="minorHAnsi" w:eastAsia="SimSun" w:hAnsiTheme="minorHAnsi"/>
          <w:lang w:val="sq-AL"/>
        </w:rPr>
        <w:t xml:space="preserve"> pë</w:t>
      </w:r>
      <w:r>
        <w:rPr>
          <w:rFonts w:asciiTheme="minorHAnsi" w:eastAsia="SimSun" w:hAnsiTheme="minorHAnsi"/>
          <w:lang w:val="sq-AL"/>
        </w:rPr>
        <w:t>rqind më i lartë ose rreth 24.86</w:t>
      </w:r>
      <w:r w:rsidRPr="00193EF8">
        <w:rPr>
          <w:rFonts w:asciiTheme="minorHAnsi" w:eastAsia="SimSun" w:hAnsiTheme="minorHAnsi"/>
          <w:lang w:val="sq-AL"/>
        </w:rPr>
        <w:t xml:space="preserve"> miliardë LEK më shumë.</w:t>
      </w:r>
      <w:r w:rsidRPr="00193EF8">
        <w:rPr>
          <w:rFonts w:asciiTheme="minorHAnsi" w:eastAsia="SimSun" w:hAnsiTheme="minorHAnsi"/>
          <w:bCs/>
          <w:lang w:val="sq-AL"/>
        </w:rPr>
        <w:t xml:space="preserve"> </w:t>
      </w:r>
      <w:r w:rsidRPr="00193EF8">
        <w:rPr>
          <w:rFonts w:asciiTheme="minorHAnsi" w:eastAsia="SimSun" w:hAnsiTheme="minorHAnsi"/>
          <w:i/>
          <w:lang w:val="sq-AL"/>
        </w:rPr>
        <w:t>Në terma vjetorë</w:t>
      </w:r>
      <w:r w:rsidRPr="00193EF8">
        <w:rPr>
          <w:rFonts w:asciiTheme="minorHAnsi" w:eastAsia="SimSun" w:hAnsiTheme="minorHAnsi"/>
          <w:lang w:val="sq-AL"/>
        </w:rPr>
        <w:t>, shpenzimet e përgjithshme për 5 mujorin e parë t</w:t>
      </w:r>
      <w:r>
        <w:rPr>
          <w:rFonts w:asciiTheme="minorHAnsi" w:eastAsia="SimSun" w:hAnsiTheme="minorHAnsi"/>
          <w:lang w:val="sq-AL"/>
        </w:rPr>
        <w:t>ë 2017 u realizuan në masën 36.5</w:t>
      </w:r>
      <w:r w:rsidRPr="00193EF8">
        <w:rPr>
          <w:rFonts w:asciiTheme="minorHAnsi" w:eastAsia="SimSun" w:hAnsiTheme="minorHAnsi"/>
          <w:lang w:val="sq-AL"/>
        </w:rPr>
        <w:t xml:space="preserve"> përqind të planit vjetor. </w:t>
      </w:r>
    </w:p>
    <w:p w:rsidR="00A06C7D" w:rsidRPr="00193EF8" w:rsidRDefault="00A06C7D" w:rsidP="00A06C7D">
      <w:pPr>
        <w:spacing w:line="276" w:lineRule="auto"/>
        <w:ind w:firstLine="720"/>
        <w:jc w:val="both"/>
        <w:rPr>
          <w:rFonts w:asciiTheme="minorHAnsi" w:eastAsia="SimSun" w:hAnsiTheme="minorHAnsi"/>
          <w:lang w:val="sq-AL"/>
        </w:rPr>
      </w:pPr>
      <w:r w:rsidRPr="00193EF8">
        <w:rPr>
          <w:rFonts w:asciiTheme="minorHAnsi" w:hAnsiTheme="minorHAnsi"/>
          <w:b/>
          <w:lang w:val="sq-AL"/>
        </w:rPr>
        <w:t>Shpenzimet korente</w:t>
      </w:r>
      <w:r w:rsidRPr="00193EF8">
        <w:rPr>
          <w:rFonts w:asciiTheme="minorHAnsi" w:eastAsia="SimSun" w:hAnsiTheme="minorHAnsi"/>
          <w:b/>
          <w:lang w:val="sq-AL"/>
        </w:rPr>
        <w:t xml:space="preserve"> dhe ato kapitale</w:t>
      </w:r>
      <w:r w:rsidRPr="00193EF8">
        <w:rPr>
          <w:rFonts w:asciiTheme="minorHAnsi" w:hAnsiTheme="minorHAnsi"/>
          <w:lang w:val="sq-AL"/>
        </w:rPr>
        <w:t>, ka</w:t>
      </w:r>
      <w:r>
        <w:rPr>
          <w:rFonts w:asciiTheme="minorHAnsi" w:hAnsiTheme="minorHAnsi"/>
          <w:lang w:val="sq-AL"/>
        </w:rPr>
        <w:t xml:space="preserve">në shënuar një realizim optimal, respektivisht </w:t>
      </w:r>
      <w:r w:rsidRPr="00193EF8">
        <w:rPr>
          <w:rFonts w:asciiTheme="minorHAnsi" w:hAnsiTheme="minorHAnsi"/>
          <w:lang w:val="sq-AL"/>
        </w:rPr>
        <w:t xml:space="preserve">në masën 100 përqind </w:t>
      </w:r>
      <w:r>
        <w:rPr>
          <w:rFonts w:asciiTheme="minorHAnsi" w:hAnsiTheme="minorHAnsi"/>
          <w:lang w:val="sq-AL"/>
        </w:rPr>
        <w:t>dhe 101.4</w:t>
      </w:r>
      <w:r w:rsidRPr="00F524AF">
        <w:rPr>
          <w:rFonts w:asciiTheme="minorHAnsi" w:hAnsiTheme="minorHAnsi"/>
          <w:lang w:val="sq-AL"/>
        </w:rPr>
        <w:t xml:space="preserve"> </w:t>
      </w:r>
      <w:r w:rsidRPr="00193EF8">
        <w:rPr>
          <w:rFonts w:asciiTheme="minorHAnsi" w:hAnsiTheme="minorHAnsi"/>
          <w:lang w:val="sq-AL"/>
        </w:rPr>
        <w:t>përqind</w:t>
      </w:r>
      <w:r>
        <w:rPr>
          <w:rFonts w:asciiTheme="minorHAnsi" w:hAnsiTheme="minorHAnsi"/>
          <w:lang w:val="sq-AL"/>
        </w:rPr>
        <w:t xml:space="preserve"> </w:t>
      </w:r>
      <w:r w:rsidRPr="00193EF8">
        <w:rPr>
          <w:rFonts w:asciiTheme="minorHAnsi" w:eastAsia="SimSun" w:hAnsiTheme="minorHAnsi"/>
          <w:lang w:val="sq-AL"/>
        </w:rPr>
        <w:t xml:space="preserve">të planit të periudhës. Ndërkohë që, </w:t>
      </w:r>
      <w:r w:rsidRPr="00193EF8">
        <w:rPr>
          <w:rFonts w:asciiTheme="minorHAnsi" w:eastAsia="SimSun" w:hAnsiTheme="minorHAnsi"/>
          <w:i/>
          <w:lang w:val="sq-AL"/>
        </w:rPr>
        <w:t>në terma vjetorë</w:t>
      </w:r>
      <w:r>
        <w:rPr>
          <w:rFonts w:asciiTheme="minorHAnsi" w:eastAsia="SimSun" w:hAnsiTheme="minorHAnsi"/>
          <w:lang w:val="sq-AL"/>
        </w:rPr>
        <w:t xml:space="preserve"> ato janë realizuar</w:t>
      </w:r>
      <w:r w:rsidRPr="00193EF8">
        <w:rPr>
          <w:rFonts w:asciiTheme="minorHAnsi" w:eastAsia="SimSun" w:hAnsiTheme="minorHAnsi"/>
          <w:lang w:val="sq-AL"/>
        </w:rPr>
        <w:t xml:space="preserve"> përkatësisht në </w:t>
      </w:r>
      <w:r>
        <w:rPr>
          <w:rFonts w:asciiTheme="minorHAnsi" w:eastAsia="SimSun" w:hAnsiTheme="minorHAnsi"/>
          <w:lang w:val="sq-AL"/>
        </w:rPr>
        <w:t>37.7 përqind dhe 29.9</w:t>
      </w:r>
      <w:r w:rsidRPr="00193EF8">
        <w:rPr>
          <w:rFonts w:asciiTheme="minorHAnsi" w:eastAsia="SimSun" w:hAnsiTheme="minorHAnsi"/>
          <w:lang w:val="sq-AL"/>
        </w:rPr>
        <w:t xml:space="preserve"> përqind të tij. </w:t>
      </w:r>
    </w:p>
    <w:p w:rsidR="00A06C7D"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Tabela </w:t>
      </w:r>
      <w:r w:rsidR="000B3625">
        <w:rPr>
          <w:rFonts w:asciiTheme="minorHAnsi" w:eastAsia="SimSun" w:hAnsiTheme="minorHAnsi"/>
          <w:i/>
          <w:lang w:val="sq-AL"/>
        </w:rPr>
        <w:t>9</w:t>
      </w:r>
      <w:r>
        <w:rPr>
          <w:rFonts w:asciiTheme="minorHAnsi" w:eastAsia="SimSun" w:hAnsiTheme="minorHAnsi"/>
          <w:i/>
          <w:lang w:val="sq-AL"/>
        </w:rPr>
        <w:t>:</w:t>
      </w:r>
      <w:r>
        <w:rPr>
          <w:rFonts w:asciiTheme="minorHAnsi" w:eastAsia="SimSun" w:hAnsiTheme="minorHAnsi"/>
          <w:i/>
          <w:lang w:val="sq-AL"/>
        </w:rPr>
        <w:tab/>
      </w:r>
      <w:r w:rsidR="00AC0C8D">
        <w:rPr>
          <w:rFonts w:asciiTheme="minorHAnsi" w:eastAsia="SimSun" w:hAnsiTheme="minorHAnsi"/>
          <w:i/>
          <w:lang w:val="sq-AL"/>
        </w:rPr>
        <w:t xml:space="preserve">Shpenzimet e </w:t>
      </w:r>
      <w:r w:rsidRPr="00193EF8">
        <w:rPr>
          <w:rFonts w:asciiTheme="minorHAnsi" w:eastAsia="SimSun" w:hAnsiTheme="minorHAnsi"/>
          <w:i/>
          <w:lang w:val="sq-AL"/>
        </w:rPr>
        <w:t>konsoliduar</w:t>
      </w:r>
      <w:r w:rsidR="00AC0C8D">
        <w:rPr>
          <w:rFonts w:asciiTheme="minorHAnsi" w:eastAsia="SimSun" w:hAnsiTheme="minorHAnsi"/>
          <w:i/>
          <w:lang w:val="sq-AL"/>
        </w:rPr>
        <w:t>a</w:t>
      </w:r>
      <w:r w:rsidRPr="00193EF8">
        <w:rPr>
          <w:rFonts w:asciiTheme="minorHAnsi" w:eastAsia="SimSun" w:hAnsiTheme="minorHAnsi"/>
          <w:i/>
          <w:lang w:val="sq-AL"/>
        </w:rPr>
        <w:t xml:space="preserve"> për 5 mujorin e vitit 2017 (në milion LEK).</w:t>
      </w:r>
    </w:p>
    <w:p w:rsidR="00A06C7D" w:rsidRPr="00193EF8" w:rsidRDefault="00A06C7D" w:rsidP="00A06C7D">
      <w:pPr>
        <w:spacing w:line="276" w:lineRule="auto"/>
        <w:ind w:left="270" w:right="656"/>
        <w:jc w:val="center"/>
        <w:rPr>
          <w:rFonts w:asciiTheme="minorHAnsi" w:eastAsia="SimSun" w:hAnsiTheme="minorHAnsi"/>
          <w:i/>
          <w:lang w:val="sq-AL"/>
        </w:rPr>
      </w:pPr>
      <w:r w:rsidRPr="00F524AF">
        <w:rPr>
          <w:rFonts w:eastAsia="SimSun"/>
          <w:noProof/>
        </w:rPr>
        <w:drawing>
          <wp:inline distT="0" distB="0" distL="0" distR="0" wp14:anchorId="67ABCC6C" wp14:editId="44CE3E79">
            <wp:extent cx="5718412" cy="13919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9801" cy="1392258"/>
                    </a:xfrm>
                    <a:prstGeom prst="rect">
                      <a:avLst/>
                    </a:prstGeom>
                    <a:noFill/>
                    <a:ln>
                      <a:noFill/>
                    </a:ln>
                  </pic:spPr>
                </pic:pic>
              </a:graphicData>
            </a:graphic>
          </wp:inline>
        </w:drawing>
      </w:r>
    </w:p>
    <w:p w:rsidR="00A06C7D" w:rsidRPr="00193EF8" w:rsidRDefault="00A06C7D" w:rsidP="00A06C7D">
      <w:pPr>
        <w:spacing w:line="276" w:lineRule="auto"/>
        <w:ind w:firstLine="450"/>
        <w:rPr>
          <w:rFonts w:asciiTheme="minorHAnsi" w:eastAsia="SimSun" w:hAnsiTheme="minorHAnsi"/>
          <w:i/>
          <w:sz w:val="20"/>
          <w:lang w:val="sq-AL"/>
        </w:rPr>
      </w:pPr>
      <w:r w:rsidRPr="00193EF8">
        <w:rPr>
          <w:rFonts w:asciiTheme="minorHAnsi" w:eastAsia="SimSun" w:hAnsiTheme="minorHAnsi"/>
          <w:i/>
          <w:sz w:val="20"/>
          <w:lang w:val="sq-AL"/>
        </w:rPr>
        <w:t>Burimi: Ministria e Financave (2017)</w:t>
      </w:r>
    </w:p>
    <w:p w:rsidR="00A06C7D" w:rsidRPr="0085454B" w:rsidRDefault="00A06C7D" w:rsidP="00A06C7D">
      <w:pPr>
        <w:spacing w:line="276" w:lineRule="auto"/>
        <w:ind w:firstLine="720"/>
        <w:jc w:val="both"/>
        <w:rPr>
          <w:rFonts w:asciiTheme="minorHAnsi" w:eastAsia="SimSun" w:hAnsiTheme="minorHAnsi"/>
          <w:b/>
          <w:sz w:val="12"/>
          <w:szCs w:val="12"/>
          <w:lang w:val="sq-AL"/>
        </w:rPr>
      </w:pPr>
    </w:p>
    <w:p w:rsidR="00A06C7D" w:rsidRPr="00193EF8" w:rsidRDefault="00A06C7D" w:rsidP="00A06C7D">
      <w:pPr>
        <w:spacing w:line="276" w:lineRule="auto"/>
        <w:ind w:firstLine="720"/>
        <w:jc w:val="both"/>
        <w:rPr>
          <w:rFonts w:asciiTheme="minorHAnsi" w:eastAsia="SimSun" w:hAnsiTheme="minorHAnsi"/>
          <w:lang w:val="sq-AL"/>
        </w:rPr>
      </w:pPr>
      <w:r w:rsidRPr="00193EF8">
        <w:rPr>
          <w:rFonts w:asciiTheme="minorHAnsi" w:eastAsia="SimSun" w:hAnsiTheme="minorHAnsi"/>
          <w:b/>
          <w:lang w:val="sq-AL"/>
        </w:rPr>
        <w:t>Shpenzimet korente</w:t>
      </w:r>
      <w:r w:rsidRPr="00193EF8">
        <w:rPr>
          <w:rFonts w:asciiTheme="minorHAnsi" w:eastAsia="SimSun" w:hAnsiTheme="minorHAnsi"/>
          <w:lang w:val="sq-AL"/>
        </w:rPr>
        <w:t xml:space="preserve"> në raport me planin 5 mujor të këtij viti rezultuan në rreth 147.1</w:t>
      </w:r>
      <w:r>
        <w:rPr>
          <w:rFonts w:asciiTheme="minorHAnsi" w:eastAsia="SimSun" w:hAnsiTheme="minorHAnsi"/>
          <w:lang w:val="sq-AL"/>
        </w:rPr>
        <w:t>4</w:t>
      </w:r>
      <w:r w:rsidRPr="00193EF8">
        <w:rPr>
          <w:rFonts w:asciiTheme="minorHAnsi" w:eastAsia="SimSun" w:hAnsiTheme="minorHAnsi"/>
          <w:lang w:val="sq-AL"/>
        </w:rPr>
        <w:t xml:space="preserve"> miliardë LEK, ndërsa krahasuar me të njëjtën periudhë të një viti më parë ky zë ka rezultuar 11.7 përqind më i lartë ose rreth 15.45 miliard LEK më shumë. </w:t>
      </w:r>
    </w:p>
    <w:p w:rsidR="00A06C7D" w:rsidRPr="00193EF8" w:rsidRDefault="00A06C7D" w:rsidP="00A06C7D">
      <w:pPr>
        <w:spacing w:line="276" w:lineRule="auto"/>
        <w:ind w:firstLine="720"/>
        <w:jc w:val="both"/>
        <w:rPr>
          <w:rFonts w:asciiTheme="minorHAnsi" w:eastAsia="SimSun" w:hAnsiTheme="minorHAnsi"/>
          <w:lang w:val="sq-AL"/>
        </w:rPr>
      </w:pPr>
      <w:r w:rsidRPr="00193EF8">
        <w:rPr>
          <w:rFonts w:asciiTheme="minorHAnsi" w:eastAsia="SimSun" w:hAnsiTheme="minorHAnsi"/>
          <w:b/>
          <w:lang w:val="sq-AL"/>
        </w:rPr>
        <w:t>Shpenzimet kapitale</w:t>
      </w:r>
      <w:r w:rsidRPr="00193EF8">
        <w:rPr>
          <w:rFonts w:asciiTheme="minorHAnsi" w:eastAsia="SimSun" w:hAnsiTheme="minorHAnsi"/>
          <w:lang w:val="sq-AL"/>
        </w:rPr>
        <w:t xml:space="preserve"> për 5 mujorin e vitit 2017 paraqesin </w:t>
      </w:r>
      <w:r>
        <w:rPr>
          <w:rFonts w:asciiTheme="minorHAnsi" w:eastAsia="SimSun" w:hAnsiTheme="minorHAnsi"/>
          <w:lang w:val="sq-AL"/>
        </w:rPr>
        <w:t>një realizim në masën rreth 22.27</w:t>
      </w:r>
      <w:r w:rsidRPr="00193EF8">
        <w:rPr>
          <w:rFonts w:asciiTheme="minorHAnsi" w:eastAsia="SimSun" w:hAnsiTheme="minorHAnsi"/>
          <w:lang w:val="sq-AL"/>
        </w:rPr>
        <w:t xml:space="preserve"> miliardë LEK. Krahasuar me të njëjtën periud</w:t>
      </w:r>
      <w:r>
        <w:rPr>
          <w:rFonts w:asciiTheme="minorHAnsi" w:eastAsia="SimSun" w:hAnsiTheme="minorHAnsi"/>
          <w:lang w:val="sq-AL"/>
        </w:rPr>
        <w:t>hë të vitit 2016, ky zë është 59.7</w:t>
      </w:r>
      <w:r w:rsidRPr="00193EF8">
        <w:rPr>
          <w:rFonts w:asciiTheme="minorHAnsi" w:eastAsia="SimSun" w:hAnsiTheme="minorHAnsi"/>
          <w:lang w:val="sq-AL"/>
        </w:rPr>
        <w:t xml:space="preserve"> p</w:t>
      </w:r>
      <w:r>
        <w:rPr>
          <w:rFonts w:asciiTheme="minorHAnsi" w:eastAsia="SimSun" w:hAnsiTheme="minorHAnsi"/>
          <w:lang w:val="sq-AL"/>
        </w:rPr>
        <w:t>ërqind më i lartë ose rreth 8.33</w:t>
      </w:r>
      <w:r w:rsidRPr="00193EF8">
        <w:rPr>
          <w:rFonts w:asciiTheme="minorHAnsi" w:eastAsia="SimSun" w:hAnsiTheme="minorHAnsi"/>
          <w:lang w:val="sq-AL"/>
        </w:rPr>
        <w:t xml:space="preserve"> miliard LEK më shumë. </w:t>
      </w:r>
    </w:p>
    <w:p w:rsidR="00A06C7D" w:rsidRPr="00193EF8" w:rsidRDefault="00A06C7D" w:rsidP="00A06C7D">
      <w:pPr>
        <w:spacing w:line="276" w:lineRule="auto"/>
        <w:ind w:firstLine="720"/>
        <w:jc w:val="both"/>
        <w:rPr>
          <w:rFonts w:asciiTheme="minorHAnsi" w:eastAsia="SimSun" w:hAnsiTheme="minorHAnsi"/>
          <w:lang w:val="sq-AL"/>
        </w:rPr>
      </w:pPr>
      <w:r w:rsidRPr="00193EF8">
        <w:rPr>
          <w:rFonts w:asciiTheme="minorHAnsi" w:eastAsia="SimSun" w:hAnsiTheme="minorHAnsi"/>
          <w:b/>
          <w:lang w:val="sq-AL"/>
        </w:rPr>
        <w:t>Niveli i sufiçitit</w:t>
      </w:r>
      <w:r w:rsidRPr="00193EF8">
        <w:rPr>
          <w:rFonts w:asciiTheme="minorHAnsi" w:eastAsia="SimSun" w:hAnsiTheme="minorHAnsi"/>
          <w:lang w:val="sq-AL"/>
        </w:rPr>
        <w:t xml:space="preserve"> në 5 mujorin e parë të vitit 2017 rezultoi rreth 6</w:t>
      </w:r>
      <w:r>
        <w:rPr>
          <w:rFonts w:asciiTheme="minorHAnsi" w:eastAsia="SimSun" w:hAnsiTheme="minorHAnsi"/>
          <w:lang w:val="sq-AL"/>
        </w:rPr>
        <w:t>.3 miliardë LEK, ose rreth 11.89</w:t>
      </w:r>
      <w:r w:rsidRPr="00193EF8">
        <w:rPr>
          <w:rFonts w:asciiTheme="minorHAnsi" w:eastAsia="SimSun" w:hAnsiTheme="minorHAnsi"/>
          <w:lang w:val="sq-AL"/>
        </w:rPr>
        <w:t xml:space="preserve"> miliardë LEK më i ulët se e njëjta periu</w:t>
      </w:r>
      <w:r>
        <w:rPr>
          <w:rFonts w:asciiTheme="minorHAnsi" w:eastAsia="SimSun" w:hAnsiTheme="minorHAnsi"/>
          <w:lang w:val="sq-AL"/>
        </w:rPr>
        <w:t>dhë e një viti më parë, ose 65.4</w:t>
      </w:r>
      <w:r w:rsidRPr="00193EF8">
        <w:rPr>
          <w:rFonts w:asciiTheme="minorHAnsi" w:eastAsia="SimSun" w:hAnsiTheme="minorHAnsi"/>
          <w:lang w:val="sq-AL"/>
        </w:rPr>
        <w:t xml:space="preserve"> përqind më pak. </w:t>
      </w:r>
    </w:p>
    <w:p w:rsidR="00A06C7D" w:rsidRPr="00193EF8" w:rsidRDefault="00A06C7D" w:rsidP="00A06C7D">
      <w:pPr>
        <w:spacing w:line="276" w:lineRule="auto"/>
        <w:rPr>
          <w:rFonts w:asciiTheme="minorHAnsi" w:eastAsia="SimSun" w:hAnsiTheme="minorHAnsi"/>
          <w:i/>
          <w:sz w:val="8"/>
          <w:szCs w:val="8"/>
          <w:lang w:val="sq-AL"/>
        </w:rPr>
      </w:pPr>
    </w:p>
    <w:p w:rsidR="00A06C7D"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Grafiku 1</w:t>
      </w:r>
      <w:r w:rsidR="000B3625">
        <w:rPr>
          <w:rFonts w:asciiTheme="minorHAnsi" w:eastAsia="SimSun" w:hAnsiTheme="minorHAnsi"/>
          <w:i/>
          <w:lang w:val="sq-AL"/>
        </w:rPr>
        <w:t>3</w:t>
      </w:r>
      <w:r>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e përgjithshme dhe ritmi i rritjes së tyre (në miliard LEK)</w:t>
      </w:r>
    </w:p>
    <w:p w:rsidR="00A06C7D" w:rsidRPr="00193EF8" w:rsidRDefault="00A06C7D" w:rsidP="00A06C7D">
      <w:pPr>
        <w:spacing w:line="276" w:lineRule="auto"/>
        <w:jc w:val="center"/>
        <w:rPr>
          <w:rFonts w:asciiTheme="minorHAnsi" w:eastAsia="SimSun" w:hAnsiTheme="minorHAnsi"/>
          <w:i/>
          <w:lang w:val="sq-AL"/>
        </w:rPr>
      </w:pPr>
      <w:r>
        <w:rPr>
          <w:rFonts w:asciiTheme="minorHAnsi" w:eastAsia="SimSun" w:hAnsiTheme="minorHAnsi"/>
          <w:i/>
          <w:noProof/>
        </w:rPr>
        <w:drawing>
          <wp:inline distT="0" distB="0" distL="0" distR="0" wp14:anchorId="373F8FBC" wp14:editId="1C79E8BB">
            <wp:extent cx="5370195" cy="2593075"/>
            <wp:effectExtent l="38100" t="38100" r="97155" b="933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7314" cy="2596512"/>
                    </a:xfrm>
                    <a:prstGeom prst="rect">
                      <a:avLst/>
                    </a:prstGeom>
                    <a:effectLst>
                      <a:outerShdw blurRad="50800" dist="38100" dir="2700000" algn="tl" rotWithShape="0">
                        <a:prstClr val="black">
                          <a:alpha val="40000"/>
                        </a:prstClr>
                      </a:outerShdw>
                    </a:effectLst>
                  </pic:spPr>
                </pic:pic>
              </a:graphicData>
            </a:graphic>
          </wp:inline>
        </w:drawing>
      </w:r>
    </w:p>
    <w:p w:rsidR="00A06C7D" w:rsidRPr="00193EF8" w:rsidRDefault="00A06C7D" w:rsidP="00A06C7D">
      <w:pPr>
        <w:spacing w:line="276" w:lineRule="auto"/>
        <w:ind w:firstLine="720"/>
        <w:rPr>
          <w:rFonts w:asciiTheme="minorHAnsi" w:eastAsia="SimSun" w:hAnsiTheme="minorHAnsi"/>
          <w:i/>
          <w:sz w:val="20"/>
          <w:lang w:val="sq-AL"/>
        </w:rPr>
      </w:pPr>
      <w:r w:rsidRPr="00193EF8">
        <w:rPr>
          <w:rFonts w:asciiTheme="minorHAnsi" w:eastAsia="SimSun" w:hAnsiTheme="minorHAnsi"/>
          <w:i/>
          <w:sz w:val="20"/>
          <w:lang w:val="sq-AL"/>
        </w:rPr>
        <w:t>Burimi: Ministria e Financave (2017)</w:t>
      </w:r>
    </w:p>
    <w:p w:rsidR="00A06C7D" w:rsidRPr="00A06C7D" w:rsidRDefault="00A06C7D" w:rsidP="00A06C7D">
      <w:pPr>
        <w:spacing w:line="276" w:lineRule="auto"/>
        <w:ind w:firstLine="720"/>
        <w:jc w:val="both"/>
        <w:rPr>
          <w:rFonts w:asciiTheme="minorHAnsi" w:eastAsia="SimSun" w:hAnsiTheme="minorHAnsi"/>
          <w:b/>
          <w:sz w:val="16"/>
          <w:szCs w:val="12"/>
          <w:lang w:val="sq-AL"/>
        </w:rPr>
      </w:pPr>
    </w:p>
    <w:p w:rsidR="00A06C7D" w:rsidRDefault="00A06C7D" w:rsidP="00A06C7D">
      <w:pPr>
        <w:spacing w:line="276" w:lineRule="auto"/>
        <w:ind w:firstLine="720"/>
        <w:jc w:val="both"/>
        <w:rPr>
          <w:rFonts w:asciiTheme="minorHAnsi" w:eastAsia="SimSun" w:hAnsiTheme="minorHAnsi"/>
          <w:lang w:val="sq-AL"/>
        </w:rPr>
      </w:pPr>
      <w:r w:rsidRPr="00193EF8">
        <w:rPr>
          <w:rFonts w:asciiTheme="minorHAnsi" w:eastAsia="SimSun" w:hAnsiTheme="minorHAnsi"/>
          <w:b/>
          <w:lang w:val="sq-AL"/>
        </w:rPr>
        <w:t>Shpenzimet korente</w:t>
      </w:r>
      <w:r w:rsidRPr="00193EF8">
        <w:rPr>
          <w:rFonts w:asciiTheme="minorHAnsi" w:eastAsia="SimSun" w:hAnsiTheme="minorHAnsi"/>
          <w:lang w:val="sq-AL"/>
        </w:rPr>
        <w:t xml:space="preserve"> në raport me planin 5 mujor të këtij viti, paraqesin një realizim prej 100 përqind, duke rezultuar në rreth 147.1</w:t>
      </w:r>
      <w:r>
        <w:rPr>
          <w:rFonts w:asciiTheme="minorHAnsi" w:eastAsia="SimSun" w:hAnsiTheme="minorHAnsi"/>
          <w:lang w:val="sq-AL"/>
        </w:rPr>
        <w:t>4</w:t>
      </w:r>
      <w:r w:rsidRPr="00193EF8">
        <w:rPr>
          <w:rFonts w:asciiTheme="minorHAnsi" w:eastAsia="SimSun" w:hAnsiTheme="minorHAnsi"/>
          <w:lang w:val="sq-AL"/>
        </w:rPr>
        <w:t xml:space="preserve"> miliardë LEK. Zërat kryesorë që ndikuan në nivelin e realizimit të shpenzimeve korrente kundrejt planit 5 mujor janë përkatësisht: shpenzimet e personelit me 98.6 përqind, shpenzimet për fondet speciale me 96.6 përqind, shpenzimet operative mirëmbajtje me 93.6 përqind (</w:t>
      </w:r>
      <w:r w:rsidRPr="00193EF8">
        <w:rPr>
          <w:rFonts w:asciiTheme="minorHAnsi" w:eastAsia="SimSun" w:hAnsiTheme="minorHAnsi"/>
          <w:i/>
          <w:lang w:val="sq-AL"/>
        </w:rPr>
        <w:t>duke konsideruar alokimet nga fondi rezervë dhe kontigjenca</w:t>
      </w:r>
      <w:r w:rsidRPr="00193EF8">
        <w:rPr>
          <w:rFonts w:asciiTheme="minorHAnsi" w:eastAsia="SimSun" w:hAnsiTheme="minorHAnsi"/>
          <w:lang w:val="sq-AL"/>
        </w:rPr>
        <w:t>) dhe shpenzimet e tjera sociale me 94.7 përqind. Niveli i realizimit të shpenzimeve publike, është shoqëruar me nj</w:t>
      </w:r>
      <w:r>
        <w:rPr>
          <w:rFonts w:asciiTheme="minorHAnsi" w:eastAsia="SimSun" w:hAnsiTheme="minorHAnsi"/>
          <w:lang w:val="sq-AL"/>
        </w:rPr>
        <w:t>ë nivel sufiçiti prej rreth 6.3</w:t>
      </w:r>
      <w:r w:rsidRPr="00193EF8">
        <w:rPr>
          <w:rFonts w:asciiTheme="minorHAnsi" w:eastAsia="SimSun" w:hAnsiTheme="minorHAnsi"/>
          <w:lang w:val="sq-AL"/>
        </w:rPr>
        <w:t xml:space="preserve"> miliardë LEK.</w:t>
      </w:r>
    </w:p>
    <w:p w:rsidR="00A06C7D" w:rsidRPr="00193EF8" w:rsidRDefault="00A06C7D" w:rsidP="00A06C7D">
      <w:pPr>
        <w:spacing w:line="276" w:lineRule="auto"/>
        <w:rPr>
          <w:rFonts w:asciiTheme="minorHAnsi" w:eastAsia="SimSun" w:hAnsiTheme="minorHAnsi"/>
          <w:i/>
          <w:sz w:val="8"/>
          <w:szCs w:val="8"/>
          <w:lang w:val="sq-AL"/>
        </w:rPr>
      </w:pPr>
    </w:p>
    <w:p w:rsidR="00A06C7D" w:rsidRDefault="00A06C7D" w:rsidP="00A06C7D">
      <w:pPr>
        <w:spacing w:line="276" w:lineRule="auto"/>
        <w:rPr>
          <w:rFonts w:asciiTheme="minorHAnsi" w:eastAsia="SimSun" w:hAnsiTheme="minorHAnsi"/>
          <w:i/>
          <w:lang w:val="sq-AL"/>
        </w:rPr>
      </w:pPr>
    </w:p>
    <w:p w:rsidR="00A06C7D" w:rsidRDefault="00A06C7D" w:rsidP="00A06C7D">
      <w:pPr>
        <w:spacing w:line="276" w:lineRule="auto"/>
        <w:rPr>
          <w:rFonts w:asciiTheme="minorHAnsi" w:eastAsia="SimSun" w:hAnsiTheme="minorHAnsi"/>
          <w:i/>
          <w:lang w:val="sq-AL"/>
        </w:rPr>
      </w:pPr>
    </w:p>
    <w:p w:rsidR="00A06C7D" w:rsidRPr="00193EF8"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14</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Korente dhe ritmi i rritjes së tyre (në miliard LEK)</w:t>
      </w:r>
    </w:p>
    <w:p w:rsidR="00A06C7D" w:rsidRPr="00193EF8" w:rsidRDefault="00A06C7D" w:rsidP="00A06C7D">
      <w:pPr>
        <w:spacing w:line="276" w:lineRule="auto"/>
        <w:ind w:firstLine="90"/>
        <w:jc w:val="center"/>
        <w:rPr>
          <w:rFonts w:asciiTheme="minorHAnsi" w:eastAsia="SimSun" w:hAnsiTheme="minorHAnsi"/>
          <w:i/>
          <w:lang w:val="sq-AL"/>
        </w:rPr>
      </w:pPr>
      <w:r w:rsidRPr="00193EF8">
        <w:rPr>
          <w:rFonts w:asciiTheme="minorHAnsi" w:eastAsia="SimSun" w:hAnsiTheme="minorHAnsi"/>
          <w:i/>
          <w:noProof/>
        </w:rPr>
        <w:drawing>
          <wp:inline distT="0" distB="0" distL="0" distR="0" wp14:anchorId="0BE201B6" wp14:editId="78686A4C">
            <wp:extent cx="5280025" cy="2674620"/>
            <wp:effectExtent l="38100" t="38100" r="92075" b="876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7058" cy="2683248"/>
                    </a:xfrm>
                    <a:prstGeom prst="rect">
                      <a:avLst/>
                    </a:prstGeom>
                    <a:effectLst>
                      <a:outerShdw blurRad="50800" dist="38100" dir="2700000" algn="tl" rotWithShape="0">
                        <a:prstClr val="black">
                          <a:alpha val="40000"/>
                        </a:prstClr>
                      </a:outerShdw>
                    </a:effectLst>
                  </pic:spPr>
                </pic:pic>
              </a:graphicData>
            </a:graphic>
          </wp:inline>
        </w:drawing>
      </w:r>
    </w:p>
    <w:p w:rsidR="00A06C7D" w:rsidRPr="00193EF8" w:rsidRDefault="00A06C7D" w:rsidP="00A06C7D">
      <w:pPr>
        <w:spacing w:line="276" w:lineRule="auto"/>
        <w:rPr>
          <w:rFonts w:asciiTheme="minorHAnsi" w:eastAsia="SimSun" w:hAnsiTheme="minorHAnsi"/>
          <w:i/>
          <w:sz w:val="20"/>
          <w:lang w:val="sq-AL"/>
        </w:rPr>
      </w:pPr>
      <w:r w:rsidRPr="00193EF8">
        <w:rPr>
          <w:rFonts w:asciiTheme="minorHAnsi" w:eastAsia="SimSun" w:hAnsiTheme="minorHAnsi"/>
          <w:i/>
          <w:sz w:val="20"/>
          <w:lang w:val="sq-AL"/>
        </w:rPr>
        <w:t xml:space="preserve">             Burimi: Ministria e Financave (2017)</w:t>
      </w:r>
    </w:p>
    <w:p w:rsidR="00A06C7D" w:rsidRPr="00A06C7D" w:rsidRDefault="00A06C7D" w:rsidP="00A06C7D">
      <w:pPr>
        <w:spacing w:line="276" w:lineRule="auto"/>
        <w:jc w:val="both"/>
        <w:rPr>
          <w:rFonts w:asciiTheme="minorHAnsi" w:eastAsia="SimSun" w:hAnsiTheme="minorHAnsi"/>
          <w:i/>
          <w:sz w:val="16"/>
          <w:szCs w:val="8"/>
          <w:lang w:val="sq-AL"/>
        </w:rPr>
      </w:pPr>
    </w:p>
    <w:p w:rsidR="00A06C7D" w:rsidRPr="00193EF8" w:rsidRDefault="00A06C7D" w:rsidP="00A06C7D">
      <w:pPr>
        <w:spacing w:line="276" w:lineRule="auto"/>
        <w:jc w:val="both"/>
        <w:rPr>
          <w:rFonts w:asciiTheme="minorHAnsi" w:eastAsia="SimSun" w:hAnsiTheme="minorHAnsi"/>
          <w:b/>
          <w:lang w:val="sq-AL"/>
        </w:rPr>
      </w:pPr>
      <w:r w:rsidRPr="00193EF8">
        <w:rPr>
          <w:rFonts w:asciiTheme="minorHAnsi" w:eastAsia="SimSun" w:hAnsiTheme="minorHAnsi"/>
          <w:i/>
          <w:lang w:val="sq-AL"/>
        </w:rPr>
        <w:t>Shpenzimet e Personelit</w:t>
      </w:r>
      <w:r w:rsidRPr="00193EF8">
        <w:rPr>
          <w:rFonts w:asciiTheme="minorHAnsi" w:eastAsia="SimSun" w:hAnsiTheme="minorHAnsi"/>
          <w:lang w:val="sq-AL"/>
        </w:rPr>
        <w:t xml:space="preserve"> gjatë muajit </w:t>
      </w:r>
      <w:r>
        <w:rPr>
          <w:rFonts w:asciiTheme="minorHAnsi" w:eastAsia="SimSun" w:hAnsiTheme="minorHAnsi"/>
          <w:lang w:val="sq-AL"/>
        </w:rPr>
        <w:t>m</w:t>
      </w:r>
      <w:r w:rsidRPr="00193EF8">
        <w:rPr>
          <w:rFonts w:asciiTheme="minorHAnsi" w:eastAsia="SimSun" w:hAnsiTheme="minorHAnsi"/>
          <w:lang w:val="sq-AL"/>
        </w:rPr>
        <w:t>aj 2017, përfaqësuan 19.5 përqind të totalit të shpenzimeve korente. Niveli i shpenzimeve faktike të personelit prej rreth 28.7 miliard LEK, realizon nivelin e parashikuar për këtë zë në planin e periudhës 5 mujore, në masën 98.6 përqind. K</w:t>
      </w:r>
      <w:r w:rsidRPr="00193EF8">
        <w:rPr>
          <w:rFonts w:asciiTheme="minorHAnsi" w:hAnsiTheme="minorHAnsi"/>
          <w:lang w:val="sq-AL"/>
        </w:rPr>
        <w:t xml:space="preserve">rahasuar me të njëjtën </w:t>
      </w:r>
      <w:r w:rsidRPr="00193EF8">
        <w:rPr>
          <w:rFonts w:asciiTheme="minorHAnsi" w:eastAsia="SimSun" w:hAnsiTheme="minorHAnsi"/>
          <w:lang w:val="sq-AL"/>
        </w:rPr>
        <w:t>periudh</w:t>
      </w:r>
      <w:r>
        <w:rPr>
          <w:rFonts w:asciiTheme="minorHAnsi" w:eastAsia="SimSun" w:hAnsiTheme="minorHAnsi"/>
          <w:lang w:val="sq-AL"/>
        </w:rPr>
        <w:t>ë të vitit 2016, ky zë është 4</w:t>
      </w:r>
      <w:r w:rsidRPr="00193EF8">
        <w:rPr>
          <w:rFonts w:asciiTheme="minorHAnsi" w:eastAsia="SimSun" w:hAnsiTheme="minorHAnsi"/>
          <w:lang w:val="sq-AL"/>
        </w:rPr>
        <w:t xml:space="preserve"> përqind më i lartë ose rreth 1.1 miliard më shumë.</w:t>
      </w:r>
    </w:p>
    <w:p w:rsidR="00A06C7D" w:rsidRPr="00CB4875" w:rsidRDefault="00A06C7D" w:rsidP="00A06C7D">
      <w:pPr>
        <w:spacing w:line="276" w:lineRule="auto"/>
        <w:rPr>
          <w:rFonts w:asciiTheme="minorHAnsi" w:eastAsia="SimSun" w:hAnsiTheme="minorHAnsi"/>
          <w:i/>
          <w:sz w:val="8"/>
          <w:szCs w:val="8"/>
          <w:lang w:val="sq-AL"/>
        </w:rPr>
      </w:pPr>
    </w:p>
    <w:p w:rsidR="00A06C7D"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15</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e Personelit dhe ritmi i rritjes së tyre (në miliard LEK)</w:t>
      </w:r>
    </w:p>
    <w:p w:rsidR="00A06C7D" w:rsidRPr="00193EF8" w:rsidRDefault="00A06C7D" w:rsidP="00A06C7D">
      <w:pPr>
        <w:tabs>
          <w:tab w:val="left" w:pos="630"/>
          <w:tab w:val="left" w:pos="8820"/>
          <w:tab w:val="left" w:pos="9000"/>
        </w:tabs>
        <w:spacing w:line="276" w:lineRule="auto"/>
        <w:ind w:left="630" w:hanging="540"/>
        <w:jc w:val="center"/>
        <w:rPr>
          <w:rFonts w:asciiTheme="minorHAnsi" w:eastAsia="SimSun" w:hAnsiTheme="minorHAnsi"/>
          <w:i/>
          <w:lang w:val="sq-AL"/>
        </w:rPr>
      </w:pPr>
      <w:r>
        <w:rPr>
          <w:rFonts w:asciiTheme="minorHAnsi" w:eastAsia="SimSun" w:hAnsiTheme="minorHAnsi"/>
          <w:i/>
          <w:noProof/>
        </w:rPr>
        <w:drawing>
          <wp:inline distT="0" distB="0" distL="0" distR="0" wp14:anchorId="58C2D4E0" wp14:editId="456D8B89">
            <wp:extent cx="5233493" cy="2796540"/>
            <wp:effectExtent l="38100" t="38100" r="100965" b="990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1878" cy="2806364"/>
                    </a:xfrm>
                    <a:prstGeom prst="rect">
                      <a:avLst/>
                    </a:prstGeom>
                    <a:noFill/>
                    <a:effectLst>
                      <a:outerShdw blurRad="50800" dist="38100" dir="2700000" algn="tl" rotWithShape="0">
                        <a:prstClr val="black">
                          <a:alpha val="40000"/>
                        </a:prstClr>
                      </a:outerShdw>
                    </a:effectLst>
                  </pic:spPr>
                </pic:pic>
              </a:graphicData>
            </a:graphic>
          </wp:inline>
        </w:drawing>
      </w:r>
    </w:p>
    <w:p w:rsidR="00A06C7D" w:rsidRPr="00A40986" w:rsidRDefault="00A06C7D" w:rsidP="00A06C7D">
      <w:pPr>
        <w:spacing w:line="276" w:lineRule="auto"/>
        <w:ind w:firstLine="630"/>
        <w:rPr>
          <w:rFonts w:asciiTheme="minorHAnsi" w:eastAsia="SimSun" w:hAnsiTheme="minorHAnsi"/>
          <w:i/>
          <w:sz w:val="20"/>
          <w:lang w:val="sq-AL"/>
        </w:rPr>
      </w:pPr>
      <w:r w:rsidRPr="00A40986">
        <w:rPr>
          <w:rFonts w:asciiTheme="minorHAnsi" w:eastAsia="SimSun" w:hAnsiTheme="minorHAnsi"/>
          <w:i/>
          <w:sz w:val="20"/>
          <w:lang w:val="sq-AL"/>
        </w:rPr>
        <w:t>Burimi: Ministria e Financave (2017)</w:t>
      </w:r>
    </w:p>
    <w:p w:rsidR="00A06C7D" w:rsidRPr="0085454B" w:rsidRDefault="00A06C7D" w:rsidP="00A06C7D">
      <w:pPr>
        <w:spacing w:line="276" w:lineRule="auto"/>
        <w:jc w:val="both"/>
        <w:rPr>
          <w:rFonts w:asciiTheme="minorHAnsi" w:eastAsia="SimSun" w:hAnsiTheme="minorHAnsi"/>
          <w:i/>
          <w:sz w:val="12"/>
          <w:szCs w:val="8"/>
          <w:lang w:val="sq-AL"/>
        </w:rPr>
      </w:pPr>
    </w:p>
    <w:p w:rsidR="00A06C7D" w:rsidRPr="00193EF8" w:rsidRDefault="00A06C7D" w:rsidP="00A06C7D">
      <w:pPr>
        <w:spacing w:line="276" w:lineRule="auto"/>
        <w:jc w:val="both"/>
        <w:rPr>
          <w:rFonts w:asciiTheme="minorHAnsi" w:eastAsia="SimSun" w:hAnsiTheme="minorHAnsi"/>
          <w:i/>
          <w:lang w:val="sq-AL"/>
        </w:rPr>
      </w:pPr>
      <w:r w:rsidRPr="00193EF8">
        <w:rPr>
          <w:rFonts w:asciiTheme="minorHAnsi" w:eastAsia="SimSun" w:hAnsiTheme="minorHAnsi"/>
          <w:i/>
          <w:lang w:val="sq-AL"/>
        </w:rPr>
        <w:t>Shpenzimet për Paga</w:t>
      </w:r>
      <w:r w:rsidRPr="00193EF8">
        <w:rPr>
          <w:rFonts w:asciiTheme="minorHAnsi" w:eastAsia="SimSun" w:hAnsiTheme="minorHAnsi"/>
          <w:lang w:val="sq-AL"/>
        </w:rPr>
        <w:t xml:space="preserve"> në fund të 5 mujorit 2017 u realizuan në masën rreth 24.7 miliard LEK, duke qenë 4 përqind më të larta se e njëjta </w:t>
      </w:r>
      <w:r>
        <w:rPr>
          <w:rFonts w:asciiTheme="minorHAnsi" w:eastAsia="SimSun" w:hAnsiTheme="minorHAnsi"/>
          <w:lang w:val="sq-AL"/>
        </w:rPr>
        <w:t>periudhë e vitit 2016, ose 940</w:t>
      </w:r>
      <w:r w:rsidRPr="00193EF8">
        <w:rPr>
          <w:rFonts w:asciiTheme="minorHAnsi" w:eastAsia="SimSun" w:hAnsiTheme="minorHAnsi"/>
          <w:lang w:val="sq-AL"/>
        </w:rPr>
        <w:t xml:space="preserve"> milion </w:t>
      </w:r>
      <w:r>
        <w:rPr>
          <w:rFonts w:asciiTheme="minorHAnsi" w:eastAsia="SimSun" w:hAnsiTheme="minorHAnsi"/>
          <w:lang w:val="sq-AL"/>
        </w:rPr>
        <w:t>LEK</w:t>
      </w:r>
      <w:r w:rsidRPr="00193EF8">
        <w:rPr>
          <w:rFonts w:asciiTheme="minorHAnsi" w:eastAsia="SimSun" w:hAnsiTheme="minorHAnsi"/>
          <w:lang w:val="sq-AL"/>
        </w:rPr>
        <w:t xml:space="preserve"> më shumë. Për rrjedhojë, edhe shpenzimet për siguri</w:t>
      </w:r>
      <w:r>
        <w:rPr>
          <w:rFonts w:asciiTheme="minorHAnsi" w:eastAsia="SimSun" w:hAnsiTheme="minorHAnsi"/>
          <w:lang w:val="sq-AL"/>
        </w:rPr>
        <w:t xml:space="preserve">me shoqërore rezultuan në masën </w:t>
      </w:r>
      <w:r w:rsidRPr="00193EF8">
        <w:rPr>
          <w:rFonts w:asciiTheme="minorHAnsi" w:eastAsia="SimSun" w:hAnsiTheme="minorHAnsi"/>
          <w:lang w:val="sq-AL"/>
        </w:rPr>
        <w:t>3.9</w:t>
      </w:r>
      <w:r>
        <w:rPr>
          <w:rFonts w:asciiTheme="minorHAnsi" w:eastAsia="SimSun" w:hAnsiTheme="minorHAnsi"/>
          <w:lang w:val="sq-AL"/>
        </w:rPr>
        <w:t>6</w:t>
      </w:r>
      <w:r w:rsidRPr="00193EF8">
        <w:rPr>
          <w:rFonts w:asciiTheme="minorHAnsi" w:eastAsia="SimSun" w:hAnsiTheme="minorHAnsi"/>
          <w:lang w:val="sq-AL"/>
        </w:rPr>
        <w:t xml:space="preserve"> përqind më të larta se një vit më parë. Realizimi faktik i këtyre zërave së bashku, është në nivelin 98.6 përqind krahasuar me planin e periudhës, ose 38.4 përqind e planit vjetor.</w:t>
      </w:r>
      <w:r w:rsidRPr="00193EF8">
        <w:rPr>
          <w:rFonts w:asciiTheme="minorHAnsi" w:eastAsia="SimSun" w:hAnsiTheme="minorHAnsi"/>
          <w:i/>
          <w:lang w:val="sq-AL"/>
        </w:rPr>
        <w:t xml:space="preserve">                   </w:t>
      </w:r>
    </w:p>
    <w:p w:rsidR="00A06C7D" w:rsidRPr="00A40986" w:rsidRDefault="00A06C7D" w:rsidP="00A06C7D">
      <w:pPr>
        <w:spacing w:line="276" w:lineRule="auto"/>
        <w:rPr>
          <w:rFonts w:asciiTheme="minorHAnsi" w:eastAsia="SimSun" w:hAnsiTheme="minorHAnsi"/>
          <w:i/>
          <w:sz w:val="8"/>
          <w:szCs w:val="8"/>
          <w:lang w:val="sq-AL"/>
        </w:rPr>
      </w:pPr>
    </w:p>
    <w:p w:rsidR="00A06C7D" w:rsidRPr="00193EF8"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16</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e Pagave dhe ritmi i rritjes së tyre (në miliard LEK)</w:t>
      </w:r>
    </w:p>
    <w:p w:rsidR="00A06C7D" w:rsidRPr="00193EF8" w:rsidRDefault="00A06C7D" w:rsidP="00A06C7D">
      <w:pPr>
        <w:spacing w:line="276" w:lineRule="auto"/>
        <w:ind w:firstLine="90"/>
        <w:jc w:val="center"/>
        <w:rPr>
          <w:rFonts w:asciiTheme="minorHAnsi" w:eastAsia="SimSun" w:hAnsiTheme="minorHAnsi"/>
          <w:i/>
          <w:lang w:val="sq-AL"/>
        </w:rPr>
      </w:pPr>
      <w:r w:rsidRPr="00193EF8">
        <w:rPr>
          <w:rFonts w:asciiTheme="minorHAnsi" w:eastAsia="SimSun" w:hAnsiTheme="minorHAnsi"/>
          <w:i/>
          <w:noProof/>
        </w:rPr>
        <w:drawing>
          <wp:inline distT="0" distB="0" distL="0" distR="0" wp14:anchorId="168EF1C5" wp14:editId="04DDD4BB">
            <wp:extent cx="5318125" cy="2727960"/>
            <wp:effectExtent l="38100" t="38100" r="92075" b="914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68046" cy="2753567"/>
                    </a:xfrm>
                    <a:prstGeom prst="rect">
                      <a:avLst/>
                    </a:prstGeom>
                    <a:noFill/>
                    <a:effectLst>
                      <a:outerShdw blurRad="50800" dist="38100" dir="2700000" algn="tl" rotWithShape="0">
                        <a:prstClr val="black">
                          <a:alpha val="40000"/>
                        </a:prstClr>
                      </a:outerShdw>
                    </a:effectLst>
                  </pic:spPr>
                </pic:pic>
              </a:graphicData>
            </a:graphic>
          </wp:inline>
        </w:drawing>
      </w:r>
    </w:p>
    <w:p w:rsidR="00A06C7D" w:rsidRPr="00A40986" w:rsidRDefault="00A06C7D" w:rsidP="00A06C7D">
      <w:pPr>
        <w:spacing w:line="276" w:lineRule="auto"/>
        <w:rPr>
          <w:rFonts w:asciiTheme="minorHAnsi" w:eastAsia="SimSun" w:hAnsiTheme="minorHAnsi"/>
          <w:i/>
          <w:sz w:val="20"/>
          <w:lang w:val="sq-AL"/>
        </w:rPr>
      </w:pPr>
      <w:r w:rsidRPr="00A40986">
        <w:rPr>
          <w:rFonts w:asciiTheme="minorHAnsi" w:eastAsia="SimSun" w:hAnsiTheme="minorHAnsi"/>
          <w:i/>
          <w:sz w:val="20"/>
          <w:lang w:val="sq-AL"/>
        </w:rPr>
        <w:t xml:space="preserve">              Burimi: Ministria e Financave (2017)</w:t>
      </w:r>
    </w:p>
    <w:p w:rsidR="00A06C7D" w:rsidRPr="00A06C7D" w:rsidRDefault="00A06C7D" w:rsidP="00A06C7D">
      <w:pPr>
        <w:spacing w:line="276" w:lineRule="auto"/>
        <w:ind w:firstLine="720"/>
        <w:rPr>
          <w:rFonts w:asciiTheme="minorHAnsi" w:eastAsia="SimSun" w:hAnsiTheme="minorHAnsi"/>
          <w:i/>
          <w:sz w:val="16"/>
          <w:szCs w:val="12"/>
          <w:lang w:val="sq-AL"/>
        </w:rPr>
      </w:pPr>
    </w:p>
    <w:p w:rsidR="00A06C7D" w:rsidRPr="00193EF8" w:rsidRDefault="00A06C7D" w:rsidP="00A06C7D">
      <w:pPr>
        <w:spacing w:line="276" w:lineRule="auto"/>
        <w:jc w:val="both"/>
        <w:rPr>
          <w:rFonts w:asciiTheme="minorHAnsi" w:eastAsia="SimSun" w:hAnsiTheme="minorHAnsi"/>
          <w:lang w:val="sq-AL"/>
        </w:rPr>
      </w:pPr>
      <w:r w:rsidRPr="00193EF8">
        <w:rPr>
          <w:rFonts w:asciiTheme="minorHAnsi" w:eastAsia="SimSun" w:hAnsiTheme="minorHAnsi"/>
          <w:i/>
          <w:lang w:val="sq-AL"/>
        </w:rPr>
        <w:t>Shpenzimet për Interesa</w:t>
      </w:r>
      <w:r w:rsidRPr="00193EF8">
        <w:rPr>
          <w:rFonts w:asciiTheme="minorHAnsi" w:eastAsia="SimSun" w:hAnsiTheme="minorHAnsi"/>
          <w:lang w:val="sq-AL"/>
        </w:rPr>
        <w:t xml:space="preserve"> gjatë periudhës 5 mujore 2017 kanë përfaqësuar rreth 8.3 përqind të shpenzimeve korente. Niveli faktik i tyre ka rezultuar në masën 84.7 përqind të planit të periudhës. </w:t>
      </w:r>
      <w:r w:rsidRPr="00193EF8">
        <w:rPr>
          <w:rFonts w:asciiTheme="minorHAnsi" w:hAnsiTheme="minorHAnsi"/>
          <w:lang w:val="sq-AL"/>
        </w:rPr>
        <w:t xml:space="preserve">Në raport me </w:t>
      </w:r>
      <w:r w:rsidRPr="00193EF8">
        <w:rPr>
          <w:rFonts w:asciiTheme="minorHAnsi" w:eastAsia="SimSun" w:hAnsiTheme="minorHAnsi"/>
          <w:lang w:val="sq-AL"/>
        </w:rPr>
        <w:t>planin vjetor prej 42 miliard LEK, në nivel 5 mujori këto shpenzime janë realizuar në masën 28.9 përqind të tij, n</w:t>
      </w:r>
      <w:r w:rsidRPr="00193EF8">
        <w:rPr>
          <w:rFonts w:asciiTheme="minorHAnsi" w:hAnsiTheme="minorHAnsi"/>
          <w:lang w:val="sq-AL"/>
        </w:rPr>
        <w:t xml:space="preserve">dërsa krahasuar me të njëjtën </w:t>
      </w:r>
      <w:r w:rsidRPr="00193EF8">
        <w:rPr>
          <w:rFonts w:asciiTheme="minorHAnsi" w:eastAsia="SimSun" w:hAnsiTheme="minorHAnsi"/>
          <w:lang w:val="sq-AL"/>
        </w:rPr>
        <w:t>periudhë të vitit 2016, ky zë ka rezultuar 17.8 përqind më i ulët, me një kursim nominal në masën rreth 2.63 miliard LEK.</w:t>
      </w:r>
    </w:p>
    <w:p w:rsidR="00A06C7D" w:rsidRPr="00A40986" w:rsidRDefault="00A06C7D" w:rsidP="00A06C7D">
      <w:pPr>
        <w:spacing w:line="276" w:lineRule="auto"/>
        <w:rPr>
          <w:rFonts w:asciiTheme="minorHAnsi" w:eastAsia="SimSun" w:hAnsiTheme="minorHAnsi"/>
          <w:i/>
          <w:sz w:val="8"/>
          <w:szCs w:val="8"/>
          <w:lang w:val="sq-AL"/>
        </w:rPr>
      </w:pPr>
    </w:p>
    <w:p w:rsidR="00A06C7D" w:rsidRPr="00193EF8"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17</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për Interesa (në miliard LEK)</w:t>
      </w:r>
    </w:p>
    <w:p w:rsidR="00A06C7D" w:rsidRPr="00193EF8" w:rsidRDefault="00A06C7D" w:rsidP="00A06C7D">
      <w:pPr>
        <w:spacing w:line="276" w:lineRule="auto"/>
        <w:jc w:val="center"/>
        <w:rPr>
          <w:rFonts w:asciiTheme="minorHAnsi" w:eastAsia="SimSun" w:hAnsiTheme="minorHAnsi"/>
          <w:lang w:val="sq-AL"/>
        </w:rPr>
      </w:pPr>
      <w:r w:rsidRPr="00193EF8">
        <w:rPr>
          <w:rFonts w:asciiTheme="minorHAnsi" w:eastAsia="SimSun" w:hAnsiTheme="minorHAnsi"/>
          <w:noProof/>
        </w:rPr>
        <w:drawing>
          <wp:inline distT="0" distB="0" distL="0" distR="0" wp14:anchorId="4D36CC52" wp14:editId="4A493D15">
            <wp:extent cx="5240020" cy="2644140"/>
            <wp:effectExtent l="38100" t="38100" r="93980" b="990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8617" cy="2653524"/>
                    </a:xfrm>
                    <a:prstGeom prst="rect">
                      <a:avLst/>
                    </a:prstGeom>
                    <a:noFill/>
                    <a:effectLst>
                      <a:outerShdw blurRad="50800" dist="38100" dir="2700000" algn="tl" rotWithShape="0">
                        <a:prstClr val="black">
                          <a:alpha val="40000"/>
                        </a:prstClr>
                      </a:outerShdw>
                    </a:effectLst>
                  </pic:spPr>
                </pic:pic>
              </a:graphicData>
            </a:graphic>
          </wp:inline>
        </w:drawing>
      </w:r>
    </w:p>
    <w:p w:rsidR="00A06C7D" w:rsidRPr="00A40986" w:rsidRDefault="00A06C7D" w:rsidP="00A06C7D">
      <w:pPr>
        <w:spacing w:line="276" w:lineRule="auto"/>
        <w:ind w:firstLine="720"/>
        <w:rPr>
          <w:rFonts w:asciiTheme="minorHAnsi" w:eastAsia="SimSun" w:hAnsiTheme="minorHAnsi"/>
          <w:i/>
          <w:sz w:val="20"/>
          <w:lang w:val="sq-AL"/>
        </w:rPr>
      </w:pPr>
      <w:r w:rsidRPr="00A40986">
        <w:rPr>
          <w:rFonts w:asciiTheme="minorHAnsi" w:eastAsia="SimSun" w:hAnsiTheme="minorHAnsi"/>
          <w:i/>
          <w:sz w:val="20"/>
          <w:lang w:val="sq-AL"/>
        </w:rPr>
        <w:t>Burimi: Ministria e Financave (2017)</w:t>
      </w:r>
    </w:p>
    <w:p w:rsidR="00A06C7D" w:rsidRPr="00A06C7D" w:rsidRDefault="00A06C7D" w:rsidP="00A06C7D">
      <w:pPr>
        <w:spacing w:line="276" w:lineRule="auto"/>
        <w:jc w:val="both"/>
        <w:rPr>
          <w:rFonts w:asciiTheme="minorHAnsi" w:eastAsia="SimSun" w:hAnsiTheme="minorHAnsi"/>
          <w:i/>
          <w:sz w:val="16"/>
          <w:szCs w:val="8"/>
          <w:lang w:val="sq-AL"/>
        </w:rPr>
      </w:pPr>
    </w:p>
    <w:p w:rsidR="00A06C7D" w:rsidRPr="00193EF8" w:rsidRDefault="00A06C7D" w:rsidP="00A06C7D">
      <w:pPr>
        <w:spacing w:line="276" w:lineRule="auto"/>
        <w:jc w:val="both"/>
        <w:rPr>
          <w:rFonts w:asciiTheme="minorHAnsi" w:eastAsia="SimSun" w:hAnsiTheme="minorHAnsi"/>
          <w:lang w:val="sq-AL"/>
        </w:rPr>
      </w:pPr>
      <w:r w:rsidRPr="00193EF8">
        <w:rPr>
          <w:rFonts w:asciiTheme="minorHAnsi" w:eastAsia="SimSun" w:hAnsiTheme="minorHAnsi"/>
          <w:i/>
          <w:lang w:val="sq-AL"/>
        </w:rPr>
        <w:t xml:space="preserve">Shpenzimet Operative &amp; Mirëmbajtje, </w:t>
      </w:r>
      <w:r w:rsidRPr="00193EF8">
        <w:rPr>
          <w:rFonts w:asciiTheme="minorHAnsi" w:eastAsia="SimSun" w:hAnsiTheme="minorHAnsi"/>
          <w:lang w:val="sq-AL"/>
        </w:rPr>
        <w:t>gjatë 5 mujorit që lamë pas, kanë shënuar një realizim në masën 14.58 miliard LEK, ose 32.6 përqind e planit vjetor. K</w:t>
      </w:r>
      <w:r w:rsidRPr="00193EF8">
        <w:rPr>
          <w:rFonts w:asciiTheme="minorHAnsi" w:hAnsiTheme="minorHAnsi"/>
          <w:lang w:val="sq-AL"/>
        </w:rPr>
        <w:t xml:space="preserve">rahasuar me të njëjtën </w:t>
      </w:r>
      <w:r w:rsidRPr="00193EF8">
        <w:rPr>
          <w:rFonts w:asciiTheme="minorHAnsi" w:eastAsia="SimSun" w:hAnsiTheme="minorHAnsi"/>
          <w:lang w:val="sq-AL"/>
        </w:rPr>
        <w:t xml:space="preserve">periudhë të vitit 2016, ky zë ka rezultuar 18 përqind më i lartë, ose rreth 2.2 miliard LEK më shumë.        </w:t>
      </w:r>
    </w:p>
    <w:p w:rsidR="00A06C7D" w:rsidRPr="005E36C5" w:rsidRDefault="00A06C7D" w:rsidP="00A06C7D">
      <w:pPr>
        <w:spacing w:line="276" w:lineRule="auto"/>
        <w:rPr>
          <w:rFonts w:asciiTheme="minorHAnsi" w:eastAsia="SimSun" w:hAnsiTheme="minorHAnsi"/>
          <w:i/>
          <w:sz w:val="8"/>
          <w:szCs w:val="8"/>
          <w:lang w:val="sq-AL"/>
        </w:rPr>
      </w:pPr>
    </w:p>
    <w:p w:rsidR="00A06C7D" w:rsidRDefault="00A06C7D" w:rsidP="00A06C7D">
      <w:pPr>
        <w:spacing w:line="276" w:lineRule="auto"/>
        <w:rPr>
          <w:rFonts w:asciiTheme="minorHAnsi" w:eastAsia="SimSun" w:hAnsiTheme="minorHAnsi"/>
          <w:i/>
          <w:lang w:val="sq-AL"/>
        </w:rPr>
      </w:pPr>
    </w:p>
    <w:p w:rsidR="00A06C7D" w:rsidRPr="00193EF8" w:rsidRDefault="00A06C7D" w:rsidP="00A06C7D">
      <w:pPr>
        <w:spacing w:line="276" w:lineRule="auto"/>
        <w:rPr>
          <w:rFonts w:asciiTheme="minorHAnsi" w:eastAsia="SimSun" w:hAnsiTheme="minorHAns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18</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Operative dhe ritmi i rritjes së tyre (në miliard LEK)</w:t>
      </w:r>
    </w:p>
    <w:p w:rsidR="00A06C7D" w:rsidRPr="00193EF8" w:rsidRDefault="00A06C7D" w:rsidP="00A06C7D">
      <w:pPr>
        <w:spacing w:line="276" w:lineRule="auto"/>
        <w:ind w:left="360" w:hanging="360"/>
        <w:jc w:val="center"/>
        <w:rPr>
          <w:rFonts w:asciiTheme="minorHAnsi" w:eastAsia="SimSun" w:hAnsiTheme="minorHAnsi"/>
          <w:lang w:val="sq-AL"/>
        </w:rPr>
      </w:pPr>
      <w:r w:rsidRPr="00193EF8">
        <w:rPr>
          <w:rFonts w:asciiTheme="minorHAnsi" w:eastAsia="SimSun" w:hAnsiTheme="minorHAnsi"/>
          <w:noProof/>
        </w:rPr>
        <w:drawing>
          <wp:inline distT="0" distB="0" distL="0" distR="0" wp14:anchorId="76B9198E" wp14:editId="36164F01">
            <wp:extent cx="5308600" cy="275082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1847" cy="2762866"/>
                    </a:xfrm>
                    <a:prstGeom prst="rect">
                      <a:avLst/>
                    </a:prstGeom>
                    <a:noFill/>
                  </pic:spPr>
                </pic:pic>
              </a:graphicData>
            </a:graphic>
          </wp:inline>
        </w:drawing>
      </w:r>
    </w:p>
    <w:p w:rsidR="00A06C7D" w:rsidRPr="00FC564A" w:rsidRDefault="00A06C7D" w:rsidP="00A06C7D">
      <w:pPr>
        <w:spacing w:line="276" w:lineRule="auto"/>
        <w:rPr>
          <w:rFonts w:asciiTheme="minorHAnsi" w:eastAsia="SimSun" w:hAnsiTheme="minorHAnsi"/>
          <w:i/>
          <w:sz w:val="20"/>
          <w:lang w:val="sq-AL"/>
        </w:rPr>
      </w:pPr>
      <w:r w:rsidRPr="00FC564A">
        <w:rPr>
          <w:rFonts w:asciiTheme="minorHAnsi" w:eastAsia="SimSun" w:hAnsiTheme="minorHAnsi"/>
          <w:i/>
          <w:sz w:val="20"/>
          <w:lang w:val="sq-AL"/>
        </w:rPr>
        <w:t xml:space="preserve">                  Burimi: Ministria e Financave (2017)</w:t>
      </w:r>
    </w:p>
    <w:p w:rsidR="00A06C7D" w:rsidRPr="00A06C7D" w:rsidRDefault="00A06C7D" w:rsidP="00A06C7D">
      <w:pPr>
        <w:spacing w:line="276" w:lineRule="auto"/>
        <w:jc w:val="both"/>
        <w:rPr>
          <w:rFonts w:asciiTheme="minorHAnsi" w:eastAsia="SimSun" w:hAnsiTheme="minorHAnsi"/>
          <w:i/>
          <w:sz w:val="16"/>
          <w:szCs w:val="12"/>
          <w:lang w:val="sq-AL"/>
        </w:rPr>
      </w:pPr>
    </w:p>
    <w:p w:rsidR="00A06C7D" w:rsidRPr="00193EF8" w:rsidRDefault="00A06C7D" w:rsidP="00A06C7D">
      <w:pPr>
        <w:spacing w:line="276" w:lineRule="auto"/>
        <w:jc w:val="both"/>
        <w:rPr>
          <w:rFonts w:asciiTheme="minorHAnsi" w:eastAsia="SimSun" w:hAnsiTheme="minorHAnsi"/>
          <w:lang w:val="sq-AL"/>
        </w:rPr>
      </w:pPr>
      <w:r w:rsidRPr="00193EF8">
        <w:rPr>
          <w:rFonts w:asciiTheme="minorHAnsi" w:eastAsia="SimSun" w:hAnsiTheme="minorHAnsi"/>
          <w:i/>
          <w:lang w:val="sq-AL"/>
        </w:rPr>
        <w:t>Shpenzimet për Subvencione,</w:t>
      </w:r>
      <w:r w:rsidRPr="00193EF8">
        <w:rPr>
          <w:rFonts w:asciiTheme="minorHAnsi" w:eastAsia="SimSun" w:hAnsiTheme="minorHAnsi"/>
          <w:lang w:val="sq-AL"/>
        </w:rPr>
        <w:t xml:space="preserve"> në fund të periudhës 5 mujore 2017, arritën nivelin 634 milion LEK, </w:t>
      </w:r>
      <w:r w:rsidRPr="00193EF8">
        <w:rPr>
          <w:rFonts w:asciiTheme="minorHAnsi" w:hAnsiTheme="minorHAnsi"/>
          <w:lang w:val="sq-AL"/>
        </w:rPr>
        <w:t xml:space="preserve">me një realizim </w:t>
      </w:r>
      <w:r w:rsidRPr="00193EF8">
        <w:rPr>
          <w:rFonts w:asciiTheme="minorHAnsi" w:eastAsia="SimSun" w:hAnsiTheme="minorHAnsi"/>
          <w:lang w:val="sq-AL"/>
        </w:rPr>
        <w:t xml:space="preserve">në masën 72 përqind ose 246 milion LEK më pak se plani i periudhës. </w:t>
      </w:r>
      <w:r w:rsidRPr="00193EF8">
        <w:rPr>
          <w:rFonts w:asciiTheme="minorHAnsi" w:hAnsiTheme="minorHAnsi"/>
          <w:lang w:val="sq-AL"/>
        </w:rPr>
        <w:t xml:space="preserve">Në raport me planin </w:t>
      </w:r>
      <w:r w:rsidRPr="00193EF8">
        <w:rPr>
          <w:rFonts w:asciiTheme="minorHAnsi" w:eastAsia="SimSun" w:hAnsiTheme="minorHAnsi"/>
          <w:lang w:val="sq-AL"/>
        </w:rPr>
        <w:t xml:space="preserve">vjetor ky zë është realizuar në masën 27.2 përqind, ndërkohë që kundrejt të njëjtës periudhë të vitit 2016 </w:t>
      </w:r>
      <w:r w:rsidRPr="00193EF8">
        <w:rPr>
          <w:rFonts w:asciiTheme="minorHAnsi" w:hAnsiTheme="minorHAnsi"/>
          <w:lang w:val="sq-AL"/>
        </w:rPr>
        <w:t>shpenzimet për subvencione</w:t>
      </w:r>
      <w:r w:rsidRPr="00193EF8">
        <w:rPr>
          <w:rFonts w:asciiTheme="minorHAnsi" w:eastAsia="SimSun" w:hAnsiTheme="minorHAnsi"/>
          <w:lang w:val="sq-AL"/>
        </w:rPr>
        <w:t xml:space="preserve"> rezultojnë 52 përqind më të larta ose 217 milion LEK më shumë.  </w:t>
      </w:r>
    </w:p>
    <w:p w:rsidR="00A06C7D" w:rsidRPr="00FC564A" w:rsidRDefault="00A06C7D" w:rsidP="00A06C7D">
      <w:pPr>
        <w:spacing w:line="276" w:lineRule="auto"/>
        <w:rPr>
          <w:rFonts w:asciiTheme="minorHAnsi" w:eastAsia="SimSun" w:hAnsiTheme="minorHAnsi"/>
          <w:i/>
          <w:sz w:val="8"/>
          <w:szCs w:val="8"/>
          <w:lang w:val="sq-AL"/>
        </w:rPr>
      </w:pPr>
    </w:p>
    <w:p w:rsidR="00A06C7D" w:rsidRPr="00193EF8"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19</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për Subvencione dhe ritmi i rritjes së tyre (në miliard LEK)</w:t>
      </w:r>
    </w:p>
    <w:p w:rsidR="00A06C7D" w:rsidRPr="00193EF8" w:rsidRDefault="00A06C7D" w:rsidP="00A06C7D">
      <w:pPr>
        <w:spacing w:line="276" w:lineRule="auto"/>
        <w:jc w:val="center"/>
        <w:rPr>
          <w:rFonts w:asciiTheme="minorHAnsi" w:eastAsia="SimSun" w:hAnsiTheme="minorHAnsi"/>
          <w:lang w:val="sq-AL"/>
        </w:rPr>
      </w:pPr>
      <w:r w:rsidRPr="00193EF8">
        <w:rPr>
          <w:rFonts w:asciiTheme="minorHAnsi" w:eastAsia="SimSun" w:hAnsiTheme="minorHAnsi"/>
          <w:noProof/>
        </w:rPr>
        <w:drawing>
          <wp:inline distT="0" distB="0" distL="0" distR="0" wp14:anchorId="10E19AEE" wp14:editId="3A014D77">
            <wp:extent cx="5356225" cy="2613660"/>
            <wp:effectExtent l="38100" t="38100" r="34925" b="533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8188" cy="2639016"/>
                    </a:xfrm>
                    <a:prstGeom prst="rect">
                      <a:avLst/>
                    </a:prstGeom>
                    <a:noFill/>
                    <a:effectLst>
                      <a:outerShdw blurRad="50800" dist="38100" dir="2700000" algn="tl" rotWithShape="0">
                        <a:prstClr val="black">
                          <a:alpha val="40000"/>
                        </a:prstClr>
                      </a:outerShdw>
                    </a:effectLst>
                  </pic:spPr>
                </pic:pic>
              </a:graphicData>
            </a:graphic>
          </wp:inline>
        </w:drawing>
      </w:r>
    </w:p>
    <w:p w:rsidR="00A06C7D" w:rsidRPr="00FC564A" w:rsidRDefault="00A06C7D" w:rsidP="00A06C7D">
      <w:pPr>
        <w:spacing w:line="276" w:lineRule="auto"/>
        <w:rPr>
          <w:rFonts w:asciiTheme="minorHAnsi" w:eastAsia="SimSun" w:hAnsiTheme="minorHAnsi"/>
          <w:i/>
          <w:sz w:val="20"/>
          <w:lang w:val="sq-AL"/>
        </w:rPr>
      </w:pPr>
      <w:r w:rsidRPr="00FC564A">
        <w:rPr>
          <w:rFonts w:asciiTheme="minorHAnsi" w:eastAsia="SimSun" w:hAnsiTheme="minorHAnsi"/>
          <w:i/>
          <w:sz w:val="20"/>
          <w:lang w:val="sq-AL"/>
        </w:rPr>
        <w:t xml:space="preserve">          </w:t>
      </w:r>
      <w:r w:rsidRPr="00FC564A">
        <w:rPr>
          <w:rFonts w:asciiTheme="minorHAnsi" w:eastAsia="SimSun" w:hAnsiTheme="minorHAnsi"/>
          <w:i/>
          <w:sz w:val="20"/>
          <w:lang w:val="sq-AL"/>
        </w:rPr>
        <w:tab/>
        <w:t xml:space="preserve"> Burimi: Ministria e Financave (2017)</w:t>
      </w:r>
    </w:p>
    <w:p w:rsidR="00A06C7D" w:rsidRPr="00FC564A" w:rsidRDefault="00A06C7D" w:rsidP="00A06C7D">
      <w:pPr>
        <w:spacing w:line="276" w:lineRule="auto"/>
        <w:ind w:firstLine="720"/>
        <w:jc w:val="both"/>
        <w:rPr>
          <w:rFonts w:asciiTheme="minorHAnsi" w:eastAsia="SimSun" w:hAnsiTheme="minorHAnsi"/>
          <w:i/>
          <w:sz w:val="12"/>
          <w:szCs w:val="12"/>
          <w:lang w:val="sq-AL"/>
        </w:rPr>
      </w:pPr>
    </w:p>
    <w:p w:rsidR="00A06C7D" w:rsidRPr="00193EF8" w:rsidRDefault="00A06C7D" w:rsidP="00A06C7D">
      <w:pPr>
        <w:spacing w:line="276" w:lineRule="auto"/>
        <w:jc w:val="both"/>
        <w:rPr>
          <w:rFonts w:asciiTheme="minorHAnsi" w:eastAsia="SimSun" w:hAnsiTheme="minorHAnsi"/>
          <w:i/>
          <w:lang w:val="sq-AL"/>
        </w:rPr>
      </w:pPr>
      <w:r w:rsidRPr="00193EF8">
        <w:rPr>
          <w:rFonts w:asciiTheme="minorHAnsi" w:eastAsia="SimSun" w:hAnsiTheme="minorHAnsi"/>
          <w:i/>
          <w:lang w:val="sq-AL"/>
        </w:rPr>
        <w:t>Shpenzimet për Fondet Speciale</w:t>
      </w:r>
      <w:r w:rsidRPr="00193EF8">
        <w:rPr>
          <w:rFonts w:asciiTheme="minorHAnsi" w:eastAsia="SimSun" w:hAnsiTheme="minorHAnsi"/>
          <w:lang w:val="sq-AL"/>
        </w:rPr>
        <w:t xml:space="preserve"> </w:t>
      </w:r>
      <w:r w:rsidRPr="00193EF8">
        <w:rPr>
          <w:rFonts w:asciiTheme="minorHAnsi" w:hAnsiTheme="minorHAnsi"/>
          <w:lang w:val="sq-AL"/>
        </w:rPr>
        <w:t xml:space="preserve">për 5 mujorin 2017 </w:t>
      </w:r>
      <w:r w:rsidRPr="00193EF8">
        <w:rPr>
          <w:rFonts w:asciiTheme="minorHAnsi" w:eastAsia="SimSun" w:hAnsiTheme="minorHAnsi"/>
          <w:lang w:val="sq-AL"/>
        </w:rPr>
        <w:t xml:space="preserve">rezultuan në nivelin rreth 63.26 miliard LEK, me një realizim prej 96.6 përqind kundrejt planit të periudhës. Përkatësisht, shpenzimet për Sigurime Shoqërore </w:t>
      </w:r>
      <w:r w:rsidRPr="00193EF8">
        <w:rPr>
          <w:rFonts w:asciiTheme="minorHAnsi" w:hAnsiTheme="minorHAnsi"/>
          <w:lang w:val="sq-AL"/>
        </w:rPr>
        <w:t>u realizuan në masën</w:t>
      </w:r>
      <w:r w:rsidRPr="00193EF8">
        <w:rPr>
          <w:rFonts w:asciiTheme="minorHAnsi" w:eastAsia="SimSun" w:hAnsiTheme="minorHAnsi"/>
          <w:lang w:val="sq-AL"/>
        </w:rPr>
        <w:t xml:space="preserve"> 46.16 miliard LEK dhe </w:t>
      </w:r>
      <w:r w:rsidRPr="00193EF8">
        <w:rPr>
          <w:rFonts w:asciiTheme="minorHAnsi" w:hAnsiTheme="minorHAnsi"/>
          <w:lang w:val="sq-AL"/>
        </w:rPr>
        <w:t>shpenzimet</w:t>
      </w:r>
      <w:r w:rsidRPr="00193EF8">
        <w:rPr>
          <w:rFonts w:asciiTheme="minorHAnsi" w:eastAsia="SimSun" w:hAnsiTheme="minorHAnsi"/>
          <w:lang w:val="sq-AL"/>
        </w:rPr>
        <w:t xml:space="preserve"> për sigurime shëndetësore në rreth 14.06 miliard LEK. Kundrejt të njëjtës periudhë të vitit 2016, shpenzimet për sigurime shoqërore janë rreth 3.1 miliardë LEK më të larta, </w:t>
      </w:r>
      <w:r w:rsidRPr="00193EF8">
        <w:rPr>
          <w:rFonts w:asciiTheme="minorHAnsi" w:hAnsiTheme="minorHAnsi"/>
          <w:lang w:val="sq-AL"/>
        </w:rPr>
        <w:t xml:space="preserve">ndërsa shpenzimet </w:t>
      </w:r>
      <w:r w:rsidRPr="00193EF8">
        <w:rPr>
          <w:rFonts w:asciiTheme="minorHAnsi" w:eastAsia="SimSun" w:hAnsiTheme="minorHAnsi"/>
          <w:lang w:val="sq-AL"/>
        </w:rPr>
        <w:t xml:space="preserve">për </w:t>
      </w:r>
      <w:r>
        <w:rPr>
          <w:rFonts w:asciiTheme="minorHAnsi" w:eastAsia="SimSun" w:hAnsiTheme="minorHAnsi"/>
          <w:lang w:val="sq-AL"/>
        </w:rPr>
        <w:t>sigurime shëndetësore janë</w:t>
      </w:r>
      <w:r w:rsidRPr="00193EF8">
        <w:rPr>
          <w:rFonts w:asciiTheme="minorHAnsi" w:eastAsia="SimSun" w:hAnsiTheme="minorHAnsi"/>
          <w:lang w:val="sq-AL"/>
        </w:rPr>
        <w:t xml:space="preserve"> 629 milion LEK më shumë.</w:t>
      </w:r>
      <w:r w:rsidRPr="00193EF8">
        <w:rPr>
          <w:rFonts w:asciiTheme="minorHAnsi" w:eastAsia="SimSun" w:hAnsiTheme="minorHAnsi"/>
          <w:i/>
          <w:lang w:val="sq-AL"/>
        </w:rPr>
        <w:t xml:space="preserve"> </w:t>
      </w:r>
    </w:p>
    <w:p w:rsidR="00A06C7D" w:rsidRPr="00193EF8" w:rsidRDefault="00A06C7D" w:rsidP="00A06C7D">
      <w:pPr>
        <w:spacing w:line="276" w:lineRule="auto"/>
        <w:jc w:val="both"/>
        <w:rPr>
          <w:rFonts w:asciiTheme="minorHAnsi" w:eastAsia="SimSun" w:hAnsiTheme="minorHAnsi"/>
          <w:i/>
          <w:lang w:val="sq-AL"/>
        </w:rPr>
      </w:pPr>
      <w:r w:rsidRPr="00193EF8">
        <w:rPr>
          <w:rFonts w:asciiTheme="minorHAnsi" w:eastAsia="SimSun" w:hAnsiTheme="minorHAnsi"/>
          <w:i/>
          <w:lang w:val="sq-AL"/>
        </w:rPr>
        <w:t xml:space="preserve">Grafiku </w:t>
      </w:r>
      <w:r>
        <w:rPr>
          <w:rFonts w:asciiTheme="minorHAnsi" w:eastAsia="SimSun" w:hAnsiTheme="minorHAnsi"/>
          <w:i/>
          <w:lang w:val="sq-AL"/>
        </w:rPr>
        <w:t>2</w:t>
      </w:r>
      <w:r w:rsidR="000B3625">
        <w:rPr>
          <w:rFonts w:asciiTheme="minorHAnsi" w:eastAsia="SimSun" w:hAnsiTheme="minorHAnsi"/>
          <w:i/>
          <w:lang w:val="sq-AL"/>
        </w:rPr>
        <w:t>0</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për Sigurime Shoqërore dhe Shëndetësore (në miliard LEK)</w:t>
      </w:r>
    </w:p>
    <w:p w:rsidR="00A06C7D" w:rsidRPr="00193EF8" w:rsidRDefault="00A06C7D" w:rsidP="00A06C7D">
      <w:pPr>
        <w:spacing w:line="276" w:lineRule="auto"/>
        <w:jc w:val="center"/>
        <w:rPr>
          <w:rFonts w:asciiTheme="minorHAnsi" w:eastAsia="SimSun" w:hAnsiTheme="minorHAnsi"/>
          <w:lang w:val="sq-AL"/>
        </w:rPr>
      </w:pPr>
      <w:r w:rsidRPr="00193EF8">
        <w:rPr>
          <w:rFonts w:asciiTheme="minorHAnsi" w:eastAsia="SimSun" w:hAnsiTheme="minorHAnsi"/>
          <w:noProof/>
        </w:rPr>
        <w:drawing>
          <wp:inline distT="0" distB="0" distL="0" distR="0" wp14:anchorId="5F05A020" wp14:editId="75DCD9EB">
            <wp:extent cx="5302250" cy="253746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319040" cy="2545495"/>
                    </a:xfrm>
                    <a:prstGeom prst="rect">
                      <a:avLst/>
                    </a:prstGeom>
                    <a:noFill/>
                  </pic:spPr>
                </pic:pic>
              </a:graphicData>
            </a:graphic>
          </wp:inline>
        </w:drawing>
      </w:r>
    </w:p>
    <w:p w:rsidR="00A06C7D" w:rsidRPr="00FC564A" w:rsidRDefault="00A06C7D" w:rsidP="00A06C7D">
      <w:pPr>
        <w:spacing w:line="276" w:lineRule="auto"/>
        <w:ind w:firstLine="720"/>
        <w:rPr>
          <w:rFonts w:asciiTheme="minorHAnsi" w:eastAsia="SimSun" w:hAnsiTheme="minorHAnsi"/>
          <w:i/>
          <w:sz w:val="20"/>
          <w:lang w:val="sq-AL"/>
        </w:rPr>
      </w:pPr>
      <w:r w:rsidRPr="00FC564A">
        <w:rPr>
          <w:rFonts w:asciiTheme="minorHAnsi" w:eastAsia="SimSun" w:hAnsiTheme="minorHAnsi"/>
          <w:i/>
          <w:sz w:val="20"/>
          <w:lang w:val="sq-AL"/>
        </w:rPr>
        <w:t>Burimi: Ministria e Financave (2017)</w:t>
      </w:r>
    </w:p>
    <w:p w:rsidR="00A06C7D" w:rsidRPr="00FC564A" w:rsidRDefault="00A06C7D" w:rsidP="00A06C7D">
      <w:pPr>
        <w:spacing w:line="276" w:lineRule="auto"/>
        <w:ind w:firstLine="720"/>
        <w:jc w:val="both"/>
        <w:rPr>
          <w:rFonts w:asciiTheme="minorHAnsi" w:eastAsia="SimSun" w:hAnsiTheme="minorHAnsi"/>
          <w:i/>
          <w:sz w:val="12"/>
          <w:szCs w:val="12"/>
          <w:lang w:val="sq-AL"/>
        </w:rPr>
      </w:pPr>
    </w:p>
    <w:p w:rsidR="00A06C7D" w:rsidRPr="00193EF8" w:rsidRDefault="00A06C7D" w:rsidP="00A06C7D">
      <w:pPr>
        <w:spacing w:line="276" w:lineRule="auto"/>
        <w:jc w:val="both"/>
        <w:rPr>
          <w:rFonts w:asciiTheme="minorHAnsi" w:eastAsia="SimSun" w:hAnsiTheme="minorHAnsi"/>
          <w:lang w:val="sq-AL"/>
        </w:rPr>
      </w:pPr>
      <w:r w:rsidRPr="00193EF8">
        <w:rPr>
          <w:rFonts w:asciiTheme="minorHAnsi" w:eastAsia="SimSun" w:hAnsiTheme="minorHAnsi"/>
          <w:i/>
          <w:lang w:val="sq-AL"/>
        </w:rPr>
        <w:t>Shpenzimet për Papunësinë</w:t>
      </w:r>
      <w:r w:rsidRPr="00193EF8">
        <w:rPr>
          <w:rFonts w:asciiTheme="minorHAnsi" w:eastAsia="SimSun" w:hAnsiTheme="minorHAnsi"/>
          <w:lang w:val="sq-AL"/>
        </w:rPr>
        <w:t xml:space="preserve"> </w:t>
      </w:r>
      <w:r w:rsidRPr="00193EF8">
        <w:rPr>
          <w:rFonts w:asciiTheme="minorHAnsi" w:hAnsiTheme="minorHAnsi"/>
          <w:lang w:val="sq-AL"/>
        </w:rPr>
        <w:t xml:space="preserve">për 5 mujorin 2017 </w:t>
      </w:r>
      <w:r w:rsidRPr="00193EF8">
        <w:rPr>
          <w:rFonts w:asciiTheme="minorHAnsi" w:eastAsia="SimSun" w:hAnsiTheme="minorHAnsi"/>
          <w:lang w:val="sq-AL"/>
        </w:rPr>
        <w:t xml:space="preserve">janë realizuar në masën 51.5 përqind e planit të periudhës ose 21 përqind e planit vjetor. Kundrejt të njëtës periudhë të vitit 2016 </w:t>
      </w:r>
      <w:r w:rsidRPr="00193EF8">
        <w:rPr>
          <w:rFonts w:asciiTheme="minorHAnsi" w:hAnsiTheme="minorHAnsi"/>
          <w:lang w:val="sq-AL"/>
        </w:rPr>
        <w:t>shpenzimet për këtë zë</w:t>
      </w:r>
      <w:r w:rsidRPr="00193EF8">
        <w:rPr>
          <w:rFonts w:asciiTheme="minorHAnsi" w:eastAsia="SimSun" w:hAnsiTheme="minorHAnsi"/>
          <w:lang w:val="sq-AL"/>
        </w:rPr>
        <w:t xml:space="preserve"> rezultojnë me një ulje në masën 35.9 përqind, ose 94 milion LEK në terma nominalë.</w:t>
      </w:r>
    </w:p>
    <w:p w:rsidR="00A06C7D" w:rsidRPr="00FC564A" w:rsidRDefault="00A06C7D" w:rsidP="00A06C7D">
      <w:pPr>
        <w:spacing w:line="276" w:lineRule="auto"/>
        <w:jc w:val="both"/>
        <w:rPr>
          <w:rFonts w:asciiTheme="minorHAnsi" w:eastAsia="SimSun" w:hAnsiTheme="minorHAnsi"/>
          <w:i/>
          <w:sz w:val="8"/>
          <w:szCs w:val="8"/>
          <w:lang w:val="sq-AL"/>
        </w:rPr>
      </w:pPr>
    </w:p>
    <w:p w:rsidR="00A06C7D" w:rsidRPr="00193EF8" w:rsidRDefault="00A06C7D" w:rsidP="00A06C7D">
      <w:pPr>
        <w:spacing w:line="276" w:lineRule="auto"/>
        <w:jc w:val="both"/>
        <w:rPr>
          <w:rFonts w:asciiTheme="minorHAnsi" w:eastAsia="SimSun" w:hAnsiTheme="minorHAnsi"/>
          <w:lang w:val="sq-AL"/>
        </w:rPr>
      </w:pPr>
      <w:r w:rsidRPr="00193EF8">
        <w:rPr>
          <w:rFonts w:asciiTheme="minorHAnsi" w:eastAsia="SimSun" w:hAnsiTheme="minorHAnsi"/>
          <w:i/>
          <w:lang w:val="sq-AL"/>
        </w:rPr>
        <w:t>Shpenzimet për Ndihmën Ekonomike dhe Pagesën e Paaftësisë</w:t>
      </w:r>
      <w:r w:rsidRPr="00193EF8">
        <w:rPr>
          <w:rFonts w:asciiTheme="minorHAnsi" w:eastAsia="SimSun" w:hAnsiTheme="minorHAnsi"/>
          <w:lang w:val="sq-AL"/>
        </w:rPr>
        <w:t xml:space="preserve"> (PAK) </w:t>
      </w:r>
      <w:r w:rsidRPr="00193EF8">
        <w:rPr>
          <w:rFonts w:asciiTheme="minorHAnsi" w:hAnsiTheme="minorHAnsi"/>
          <w:lang w:val="sq-AL"/>
        </w:rPr>
        <w:t xml:space="preserve">në 5 mujorin 2017 u realizuan në masën </w:t>
      </w:r>
      <w:r w:rsidRPr="00193EF8">
        <w:rPr>
          <w:rFonts w:asciiTheme="minorHAnsi" w:eastAsia="SimSun" w:hAnsiTheme="minorHAnsi"/>
          <w:lang w:val="sq-AL"/>
        </w:rPr>
        <w:t xml:space="preserve">96.4 përqind ose 302 milion LEK më pak kundrejt planit të periudhës. </w:t>
      </w:r>
      <w:r w:rsidRPr="00193EF8">
        <w:rPr>
          <w:rFonts w:asciiTheme="minorHAnsi" w:hAnsiTheme="minorHAnsi"/>
          <w:lang w:val="sq-AL"/>
        </w:rPr>
        <w:t xml:space="preserve">Në raport me planin vjetor ato janë realizuar </w:t>
      </w:r>
      <w:r w:rsidRPr="00193EF8">
        <w:rPr>
          <w:rFonts w:asciiTheme="minorHAnsi" w:eastAsia="SimSun" w:hAnsiTheme="minorHAnsi"/>
          <w:lang w:val="sq-AL"/>
        </w:rPr>
        <w:t xml:space="preserve">në masën 38.9 përqind të tij. Kundrejt të njëtës periudhë të vitit 2016 </w:t>
      </w:r>
      <w:r w:rsidRPr="00193EF8">
        <w:rPr>
          <w:rFonts w:asciiTheme="minorHAnsi" w:hAnsiTheme="minorHAnsi"/>
          <w:lang w:val="sq-AL"/>
        </w:rPr>
        <w:t>shpenzimet për këtë zë</w:t>
      </w:r>
      <w:r w:rsidRPr="00193EF8">
        <w:rPr>
          <w:rFonts w:asciiTheme="minorHAnsi" w:eastAsia="SimSun" w:hAnsiTheme="minorHAnsi"/>
          <w:lang w:val="sq-AL"/>
        </w:rPr>
        <w:t xml:space="preserve"> rezultojnë me një rritje në masën 13.9 përqind ose 976 milion LEK më shumë në terma nominalë.</w:t>
      </w:r>
    </w:p>
    <w:p w:rsidR="00A06C7D" w:rsidRPr="00FC564A" w:rsidRDefault="00A06C7D" w:rsidP="00A06C7D">
      <w:pPr>
        <w:spacing w:line="276" w:lineRule="auto"/>
        <w:rPr>
          <w:rFonts w:asciiTheme="minorHAnsi" w:eastAsia="SimSun" w:hAnsiTheme="minorHAnsi"/>
          <w:i/>
          <w:sz w:val="8"/>
          <w:szCs w:val="8"/>
          <w:lang w:val="sq-AL"/>
        </w:rPr>
      </w:pPr>
    </w:p>
    <w:p w:rsidR="00A06C7D" w:rsidRPr="00193EF8"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Pr>
          <w:rFonts w:asciiTheme="minorHAnsi" w:eastAsia="SimSun" w:hAnsiTheme="minorHAnsi"/>
          <w:i/>
          <w:lang w:val="sq-AL"/>
        </w:rPr>
        <w:t>2</w:t>
      </w:r>
      <w:r w:rsidR="000B3625">
        <w:rPr>
          <w:rFonts w:asciiTheme="minorHAnsi" w:eastAsia="SimSun" w:hAnsiTheme="minorHAnsi"/>
          <w:i/>
          <w:lang w:val="sq-AL"/>
        </w:rPr>
        <w:t>1</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për Ndihmën Ekonomike, PAK dhe Papunësinë (në miliard LEK)</w:t>
      </w:r>
    </w:p>
    <w:p w:rsidR="00A06C7D" w:rsidRPr="00193EF8" w:rsidRDefault="00A06C7D" w:rsidP="00A06C7D">
      <w:pPr>
        <w:tabs>
          <w:tab w:val="left" w:pos="540"/>
        </w:tabs>
        <w:spacing w:line="276" w:lineRule="auto"/>
        <w:ind w:hanging="90"/>
        <w:jc w:val="center"/>
        <w:rPr>
          <w:rFonts w:asciiTheme="minorHAnsi" w:eastAsia="SimSun" w:hAnsiTheme="minorHAnsi"/>
          <w:lang w:val="sq-AL"/>
        </w:rPr>
      </w:pPr>
      <w:r w:rsidRPr="00193EF8">
        <w:rPr>
          <w:rFonts w:asciiTheme="minorHAnsi" w:eastAsia="SimSun" w:hAnsiTheme="minorHAnsi"/>
          <w:noProof/>
        </w:rPr>
        <w:drawing>
          <wp:inline distT="0" distB="0" distL="0" distR="0" wp14:anchorId="34A0F499" wp14:editId="1DD45E89">
            <wp:extent cx="5231765" cy="244602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6872" cy="2457758"/>
                    </a:xfrm>
                    <a:prstGeom prst="rect">
                      <a:avLst/>
                    </a:prstGeom>
                    <a:noFill/>
                  </pic:spPr>
                </pic:pic>
              </a:graphicData>
            </a:graphic>
          </wp:inline>
        </w:drawing>
      </w:r>
    </w:p>
    <w:p w:rsidR="00A06C7D" w:rsidRPr="00FC564A" w:rsidRDefault="00A06C7D" w:rsidP="00A06C7D">
      <w:pPr>
        <w:spacing w:line="276" w:lineRule="auto"/>
        <w:ind w:firstLine="720"/>
        <w:jc w:val="both"/>
        <w:rPr>
          <w:rFonts w:asciiTheme="minorHAnsi" w:eastAsia="SimSun" w:hAnsiTheme="minorHAnsi"/>
          <w:sz w:val="20"/>
          <w:lang w:val="sq-AL"/>
        </w:rPr>
      </w:pPr>
      <w:r w:rsidRPr="00FC564A">
        <w:rPr>
          <w:rFonts w:asciiTheme="minorHAnsi" w:eastAsia="SimSun" w:hAnsiTheme="minorHAnsi"/>
          <w:sz w:val="20"/>
          <w:lang w:val="sq-AL"/>
        </w:rPr>
        <w:t xml:space="preserve"> </w:t>
      </w:r>
      <w:r w:rsidRPr="00FC564A">
        <w:rPr>
          <w:rFonts w:asciiTheme="minorHAnsi" w:eastAsia="SimSun" w:hAnsiTheme="minorHAnsi"/>
          <w:i/>
          <w:sz w:val="20"/>
          <w:lang w:val="sq-AL"/>
        </w:rPr>
        <w:t>Burimi: Ministria e Financave(2017)</w:t>
      </w:r>
    </w:p>
    <w:p w:rsidR="00A06C7D" w:rsidRPr="0085454B" w:rsidRDefault="00A06C7D" w:rsidP="00A06C7D">
      <w:pPr>
        <w:spacing w:line="276" w:lineRule="auto"/>
        <w:jc w:val="both"/>
        <w:rPr>
          <w:rFonts w:asciiTheme="minorHAnsi" w:eastAsia="SimSun" w:hAnsiTheme="minorHAnsi"/>
          <w:i/>
          <w:sz w:val="12"/>
          <w:szCs w:val="8"/>
          <w:lang w:val="sq-AL"/>
        </w:rPr>
      </w:pPr>
    </w:p>
    <w:p w:rsidR="00A06C7D" w:rsidRPr="00193EF8" w:rsidRDefault="00A06C7D" w:rsidP="00A06C7D">
      <w:pPr>
        <w:spacing w:line="276" w:lineRule="auto"/>
        <w:jc w:val="both"/>
        <w:rPr>
          <w:rFonts w:asciiTheme="minorHAnsi" w:eastAsia="SimSun" w:hAnsiTheme="minorHAnsi"/>
          <w:lang w:val="sq-AL"/>
        </w:rPr>
      </w:pPr>
      <w:r w:rsidRPr="00193EF8">
        <w:rPr>
          <w:rFonts w:asciiTheme="minorHAnsi" w:eastAsia="SimSun" w:hAnsiTheme="minorHAnsi"/>
          <w:i/>
          <w:lang w:val="sq-AL"/>
        </w:rPr>
        <w:t>Shpenzimet për Pushtetin Vendor</w:t>
      </w:r>
      <w:r w:rsidRPr="00193EF8">
        <w:rPr>
          <w:rFonts w:asciiTheme="minorHAnsi" w:eastAsia="SimSun" w:hAnsiTheme="minorHAnsi"/>
          <w:lang w:val="sq-AL"/>
        </w:rPr>
        <w:t xml:space="preserve">, gjatë periudhës 5 mujore kanë përbërë </w:t>
      </w:r>
      <w:r>
        <w:rPr>
          <w:rFonts w:asciiTheme="minorHAnsi" w:eastAsia="SimSun" w:hAnsiTheme="minorHAnsi"/>
          <w:lang w:val="sq-AL"/>
        </w:rPr>
        <w:t xml:space="preserve">rreth </w:t>
      </w:r>
      <w:r w:rsidRPr="00193EF8">
        <w:rPr>
          <w:rFonts w:asciiTheme="minorHAnsi" w:eastAsia="SimSun" w:hAnsiTheme="minorHAnsi"/>
          <w:lang w:val="sq-AL"/>
        </w:rPr>
        <w:t>12.8 përqind të shpenzimeve korente. Niveli aktual i realizimit të tyre prej rreth 18.82 miliard LEK, rezulton të jetë 46 përqind e planit vjetor. Kundrejt të njëtës periudhë të vitit 2016 ky nivel rezulton rreth 7.06 miliardë më i lartë ose 60 përqind më shumë. Kjo rritje vjen në kuadër të përforcimit të rolit të njësive të reja/të riorganizuara të qeverisjes vendore.</w:t>
      </w:r>
    </w:p>
    <w:p w:rsidR="00A06C7D" w:rsidRPr="00193EF8"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Pr>
          <w:rFonts w:asciiTheme="minorHAnsi" w:eastAsia="SimSun" w:hAnsiTheme="minorHAnsi"/>
          <w:i/>
          <w:lang w:val="sq-AL"/>
        </w:rPr>
        <w:t>2</w:t>
      </w:r>
      <w:r w:rsidR="000B3625">
        <w:rPr>
          <w:rFonts w:asciiTheme="minorHAnsi" w:eastAsia="SimSun" w:hAnsiTheme="minorHAnsi"/>
          <w:i/>
          <w:lang w:val="sq-AL"/>
        </w:rPr>
        <w:t>2</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e Pushtetit Vendor dhe ritmi i rritjes së tyre (në miliard LEK)</w:t>
      </w:r>
    </w:p>
    <w:p w:rsidR="00A06C7D" w:rsidRPr="00193EF8" w:rsidRDefault="00A06C7D" w:rsidP="00A06C7D">
      <w:pPr>
        <w:spacing w:line="276" w:lineRule="auto"/>
        <w:jc w:val="center"/>
        <w:rPr>
          <w:rFonts w:asciiTheme="minorHAnsi" w:eastAsia="SimSun" w:hAnsiTheme="minorHAnsi"/>
          <w:lang w:val="sq-AL"/>
        </w:rPr>
      </w:pPr>
      <w:r w:rsidRPr="00193EF8">
        <w:rPr>
          <w:rFonts w:asciiTheme="minorHAnsi" w:eastAsia="SimSun" w:hAnsiTheme="minorHAnsi"/>
          <w:noProof/>
        </w:rPr>
        <w:drawing>
          <wp:inline distT="0" distB="0" distL="0" distR="0" wp14:anchorId="773B7626" wp14:editId="3F307B7A">
            <wp:extent cx="5409565" cy="206502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32739" cy="2073866"/>
                    </a:xfrm>
                    <a:prstGeom prst="rect">
                      <a:avLst/>
                    </a:prstGeom>
                    <a:noFill/>
                  </pic:spPr>
                </pic:pic>
              </a:graphicData>
            </a:graphic>
          </wp:inline>
        </w:drawing>
      </w:r>
    </w:p>
    <w:p w:rsidR="00A06C7D" w:rsidRPr="00FC564A" w:rsidRDefault="00A06C7D" w:rsidP="00A06C7D">
      <w:pPr>
        <w:spacing w:line="276" w:lineRule="auto"/>
        <w:ind w:firstLine="720"/>
        <w:rPr>
          <w:rFonts w:asciiTheme="minorHAnsi" w:eastAsia="SimSun" w:hAnsiTheme="minorHAnsi"/>
          <w:i/>
          <w:sz w:val="20"/>
          <w:lang w:val="sq-AL"/>
        </w:rPr>
      </w:pPr>
      <w:r w:rsidRPr="00FC564A">
        <w:rPr>
          <w:rFonts w:asciiTheme="minorHAnsi" w:eastAsia="SimSun" w:hAnsiTheme="minorHAnsi"/>
          <w:i/>
          <w:sz w:val="20"/>
          <w:lang w:val="sq-AL"/>
        </w:rPr>
        <w:t>Burimi: Ministria e Financave (2017)</w:t>
      </w:r>
    </w:p>
    <w:p w:rsidR="00A06C7D" w:rsidRPr="00C96584" w:rsidRDefault="00A06C7D" w:rsidP="00A06C7D">
      <w:pPr>
        <w:spacing w:line="276" w:lineRule="auto"/>
        <w:jc w:val="both"/>
        <w:rPr>
          <w:rFonts w:asciiTheme="minorHAnsi" w:eastAsia="SimSun" w:hAnsiTheme="minorHAnsi"/>
          <w:b/>
          <w:sz w:val="8"/>
          <w:szCs w:val="12"/>
          <w:lang w:val="sq-AL"/>
        </w:rPr>
      </w:pPr>
    </w:p>
    <w:p w:rsidR="00A06C7D" w:rsidRPr="00C8213D" w:rsidRDefault="00A06C7D" w:rsidP="00A06C7D">
      <w:pPr>
        <w:spacing w:line="276" w:lineRule="auto"/>
        <w:jc w:val="both"/>
        <w:rPr>
          <w:rFonts w:asciiTheme="minorHAnsi" w:eastAsia="SimSun" w:hAnsiTheme="minorHAnsi"/>
          <w:lang w:val="sq-AL"/>
        </w:rPr>
      </w:pPr>
      <w:r w:rsidRPr="00C8213D">
        <w:rPr>
          <w:rFonts w:asciiTheme="minorHAnsi" w:eastAsia="SimSun" w:hAnsiTheme="minorHAnsi"/>
          <w:b/>
          <w:lang w:val="sq-AL"/>
        </w:rPr>
        <w:t xml:space="preserve">Shpenzimet kapitale, </w:t>
      </w:r>
      <w:r w:rsidRPr="00181723">
        <w:rPr>
          <w:rFonts w:asciiTheme="minorHAnsi" w:eastAsia="SimSun" w:hAnsiTheme="minorHAnsi"/>
          <w:lang w:val="sq-AL"/>
        </w:rPr>
        <w:t>në vijim të analizës</w:t>
      </w:r>
      <w:r w:rsidRPr="00181723">
        <w:rPr>
          <w:rFonts w:asciiTheme="minorHAnsi" w:eastAsia="SimSun" w:hAnsiTheme="minorHAnsi"/>
          <w:b/>
          <w:lang w:val="sq-AL"/>
        </w:rPr>
        <w:t xml:space="preserve"> </w:t>
      </w:r>
      <w:r w:rsidRPr="00181723">
        <w:rPr>
          <w:rFonts w:asciiTheme="minorHAnsi" w:eastAsia="SimSun" w:hAnsiTheme="minorHAnsi"/>
          <w:lang w:val="sq-AL"/>
        </w:rPr>
        <w:t xml:space="preserve">së ecurisë së realizimit të investimeve </w:t>
      </w:r>
      <w:r>
        <w:rPr>
          <w:rFonts w:asciiTheme="minorHAnsi" w:eastAsia="SimSun" w:hAnsiTheme="minorHAnsi"/>
          <w:lang w:val="sq-AL"/>
        </w:rPr>
        <w:t>publike</w:t>
      </w:r>
      <w:r w:rsidRPr="00C8213D">
        <w:rPr>
          <w:rFonts w:asciiTheme="minorHAnsi" w:eastAsia="SimSun" w:hAnsiTheme="minorHAnsi"/>
          <w:lang w:val="sq-AL"/>
        </w:rPr>
        <w:t xml:space="preserve"> për 5 mujorin e parë të vitit 2017 është konstatuar një realizim në masën </w:t>
      </w:r>
      <w:r>
        <w:rPr>
          <w:rFonts w:asciiTheme="minorHAnsi" w:eastAsia="SimSun" w:hAnsiTheme="minorHAnsi"/>
          <w:lang w:val="sq-AL"/>
        </w:rPr>
        <w:t xml:space="preserve">rreth </w:t>
      </w:r>
      <w:r w:rsidRPr="00C8213D">
        <w:rPr>
          <w:rFonts w:asciiTheme="minorHAnsi" w:eastAsia="SimSun" w:hAnsiTheme="minorHAnsi"/>
          <w:lang w:val="sq-AL"/>
        </w:rPr>
        <w:t>22</w:t>
      </w:r>
      <w:r>
        <w:rPr>
          <w:rFonts w:asciiTheme="minorHAnsi" w:eastAsia="SimSun" w:hAnsiTheme="minorHAnsi"/>
          <w:lang w:val="sq-AL"/>
        </w:rPr>
        <w:t>.3</w:t>
      </w:r>
      <w:r w:rsidRPr="00C8213D">
        <w:rPr>
          <w:rFonts w:asciiTheme="minorHAnsi" w:eastAsia="SimSun" w:hAnsiTheme="minorHAnsi"/>
          <w:lang w:val="sq-AL"/>
        </w:rPr>
        <w:t xml:space="preserve"> miliardë </w:t>
      </w:r>
      <w:r>
        <w:rPr>
          <w:rFonts w:asciiTheme="minorHAnsi" w:eastAsia="SimSun" w:hAnsiTheme="minorHAnsi"/>
          <w:lang w:val="sq-AL"/>
        </w:rPr>
        <w:t>LEK</w:t>
      </w:r>
      <w:r w:rsidRPr="00C8213D">
        <w:rPr>
          <w:rFonts w:asciiTheme="minorHAnsi" w:eastAsia="SimSun" w:hAnsiTheme="minorHAnsi"/>
          <w:lang w:val="sq-AL"/>
        </w:rPr>
        <w:t xml:space="preserve"> ose 101</w:t>
      </w:r>
      <w:r>
        <w:rPr>
          <w:rFonts w:asciiTheme="minorHAnsi" w:eastAsia="SimSun" w:hAnsiTheme="minorHAnsi"/>
          <w:lang w:val="sq-AL"/>
        </w:rPr>
        <w:t>.4</w:t>
      </w:r>
      <w:r w:rsidRPr="00C8213D">
        <w:rPr>
          <w:rFonts w:asciiTheme="minorHAnsi" w:eastAsia="SimSun" w:hAnsiTheme="minorHAnsi"/>
          <w:lang w:val="sq-AL"/>
        </w:rPr>
        <w:t xml:space="preserve"> përqind në raport me fondet e planifikuara për këtë periudhë. Respektivisht, projektet e investimeve me financim të brendshëm kanë shënuar një realizim në masën </w:t>
      </w:r>
      <w:r>
        <w:rPr>
          <w:rFonts w:asciiTheme="minorHAnsi" w:eastAsia="SimSun" w:hAnsiTheme="minorHAnsi"/>
          <w:lang w:val="sq-AL"/>
        </w:rPr>
        <w:t xml:space="preserve">rreth </w:t>
      </w:r>
      <w:r w:rsidRPr="00C8213D">
        <w:rPr>
          <w:rFonts w:asciiTheme="minorHAnsi" w:eastAsia="SimSun" w:hAnsiTheme="minorHAnsi"/>
          <w:lang w:val="sq-AL"/>
        </w:rPr>
        <w:t>14.1</w:t>
      </w:r>
      <w:r>
        <w:rPr>
          <w:rFonts w:asciiTheme="minorHAnsi" w:eastAsia="SimSun" w:hAnsiTheme="minorHAnsi"/>
          <w:lang w:val="sq-AL"/>
        </w:rPr>
        <w:t>7</w:t>
      </w:r>
      <w:r w:rsidRPr="00C8213D">
        <w:rPr>
          <w:rFonts w:asciiTheme="minorHAnsi" w:eastAsia="SimSun" w:hAnsiTheme="minorHAnsi"/>
          <w:lang w:val="sq-AL"/>
        </w:rPr>
        <w:t xml:space="preserve"> miliardë </w:t>
      </w:r>
      <w:r>
        <w:rPr>
          <w:rFonts w:asciiTheme="minorHAnsi" w:eastAsia="SimSun" w:hAnsiTheme="minorHAnsi"/>
          <w:lang w:val="sq-AL"/>
        </w:rPr>
        <w:t>LEK</w:t>
      </w:r>
      <w:r w:rsidRPr="00C8213D">
        <w:rPr>
          <w:rFonts w:asciiTheme="minorHAnsi" w:eastAsia="SimSun" w:hAnsiTheme="minorHAnsi"/>
          <w:lang w:val="sq-AL"/>
        </w:rPr>
        <w:t xml:space="preserve"> ose 100 përqind të planit të periudhës, ndërkohë që ato me financim të huaj</w:t>
      </w:r>
      <w:r>
        <w:rPr>
          <w:rFonts w:asciiTheme="minorHAnsi" w:eastAsia="SimSun" w:hAnsiTheme="minorHAnsi"/>
          <w:lang w:val="sq-AL"/>
        </w:rPr>
        <w:t xml:space="preserve"> janë realizuar në masën rreth 8.1</w:t>
      </w:r>
      <w:r w:rsidRPr="00C8213D">
        <w:rPr>
          <w:rFonts w:asciiTheme="minorHAnsi" w:eastAsia="SimSun" w:hAnsiTheme="minorHAnsi"/>
          <w:lang w:val="sq-AL"/>
        </w:rPr>
        <w:t xml:space="preserve"> miliard </w:t>
      </w:r>
      <w:r>
        <w:rPr>
          <w:rFonts w:asciiTheme="minorHAnsi" w:eastAsia="SimSun" w:hAnsiTheme="minorHAnsi"/>
          <w:lang w:val="sq-AL"/>
        </w:rPr>
        <w:t>LEK ose 108</w:t>
      </w:r>
      <w:r w:rsidRPr="00C8213D">
        <w:rPr>
          <w:rFonts w:asciiTheme="minorHAnsi" w:eastAsia="SimSun" w:hAnsiTheme="minorHAnsi"/>
          <w:lang w:val="sq-AL"/>
        </w:rPr>
        <w:t xml:space="preserve"> përqind të planit të periudhës.</w:t>
      </w:r>
      <w:r>
        <w:rPr>
          <w:rFonts w:asciiTheme="minorHAnsi" w:eastAsia="SimSun" w:hAnsiTheme="minorHAnsi"/>
          <w:lang w:val="sq-AL"/>
        </w:rPr>
        <w:t xml:space="preserve"> </w:t>
      </w:r>
      <w:r w:rsidRPr="00C8213D">
        <w:rPr>
          <w:rFonts w:asciiTheme="minorHAnsi" w:eastAsia="SimSun" w:hAnsiTheme="minorHAnsi"/>
          <w:lang w:val="sq-AL"/>
        </w:rPr>
        <w:t xml:space="preserve">Vlerat e larta të realizimit për financimin e brendshëm i </w:t>
      </w:r>
      <w:r>
        <w:rPr>
          <w:rFonts w:asciiTheme="minorHAnsi" w:eastAsia="SimSun" w:hAnsiTheme="minorHAnsi"/>
          <w:lang w:val="sq-AL"/>
        </w:rPr>
        <w:t>dedikohen</w:t>
      </w:r>
      <w:r w:rsidRPr="00C8213D">
        <w:rPr>
          <w:rFonts w:asciiTheme="minorHAnsi" w:eastAsia="SimSun" w:hAnsiTheme="minorHAnsi"/>
          <w:lang w:val="sq-AL"/>
        </w:rPr>
        <w:t xml:space="preserve"> realizimit të projekteve në fushën e transportit, shëndetësisë dhe energjisë. Gjatë 5 muajve të parë të vitit janë mbyllur shumë projekte infrastrukturore, projkekte të ujësjellës kanalizimeve dhe projekti i rëndësishëm në fushën e energjisë i Hec-it të Devollit. Realizim të lartë ka shënuar </w:t>
      </w:r>
      <w:r w:rsidRPr="00C8213D">
        <w:rPr>
          <w:rFonts w:asciiTheme="minorHAnsi" w:eastAsia="SimSun" w:hAnsiTheme="minorHAnsi"/>
          <w:i/>
          <w:lang w:val="sq-AL"/>
        </w:rPr>
        <w:t>Ndërtimi i segmentit rrugor “Tiranë – Elbasan</w:t>
      </w:r>
      <w:r w:rsidRPr="00C8213D">
        <w:rPr>
          <w:rFonts w:asciiTheme="minorHAnsi" w:eastAsia="SimSun" w:hAnsiTheme="minorHAnsi"/>
          <w:lang w:val="sq-AL"/>
        </w:rPr>
        <w:t xml:space="preserve">” dhe  </w:t>
      </w:r>
      <w:r>
        <w:rPr>
          <w:rFonts w:asciiTheme="minorHAnsi" w:eastAsia="SimSun" w:hAnsiTheme="minorHAnsi"/>
          <w:lang w:val="sq-AL"/>
        </w:rPr>
        <w:t>“</w:t>
      </w:r>
      <w:r>
        <w:rPr>
          <w:rFonts w:asciiTheme="minorHAnsi" w:eastAsia="SimSun" w:hAnsiTheme="minorHAnsi"/>
          <w:i/>
          <w:lang w:val="sq-AL"/>
        </w:rPr>
        <w:t>Ndërtim i Segmentit '</w:t>
      </w:r>
      <w:r w:rsidRPr="00C8213D">
        <w:rPr>
          <w:rFonts w:asciiTheme="minorHAnsi" w:eastAsia="SimSun" w:hAnsiTheme="minorHAnsi"/>
          <w:i/>
          <w:lang w:val="sq-AL"/>
        </w:rPr>
        <w:t xml:space="preserve">Qukës - Qafë Pllocë''. </w:t>
      </w:r>
      <w:r w:rsidRPr="00C8213D">
        <w:rPr>
          <w:rFonts w:asciiTheme="minorHAnsi" w:eastAsia="SimSun" w:hAnsiTheme="minorHAnsi"/>
          <w:lang w:val="sq-AL"/>
        </w:rPr>
        <w:t xml:space="preserve">Gjithashtu në programin ujësjellës kanalizime kanë shënuar ecuri të lartë </w:t>
      </w:r>
      <w:r>
        <w:rPr>
          <w:rFonts w:asciiTheme="minorHAnsi" w:eastAsia="SimSun" w:hAnsiTheme="minorHAnsi"/>
          <w:lang w:val="sq-AL"/>
        </w:rPr>
        <w:t>“</w:t>
      </w:r>
      <w:r w:rsidRPr="00C8213D">
        <w:rPr>
          <w:rFonts w:asciiTheme="minorHAnsi" w:eastAsia="SimSun" w:hAnsiTheme="minorHAnsi"/>
          <w:i/>
          <w:lang w:val="sq-AL"/>
        </w:rPr>
        <w:t>Programi i Infrastruktures Komunale I për qytetet Fier, Gjirokastër, Sarandë dhe Lezhë</w:t>
      </w:r>
      <w:r>
        <w:rPr>
          <w:rFonts w:asciiTheme="minorHAnsi" w:eastAsia="SimSun" w:hAnsiTheme="minorHAnsi"/>
          <w:i/>
          <w:lang w:val="sq-AL"/>
        </w:rPr>
        <w:t>”</w:t>
      </w:r>
      <w:r w:rsidRPr="00C8213D">
        <w:rPr>
          <w:rFonts w:asciiTheme="minorHAnsi" w:eastAsia="SimSun" w:hAnsiTheme="minorHAnsi"/>
          <w:i/>
          <w:lang w:val="sq-AL"/>
        </w:rPr>
        <w:t xml:space="preserve">, </w:t>
      </w:r>
      <w:r>
        <w:rPr>
          <w:rFonts w:asciiTheme="minorHAnsi" w:eastAsia="SimSun" w:hAnsiTheme="minorHAnsi"/>
          <w:i/>
          <w:lang w:val="sq-AL"/>
        </w:rPr>
        <w:t>“</w:t>
      </w:r>
      <w:r w:rsidRPr="00C8213D">
        <w:rPr>
          <w:rFonts w:asciiTheme="minorHAnsi" w:eastAsia="SimSun" w:hAnsiTheme="minorHAnsi"/>
          <w:i/>
          <w:lang w:val="sq-AL"/>
        </w:rPr>
        <w:t xml:space="preserve">Projekti i kanalizimeve të Tiranës së </w:t>
      </w:r>
      <w:r>
        <w:rPr>
          <w:rFonts w:asciiTheme="minorHAnsi" w:eastAsia="SimSun" w:hAnsiTheme="minorHAnsi"/>
          <w:i/>
          <w:lang w:val="sq-AL"/>
        </w:rPr>
        <w:t>M</w:t>
      </w:r>
      <w:r w:rsidRPr="00C8213D">
        <w:rPr>
          <w:rFonts w:asciiTheme="minorHAnsi" w:eastAsia="SimSun" w:hAnsiTheme="minorHAnsi"/>
          <w:i/>
          <w:lang w:val="sq-AL"/>
        </w:rPr>
        <w:t>adhe</w:t>
      </w:r>
      <w:r>
        <w:rPr>
          <w:rFonts w:asciiTheme="minorHAnsi" w:eastAsia="SimSun" w:hAnsiTheme="minorHAnsi"/>
          <w:i/>
          <w:lang w:val="sq-AL"/>
        </w:rPr>
        <w:t>”</w:t>
      </w:r>
      <w:r w:rsidRPr="00C8213D">
        <w:rPr>
          <w:rFonts w:asciiTheme="minorHAnsi" w:eastAsia="SimSun" w:hAnsiTheme="minorHAnsi"/>
          <w:i/>
          <w:lang w:val="sq-AL"/>
        </w:rPr>
        <w:t xml:space="preserve"> </w:t>
      </w:r>
      <w:r w:rsidRPr="00C8213D">
        <w:rPr>
          <w:rFonts w:asciiTheme="minorHAnsi" w:eastAsia="SimSun" w:hAnsiTheme="minorHAnsi"/>
          <w:lang w:val="sq-AL"/>
        </w:rPr>
        <w:t>dhe</w:t>
      </w:r>
      <w:r>
        <w:rPr>
          <w:rFonts w:asciiTheme="minorHAnsi" w:eastAsia="SimSun" w:hAnsiTheme="minorHAnsi"/>
          <w:lang w:val="sq-AL"/>
        </w:rPr>
        <w:t xml:space="preserve"> ”</w:t>
      </w:r>
      <w:r w:rsidRPr="00C8213D">
        <w:rPr>
          <w:rFonts w:asciiTheme="minorHAnsi" w:eastAsia="SimSun" w:hAnsiTheme="minorHAnsi"/>
          <w:i/>
          <w:lang w:val="sq-AL"/>
        </w:rPr>
        <w:t>Projekti i ri i furnizimit me ujë për qytetin e Durrësit</w:t>
      </w:r>
      <w:r>
        <w:rPr>
          <w:rFonts w:asciiTheme="minorHAnsi" w:eastAsia="SimSun" w:hAnsiTheme="minorHAnsi"/>
          <w:i/>
          <w:lang w:val="sq-AL"/>
        </w:rPr>
        <w:t>"</w:t>
      </w:r>
      <w:r w:rsidRPr="00C8213D">
        <w:rPr>
          <w:rFonts w:asciiTheme="minorHAnsi" w:eastAsia="SimSun" w:hAnsiTheme="minorHAnsi"/>
          <w:i/>
          <w:lang w:val="sq-AL"/>
        </w:rPr>
        <w:t xml:space="preserve">. </w:t>
      </w:r>
      <w:r w:rsidRPr="00C8213D">
        <w:rPr>
          <w:rFonts w:asciiTheme="minorHAnsi" w:eastAsia="SimSun" w:hAnsiTheme="minorHAnsi"/>
          <w:lang w:val="sq-AL"/>
        </w:rPr>
        <w:t>Nd</w:t>
      </w:r>
      <w:r>
        <w:rPr>
          <w:rFonts w:asciiTheme="minorHAnsi" w:eastAsia="SimSun" w:hAnsiTheme="minorHAnsi"/>
          <w:lang w:val="sq-AL"/>
        </w:rPr>
        <w:t>ë</w:t>
      </w:r>
      <w:r w:rsidRPr="00C8213D">
        <w:rPr>
          <w:rFonts w:asciiTheme="minorHAnsi" w:eastAsia="SimSun" w:hAnsiTheme="minorHAnsi"/>
          <w:lang w:val="sq-AL"/>
        </w:rPr>
        <w:t>rkoh</w:t>
      </w:r>
      <w:r>
        <w:rPr>
          <w:rFonts w:asciiTheme="minorHAnsi" w:eastAsia="SimSun" w:hAnsiTheme="minorHAnsi"/>
          <w:lang w:val="sq-AL"/>
        </w:rPr>
        <w:t>ë</w:t>
      </w:r>
      <w:r w:rsidRPr="00C8213D">
        <w:rPr>
          <w:rFonts w:asciiTheme="minorHAnsi" w:eastAsia="SimSun" w:hAnsiTheme="minorHAnsi"/>
          <w:lang w:val="sq-AL"/>
        </w:rPr>
        <w:t>, nj</w:t>
      </w:r>
      <w:r>
        <w:rPr>
          <w:rFonts w:asciiTheme="minorHAnsi" w:eastAsia="SimSun" w:hAnsiTheme="minorHAnsi"/>
          <w:lang w:val="sq-AL"/>
        </w:rPr>
        <w:t>ë</w:t>
      </w:r>
      <w:r w:rsidRPr="00C8213D">
        <w:rPr>
          <w:rFonts w:asciiTheme="minorHAnsi" w:eastAsia="SimSun" w:hAnsiTheme="minorHAnsi"/>
          <w:lang w:val="sq-AL"/>
        </w:rPr>
        <w:t xml:space="preserve"> s</w:t>
      </w:r>
      <w:r>
        <w:rPr>
          <w:rFonts w:asciiTheme="minorHAnsi" w:eastAsia="SimSun" w:hAnsiTheme="minorHAnsi"/>
          <w:lang w:val="sq-AL"/>
        </w:rPr>
        <w:t>ë</w:t>
      </w:r>
      <w:r w:rsidRPr="00C8213D">
        <w:rPr>
          <w:rFonts w:asciiTheme="minorHAnsi" w:eastAsia="SimSun" w:hAnsiTheme="minorHAnsi"/>
          <w:lang w:val="sq-AL"/>
        </w:rPr>
        <w:t>r</w:t>
      </w:r>
      <w:r>
        <w:rPr>
          <w:rFonts w:asciiTheme="minorHAnsi" w:eastAsia="SimSun" w:hAnsiTheme="minorHAnsi"/>
          <w:lang w:val="sq-AL"/>
        </w:rPr>
        <w:t>ë</w:t>
      </w:r>
      <w:r w:rsidRPr="00C8213D">
        <w:rPr>
          <w:rFonts w:asciiTheme="minorHAnsi" w:hAnsiTheme="minorHAnsi"/>
          <w:lang w:val="sq-AL"/>
        </w:rPr>
        <w:t xml:space="preserve"> projektesh të investimeve publike janë </w:t>
      </w:r>
      <w:r>
        <w:rPr>
          <w:rFonts w:asciiTheme="minorHAnsi" w:hAnsiTheme="minorHAnsi"/>
          <w:lang w:val="sq-AL"/>
        </w:rPr>
        <w:t xml:space="preserve">aktualisht </w:t>
      </w:r>
      <w:r w:rsidRPr="00C8213D">
        <w:rPr>
          <w:rFonts w:asciiTheme="minorHAnsi" w:hAnsiTheme="minorHAnsi"/>
          <w:lang w:val="sq-AL"/>
        </w:rPr>
        <w:t xml:space="preserve">në proces prokurimi ose në fazën </w:t>
      </w:r>
      <w:r>
        <w:rPr>
          <w:rFonts w:asciiTheme="minorHAnsi" w:hAnsiTheme="minorHAnsi"/>
          <w:lang w:val="sq-AL"/>
        </w:rPr>
        <w:t>finale të</w:t>
      </w:r>
      <w:r w:rsidRPr="00C8213D">
        <w:rPr>
          <w:rFonts w:asciiTheme="minorHAnsi" w:hAnsiTheme="minorHAnsi"/>
          <w:lang w:val="sq-AL"/>
        </w:rPr>
        <w:t xml:space="preserve"> specifikimeve teknike.</w:t>
      </w:r>
      <w:r>
        <w:rPr>
          <w:rFonts w:asciiTheme="minorHAnsi" w:hAnsiTheme="minorHAnsi"/>
          <w:lang w:val="sq-AL"/>
        </w:rPr>
        <w:t xml:space="preserve"> </w:t>
      </w:r>
      <w:r w:rsidRPr="00C8213D">
        <w:rPr>
          <w:rFonts w:asciiTheme="minorHAnsi" w:eastAsia="SimSun" w:hAnsiTheme="minorHAnsi"/>
          <w:i/>
          <w:lang w:val="sq-AL"/>
        </w:rPr>
        <w:t>Krahasuar me planin vjetor</w:t>
      </w:r>
      <w:r w:rsidRPr="00C8213D">
        <w:rPr>
          <w:rFonts w:asciiTheme="minorHAnsi" w:eastAsia="SimSun" w:hAnsiTheme="minorHAnsi"/>
          <w:lang w:val="sq-AL"/>
        </w:rPr>
        <w:t>,</w:t>
      </w:r>
      <w:r w:rsidRPr="00C8213D">
        <w:rPr>
          <w:rFonts w:asciiTheme="minorHAnsi" w:eastAsia="SimSun" w:hAnsiTheme="minorHAnsi"/>
          <w:b/>
          <w:lang w:val="sq-AL"/>
        </w:rPr>
        <w:t xml:space="preserve"> </w:t>
      </w:r>
      <w:r w:rsidRPr="00C8213D">
        <w:rPr>
          <w:rFonts w:asciiTheme="minorHAnsi" w:eastAsia="SimSun" w:hAnsiTheme="minorHAnsi"/>
          <w:lang w:val="sq-AL"/>
        </w:rPr>
        <w:t xml:space="preserve">për 5 mujorin e parë të vitit 2017 është konstatuar një realizim </w:t>
      </w:r>
      <w:r>
        <w:rPr>
          <w:rFonts w:asciiTheme="minorHAnsi" w:eastAsia="SimSun" w:hAnsiTheme="minorHAnsi"/>
          <w:lang w:val="sq-AL"/>
        </w:rPr>
        <w:t xml:space="preserve">i përgjithshëm i investimeve publike </w:t>
      </w:r>
      <w:r w:rsidRPr="00C8213D">
        <w:rPr>
          <w:rFonts w:asciiTheme="minorHAnsi" w:eastAsia="SimSun" w:hAnsiTheme="minorHAnsi"/>
          <w:lang w:val="sq-AL"/>
        </w:rPr>
        <w:t xml:space="preserve">në masën </w:t>
      </w:r>
      <w:r>
        <w:rPr>
          <w:rFonts w:asciiTheme="minorHAnsi" w:eastAsia="SimSun" w:hAnsiTheme="minorHAnsi"/>
          <w:lang w:val="sq-AL"/>
        </w:rPr>
        <w:t xml:space="preserve">rreth </w:t>
      </w:r>
      <w:r w:rsidRPr="00C8213D">
        <w:rPr>
          <w:rFonts w:asciiTheme="minorHAnsi" w:eastAsia="SimSun" w:hAnsiTheme="minorHAnsi"/>
          <w:lang w:val="sq-AL"/>
        </w:rPr>
        <w:t>22</w:t>
      </w:r>
      <w:r>
        <w:rPr>
          <w:rFonts w:asciiTheme="minorHAnsi" w:eastAsia="SimSun" w:hAnsiTheme="minorHAnsi"/>
          <w:lang w:val="sq-AL"/>
        </w:rPr>
        <w:t>.3</w:t>
      </w:r>
      <w:r w:rsidRPr="00C8213D">
        <w:rPr>
          <w:rFonts w:asciiTheme="minorHAnsi" w:eastAsia="SimSun" w:hAnsiTheme="minorHAnsi"/>
          <w:lang w:val="sq-AL"/>
        </w:rPr>
        <w:t xml:space="preserve"> miliardë </w:t>
      </w:r>
      <w:r>
        <w:rPr>
          <w:rFonts w:asciiTheme="minorHAnsi" w:eastAsia="SimSun" w:hAnsiTheme="minorHAnsi"/>
          <w:lang w:val="sq-AL"/>
        </w:rPr>
        <w:t>LEK</w:t>
      </w:r>
      <w:r w:rsidRPr="00C8213D">
        <w:rPr>
          <w:rFonts w:asciiTheme="minorHAnsi" w:eastAsia="SimSun" w:hAnsiTheme="minorHAnsi"/>
          <w:lang w:val="sq-AL"/>
        </w:rPr>
        <w:t xml:space="preserve"> ose </w:t>
      </w:r>
      <w:r>
        <w:rPr>
          <w:rFonts w:asciiTheme="minorHAnsi" w:eastAsia="SimSun" w:hAnsiTheme="minorHAnsi"/>
          <w:lang w:val="sq-AL"/>
        </w:rPr>
        <w:t>në masën 29.9</w:t>
      </w:r>
      <w:r w:rsidRPr="00C8213D">
        <w:rPr>
          <w:rFonts w:asciiTheme="minorHAnsi" w:eastAsia="SimSun" w:hAnsiTheme="minorHAnsi"/>
          <w:lang w:val="sq-AL"/>
        </w:rPr>
        <w:t xml:space="preserve"> përqind</w:t>
      </w:r>
      <w:r>
        <w:rPr>
          <w:rFonts w:asciiTheme="minorHAnsi" w:eastAsia="SimSun" w:hAnsiTheme="minorHAnsi"/>
          <w:lang w:val="sq-AL"/>
        </w:rPr>
        <w:t xml:space="preserve"> e</w:t>
      </w:r>
      <w:r w:rsidRPr="00C8213D">
        <w:rPr>
          <w:rFonts w:asciiTheme="minorHAnsi" w:eastAsia="SimSun" w:hAnsiTheme="minorHAnsi"/>
          <w:lang w:val="sq-AL"/>
        </w:rPr>
        <w:t xml:space="preserve"> </w:t>
      </w:r>
      <w:r>
        <w:rPr>
          <w:rFonts w:asciiTheme="minorHAnsi" w:eastAsia="SimSun" w:hAnsiTheme="minorHAnsi"/>
          <w:lang w:val="sq-AL"/>
        </w:rPr>
        <w:t>tyre</w:t>
      </w:r>
      <w:r w:rsidRPr="00C8213D">
        <w:rPr>
          <w:rFonts w:asciiTheme="minorHAnsi" w:eastAsia="SimSun" w:hAnsiTheme="minorHAnsi"/>
          <w:lang w:val="sq-AL"/>
        </w:rPr>
        <w:t xml:space="preserve">. </w:t>
      </w:r>
      <w:r>
        <w:rPr>
          <w:rFonts w:asciiTheme="minorHAnsi" w:eastAsia="SimSun" w:hAnsiTheme="minorHAnsi"/>
          <w:lang w:val="sq-AL"/>
        </w:rPr>
        <w:t xml:space="preserve">Financimi i brendshëm dhe </w:t>
      </w:r>
      <w:r w:rsidRPr="00C8213D">
        <w:rPr>
          <w:rFonts w:asciiTheme="minorHAnsi" w:eastAsia="SimSun" w:hAnsiTheme="minorHAnsi"/>
          <w:lang w:val="sq-AL"/>
        </w:rPr>
        <w:t xml:space="preserve">financimi i huaj </w:t>
      </w:r>
      <w:r>
        <w:rPr>
          <w:rFonts w:asciiTheme="minorHAnsi" w:eastAsia="SimSun" w:hAnsiTheme="minorHAnsi"/>
          <w:lang w:val="sq-AL"/>
        </w:rPr>
        <w:t>janë</w:t>
      </w:r>
      <w:r w:rsidRPr="00C8213D">
        <w:rPr>
          <w:rFonts w:asciiTheme="minorHAnsi" w:eastAsia="SimSun" w:hAnsiTheme="minorHAnsi"/>
          <w:lang w:val="sq-AL"/>
        </w:rPr>
        <w:t xml:space="preserve"> realizuar </w:t>
      </w:r>
      <w:r>
        <w:rPr>
          <w:rFonts w:asciiTheme="minorHAnsi" w:eastAsia="SimSun" w:hAnsiTheme="minorHAnsi"/>
          <w:lang w:val="sq-AL"/>
        </w:rPr>
        <w:t xml:space="preserve">respektivisht </w:t>
      </w:r>
      <w:r w:rsidRPr="00C8213D">
        <w:rPr>
          <w:rFonts w:asciiTheme="minorHAnsi" w:eastAsia="SimSun" w:hAnsiTheme="minorHAnsi"/>
          <w:lang w:val="sq-AL"/>
        </w:rPr>
        <w:t>në masën 30</w:t>
      </w:r>
      <w:r>
        <w:rPr>
          <w:rFonts w:asciiTheme="minorHAnsi" w:eastAsia="SimSun" w:hAnsiTheme="minorHAnsi"/>
          <w:lang w:val="sq-AL"/>
        </w:rPr>
        <w:t>.4</w:t>
      </w:r>
      <w:r w:rsidRPr="00C8213D">
        <w:rPr>
          <w:rFonts w:asciiTheme="minorHAnsi" w:eastAsia="SimSun" w:hAnsiTheme="minorHAnsi"/>
          <w:lang w:val="sq-AL"/>
        </w:rPr>
        <w:t xml:space="preserve"> përqind </w:t>
      </w:r>
      <w:r>
        <w:rPr>
          <w:rFonts w:asciiTheme="minorHAnsi" w:eastAsia="SimSun" w:hAnsiTheme="minorHAnsi"/>
          <w:lang w:val="sq-AL"/>
        </w:rPr>
        <w:t xml:space="preserve">dhe 30.2 </w:t>
      </w:r>
      <w:r w:rsidRPr="00C8213D">
        <w:rPr>
          <w:rFonts w:asciiTheme="minorHAnsi" w:eastAsia="SimSun" w:hAnsiTheme="minorHAnsi"/>
          <w:lang w:val="sq-AL"/>
        </w:rPr>
        <w:t>përqind</w:t>
      </w:r>
      <w:r>
        <w:rPr>
          <w:rFonts w:asciiTheme="minorHAnsi" w:eastAsia="SimSun" w:hAnsiTheme="minorHAnsi"/>
          <w:lang w:val="sq-AL"/>
        </w:rPr>
        <w:t xml:space="preserve"> të planit vjetor</w:t>
      </w:r>
      <w:r w:rsidRPr="00C8213D">
        <w:rPr>
          <w:rFonts w:asciiTheme="minorHAnsi" w:eastAsia="SimSun" w:hAnsiTheme="minorHAnsi"/>
          <w:lang w:val="sq-AL"/>
        </w:rPr>
        <w:t xml:space="preserve">. </w:t>
      </w:r>
    </w:p>
    <w:p w:rsidR="00A06C7D" w:rsidRPr="00A06C7D" w:rsidRDefault="00A06C7D" w:rsidP="00A06C7D">
      <w:pPr>
        <w:spacing w:line="276" w:lineRule="auto"/>
        <w:rPr>
          <w:rFonts w:asciiTheme="minorHAnsi" w:eastAsia="SimSun" w:hAnsiTheme="minorHAnsi"/>
          <w:i/>
          <w:sz w:val="4"/>
          <w:szCs w:val="8"/>
          <w:lang w:val="sq-AL"/>
        </w:rPr>
      </w:pPr>
    </w:p>
    <w:p w:rsidR="00A06C7D" w:rsidRPr="00DC1852"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Pr>
          <w:rFonts w:asciiTheme="minorHAnsi" w:eastAsia="SimSun" w:hAnsiTheme="minorHAnsi"/>
          <w:i/>
          <w:lang w:val="sq-AL"/>
        </w:rPr>
        <w:t>2</w:t>
      </w:r>
      <w:r w:rsidR="000B3625">
        <w:rPr>
          <w:rFonts w:asciiTheme="minorHAnsi" w:eastAsia="SimSun" w:hAnsiTheme="minorHAnsi"/>
          <w:i/>
          <w:lang w:val="sq-AL"/>
        </w:rPr>
        <w:t>3</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Kapitale dhe ritmi i rritjes së tyre (në miliard LEK)</w:t>
      </w:r>
    </w:p>
    <w:p w:rsidR="00A06C7D" w:rsidRPr="00193EF8" w:rsidRDefault="00A06C7D" w:rsidP="00A06C7D">
      <w:pPr>
        <w:spacing w:line="276" w:lineRule="auto"/>
        <w:ind w:hanging="90"/>
        <w:jc w:val="center"/>
        <w:rPr>
          <w:rFonts w:asciiTheme="minorHAnsi" w:eastAsia="SimSun" w:hAnsiTheme="minorHAnsi"/>
          <w:lang w:val="sq-AL"/>
        </w:rPr>
      </w:pPr>
      <w:r>
        <w:rPr>
          <w:rFonts w:asciiTheme="minorHAnsi" w:eastAsia="SimSun" w:hAnsiTheme="minorHAnsi"/>
          <w:noProof/>
        </w:rPr>
        <w:drawing>
          <wp:inline distT="0" distB="0" distL="0" distR="0" wp14:anchorId="41FDD1E9" wp14:editId="416AA246">
            <wp:extent cx="5523865" cy="2110740"/>
            <wp:effectExtent l="0" t="0" r="63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3894" cy="2133678"/>
                    </a:xfrm>
                    <a:prstGeom prst="rect">
                      <a:avLst/>
                    </a:prstGeom>
                    <a:noFill/>
                  </pic:spPr>
                </pic:pic>
              </a:graphicData>
            </a:graphic>
          </wp:inline>
        </w:drawing>
      </w:r>
    </w:p>
    <w:p w:rsidR="00A06C7D" w:rsidRPr="00FC564A" w:rsidRDefault="00A06C7D" w:rsidP="00A06C7D">
      <w:pPr>
        <w:spacing w:line="276" w:lineRule="auto"/>
        <w:ind w:firstLine="720"/>
        <w:rPr>
          <w:rFonts w:asciiTheme="minorHAnsi" w:eastAsia="SimSun" w:hAnsiTheme="minorHAnsi"/>
          <w:i/>
          <w:sz w:val="20"/>
          <w:lang w:val="sq-AL"/>
        </w:rPr>
      </w:pPr>
      <w:r w:rsidRPr="00FC564A">
        <w:rPr>
          <w:rFonts w:asciiTheme="minorHAnsi" w:eastAsia="SimSun" w:hAnsiTheme="minorHAnsi"/>
          <w:i/>
          <w:sz w:val="20"/>
          <w:lang w:val="sq-AL"/>
        </w:rPr>
        <w:t xml:space="preserve">     Burimi: Ministria e Financave (2017)               </w:t>
      </w:r>
    </w:p>
    <w:p w:rsidR="00A06C7D"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24</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Shpenzimet Kapitale dhe burimi i financimit të tyre (në miliard LEK)</w:t>
      </w:r>
    </w:p>
    <w:p w:rsidR="00A06C7D" w:rsidRPr="00193EF8" w:rsidRDefault="00A06C7D" w:rsidP="00A06C7D">
      <w:pPr>
        <w:spacing w:line="276" w:lineRule="auto"/>
        <w:jc w:val="center"/>
        <w:rPr>
          <w:rFonts w:asciiTheme="minorHAnsi" w:eastAsia="SimSun" w:hAnsiTheme="minorHAnsi"/>
          <w:i/>
          <w:lang w:val="sq-AL"/>
        </w:rPr>
      </w:pPr>
      <w:r>
        <w:rPr>
          <w:rFonts w:asciiTheme="minorHAnsi" w:eastAsia="SimSun" w:hAnsiTheme="minorHAnsi"/>
          <w:i/>
          <w:noProof/>
        </w:rPr>
        <w:drawing>
          <wp:inline distT="0" distB="0" distL="0" distR="0" wp14:anchorId="32E02DF9" wp14:editId="5D507B6D">
            <wp:extent cx="5546375" cy="29752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0267" cy="2988028"/>
                    </a:xfrm>
                    <a:prstGeom prst="rect">
                      <a:avLst/>
                    </a:prstGeom>
                    <a:noFill/>
                  </pic:spPr>
                </pic:pic>
              </a:graphicData>
            </a:graphic>
          </wp:inline>
        </w:drawing>
      </w:r>
    </w:p>
    <w:p w:rsidR="00A06C7D" w:rsidRPr="00FC564A" w:rsidRDefault="00A06C7D" w:rsidP="00A06C7D">
      <w:pPr>
        <w:spacing w:line="276" w:lineRule="auto"/>
        <w:rPr>
          <w:rFonts w:asciiTheme="minorHAnsi" w:eastAsia="SimSun" w:hAnsiTheme="minorHAnsi"/>
          <w:b/>
          <w:sz w:val="20"/>
          <w:lang w:val="sq-AL"/>
        </w:rPr>
      </w:pPr>
      <w:r w:rsidRPr="00FC564A">
        <w:rPr>
          <w:rFonts w:asciiTheme="minorHAnsi" w:eastAsia="SimSun" w:hAnsiTheme="minorHAnsi"/>
          <w:sz w:val="20"/>
          <w:lang w:val="sq-AL"/>
        </w:rPr>
        <w:tab/>
      </w:r>
      <w:r w:rsidRPr="00FC564A">
        <w:rPr>
          <w:rFonts w:asciiTheme="minorHAnsi" w:eastAsia="SimSun" w:hAnsiTheme="minorHAnsi"/>
          <w:i/>
          <w:sz w:val="20"/>
          <w:lang w:val="sq-AL"/>
        </w:rPr>
        <w:t>Burimi: Ministria e Financave (2017)</w:t>
      </w:r>
    </w:p>
    <w:p w:rsidR="00A06C7D" w:rsidRPr="00C96584" w:rsidRDefault="00A06C7D" w:rsidP="00A06C7D">
      <w:pPr>
        <w:spacing w:line="276" w:lineRule="auto"/>
        <w:jc w:val="both"/>
        <w:rPr>
          <w:rFonts w:asciiTheme="minorHAnsi" w:eastAsia="SimSun" w:hAnsiTheme="minorHAnsi"/>
          <w:sz w:val="12"/>
          <w:szCs w:val="12"/>
          <w:lang w:val="sq-AL"/>
        </w:rPr>
      </w:pPr>
    </w:p>
    <w:p w:rsidR="00A06C7D" w:rsidRPr="00193EF8" w:rsidRDefault="00A06C7D" w:rsidP="00A06C7D">
      <w:pPr>
        <w:spacing w:line="276" w:lineRule="auto"/>
        <w:jc w:val="both"/>
        <w:rPr>
          <w:rFonts w:asciiTheme="minorHAnsi" w:eastAsia="SimSun" w:hAnsiTheme="minorHAnsi"/>
          <w:lang w:val="sq-AL"/>
        </w:rPr>
      </w:pPr>
      <w:r w:rsidRPr="00193EF8">
        <w:rPr>
          <w:rFonts w:asciiTheme="minorHAnsi" w:eastAsia="SimSun" w:hAnsiTheme="minorHAnsi"/>
          <w:lang w:val="sq-AL"/>
        </w:rPr>
        <w:t xml:space="preserve">Grafiku i mëposhtëm paraqet ndarjen e </w:t>
      </w:r>
      <w:r w:rsidRPr="00193EF8">
        <w:rPr>
          <w:rFonts w:asciiTheme="minorHAnsi" w:eastAsia="SimSun" w:hAnsiTheme="minorHAnsi"/>
          <w:b/>
          <w:lang w:val="sq-AL"/>
        </w:rPr>
        <w:t>shpenzimeve publike faktike</w:t>
      </w:r>
      <w:r w:rsidRPr="00193EF8">
        <w:rPr>
          <w:rFonts w:asciiTheme="minorHAnsi" w:eastAsia="SimSun" w:hAnsiTheme="minorHAnsi"/>
          <w:lang w:val="sq-AL"/>
        </w:rPr>
        <w:t xml:space="preserve"> për 5 mujorin e parë të vitit 2017. Shpenzimet korente për këtë periudhë përbëjnë </w:t>
      </w:r>
      <w:r w:rsidRPr="00193EF8">
        <w:rPr>
          <w:rFonts w:asciiTheme="minorHAnsi" w:hAnsiTheme="minorHAnsi"/>
          <w:lang w:val="sq-AL"/>
        </w:rPr>
        <w:t>pjesën</w:t>
      </w:r>
      <w:r w:rsidRPr="00193EF8">
        <w:rPr>
          <w:rFonts w:asciiTheme="minorHAnsi" w:eastAsia="SimSun" w:hAnsiTheme="minorHAnsi"/>
          <w:lang w:val="sq-AL"/>
        </w:rPr>
        <w:t xml:space="preserve"> më të madhe të shpenzimeve totale faktike me 86.9 përqind, kurse shpenzimet kapitale përbëjnë 13.1 përqind.</w:t>
      </w:r>
    </w:p>
    <w:p w:rsidR="00A06C7D" w:rsidRPr="00FC564A" w:rsidRDefault="00A06C7D" w:rsidP="00A06C7D">
      <w:pPr>
        <w:spacing w:line="276" w:lineRule="auto"/>
        <w:rPr>
          <w:rFonts w:asciiTheme="minorHAnsi" w:eastAsia="SimSun" w:hAnsiTheme="minorHAnsi"/>
          <w:i/>
          <w:sz w:val="8"/>
          <w:szCs w:val="8"/>
          <w:lang w:val="sq-AL"/>
        </w:rPr>
      </w:pPr>
    </w:p>
    <w:p w:rsidR="00A06C7D"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25</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Detajimi i Shpenzimeve Buxhetore (në milion LEK)</w:t>
      </w:r>
    </w:p>
    <w:p w:rsidR="00A06C7D" w:rsidRPr="00193EF8" w:rsidRDefault="00A06C7D" w:rsidP="00A06C7D">
      <w:pPr>
        <w:spacing w:line="276" w:lineRule="auto"/>
        <w:jc w:val="center"/>
        <w:rPr>
          <w:rFonts w:asciiTheme="minorHAnsi" w:eastAsia="SimSun" w:hAnsiTheme="minorHAnsi"/>
          <w:i/>
          <w:lang w:val="sq-AL"/>
        </w:rPr>
      </w:pPr>
      <w:r>
        <w:rPr>
          <w:rFonts w:asciiTheme="minorHAnsi" w:eastAsia="SimSun" w:hAnsiTheme="minorHAnsi"/>
          <w:i/>
          <w:noProof/>
        </w:rPr>
        <w:drawing>
          <wp:inline distT="0" distB="0" distL="0" distR="0" wp14:anchorId="739BF9DC" wp14:editId="41CD5107">
            <wp:extent cx="5144135" cy="3002508"/>
            <wp:effectExtent l="0" t="0" r="0" b="762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1814" cy="3012827"/>
                    </a:xfrm>
                    <a:prstGeom prst="rect">
                      <a:avLst/>
                    </a:prstGeom>
                    <a:noFill/>
                  </pic:spPr>
                </pic:pic>
              </a:graphicData>
            </a:graphic>
          </wp:inline>
        </w:drawing>
      </w:r>
    </w:p>
    <w:p w:rsidR="00A06C7D" w:rsidRPr="00FC564A" w:rsidRDefault="00A06C7D" w:rsidP="00A06C7D">
      <w:pPr>
        <w:spacing w:line="276" w:lineRule="auto"/>
        <w:rPr>
          <w:rFonts w:asciiTheme="minorHAnsi" w:eastAsia="SimSun" w:hAnsiTheme="minorHAnsi"/>
          <w:i/>
          <w:sz w:val="20"/>
          <w:lang w:val="sq-AL"/>
        </w:rPr>
      </w:pPr>
      <w:r w:rsidRPr="00FC564A">
        <w:rPr>
          <w:rFonts w:asciiTheme="minorHAnsi" w:eastAsia="SimSun" w:hAnsiTheme="minorHAnsi"/>
          <w:i/>
          <w:sz w:val="20"/>
          <w:lang w:val="sq-AL"/>
        </w:rPr>
        <w:t xml:space="preserve">              Burimi: Ministria e Financave(2017)</w:t>
      </w:r>
    </w:p>
    <w:p w:rsidR="00A06C7D" w:rsidRPr="00FC564A" w:rsidRDefault="00A06C7D" w:rsidP="00A06C7D">
      <w:pPr>
        <w:spacing w:line="276" w:lineRule="auto"/>
        <w:jc w:val="both"/>
        <w:rPr>
          <w:rFonts w:asciiTheme="minorHAnsi" w:eastAsia="SimSun" w:hAnsiTheme="minorHAnsi"/>
          <w:sz w:val="12"/>
          <w:szCs w:val="12"/>
          <w:lang w:val="sq-AL"/>
        </w:rPr>
      </w:pPr>
    </w:p>
    <w:p w:rsidR="00A06C7D" w:rsidRDefault="00A06C7D" w:rsidP="00A06C7D">
      <w:pPr>
        <w:spacing w:line="276" w:lineRule="auto"/>
        <w:jc w:val="both"/>
        <w:rPr>
          <w:rFonts w:asciiTheme="minorHAnsi" w:eastAsia="SimSun" w:hAnsiTheme="minorHAnsi"/>
          <w:lang w:val="sq-AL"/>
        </w:rPr>
      </w:pPr>
      <w:r w:rsidRPr="00193EF8">
        <w:rPr>
          <w:rFonts w:asciiTheme="minorHAnsi" w:eastAsia="SimSun" w:hAnsiTheme="minorHAnsi"/>
          <w:lang w:val="sq-AL"/>
        </w:rPr>
        <w:t>Sikurse evidentohet nga tabela e treguesve fiskal të konsoliduar, realizimi i shpenzimeve</w:t>
      </w:r>
      <w:r>
        <w:rPr>
          <w:rFonts w:asciiTheme="minorHAnsi" w:eastAsia="SimSun" w:hAnsiTheme="minorHAnsi"/>
          <w:lang w:val="sq-AL"/>
        </w:rPr>
        <w:t xml:space="preserve"> të përgjithshme është rreth 170.45</w:t>
      </w:r>
      <w:r w:rsidRPr="00193EF8">
        <w:rPr>
          <w:rFonts w:asciiTheme="minorHAnsi" w:eastAsia="SimSun" w:hAnsiTheme="minorHAnsi"/>
          <w:lang w:val="sq-AL"/>
        </w:rPr>
        <w:t xml:space="preserve"> miliardë LEK ose 100</w:t>
      </w:r>
      <w:r>
        <w:rPr>
          <w:rFonts w:asciiTheme="minorHAnsi" w:eastAsia="SimSun" w:hAnsiTheme="minorHAnsi"/>
          <w:lang w:val="sq-AL"/>
        </w:rPr>
        <w:t>.3</w:t>
      </w:r>
      <w:r w:rsidRPr="00193EF8">
        <w:rPr>
          <w:rFonts w:asciiTheme="minorHAnsi" w:eastAsia="SimSun" w:hAnsiTheme="minorHAnsi"/>
          <w:lang w:val="sq-AL"/>
        </w:rPr>
        <w:t xml:space="preserve"> përqind kundrejt planit të periudhës. Kjo situatë është shoqëruar me një </w:t>
      </w:r>
      <w:r>
        <w:rPr>
          <w:rFonts w:asciiTheme="minorHAnsi" w:eastAsia="SimSun" w:hAnsiTheme="minorHAnsi"/>
          <w:lang w:val="sq-AL"/>
        </w:rPr>
        <w:t>sufiçit buxhetor prej rreth 6.3</w:t>
      </w:r>
      <w:r w:rsidRPr="00193EF8">
        <w:rPr>
          <w:rFonts w:asciiTheme="minorHAnsi" w:eastAsia="SimSun" w:hAnsiTheme="minorHAnsi"/>
          <w:lang w:val="sq-AL"/>
        </w:rPr>
        <w:t xml:space="preserve"> miliardë LEK. Grafiku i </w:t>
      </w:r>
      <w:r>
        <w:rPr>
          <w:rFonts w:asciiTheme="minorHAnsi" w:eastAsia="SimSun" w:hAnsiTheme="minorHAnsi"/>
          <w:lang w:val="sq-AL"/>
        </w:rPr>
        <w:t>m</w:t>
      </w:r>
      <w:r w:rsidRPr="00193EF8">
        <w:rPr>
          <w:rFonts w:asciiTheme="minorHAnsi" w:eastAsia="SimSun" w:hAnsiTheme="minorHAnsi"/>
          <w:lang w:val="sq-AL"/>
        </w:rPr>
        <w:t xml:space="preserve">ëposhtëm tregon tendencat pozitive të treguesve kryesorë të  buxhetit të shtetit. </w:t>
      </w:r>
    </w:p>
    <w:p w:rsidR="00A06C7D" w:rsidRPr="0085454B" w:rsidRDefault="00A06C7D" w:rsidP="00A06C7D">
      <w:pPr>
        <w:spacing w:line="276" w:lineRule="auto"/>
        <w:rPr>
          <w:rFonts w:asciiTheme="minorHAnsi" w:eastAsia="SimSun" w:hAnsiTheme="minorHAnsi"/>
          <w:i/>
          <w:sz w:val="12"/>
          <w:szCs w:val="8"/>
          <w:lang w:val="sq-AL"/>
        </w:rPr>
      </w:pPr>
    </w:p>
    <w:p w:rsidR="00A06C7D" w:rsidRDefault="00A06C7D" w:rsidP="00A06C7D">
      <w:pPr>
        <w:spacing w:line="276" w:lineRule="auto"/>
        <w:rPr>
          <w:rFonts w:asciiTheme="minorHAnsi" w:eastAsia="SimSun" w:hAnsiTheme="minorHAnsi"/>
          <w:i/>
          <w:lang w:val="sq-AL"/>
        </w:rPr>
      </w:pPr>
    </w:p>
    <w:p w:rsidR="00A06C7D" w:rsidRDefault="00A06C7D" w:rsidP="00A06C7D">
      <w:pPr>
        <w:spacing w:line="276" w:lineRule="auto"/>
        <w:rPr>
          <w:rFonts w:asciiTheme="minorHAnsi" w:eastAsia="SimSun" w:hAnsiTheme="minorHAnsi"/>
          <w:i/>
          <w:lang w:val="sq-AL"/>
        </w:rPr>
      </w:pPr>
      <w:r w:rsidRPr="00193EF8">
        <w:rPr>
          <w:rFonts w:asciiTheme="minorHAnsi" w:eastAsia="SimSun" w:hAnsiTheme="minorHAnsi"/>
          <w:i/>
          <w:lang w:val="sq-AL"/>
        </w:rPr>
        <w:t xml:space="preserve">Grafiku </w:t>
      </w:r>
      <w:r w:rsidR="000B3625">
        <w:rPr>
          <w:rFonts w:asciiTheme="minorHAnsi" w:eastAsia="SimSun" w:hAnsiTheme="minorHAnsi"/>
          <w:i/>
          <w:lang w:val="sq-AL"/>
        </w:rPr>
        <w:t>26</w:t>
      </w:r>
      <w:r w:rsidRPr="00193EF8">
        <w:rPr>
          <w:rFonts w:asciiTheme="minorHAnsi" w:eastAsia="SimSun" w:hAnsiTheme="minorHAnsi"/>
          <w:i/>
          <w:lang w:val="sq-AL"/>
        </w:rPr>
        <w:t>:</w:t>
      </w:r>
      <w:r>
        <w:rPr>
          <w:rFonts w:asciiTheme="minorHAnsi" w:eastAsia="SimSun" w:hAnsiTheme="minorHAnsi"/>
          <w:i/>
          <w:lang w:val="sq-AL"/>
        </w:rPr>
        <w:tab/>
      </w:r>
      <w:r w:rsidRPr="00193EF8">
        <w:rPr>
          <w:rFonts w:asciiTheme="minorHAnsi" w:eastAsia="SimSun" w:hAnsiTheme="minorHAnsi"/>
          <w:i/>
          <w:lang w:val="sq-AL"/>
        </w:rPr>
        <w:t>Të ardhurat, shpenzimet dhe deficiti/suficiti - Plan vs Fakt 2017 (në milion LEK)</w:t>
      </w:r>
    </w:p>
    <w:p w:rsidR="00A06C7D" w:rsidRPr="00444289" w:rsidRDefault="00A06C7D" w:rsidP="00A06C7D">
      <w:pPr>
        <w:spacing w:line="276" w:lineRule="auto"/>
        <w:ind w:left="180"/>
        <w:jc w:val="center"/>
        <w:rPr>
          <w:rFonts w:asciiTheme="minorHAnsi" w:eastAsia="SimSun" w:hAnsiTheme="minorHAnsi"/>
          <w:i/>
          <w:lang w:val="sq-AL"/>
        </w:rPr>
      </w:pPr>
      <w:r>
        <w:rPr>
          <w:rFonts w:asciiTheme="minorHAnsi" w:eastAsia="SimSun" w:hAnsiTheme="minorHAnsi"/>
          <w:i/>
          <w:noProof/>
        </w:rPr>
        <w:drawing>
          <wp:inline distT="0" distB="0" distL="0" distR="0" wp14:anchorId="7CAA46CA" wp14:editId="2B6ABE00">
            <wp:extent cx="5838940" cy="3179929"/>
            <wp:effectExtent l="0" t="0" r="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7856" cy="3190231"/>
                    </a:xfrm>
                    <a:prstGeom prst="rect">
                      <a:avLst/>
                    </a:prstGeom>
                    <a:noFill/>
                  </pic:spPr>
                </pic:pic>
              </a:graphicData>
            </a:graphic>
          </wp:inline>
        </w:drawing>
      </w:r>
    </w:p>
    <w:p w:rsidR="00A06C7D" w:rsidRDefault="00A06C7D" w:rsidP="00A06C7D">
      <w:pPr>
        <w:spacing w:line="276" w:lineRule="auto"/>
      </w:pPr>
      <w:r w:rsidRPr="00444289">
        <w:rPr>
          <w:rFonts w:asciiTheme="minorHAnsi" w:eastAsia="SimSun" w:hAnsiTheme="minorHAnsi"/>
          <w:i/>
          <w:sz w:val="20"/>
          <w:lang w:val="sq-AL"/>
        </w:rPr>
        <w:t xml:space="preserve">  Burimi: Ministria e Financave (2017)</w:t>
      </w:r>
    </w:p>
    <w:p w:rsidR="00070A9E" w:rsidRPr="005E36C5" w:rsidRDefault="00070A9E" w:rsidP="00A40986">
      <w:pPr>
        <w:spacing w:line="276" w:lineRule="auto"/>
        <w:rPr>
          <w:rFonts w:asciiTheme="minorHAnsi" w:eastAsia="SimSun" w:hAnsiTheme="minorHAnsi"/>
          <w:i/>
          <w:sz w:val="20"/>
          <w:szCs w:val="20"/>
          <w:lang w:val="sq-AL"/>
        </w:rPr>
      </w:pPr>
    </w:p>
    <w:p w:rsidR="005E36C5" w:rsidRPr="00E53E4F" w:rsidRDefault="005E36C5" w:rsidP="005E36C5">
      <w:pPr>
        <w:spacing w:line="276" w:lineRule="auto"/>
        <w:jc w:val="both"/>
        <w:rPr>
          <w:rFonts w:asciiTheme="minorHAnsi" w:eastAsia="SimSun" w:hAnsiTheme="minorHAnsi"/>
          <w:lang w:val="sq-AL"/>
        </w:rPr>
      </w:pPr>
      <w:r w:rsidRPr="00E53E4F">
        <w:rPr>
          <w:rFonts w:asciiTheme="minorHAnsi" w:hAnsiTheme="minorHAnsi"/>
          <w:b/>
          <w:lang w:val="sq-AL"/>
        </w:rPr>
        <w:t>Fondi për Zhvillimin e Rajoneve (FZHR)</w:t>
      </w:r>
      <w:r w:rsidRPr="00E53E4F">
        <w:rPr>
          <w:rFonts w:asciiTheme="minorHAnsi" w:hAnsiTheme="minorHAnsi"/>
          <w:lang w:val="sq-AL"/>
        </w:rPr>
        <w:t xml:space="preserve"> </w:t>
      </w:r>
      <w:r w:rsidRPr="00E53E4F">
        <w:rPr>
          <w:rFonts w:asciiTheme="minorHAnsi" w:eastAsia="SimSun" w:hAnsiTheme="minorHAnsi"/>
          <w:lang w:val="sq-AL"/>
        </w:rPr>
        <w:t xml:space="preserve">për vitin 2017, është miratuar në vlerën 9.5 miliardë LEK. Ky fond financon tre programe: </w:t>
      </w:r>
    </w:p>
    <w:p w:rsidR="005E36C5" w:rsidRPr="00E53E4F" w:rsidRDefault="005E36C5" w:rsidP="005E36C5">
      <w:pPr>
        <w:pStyle w:val="ListParagraph"/>
        <w:numPr>
          <w:ilvl w:val="0"/>
          <w:numId w:val="25"/>
        </w:numPr>
        <w:spacing w:line="276" w:lineRule="auto"/>
        <w:jc w:val="both"/>
        <w:rPr>
          <w:rFonts w:asciiTheme="minorHAnsi" w:eastAsia="SimSun" w:hAnsiTheme="minorHAnsi"/>
          <w:i/>
          <w:lang w:val="sq-AL"/>
        </w:rPr>
      </w:pPr>
      <w:r w:rsidRPr="00E53E4F">
        <w:rPr>
          <w:rFonts w:asciiTheme="minorHAnsi" w:eastAsia="SimSun" w:hAnsiTheme="minorHAnsi"/>
          <w:i/>
          <w:lang w:val="sq-AL"/>
        </w:rPr>
        <w:t xml:space="preserve">Shtylla I - Programi i “Zhvillimit të Infrastrukturës Vendore dhe Rajonale”, </w:t>
      </w:r>
    </w:p>
    <w:p w:rsidR="005E36C5" w:rsidRPr="00341655" w:rsidRDefault="005E36C5" w:rsidP="005E36C5">
      <w:pPr>
        <w:pStyle w:val="ListParagraph"/>
        <w:numPr>
          <w:ilvl w:val="0"/>
          <w:numId w:val="25"/>
        </w:numPr>
        <w:spacing w:line="276" w:lineRule="auto"/>
        <w:jc w:val="both"/>
        <w:rPr>
          <w:rFonts w:asciiTheme="minorHAnsi" w:eastAsia="SimSun" w:hAnsiTheme="minorHAnsi"/>
          <w:i/>
          <w:lang w:val="sq-AL"/>
        </w:rPr>
      </w:pPr>
      <w:r w:rsidRPr="00341655">
        <w:rPr>
          <w:rFonts w:asciiTheme="minorHAnsi" w:eastAsia="SimSun" w:hAnsiTheme="minorHAnsi"/>
          <w:i/>
          <w:lang w:val="sq-AL"/>
        </w:rPr>
        <w:t>Shtylla II</w:t>
      </w:r>
      <w:r>
        <w:rPr>
          <w:rFonts w:asciiTheme="minorHAnsi" w:eastAsia="SimSun" w:hAnsiTheme="minorHAnsi"/>
          <w:i/>
          <w:lang w:val="sq-AL"/>
        </w:rPr>
        <w:t xml:space="preserve"> – P</w:t>
      </w:r>
      <w:r w:rsidRPr="00341655">
        <w:rPr>
          <w:rFonts w:asciiTheme="minorHAnsi" w:eastAsia="SimSun" w:hAnsiTheme="minorHAnsi"/>
          <w:i/>
          <w:lang w:val="sq-AL"/>
        </w:rPr>
        <w:t>rogrami</w:t>
      </w:r>
      <w:r>
        <w:rPr>
          <w:rFonts w:asciiTheme="minorHAnsi" w:eastAsia="SimSun" w:hAnsiTheme="minorHAnsi"/>
          <w:i/>
          <w:lang w:val="sq-AL"/>
        </w:rPr>
        <w:t xml:space="preserve"> </w:t>
      </w:r>
      <w:r w:rsidRPr="00341655">
        <w:rPr>
          <w:rFonts w:asciiTheme="minorHAnsi" w:eastAsia="SimSun" w:hAnsiTheme="minorHAnsi"/>
          <w:i/>
          <w:lang w:val="sq-AL"/>
        </w:rPr>
        <w:t xml:space="preserve">“Shqipëria </w:t>
      </w:r>
      <w:r>
        <w:rPr>
          <w:rFonts w:asciiTheme="minorHAnsi" w:eastAsia="SimSun" w:hAnsiTheme="minorHAnsi"/>
          <w:i/>
          <w:lang w:val="sq-AL"/>
        </w:rPr>
        <w:t>D</w:t>
      </w:r>
      <w:r w:rsidRPr="00341655">
        <w:rPr>
          <w:rFonts w:asciiTheme="minorHAnsi" w:eastAsia="SimSun" w:hAnsiTheme="minorHAnsi"/>
          <w:i/>
          <w:lang w:val="sq-AL"/>
        </w:rPr>
        <w:t xml:space="preserve">ixhitale”, </w:t>
      </w:r>
    </w:p>
    <w:p w:rsidR="005E36C5" w:rsidRPr="00341655" w:rsidRDefault="005E36C5" w:rsidP="005E36C5">
      <w:pPr>
        <w:pStyle w:val="ListParagraph"/>
        <w:numPr>
          <w:ilvl w:val="0"/>
          <w:numId w:val="25"/>
        </w:numPr>
        <w:spacing w:line="276" w:lineRule="auto"/>
        <w:jc w:val="both"/>
        <w:rPr>
          <w:rFonts w:asciiTheme="minorHAnsi" w:eastAsia="SimSun" w:hAnsiTheme="minorHAnsi"/>
          <w:i/>
          <w:lang w:val="sq-AL"/>
        </w:rPr>
      </w:pPr>
      <w:r w:rsidRPr="00341655">
        <w:rPr>
          <w:rFonts w:asciiTheme="minorHAnsi" w:eastAsia="SimSun" w:hAnsiTheme="minorHAnsi"/>
          <w:i/>
          <w:lang w:val="sq-AL"/>
        </w:rPr>
        <w:t>Shtylla III</w:t>
      </w:r>
      <w:r>
        <w:rPr>
          <w:rFonts w:asciiTheme="minorHAnsi" w:eastAsia="SimSun" w:hAnsiTheme="minorHAnsi"/>
          <w:i/>
          <w:lang w:val="sq-AL"/>
        </w:rPr>
        <w:t xml:space="preserve"> – P</w:t>
      </w:r>
      <w:r w:rsidRPr="00341655">
        <w:rPr>
          <w:rFonts w:asciiTheme="minorHAnsi" w:eastAsia="SimSun" w:hAnsiTheme="minorHAnsi"/>
          <w:i/>
          <w:lang w:val="sq-AL"/>
        </w:rPr>
        <w:t xml:space="preserve">rogrami i “Mbështetjes për Ekonominë”. </w:t>
      </w:r>
    </w:p>
    <w:p w:rsidR="005E36C5" w:rsidRPr="00816793" w:rsidRDefault="005E36C5" w:rsidP="005E36C5">
      <w:pPr>
        <w:spacing w:line="276" w:lineRule="auto"/>
        <w:jc w:val="both"/>
        <w:rPr>
          <w:rFonts w:asciiTheme="minorHAnsi" w:eastAsia="SimSun" w:hAnsiTheme="minorHAnsi"/>
          <w:sz w:val="12"/>
          <w:szCs w:val="12"/>
          <w:lang w:val="sq-AL"/>
        </w:rPr>
      </w:pPr>
    </w:p>
    <w:p w:rsidR="005E36C5" w:rsidRPr="00341655" w:rsidRDefault="005E36C5" w:rsidP="005E36C5">
      <w:pPr>
        <w:spacing w:line="276" w:lineRule="auto"/>
        <w:jc w:val="both"/>
        <w:rPr>
          <w:rFonts w:asciiTheme="minorHAnsi" w:eastAsia="SimSun" w:hAnsiTheme="minorHAnsi"/>
          <w:lang w:val="sq-AL"/>
        </w:rPr>
      </w:pPr>
      <w:r w:rsidRPr="00341655">
        <w:rPr>
          <w:rFonts w:asciiTheme="minorHAnsi" w:eastAsia="SimSun" w:hAnsiTheme="minorHAnsi"/>
          <w:lang w:val="sq-AL"/>
        </w:rPr>
        <w:t xml:space="preserve">Deri në fund të muajit </w:t>
      </w:r>
      <w:r>
        <w:rPr>
          <w:rFonts w:asciiTheme="minorHAnsi" w:eastAsia="SimSun" w:hAnsiTheme="minorHAnsi"/>
          <w:lang w:val="sq-AL"/>
        </w:rPr>
        <w:t>M</w:t>
      </w:r>
      <w:r w:rsidRPr="00341655">
        <w:rPr>
          <w:rFonts w:asciiTheme="minorHAnsi" w:eastAsia="SimSun" w:hAnsiTheme="minorHAnsi"/>
          <w:lang w:val="sq-AL"/>
        </w:rPr>
        <w:t xml:space="preserve">aj 2017, nga fondi prej 9.5 miliardë </w:t>
      </w:r>
      <w:r>
        <w:rPr>
          <w:rFonts w:asciiTheme="minorHAnsi" w:eastAsia="SimSun" w:hAnsiTheme="minorHAnsi"/>
          <w:lang w:val="sq-AL"/>
        </w:rPr>
        <w:t>LEK</w:t>
      </w:r>
      <w:r w:rsidRPr="00341655">
        <w:rPr>
          <w:rFonts w:asciiTheme="minorHAnsi" w:eastAsia="SimSun" w:hAnsiTheme="minorHAnsi"/>
          <w:lang w:val="sq-AL"/>
        </w:rPr>
        <w:t xml:space="preserve"> janë akorduar 8.7 miliardë </w:t>
      </w:r>
      <w:r>
        <w:rPr>
          <w:rFonts w:asciiTheme="minorHAnsi" w:eastAsia="SimSun" w:hAnsiTheme="minorHAnsi"/>
          <w:lang w:val="sq-AL"/>
        </w:rPr>
        <w:t>LEK</w:t>
      </w:r>
      <w:r w:rsidRPr="00341655">
        <w:rPr>
          <w:rFonts w:asciiTheme="minorHAnsi" w:eastAsia="SimSun" w:hAnsiTheme="minorHAnsi"/>
          <w:lang w:val="sq-AL"/>
        </w:rPr>
        <w:t>, dhe konkretisht:</w:t>
      </w:r>
    </w:p>
    <w:p w:rsidR="005E36C5" w:rsidRPr="00816793" w:rsidRDefault="005E36C5" w:rsidP="005E36C5">
      <w:pPr>
        <w:pStyle w:val="ListParagraph"/>
        <w:spacing w:line="276" w:lineRule="auto"/>
        <w:ind w:left="450"/>
        <w:jc w:val="both"/>
        <w:rPr>
          <w:rFonts w:asciiTheme="minorHAnsi" w:hAnsiTheme="minorHAnsi"/>
          <w:sz w:val="8"/>
          <w:szCs w:val="8"/>
          <w:u w:val="single"/>
          <w:lang w:val="sq-AL"/>
        </w:rPr>
      </w:pPr>
    </w:p>
    <w:p w:rsidR="005E36C5" w:rsidRPr="00EC6DDA" w:rsidRDefault="005E36C5" w:rsidP="005E36C5">
      <w:pPr>
        <w:pStyle w:val="ListParagraph"/>
        <w:numPr>
          <w:ilvl w:val="0"/>
          <w:numId w:val="15"/>
        </w:numPr>
        <w:spacing w:line="276" w:lineRule="auto"/>
        <w:ind w:left="450" w:hanging="450"/>
        <w:jc w:val="both"/>
        <w:rPr>
          <w:rFonts w:asciiTheme="minorHAnsi" w:hAnsiTheme="minorHAnsi"/>
          <w:u w:val="single"/>
          <w:lang w:val="sq-AL"/>
        </w:rPr>
      </w:pPr>
      <w:r w:rsidRPr="00EC6DDA">
        <w:rPr>
          <w:rFonts w:asciiTheme="minorHAnsi" w:hAnsiTheme="minorHAnsi"/>
          <w:u w:val="single"/>
          <w:lang w:val="sq-AL"/>
        </w:rPr>
        <w:t>SHTYLLA I – Programi “</w:t>
      </w:r>
      <w:r w:rsidRPr="00EC6DDA">
        <w:rPr>
          <w:rFonts w:asciiTheme="minorHAnsi" w:hAnsiTheme="minorHAnsi"/>
          <w:i/>
          <w:u w:val="single"/>
          <w:lang w:val="sq-AL"/>
        </w:rPr>
        <w:t>Zhvillimi i Infrastrukturës Vendore dhe Rajonale</w:t>
      </w:r>
      <w:r w:rsidRPr="00EC6DDA">
        <w:rPr>
          <w:rFonts w:asciiTheme="minorHAnsi" w:hAnsiTheme="minorHAnsi"/>
          <w:u w:val="single"/>
          <w:lang w:val="sq-AL"/>
        </w:rPr>
        <w:t>”</w:t>
      </w:r>
    </w:p>
    <w:p w:rsidR="005E36C5" w:rsidRPr="00E472B3" w:rsidRDefault="005E36C5" w:rsidP="005E36C5">
      <w:pPr>
        <w:pStyle w:val="ListParagraph"/>
        <w:numPr>
          <w:ilvl w:val="0"/>
          <w:numId w:val="25"/>
        </w:numPr>
        <w:spacing w:line="276" w:lineRule="auto"/>
        <w:jc w:val="both"/>
        <w:rPr>
          <w:rFonts w:asciiTheme="minorHAnsi" w:eastAsia="SimSun" w:hAnsiTheme="minorHAnsi"/>
          <w:i/>
          <w:lang w:val="sq-AL"/>
        </w:rPr>
      </w:pPr>
      <w:r w:rsidRPr="00E472B3">
        <w:rPr>
          <w:rFonts w:asciiTheme="minorHAnsi" w:eastAsia="SimSun" w:hAnsiTheme="minorHAnsi"/>
          <w:i/>
          <w:lang w:val="sq-AL"/>
        </w:rPr>
        <w:t>Nën këtë program, për projektet në vazhdim janë akorduar 7.04 miliardë LEK, nga të cilat 6.4 miliardë LEK për njësitë e qeverisjes vendore dhe 625 milionë LEK për njësitë e qeversjes qendrore. Realizim faktik deri në muajin Maj 2017 rezulton në masën 32.8 përqind ose rreth 2.1 miliard LEK për njësitë e qeverisjes vendore, dhe në masën 31.2 përqind ose rreth 195 milionë LEK për njësitë e qeverisjes qendore.</w:t>
      </w:r>
    </w:p>
    <w:p w:rsidR="005E36C5" w:rsidRPr="00E472B3" w:rsidRDefault="005E36C5" w:rsidP="005E36C5">
      <w:pPr>
        <w:pStyle w:val="ListParagraph"/>
        <w:numPr>
          <w:ilvl w:val="0"/>
          <w:numId w:val="25"/>
        </w:numPr>
        <w:spacing w:line="276" w:lineRule="auto"/>
        <w:jc w:val="both"/>
        <w:rPr>
          <w:rFonts w:asciiTheme="minorHAnsi" w:eastAsia="SimSun" w:hAnsiTheme="minorHAnsi"/>
          <w:i/>
          <w:lang w:val="sq-AL"/>
        </w:rPr>
      </w:pPr>
      <w:r w:rsidRPr="00E472B3">
        <w:rPr>
          <w:rFonts w:asciiTheme="minorHAnsi" w:eastAsia="SimSun" w:hAnsiTheme="minorHAnsi"/>
          <w:i/>
          <w:lang w:val="sq-AL"/>
        </w:rPr>
        <w:t xml:space="preserve">Ndërkohë, financimi i projekteve të reja për vitin 2017, është në vlerën 1.55 miliardë LEK, nga të cilat 1.45 miliardë LEK për njësitë e qeverisjes vendore dhe 99.7 milionë LEK për njësitë e qeverisjes qendore. </w:t>
      </w:r>
    </w:p>
    <w:p w:rsidR="005E36C5" w:rsidRPr="00E472B3" w:rsidRDefault="005E36C5" w:rsidP="005E36C5">
      <w:pPr>
        <w:pStyle w:val="ListParagraph"/>
        <w:numPr>
          <w:ilvl w:val="0"/>
          <w:numId w:val="25"/>
        </w:numPr>
        <w:spacing w:line="276" w:lineRule="auto"/>
        <w:jc w:val="both"/>
        <w:rPr>
          <w:rFonts w:asciiTheme="minorHAnsi" w:eastAsia="SimSun" w:hAnsiTheme="minorHAnsi"/>
          <w:i/>
          <w:lang w:val="sq-AL"/>
        </w:rPr>
      </w:pPr>
      <w:r w:rsidRPr="00E472B3">
        <w:rPr>
          <w:rFonts w:asciiTheme="minorHAnsi" w:eastAsia="SimSun" w:hAnsiTheme="minorHAnsi"/>
          <w:i/>
          <w:lang w:val="sq-AL"/>
        </w:rPr>
        <w:t xml:space="preserve">Për Fondin Shqiptar të Zhvillimit, financimi i projekteve për 5 mujorin e parë të vitit 2017 kap vlerën 1.38 miliardë LEK, me një realizim 28.8 përqind ose 399.8 milionë LEK. Për vititn 2017 janë alokuar 290 milionë </w:t>
      </w:r>
      <w:r w:rsidR="00E472B3">
        <w:rPr>
          <w:rFonts w:asciiTheme="minorHAnsi" w:eastAsia="SimSun" w:hAnsiTheme="minorHAnsi"/>
          <w:i/>
          <w:lang w:val="sq-AL"/>
        </w:rPr>
        <w:t>LEK</w:t>
      </w:r>
      <w:r w:rsidRPr="00E472B3">
        <w:rPr>
          <w:rFonts w:asciiTheme="minorHAnsi" w:eastAsia="SimSun" w:hAnsiTheme="minorHAnsi"/>
          <w:i/>
          <w:lang w:val="sq-AL"/>
        </w:rPr>
        <w:t xml:space="preserve"> të cilat janë realizuar në masën 33.1 për qind ose 96 milionë </w:t>
      </w:r>
      <w:r w:rsidR="00E472B3">
        <w:rPr>
          <w:rFonts w:asciiTheme="minorHAnsi" w:eastAsia="SimSun" w:hAnsiTheme="minorHAnsi"/>
          <w:i/>
          <w:lang w:val="sq-AL"/>
        </w:rPr>
        <w:t>LEK</w:t>
      </w:r>
      <w:r w:rsidRPr="00E472B3">
        <w:rPr>
          <w:rFonts w:asciiTheme="minorHAnsi" w:eastAsia="SimSun" w:hAnsiTheme="minorHAnsi"/>
          <w:i/>
          <w:lang w:val="sq-AL"/>
        </w:rPr>
        <w:t>.</w:t>
      </w:r>
    </w:p>
    <w:p w:rsidR="005E36C5" w:rsidRPr="00E472B3" w:rsidRDefault="005E36C5" w:rsidP="005E36C5">
      <w:pPr>
        <w:pStyle w:val="ListParagraph"/>
        <w:numPr>
          <w:ilvl w:val="0"/>
          <w:numId w:val="25"/>
        </w:numPr>
        <w:spacing w:line="276" w:lineRule="auto"/>
        <w:jc w:val="both"/>
        <w:rPr>
          <w:rFonts w:asciiTheme="minorHAnsi" w:eastAsia="SimSun" w:hAnsiTheme="minorHAnsi"/>
          <w:i/>
          <w:lang w:val="sq-AL"/>
        </w:rPr>
      </w:pPr>
      <w:r w:rsidRPr="00E472B3">
        <w:rPr>
          <w:rFonts w:asciiTheme="minorHAnsi" w:eastAsia="SimSun" w:hAnsiTheme="minorHAnsi"/>
          <w:i/>
          <w:lang w:val="sq-AL"/>
        </w:rPr>
        <w:t xml:space="preserve">Për Grupin 87 “Institucione të tjera qeveritare” janë alokuar dhe trashëguar në total 118.1 milionë LEK, të cilat janë realizuar në masën 9.5 milionë </w:t>
      </w:r>
      <w:r w:rsidR="00E472B3">
        <w:rPr>
          <w:rFonts w:asciiTheme="minorHAnsi" w:eastAsia="SimSun" w:hAnsiTheme="minorHAnsi"/>
          <w:i/>
          <w:lang w:val="sq-AL"/>
        </w:rPr>
        <w:t>LEK</w:t>
      </w:r>
      <w:r w:rsidRPr="00E472B3">
        <w:rPr>
          <w:rFonts w:asciiTheme="minorHAnsi" w:eastAsia="SimSun" w:hAnsiTheme="minorHAnsi"/>
          <w:i/>
          <w:lang w:val="sq-AL"/>
        </w:rPr>
        <w:t xml:space="preserve">. Nga kjo vlerë vetëm 99.7 milionë </w:t>
      </w:r>
      <w:r w:rsidR="00E472B3">
        <w:rPr>
          <w:rFonts w:asciiTheme="minorHAnsi" w:eastAsia="SimSun" w:hAnsiTheme="minorHAnsi"/>
          <w:i/>
          <w:lang w:val="sq-AL"/>
        </w:rPr>
        <w:t>LEK</w:t>
      </w:r>
      <w:r w:rsidRPr="00E472B3">
        <w:rPr>
          <w:rFonts w:asciiTheme="minorHAnsi" w:eastAsia="SimSun" w:hAnsiTheme="minorHAnsi"/>
          <w:i/>
          <w:lang w:val="sq-AL"/>
        </w:rPr>
        <w:t xml:space="preserve"> janë alokuar në vitin 2017 dhe realizimi për 5 mujorin e parë është 0 për qind.</w:t>
      </w:r>
    </w:p>
    <w:p w:rsidR="005E36C5" w:rsidRPr="005F2324" w:rsidRDefault="005E36C5" w:rsidP="005E36C5">
      <w:pPr>
        <w:pStyle w:val="ListParagraph"/>
        <w:numPr>
          <w:ilvl w:val="0"/>
          <w:numId w:val="15"/>
        </w:numPr>
        <w:spacing w:line="276" w:lineRule="auto"/>
        <w:ind w:left="450" w:hanging="450"/>
        <w:jc w:val="both"/>
        <w:rPr>
          <w:rFonts w:asciiTheme="minorHAnsi" w:hAnsiTheme="minorHAnsi"/>
          <w:u w:val="single"/>
          <w:lang w:val="sq-AL"/>
        </w:rPr>
      </w:pPr>
      <w:r w:rsidRPr="005F2324">
        <w:rPr>
          <w:rFonts w:asciiTheme="minorHAnsi" w:hAnsiTheme="minorHAnsi"/>
          <w:u w:val="single"/>
          <w:lang w:val="sq-AL"/>
        </w:rPr>
        <w:t>SHTYLLA II – Programi “Shqipëria Dixhitale”</w:t>
      </w:r>
    </w:p>
    <w:p w:rsidR="005E36C5" w:rsidRDefault="005E36C5" w:rsidP="005E36C5">
      <w:pPr>
        <w:spacing w:line="276" w:lineRule="auto"/>
        <w:jc w:val="both"/>
        <w:rPr>
          <w:rFonts w:asciiTheme="minorHAnsi" w:eastAsia="SimSun" w:hAnsiTheme="minorHAnsi"/>
          <w:lang w:val="sq-AL"/>
        </w:rPr>
      </w:pPr>
      <w:r w:rsidRPr="00BD3D49">
        <w:rPr>
          <w:rFonts w:asciiTheme="minorHAnsi" w:eastAsia="SimSun" w:hAnsiTheme="minorHAnsi"/>
          <w:lang w:val="sq-AL"/>
        </w:rPr>
        <w:t>Në</w:t>
      </w:r>
      <w:r>
        <w:rPr>
          <w:rFonts w:asciiTheme="minorHAnsi" w:eastAsia="SimSun" w:hAnsiTheme="minorHAnsi"/>
          <w:lang w:val="sq-AL"/>
        </w:rPr>
        <w:t xml:space="preserve">n këtë </w:t>
      </w:r>
      <w:r w:rsidRPr="00BD3D49">
        <w:rPr>
          <w:rFonts w:asciiTheme="minorHAnsi" w:eastAsia="SimSun" w:hAnsiTheme="minorHAnsi"/>
          <w:lang w:val="sq-AL"/>
        </w:rPr>
        <w:t>program</w:t>
      </w:r>
      <w:r>
        <w:rPr>
          <w:rFonts w:asciiTheme="minorHAnsi" w:eastAsia="SimSun" w:hAnsiTheme="minorHAnsi"/>
          <w:lang w:val="sq-AL"/>
        </w:rPr>
        <w:t>, për vitin 2017</w:t>
      </w:r>
      <w:r w:rsidRPr="00BD3D49">
        <w:rPr>
          <w:rFonts w:asciiTheme="minorHAnsi" w:eastAsia="SimSun" w:hAnsiTheme="minorHAnsi"/>
          <w:lang w:val="sq-AL"/>
        </w:rPr>
        <w:t xml:space="preserve"> janë akorduar 171.1 milionë LEK për njësitë e qeverisjes vendore</w:t>
      </w:r>
      <w:r>
        <w:rPr>
          <w:rFonts w:asciiTheme="minorHAnsi" w:eastAsia="SimSun" w:hAnsiTheme="minorHAnsi"/>
          <w:lang w:val="sq-AL"/>
        </w:rPr>
        <w:t xml:space="preserve">, ku </w:t>
      </w:r>
      <w:r w:rsidRPr="00813EBE">
        <w:rPr>
          <w:rFonts w:asciiTheme="minorHAnsi" w:eastAsia="SimSun" w:hAnsiTheme="minorHAnsi"/>
          <w:lang w:val="sq-AL"/>
        </w:rPr>
        <w:t>realizim</w:t>
      </w:r>
      <w:r>
        <w:rPr>
          <w:rFonts w:asciiTheme="minorHAnsi" w:eastAsia="SimSun" w:hAnsiTheme="minorHAnsi"/>
          <w:lang w:val="sq-AL"/>
        </w:rPr>
        <w:t>i</w:t>
      </w:r>
      <w:r w:rsidRPr="00813EBE">
        <w:rPr>
          <w:rFonts w:asciiTheme="minorHAnsi" w:eastAsia="SimSun" w:hAnsiTheme="minorHAnsi"/>
          <w:lang w:val="sq-AL"/>
        </w:rPr>
        <w:t xml:space="preserve"> faktik deri në muajin Maj 2017 rezulton në masën</w:t>
      </w:r>
      <w:r>
        <w:rPr>
          <w:rFonts w:asciiTheme="minorHAnsi" w:eastAsia="SimSun" w:hAnsiTheme="minorHAnsi"/>
          <w:lang w:val="sq-AL"/>
        </w:rPr>
        <w:t xml:space="preserve"> 0 për</w:t>
      </w:r>
      <w:r w:rsidRPr="00813EBE">
        <w:rPr>
          <w:rFonts w:asciiTheme="minorHAnsi" w:eastAsia="SimSun" w:hAnsiTheme="minorHAnsi"/>
          <w:lang w:val="sq-AL"/>
        </w:rPr>
        <w:t>qind.</w:t>
      </w:r>
      <w:r>
        <w:rPr>
          <w:rFonts w:asciiTheme="minorHAnsi" w:eastAsia="SimSun" w:hAnsiTheme="minorHAnsi"/>
          <w:lang w:val="sq-AL"/>
        </w:rPr>
        <w:t xml:space="preserve"> </w:t>
      </w:r>
    </w:p>
    <w:p w:rsidR="005E36C5" w:rsidRPr="006A7712" w:rsidRDefault="005E36C5" w:rsidP="005E36C5">
      <w:pPr>
        <w:spacing w:line="276" w:lineRule="auto"/>
        <w:jc w:val="both"/>
        <w:rPr>
          <w:rFonts w:asciiTheme="minorHAnsi" w:eastAsia="SimSun" w:hAnsiTheme="minorHAnsi"/>
          <w:i/>
          <w:lang w:val="sq-AL"/>
        </w:rPr>
      </w:pPr>
      <w:r>
        <w:rPr>
          <w:rFonts w:asciiTheme="minorHAnsi" w:eastAsia="SimSun" w:hAnsiTheme="minorHAnsi"/>
          <w:lang w:val="sq-AL"/>
        </w:rPr>
        <w:t>Nd</w:t>
      </w:r>
      <w:r w:rsidR="005564F1">
        <w:rPr>
          <w:rFonts w:asciiTheme="minorHAnsi" w:eastAsia="SimSun" w:hAnsiTheme="minorHAnsi"/>
          <w:lang w:val="sq-AL"/>
        </w:rPr>
        <w:t>ë</w:t>
      </w:r>
      <w:r>
        <w:rPr>
          <w:rFonts w:asciiTheme="minorHAnsi" w:eastAsia="SimSun" w:hAnsiTheme="minorHAnsi"/>
          <w:lang w:val="sq-AL"/>
        </w:rPr>
        <w:t>rkoh</w:t>
      </w:r>
      <w:r w:rsidR="005564F1">
        <w:rPr>
          <w:rFonts w:asciiTheme="minorHAnsi" w:eastAsia="SimSun" w:hAnsiTheme="minorHAnsi"/>
          <w:lang w:val="sq-AL"/>
        </w:rPr>
        <w:t>ë</w:t>
      </w:r>
      <w:r>
        <w:rPr>
          <w:rFonts w:asciiTheme="minorHAnsi" w:eastAsia="SimSun" w:hAnsiTheme="minorHAnsi"/>
          <w:lang w:val="sq-AL"/>
        </w:rPr>
        <w:t xml:space="preserve">, </w:t>
      </w:r>
      <w:r w:rsidRPr="005F2324">
        <w:rPr>
          <w:rFonts w:asciiTheme="minorHAnsi" w:eastAsia="SimSun" w:hAnsiTheme="minorHAnsi"/>
          <w:lang w:val="sq-AL"/>
        </w:rPr>
        <w:t>për 5 mujorin e parë të vitit 2017</w:t>
      </w:r>
      <w:r>
        <w:rPr>
          <w:rFonts w:asciiTheme="minorHAnsi" w:eastAsia="SimSun" w:hAnsiTheme="minorHAnsi"/>
          <w:lang w:val="sq-AL"/>
        </w:rPr>
        <w:t>, r</w:t>
      </w:r>
      <w:r w:rsidRPr="005F2324">
        <w:rPr>
          <w:rFonts w:asciiTheme="minorHAnsi" w:eastAsia="SimSun" w:hAnsiTheme="minorHAnsi"/>
          <w:lang w:val="sq-AL"/>
        </w:rPr>
        <w:t xml:space="preserve">ealizimi i </w:t>
      </w:r>
      <w:r>
        <w:rPr>
          <w:rFonts w:asciiTheme="minorHAnsi" w:eastAsia="SimSun" w:hAnsiTheme="minorHAnsi"/>
          <w:lang w:val="sq-AL"/>
        </w:rPr>
        <w:t>fondit të alokuar dhe të trashëguar n</w:t>
      </w:r>
      <w:r w:rsidR="005564F1">
        <w:rPr>
          <w:rFonts w:asciiTheme="minorHAnsi" w:eastAsia="SimSun" w:hAnsiTheme="minorHAnsi"/>
          <w:lang w:val="sq-AL"/>
        </w:rPr>
        <w:t>ë</w:t>
      </w:r>
      <w:r>
        <w:rPr>
          <w:rFonts w:asciiTheme="minorHAnsi" w:eastAsia="SimSun" w:hAnsiTheme="minorHAnsi"/>
          <w:lang w:val="sq-AL"/>
        </w:rPr>
        <w:t>n k</w:t>
      </w:r>
      <w:r w:rsidR="005564F1">
        <w:rPr>
          <w:rFonts w:asciiTheme="minorHAnsi" w:eastAsia="SimSun" w:hAnsiTheme="minorHAnsi"/>
          <w:lang w:val="sq-AL"/>
        </w:rPr>
        <w:t>ë</w:t>
      </w:r>
      <w:r>
        <w:rPr>
          <w:rFonts w:asciiTheme="minorHAnsi" w:eastAsia="SimSun" w:hAnsiTheme="minorHAnsi"/>
          <w:lang w:val="sq-AL"/>
        </w:rPr>
        <w:t>t</w:t>
      </w:r>
      <w:r w:rsidR="005564F1">
        <w:rPr>
          <w:rFonts w:asciiTheme="minorHAnsi" w:eastAsia="SimSun" w:hAnsiTheme="minorHAnsi"/>
          <w:lang w:val="sq-AL"/>
        </w:rPr>
        <w:t>ë</w:t>
      </w:r>
      <w:r>
        <w:rPr>
          <w:rFonts w:asciiTheme="minorHAnsi" w:eastAsia="SimSun" w:hAnsiTheme="minorHAnsi"/>
          <w:lang w:val="sq-AL"/>
        </w:rPr>
        <w:t xml:space="preserve"> program p</w:t>
      </w:r>
      <w:r w:rsidRPr="005F2324">
        <w:rPr>
          <w:rFonts w:asciiTheme="minorHAnsi" w:eastAsia="SimSun" w:hAnsiTheme="minorHAnsi"/>
          <w:lang w:val="sq-AL"/>
        </w:rPr>
        <w:t>ër njësitë e qeverisjes qendore</w:t>
      </w:r>
      <w:r>
        <w:rPr>
          <w:rFonts w:asciiTheme="minorHAnsi" w:eastAsia="SimSun" w:hAnsiTheme="minorHAnsi"/>
          <w:lang w:val="sq-AL"/>
        </w:rPr>
        <w:t>,</w:t>
      </w:r>
      <w:r w:rsidRPr="005F2324">
        <w:rPr>
          <w:rFonts w:asciiTheme="minorHAnsi" w:eastAsia="SimSun" w:hAnsiTheme="minorHAnsi"/>
          <w:lang w:val="sq-AL"/>
        </w:rPr>
        <w:t xml:space="preserve"> ka</w:t>
      </w:r>
      <w:r>
        <w:rPr>
          <w:rFonts w:asciiTheme="minorHAnsi" w:eastAsia="SimSun" w:hAnsiTheme="minorHAnsi"/>
          <w:lang w:val="sq-AL"/>
        </w:rPr>
        <w:t>p</w:t>
      </w:r>
      <w:r w:rsidRPr="005F2324">
        <w:rPr>
          <w:rFonts w:asciiTheme="minorHAnsi" w:eastAsia="SimSun" w:hAnsiTheme="minorHAnsi"/>
          <w:lang w:val="sq-AL"/>
        </w:rPr>
        <w:t xml:space="preserve"> vlerën 223 milionë </w:t>
      </w:r>
      <w:r>
        <w:rPr>
          <w:rFonts w:asciiTheme="minorHAnsi" w:eastAsia="SimSun" w:hAnsiTheme="minorHAnsi"/>
          <w:lang w:val="sq-AL"/>
        </w:rPr>
        <w:t>LEK</w:t>
      </w:r>
      <w:r w:rsidRPr="005F2324">
        <w:rPr>
          <w:rFonts w:asciiTheme="minorHAnsi" w:eastAsia="SimSun" w:hAnsiTheme="minorHAnsi"/>
          <w:lang w:val="sq-AL"/>
        </w:rPr>
        <w:t xml:space="preserve"> ose 37 përqind</w:t>
      </w:r>
      <w:r>
        <w:rPr>
          <w:rFonts w:asciiTheme="minorHAnsi" w:eastAsia="SimSun" w:hAnsiTheme="minorHAnsi"/>
          <w:lang w:val="sq-AL"/>
        </w:rPr>
        <w:t xml:space="preserve"> e planit (602 milionë </w:t>
      </w:r>
      <w:r w:rsidR="00E472B3">
        <w:rPr>
          <w:rFonts w:asciiTheme="minorHAnsi" w:eastAsia="SimSun" w:hAnsiTheme="minorHAnsi"/>
          <w:lang w:val="sq-AL"/>
        </w:rPr>
        <w:t>LEK</w:t>
      </w:r>
      <w:r>
        <w:rPr>
          <w:rFonts w:asciiTheme="minorHAnsi" w:eastAsia="SimSun" w:hAnsiTheme="minorHAnsi"/>
          <w:lang w:val="sq-AL"/>
        </w:rPr>
        <w:t>)</w:t>
      </w:r>
      <w:r w:rsidRPr="005F2324">
        <w:rPr>
          <w:rFonts w:asciiTheme="minorHAnsi" w:eastAsia="SimSun" w:hAnsiTheme="minorHAnsi"/>
          <w:lang w:val="sq-AL"/>
        </w:rPr>
        <w:t xml:space="preserve">. Alokimet </w:t>
      </w:r>
      <w:r>
        <w:rPr>
          <w:rFonts w:asciiTheme="minorHAnsi" w:eastAsia="SimSun" w:hAnsiTheme="minorHAnsi"/>
          <w:lang w:val="sq-AL"/>
        </w:rPr>
        <w:t xml:space="preserve">e fondeve për institucionet e qeverisjes qendrore </w:t>
      </w:r>
      <w:r w:rsidRPr="005F2324">
        <w:rPr>
          <w:rFonts w:asciiTheme="minorHAnsi" w:eastAsia="SimSun" w:hAnsiTheme="minorHAnsi"/>
          <w:lang w:val="sq-AL"/>
        </w:rPr>
        <w:t xml:space="preserve">kanë qenë si vijon: </w:t>
      </w:r>
    </w:p>
    <w:p w:rsidR="005E36C5" w:rsidRDefault="005E36C5" w:rsidP="005E36C5">
      <w:pPr>
        <w:pStyle w:val="ListParagraph"/>
        <w:numPr>
          <w:ilvl w:val="0"/>
          <w:numId w:val="25"/>
        </w:numPr>
        <w:spacing w:line="276" w:lineRule="auto"/>
        <w:jc w:val="both"/>
        <w:rPr>
          <w:rFonts w:asciiTheme="minorHAnsi" w:eastAsia="SimSun" w:hAnsiTheme="minorHAnsi"/>
          <w:i/>
          <w:lang w:val="sq-AL"/>
        </w:rPr>
      </w:pPr>
      <w:r w:rsidRPr="006160CA">
        <w:rPr>
          <w:rFonts w:asciiTheme="minorHAnsi" w:eastAsia="SimSun" w:hAnsiTheme="minorHAnsi"/>
          <w:i/>
          <w:lang w:val="sq-AL"/>
        </w:rPr>
        <w:t>Për</w:t>
      </w:r>
      <w:r>
        <w:rPr>
          <w:rFonts w:asciiTheme="minorHAnsi" w:eastAsia="SimSun" w:hAnsiTheme="minorHAnsi"/>
          <w:i/>
          <w:lang w:val="sq-AL"/>
        </w:rPr>
        <w:t xml:space="preserve"> Këshillin e Ministrave</w:t>
      </w:r>
      <w:r w:rsidRPr="006160CA">
        <w:rPr>
          <w:rFonts w:asciiTheme="minorHAnsi" w:eastAsia="SimSun" w:hAnsiTheme="minorHAnsi"/>
          <w:i/>
          <w:lang w:val="sq-AL"/>
        </w:rPr>
        <w:t xml:space="preserve"> janë alokuar n</w:t>
      </w:r>
      <w:r>
        <w:rPr>
          <w:rFonts w:asciiTheme="minorHAnsi" w:eastAsia="SimSun" w:hAnsiTheme="minorHAnsi"/>
          <w:i/>
          <w:lang w:val="sq-AL"/>
        </w:rPr>
        <w:t>ë</w:t>
      </w:r>
      <w:r w:rsidRPr="006160CA">
        <w:rPr>
          <w:rFonts w:asciiTheme="minorHAnsi" w:eastAsia="SimSun" w:hAnsiTheme="minorHAnsi"/>
          <w:i/>
          <w:lang w:val="sq-AL"/>
        </w:rPr>
        <w:t xml:space="preserve"> vitin 2017 n</w:t>
      </w:r>
      <w:r>
        <w:rPr>
          <w:rFonts w:asciiTheme="minorHAnsi" w:eastAsia="SimSun" w:hAnsiTheme="minorHAnsi"/>
          <w:i/>
          <w:lang w:val="sq-AL"/>
        </w:rPr>
        <w:t>ë</w:t>
      </w:r>
      <w:r w:rsidRPr="006160CA">
        <w:rPr>
          <w:rFonts w:asciiTheme="minorHAnsi" w:eastAsia="SimSun" w:hAnsiTheme="minorHAnsi"/>
          <w:i/>
          <w:lang w:val="sq-AL"/>
        </w:rPr>
        <w:t xml:space="preserve"> total 330.9 milionë LEK, të cilat deri më tani janë realizuar në masën 29.6 përqind ose 98 milionë LEK</w:t>
      </w:r>
      <w:r>
        <w:rPr>
          <w:rFonts w:asciiTheme="minorHAnsi" w:eastAsia="SimSun" w:hAnsiTheme="minorHAnsi"/>
          <w:i/>
          <w:lang w:val="sq-AL"/>
        </w:rPr>
        <w:t>.</w:t>
      </w:r>
    </w:p>
    <w:p w:rsidR="005E36C5" w:rsidRDefault="005E36C5" w:rsidP="005E36C5">
      <w:pPr>
        <w:pStyle w:val="ListParagraph"/>
        <w:numPr>
          <w:ilvl w:val="0"/>
          <w:numId w:val="25"/>
        </w:numPr>
        <w:spacing w:line="276" w:lineRule="auto"/>
        <w:jc w:val="both"/>
        <w:rPr>
          <w:rFonts w:asciiTheme="minorHAnsi" w:eastAsia="SimSun" w:hAnsiTheme="minorHAnsi"/>
          <w:i/>
          <w:lang w:val="sq-AL"/>
        </w:rPr>
      </w:pPr>
      <w:r w:rsidRPr="005F2324">
        <w:rPr>
          <w:rFonts w:asciiTheme="minorHAnsi" w:eastAsia="SimSun" w:hAnsiTheme="minorHAnsi"/>
          <w:i/>
          <w:lang w:val="sq-AL"/>
        </w:rPr>
        <w:t xml:space="preserve">Për </w:t>
      </w:r>
      <w:r>
        <w:rPr>
          <w:rFonts w:asciiTheme="minorHAnsi" w:eastAsia="SimSun" w:hAnsiTheme="minorHAnsi"/>
          <w:i/>
          <w:lang w:val="sq-AL"/>
        </w:rPr>
        <w:t>G</w:t>
      </w:r>
      <w:r w:rsidRPr="005F2324">
        <w:rPr>
          <w:rFonts w:asciiTheme="minorHAnsi" w:eastAsia="SimSun" w:hAnsiTheme="minorHAnsi"/>
          <w:i/>
          <w:lang w:val="sq-AL"/>
        </w:rPr>
        <w:t>rupin 87</w:t>
      </w:r>
      <w:r>
        <w:rPr>
          <w:rFonts w:asciiTheme="minorHAnsi" w:eastAsia="SimSun" w:hAnsiTheme="minorHAnsi"/>
          <w:i/>
          <w:lang w:val="sq-AL"/>
        </w:rPr>
        <w:t xml:space="preserve"> “Institucione të tjera qeveritare”</w:t>
      </w:r>
      <w:r w:rsidRPr="005F2324">
        <w:rPr>
          <w:rFonts w:asciiTheme="minorHAnsi" w:eastAsia="SimSun" w:hAnsiTheme="minorHAnsi"/>
          <w:i/>
          <w:lang w:val="sq-AL"/>
        </w:rPr>
        <w:t xml:space="preserve"> janë alokuar </w:t>
      </w:r>
      <w:r>
        <w:rPr>
          <w:rFonts w:asciiTheme="minorHAnsi" w:eastAsia="SimSun" w:hAnsiTheme="minorHAnsi"/>
          <w:i/>
          <w:lang w:val="sq-AL"/>
        </w:rPr>
        <w:t xml:space="preserve">dhe trashëguar </w:t>
      </w:r>
      <w:r w:rsidRPr="005F2324">
        <w:rPr>
          <w:rFonts w:asciiTheme="minorHAnsi" w:eastAsia="SimSun" w:hAnsiTheme="minorHAnsi"/>
          <w:i/>
          <w:lang w:val="sq-AL"/>
        </w:rPr>
        <w:t xml:space="preserve">në total </w:t>
      </w:r>
      <w:r>
        <w:rPr>
          <w:rFonts w:asciiTheme="minorHAnsi" w:eastAsia="SimSun" w:hAnsiTheme="minorHAnsi"/>
          <w:i/>
          <w:lang w:val="sq-AL"/>
        </w:rPr>
        <w:t xml:space="preserve">145.3 </w:t>
      </w:r>
      <w:r w:rsidRPr="005F2324">
        <w:rPr>
          <w:rFonts w:asciiTheme="minorHAnsi" w:eastAsia="SimSun" w:hAnsiTheme="minorHAnsi"/>
          <w:i/>
          <w:lang w:val="sq-AL"/>
        </w:rPr>
        <w:t xml:space="preserve">milionë </w:t>
      </w:r>
      <w:r>
        <w:rPr>
          <w:rFonts w:asciiTheme="minorHAnsi" w:eastAsia="SimSun" w:hAnsiTheme="minorHAnsi"/>
          <w:i/>
          <w:lang w:val="sq-AL"/>
        </w:rPr>
        <w:t>LEK,</w:t>
      </w:r>
      <w:r w:rsidRPr="005F2324">
        <w:rPr>
          <w:rFonts w:asciiTheme="minorHAnsi" w:eastAsia="SimSun" w:hAnsiTheme="minorHAnsi"/>
          <w:i/>
          <w:lang w:val="sq-AL"/>
        </w:rPr>
        <w:t xml:space="preserve"> të cila</w:t>
      </w:r>
      <w:r>
        <w:rPr>
          <w:rFonts w:asciiTheme="minorHAnsi" w:eastAsia="SimSun" w:hAnsiTheme="minorHAnsi"/>
          <w:i/>
          <w:lang w:val="sq-AL"/>
        </w:rPr>
        <w:t>t</w:t>
      </w:r>
      <w:r w:rsidRPr="005F2324">
        <w:rPr>
          <w:rFonts w:asciiTheme="minorHAnsi" w:eastAsia="SimSun" w:hAnsiTheme="minorHAnsi"/>
          <w:i/>
          <w:lang w:val="sq-AL"/>
        </w:rPr>
        <w:t xml:space="preserve"> j</w:t>
      </w:r>
      <w:r>
        <w:rPr>
          <w:rFonts w:asciiTheme="minorHAnsi" w:eastAsia="SimSun" w:hAnsiTheme="minorHAnsi"/>
          <w:i/>
          <w:lang w:val="sq-AL"/>
        </w:rPr>
        <w:t>anë realizuar në masën 79.6 për</w:t>
      </w:r>
      <w:r w:rsidRPr="005F2324">
        <w:rPr>
          <w:rFonts w:asciiTheme="minorHAnsi" w:eastAsia="SimSun" w:hAnsiTheme="minorHAnsi"/>
          <w:i/>
          <w:lang w:val="sq-AL"/>
        </w:rPr>
        <w:t xml:space="preserve">qind ose </w:t>
      </w:r>
      <w:r>
        <w:rPr>
          <w:rFonts w:asciiTheme="minorHAnsi" w:eastAsia="SimSun" w:hAnsiTheme="minorHAnsi"/>
          <w:i/>
          <w:lang w:val="sq-AL"/>
        </w:rPr>
        <w:t xml:space="preserve">115.8 </w:t>
      </w:r>
      <w:r w:rsidRPr="005F2324">
        <w:rPr>
          <w:rFonts w:asciiTheme="minorHAnsi" w:eastAsia="SimSun" w:hAnsiTheme="minorHAnsi"/>
          <w:i/>
          <w:lang w:val="sq-AL"/>
        </w:rPr>
        <w:t xml:space="preserve">milionë </w:t>
      </w:r>
      <w:r>
        <w:rPr>
          <w:rFonts w:asciiTheme="minorHAnsi" w:eastAsia="SimSun" w:hAnsiTheme="minorHAnsi"/>
          <w:i/>
          <w:lang w:val="sq-AL"/>
        </w:rPr>
        <w:t>LEK</w:t>
      </w:r>
      <w:r w:rsidRPr="005F2324">
        <w:rPr>
          <w:rFonts w:asciiTheme="minorHAnsi" w:eastAsia="SimSun" w:hAnsiTheme="minorHAnsi"/>
          <w:i/>
          <w:lang w:val="sq-AL"/>
        </w:rPr>
        <w:t xml:space="preserve">. </w:t>
      </w:r>
      <w:r>
        <w:rPr>
          <w:rFonts w:asciiTheme="minorHAnsi" w:eastAsia="SimSun" w:hAnsiTheme="minorHAnsi"/>
          <w:i/>
          <w:lang w:val="sq-AL"/>
        </w:rPr>
        <w:t xml:space="preserve">Nga kjo vlerë, 2.8 milionë </w:t>
      </w:r>
      <w:r w:rsidR="00E472B3">
        <w:rPr>
          <w:rFonts w:asciiTheme="minorHAnsi" w:eastAsia="SimSun" w:hAnsiTheme="minorHAnsi"/>
          <w:i/>
          <w:lang w:val="sq-AL"/>
        </w:rPr>
        <w:t>LEK</w:t>
      </w:r>
      <w:r>
        <w:rPr>
          <w:rFonts w:asciiTheme="minorHAnsi" w:eastAsia="SimSun" w:hAnsiTheme="minorHAnsi"/>
          <w:i/>
          <w:lang w:val="sq-AL"/>
        </w:rPr>
        <w:t xml:space="preserve"> janë alokuar në 2017 dhe realizimi deri më tani është 0 përqind.</w:t>
      </w:r>
    </w:p>
    <w:p w:rsidR="005E36C5" w:rsidRPr="006160CA" w:rsidRDefault="005E36C5" w:rsidP="005E36C5">
      <w:pPr>
        <w:pStyle w:val="ListParagraph"/>
        <w:numPr>
          <w:ilvl w:val="0"/>
          <w:numId w:val="25"/>
        </w:numPr>
        <w:spacing w:line="276" w:lineRule="auto"/>
        <w:jc w:val="both"/>
        <w:rPr>
          <w:rFonts w:asciiTheme="minorHAnsi" w:eastAsia="SimSun" w:hAnsiTheme="minorHAnsi"/>
          <w:i/>
          <w:lang w:val="sq-AL"/>
        </w:rPr>
      </w:pPr>
      <w:r>
        <w:rPr>
          <w:rFonts w:asciiTheme="minorHAnsi" w:eastAsia="SimSun" w:hAnsiTheme="minorHAnsi"/>
          <w:i/>
          <w:lang w:val="sq-AL"/>
        </w:rPr>
        <w:t xml:space="preserve">Për </w:t>
      </w:r>
      <w:r w:rsidRPr="006160CA">
        <w:rPr>
          <w:rFonts w:asciiTheme="minorHAnsi" w:eastAsia="SimSun" w:hAnsiTheme="minorHAnsi"/>
          <w:i/>
          <w:lang w:val="sq-AL"/>
        </w:rPr>
        <w:t xml:space="preserve">Ministrinë e Kulturës janë </w:t>
      </w:r>
      <w:r>
        <w:rPr>
          <w:rFonts w:asciiTheme="minorHAnsi" w:eastAsia="SimSun" w:hAnsiTheme="minorHAnsi"/>
          <w:i/>
          <w:lang w:val="sq-AL"/>
        </w:rPr>
        <w:t>trashëguar</w:t>
      </w:r>
      <w:r w:rsidRPr="006160CA">
        <w:rPr>
          <w:rFonts w:asciiTheme="minorHAnsi" w:eastAsia="SimSun" w:hAnsiTheme="minorHAnsi"/>
          <w:i/>
          <w:lang w:val="sq-AL"/>
        </w:rPr>
        <w:t xml:space="preserve"> 8 milionë LEK, të cilat janë në proces realizimi. </w:t>
      </w:r>
    </w:p>
    <w:p w:rsidR="007E4DD7" w:rsidRPr="00C96584" w:rsidRDefault="007E4DD7" w:rsidP="00A40986">
      <w:pPr>
        <w:spacing w:line="276" w:lineRule="auto"/>
        <w:jc w:val="both"/>
        <w:rPr>
          <w:rFonts w:asciiTheme="minorHAnsi" w:eastAsia="SimSun" w:hAnsiTheme="minorHAnsi"/>
          <w:szCs w:val="20"/>
          <w:lang w:val="sq-AL"/>
        </w:rPr>
      </w:pPr>
    </w:p>
    <w:p w:rsidR="00637410" w:rsidRPr="00444289" w:rsidRDefault="00637410" w:rsidP="00A40986">
      <w:pPr>
        <w:spacing w:line="276" w:lineRule="auto"/>
        <w:jc w:val="both"/>
        <w:rPr>
          <w:rFonts w:asciiTheme="minorHAnsi" w:hAnsiTheme="minorHAnsi"/>
          <w:lang w:val="sq-AL"/>
        </w:rPr>
      </w:pPr>
      <w:r w:rsidRPr="00444289">
        <w:rPr>
          <w:rFonts w:asciiTheme="minorHAnsi" w:hAnsiTheme="minorHAnsi"/>
          <w:b/>
          <w:lang w:val="sq-AL"/>
        </w:rPr>
        <w:t>Fondi Rezervë, Fondi i Kontigjencës, Fondi i Veçantë</w:t>
      </w:r>
      <w:r w:rsidRPr="00444289">
        <w:rPr>
          <w:rFonts w:asciiTheme="minorHAnsi" w:hAnsiTheme="minorHAnsi"/>
          <w:lang w:val="sq-AL"/>
        </w:rPr>
        <w:t xml:space="preserve"> </w:t>
      </w:r>
      <w:r w:rsidRPr="00444289">
        <w:rPr>
          <w:rFonts w:asciiTheme="minorHAnsi" w:hAnsiTheme="minorHAnsi"/>
          <w:b/>
          <w:lang w:val="sq-AL"/>
        </w:rPr>
        <w:t>dhe Fondi për Rritjen e Pagave</w:t>
      </w:r>
      <w:r w:rsidRPr="00444289">
        <w:rPr>
          <w:rFonts w:asciiTheme="minorHAnsi" w:hAnsiTheme="minorHAnsi"/>
          <w:lang w:val="sq-AL"/>
        </w:rPr>
        <w:t>. Në analizën e shpenzimeve për periudhën janar-maj 2017, janë përfshirë edhe shpenzimet e realizuara nga përdorimet e fondit rezervë të buxhetit të shtetit, të fondit të kontigjencës, të fondit të veçantë dhe fondit për rritjen e pagave. M</w:t>
      </w:r>
      <w:r w:rsidR="000C4EAF" w:rsidRPr="00444289">
        <w:rPr>
          <w:rFonts w:asciiTheme="minorHAnsi" w:hAnsiTheme="minorHAnsi"/>
          <w:lang w:val="sq-AL"/>
        </w:rPr>
        <w:t>ë</w:t>
      </w:r>
      <w:r w:rsidRPr="00444289">
        <w:rPr>
          <w:rFonts w:asciiTheme="minorHAnsi" w:hAnsiTheme="minorHAnsi"/>
          <w:lang w:val="sq-AL"/>
        </w:rPr>
        <w:t xml:space="preserve"> konkretisht:</w:t>
      </w:r>
    </w:p>
    <w:p w:rsidR="00637410" w:rsidRPr="00444289" w:rsidRDefault="00637410" w:rsidP="00A40986">
      <w:pPr>
        <w:pStyle w:val="ListParagraph"/>
        <w:widowControl w:val="0"/>
        <w:numPr>
          <w:ilvl w:val="0"/>
          <w:numId w:val="15"/>
        </w:numPr>
        <w:autoSpaceDE w:val="0"/>
        <w:autoSpaceDN w:val="0"/>
        <w:adjustRightInd w:val="0"/>
        <w:spacing w:line="276" w:lineRule="auto"/>
        <w:ind w:left="360"/>
        <w:jc w:val="both"/>
        <w:rPr>
          <w:rFonts w:asciiTheme="minorHAnsi" w:hAnsiTheme="minorHAnsi"/>
          <w:lang w:val="sq-AL"/>
        </w:rPr>
      </w:pPr>
      <w:r w:rsidRPr="00444289">
        <w:rPr>
          <w:rFonts w:asciiTheme="minorHAnsi" w:hAnsiTheme="minorHAnsi"/>
          <w:u w:val="single"/>
          <w:lang w:val="sq-AL"/>
        </w:rPr>
        <w:t>Fondi Rezervë i buxhetit të shtetit</w:t>
      </w:r>
      <w:r w:rsidRPr="00444289">
        <w:rPr>
          <w:rFonts w:asciiTheme="minorHAnsi" w:hAnsiTheme="minorHAnsi"/>
          <w:lang w:val="sq-AL"/>
        </w:rPr>
        <w:t xml:space="preserve"> p</w:t>
      </w:r>
      <w:r w:rsidR="000C4EAF" w:rsidRPr="00444289">
        <w:rPr>
          <w:rFonts w:asciiTheme="minorHAnsi" w:hAnsiTheme="minorHAnsi"/>
          <w:lang w:val="sq-AL"/>
        </w:rPr>
        <w:t>ë</w:t>
      </w:r>
      <w:r w:rsidRPr="00444289">
        <w:rPr>
          <w:rFonts w:asciiTheme="minorHAnsi" w:hAnsiTheme="minorHAnsi"/>
          <w:lang w:val="sq-AL"/>
        </w:rPr>
        <w:t xml:space="preserve">r vitin 2017 </w:t>
      </w:r>
      <w:r w:rsidR="000C4EAF" w:rsidRPr="00444289">
        <w:rPr>
          <w:rFonts w:asciiTheme="minorHAnsi" w:hAnsiTheme="minorHAnsi"/>
          <w:lang w:val="sq-AL"/>
        </w:rPr>
        <w:t>ë</w:t>
      </w:r>
      <w:r w:rsidRPr="00444289">
        <w:rPr>
          <w:rFonts w:asciiTheme="minorHAnsi" w:hAnsiTheme="minorHAnsi"/>
          <w:lang w:val="sq-AL"/>
        </w:rPr>
        <w:t>sht</w:t>
      </w:r>
      <w:r w:rsidR="000C4EAF" w:rsidRPr="00444289">
        <w:rPr>
          <w:rFonts w:asciiTheme="minorHAnsi" w:hAnsiTheme="minorHAnsi"/>
          <w:lang w:val="sq-AL"/>
        </w:rPr>
        <w:t>ë</w:t>
      </w:r>
      <w:r w:rsidRPr="00444289">
        <w:rPr>
          <w:rFonts w:asciiTheme="minorHAnsi" w:hAnsiTheme="minorHAnsi"/>
          <w:lang w:val="sq-AL"/>
        </w:rPr>
        <w:t xml:space="preserve"> miratuar n</w:t>
      </w:r>
      <w:r w:rsidR="000C4EAF" w:rsidRPr="00444289">
        <w:rPr>
          <w:rFonts w:asciiTheme="minorHAnsi" w:hAnsiTheme="minorHAnsi"/>
          <w:lang w:val="sq-AL"/>
        </w:rPr>
        <w:t>ë</w:t>
      </w:r>
      <w:r w:rsidRPr="00444289">
        <w:rPr>
          <w:rFonts w:asciiTheme="minorHAnsi" w:hAnsiTheme="minorHAnsi"/>
          <w:lang w:val="sq-AL"/>
        </w:rPr>
        <w:t xml:space="preserve"> mas</w:t>
      </w:r>
      <w:r w:rsidR="000C4EAF" w:rsidRPr="00444289">
        <w:rPr>
          <w:rFonts w:asciiTheme="minorHAnsi" w:hAnsiTheme="minorHAnsi"/>
          <w:lang w:val="sq-AL"/>
        </w:rPr>
        <w:t>ë</w:t>
      </w:r>
      <w:r w:rsidRPr="00444289">
        <w:rPr>
          <w:rFonts w:asciiTheme="minorHAnsi" w:hAnsiTheme="minorHAnsi"/>
          <w:lang w:val="sq-AL"/>
        </w:rPr>
        <w:t>n 1 miliard LEK. Deri në datën 31 maj 2017 ai është përdorur nëpërmjet 12 Vendimeve të Këshillit të Ministrave, p</w:t>
      </w:r>
      <w:r w:rsidR="000C4EAF" w:rsidRPr="00444289">
        <w:rPr>
          <w:rFonts w:asciiTheme="minorHAnsi" w:hAnsiTheme="minorHAnsi"/>
          <w:lang w:val="sq-AL"/>
        </w:rPr>
        <w:t>ë</w:t>
      </w:r>
      <w:r w:rsidRPr="00444289">
        <w:rPr>
          <w:rFonts w:asciiTheme="minorHAnsi" w:hAnsiTheme="minorHAnsi"/>
          <w:lang w:val="sq-AL"/>
        </w:rPr>
        <w:t>r nj</w:t>
      </w:r>
      <w:r w:rsidR="000C4EAF" w:rsidRPr="00444289">
        <w:rPr>
          <w:rFonts w:asciiTheme="minorHAnsi" w:hAnsiTheme="minorHAnsi"/>
          <w:lang w:val="sq-AL"/>
        </w:rPr>
        <w:t>ë</w:t>
      </w:r>
      <w:r w:rsidRPr="00444289">
        <w:rPr>
          <w:rFonts w:asciiTheme="minorHAnsi" w:hAnsiTheme="minorHAnsi"/>
          <w:lang w:val="sq-AL"/>
        </w:rPr>
        <w:t xml:space="preserve"> shumë prej rreth 715.7 milionë </w:t>
      </w:r>
      <w:r w:rsidR="00C8213D">
        <w:rPr>
          <w:rFonts w:asciiTheme="minorHAnsi" w:hAnsiTheme="minorHAnsi"/>
          <w:lang w:val="sq-AL"/>
        </w:rPr>
        <w:t>LEK</w:t>
      </w:r>
      <w:r w:rsidRPr="00444289">
        <w:rPr>
          <w:rFonts w:asciiTheme="minorHAnsi" w:hAnsiTheme="minorHAnsi"/>
          <w:lang w:val="sq-AL"/>
        </w:rPr>
        <w:t xml:space="preserve">, ose rreth 71.6 përqind e tij. Nga këto, rreth 595.3 milionë </w:t>
      </w:r>
      <w:r w:rsidR="00C8213D">
        <w:rPr>
          <w:rFonts w:asciiTheme="minorHAnsi" w:hAnsiTheme="minorHAnsi"/>
          <w:lang w:val="sq-AL"/>
        </w:rPr>
        <w:t>LEK</w:t>
      </w:r>
      <w:r w:rsidRPr="00444289">
        <w:rPr>
          <w:rFonts w:asciiTheme="minorHAnsi" w:hAnsiTheme="minorHAnsi"/>
          <w:lang w:val="sq-AL"/>
        </w:rPr>
        <w:t xml:space="preserve"> janë përdorur për shpenzime korente (</w:t>
      </w:r>
      <w:r w:rsidRPr="00444289">
        <w:rPr>
          <w:rFonts w:asciiTheme="minorHAnsi" w:hAnsiTheme="minorHAnsi"/>
          <w:i/>
          <w:lang w:val="sq-AL"/>
        </w:rPr>
        <w:t>shpenzime operative dhe transferta të brendshme</w:t>
      </w:r>
      <w:r w:rsidRPr="00444289">
        <w:rPr>
          <w:rFonts w:asciiTheme="minorHAnsi" w:hAnsiTheme="minorHAnsi"/>
          <w:lang w:val="sq-AL"/>
        </w:rPr>
        <w:t xml:space="preserve">) dhe rreth 120.4 milionë </w:t>
      </w:r>
      <w:r w:rsidR="00C8213D">
        <w:rPr>
          <w:rFonts w:asciiTheme="minorHAnsi" w:hAnsiTheme="minorHAnsi"/>
          <w:lang w:val="sq-AL"/>
        </w:rPr>
        <w:t>LEK</w:t>
      </w:r>
      <w:r w:rsidRPr="00444289">
        <w:rPr>
          <w:rFonts w:asciiTheme="minorHAnsi" w:hAnsiTheme="minorHAnsi"/>
          <w:lang w:val="sq-AL"/>
        </w:rPr>
        <w:t xml:space="preserve"> për investime publike. Gjendja e fondit rezervë të buxhetit të shtetit, e papërdorur, më datë 31 maj 2017 rezulton 284.3 milionë </w:t>
      </w:r>
      <w:r w:rsidR="00C8213D">
        <w:rPr>
          <w:rFonts w:asciiTheme="minorHAnsi" w:hAnsiTheme="minorHAnsi"/>
          <w:lang w:val="sq-AL"/>
        </w:rPr>
        <w:t>LEK</w:t>
      </w:r>
      <w:r w:rsidRPr="00444289">
        <w:rPr>
          <w:rFonts w:asciiTheme="minorHAnsi" w:hAnsiTheme="minorHAnsi"/>
          <w:lang w:val="sq-AL"/>
        </w:rPr>
        <w:t xml:space="preserve">. </w:t>
      </w:r>
      <w:r w:rsidR="000C4EAF" w:rsidRPr="00444289">
        <w:rPr>
          <w:rFonts w:asciiTheme="minorHAnsi" w:hAnsiTheme="minorHAnsi"/>
          <w:lang w:val="sq-AL"/>
        </w:rPr>
        <w:t xml:space="preserve">Njëkohësisht, nëse mbajmë parasysh edhe </w:t>
      </w:r>
      <w:r w:rsidRPr="00444289">
        <w:rPr>
          <w:rFonts w:asciiTheme="minorHAnsi" w:hAnsiTheme="minorHAnsi"/>
          <w:lang w:val="sq-AL"/>
        </w:rPr>
        <w:t xml:space="preserve">projektvendimet e </w:t>
      </w:r>
      <w:r w:rsidR="000C4EAF" w:rsidRPr="00444289">
        <w:rPr>
          <w:rFonts w:asciiTheme="minorHAnsi" w:hAnsiTheme="minorHAnsi"/>
          <w:lang w:val="sq-AL"/>
        </w:rPr>
        <w:t>Këshillit të Ministrave ende në proçes shqyrtimi,</w:t>
      </w:r>
      <w:r w:rsidRPr="00444289">
        <w:rPr>
          <w:rFonts w:asciiTheme="minorHAnsi" w:hAnsiTheme="minorHAnsi"/>
          <w:lang w:val="sq-AL"/>
        </w:rPr>
        <w:t xml:space="preserve"> </w:t>
      </w:r>
      <w:r w:rsidR="000C4EAF" w:rsidRPr="00444289">
        <w:rPr>
          <w:rFonts w:asciiTheme="minorHAnsi" w:hAnsiTheme="minorHAnsi"/>
          <w:lang w:val="sq-AL"/>
        </w:rPr>
        <w:t xml:space="preserve">por </w:t>
      </w:r>
      <w:r w:rsidRPr="00444289">
        <w:rPr>
          <w:rFonts w:asciiTheme="minorHAnsi" w:hAnsiTheme="minorHAnsi"/>
          <w:lang w:val="sq-AL"/>
        </w:rPr>
        <w:t xml:space="preserve">për të cilat është dhënë miratimi </w:t>
      </w:r>
      <w:r w:rsidR="000C4EAF" w:rsidRPr="00444289">
        <w:rPr>
          <w:rFonts w:asciiTheme="minorHAnsi" w:hAnsiTheme="minorHAnsi"/>
          <w:lang w:val="sq-AL"/>
        </w:rPr>
        <w:t xml:space="preserve">paraprak i Ministrisë së Financave për </w:t>
      </w:r>
      <w:r w:rsidRPr="00444289">
        <w:rPr>
          <w:rFonts w:asciiTheme="minorHAnsi" w:hAnsiTheme="minorHAnsi"/>
          <w:lang w:val="sq-AL"/>
        </w:rPr>
        <w:t>pë</w:t>
      </w:r>
      <w:r w:rsidR="000C4EAF" w:rsidRPr="00444289">
        <w:rPr>
          <w:rFonts w:asciiTheme="minorHAnsi" w:hAnsiTheme="minorHAnsi"/>
          <w:lang w:val="sq-AL"/>
        </w:rPr>
        <w:t>rdorimin</w:t>
      </w:r>
      <w:r w:rsidRPr="00444289">
        <w:rPr>
          <w:rFonts w:asciiTheme="minorHAnsi" w:hAnsiTheme="minorHAnsi"/>
          <w:lang w:val="sq-AL"/>
        </w:rPr>
        <w:t xml:space="preserve"> </w:t>
      </w:r>
      <w:r w:rsidR="000C4EAF" w:rsidRPr="00444289">
        <w:rPr>
          <w:rFonts w:asciiTheme="minorHAnsi" w:hAnsiTheme="minorHAnsi"/>
          <w:lang w:val="sq-AL"/>
        </w:rPr>
        <w:t>e</w:t>
      </w:r>
      <w:r w:rsidRPr="00444289">
        <w:rPr>
          <w:rFonts w:asciiTheme="minorHAnsi" w:hAnsiTheme="minorHAnsi"/>
          <w:lang w:val="sq-AL"/>
        </w:rPr>
        <w:t xml:space="preserve"> Fondit Rezervë të Buxhetit të Shtetit si burim financimi</w:t>
      </w:r>
      <w:r w:rsidR="000C4EAF" w:rsidRPr="00444289">
        <w:rPr>
          <w:rFonts w:asciiTheme="minorHAnsi" w:hAnsiTheme="minorHAnsi"/>
          <w:lang w:val="sq-AL"/>
        </w:rPr>
        <w:t>,</w:t>
      </w:r>
      <w:r w:rsidRPr="00444289">
        <w:rPr>
          <w:rFonts w:asciiTheme="minorHAnsi" w:hAnsiTheme="minorHAnsi"/>
          <w:lang w:val="sq-AL"/>
        </w:rPr>
        <w:t xml:space="preserve"> </w:t>
      </w:r>
      <w:r w:rsidR="000C4EAF" w:rsidRPr="00444289">
        <w:rPr>
          <w:rFonts w:asciiTheme="minorHAnsi" w:hAnsiTheme="minorHAnsi"/>
          <w:lang w:val="sq-AL"/>
        </w:rPr>
        <w:t xml:space="preserve">rezulton se </w:t>
      </w:r>
      <w:r w:rsidRPr="00444289">
        <w:rPr>
          <w:rFonts w:asciiTheme="minorHAnsi" w:hAnsiTheme="minorHAnsi"/>
          <w:lang w:val="sq-AL"/>
        </w:rPr>
        <w:t>gjendja</w:t>
      </w:r>
      <w:r w:rsidR="000C4EAF" w:rsidRPr="00444289">
        <w:rPr>
          <w:rFonts w:asciiTheme="minorHAnsi" w:hAnsiTheme="minorHAnsi"/>
          <w:lang w:val="sq-AL"/>
        </w:rPr>
        <w:t xml:space="preserve"> efektive e </w:t>
      </w:r>
      <w:r w:rsidRPr="00444289">
        <w:rPr>
          <w:rFonts w:asciiTheme="minorHAnsi" w:hAnsiTheme="minorHAnsi"/>
          <w:lang w:val="sq-AL"/>
        </w:rPr>
        <w:t xml:space="preserve">papërdorur </w:t>
      </w:r>
      <w:r w:rsidR="000C4EAF" w:rsidRPr="00444289">
        <w:rPr>
          <w:rFonts w:asciiTheme="minorHAnsi" w:hAnsiTheme="minorHAnsi"/>
          <w:lang w:val="sq-AL"/>
        </w:rPr>
        <w:t xml:space="preserve">e tij </w:t>
      </w:r>
      <w:r w:rsidRPr="00444289">
        <w:rPr>
          <w:rFonts w:asciiTheme="minorHAnsi" w:hAnsiTheme="minorHAnsi"/>
          <w:lang w:val="sq-AL"/>
        </w:rPr>
        <w:t xml:space="preserve">është 4.4 milion </w:t>
      </w:r>
      <w:r w:rsidR="00C8213D">
        <w:rPr>
          <w:rFonts w:asciiTheme="minorHAnsi" w:hAnsiTheme="minorHAnsi"/>
          <w:lang w:val="sq-AL"/>
        </w:rPr>
        <w:t>LEK</w:t>
      </w:r>
      <w:r w:rsidRPr="00444289">
        <w:rPr>
          <w:rFonts w:asciiTheme="minorHAnsi" w:hAnsiTheme="minorHAnsi"/>
          <w:lang w:val="sq-AL"/>
        </w:rPr>
        <w:t xml:space="preserve">. </w:t>
      </w:r>
    </w:p>
    <w:p w:rsidR="00637410" w:rsidRPr="00444289" w:rsidRDefault="00637410" w:rsidP="00A40986">
      <w:pPr>
        <w:pStyle w:val="ListParagraph"/>
        <w:numPr>
          <w:ilvl w:val="0"/>
          <w:numId w:val="25"/>
        </w:numPr>
        <w:spacing w:line="276" w:lineRule="auto"/>
        <w:jc w:val="both"/>
        <w:rPr>
          <w:rFonts w:asciiTheme="minorHAnsi" w:eastAsia="SimSun" w:hAnsiTheme="minorHAnsi"/>
          <w:i/>
          <w:lang w:val="sq-AL"/>
        </w:rPr>
      </w:pPr>
      <w:r w:rsidRPr="00444289">
        <w:rPr>
          <w:rFonts w:asciiTheme="minorHAnsi" w:eastAsia="SimSun" w:hAnsiTheme="minorHAnsi"/>
          <w:i/>
          <w:lang w:val="sq-AL"/>
        </w:rPr>
        <w:t>Ndërkoh</w:t>
      </w:r>
      <w:r w:rsidR="000C4EAF" w:rsidRPr="00444289">
        <w:rPr>
          <w:rFonts w:asciiTheme="minorHAnsi" w:eastAsia="SimSun" w:hAnsiTheme="minorHAnsi"/>
          <w:i/>
          <w:lang w:val="sq-AL"/>
        </w:rPr>
        <w:t>ë</w:t>
      </w:r>
      <w:r w:rsidRPr="00444289">
        <w:rPr>
          <w:rFonts w:asciiTheme="minorHAnsi" w:eastAsia="SimSun" w:hAnsiTheme="minorHAnsi"/>
          <w:i/>
          <w:lang w:val="sq-AL"/>
        </w:rPr>
        <w:t xml:space="preserve">, Fondi Rezervë prej 500 milion </w:t>
      </w:r>
      <w:r w:rsidR="00C8213D">
        <w:rPr>
          <w:rFonts w:asciiTheme="minorHAnsi" w:eastAsia="SimSun" w:hAnsiTheme="minorHAnsi"/>
          <w:i/>
          <w:lang w:val="sq-AL"/>
        </w:rPr>
        <w:t>LEK</w:t>
      </w:r>
      <w:r w:rsidRPr="00444289">
        <w:rPr>
          <w:rFonts w:asciiTheme="minorHAnsi" w:eastAsia="SimSun" w:hAnsiTheme="minorHAnsi"/>
          <w:i/>
          <w:lang w:val="sq-AL"/>
        </w:rPr>
        <w:t>, i planifikuar për t’u përdorur për krijimin dhe funksionimin e institucioneve të reja të sistemit të drejtësisë, sipas vendimit të Kuvendit, deri në fund të muajit majit 2017 rezulton i papërdorur.</w:t>
      </w:r>
    </w:p>
    <w:p w:rsidR="00637410" w:rsidRPr="00444289" w:rsidRDefault="00637410" w:rsidP="00A40986">
      <w:pPr>
        <w:pStyle w:val="ListParagraph"/>
        <w:widowControl w:val="0"/>
        <w:numPr>
          <w:ilvl w:val="0"/>
          <w:numId w:val="15"/>
        </w:numPr>
        <w:autoSpaceDE w:val="0"/>
        <w:autoSpaceDN w:val="0"/>
        <w:adjustRightInd w:val="0"/>
        <w:spacing w:line="276" w:lineRule="auto"/>
        <w:ind w:left="360"/>
        <w:jc w:val="both"/>
        <w:rPr>
          <w:rFonts w:asciiTheme="minorHAnsi" w:hAnsiTheme="minorHAnsi"/>
          <w:lang w:val="sq-AL"/>
        </w:rPr>
      </w:pPr>
      <w:r w:rsidRPr="00444289">
        <w:rPr>
          <w:rFonts w:asciiTheme="minorHAnsi" w:hAnsiTheme="minorHAnsi"/>
          <w:u w:val="single"/>
          <w:lang w:val="sq-AL"/>
        </w:rPr>
        <w:t>Fondi i Kontigjencës</w:t>
      </w:r>
      <w:r w:rsidRPr="00444289">
        <w:rPr>
          <w:rFonts w:asciiTheme="minorHAnsi" w:hAnsiTheme="minorHAnsi"/>
          <w:lang w:val="sq-AL"/>
        </w:rPr>
        <w:t xml:space="preserve"> për vitin 2017</w:t>
      </w:r>
      <w:r w:rsidR="000C4EAF" w:rsidRPr="00444289">
        <w:rPr>
          <w:rFonts w:asciiTheme="minorHAnsi" w:hAnsiTheme="minorHAnsi"/>
          <w:lang w:val="sq-AL"/>
        </w:rPr>
        <w:t xml:space="preserve">, i miratuar në masën </w:t>
      </w:r>
      <w:r w:rsidRPr="00444289">
        <w:rPr>
          <w:rFonts w:asciiTheme="minorHAnsi" w:hAnsiTheme="minorHAnsi"/>
          <w:lang w:val="sq-AL"/>
        </w:rPr>
        <w:t xml:space="preserve">4 miliardë </w:t>
      </w:r>
      <w:r w:rsidR="00C8213D">
        <w:rPr>
          <w:rFonts w:asciiTheme="minorHAnsi" w:hAnsiTheme="minorHAnsi"/>
          <w:lang w:val="sq-AL"/>
        </w:rPr>
        <w:t>LEK</w:t>
      </w:r>
      <w:r w:rsidR="000C4EAF" w:rsidRPr="00444289">
        <w:rPr>
          <w:rFonts w:asciiTheme="minorHAnsi" w:hAnsiTheme="minorHAnsi"/>
          <w:lang w:val="sq-AL"/>
        </w:rPr>
        <w:t xml:space="preserve">, është </w:t>
      </w:r>
      <w:r w:rsidRPr="00444289">
        <w:rPr>
          <w:rFonts w:asciiTheme="minorHAnsi" w:hAnsiTheme="minorHAnsi"/>
          <w:lang w:val="sq-AL"/>
        </w:rPr>
        <w:t>planifikuar për të kompensuar rreziqe</w:t>
      </w:r>
      <w:r w:rsidR="000C4EAF" w:rsidRPr="00444289">
        <w:rPr>
          <w:rFonts w:asciiTheme="minorHAnsi" w:hAnsiTheme="minorHAnsi"/>
          <w:lang w:val="sq-AL"/>
        </w:rPr>
        <w:t>t</w:t>
      </w:r>
      <w:r w:rsidRPr="00444289">
        <w:rPr>
          <w:rFonts w:asciiTheme="minorHAnsi" w:hAnsiTheme="minorHAnsi"/>
          <w:lang w:val="sq-AL"/>
        </w:rPr>
        <w:t xml:space="preserve"> potenciale nga luhatjet në kurset e këmbimit ose normat e interesit,  </w:t>
      </w:r>
      <w:r w:rsidR="000C4EAF" w:rsidRPr="00444289">
        <w:rPr>
          <w:rFonts w:asciiTheme="minorHAnsi" w:hAnsiTheme="minorHAnsi"/>
          <w:lang w:val="sq-AL"/>
        </w:rPr>
        <w:t>me ndikim në nivelin e borxhit. D</w:t>
      </w:r>
      <w:r w:rsidRPr="00444289">
        <w:rPr>
          <w:rFonts w:asciiTheme="minorHAnsi" w:hAnsiTheme="minorHAnsi"/>
          <w:lang w:val="sq-AL"/>
        </w:rPr>
        <w:t xml:space="preserve">eri në </w:t>
      </w:r>
      <w:r w:rsidR="000C4EAF" w:rsidRPr="00444289">
        <w:rPr>
          <w:rFonts w:asciiTheme="minorHAnsi" w:hAnsiTheme="minorHAnsi"/>
          <w:lang w:val="sq-AL"/>
        </w:rPr>
        <w:t>31 m</w:t>
      </w:r>
      <w:r w:rsidRPr="00444289">
        <w:rPr>
          <w:rFonts w:asciiTheme="minorHAnsi" w:hAnsiTheme="minorHAnsi"/>
          <w:lang w:val="sq-AL"/>
        </w:rPr>
        <w:t>aj 2017</w:t>
      </w:r>
      <w:r w:rsidR="000C4EAF" w:rsidRPr="00444289">
        <w:rPr>
          <w:rFonts w:asciiTheme="minorHAnsi" w:hAnsiTheme="minorHAnsi"/>
          <w:lang w:val="sq-AL"/>
        </w:rPr>
        <w:t>,</w:t>
      </w:r>
      <w:r w:rsidRPr="00444289">
        <w:rPr>
          <w:rFonts w:asciiTheme="minorHAnsi" w:hAnsiTheme="minorHAnsi"/>
          <w:lang w:val="sq-AL"/>
        </w:rPr>
        <w:t xml:space="preserve"> </w:t>
      </w:r>
      <w:r w:rsidR="000C4EAF" w:rsidRPr="00444289">
        <w:rPr>
          <w:rFonts w:asciiTheme="minorHAnsi" w:hAnsiTheme="minorHAnsi"/>
          <w:lang w:val="sq-AL"/>
        </w:rPr>
        <w:t>ai rezulton i pa</w:t>
      </w:r>
      <w:r w:rsidRPr="00444289">
        <w:rPr>
          <w:rFonts w:asciiTheme="minorHAnsi" w:hAnsiTheme="minorHAnsi"/>
          <w:lang w:val="sq-AL"/>
        </w:rPr>
        <w:t>përdorur.</w:t>
      </w:r>
    </w:p>
    <w:p w:rsidR="00637410" w:rsidRPr="00444289" w:rsidRDefault="00637410" w:rsidP="00A40986">
      <w:pPr>
        <w:pStyle w:val="ListParagraph"/>
        <w:widowControl w:val="0"/>
        <w:numPr>
          <w:ilvl w:val="0"/>
          <w:numId w:val="15"/>
        </w:numPr>
        <w:autoSpaceDE w:val="0"/>
        <w:autoSpaceDN w:val="0"/>
        <w:adjustRightInd w:val="0"/>
        <w:spacing w:line="276" w:lineRule="auto"/>
        <w:ind w:left="360"/>
        <w:jc w:val="both"/>
        <w:rPr>
          <w:rFonts w:asciiTheme="minorHAnsi" w:hAnsiTheme="minorHAnsi"/>
          <w:lang w:val="sq-AL"/>
        </w:rPr>
      </w:pPr>
      <w:r w:rsidRPr="00444289">
        <w:rPr>
          <w:rFonts w:asciiTheme="minorHAnsi" w:hAnsiTheme="minorHAnsi"/>
          <w:u w:val="single"/>
          <w:lang w:val="sq-AL"/>
        </w:rPr>
        <w:t>Fondi i Veçantë</w:t>
      </w:r>
      <w:r w:rsidRPr="00444289">
        <w:rPr>
          <w:rFonts w:asciiTheme="minorHAnsi" w:hAnsiTheme="minorHAnsi"/>
          <w:lang w:val="sq-AL"/>
        </w:rPr>
        <w:t xml:space="preserve"> </w:t>
      </w:r>
      <w:r w:rsidR="000C4EAF" w:rsidRPr="00444289">
        <w:rPr>
          <w:rFonts w:asciiTheme="minorHAnsi" w:hAnsiTheme="minorHAnsi"/>
          <w:lang w:val="sq-AL"/>
        </w:rPr>
        <w:t xml:space="preserve">për vitin 2017, </w:t>
      </w:r>
      <w:r w:rsidRPr="00444289">
        <w:rPr>
          <w:rFonts w:asciiTheme="minorHAnsi" w:hAnsiTheme="minorHAnsi"/>
          <w:lang w:val="sq-AL"/>
        </w:rPr>
        <w:t xml:space="preserve">i </w:t>
      </w:r>
      <w:r w:rsidR="000C4EAF" w:rsidRPr="00444289">
        <w:rPr>
          <w:rFonts w:asciiTheme="minorHAnsi" w:hAnsiTheme="minorHAnsi"/>
          <w:lang w:val="sq-AL"/>
        </w:rPr>
        <w:t xml:space="preserve">miratuar </w:t>
      </w:r>
      <w:r w:rsidRPr="00444289">
        <w:rPr>
          <w:rFonts w:asciiTheme="minorHAnsi" w:hAnsiTheme="minorHAnsi"/>
          <w:lang w:val="sq-AL"/>
        </w:rPr>
        <w:t xml:space="preserve">në masën 400 milion </w:t>
      </w:r>
      <w:r w:rsidR="00C8213D">
        <w:rPr>
          <w:rFonts w:asciiTheme="minorHAnsi" w:hAnsiTheme="minorHAnsi"/>
          <w:lang w:val="sq-AL"/>
        </w:rPr>
        <w:t>LEK</w:t>
      </w:r>
      <w:r w:rsidRPr="00444289">
        <w:rPr>
          <w:rFonts w:asciiTheme="minorHAnsi" w:hAnsiTheme="minorHAnsi"/>
          <w:lang w:val="sq-AL"/>
        </w:rPr>
        <w:t xml:space="preserve">, është përdorur për shpenzime të formës së ndihmës së menjëhershme në rreth 180.4 milionë </w:t>
      </w:r>
      <w:r w:rsidR="00C8213D">
        <w:rPr>
          <w:rFonts w:asciiTheme="minorHAnsi" w:hAnsiTheme="minorHAnsi"/>
          <w:lang w:val="sq-AL"/>
        </w:rPr>
        <w:t>LEK</w:t>
      </w:r>
      <w:r w:rsidRPr="00444289">
        <w:rPr>
          <w:rFonts w:asciiTheme="minorHAnsi" w:hAnsiTheme="minorHAnsi"/>
          <w:lang w:val="sq-AL"/>
        </w:rPr>
        <w:t xml:space="preserve">, me një gjendje të papërdorur në datën 31 </w:t>
      </w:r>
      <w:r w:rsidR="000C4EAF" w:rsidRPr="00444289">
        <w:rPr>
          <w:rFonts w:asciiTheme="minorHAnsi" w:hAnsiTheme="minorHAnsi"/>
          <w:lang w:val="sq-AL"/>
        </w:rPr>
        <w:t>m</w:t>
      </w:r>
      <w:r w:rsidRPr="00444289">
        <w:rPr>
          <w:rFonts w:asciiTheme="minorHAnsi" w:hAnsiTheme="minorHAnsi"/>
          <w:lang w:val="sq-AL"/>
        </w:rPr>
        <w:t xml:space="preserve">aj 2017 prej </w:t>
      </w:r>
      <w:r w:rsidR="000C4EAF" w:rsidRPr="00444289">
        <w:rPr>
          <w:rFonts w:asciiTheme="minorHAnsi" w:hAnsiTheme="minorHAnsi"/>
          <w:lang w:val="sq-AL"/>
        </w:rPr>
        <w:t xml:space="preserve">rreth </w:t>
      </w:r>
      <w:r w:rsidRPr="00444289">
        <w:rPr>
          <w:rFonts w:asciiTheme="minorHAnsi" w:hAnsiTheme="minorHAnsi"/>
          <w:lang w:val="sq-AL"/>
        </w:rPr>
        <w:t xml:space="preserve">219.6 milion </w:t>
      </w:r>
      <w:r w:rsidR="00C8213D">
        <w:rPr>
          <w:rFonts w:asciiTheme="minorHAnsi" w:hAnsiTheme="minorHAnsi"/>
          <w:lang w:val="sq-AL"/>
        </w:rPr>
        <w:t>LEK</w:t>
      </w:r>
      <w:r w:rsidRPr="00444289">
        <w:rPr>
          <w:rFonts w:asciiTheme="minorHAnsi" w:hAnsiTheme="minorHAnsi"/>
          <w:lang w:val="sq-AL"/>
        </w:rPr>
        <w:t>.</w:t>
      </w:r>
    </w:p>
    <w:p w:rsidR="00637410" w:rsidRDefault="00637410" w:rsidP="00A40986">
      <w:pPr>
        <w:pStyle w:val="ListParagraph"/>
        <w:numPr>
          <w:ilvl w:val="0"/>
          <w:numId w:val="15"/>
        </w:numPr>
        <w:spacing w:line="276" w:lineRule="auto"/>
        <w:ind w:left="360"/>
        <w:jc w:val="both"/>
        <w:rPr>
          <w:rFonts w:asciiTheme="minorHAnsi" w:hAnsiTheme="minorHAnsi"/>
          <w:lang w:val="sq-AL"/>
        </w:rPr>
      </w:pPr>
      <w:r w:rsidRPr="00444289">
        <w:rPr>
          <w:rFonts w:asciiTheme="minorHAnsi" w:hAnsiTheme="minorHAnsi"/>
          <w:u w:val="single"/>
          <w:lang w:val="sq-AL"/>
        </w:rPr>
        <w:t>Fondi i parashikuar për rritjen e pagave</w:t>
      </w:r>
      <w:r w:rsidRPr="00444289">
        <w:rPr>
          <w:rFonts w:asciiTheme="minorHAnsi" w:hAnsiTheme="minorHAnsi"/>
          <w:lang w:val="sq-AL"/>
        </w:rPr>
        <w:t xml:space="preserve"> </w:t>
      </w:r>
      <w:r w:rsidR="000C4EAF" w:rsidRPr="00444289">
        <w:rPr>
          <w:rFonts w:asciiTheme="minorHAnsi" w:hAnsiTheme="minorHAnsi"/>
          <w:lang w:val="sq-AL"/>
        </w:rPr>
        <w:t xml:space="preserve">për vitin 2017, i miratuar në masën </w:t>
      </w:r>
      <w:r w:rsidRPr="00444289">
        <w:rPr>
          <w:rFonts w:asciiTheme="minorHAnsi" w:hAnsiTheme="minorHAnsi"/>
          <w:lang w:val="sq-AL"/>
        </w:rPr>
        <w:t xml:space="preserve">5.5 miliardë </w:t>
      </w:r>
      <w:r w:rsidR="00C8213D">
        <w:rPr>
          <w:rFonts w:asciiTheme="minorHAnsi" w:hAnsiTheme="minorHAnsi"/>
          <w:lang w:val="sq-AL"/>
        </w:rPr>
        <w:t>LEK</w:t>
      </w:r>
      <w:r w:rsidRPr="00444289">
        <w:rPr>
          <w:rFonts w:asciiTheme="minorHAnsi" w:hAnsiTheme="minorHAnsi"/>
          <w:lang w:val="sq-AL"/>
        </w:rPr>
        <w:t>, është përdorur për rreth 1.97 mi</w:t>
      </w:r>
      <w:r w:rsidR="000C4EAF" w:rsidRPr="00444289">
        <w:rPr>
          <w:rFonts w:asciiTheme="minorHAnsi" w:hAnsiTheme="minorHAnsi"/>
          <w:lang w:val="sq-AL"/>
        </w:rPr>
        <w:t xml:space="preserve">liardë </w:t>
      </w:r>
      <w:r w:rsidR="00C8213D">
        <w:rPr>
          <w:rFonts w:asciiTheme="minorHAnsi" w:hAnsiTheme="minorHAnsi"/>
          <w:lang w:val="sq-AL"/>
        </w:rPr>
        <w:t>LEK</w:t>
      </w:r>
      <w:r w:rsidR="000C4EAF" w:rsidRPr="00444289">
        <w:rPr>
          <w:rFonts w:asciiTheme="minorHAnsi" w:hAnsiTheme="minorHAnsi"/>
          <w:lang w:val="sq-AL"/>
        </w:rPr>
        <w:t>. G</w:t>
      </w:r>
      <w:r w:rsidRPr="00444289">
        <w:rPr>
          <w:rFonts w:asciiTheme="minorHAnsi" w:hAnsiTheme="minorHAnsi"/>
          <w:lang w:val="sq-AL"/>
        </w:rPr>
        <w:t>jendj</w:t>
      </w:r>
      <w:r w:rsidR="000C4EAF" w:rsidRPr="00444289">
        <w:rPr>
          <w:rFonts w:asciiTheme="minorHAnsi" w:hAnsiTheme="minorHAnsi"/>
          <w:lang w:val="sq-AL"/>
        </w:rPr>
        <w:t>a e</w:t>
      </w:r>
      <w:r w:rsidRPr="00444289">
        <w:rPr>
          <w:rFonts w:asciiTheme="minorHAnsi" w:hAnsiTheme="minorHAnsi"/>
          <w:lang w:val="sq-AL"/>
        </w:rPr>
        <w:t xml:space="preserve"> papërdorur </w:t>
      </w:r>
      <w:r w:rsidR="000C4EAF" w:rsidRPr="00444289">
        <w:rPr>
          <w:rFonts w:asciiTheme="minorHAnsi" w:hAnsiTheme="minorHAnsi"/>
          <w:lang w:val="sq-AL"/>
        </w:rPr>
        <w:t xml:space="preserve">e tij deri në datën </w:t>
      </w:r>
      <w:r w:rsidRPr="00444289">
        <w:rPr>
          <w:rFonts w:asciiTheme="minorHAnsi" w:hAnsiTheme="minorHAnsi"/>
          <w:lang w:val="sq-AL"/>
        </w:rPr>
        <w:t xml:space="preserve">31 </w:t>
      </w:r>
      <w:r w:rsidR="000C4EAF" w:rsidRPr="00444289">
        <w:rPr>
          <w:rFonts w:asciiTheme="minorHAnsi" w:hAnsiTheme="minorHAnsi"/>
          <w:lang w:val="sq-AL"/>
        </w:rPr>
        <w:t>m</w:t>
      </w:r>
      <w:r w:rsidRPr="00444289">
        <w:rPr>
          <w:rFonts w:asciiTheme="minorHAnsi" w:hAnsiTheme="minorHAnsi"/>
          <w:lang w:val="sq-AL"/>
        </w:rPr>
        <w:t xml:space="preserve">aj 2017 </w:t>
      </w:r>
      <w:r w:rsidR="000C4EAF" w:rsidRPr="00444289">
        <w:rPr>
          <w:rFonts w:asciiTheme="minorHAnsi" w:hAnsiTheme="minorHAnsi"/>
          <w:lang w:val="sq-AL"/>
        </w:rPr>
        <w:t xml:space="preserve">rezulton rreth </w:t>
      </w:r>
      <w:r w:rsidRPr="00444289">
        <w:rPr>
          <w:rFonts w:asciiTheme="minorHAnsi" w:hAnsiTheme="minorHAnsi"/>
          <w:lang w:val="sq-AL"/>
        </w:rPr>
        <w:t xml:space="preserve">3.53 miliardë </w:t>
      </w:r>
      <w:r w:rsidR="00C8213D">
        <w:rPr>
          <w:rFonts w:asciiTheme="minorHAnsi" w:hAnsiTheme="minorHAnsi"/>
          <w:lang w:val="sq-AL"/>
        </w:rPr>
        <w:t>LEK</w:t>
      </w:r>
      <w:r w:rsidRPr="00444289">
        <w:rPr>
          <w:rFonts w:asciiTheme="minorHAnsi" w:hAnsiTheme="minorHAnsi"/>
          <w:lang w:val="sq-AL"/>
        </w:rPr>
        <w:t>.</w:t>
      </w:r>
    </w:p>
    <w:p w:rsidR="0085454B" w:rsidRPr="00444289" w:rsidRDefault="0085454B" w:rsidP="0085454B">
      <w:pPr>
        <w:pStyle w:val="ListParagraph"/>
        <w:spacing w:line="276" w:lineRule="auto"/>
        <w:ind w:left="360"/>
        <w:jc w:val="both"/>
        <w:rPr>
          <w:rFonts w:asciiTheme="minorHAnsi" w:hAnsiTheme="minorHAnsi"/>
          <w:lang w:val="sq-AL"/>
        </w:rPr>
      </w:pPr>
    </w:p>
    <w:p w:rsidR="00E812EF" w:rsidRPr="006C73CF" w:rsidRDefault="002570C3" w:rsidP="00A40986">
      <w:pPr>
        <w:pStyle w:val="Heading1"/>
        <w:numPr>
          <w:ilvl w:val="0"/>
          <w:numId w:val="7"/>
        </w:numPr>
        <w:spacing w:line="276" w:lineRule="auto"/>
        <w:ind w:left="720"/>
        <w:jc w:val="both"/>
        <w:rPr>
          <w:rFonts w:asciiTheme="minorHAnsi" w:hAnsiTheme="minorHAnsi"/>
          <w:noProof/>
          <w:color w:val="365F91" w:themeColor="accent1" w:themeShade="BF"/>
          <w:sz w:val="32"/>
          <w:szCs w:val="24"/>
          <w:lang w:val="sq-AL"/>
        </w:rPr>
      </w:pPr>
      <w:bookmarkStart w:id="12" w:name="_Toc486582884"/>
      <w:r w:rsidRPr="006C73CF">
        <w:rPr>
          <w:rFonts w:asciiTheme="minorHAnsi" w:hAnsiTheme="minorHAnsi"/>
          <w:noProof/>
          <w:color w:val="365F91" w:themeColor="accent1" w:themeShade="BF"/>
          <w:sz w:val="32"/>
          <w:szCs w:val="24"/>
          <w:lang w:val="sq-AL"/>
        </w:rPr>
        <w:t xml:space="preserve">MENAXHIMI I BORXHIT </w:t>
      </w:r>
      <w:r w:rsidR="00A14825" w:rsidRPr="006C73CF">
        <w:rPr>
          <w:rFonts w:asciiTheme="minorHAnsi" w:hAnsiTheme="minorHAnsi"/>
          <w:noProof/>
          <w:color w:val="365F91" w:themeColor="accent1" w:themeShade="BF"/>
          <w:sz w:val="32"/>
          <w:szCs w:val="24"/>
          <w:lang w:val="sq-AL"/>
        </w:rPr>
        <w:t>PUBLIK</w:t>
      </w:r>
      <w:bookmarkEnd w:id="12"/>
      <w:r w:rsidR="00A14825" w:rsidRPr="006C73CF">
        <w:rPr>
          <w:rFonts w:asciiTheme="minorHAnsi" w:hAnsiTheme="minorHAnsi"/>
          <w:noProof/>
          <w:color w:val="365F91" w:themeColor="accent1" w:themeShade="BF"/>
          <w:sz w:val="32"/>
          <w:szCs w:val="24"/>
          <w:lang w:val="sq-AL"/>
        </w:rPr>
        <w:t xml:space="preserve"> </w:t>
      </w:r>
      <w:bookmarkEnd w:id="0"/>
    </w:p>
    <w:p w:rsidR="006C73CF" w:rsidRPr="006C73CF" w:rsidRDefault="006C73CF" w:rsidP="006C73CF">
      <w:pPr>
        <w:tabs>
          <w:tab w:val="left" w:pos="2730"/>
        </w:tabs>
        <w:spacing w:line="276" w:lineRule="auto"/>
        <w:jc w:val="both"/>
        <w:rPr>
          <w:rFonts w:asciiTheme="minorHAnsi" w:hAnsiTheme="minorHAnsi"/>
          <w:lang w:val="sq-AL"/>
        </w:rPr>
      </w:pPr>
      <w:r w:rsidRPr="006C73CF">
        <w:rPr>
          <w:rFonts w:asciiTheme="minorHAnsi" w:hAnsiTheme="minorHAnsi"/>
          <w:lang w:val="sq-AL"/>
        </w:rPr>
        <w:t>Borxhi i Qeverisjes Qendrore gjatë katërmujorit të parë të vitit 2017 u karakterizua nga një ecuri pozitive duke qenë në përputhje me buxhetin e planifikuar për vitin 2017 dhe objektivat e Strategjisë Afatmesme të Menaxhimit të Borxhit (SAMB).</w:t>
      </w:r>
    </w:p>
    <w:p w:rsidR="006C73CF" w:rsidRPr="006C73CF" w:rsidRDefault="006C73CF" w:rsidP="006C73CF">
      <w:pPr>
        <w:tabs>
          <w:tab w:val="left" w:pos="2730"/>
        </w:tabs>
        <w:spacing w:line="276" w:lineRule="auto"/>
        <w:jc w:val="both"/>
        <w:rPr>
          <w:rFonts w:asciiTheme="minorHAnsi" w:hAnsiTheme="minorHAnsi"/>
          <w:lang w:val="sq-AL"/>
        </w:rPr>
      </w:pPr>
      <w:r w:rsidRPr="006C73CF">
        <w:rPr>
          <w:rFonts w:asciiTheme="minorHAnsi" w:hAnsiTheme="minorHAnsi"/>
          <w:lang w:val="sq-AL"/>
        </w:rPr>
        <w:t xml:space="preserve">Në përputhje me buxhetin e vitit 2017, gjatë katërmujorit të parë u realizua me sukses huamarrja, e cila mundësoi rifinancimin e borxhit ekzistues, mbulimin e nevojave të Qeverisë për likuiditet dhe financimin e deficitit buxhetor. </w:t>
      </w:r>
    </w:p>
    <w:p w:rsidR="006C73CF" w:rsidRPr="006C73CF" w:rsidRDefault="006C73CF" w:rsidP="006C73CF">
      <w:pPr>
        <w:tabs>
          <w:tab w:val="left" w:pos="2730"/>
        </w:tabs>
        <w:spacing w:line="276" w:lineRule="auto"/>
        <w:jc w:val="both"/>
        <w:rPr>
          <w:rFonts w:asciiTheme="minorHAnsi" w:hAnsiTheme="minorHAnsi"/>
          <w:lang w:val="sq-AL"/>
        </w:rPr>
      </w:pPr>
      <w:r w:rsidRPr="006C73CF">
        <w:rPr>
          <w:rFonts w:asciiTheme="minorHAnsi" w:hAnsiTheme="minorHAnsi"/>
          <w:lang w:val="sq-AL"/>
        </w:rPr>
        <w:t xml:space="preserve">Në linjë me objektivat e Strategjisë Afatmesme të Menaxhimit të Borxhit, gjatë katërmujorit të parë 2017 u menaxhua ulja e mëtejshme e ekspozimit ndaj risqeve duke mbajtur nën kontroll kostot e borxhit, si edhe u vijua me aktivitetet e planifikuara në kuadër të zhvillimit të tregut primar të titujve shtetërorë. Në kuadër të uljes së ekspozimit ndaj risqeve, huamarrja e brendshme neto gjatë katërmujorit të parë u realizua kryesisht nëpërmjet titujve afatgjatë. </w:t>
      </w:r>
    </w:p>
    <w:p w:rsidR="006C73CF" w:rsidRPr="006C73CF" w:rsidRDefault="006C73CF" w:rsidP="006C73CF">
      <w:pPr>
        <w:tabs>
          <w:tab w:val="left" w:pos="2730"/>
        </w:tabs>
        <w:spacing w:line="276" w:lineRule="auto"/>
        <w:jc w:val="both"/>
        <w:rPr>
          <w:rFonts w:asciiTheme="minorHAnsi" w:hAnsiTheme="minorHAnsi"/>
          <w:lang w:val="sq-AL"/>
        </w:rPr>
      </w:pPr>
      <w:r w:rsidRPr="006C73CF">
        <w:rPr>
          <w:rFonts w:asciiTheme="minorHAnsi" w:hAnsiTheme="minorHAnsi"/>
          <w:lang w:val="sq-AL"/>
        </w:rPr>
        <w:t xml:space="preserve">Në drejtim të mbajtjes nën kontroll të kostove të borxhit, u shfrytëzuan normat e interesit të titujve shtetërorë afatgjatë, të cilat janë ende në nivele relativisht të ulta, si edhe burimet e huaja të financimit me terma të favorshme, të tilla si Mbështetja Buxhetore. </w:t>
      </w:r>
    </w:p>
    <w:p w:rsidR="006C73CF" w:rsidRPr="006C73CF" w:rsidRDefault="006C73CF" w:rsidP="006C73CF">
      <w:pPr>
        <w:tabs>
          <w:tab w:val="left" w:pos="2730"/>
        </w:tabs>
        <w:spacing w:line="276" w:lineRule="auto"/>
        <w:jc w:val="both"/>
        <w:rPr>
          <w:rFonts w:asciiTheme="minorHAnsi" w:hAnsiTheme="minorHAnsi"/>
          <w:lang w:val="sq-AL"/>
        </w:rPr>
      </w:pPr>
      <w:r w:rsidRPr="006C73CF">
        <w:rPr>
          <w:rFonts w:asciiTheme="minorHAnsi" w:hAnsiTheme="minorHAnsi"/>
          <w:lang w:val="sq-AL"/>
        </w:rPr>
        <w:t xml:space="preserve">Për sa i përket zhvillimeve në tregun primar të titujve shtetërorë, kërkesa ka qenë në nivele të kënaqshme, duke gjeneruar një raport mbulimi pozitiv  pothuajse në çdo ankand të zhvilluar gjatë katërmujorit të parë. Nga ana tjetër, kërkesa për tituj shtetërorë është shoqëruar me një rritje të diversifikimit në drejtim të Institucioneve Financiare. Gjatë katërmujorit 2017, normat e interesit, kanë shfaqur një tendencë rënëse krahasuar me fundin e vitit 2016, në shumicën e kategorive të instrumentave . Rënia e normave reflektohet edhe në uljen e kostos mesatare të portofolit të borxhit të brendshëm. </w:t>
      </w:r>
    </w:p>
    <w:p w:rsidR="006C73CF" w:rsidRPr="00CB4875" w:rsidRDefault="006C73CF" w:rsidP="006C73CF">
      <w:pPr>
        <w:tabs>
          <w:tab w:val="left" w:pos="2730"/>
        </w:tabs>
        <w:spacing w:line="276" w:lineRule="auto"/>
        <w:jc w:val="both"/>
        <w:rPr>
          <w:rFonts w:asciiTheme="minorHAnsi" w:hAnsiTheme="minorHAnsi"/>
          <w:sz w:val="12"/>
          <w:szCs w:val="12"/>
          <w:lang w:val="sq-AL"/>
        </w:rPr>
      </w:pPr>
    </w:p>
    <w:p w:rsidR="006C73CF" w:rsidRPr="006C73CF" w:rsidRDefault="006C73CF" w:rsidP="006C73CF">
      <w:pPr>
        <w:tabs>
          <w:tab w:val="left" w:pos="2730"/>
        </w:tabs>
        <w:spacing w:line="276" w:lineRule="auto"/>
        <w:jc w:val="both"/>
        <w:rPr>
          <w:rFonts w:asciiTheme="minorHAnsi" w:hAnsiTheme="minorHAnsi"/>
          <w:lang w:val="sq-AL"/>
        </w:rPr>
      </w:pPr>
      <w:r w:rsidRPr="006C73CF">
        <w:rPr>
          <w:rFonts w:asciiTheme="minorHAnsi" w:hAnsiTheme="minorHAnsi"/>
          <w:lang w:val="sq-AL"/>
        </w:rPr>
        <w:t xml:space="preserve">Në vazhdim të angazhimit të marrë në lidhje me përmirësimin e mëtejshëm të tregut primar të titujve shtetërorë, si edhe hedhjen e hapave për funksionimin e tregut sekondar, përgjatë katërmujorit të parë janë realizuar objektiva të tilla si: </w:t>
      </w:r>
    </w:p>
    <w:p w:rsidR="006C73CF" w:rsidRPr="006C73CF" w:rsidRDefault="006C73CF" w:rsidP="006C73CF">
      <w:pPr>
        <w:pStyle w:val="ListParagraph"/>
        <w:numPr>
          <w:ilvl w:val="0"/>
          <w:numId w:val="25"/>
        </w:numPr>
        <w:spacing w:line="276" w:lineRule="auto"/>
        <w:jc w:val="both"/>
        <w:rPr>
          <w:rFonts w:asciiTheme="minorHAnsi" w:eastAsia="SimSun" w:hAnsiTheme="minorHAnsi"/>
          <w:i/>
          <w:lang w:val="sq-AL"/>
        </w:rPr>
      </w:pPr>
      <w:r w:rsidRPr="006C73CF">
        <w:rPr>
          <w:rFonts w:asciiTheme="minorHAnsi" w:eastAsia="SimSun" w:hAnsiTheme="minorHAnsi"/>
          <w:i/>
          <w:lang w:val="sq-AL"/>
        </w:rPr>
        <w:t xml:space="preserve">Sigurimi i likuiditetit; </w:t>
      </w:r>
    </w:p>
    <w:p w:rsidR="006C73CF" w:rsidRPr="006C73CF" w:rsidRDefault="006C73CF" w:rsidP="006C73CF">
      <w:pPr>
        <w:pStyle w:val="ListParagraph"/>
        <w:numPr>
          <w:ilvl w:val="0"/>
          <w:numId w:val="25"/>
        </w:numPr>
        <w:spacing w:line="276" w:lineRule="auto"/>
        <w:jc w:val="both"/>
        <w:rPr>
          <w:rFonts w:asciiTheme="minorHAnsi" w:eastAsia="SimSun" w:hAnsiTheme="minorHAnsi"/>
          <w:i/>
          <w:lang w:val="sq-AL"/>
        </w:rPr>
      </w:pPr>
      <w:r w:rsidRPr="006C73CF">
        <w:rPr>
          <w:rFonts w:asciiTheme="minorHAnsi" w:eastAsia="SimSun" w:hAnsiTheme="minorHAnsi"/>
          <w:i/>
          <w:lang w:val="sq-AL"/>
        </w:rPr>
        <w:t xml:space="preserve">Konsolidimi i ankandeve të instrumenteve afatshkurtra; </w:t>
      </w:r>
    </w:p>
    <w:p w:rsidR="006C73CF" w:rsidRPr="006C73CF" w:rsidRDefault="006C73CF" w:rsidP="006C73CF">
      <w:pPr>
        <w:pStyle w:val="ListParagraph"/>
        <w:numPr>
          <w:ilvl w:val="0"/>
          <w:numId w:val="25"/>
        </w:numPr>
        <w:spacing w:line="276" w:lineRule="auto"/>
        <w:jc w:val="both"/>
        <w:rPr>
          <w:rFonts w:asciiTheme="minorHAnsi" w:eastAsia="SimSun" w:hAnsiTheme="minorHAnsi"/>
          <w:i/>
          <w:lang w:val="sq-AL"/>
        </w:rPr>
      </w:pPr>
      <w:r w:rsidRPr="006C73CF">
        <w:rPr>
          <w:rFonts w:asciiTheme="minorHAnsi" w:eastAsia="SimSun" w:hAnsiTheme="minorHAnsi"/>
          <w:i/>
          <w:lang w:val="sq-AL"/>
        </w:rPr>
        <w:t>Fokusimi në krijimin e madhësive benchmark për titujt afatgjatë;</w:t>
      </w:r>
    </w:p>
    <w:p w:rsidR="005353F6" w:rsidRPr="006C73CF" w:rsidRDefault="006C73CF" w:rsidP="006C73CF">
      <w:pPr>
        <w:pStyle w:val="ListParagraph"/>
        <w:numPr>
          <w:ilvl w:val="0"/>
          <w:numId w:val="25"/>
        </w:numPr>
        <w:spacing w:line="276" w:lineRule="auto"/>
        <w:jc w:val="both"/>
        <w:rPr>
          <w:rFonts w:asciiTheme="minorHAnsi" w:eastAsia="SimSun" w:hAnsiTheme="minorHAnsi"/>
          <w:i/>
          <w:lang w:val="sq-AL"/>
        </w:rPr>
      </w:pPr>
      <w:r w:rsidRPr="006C73CF">
        <w:rPr>
          <w:rFonts w:asciiTheme="minorHAnsi" w:eastAsia="SimSun" w:hAnsiTheme="minorHAnsi"/>
          <w:i/>
          <w:lang w:val="sq-AL"/>
        </w:rPr>
        <w:t>Komunikimi i vazhdueshëm me aktorët kryesorë të tregut të titujve shtetërorë.</w:t>
      </w:r>
    </w:p>
    <w:p w:rsidR="006A6936" w:rsidRDefault="006A6936" w:rsidP="00A40986">
      <w:pPr>
        <w:tabs>
          <w:tab w:val="left" w:pos="2730"/>
        </w:tabs>
        <w:spacing w:line="276" w:lineRule="auto"/>
        <w:jc w:val="both"/>
        <w:rPr>
          <w:rFonts w:asciiTheme="minorHAnsi" w:hAnsiTheme="minorHAnsi"/>
          <w:sz w:val="12"/>
          <w:szCs w:val="12"/>
          <w:u w:val="single"/>
          <w:lang w:val="sq-AL"/>
        </w:rPr>
      </w:pPr>
    </w:p>
    <w:p w:rsidR="006C73CF" w:rsidRPr="00444289" w:rsidRDefault="00CB4875" w:rsidP="006C73CF">
      <w:pPr>
        <w:pStyle w:val="Heading2"/>
        <w:spacing w:line="276" w:lineRule="auto"/>
        <w:ind w:left="720" w:hanging="720"/>
        <w:rPr>
          <w:rFonts w:asciiTheme="minorHAnsi" w:hAnsiTheme="minorHAnsi"/>
          <w:noProof/>
          <w:color w:val="4F81BD" w:themeColor="accent1"/>
          <w:sz w:val="28"/>
          <w:szCs w:val="24"/>
          <w:lang w:val="sq-AL"/>
        </w:rPr>
      </w:pPr>
      <w:bookmarkStart w:id="13" w:name="_Toc486582885"/>
      <w:r>
        <w:rPr>
          <w:rFonts w:asciiTheme="minorHAnsi" w:hAnsiTheme="minorHAnsi"/>
          <w:noProof/>
          <w:color w:val="4F81BD" w:themeColor="accent1"/>
          <w:sz w:val="28"/>
          <w:szCs w:val="24"/>
          <w:lang w:val="sq-AL"/>
        </w:rPr>
        <w:t>I</w:t>
      </w:r>
      <w:r w:rsidR="006C73CF" w:rsidRPr="00444289">
        <w:rPr>
          <w:rFonts w:asciiTheme="minorHAnsi" w:hAnsiTheme="minorHAnsi"/>
          <w:noProof/>
          <w:color w:val="4F81BD" w:themeColor="accent1"/>
          <w:sz w:val="28"/>
          <w:szCs w:val="24"/>
          <w:lang w:val="sq-AL"/>
        </w:rPr>
        <w:t>V.</w:t>
      </w:r>
      <w:r w:rsidR="006C73CF">
        <w:rPr>
          <w:rFonts w:asciiTheme="minorHAnsi" w:hAnsiTheme="minorHAnsi"/>
          <w:noProof/>
          <w:color w:val="4F81BD" w:themeColor="accent1"/>
          <w:sz w:val="28"/>
          <w:szCs w:val="24"/>
          <w:lang w:val="sq-AL"/>
        </w:rPr>
        <w:t>1</w:t>
      </w:r>
      <w:r w:rsidR="006C73CF" w:rsidRPr="00444289">
        <w:rPr>
          <w:rFonts w:asciiTheme="minorHAnsi" w:hAnsiTheme="minorHAnsi"/>
          <w:noProof/>
          <w:color w:val="4F81BD" w:themeColor="accent1"/>
          <w:sz w:val="28"/>
          <w:szCs w:val="24"/>
          <w:lang w:val="sq-AL"/>
        </w:rPr>
        <w:tab/>
      </w:r>
      <w:r w:rsidR="006C73CF">
        <w:rPr>
          <w:rFonts w:asciiTheme="minorHAnsi" w:hAnsiTheme="minorHAnsi"/>
          <w:noProof/>
          <w:color w:val="4F81BD" w:themeColor="accent1"/>
          <w:sz w:val="28"/>
          <w:szCs w:val="24"/>
          <w:lang w:val="sq-AL"/>
        </w:rPr>
        <w:t>Stoku i Borxhit t</w:t>
      </w:r>
      <w:r w:rsidR="005564F1">
        <w:rPr>
          <w:rFonts w:asciiTheme="minorHAnsi" w:hAnsiTheme="minorHAnsi"/>
          <w:noProof/>
          <w:color w:val="4F81BD" w:themeColor="accent1"/>
          <w:sz w:val="28"/>
          <w:szCs w:val="24"/>
          <w:lang w:val="sq-AL"/>
        </w:rPr>
        <w:t>ë</w:t>
      </w:r>
      <w:r w:rsidR="006C73CF">
        <w:rPr>
          <w:rFonts w:asciiTheme="minorHAnsi" w:hAnsiTheme="minorHAnsi"/>
          <w:noProof/>
          <w:color w:val="4F81BD" w:themeColor="accent1"/>
          <w:sz w:val="28"/>
          <w:szCs w:val="24"/>
          <w:lang w:val="sq-AL"/>
        </w:rPr>
        <w:t xml:space="preserve"> Qeveris</w:t>
      </w:r>
      <w:r w:rsidR="005564F1">
        <w:rPr>
          <w:rFonts w:asciiTheme="minorHAnsi" w:hAnsiTheme="minorHAnsi"/>
          <w:noProof/>
          <w:color w:val="4F81BD" w:themeColor="accent1"/>
          <w:sz w:val="28"/>
          <w:szCs w:val="24"/>
          <w:lang w:val="sq-AL"/>
        </w:rPr>
        <w:t>ë</w:t>
      </w:r>
      <w:r w:rsidR="006C73CF">
        <w:rPr>
          <w:rFonts w:asciiTheme="minorHAnsi" w:hAnsiTheme="minorHAnsi"/>
          <w:noProof/>
          <w:color w:val="4F81BD" w:themeColor="accent1"/>
          <w:sz w:val="28"/>
          <w:szCs w:val="24"/>
          <w:lang w:val="sq-AL"/>
        </w:rPr>
        <w:t xml:space="preserve"> Qendrore</w:t>
      </w:r>
      <w:bookmarkEnd w:id="13"/>
      <w:r w:rsidR="006C73CF">
        <w:rPr>
          <w:rFonts w:asciiTheme="minorHAnsi" w:hAnsiTheme="minorHAnsi"/>
          <w:noProof/>
          <w:color w:val="4F81BD" w:themeColor="accent1"/>
          <w:sz w:val="28"/>
          <w:szCs w:val="24"/>
          <w:lang w:val="sq-AL"/>
        </w:rPr>
        <w:t xml:space="preserve"> </w:t>
      </w:r>
    </w:p>
    <w:p w:rsidR="006A6936" w:rsidRDefault="006C73CF" w:rsidP="006C73CF">
      <w:pPr>
        <w:tabs>
          <w:tab w:val="left" w:pos="2730"/>
        </w:tabs>
        <w:spacing w:line="276" w:lineRule="auto"/>
        <w:jc w:val="both"/>
        <w:rPr>
          <w:rFonts w:asciiTheme="minorHAnsi" w:hAnsiTheme="minorHAnsi"/>
          <w:lang w:val="sq-AL"/>
        </w:rPr>
      </w:pPr>
      <w:r w:rsidRPr="006C73CF">
        <w:rPr>
          <w:rFonts w:asciiTheme="minorHAnsi" w:hAnsiTheme="minorHAnsi"/>
          <w:lang w:val="sq-AL"/>
        </w:rPr>
        <w:t>Referuar parashikimeve të rritjes ekonomike për vitin 2017, Borxhi i Qeverisjes Qendrore në raport me PBB  në fund të prill 2017 vlerësohet në 67.72%. Në terma nominal stoku i borxhit shtetëror është rritur me rreth 16.5 miliard Lek në krahasim me vitin 2016, nga të cilat 11.8 miliard Lek i korrespondojnë rritjes së borxhit të brendshëm dhe 4.7 miliard Lek borxhit të jashtëm. Pavarësisht sa më sipër, rritja e borxhit në terma nominal është brenda kufijve të parashikuara në ligjin vjetor të buxhetit dhe në përputhje me objektivat afatmesme makro-fiskale për uljen e nivelit</w:t>
      </w:r>
      <w:r>
        <w:rPr>
          <w:rFonts w:asciiTheme="minorHAnsi" w:hAnsiTheme="minorHAnsi"/>
          <w:lang w:val="sq-AL"/>
        </w:rPr>
        <w:t xml:space="preserve"> të borxhit në raport me PBB. </w:t>
      </w:r>
      <w:r w:rsidRPr="006C73CF">
        <w:rPr>
          <w:rFonts w:asciiTheme="minorHAnsi" w:hAnsiTheme="minorHAnsi"/>
          <w:lang w:val="sq-AL"/>
        </w:rPr>
        <w:t>Nivelet e borxhit të brendshëm dhe atij të jashtëm në raport me totalin e Borxhit të Qeverisjes Qendrore janë përkatësisht rreth 53% dhe 47%, duke ruajtur pothuajse të njëjtat raporte me fundin e vitit të kaluar.</w:t>
      </w:r>
    </w:p>
    <w:p w:rsidR="00F978F5" w:rsidRPr="00F978F5" w:rsidRDefault="00F978F5" w:rsidP="006C73CF">
      <w:pPr>
        <w:spacing w:line="276" w:lineRule="auto"/>
        <w:jc w:val="both"/>
        <w:rPr>
          <w:rFonts w:asciiTheme="minorHAnsi" w:hAnsiTheme="minorHAnsi"/>
          <w:i/>
          <w:sz w:val="8"/>
          <w:szCs w:val="8"/>
          <w:lang w:val="sq-AL"/>
        </w:rPr>
      </w:pPr>
    </w:p>
    <w:p w:rsidR="006C73CF" w:rsidRDefault="00C96584" w:rsidP="006C73CF">
      <w:pPr>
        <w:spacing w:line="276" w:lineRule="auto"/>
        <w:jc w:val="both"/>
        <w:rPr>
          <w:rFonts w:asciiTheme="minorHAnsi" w:hAnsiTheme="minorHAnsi"/>
          <w:lang w:val="sq-AL"/>
        </w:rPr>
      </w:pPr>
      <w:r w:rsidRPr="00021047">
        <w:rPr>
          <w:rFonts w:asciiTheme="minorHAnsi" w:hAnsiTheme="minorHAnsi"/>
          <w:noProof/>
        </w:rPr>
        <w:drawing>
          <wp:anchor distT="0" distB="0" distL="114300" distR="114300" simplePos="0" relativeHeight="251699712" behindDoc="1" locked="0" layoutInCell="1" allowOverlap="1" wp14:anchorId="3907E157" wp14:editId="7E5C8A30">
            <wp:simplePos x="0" y="0"/>
            <wp:positionH relativeFrom="column">
              <wp:posOffset>3044190</wp:posOffset>
            </wp:positionH>
            <wp:positionV relativeFrom="paragraph">
              <wp:posOffset>224790</wp:posOffset>
            </wp:positionV>
            <wp:extent cx="3064510" cy="2087880"/>
            <wp:effectExtent l="0" t="0" r="2540" b="7620"/>
            <wp:wrapTight wrapText="bothSides">
              <wp:wrapPolygon edited="0">
                <wp:start x="0" y="0"/>
                <wp:lineTo x="0" y="21482"/>
                <wp:lineTo x="21484" y="21482"/>
                <wp:lineTo x="21484"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021047">
        <w:rPr>
          <w:rFonts w:asciiTheme="minorHAnsi" w:hAnsiTheme="minorHAnsi"/>
          <w:noProof/>
        </w:rPr>
        <w:drawing>
          <wp:anchor distT="0" distB="0" distL="114300" distR="114300" simplePos="0" relativeHeight="251698688" behindDoc="1" locked="0" layoutInCell="1" allowOverlap="1" wp14:anchorId="3F2E4D7F" wp14:editId="6E5FD6ED">
            <wp:simplePos x="0" y="0"/>
            <wp:positionH relativeFrom="column">
              <wp:posOffset>19050</wp:posOffset>
            </wp:positionH>
            <wp:positionV relativeFrom="paragraph">
              <wp:posOffset>224790</wp:posOffset>
            </wp:positionV>
            <wp:extent cx="3060700" cy="2209800"/>
            <wp:effectExtent l="0" t="0" r="6350" b="0"/>
            <wp:wrapTight wrapText="bothSides">
              <wp:wrapPolygon edited="0">
                <wp:start x="0" y="0"/>
                <wp:lineTo x="0" y="21414"/>
                <wp:lineTo x="21510" y="21414"/>
                <wp:lineTo x="21510"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V relativeFrom="margin">
              <wp14:pctHeight>0</wp14:pctHeight>
            </wp14:sizeRelV>
          </wp:anchor>
        </w:drawing>
      </w:r>
      <w:r w:rsidR="006C73CF" w:rsidRPr="00444289">
        <w:rPr>
          <w:rFonts w:asciiTheme="minorHAnsi" w:hAnsiTheme="minorHAnsi"/>
          <w:i/>
          <w:lang w:val="sq-AL"/>
        </w:rPr>
        <w:t xml:space="preserve">Grafiku </w:t>
      </w:r>
      <w:r w:rsidR="000B3625">
        <w:rPr>
          <w:rFonts w:asciiTheme="minorHAnsi" w:hAnsiTheme="minorHAnsi"/>
          <w:i/>
          <w:lang w:val="sq-AL"/>
        </w:rPr>
        <w:t>27</w:t>
      </w:r>
      <w:r w:rsidR="006C73CF" w:rsidRPr="00444289">
        <w:rPr>
          <w:rFonts w:asciiTheme="minorHAnsi" w:hAnsiTheme="minorHAnsi"/>
          <w:i/>
          <w:lang w:val="sq-AL"/>
        </w:rPr>
        <w:t>:</w:t>
      </w:r>
      <w:r w:rsidR="006C73CF" w:rsidRPr="00444289">
        <w:rPr>
          <w:rFonts w:asciiTheme="minorHAnsi" w:hAnsiTheme="minorHAnsi"/>
          <w:i/>
          <w:lang w:val="sq-AL"/>
        </w:rPr>
        <w:tab/>
      </w:r>
      <w:r w:rsidR="006C73CF" w:rsidRPr="006C73CF">
        <w:rPr>
          <w:rFonts w:asciiTheme="minorHAnsi" w:hAnsiTheme="minorHAnsi"/>
          <w:i/>
          <w:lang w:val="sq-AL"/>
        </w:rPr>
        <w:t>Kompozimi i Borxhit të Qeverisjes Qendrore</w:t>
      </w:r>
    </w:p>
    <w:p w:rsidR="006C73CF" w:rsidRPr="006C73CF" w:rsidRDefault="006C73CF" w:rsidP="006C73CF">
      <w:pPr>
        <w:tabs>
          <w:tab w:val="left" w:pos="2730"/>
        </w:tabs>
        <w:spacing w:line="276" w:lineRule="auto"/>
        <w:jc w:val="both"/>
        <w:rPr>
          <w:rFonts w:asciiTheme="minorHAnsi" w:hAnsiTheme="minorHAnsi"/>
          <w:sz w:val="8"/>
          <w:szCs w:val="8"/>
          <w:lang w:val="sq-AL"/>
        </w:rPr>
      </w:pPr>
    </w:p>
    <w:p w:rsidR="006654D7" w:rsidRPr="006654D7" w:rsidRDefault="006654D7" w:rsidP="006C73CF">
      <w:pPr>
        <w:spacing w:line="276" w:lineRule="auto"/>
        <w:jc w:val="both"/>
        <w:rPr>
          <w:rFonts w:asciiTheme="minorHAnsi" w:hAnsiTheme="minorHAnsi"/>
          <w:sz w:val="8"/>
          <w:szCs w:val="8"/>
        </w:rPr>
      </w:pPr>
    </w:p>
    <w:p w:rsidR="00C96584" w:rsidRPr="006C73CF" w:rsidRDefault="00C96584" w:rsidP="00C96584">
      <w:pPr>
        <w:tabs>
          <w:tab w:val="left" w:pos="540"/>
        </w:tabs>
        <w:spacing w:line="276" w:lineRule="auto"/>
        <w:rPr>
          <w:rFonts w:asciiTheme="minorHAnsi" w:hAnsiTheme="minorHAnsi"/>
          <w:i/>
          <w:sz w:val="20"/>
          <w:lang w:val="sq-AL"/>
        </w:rPr>
      </w:pPr>
      <w:r>
        <w:rPr>
          <w:rFonts w:asciiTheme="minorHAnsi" w:hAnsiTheme="minorHAnsi"/>
          <w:i/>
          <w:sz w:val="20"/>
          <w:lang w:val="sq-AL"/>
        </w:rPr>
        <w:tab/>
      </w:r>
      <w:r w:rsidRPr="006C73CF">
        <w:rPr>
          <w:rFonts w:asciiTheme="minorHAnsi" w:hAnsiTheme="minorHAnsi"/>
          <w:i/>
          <w:sz w:val="20"/>
          <w:lang w:val="sq-AL"/>
        </w:rPr>
        <w:t>Burimi: Ministria e Financave (2017)</w:t>
      </w:r>
    </w:p>
    <w:p w:rsidR="00C96584" w:rsidRPr="00C96584" w:rsidRDefault="00C96584" w:rsidP="006C73CF">
      <w:pPr>
        <w:spacing w:line="276" w:lineRule="auto"/>
        <w:jc w:val="both"/>
        <w:rPr>
          <w:rFonts w:asciiTheme="minorHAnsi" w:hAnsiTheme="minorHAnsi"/>
          <w:sz w:val="12"/>
          <w:szCs w:val="12"/>
        </w:rPr>
      </w:pPr>
    </w:p>
    <w:p w:rsidR="006C73CF" w:rsidRDefault="006C73CF" w:rsidP="006C73CF">
      <w:pPr>
        <w:spacing w:line="276" w:lineRule="auto"/>
        <w:jc w:val="both"/>
        <w:rPr>
          <w:rFonts w:asciiTheme="minorHAnsi" w:hAnsiTheme="minorHAnsi"/>
        </w:rPr>
      </w:pPr>
      <w:r w:rsidRPr="00021047">
        <w:rPr>
          <w:rFonts w:asciiTheme="minorHAnsi" w:hAnsiTheme="minorHAnsi"/>
        </w:rPr>
        <w:t xml:space="preserve">Borxhi i garantuar gjatë katërmujorit të parë të vitit 2017 mbetet pothuajse në të njëjtat nivele pasi asnjë garanci e re nuk është bërë efektive dhe niveli i disbursimeve të kredive ekzistuese aktive ka qenë relativisht i ulët. </w:t>
      </w:r>
    </w:p>
    <w:p w:rsidR="00C96584" w:rsidRPr="00D100B9" w:rsidRDefault="00C96584" w:rsidP="00D85320">
      <w:pPr>
        <w:spacing w:line="276" w:lineRule="auto"/>
        <w:jc w:val="both"/>
        <w:rPr>
          <w:rFonts w:asciiTheme="minorHAnsi" w:hAnsiTheme="minorHAnsi"/>
          <w:b/>
          <w:sz w:val="20"/>
        </w:rPr>
      </w:pPr>
    </w:p>
    <w:p w:rsidR="006C73CF" w:rsidRPr="00D85320" w:rsidRDefault="006C73CF" w:rsidP="00D85320">
      <w:pPr>
        <w:spacing w:line="276" w:lineRule="auto"/>
        <w:jc w:val="both"/>
        <w:rPr>
          <w:rFonts w:asciiTheme="minorHAnsi" w:hAnsiTheme="minorHAnsi"/>
          <w:b/>
        </w:rPr>
      </w:pPr>
      <w:r w:rsidRPr="00D85320">
        <w:rPr>
          <w:rFonts w:asciiTheme="minorHAnsi" w:hAnsiTheme="minorHAnsi"/>
          <w:b/>
        </w:rPr>
        <w:t>Përbërja e Borxhit Shtetëror</w:t>
      </w:r>
    </w:p>
    <w:p w:rsidR="006C73CF" w:rsidRDefault="006C73CF" w:rsidP="006C73CF">
      <w:pPr>
        <w:tabs>
          <w:tab w:val="left" w:pos="2730"/>
        </w:tabs>
        <w:spacing w:line="276" w:lineRule="auto"/>
        <w:jc w:val="both"/>
        <w:rPr>
          <w:rFonts w:asciiTheme="minorHAnsi" w:hAnsiTheme="minorHAnsi"/>
          <w:lang w:val="sq-AL"/>
        </w:rPr>
      </w:pPr>
      <w:r w:rsidRPr="006C73CF">
        <w:rPr>
          <w:rFonts w:asciiTheme="minorHAnsi" w:hAnsiTheme="minorHAnsi"/>
          <w:lang w:val="sq-AL"/>
        </w:rPr>
        <w:t>Gjatë katërmujorit të parë të vitit 2017, ashtu si edhe gjatë vitit 2016, në përputhje me politikat menaxhuese për uljen e ekspozimit ndaj risqeve, ka vazhduar tendenca e rritjes së peshës së instrumenteve afatgjata. Në veçanti rritje më të madhe ka pasur në kategorinë e Obligacioneve 2 vjeçare si rezultat i emetimit të Obligacionit 2 vjeçar në Euro  në muajin Janar, si edhe në kategorinë e Obligacioneve me afat maturimi mbi 5 vite. Emetimi i Obligacionit 2 vjeçar në Euro ka pasur si qëllim të mbulojë nevojat e Qeverisë për likuiditet për shpenzimet e vitit 2016, të cilat duhet të mbylleshin deri në Janar 2017.</w:t>
      </w:r>
    </w:p>
    <w:p w:rsidR="00D85320" w:rsidRPr="00D85320" w:rsidRDefault="00D85320" w:rsidP="00D85320">
      <w:pPr>
        <w:spacing w:line="276" w:lineRule="auto"/>
        <w:rPr>
          <w:rFonts w:asciiTheme="minorHAnsi" w:hAnsiTheme="minorHAnsi"/>
          <w:i/>
          <w:sz w:val="8"/>
          <w:szCs w:val="8"/>
          <w:lang w:val="sq-AL"/>
        </w:rPr>
      </w:pPr>
    </w:p>
    <w:p w:rsidR="00D85320" w:rsidRDefault="00C96584" w:rsidP="00D85320">
      <w:pPr>
        <w:spacing w:line="276" w:lineRule="auto"/>
        <w:rPr>
          <w:rFonts w:asciiTheme="minorHAnsi" w:hAnsiTheme="minorHAnsi"/>
          <w:i/>
          <w:sz w:val="20"/>
          <w:lang w:val="sq-AL"/>
        </w:rPr>
      </w:pPr>
      <w:r w:rsidRPr="00021047">
        <w:rPr>
          <w:rFonts w:asciiTheme="minorHAnsi" w:hAnsiTheme="minorHAnsi"/>
          <w:noProof/>
        </w:rPr>
        <w:drawing>
          <wp:anchor distT="0" distB="0" distL="114300" distR="114300" simplePos="0" relativeHeight="251702784" behindDoc="1" locked="0" layoutInCell="1" allowOverlap="1" wp14:anchorId="6DC54179" wp14:editId="436DB711">
            <wp:simplePos x="0" y="0"/>
            <wp:positionH relativeFrom="column">
              <wp:posOffset>3082290</wp:posOffset>
            </wp:positionH>
            <wp:positionV relativeFrom="paragraph">
              <wp:posOffset>284480</wp:posOffset>
            </wp:positionV>
            <wp:extent cx="2926080" cy="2133600"/>
            <wp:effectExtent l="0" t="0" r="7620" b="0"/>
            <wp:wrapTight wrapText="bothSides">
              <wp:wrapPolygon edited="0">
                <wp:start x="0" y="0"/>
                <wp:lineTo x="0" y="21407"/>
                <wp:lineTo x="21516" y="21407"/>
                <wp:lineTo x="21516"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021047">
        <w:rPr>
          <w:rFonts w:asciiTheme="minorHAnsi" w:hAnsiTheme="minorHAnsi"/>
          <w:noProof/>
        </w:rPr>
        <w:drawing>
          <wp:anchor distT="0" distB="0" distL="114300" distR="114300" simplePos="0" relativeHeight="251701760" behindDoc="1" locked="0" layoutInCell="1" allowOverlap="1" wp14:anchorId="6314E79B" wp14:editId="34061CBF">
            <wp:simplePos x="0" y="0"/>
            <wp:positionH relativeFrom="column">
              <wp:posOffset>19050</wp:posOffset>
            </wp:positionH>
            <wp:positionV relativeFrom="paragraph">
              <wp:posOffset>292100</wp:posOffset>
            </wp:positionV>
            <wp:extent cx="2910840" cy="2125980"/>
            <wp:effectExtent l="0" t="0" r="3810" b="7620"/>
            <wp:wrapTight wrapText="bothSides">
              <wp:wrapPolygon edited="0">
                <wp:start x="0" y="0"/>
                <wp:lineTo x="0" y="21484"/>
                <wp:lineTo x="21487" y="21484"/>
                <wp:lineTo x="21487"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D85320" w:rsidRPr="00444289">
        <w:rPr>
          <w:rFonts w:asciiTheme="minorHAnsi" w:hAnsiTheme="minorHAnsi"/>
          <w:i/>
          <w:lang w:val="sq-AL"/>
        </w:rPr>
        <w:t xml:space="preserve">Grafiku </w:t>
      </w:r>
      <w:r w:rsidR="000B3625">
        <w:rPr>
          <w:rFonts w:asciiTheme="minorHAnsi" w:hAnsiTheme="minorHAnsi"/>
          <w:i/>
          <w:lang w:val="sq-AL"/>
        </w:rPr>
        <w:t>28</w:t>
      </w:r>
      <w:r w:rsidR="00D85320" w:rsidRPr="00444289">
        <w:rPr>
          <w:rFonts w:asciiTheme="minorHAnsi" w:hAnsiTheme="minorHAnsi"/>
          <w:i/>
          <w:lang w:val="sq-AL"/>
        </w:rPr>
        <w:t>:</w:t>
      </w:r>
      <w:r w:rsidR="00D85320" w:rsidRPr="00444289">
        <w:rPr>
          <w:rFonts w:asciiTheme="minorHAnsi" w:hAnsiTheme="minorHAnsi"/>
          <w:i/>
          <w:lang w:val="sq-AL"/>
        </w:rPr>
        <w:tab/>
      </w:r>
      <w:r w:rsidR="00D85320" w:rsidRPr="00D85320">
        <w:rPr>
          <w:rFonts w:asciiTheme="minorHAnsi" w:hAnsiTheme="minorHAnsi"/>
          <w:i/>
          <w:lang w:val="sq-AL"/>
        </w:rPr>
        <w:t>Kompozimi i Borxhit të Brendshëm Shtetëror</w:t>
      </w:r>
    </w:p>
    <w:p w:rsidR="00C96584" w:rsidRDefault="00692A53" w:rsidP="00C96584">
      <w:pPr>
        <w:tabs>
          <w:tab w:val="left" w:pos="540"/>
          <w:tab w:val="left" w:pos="4590"/>
        </w:tabs>
        <w:spacing w:line="276" w:lineRule="auto"/>
        <w:rPr>
          <w:rFonts w:asciiTheme="minorHAnsi" w:hAnsiTheme="minorHAnsi"/>
          <w:i/>
          <w:sz w:val="20"/>
          <w:lang w:val="sq-AL"/>
        </w:rPr>
      </w:pPr>
      <w:r w:rsidRPr="006C73CF">
        <w:rPr>
          <w:rFonts w:asciiTheme="minorHAnsi" w:hAnsiTheme="minorHAnsi"/>
          <w:i/>
          <w:sz w:val="20"/>
          <w:lang w:val="sq-AL"/>
        </w:rPr>
        <w:t>Burimi: Ministria e Financave (2017)</w:t>
      </w:r>
    </w:p>
    <w:p w:rsidR="00C96584" w:rsidRPr="00C96584" w:rsidRDefault="00C96584" w:rsidP="00C96584">
      <w:pPr>
        <w:tabs>
          <w:tab w:val="left" w:pos="540"/>
          <w:tab w:val="left" w:pos="4590"/>
        </w:tabs>
        <w:spacing w:line="276" w:lineRule="auto"/>
        <w:rPr>
          <w:rFonts w:asciiTheme="minorHAnsi" w:hAnsiTheme="minorHAnsi"/>
          <w:sz w:val="16"/>
          <w:lang w:val="sq-AL"/>
        </w:rPr>
      </w:pPr>
    </w:p>
    <w:p w:rsidR="00C96584" w:rsidRDefault="00C96584" w:rsidP="00C96584">
      <w:pPr>
        <w:tabs>
          <w:tab w:val="left" w:pos="540"/>
          <w:tab w:val="left" w:pos="4590"/>
        </w:tabs>
        <w:spacing w:line="276" w:lineRule="auto"/>
        <w:rPr>
          <w:rFonts w:asciiTheme="minorHAnsi" w:hAnsiTheme="minorHAnsi"/>
          <w:i/>
          <w:sz w:val="20"/>
          <w:lang w:val="sq-AL"/>
        </w:rPr>
      </w:pPr>
      <w:r w:rsidRPr="00D85320">
        <w:rPr>
          <w:rFonts w:asciiTheme="minorHAnsi" w:hAnsiTheme="minorHAnsi"/>
          <w:lang w:val="sq-AL"/>
        </w:rPr>
        <w:t>Ndërkohë, për sa i përket kompozimit të stokut të borxhit të jashtëm, vihet re një ulje në stokun e borxhit me terma koncesionale</w:t>
      </w:r>
    </w:p>
    <w:p w:rsidR="00D85320" w:rsidRPr="006C73CF" w:rsidRDefault="00C96584" w:rsidP="00C96584">
      <w:pPr>
        <w:spacing w:line="276" w:lineRule="auto"/>
        <w:rPr>
          <w:rFonts w:asciiTheme="minorHAnsi" w:hAnsiTheme="minorHAnsi"/>
          <w:i/>
          <w:sz w:val="20"/>
          <w:lang w:val="sq-AL"/>
        </w:rPr>
      </w:pPr>
      <w:r w:rsidRPr="00021047">
        <w:rPr>
          <w:rFonts w:asciiTheme="minorHAnsi" w:hAnsiTheme="minorHAnsi"/>
          <w:noProof/>
        </w:rPr>
        <w:drawing>
          <wp:anchor distT="0" distB="0" distL="114300" distR="114300" simplePos="0" relativeHeight="251705856" behindDoc="1" locked="0" layoutInCell="1" allowOverlap="1" wp14:anchorId="69899364" wp14:editId="5DE85285">
            <wp:simplePos x="0" y="0"/>
            <wp:positionH relativeFrom="column">
              <wp:posOffset>3143250</wp:posOffset>
            </wp:positionH>
            <wp:positionV relativeFrom="paragraph">
              <wp:posOffset>3810</wp:posOffset>
            </wp:positionV>
            <wp:extent cx="2867025" cy="2476500"/>
            <wp:effectExtent l="0" t="0" r="0" b="0"/>
            <wp:wrapTight wrapText="bothSides">
              <wp:wrapPolygon edited="0">
                <wp:start x="0" y="0"/>
                <wp:lineTo x="0" y="21434"/>
                <wp:lineTo x="21385" y="21434"/>
                <wp:lineTo x="21385"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021047">
        <w:rPr>
          <w:rFonts w:asciiTheme="minorHAnsi" w:hAnsiTheme="minorHAnsi"/>
          <w:noProof/>
        </w:rPr>
        <w:drawing>
          <wp:anchor distT="0" distB="0" distL="114300" distR="114300" simplePos="0" relativeHeight="251704832" behindDoc="1" locked="0" layoutInCell="1" allowOverlap="1" wp14:anchorId="34B2A770" wp14:editId="44CE3579">
            <wp:simplePos x="0" y="0"/>
            <wp:positionH relativeFrom="column">
              <wp:posOffset>19050</wp:posOffset>
            </wp:positionH>
            <wp:positionV relativeFrom="paragraph">
              <wp:posOffset>41910</wp:posOffset>
            </wp:positionV>
            <wp:extent cx="3048000" cy="2438400"/>
            <wp:effectExtent l="0" t="0" r="0" b="0"/>
            <wp:wrapTight wrapText="bothSides">
              <wp:wrapPolygon edited="0">
                <wp:start x="0" y="0"/>
                <wp:lineTo x="0" y="21431"/>
                <wp:lineTo x="21465" y="21431"/>
                <wp:lineTo x="21465"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D85320">
        <w:rPr>
          <w:rFonts w:asciiTheme="minorHAnsi" w:hAnsiTheme="minorHAnsi"/>
          <w:b/>
          <w:sz w:val="20"/>
          <w:szCs w:val="20"/>
        </w:rPr>
        <w:tab/>
      </w:r>
      <w:r w:rsidR="00D85320" w:rsidRPr="006C73CF">
        <w:rPr>
          <w:rFonts w:asciiTheme="minorHAnsi" w:hAnsiTheme="minorHAnsi"/>
          <w:i/>
          <w:sz w:val="20"/>
          <w:lang w:val="sq-AL"/>
        </w:rPr>
        <w:t>Burimi: Ministria e Financave (2017)</w:t>
      </w:r>
    </w:p>
    <w:p w:rsidR="006654D7" w:rsidRDefault="006654D7" w:rsidP="006C73CF">
      <w:pPr>
        <w:tabs>
          <w:tab w:val="left" w:pos="2730"/>
        </w:tabs>
        <w:spacing w:line="276" w:lineRule="auto"/>
        <w:jc w:val="both"/>
        <w:rPr>
          <w:rFonts w:asciiTheme="minorHAnsi" w:hAnsiTheme="minorHAnsi"/>
          <w:lang w:val="sq-AL"/>
        </w:rPr>
      </w:pPr>
    </w:p>
    <w:p w:rsidR="00D85320" w:rsidRPr="00444289" w:rsidRDefault="006654D7" w:rsidP="00D85320">
      <w:pPr>
        <w:pStyle w:val="Heading2"/>
        <w:spacing w:line="276" w:lineRule="auto"/>
        <w:ind w:left="720" w:hanging="720"/>
        <w:rPr>
          <w:rFonts w:asciiTheme="minorHAnsi" w:hAnsiTheme="minorHAnsi"/>
          <w:noProof/>
          <w:color w:val="4F81BD" w:themeColor="accent1"/>
          <w:sz w:val="28"/>
          <w:szCs w:val="24"/>
          <w:lang w:val="sq-AL"/>
        </w:rPr>
      </w:pPr>
      <w:bookmarkStart w:id="14" w:name="_Toc486582886"/>
      <w:r>
        <w:rPr>
          <w:rFonts w:asciiTheme="minorHAnsi" w:hAnsiTheme="minorHAnsi"/>
          <w:noProof/>
          <w:color w:val="4F81BD" w:themeColor="accent1"/>
          <w:sz w:val="28"/>
          <w:szCs w:val="24"/>
          <w:lang w:val="sq-AL"/>
        </w:rPr>
        <w:t>I</w:t>
      </w:r>
      <w:r w:rsidR="00D85320" w:rsidRPr="00444289">
        <w:rPr>
          <w:rFonts w:asciiTheme="minorHAnsi" w:hAnsiTheme="minorHAnsi"/>
          <w:noProof/>
          <w:color w:val="4F81BD" w:themeColor="accent1"/>
          <w:sz w:val="28"/>
          <w:szCs w:val="24"/>
          <w:lang w:val="sq-AL"/>
        </w:rPr>
        <w:t>V.</w:t>
      </w:r>
      <w:r w:rsidR="00D85320">
        <w:rPr>
          <w:rFonts w:asciiTheme="minorHAnsi" w:hAnsiTheme="minorHAnsi"/>
          <w:noProof/>
          <w:color w:val="4F81BD" w:themeColor="accent1"/>
          <w:sz w:val="28"/>
          <w:szCs w:val="24"/>
          <w:lang w:val="sq-AL"/>
        </w:rPr>
        <w:t>2</w:t>
      </w:r>
      <w:r w:rsidR="00D85320" w:rsidRPr="00444289">
        <w:rPr>
          <w:rFonts w:asciiTheme="minorHAnsi" w:hAnsiTheme="minorHAnsi"/>
          <w:noProof/>
          <w:color w:val="4F81BD" w:themeColor="accent1"/>
          <w:sz w:val="28"/>
          <w:szCs w:val="24"/>
          <w:lang w:val="sq-AL"/>
        </w:rPr>
        <w:tab/>
      </w:r>
      <w:r w:rsidR="00D85320" w:rsidRPr="00D85320">
        <w:rPr>
          <w:rFonts w:asciiTheme="minorHAnsi" w:hAnsiTheme="minorHAnsi"/>
          <w:noProof/>
          <w:color w:val="4F81BD" w:themeColor="accent1"/>
          <w:sz w:val="28"/>
          <w:szCs w:val="24"/>
          <w:lang w:val="sq-AL"/>
        </w:rPr>
        <w:t>Menaxhimi i Borxhit</w:t>
      </w:r>
      <w:bookmarkEnd w:id="14"/>
    </w:p>
    <w:p w:rsidR="006C73CF" w:rsidRDefault="00D85320" w:rsidP="006C73CF">
      <w:pPr>
        <w:tabs>
          <w:tab w:val="left" w:pos="2730"/>
        </w:tabs>
        <w:spacing w:line="276" w:lineRule="auto"/>
        <w:jc w:val="both"/>
        <w:rPr>
          <w:rFonts w:asciiTheme="minorHAnsi" w:hAnsiTheme="minorHAnsi"/>
          <w:lang w:val="sq-AL"/>
        </w:rPr>
      </w:pPr>
      <w:r w:rsidRPr="00D85320">
        <w:rPr>
          <w:rFonts w:asciiTheme="minorHAnsi" w:hAnsiTheme="minorHAnsi"/>
          <w:lang w:val="sq-AL"/>
        </w:rPr>
        <w:t>Huamarrja gjatë katërmujorit të parë të vitit 2017 u realizua me sukses, duke mundësuar rifinancimin e borxhit ekzistues, mbulimin e nevojave të Qeverisë për likuiditet dhe financimin e deficitit buxhetor.</w:t>
      </w:r>
    </w:p>
    <w:p w:rsidR="00D85320" w:rsidRPr="00D85320" w:rsidRDefault="00D85320" w:rsidP="00D85320">
      <w:pPr>
        <w:spacing w:line="276" w:lineRule="auto"/>
        <w:jc w:val="both"/>
        <w:rPr>
          <w:rFonts w:asciiTheme="minorHAnsi" w:hAnsiTheme="minorHAnsi"/>
          <w:b/>
          <w:sz w:val="8"/>
          <w:szCs w:val="8"/>
        </w:rPr>
      </w:pPr>
    </w:p>
    <w:p w:rsidR="00D85320" w:rsidRPr="00D85320" w:rsidRDefault="00D85320" w:rsidP="00D85320">
      <w:pPr>
        <w:spacing w:line="276" w:lineRule="auto"/>
        <w:jc w:val="both"/>
        <w:rPr>
          <w:rFonts w:asciiTheme="minorHAnsi" w:hAnsiTheme="minorHAnsi"/>
          <w:b/>
        </w:rPr>
      </w:pPr>
      <w:r w:rsidRPr="00D85320">
        <w:rPr>
          <w:rFonts w:asciiTheme="minorHAnsi" w:hAnsiTheme="minorHAnsi"/>
          <w:b/>
        </w:rPr>
        <w:t>Huamarrja e Brendshme</w:t>
      </w:r>
    </w:p>
    <w:p w:rsidR="006C73CF" w:rsidRDefault="00D85320" w:rsidP="006C73CF">
      <w:pPr>
        <w:tabs>
          <w:tab w:val="left" w:pos="2730"/>
        </w:tabs>
        <w:spacing w:line="276" w:lineRule="auto"/>
        <w:jc w:val="both"/>
        <w:rPr>
          <w:rFonts w:asciiTheme="minorHAnsi" w:hAnsiTheme="minorHAnsi"/>
          <w:lang w:val="sq-AL"/>
        </w:rPr>
      </w:pPr>
      <w:r w:rsidRPr="00D85320">
        <w:rPr>
          <w:rFonts w:asciiTheme="minorHAnsi" w:hAnsiTheme="minorHAnsi"/>
          <w:lang w:val="sq-AL"/>
        </w:rPr>
        <w:t>Gjatë katërmujorit të parë të vitit, Ministria e Financave ka mbuluar nevojat e Qeverisë për likuiditet dhe rifinancimin e titujve ekzistues duke emetuar në tregun e brendshëm tituj në vlerën 133.6 miliard Lek (ose 11.9 miliard Lek në terma neto). Huamarrja e brendshme neto është realizuar 138.4% nëpërmjet titujve afatgjatë, si edhe është shoqëruar me ulje të stokut të borxhit afatshkurtër në vlerën 4.6 miliard Lek.</w:t>
      </w:r>
    </w:p>
    <w:p w:rsidR="006654D7" w:rsidRPr="006654D7" w:rsidRDefault="006654D7" w:rsidP="00D85320">
      <w:pPr>
        <w:spacing w:line="276" w:lineRule="auto"/>
        <w:rPr>
          <w:rFonts w:asciiTheme="minorHAnsi" w:hAnsiTheme="minorHAnsi"/>
          <w:i/>
          <w:sz w:val="8"/>
          <w:szCs w:val="8"/>
          <w:lang w:val="sq-AL"/>
        </w:rPr>
      </w:pPr>
    </w:p>
    <w:p w:rsidR="00D85320" w:rsidRPr="00444289" w:rsidRDefault="00D85320" w:rsidP="00D85320">
      <w:pPr>
        <w:spacing w:line="276" w:lineRule="auto"/>
        <w:rPr>
          <w:rFonts w:asciiTheme="minorHAnsi" w:hAnsiTheme="minorHAnsi"/>
          <w:i/>
          <w:lang w:val="sq-AL"/>
        </w:rPr>
      </w:pPr>
      <w:r w:rsidRPr="00444289">
        <w:rPr>
          <w:rFonts w:asciiTheme="minorHAnsi" w:hAnsiTheme="minorHAnsi"/>
          <w:i/>
          <w:lang w:val="sq-AL"/>
        </w:rPr>
        <w:t>Tabela 1</w:t>
      </w:r>
      <w:r w:rsidR="000B3625">
        <w:rPr>
          <w:rFonts w:asciiTheme="minorHAnsi" w:hAnsiTheme="minorHAnsi"/>
          <w:i/>
          <w:lang w:val="sq-AL"/>
        </w:rPr>
        <w:t>0</w:t>
      </w:r>
      <w:r w:rsidRPr="00444289">
        <w:rPr>
          <w:rFonts w:asciiTheme="minorHAnsi" w:hAnsiTheme="minorHAnsi"/>
          <w:i/>
          <w:lang w:val="sq-AL"/>
        </w:rPr>
        <w:tab/>
      </w:r>
      <w:r w:rsidRPr="00D85320">
        <w:rPr>
          <w:rFonts w:asciiTheme="minorHAnsi" w:hAnsiTheme="minorHAnsi"/>
          <w:i/>
          <w:lang w:val="sq-AL"/>
        </w:rPr>
        <w:t>Huamarrja shtetërore nga burime të brendshme në terma neto</w:t>
      </w:r>
    </w:p>
    <w:tbl>
      <w:tblPr>
        <w:tblW w:w="9085" w:type="dxa"/>
        <w:jc w:val="center"/>
        <w:tblLook w:val="04A0" w:firstRow="1" w:lastRow="0" w:firstColumn="1" w:lastColumn="0" w:noHBand="0" w:noVBand="1"/>
      </w:tblPr>
      <w:tblGrid>
        <w:gridCol w:w="2306"/>
        <w:gridCol w:w="1437"/>
        <w:gridCol w:w="1786"/>
        <w:gridCol w:w="1701"/>
        <w:gridCol w:w="1855"/>
      </w:tblGrid>
      <w:tr w:rsidR="00D85320" w:rsidRPr="00D85320" w:rsidTr="00D85320">
        <w:trPr>
          <w:trHeight w:val="239"/>
          <w:jc w:val="center"/>
        </w:trPr>
        <w:tc>
          <w:tcPr>
            <w:tcW w:w="2306" w:type="dxa"/>
            <w:vMerge w:val="restart"/>
            <w:tcBorders>
              <w:top w:val="nil"/>
              <w:left w:val="nil"/>
              <w:bottom w:val="nil"/>
              <w:right w:val="single" w:sz="8" w:space="0" w:color="FFFFFF"/>
            </w:tcBorders>
            <w:shd w:val="clear" w:color="000000" w:fill="953735"/>
            <w:noWrap/>
            <w:vAlign w:val="center"/>
            <w:hideMark/>
          </w:tcPr>
          <w:p w:rsidR="00D85320" w:rsidRPr="00D85320" w:rsidRDefault="00D85320" w:rsidP="00B17E1B">
            <w:pPr>
              <w:spacing w:line="276" w:lineRule="auto"/>
              <w:jc w:val="center"/>
              <w:rPr>
                <w:rFonts w:asciiTheme="minorHAnsi" w:hAnsiTheme="minorHAnsi"/>
                <w:b/>
                <w:bCs/>
                <w:color w:val="FFFFFF"/>
                <w:sz w:val="18"/>
                <w:szCs w:val="20"/>
                <w:lang w:eastAsia="sq-AL"/>
              </w:rPr>
            </w:pPr>
            <w:r w:rsidRPr="00D85320">
              <w:rPr>
                <w:rFonts w:asciiTheme="minorHAnsi" w:hAnsiTheme="minorHAnsi"/>
                <w:b/>
                <w:bCs/>
                <w:color w:val="FFFFFF"/>
                <w:sz w:val="18"/>
                <w:szCs w:val="20"/>
                <w:lang w:eastAsia="sq-AL"/>
              </w:rPr>
              <w:t>Huamarrja e Brendshme</w:t>
            </w:r>
          </w:p>
        </w:tc>
        <w:tc>
          <w:tcPr>
            <w:tcW w:w="6779" w:type="dxa"/>
            <w:gridSpan w:val="4"/>
            <w:tcBorders>
              <w:top w:val="single" w:sz="8" w:space="0" w:color="FFFFFF"/>
              <w:left w:val="nil"/>
              <w:bottom w:val="single" w:sz="8" w:space="0" w:color="FFFFFF"/>
              <w:right w:val="single" w:sz="8" w:space="0" w:color="FFFFFF"/>
            </w:tcBorders>
            <w:shd w:val="clear" w:color="000000" w:fill="953735"/>
            <w:noWrap/>
            <w:vAlign w:val="center"/>
            <w:hideMark/>
          </w:tcPr>
          <w:p w:rsidR="00D85320" w:rsidRPr="00D85320" w:rsidRDefault="00D85320" w:rsidP="00B17E1B">
            <w:pPr>
              <w:spacing w:line="276" w:lineRule="auto"/>
              <w:jc w:val="center"/>
              <w:rPr>
                <w:rFonts w:asciiTheme="minorHAnsi" w:hAnsiTheme="minorHAnsi"/>
                <w:b/>
                <w:bCs/>
                <w:color w:val="FFFFFF"/>
                <w:sz w:val="18"/>
                <w:szCs w:val="20"/>
                <w:lang w:eastAsia="sq-AL"/>
              </w:rPr>
            </w:pPr>
            <w:r w:rsidRPr="00D85320">
              <w:rPr>
                <w:rFonts w:asciiTheme="minorHAnsi" w:hAnsiTheme="minorHAnsi"/>
                <w:b/>
                <w:bCs/>
                <w:color w:val="FFFFFF"/>
                <w:sz w:val="18"/>
                <w:szCs w:val="20"/>
                <w:lang w:eastAsia="sq-AL"/>
              </w:rPr>
              <w:t>Prill 2017</w:t>
            </w:r>
          </w:p>
        </w:tc>
      </w:tr>
      <w:tr w:rsidR="00D85320" w:rsidRPr="00D85320" w:rsidTr="00D85320">
        <w:trPr>
          <w:trHeight w:val="281"/>
          <w:jc w:val="center"/>
        </w:trPr>
        <w:tc>
          <w:tcPr>
            <w:tcW w:w="2306" w:type="dxa"/>
            <w:vMerge/>
            <w:tcBorders>
              <w:top w:val="nil"/>
              <w:left w:val="nil"/>
              <w:bottom w:val="nil"/>
              <w:right w:val="single" w:sz="8" w:space="0" w:color="FFFFFF"/>
            </w:tcBorders>
            <w:vAlign w:val="center"/>
            <w:hideMark/>
          </w:tcPr>
          <w:p w:rsidR="00D85320" w:rsidRPr="00D85320" w:rsidRDefault="00D85320" w:rsidP="00B17E1B">
            <w:pPr>
              <w:spacing w:line="276" w:lineRule="auto"/>
              <w:rPr>
                <w:rFonts w:asciiTheme="minorHAnsi" w:hAnsiTheme="minorHAnsi"/>
                <w:b/>
                <w:bCs/>
                <w:color w:val="FFFFFF"/>
                <w:sz w:val="18"/>
                <w:szCs w:val="20"/>
                <w:lang w:eastAsia="sq-AL"/>
              </w:rPr>
            </w:pPr>
          </w:p>
        </w:tc>
        <w:tc>
          <w:tcPr>
            <w:tcW w:w="1437" w:type="dxa"/>
            <w:vMerge w:val="restart"/>
            <w:tcBorders>
              <w:top w:val="nil"/>
              <w:left w:val="single" w:sz="8" w:space="0" w:color="FFFFFF"/>
              <w:bottom w:val="single" w:sz="8" w:space="0" w:color="FFFFFF"/>
              <w:right w:val="single" w:sz="8" w:space="0" w:color="FFFFFF"/>
            </w:tcBorders>
            <w:shd w:val="clear" w:color="000000" w:fill="953735"/>
            <w:vAlign w:val="center"/>
            <w:hideMark/>
          </w:tcPr>
          <w:p w:rsidR="00D85320" w:rsidRPr="00D85320" w:rsidRDefault="00D85320" w:rsidP="00B17E1B">
            <w:pPr>
              <w:spacing w:line="276" w:lineRule="auto"/>
              <w:jc w:val="center"/>
              <w:rPr>
                <w:rFonts w:asciiTheme="minorHAnsi" w:hAnsiTheme="minorHAnsi"/>
                <w:b/>
                <w:bCs/>
                <w:color w:val="FFFFFF"/>
                <w:sz w:val="18"/>
                <w:szCs w:val="20"/>
                <w:lang w:eastAsia="sq-AL"/>
              </w:rPr>
            </w:pPr>
            <w:r w:rsidRPr="00D85320">
              <w:rPr>
                <w:rFonts w:asciiTheme="minorHAnsi" w:hAnsiTheme="minorHAnsi"/>
                <w:b/>
                <w:bCs/>
                <w:color w:val="FFFFFF"/>
                <w:sz w:val="18"/>
                <w:szCs w:val="20"/>
                <w:lang w:eastAsia="sq-AL"/>
              </w:rPr>
              <w:t xml:space="preserve">    Emetim                                            </w:t>
            </w:r>
            <w:r w:rsidRPr="00D85320">
              <w:rPr>
                <w:rFonts w:asciiTheme="minorHAnsi" w:hAnsiTheme="minorHAnsi"/>
                <w:color w:val="FFFFFF"/>
                <w:sz w:val="18"/>
                <w:szCs w:val="20"/>
                <w:lang w:eastAsia="sq-AL"/>
              </w:rPr>
              <w:t>(në mld Lek)</w:t>
            </w:r>
          </w:p>
        </w:tc>
        <w:tc>
          <w:tcPr>
            <w:tcW w:w="1786" w:type="dxa"/>
            <w:vMerge w:val="restart"/>
            <w:tcBorders>
              <w:top w:val="nil"/>
              <w:left w:val="single" w:sz="8" w:space="0" w:color="FFFFFF"/>
              <w:bottom w:val="single" w:sz="8" w:space="0" w:color="FFFFFF"/>
              <w:right w:val="single" w:sz="8" w:space="0" w:color="FFFFFF"/>
            </w:tcBorders>
            <w:shd w:val="clear" w:color="000000" w:fill="953735"/>
            <w:vAlign w:val="center"/>
            <w:hideMark/>
          </w:tcPr>
          <w:p w:rsidR="00D85320" w:rsidRPr="00D85320" w:rsidRDefault="00D85320" w:rsidP="00B17E1B">
            <w:pPr>
              <w:spacing w:line="276" w:lineRule="auto"/>
              <w:jc w:val="center"/>
              <w:rPr>
                <w:rFonts w:asciiTheme="minorHAnsi" w:hAnsiTheme="minorHAnsi"/>
                <w:b/>
                <w:bCs/>
                <w:color w:val="FFFFFF"/>
                <w:sz w:val="18"/>
                <w:szCs w:val="20"/>
                <w:lang w:eastAsia="sq-AL"/>
              </w:rPr>
            </w:pPr>
            <w:r w:rsidRPr="00D85320">
              <w:rPr>
                <w:rFonts w:asciiTheme="minorHAnsi" w:hAnsiTheme="minorHAnsi"/>
                <w:b/>
                <w:bCs/>
                <w:color w:val="FFFFFF"/>
                <w:sz w:val="18"/>
                <w:szCs w:val="20"/>
                <w:lang w:eastAsia="sq-AL"/>
              </w:rPr>
              <w:t xml:space="preserve">Maturim                                        </w:t>
            </w:r>
            <w:r w:rsidRPr="00D85320">
              <w:rPr>
                <w:rFonts w:asciiTheme="minorHAnsi" w:hAnsiTheme="minorHAnsi"/>
                <w:bCs/>
                <w:color w:val="FFFFFF"/>
                <w:sz w:val="18"/>
                <w:szCs w:val="20"/>
                <w:lang w:eastAsia="sq-AL"/>
              </w:rPr>
              <w:t xml:space="preserve">(në mld Lek)  </w:t>
            </w:r>
          </w:p>
        </w:tc>
        <w:tc>
          <w:tcPr>
            <w:tcW w:w="1701" w:type="dxa"/>
            <w:vMerge w:val="restart"/>
            <w:tcBorders>
              <w:top w:val="nil"/>
              <w:left w:val="single" w:sz="8" w:space="0" w:color="FFFFFF"/>
              <w:bottom w:val="single" w:sz="8" w:space="0" w:color="FFFFFF"/>
              <w:right w:val="single" w:sz="8" w:space="0" w:color="FFFFFF"/>
            </w:tcBorders>
            <w:shd w:val="clear" w:color="000000" w:fill="953735"/>
            <w:vAlign w:val="center"/>
            <w:hideMark/>
          </w:tcPr>
          <w:p w:rsidR="00D85320" w:rsidRPr="00D85320" w:rsidRDefault="00D85320" w:rsidP="00B17E1B">
            <w:pPr>
              <w:spacing w:line="276" w:lineRule="auto"/>
              <w:jc w:val="center"/>
              <w:rPr>
                <w:rFonts w:asciiTheme="minorHAnsi" w:hAnsiTheme="minorHAnsi"/>
                <w:b/>
                <w:bCs/>
                <w:color w:val="FFFFFF"/>
                <w:sz w:val="18"/>
                <w:szCs w:val="20"/>
                <w:lang w:eastAsia="sq-AL"/>
              </w:rPr>
            </w:pPr>
            <w:r w:rsidRPr="00D85320">
              <w:rPr>
                <w:rFonts w:asciiTheme="minorHAnsi" w:hAnsiTheme="minorHAnsi"/>
                <w:b/>
                <w:bCs/>
                <w:color w:val="FFFFFF"/>
                <w:sz w:val="18"/>
                <w:szCs w:val="20"/>
                <w:lang w:eastAsia="sq-AL"/>
              </w:rPr>
              <w:t xml:space="preserve">Huamarrje Neto </w:t>
            </w:r>
            <w:r w:rsidRPr="00D85320">
              <w:rPr>
                <w:rFonts w:asciiTheme="minorHAnsi" w:hAnsiTheme="minorHAnsi"/>
                <w:bCs/>
                <w:color w:val="FFFFFF"/>
                <w:sz w:val="18"/>
                <w:szCs w:val="20"/>
                <w:lang w:eastAsia="sq-AL"/>
              </w:rPr>
              <w:t xml:space="preserve">(në mld Lek) </w:t>
            </w:r>
          </w:p>
        </w:tc>
        <w:tc>
          <w:tcPr>
            <w:tcW w:w="1855" w:type="dxa"/>
            <w:vMerge w:val="restart"/>
            <w:tcBorders>
              <w:top w:val="nil"/>
              <w:left w:val="single" w:sz="8" w:space="0" w:color="FFFFFF"/>
              <w:bottom w:val="single" w:sz="8" w:space="0" w:color="FFFFFF"/>
              <w:right w:val="single" w:sz="8" w:space="0" w:color="FFFFFF"/>
            </w:tcBorders>
            <w:shd w:val="clear" w:color="000000" w:fill="953735"/>
            <w:vAlign w:val="center"/>
            <w:hideMark/>
          </w:tcPr>
          <w:p w:rsidR="00D85320" w:rsidRPr="00D85320" w:rsidRDefault="00D85320" w:rsidP="00B17E1B">
            <w:pPr>
              <w:spacing w:line="276" w:lineRule="auto"/>
              <w:jc w:val="center"/>
              <w:rPr>
                <w:rFonts w:asciiTheme="minorHAnsi" w:hAnsiTheme="minorHAnsi"/>
                <w:b/>
                <w:bCs/>
                <w:color w:val="FFFFFF"/>
                <w:sz w:val="18"/>
                <w:szCs w:val="20"/>
                <w:lang w:eastAsia="sq-AL"/>
              </w:rPr>
            </w:pPr>
            <w:r w:rsidRPr="00D85320">
              <w:rPr>
                <w:rFonts w:asciiTheme="minorHAnsi" w:hAnsiTheme="minorHAnsi"/>
                <w:b/>
                <w:bCs/>
                <w:color w:val="FFFFFF"/>
                <w:sz w:val="18"/>
                <w:szCs w:val="20"/>
                <w:lang w:eastAsia="sq-AL"/>
              </w:rPr>
              <w:t xml:space="preserve">Huamarrje Neto           </w:t>
            </w:r>
            <w:r w:rsidRPr="00D85320">
              <w:rPr>
                <w:rFonts w:asciiTheme="minorHAnsi" w:hAnsiTheme="minorHAnsi"/>
                <w:bCs/>
                <w:color w:val="FFFFFF"/>
                <w:sz w:val="18"/>
                <w:szCs w:val="20"/>
                <w:lang w:eastAsia="sq-AL"/>
              </w:rPr>
              <w:t>(në %)</w:t>
            </w:r>
          </w:p>
        </w:tc>
      </w:tr>
      <w:tr w:rsidR="00D85320" w:rsidRPr="00D85320" w:rsidTr="00D85320">
        <w:trPr>
          <w:trHeight w:val="281"/>
          <w:jc w:val="center"/>
        </w:trPr>
        <w:tc>
          <w:tcPr>
            <w:tcW w:w="2306" w:type="dxa"/>
            <w:vMerge/>
            <w:tcBorders>
              <w:top w:val="nil"/>
              <w:left w:val="nil"/>
              <w:bottom w:val="nil"/>
              <w:right w:val="single" w:sz="8" w:space="0" w:color="FFFFFF"/>
            </w:tcBorders>
            <w:vAlign w:val="center"/>
            <w:hideMark/>
          </w:tcPr>
          <w:p w:rsidR="00D85320" w:rsidRPr="00D85320" w:rsidRDefault="00D85320" w:rsidP="00B17E1B">
            <w:pPr>
              <w:spacing w:line="276" w:lineRule="auto"/>
              <w:rPr>
                <w:rFonts w:asciiTheme="minorHAnsi" w:hAnsiTheme="minorHAnsi"/>
                <w:b/>
                <w:bCs/>
                <w:color w:val="FFFFFF"/>
                <w:sz w:val="18"/>
                <w:szCs w:val="20"/>
                <w:lang w:eastAsia="sq-AL"/>
              </w:rPr>
            </w:pPr>
          </w:p>
        </w:tc>
        <w:tc>
          <w:tcPr>
            <w:tcW w:w="1437" w:type="dxa"/>
            <w:vMerge/>
            <w:tcBorders>
              <w:top w:val="nil"/>
              <w:left w:val="single" w:sz="8" w:space="0" w:color="FFFFFF"/>
              <w:bottom w:val="single" w:sz="8" w:space="0" w:color="FFFFFF"/>
              <w:right w:val="single" w:sz="8" w:space="0" w:color="FFFFFF"/>
            </w:tcBorders>
            <w:vAlign w:val="center"/>
            <w:hideMark/>
          </w:tcPr>
          <w:p w:rsidR="00D85320" w:rsidRPr="00D85320" w:rsidRDefault="00D85320" w:rsidP="00B17E1B">
            <w:pPr>
              <w:spacing w:line="276" w:lineRule="auto"/>
              <w:rPr>
                <w:rFonts w:asciiTheme="minorHAnsi" w:hAnsiTheme="minorHAnsi"/>
                <w:b/>
                <w:bCs/>
                <w:color w:val="FFFFFF"/>
                <w:sz w:val="18"/>
                <w:szCs w:val="20"/>
                <w:lang w:eastAsia="sq-AL"/>
              </w:rPr>
            </w:pPr>
          </w:p>
        </w:tc>
        <w:tc>
          <w:tcPr>
            <w:tcW w:w="1786" w:type="dxa"/>
            <w:vMerge/>
            <w:tcBorders>
              <w:top w:val="nil"/>
              <w:left w:val="single" w:sz="8" w:space="0" w:color="FFFFFF"/>
              <w:bottom w:val="single" w:sz="8" w:space="0" w:color="FFFFFF"/>
              <w:right w:val="single" w:sz="8" w:space="0" w:color="FFFFFF"/>
            </w:tcBorders>
            <w:vAlign w:val="center"/>
            <w:hideMark/>
          </w:tcPr>
          <w:p w:rsidR="00D85320" w:rsidRPr="00D85320" w:rsidRDefault="00D85320" w:rsidP="00B17E1B">
            <w:pPr>
              <w:spacing w:line="276" w:lineRule="auto"/>
              <w:rPr>
                <w:rFonts w:asciiTheme="minorHAnsi" w:hAnsiTheme="minorHAnsi"/>
                <w:b/>
                <w:bCs/>
                <w:color w:val="FFFFFF"/>
                <w:sz w:val="18"/>
                <w:szCs w:val="20"/>
                <w:lang w:eastAsia="sq-AL"/>
              </w:rPr>
            </w:pPr>
          </w:p>
        </w:tc>
        <w:tc>
          <w:tcPr>
            <w:tcW w:w="1701" w:type="dxa"/>
            <w:vMerge/>
            <w:tcBorders>
              <w:top w:val="nil"/>
              <w:left w:val="single" w:sz="8" w:space="0" w:color="FFFFFF"/>
              <w:bottom w:val="single" w:sz="8" w:space="0" w:color="FFFFFF"/>
              <w:right w:val="single" w:sz="8" w:space="0" w:color="FFFFFF"/>
            </w:tcBorders>
            <w:vAlign w:val="center"/>
            <w:hideMark/>
          </w:tcPr>
          <w:p w:rsidR="00D85320" w:rsidRPr="00D85320" w:rsidRDefault="00D85320" w:rsidP="00B17E1B">
            <w:pPr>
              <w:spacing w:line="276" w:lineRule="auto"/>
              <w:rPr>
                <w:rFonts w:asciiTheme="minorHAnsi" w:hAnsiTheme="minorHAnsi"/>
                <w:b/>
                <w:bCs/>
                <w:color w:val="FFFFFF"/>
                <w:sz w:val="18"/>
                <w:szCs w:val="20"/>
                <w:lang w:eastAsia="sq-AL"/>
              </w:rPr>
            </w:pPr>
          </w:p>
        </w:tc>
        <w:tc>
          <w:tcPr>
            <w:tcW w:w="1855" w:type="dxa"/>
            <w:vMerge/>
            <w:tcBorders>
              <w:top w:val="nil"/>
              <w:left w:val="single" w:sz="8" w:space="0" w:color="FFFFFF"/>
              <w:bottom w:val="single" w:sz="8" w:space="0" w:color="FFFFFF"/>
              <w:right w:val="single" w:sz="8" w:space="0" w:color="FFFFFF"/>
            </w:tcBorders>
            <w:vAlign w:val="center"/>
            <w:hideMark/>
          </w:tcPr>
          <w:p w:rsidR="00D85320" w:rsidRPr="00D85320" w:rsidRDefault="00D85320" w:rsidP="00B17E1B">
            <w:pPr>
              <w:spacing w:line="276" w:lineRule="auto"/>
              <w:rPr>
                <w:rFonts w:asciiTheme="minorHAnsi" w:hAnsiTheme="minorHAnsi"/>
                <w:b/>
                <w:bCs/>
                <w:color w:val="FFFFFF"/>
                <w:sz w:val="18"/>
                <w:szCs w:val="20"/>
                <w:lang w:eastAsia="sq-AL"/>
              </w:rPr>
            </w:pPr>
          </w:p>
        </w:tc>
      </w:tr>
      <w:tr w:rsidR="00D85320" w:rsidRPr="00D85320" w:rsidTr="00D85320">
        <w:trPr>
          <w:trHeight w:val="225"/>
          <w:jc w:val="center"/>
        </w:trPr>
        <w:tc>
          <w:tcPr>
            <w:tcW w:w="2306" w:type="dxa"/>
            <w:tcBorders>
              <w:top w:val="nil"/>
              <w:left w:val="nil"/>
              <w:bottom w:val="nil"/>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b/>
                <w:bCs/>
                <w:color w:val="000000"/>
                <w:sz w:val="18"/>
                <w:szCs w:val="20"/>
                <w:lang w:eastAsia="sq-AL"/>
              </w:rPr>
            </w:pPr>
            <w:r w:rsidRPr="00D85320">
              <w:rPr>
                <w:rFonts w:asciiTheme="minorHAnsi" w:hAnsiTheme="minorHAnsi"/>
                <w:b/>
                <w:bCs/>
                <w:color w:val="000000"/>
                <w:sz w:val="18"/>
                <w:szCs w:val="20"/>
                <w:lang w:eastAsia="sq-AL"/>
              </w:rPr>
              <w:t xml:space="preserve">Burime të Brendshme           </w:t>
            </w:r>
          </w:p>
        </w:tc>
        <w:tc>
          <w:tcPr>
            <w:tcW w:w="1437" w:type="dxa"/>
            <w:tcBorders>
              <w:top w:val="nil"/>
              <w:left w:val="nil"/>
              <w:bottom w:val="nil"/>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b/>
                <w:bCs/>
                <w:color w:val="000000"/>
                <w:sz w:val="18"/>
                <w:szCs w:val="20"/>
                <w:lang w:eastAsia="sq-AL"/>
              </w:rPr>
            </w:pPr>
            <w:r w:rsidRPr="00D85320">
              <w:rPr>
                <w:rFonts w:asciiTheme="minorHAnsi" w:hAnsiTheme="minorHAnsi"/>
                <w:b/>
                <w:bCs/>
                <w:color w:val="000000"/>
                <w:sz w:val="18"/>
                <w:szCs w:val="20"/>
                <w:lang w:eastAsia="sq-AL"/>
              </w:rPr>
              <w:t>133.6</w:t>
            </w:r>
          </w:p>
        </w:tc>
        <w:tc>
          <w:tcPr>
            <w:tcW w:w="1786" w:type="dxa"/>
            <w:tcBorders>
              <w:top w:val="nil"/>
              <w:left w:val="nil"/>
              <w:bottom w:val="nil"/>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b/>
                <w:bCs/>
                <w:color w:val="000000"/>
                <w:sz w:val="18"/>
                <w:szCs w:val="20"/>
                <w:lang w:eastAsia="sq-AL"/>
              </w:rPr>
            </w:pPr>
            <w:r w:rsidRPr="00D85320">
              <w:rPr>
                <w:rFonts w:asciiTheme="minorHAnsi" w:hAnsiTheme="minorHAnsi"/>
                <w:b/>
                <w:bCs/>
                <w:color w:val="000000"/>
                <w:sz w:val="18"/>
                <w:szCs w:val="20"/>
                <w:lang w:eastAsia="sq-AL"/>
              </w:rPr>
              <w:t>121.7</w:t>
            </w:r>
          </w:p>
        </w:tc>
        <w:tc>
          <w:tcPr>
            <w:tcW w:w="1701" w:type="dxa"/>
            <w:tcBorders>
              <w:top w:val="nil"/>
              <w:left w:val="nil"/>
              <w:bottom w:val="nil"/>
              <w:right w:val="single" w:sz="8" w:space="0" w:color="FFFFFF"/>
            </w:tcBorders>
            <w:shd w:val="clear" w:color="auto" w:fill="auto"/>
            <w:vAlign w:val="center"/>
            <w:hideMark/>
          </w:tcPr>
          <w:p w:rsidR="00D85320" w:rsidRPr="00D85320" w:rsidRDefault="00D85320" w:rsidP="00B17E1B">
            <w:pPr>
              <w:spacing w:line="276" w:lineRule="auto"/>
              <w:jc w:val="center"/>
              <w:rPr>
                <w:rFonts w:asciiTheme="minorHAnsi" w:hAnsiTheme="minorHAnsi"/>
                <w:b/>
                <w:bCs/>
                <w:color w:val="000000"/>
                <w:sz w:val="18"/>
                <w:szCs w:val="20"/>
                <w:lang w:eastAsia="sq-AL"/>
              </w:rPr>
            </w:pPr>
            <w:r w:rsidRPr="00D85320">
              <w:rPr>
                <w:rFonts w:asciiTheme="minorHAnsi" w:hAnsiTheme="minorHAnsi"/>
                <w:b/>
                <w:bCs/>
                <w:color w:val="000000"/>
                <w:sz w:val="18"/>
                <w:szCs w:val="20"/>
                <w:lang w:eastAsia="sq-AL"/>
              </w:rPr>
              <w:t>11.9</w:t>
            </w:r>
          </w:p>
        </w:tc>
        <w:tc>
          <w:tcPr>
            <w:tcW w:w="1855" w:type="dxa"/>
            <w:tcBorders>
              <w:top w:val="nil"/>
              <w:left w:val="nil"/>
              <w:bottom w:val="nil"/>
              <w:right w:val="nil"/>
            </w:tcBorders>
            <w:shd w:val="clear" w:color="auto" w:fill="auto"/>
            <w:vAlign w:val="center"/>
            <w:hideMark/>
          </w:tcPr>
          <w:p w:rsidR="00D85320" w:rsidRPr="00D85320" w:rsidRDefault="00D85320" w:rsidP="00B17E1B">
            <w:pPr>
              <w:spacing w:line="276" w:lineRule="auto"/>
              <w:jc w:val="center"/>
              <w:rPr>
                <w:rFonts w:asciiTheme="minorHAnsi" w:hAnsiTheme="minorHAnsi"/>
                <w:b/>
                <w:bCs/>
                <w:color w:val="000000"/>
                <w:sz w:val="18"/>
                <w:szCs w:val="20"/>
                <w:lang w:eastAsia="sq-AL"/>
              </w:rPr>
            </w:pPr>
            <w:r w:rsidRPr="00D85320">
              <w:rPr>
                <w:rFonts w:asciiTheme="minorHAnsi" w:hAnsiTheme="minorHAnsi"/>
                <w:b/>
                <w:bCs/>
                <w:color w:val="000000"/>
                <w:sz w:val="18"/>
                <w:szCs w:val="20"/>
                <w:lang w:eastAsia="sq-AL"/>
              </w:rPr>
              <w:t>100%</w:t>
            </w:r>
          </w:p>
        </w:tc>
      </w:tr>
      <w:tr w:rsidR="00D85320" w:rsidRPr="00D85320" w:rsidTr="00D85320">
        <w:trPr>
          <w:trHeight w:val="225"/>
          <w:jc w:val="center"/>
        </w:trPr>
        <w:tc>
          <w:tcPr>
            <w:tcW w:w="2306" w:type="dxa"/>
            <w:tcBorders>
              <w:top w:val="nil"/>
              <w:left w:val="nil"/>
              <w:bottom w:val="nil"/>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 xml:space="preserve">- Bono Thesari                               </w:t>
            </w:r>
          </w:p>
        </w:tc>
        <w:tc>
          <w:tcPr>
            <w:tcW w:w="1437" w:type="dxa"/>
            <w:tcBorders>
              <w:top w:val="nil"/>
              <w:left w:val="nil"/>
              <w:bottom w:val="nil"/>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89.9</w:t>
            </w:r>
          </w:p>
        </w:tc>
        <w:tc>
          <w:tcPr>
            <w:tcW w:w="1786" w:type="dxa"/>
            <w:tcBorders>
              <w:top w:val="nil"/>
              <w:left w:val="nil"/>
              <w:bottom w:val="nil"/>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94.5</w:t>
            </w:r>
          </w:p>
        </w:tc>
        <w:tc>
          <w:tcPr>
            <w:tcW w:w="1701" w:type="dxa"/>
            <w:tcBorders>
              <w:top w:val="nil"/>
              <w:left w:val="nil"/>
              <w:bottom w:val="nil"/>
              <w:right w:val="nil"/>
            </w:tcBorders>
            <w:shd w:val="clear" w:color="auto" w:fill="auto"/>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-4.6</w:t>
            </w:r>
          </w:p>
        </w:tc>
        <w:tc>
          <w:tcPr>
            <w:tcW w:w="1855" w:type="dxa"/>
            <w:tcBorders>
              <w:top w:val="nil"/>
              <w:left w:val="nil"/>
              <w:bottom w:val="nil"/>
              <w:right w:val="nil"/>
            </w:tcBorders>
            <w:shd w:val="clear" w:color="auto" w:fill="auto"/>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-38.40%</w:t>
            </w:r>
          </w:p>
        </w:tc>
      </w:tr>
      <w:tr w:rsidR="00D85320" w:rsidRPr="00D85320" w:rsidTr="00D85320">
        <w:trPr>
          <w:trHeight w:val="239"/>
          <w:jc w:val="center"/>
        </w:trPr>
        <w:tc>
          <w:tcPr>
            <w:tcW w:w="2306" w:type="dxa"/>
            <w:tcBorders>
              <w:top w:val="nil"/>
              <w:left w:val="nil"/>
              <w:bottom w:val="single" w:sz="8" w:space="0" w:color="auto"/>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 xml:space="preserve">- Obligacione                                  </w:t>
            </w:r>
          </w:p>
        </w:tc>
        <w:tc>
          <w:tcPr>
            <w:tcW w:w="1437" w:type="dxa"/>
            <w:tcBorders>
              <w:top w:val="nil"/>
              <w:left w:val="nil"/>
              <w:bottom w:val="single" w:sz="8" w:space="0" w:color="auto"/>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43.6</w:t>
            </w:r>
          </w:p>
        </w:tc>
        <w:tc>
          <w:tcPr>
            <w:tcW w:w="1786" w:type="dxa"/>
            <w:tcBorders>
              <w:top w:val="nil"/>
              <w:left w:val="nil"/>
              <w:bottom w:val="single" w:sz="8" w:space="0" w:color="auto"/>
              <w:right w:val="nil"/>
            </w:tcBorders>
            <w:shd w:val="clear" w:color="auto" w:fill="auto"/>
            <w:noWrap/>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27.2</w:t>
            </w:r>
          </w:p>
        </w:tc>
        <w:tc>
          <w:tcPr>
            <w:tcW w:w="1701" w:type="dxa"/>
            <w:tcBorders>
              <w:top w:val="nil"/>
              <w:left w:val="nil"/>
              <w:bottom w:val="single" w:sz="8" w:space="0" w:color="auto"/>
              <w:right w:val="nil"/>
            </w:tcBorders>
            <w:shd w:val="clear" w:color="auto" w:fill="auto"/>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16.4</w:t>
            </w:r>
          </w:p>
        </w:tc>
        <w:tc>
          <w:tcPr>
            <w:tcW w:w="1855" w:type="dxa"/>
            <w:tcBorders>
              <w:top w:val="nil"/>
              <w:left w:val="nil"/>
              <w:bottom w:val="single" w:sz="8" w:space="0" w:color="auto"/>
              <w:right w:val="nil"/>
            </w:tcBorders>
            <w:shd w:val="clear" w:color="auto" w:fill="auto"/>
            <w:vAlign w:val="center"/>
            <w:hideMark/>
          </w:tcPr>
          <w:p w:rsidR="00D85320" w:rsidRPr="00D85320" w:rsidRDefault="00D85320" w:rsidP="00B17E1B">
            <w:pPr>
              <w:spacing w:line="276" w:lineRule="auto"/>
              <w:jc w:val="center"/>
              <w:rPr>
                <w:rFonts w:asciiTheme="minorHAnsi" w:hAnsiTheme="minorHAnsi"/>
                <w:color w:val="000000"/>
                <w:sz w:val="18"/>
                <w:szCs w:val="20"/>
                <w:lang w:eastAsia="sq-AL"/>
              </w:rPr>
            </w:pPr>
            <w:r w:rsidRPr="00D85320">
              <w:rPr>
                <w:rFonts w:asciiTheme="minorHAnsi" w:hAnsiTheme="minorHAnsi"/>
                <w:color w:val="000000"/>
                <w:sz w:val="18"/>
                <w:szCs w:val="20"/>
                <w:lang w:eastAsia="sq-AL"/>
              </w:rPr>
              <w:t>138.40%</w:t>
            </w:r>
          </w:p>
        </w:tc>
      </w:tr>
    </w:tbl>
    <w:p w:rsidR="006C73CF" w:rsidRDefault="00D85320" w:rsidP="00D85320">
      <w:pPr>
        <w:tabs>
          <w:tab w:val="left" w:pos="360"/>
        </w:tabs>
        <w:spacing w:line="276" w:lineRule="auto"/>
        <w:jc w:val="both"/>
        <w:rPr>
          <w:rFonts w:asciiTheme="minorHAnsi" w:hAnsiTheme="minorHAnsi"/>
          <w:lang w:val="sq-AL"/>
        </w:rPr>
      </w:pPr>
      <w:r>
        <w:rPr>
          <w:rFonts w:asciiTheme="minorHAnsi" w:hAnsiTheme="minorHAnsi"/>
          <w:i/>
          <w:sz w:val="20"/>
          <w:lang w:val="sq-AL"/>
        </w:rPr>
        <w:tab/>
      </w:r>
      <w:r w:rsidRPr="006C73CF">
        <w:rPr>
          <w:rFonts w:asciiTheme="minorHAnsi" w:hAnsiTheme="minorHAnsi"/>
          <w:i/>
          <w:sz w:val="20"/>
          <w:lang w:val="sq-AL"/>
        </w:rPr>
        <w:t>Burimi: Ministria e Financave (2017)</w:t>
      </w:r>
    </w:p>
    <w:p w:rsidR="00D85320" w:rsidRPr="00D85320" w:rsidRDefault="00D85320" w:rsidP="00D85320">
      <w:pPr>
        <w:shd w:val="clear" w:color="auto" w:fill="FFFFFF" w:themeFill="background1"/>
        <w:tabs>
          <w:tab w:val="left" w:pos="1182"/>
        </w:tabs>
        <w:spacing w:line="276" w:lineRule="auto"/>
        <w:jc w:val="both"/>
        <w:rPr>
          <w:rFonts w:asciiTheme="minorHAnsi" w:hAnsiTheme="minorHAnsi"/>
          <w:sz w:val="12"/>
          <w:szCs w:val="12"/>
        </w:rPr>
      </w:pPr>
    </w:p>
    <w:p w:rsidR="00D85320" w:rsidRPr="00913979" w:rsidRDefault="00D85320" w:rsidP="00913979">
      <w:pPr>
        <w:tabs>
          <w:tab w:val="left" w:pos="2730"/>
        </w:tabs>
        <w:spacing w:line="276" w:lineRule="auto"/>
        <w:jc w:val="both"/>
        <w:rPr>
          <w:rFonts w:asciiTheme="minorHAnsi" w:hAnsiTheme="minorHAnsi"/>
          <w:lang w:val="sq-AL"/>
        </w:rPr>
      </w:pPr>
      <w:r w:rsidRPr="00913979">
        <w:rPr>
          <w:rFonts w:asciiTheme="minorHAnsi" w:hAnsiTheme="minorHAnsi"/>
          <w:lang w:val="sq-AL"/>
        </w:rPr>
        <w:t>Raporti i emetimeve të titujve shtetërorë ndaj PBB gjatë katërmujorit të parë të vitit është vlerësuar në 8.37%, duke shënuar rënie prej 0.82 pp krahasuar me të njëjtën periudhë të vitit të kaluar. Ulja e këtij treguesi gjatë vitit 2017 reflekton përmirësim në riskun fiskal të Qeverisë dhe sinjalizon hyrjen e financave publike në trajektoren e konsolidimit.</w:t>
      </w:r>
    </w:p>
    <w:p w:rsidR="006654D7" w:rsidRPr="006654D7" w:rsidRDefault="006654D7" w:rsidP="006654D7">
      <w:pPr>
        <w:tabs>
          <w:tab w:val="left" w:pos="2730"/>
        </w:tabs>
        <w:spacing w:line="276" w:lineRule="auto"/>
        <w:jc w:val="both"/>
        <w:rPr>
          <w:rFonts w:asciiTheme="minorHAnsi" w:hAnsiTheme="minorHAnsi"/>
          <w:b/>
          <w:sz w:val="12"/>
          <w:szCs w:val="12"/>
          <w:lang w:val="sq-AL"/>
        </w:rPr>
      </w:pPr>
      <w:bookmarkStart w:id="15" w:name="_Toc485372197"/>
    </w:p>
    <w:p w:rsidR="006654D7" w:rsidRPr="006654D7" w:rsidRDefault="00913979" w:rsidP="006654D7">
      <w:pPr>
        <w:tabs>
          <w:tab w:val="left" w:pos="2730"/>
        </w:tabs>
        <w:spacing w:line="276" w:lineRule="auto"/>
        <w:jc w:val="both"/>
        <w:rPr>
          <w:rFonts w:asciiTheme="minorHAnsi" w:hAnsiTheme="minorHAnsi"/>
          <w:b/>
          <w:lang w:val="sq-AL"/>
        </w:rPr>
      </w:pPr>
      <w:r w:rsidRPr="006654D7">
        <w:rPr>
          <w:rFonts w:asciiTheme="minorHAnsi" w:hAnsiTheme="minorHAnsi"/>
          <w:b/>
          <w:lang w:val="sq-AL"/>
        </w:rPr>
        <w:t>Huamarrja e Huaj</w:t>
      </w:r>
      <w:bookmarkEnd w:id="15"/>
      <w:r w:rsidR="006654D7" w:rsidRPr="006654D7">
        <w:rPr>
          <w:rFonts w:asciiTheme="minorHAnsi" w:hAnsiTheme="minorHAnsi"/>
          <w:b/>
          <w:lang w:val="sq-AL"/>
        </w:rPr>
        <w:t xml:space="preserve"> </w:t>
      </w:r>
    </w:p>
    <w:p w:rsidR="00913979" w:rsidRPr="00913979" w:rsidRDefault="00913979" w:rsidP="006654D7">
      <w:pPr>
        <w:tabs>
          <w:tab w:val="left" w:pos="2730"/>
        </w:tabs>
        <w:spacing w:line="276" w:lineRule="auto"/>
        <w:jc w:val="both"/>
        <w:rPr>
          <w:rFonts w:asciiTheme="minorHAnsi" w:hAnsiTheme="minorHAnsi"/>
          <w:lang w:val="sq-AL"/>
        </w:rPr>
      </w:pPr>
      <w:r w:rsidRPr="00913979">
        <w:rPr>
          <w:rFonts w:asciiTheme="minorHAnsi" w:hAnsiTheme="minorHAnsi"/>
          <w:lang w:val="sq-AL"/>
        </w:rPr>
        <w:t>Në katërmujorin e parë të vitit 2017 huamarrja e huaj rezulton në vlerën 17.8 miliard Lek (në terma bruto) , nga e cila rreth 74% u realizua nëpërmjet huave me terma koncesionale, në përputhje me objektivat strategjikë për uljen e kostos së borxhit.</w:t>
      </w:r>
    </w:p>
    <w:p w:rsidR="006A6936" w:rsidRDefault="00913979" w:rsidP="00913979">
      <w:pPr>
        <w:tabs>
          <w:tab w:val="left" w:pos="2730"/>
        </w:tabs>
        <w:spacing w:line="276" w:lineRule="auto"/>
        <w:jc w:val="both"/>
        <w:rPr>
          <w:rFonts w:asciiTheme="minorHAnsi" w:hAnsiTheme="minorHAnsi"/>
          <w:lang w:val="sq-AL"/>
        </w:rPr>
      </w:pPr>
      <w:r w:rsidRPr="00913979">
        <w:rPr>
          <w:rFonts w:asciiTheme="minorHAnsi" w:hAnsiTheme="minorHAnsi"/>
          <w:lang w:val="sq-AL"/>
        </w:rPr>
        <w:t>Niveli i lartë i disbursimeve në terma koncesionale i atribuohet Mbështetjes Buxhetore të akorduar nga FMN në vlerën prej 10.1 miliard Lek. Ndërkohë, niveli i disbursimeve të kredive për financimin e projekteve vlerësohet në rreth 7.7 miliard Lek.</w:t>
      </w:r>
    </w:p>
    <w:p w:rsidR="00913979" w:rsidRPr="00913979" w:rsidRDefault="00913979" w:rsidP="00A40986">
      <w:pPr>
        <w:tabs>
          <w:tab w:val="left" w:pos="2730"/>
        </w:tabs>
        <w:spacing w:line="276" w:lineRule="auto"/>
        <w:jc w:val="both"/>
        <w:rPr>
          <w:rFonts w:asciiTheme="minorHAnsi" w:hAnsiTheme="minorHAnsi"/>
          <w:i/>
          <w:sz w:val="8"/>
          <w:szCs w:val="8"/>
          <w:lang w:val="sq-AL"/>
        </w:rPr>
      </w:pPr>
    </w:p>
    <w:p w:rsidR="00D85320" w:rsidRDefault="00913979" w:rsidP="00913979">
      <w:pPr>
        <w:tabs>
          <w:tab w:val="left" w:pos="1440"/>
        </w:tabs>
        <w:spacing w:line="276" w:lineRule="auto"/>
        <w:jc w:val="both"/>
        <w:rPr>
          <w:rFonts w:asciiTheme="minorHAnsi" w:hAnsiTheme="minorHAnsi"/>
          <w:lang w:val="sq-AL"/>
        </w:rPr>
      </w:pPr>
      <w:r w:rsidRPr="00021047">
        <w:rPr>
          <w:rFonts w:asciiTheme="minorHAnsi" w:hAnsiTheme="minorHAnsi"/>
          <w:noProof/>
        </w:rPr>
        <w:drawing>
          <wp:anchor distT="0" distB="0" distL="114300" distR="114300" simplePos="0" relativeHeight="251708928" behindDoc="1" locked="0" layoutInCell="1" allowOverlap="1" wp14:anchorId="35E64F3B" wp14:editId="5F7A4FF7">
            <wp:simplePos x="0" y="0"/>
            <wp:positionH relativeFrom="column">
              <wp:posOffset>2967990</wp:posOffset>
            </wp:positionH>
            <wp:positionV relativeFrom="paragraph">
              <wp:posOffset>267970</wp:posOffset>
            </wp:positionV>
            <wp:extent cx="3101975" cy="2113915"/>
            <wp:effectExtent l="0" t="0" r="3175" b="635"/>
            <wp:wrapTight wrapText="bothSides">
              <wp:wrapPolygon edited="0">
                <wp:start x="0" y="0"/>
                <wp:lineTo x="0" y="21412"/>
                <wp:lineTo x="21489" y="21412"/>
                <wp:lineTo x="21489"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Pr="00021047">
        <w:rPr>
          <w:rFonts w:asciiTheme="minorHAnsi" w:hAnsiTheme="minorHAnsi"/>
          <w:noProof/>
        </w:rPr>
        <w:drawing>
          <wp:anchor distT="0" distB="0" distL="114300" distR="114300" simplePos="0" relativeHeight="251707904" behindDoc="1" locked="0" layoutInCell="1" allowOverlap="1" wp14:anchorId="725AA625" wp14:editId="1AA4DD78">
            <wp:simplePos x="0" y="0"/>
            <wp:positionH relativeFrom="column">
              <wp:posOffset>41910</wp:posOffset>
            </wp:positionH>
            <wp:positionV relativeFrom="paragraph">
              <wp:posOffset>267970</wp:posOffset>
            </wp:positionV>
            <wp:extent cx="2865120" cy="2114550"/>
            <wp:effectExtent l="0" t="0" r="0" b="0"/>
            <wp:wrapTight wrapText="bothSides">
              <wp:wrapPolygon edited="0">
                <wp:start x="0" y="0"/>
                <wp:lineTo x="0" y="21405"/>
                <wp:lineTo x="21399" y="21405"/>
                <wp:lineTo x="21399"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444289">
        <w:rPr>
          <w:rFonts w:asciiTheme="minorHAnsi" w:hAnsiTheme="minorHAnsi"/>
          <w:i/>
          <w:lang w:val="sq-AL"/>
        </w:rPr>
        <w:t xml:space="preserve">Grafiku </w:t>
      </w:r>
      <w:r w:rsidR="000B3625">
        <w:rPr>
          <w:rFonts w:asciiTheme="minorHAnsi" w:hAnsiTheme="minorHAnsi"/>
          <w:i/>
          <w:lang w:val="sq-AL"/>
        </w:rPr>
        <w:t>29</w:t>
      </w:r>
      <w:r w:rsidRPr="00444289">
        <w:rPr>
          <w:rFonts w:asciiTheme="minorHAnsi" w:hAnsiTheme="minorHAnsi"/>
          <w:i/>
          <w:lang w:val="sq-AL"/>
        </w:rPr>
        <w:t>:</w:t>
      </w:r>
      <w:r>
        <w:rPr>
          <w:rFonts w:asciiTheme="minorHAnsi" w:hAnsiTheme="minorHAnsi"/>
          <w:i/>
          <w:lang w:val="sq-AL"/>
        </w:rPr>
        <w:tab/>
      </w:r>
      <w:r w:rsidRPr="00913979">
        <w:rPr>
          <w:rFonts w:asciiTheme="minorHAnsi" w:hAnsiTheme="minorHAnsi"/>
          <w:i/>
          <w:lang w:val="sq-AL"/>
        </w:rPr>
        <w:t>Huamarrja e huaj bruto sipas koncesionalitetit në terma relativ dhe absolut</w:t>
      </w:r>
    </w:p>
    <w:p w:rsidR="00222429" w:rsidRDefault="00222429" w:rsidP="00222429">
      <w:pPr>
        <w:tabs>
          <w:tab w:val="left" w:pos="360"/>
        </w:tabs>
        <w:spacing w:line="276" w:lineRule="auto"/>
        <w:jc w:val="both"/>
        <w:rPr>
          <w:rFonts w:asciiTheme="minorHAnsi" w:hAnsiTheme="minorHAnsi"/>
          <w:lang w:val="sq-AL"/>
        </w:rPr>
      </w:pPr>
      <w:r>
        <w:rPr>
          <w:rFonts w:asciiTheme="minorHAnsi" w:hAnsiTheme="minorHAnsi"/>
          <w:i/>
          <w:sz w:val="20"/>
          <w:lang w:val="sq-AL"/>
        </w:rPr>
        <w:tab/>
      </w:r>
      <w:r w:rsidRPr="006C73CF">
        <w:rPr>
          <w:rFonts w:asciiTheme="minorHAnsi" w:hAnsiTheme="minorHAnsi"/>
          <w:i/>
          <w:sz w:val="20"/>
          <w:lang w:val="sq-AL"/>
        </w:rPr>
        <w:t>Burimi: Ministria e Financave (2017)</w:t>
      </w:r>
    </w:p>
    <w:p w:rsidR="00222429" w:rsidRPr="006654D7" w:rsidRDefault="00913979" w:rsidP="00222429">
      <w:pPr>
        <w:tabs>
          <w:tab w:val="left" w:pos="1182"/>
        </w:tabs>
        <w:spacing w:line="276" w:lineRule="auto"/>
        <w:rPr>
          <w:rFonts w:asciiTheme="minorHAnsi" w:hAnsiTheme="minorHAnsi"/>
          <w:noProof/>
          <w:sz w:val="20"/>
          <w:szCs w:val="20"/>
        </w:rPr>
      </w:pPr>
      <w:r w:rsidRPr="006654D7">
        <w:rPr>
          <w:rFonts w:asciiTheme="minorHAnsi" w:hAnsiTheme="minorHAnsi"/>
          <w:noProof/>
          <w:sz w:val="20"/>
          <w:szCs w:val="20"/>
        </w:rPr>
        <w:t xml:space="preserve"> </w:t>
      </w:r>
    </w:p>
    <w:p w:rsidR="00222429" w:rsidRPr="00222429" w:rsidRDefault="00222429" w:rsidP="00222429">
      <w:pPr>
        <w:spacing w:line="276" w:lineRule="auto"/>
        <w:jc w:val="both"/>
        <w:rPr>
          <w:rFonts w:asciiTheme="minorHAnsi" w:hAnsiTheme="minorHAnsi"/>
          <w:b/>
        </w:rPr>
      </w:pPr>
      <w:bookmarkStart w:id="16" w:name="_Toc485372198"/>
      <w:r w:rsidRPr="00222429">
        <w:rPr>
          <w:rFonts w:asciiTheme="minorHAnsi" w:hAnsiTheme="minorHAnsi"/>
          <w:b/>
        </w:rPr>
        <w:t>Kostot dhe Risqet</w:t>
      </w:r>
      <w:bookmarkEnd w:id="16"/>
    </w:p>
    <w:p w:rsidR="00D85320" w:rsidRDefault="00222429" w:rsidP="00222429">
      <w:pPr>
        <w:tabs>
          <w:tab w:val="left" w:pos="2730"/>
        </w:tabs>
        <w:spacing w:line="276" w:lineRule="auto"/>
        <w:jc w:val="both"/>
        <w:rPr>
          <w:rFonts w:asciiTheme="minorHAnsi" w:hAnsiTheme="minorHAnsi"/>
          <w:lang w:val="sq-AL"/>
        </w:rPr>
      </w:pPr>
      <w:r w:rsidRPr="00222429">
        <w:rPr>
          <w:rFonts w:asciiTheme="minorHAnsi" w:hAnsiTheme="minorHAnsi"/>
          <w:lang w:val="sq-AL"/>
        </w:rPr>
        <w:t>Gjatë katërmujorit të parë të vitit 2017, ka vazhduar tendenca e uljes së kostos së borxhit dhe përmirësimit të treguesve të riskut. Struktura e borxhit ka shfaqur përmirësim, kryesisht në aspektin e reduktimit të ekspozimit të riskut të rifinancimit dhe riskut të normave të interesit. Ndërkohë, risku i kursit të këmbimit pothuajse ka qëndruar në të njëjtat nivele me vitin e kaluar, pasi raporti ndërmjet borxhit në monedhë vendase me atë në valutë mbetet pothuajse i pandryshuar.</w:t>
      </w:r>
    </w:p>
    <w:p w:rsidR="00913979" w:rsidRDefault="00222429" w:rsidP="003E568F">
      <w:pPr>
        <w:pStyle w:val="ListParagraph"/>
        <w:numPr>
          <w:ilvl w:val="0"/>
          <w:numId w:val="31"/>
        </w:numPr>
        <w:tabs>
          <w:tab w:val="left" w:pos="2730"/>
        </w:tabs>
        <w:spacing w:line="276" w:lineRule="auto"/>
        <w:ind w:left="360"/>
        <w:jc w:val="both"/>
        <w:rPr>
          <w:rFonts w:asciiTheme="minorHAnsi" w:hAnsiTheme="minorHAnsi"/>
          <w:lang w:val="sq-AL"/>
        </w:rPr>
      </w:pPr>
      <w:r w:rsidRPr="00222429">
        <w:rPr>
          <w:rFonts w:asciiTheme="minorHAnsi" w:hAnsiTheme="minorHAnsi"/>
          <w:i/>
          <w:u w:val="single"/>
          <w:lang w:val="sq-AL"/>
        </w:rPr>
        <w:t>Kostot</w:t>
      </w:r>
      <w:r w:rsidRPr="00222429">
        <w:rPr>
          <w:rFonts w:asciiTheme="minorHAnsi" w:hAnsiTheme="minorHAnsi"/>
          <w:lang w:val="sq-AL"/>
        </w:rPr>
        <w:t xml:space="preserve"> </w:t>
      </w:r>
      <w:r w:rsidR="003E568F">
        <w:rPr>
          <w:rFonts w:asciiTheme="minorHAnsi" w:hAnsiTheme="minorHAnsi"/>
          <w:lang w:val="sq-AL"/>
        </w:rPr>
        <w:t>–</w:t>
      </w:r>
      <w:r w:rsidRPr="00222429">
        <w:rPr>
          <w:rFonts w:asciiTheme="minorHAnsi" w:hAnsiTheme="minorHAnsi"/>
          <w:lang w:val="sq-AL"/>
        </w:rPr>
        <w:t xml:space="preserve"> Shpenzimet</w:t>
      </w:r>
      <w:r w:rsidR="003E568F">
        <w:rPr>
          <w:rFonts w:asciiTheme="minorHAnsi" w:hAnsiTheme="minorHAnsi"/>
          <w:lang w:val="sq-AL"/>
        </w:rPr>
        <w:t xml:space="preserve"> </w:t>
      </w:r>
      <w:r w:rsidRPr="00222429">
        <w:rPr>
          <w:rFonts w:asciiTheme="minorHAnsi" w:hAnsiTheme="minorHAnsi"/>
          <w:lang w:val="sq-AL"/>
        </w:rPr>
        <w:t>për interesa gjatë katërmujorit të parë 2017 janë vlerësuar në 9.8 miliard Lek ose 25.8% e parashikimit vjetor të shpenzimeve të interesave për vitin 2017 . Krahasuar me katërmujorin e parë të vitit 2016 shpenzimet për interesa janë ulur me 2.4 miliard Lek (nga 12.2 miliard Lek në prill 2016 në 9.8 miliard Lek në prill 2017). Reduktimi i shpenzimeve për interesa i atribuohet efektit të rënies së normave të interesit në tregun e brendshëm, kryesisht gjatë tre viteve paraardhëse për Obligacionet dhe gjatë vitit 2016 për Bonot e Thesarit.</w:t>
      </w:r>
    </w:p>
    <w:p w:rsidR="00222429" w:rsidRPr="00222429" w:rsidRDefault="00222429" w:rsidP="00222429">
      <w:pPr>
        <w:pStyle w:val="ListParagraph"/>
        <w:tabs>
          <w:tab w:val="left" w:pos="2730"/>
        </w:tabs>
        <w:spacing w:line="276" w:lineRule="auto"/>
        <w:jc w:val="both"/>
        <w:rPr>
          <w:rFonts w:asciiTheme="minorHAnsi" w:hAnsiTheme="minorHAnsi"/>
          <w:sz w:val="8"/>
          <w:szCs w:val="8"/>
          <w:lang w:val="sq-AL"/>
        </w:rPr>
      </w:pPr>
    </w:p>
    <w:p w:rsidR="00913979" w:rsidRDefault="00222429" w:rsidP="00222429">
      <w:pPr>
        <w:tabs>
          <w:tab w:val="left" w:pos="1530"/>
        </w:tabs>
        <w:spacing w:line="276" w:lineRule="auto"/>
        <w:jc w:val="both"/>
        <w:rPr>
          <w:rFonts w:asciiTheme="minorHAnsi" w:hAnsiTheme="minorHAnsi"/>
          <w:lang w:val="sq-AL"/>
        </w:rPr>
      </w:pPr>
      <w:r w:rsidRPr="00444289">
        <w:rPr>
          <w:rFonts w:asciiTheme="minorHAnsi" w:hAnsiTheme="minorHAnsi"/>
          <w:i/>
          <w:lang w:val="sq-AL"/>
        </w:rPr>
        <w:t>Grafiku 3</w:t>
      </w:r>
      <w:r w:rsidR="000B3625">
        <w:rPr>
          <w:rFonts w:asciiTheme="minorHAnsi" w:hAnsiTheme="minorHAnsi"/>
          <w:i/>
          <w:lang w:val="sq-AL"/>
        </w:rPr>
        <w:t>0</w:t>
      </w:r>
      <w:r w:rsidRPr="00444289">
        <w:rPr>
          <w:rFonts w:asciiTheme="minorHAnsi" w:hAnsiTheme="minorHAnsi"/>
          <w:i/>
          <w:lang w:val="sq-AL"/>
        </w:rPr>
        <w:t>:</w:t>
      </w:r>
      <w:r>
        <w:rPr>
          <w:rFonts w:asciiTheme="minorHAnsi" w:hAnsiTheme="minorHAnsi"/>
          <w:i/>
          <w:lang w:val="sq-AL"/>
        </w:rPr>
        <w:tab/>
      </w:r>
      <w:r w:rsidRPr="00222429">
        <w:rPr>
          <w:rFonts w:asciiTheme="minorHAnsi" w:hAnsiTheme="minorHAnsi"/>
          <w:i/>
          <w:lang w:val="sq-AL"/>
        </w:rPr>
        <w:t>Interesa të Borxhit Shtetëror në vlerë absolute dhe relative ndaj PBB</w:t>
      </w:r>
    </w:p>
    <w:p w:rsidR="00913979" w:rsidRDefault="00222429" w:rsidP="00222429">
      <w:pPr>
        <w:tabs>
          <w:tab w:val="left" w:pos="2730"/>
        </w:tabs>
        <w:spacing w:line="276" w:lineRule="auto"/>
        <w:jc w:val="center"/>
        <w:rPr>
          <w:rFonts w:asciiTheme="minorHAnsi" w:hAnsiTheme="minorHAnsi"/>
          <w:lang w:val="sq-AL"/>
        </w:rPr>
      </w:pPr>
      <w:r w:rsidRPr="00021047">
        <w:rPr>
          <w:rFonts w:asciiTheme="minorHAnsi" w:hAnsiTheme="minorHAnsi"/>
          <w:noProof/>
        </w:rPr>
        <w:drawing>
          <wp:inline distT="0" distB="0" distL="0" distR="0" wp14:anchorId="41D0FA2B" wp14:editId="091A1898">
            <wp:extent cx="5731510" cy="2225040"/>
            <wp:effectExtent l="0" t="0" r="254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22429" w:rsidRDefault="00222429" w:rsidP="00222429">
      <w:pPr>
        <w:tabs>
          <w:tab w:val="left" w:pos="360"/>
        </w:tabs>
        <w:spacing w:line="276" w:lineRule="auto"/>
        <w:jc w:val="both"/>
        <w:rPr>
          <w:rFonts w:asciiTheme="minorHAnsi" w:hAnsiTheme="minorHAnsi"/>
          <w:lang w:val="sq-AL"/>
        </w:rPr>
      </w:pPr>
      <w:r>
        <w:rPr>
          <w:rFonts w:asciiTheme="minorHAnsi" w:hAnsiTheme="minorHAnsi"/>
          <w:i/>
          <w:sz w:val="20"/>
          <w:lang w:val="sq-AL"/>
        </w:rPr>
        <w:tab/>
      </w:r>
      <w:r>
        <w:rPr>
          <w:rFonts w:asciiTheme="minorHAnsi" w:hAnsiTheme="minorHAnsi"/>
          <w:i/>
          <w:sz w:val="20"/>
          <w:lang w:val="sq-AL"/>
        </w:rPr>
        <w:tab/>
      </w:r>
      <w:r w:rsidRPr="006C73CF">
        <w:rPr>
          <w:rFonts w:asciiTheme="minorHAnsi" w:hAnsiTheme="minorHAnsi"/>
          <w:i/>
          <w:sz w:val="20"/>
          <w:lang w:val="sq-AL"/>
        </w:rPr>
        <w:t>Burimi: Ministria e Financave (2017)</w:t>
      </w:r>
    </w:p>
    <w:p w:rsidR="00913979" w:rsidRDefault="003E568F" w:rsidP="003E568F">
      <w:pPr>
        <w:pStyle w:val="ListParagraph"/>
        <w:numPr>
          <w:ilvl w:val="0"/>
          <w:numId w:val="31"/>
        </w:numPr>
        <w:tabs>
          <w:tab w:val="left" w:pos="2730"/>
        </w:tabs>
        <w:spacing w:line="276" w:lineRule="auto"/>
        <w:ind w:left="360"/>
        <w:jc w:val="both"/>
        <w:rPr>
          <w:rFonts w:asciiTheme="minorHAnsi" w:hAnsiTheme="minorHAnsi"/>
          <w:lang w:val="sq-AL"/>
        </w:rPr>
      </w:pPr>
      <w:r w:rsidRPr="003E568F">
        <w:rPr>
          <w:rFonts w:asciiTheme="minorHAnsi" w:hAnsiTheme="minorHAnsi"/>
          <w:i/>
          <w:u w:val="single"/>
          <w:lang w:val="sq-AL"/>
        </w:rPr>
        <w:t>Risqet</w:t>
      </w:r>
      <w:r w:rsidRPr="003E568F">
        <w:rPr>
          <w:rFonts w:asciiTheme="minorHAnsi" w:hAnsiTheme="minorHAnsi"/>
          <w:lang w:val="sq-AL"/>
        </w:rPr>
        <w:t xml:space="preserve"> – Reduktimi i riskut të rifinancimit dhe riskut të normave të interesit në tregun e brendshëm është ndër objektivat parësore në menaxhimin e portofolit të borxhit. Kërkesa e kënaqshme e tregut për titujt afatgjatë dhe me norma interesi fikse shoqëruar me mirëmenaxhim të emetimit të titujve ka bërë që katërmujori i vitit 2017 të shoqerohet me progres në drejtim të uljes së ekspozimit ndaj risqeve. Risku i rifinancimit është përmirësuar, pasi në harkun kohor të katër muajve jetëgjatësia e borxhit të brendshëm është rritur me 35 ditë, ndërkohë që edhe pesha e titujve që maturohen brenda një viti në raport me totalin e borxhit të brendshëm është ulur nga 53.4% në fund të vitit 2016 në 51.6% në prill 2017. Arsyeja kryesore në përmirësimin e riskut të rifinancimit ka qenë vazhdimi i uljes së peshës së titujve afatshkurtër në portofol. Risku i normave të interesit gjithashtu është përmirësuar, pasi pesha e instrumenteve që rivlerësojnë normën e interesit në harkun kohor të një viti është ulur nga 62.6% në dhjetor 2016 në 59.9% në prill 2017. Në këtë drejtim, ndikim ka pasur reduktimi i peshës së titujve afatshkurtër dhe atyre me norma interesi variabël në portofolin e borxhit të brendshëm, përkatësisht me 1.69 pp dhe 2.22 pp. Ulja e ekspozimit ndaj këtij risku ka ulur ndjeshmërinë e borxhit nga goditjet e normave të interesit, duke reduktuar burimet që Qeveria duhet të angazhojë në raste të tilla.</w:t>
      </w:r>
    </w:p>
    <w:p w:rsidR="002A11B7" w:rsidRPr="002A11B7" w:rsidRDefault="002A11B7" w:rsidP="00D765F0">
      <w:pPr>
        <w:spacing w:line="276" w:lineRule="auto"/>
        <w:jc w:val="both"/>
        <w:rPr>
          <w:rFonts w:asciiTheme="minorHAnsi" w:hAnsiTheme="minorHAnsi"/>
          <w:b/>
          <w:sz w:val="16"/>
        </w:rPr>
      </w:pPr>
    </w:p>
    <w:p w:rsidR="00D765F0" w:rsidRPr="00D765F0" w:rsidRDefault="00D765F0" w:rsidP="00D765F0">
      <w:pPr>
        <w:spacing w:line="276" w:lineRule="auto"/>
        <w:jc w:val="both"/>
        <w:rPr>
          <w:rFonts w:asciiTheme="minorHAnsi" w:hAnsiTheme="minorHAnsi"/>
          <w:b/>
        </w:rPr>
      </w:pPr>
      <w:r w:rsidRPr="00D765F0">
        <w:rPr>
          <w:rFonts w:asciiTheme="minorHAnsi" w:hAnsiTheme="minorHAnsi"/>
          <w:b/>
        </w:rPr>
        <w:t>Zhvillimet e Tregut Primar të Titujve Shtetërorë</w:t>
      </w:r>
    </w:p>
    <w:p w:rsidR="00D765F0" w:rsidRPr="00D765F0" w:rsidRDefault="00D765F0" w:rsidP="00D765F0">
      <w:pPr>
        <w:tabs>
          <w:tab w:val="left" w:pos="2730"/>
        </w:tabs>
        <w:spacing w:line="276" w:lineRule="auto"/>
        <w:jc w:val="both"/>
        <w:rPr>
          <w:rFonts w:asciiTheme="minorHAnsi" w:hAnsiTheme="minorHAnsi"/>
          <w:lang w:val="sq-AL"/>
        </w:rPr>
      </w:pPr>
      <w:r w:rsidRPr="00D765F0">
        <w:rPr>
          <w:rFonts w:asciiTheme="minorHAnsi" w:hAnsiTheme="minorHAnsi"/>
          <w:lang w:val="sq-AL"/>
        </w:rPr>
        <w:t xml:space="preserve">Tregu primar i titujve shtetërorë gjatë katërmujorit të parë të vitit 2017 përgjithësisht është karakterizuar nga zhvillime pozitive, ndër të cilat mund të përmenden: i) kërkesa e tregut për tituj shtetërorë në nivele të kënaqshme, e cila ka arritur të mbulojë nevojat e Qeverisë për huamarrje; ii) rritja e kërkesës në drejtim të kategorisë së Institucioneve Financiare dhe; iii) rënia e normave të interesit krahasuar me ato të fundit të vitit 2016. </w:t>
      </w:r>
    </w:p>
    <w:p w:rsidR="00D765F0" w:rsidRDefault="00D765F0" w:rsidP="00D765F0">
      <w:pPr>
        <w:tabs>
          <w:tab w:val="left" w:pos="2730"/>
        </w:tabs>
        <w:spacing w:line="276" w:lineRule="auto"/>
        <w:jc w:val="both"/>
        <w:rPr>
          <w:rFonts w:asciiTheme="minorHAnsi" w:hAnsiTheme="minorHAnsi"/>
          <w:lang w:val="sq-AL"/>
        </w:rPr>
      </w:pPr>
      <w:r w:rsidRPr="00D765F0">
        <w:rPr>
          <w:rFonts w:asciiTheme="minorHAnsi" w:hAnsiTheme="minorHAnsi"/>
          <w:lang w:val="sq-AL"/>
        </w:rPr>
        <w:t>Në katërmujorin e parë 2017 kërkesa për tituj shtetërorë ka rezultuar në 200.6 miliard Lek, nga të cilat 129.7 miliard Lek i përkasin Bonove të Thesarit dhe 70.9 miliard Lek Obligacioneve. Kërkesa gjatë katërmujorit të parë ka qenë relativisht më e lartë se oferta e Qeverisë për tituj shtetërorë duke rezultuar në një raport mbulimi prej 1.43. Gjithsej gjatë katërmujorit të parë janë realizuar 23 ankande, nga të cilat vetëm në katër ankande nuk është plotësuar oferta e Qeverisë.</w:t>
      </w:r>
    </w:p>
    <w:p w:rsidR="00D765F0" w:rsidRPr="00D765F0" w:rsidRDefault="00D765F0" w:rsidP="00D765F0">
      <w:pPr>
        <w:tabs>
          <w:tab w:val="left" w:pos="1530"/>
        </w:tabs>
        <w:spacing w:line="276" w:lineRule="auto"/>
        <w:jc w:val="both"/>
        <w:rPr>
          <w:rFonts w:asciiTheme="minorHAnsi" w:hAnsiTheme="minorHAnsi"/>
          <w:i/>
          <w:sz w:val="8"/>
          <w:szCs w:val="8"/>
          <w:lang w:val="sq-AL"/>
        </w:rPr>
      </w:pPr>
    </w:p>
    <w:p w:rsidR="00D765F0" w:rsidRDefault="00D765F0" w:rsidP="00D765F0">
      <w:pPr>
        <w:tabs>
          <w:tab w:val="left" w:pos="1530"/>
        </w:tabs>
        <w:spacing w:line="276" w:lineRule="auto"/>
        <w:jc w:val="both"/>
        <w:rPr>
          <w:rFonts w:asciiTheme="minorHAnsi" w:hAnsiTheme="minorHAnsi"/>
          <w:lang w:val="sq-AL"/>
        </w:rPr>
      </w:pPr>
      <w:r w:rsidRPr="00444289">
        <w:rPr>
          <w:rFonts w:asciiTheme="minorHAnsi" w:hAnsiTheme="minorHAnsi"/>
          <w:i/>
          <w:lang w:val="sq-AL"/>
        </w:rPr>
        <w:t>Grafiku 3</w:t>
      </w:r>
      <w:r w:rsidR="000B3625">
        <w:rPr>
          <w:rFonts w:asciiTheme="minorHAnsi" w:hAnsiTheme="minorHAnsi"/>
          <w:i/>
          <w:lang w:val="sq-AL"/>
        </w:rPr>
        <w:t>1</w:t>
      </w:r>
      <w:r w:rsidRPr="00444289">
        <w:rPr>
          <w:rFonts w:asciiTheme="minorHAnsi" w:hAnsiTheme="minorHAnsi"/>
          <w:i/>
          <w:lang w:val="sq-AL"/>
        </w:rPr>
        <w:t>:</w:t>
      </w:r>
      <w:r>
        <w:rPr>
          <w:rFonts w:asciiTheme="minorHAnsi" w:hAnsiTheme="minorHAnsi"/>
          <w:i/>
          <w:lang w:val="sq-AL"/>
        </w:rPr>
        <w:tab/>
      </w:r>
      <w:r w:rsidRPr="00D765F0">
        <w:rPr>
          <w:rFonts w:asciiTheme="minorHAnsi" w:hAnsiTheme="minorHAnsi"/>
          <w:i/>
          <w:lang w:val="sq-AL"/>
        </w:rPr>
        <w:t>Kërkesa për tituj shtetërorë në tregun e brendshëm</w:t>
      </w:r>
    </w:p>
    <w:p w:rsidR="00913979" w:rsidRDefault="00D765F0" w:rsidP="00D765F0">
      <w:pPr>
        <w:tabs>
          <w:tab w:val="left" w:pos="2730"/>
        </w:tabs>
        <w:spacing w:line="276" w:lineRule="auto"/>
        <w:jc w:val="center"/>
        <w:rPr>
          <w:rFonts w:asciiTheme="minorHAnsi" w:hAnsiTheme="minorHAnsi"/>
          <w:lang w:val="sq-AL"/>
        </w:rPr>
      </w:pPr>
      <w:r w:rsidRPr="00021047">
        <w:rPr>
          <w:rFonts w:asciiTheme="minorHAnsi" w:hAnsiTheme="minorHAnsi"/>
          <w:noProof/>
        </w:rPr>
        <w:drawing>
          <wp:inline distT="0" distB="0" distL="0" distR="0" wp14:anchorId="492E31F2" wp14:editId="0C3EE9A2">
            <wp:extent cx="5814060" cy="252222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B7741" w:rsidRDefault="00CB7741" w:rsidP="00CB7741">
      <w:pPr>
        <w:tabs>
          <w:tab w:val="left" w:pos="360"/>
        </w:tabs>
        <w:spacing w:line="276" w:lineRule="auto"/>
        <w:jc w:val="both"/>
        <w:rPr>
          <w:rFonts w:asciiTheme="minorHAnsi" w:hAnsiTheme="minorHAnsi"/>
          <w:lang w:val="sq-AL"/>
        </w:rPr>
      </w:pPr>
      <w:r>
        <w:rPr>
          <w:rFonts w:asciiTheme="minorHAnsi" w:hAnsiTheme="minorHAnsi"/>
          <w:i/>
          <w:sz w:val="20"/>
          <w:lang w:val="sq-AL"/>
        </w:rPr>
        <w:tab/>
      </w:r>
      <w:r>
        <w:rPr>
          <w:rFonts w:asciiTheme="minorHAnsi" w:hAnsiTheme="minorHAnsi"/>
          <w:i/>
          <w:sz w:val="20"/>
          <w:lang w:val="sq-AL"/>
        </w:rPr>
        <w:tab/>
      </w:r>
      <w:r w:rsidRPr="006C73CF">
        <w:rPr>
          <w:rFonts w:asciiTheme="minorHAnsi" w:hAnsiTheme="minorHAnsi"/>
          <w:i/>
          <w:sz w:val="20"/>
          <w:lang w:val="sq-AL"/>
        </w:rPr>
        <w:t>Burimi: Ministria e Financave (2017)</w:t>
      </w:r>
    </w:p>
    <w:p w:rsidR="00CB7741" w:rsidRPr="00021047" w:rsidRDefault="00CB7741" w:rsidP="00CB7741">
      <w:pPr>
        <w:tabs>
          <w:tab w:val="left" w:pos="1182"/>
        </w:tabs>
        <w:spacing w:line="276" w:lineRule="auto"/>
        <w:jc w:val="both"/>
        <w:rPr>
          <w:rFonts w:asciiTheme="minorHAnsi" w:hAnsiTheme="minorHAnsi"/>
        </w:rPr>
      </w:pPr>
      <w:r w:rsidRPr="00021047">
        <w:rPr>
          <w:rFonts w:asciiTheme="minorHAnsi" w:hAnsiTheme="minorHAnsi"/>
        </w:rPr>
        <w:t xml:space="preserve">Gjatë katërmujorit 2017, normat e interesit, kanë shfaqur tendencë rënëse krahasuar me fundin e vitit 2016, në shumicën e kategorive të instrumentave. Rënia e normave reflektohet edhe në uljen e kostos mesatare të portofolit të borxhit të brendshëm. </w:t>
      </w:r>
    </w:p>
    <w:p w:rsidR="00CB7741" w:rsidRPr="00CB7741" w:rsidRDefault="00CB7741" w:rsidP="00CB7741">
      <w:pPr>
        <w:tabs>
          <w:tab w:val="left" w:pos="1530"/>
        </w:tabs>
        <w:spacing w:line="276" w:lineRule="auto"/>
        <w:jc w:val="both"/>
        <w:rPr>
          <w:rFonts w:asciiTheme="minorHAnsi" w:hAnsiTheme="minorHAnsi"/>
          <w:i/>
          <w:sz w:val="8"/>
          <w:szCs w:val="8"/>
          <w:lang w:val="sq-AL"/>
        </w:rPr>
      </w:pPr>
    </w:p>
    <w:p w:rsidR="00CB7741" w:rsidRPr="00CB7741" w:rsidRDefault="00CB7741" w:rsidP="00CB7741">
      <w:pPr>
        <w:tabs>
          <w:tab w:val="left" w:pos="1530"/>
        </w:tabs>
        <w:spacing w:line="276" w:lineRule="auto"/>
        <w:rPr>
          <w:rFonts w:asciiTheme="minorHAnsi" w:hAnsiTheme="minorHAnsi"/>
          <w:szCs w:val="20"/>
        </w:rPr>
      </w:pPr>
      <w:r w:rsidRPr="00444289">
        <w:rPr>
          <w:rFonts w:asciiTheme="minorHAnsi" w:hAnsiTheme="minorHAnsi"/>
          <w:i/>
          <w:lang w:val="sq-AL"/>
        </w:rPr>
        <w:t>Grafiku 3</w:t>
      </w:r>
      <w:r w:rsidR="000B3625">
        <w:rPr>
          <w:rFonts w:asciiTheme="minorHAnsi" w:hAnsiTheme="minorHAnsi"/>
          <w:i/>
          <w:lang w:val="sq-AL"/>
        </w:rPr>
        <w:t>2</w:t>
      </w:r>
      <w:r w:rsidRPr="00444289">
        <w:rPr>
          <w:rFonts w:asciiTheme="minorHAnsi" w:hAnsiTheme="minorHAnsi"/>
          <w:i/>
          <w:lang w:val="sq-AL"/>
        </w:rPr>
        <w:t>:</w:t>
      </w:r>
      <w:r>
        <w:rPr>
          <w:rFonts w:asciiTheme="minorHAnsi" w:hAnsiTheme="minorHAnsi"/>
          <w:i/>
          <w:lang w:val="sq-AL"/>
        </w:rPr>
        <w:tab/>
      </w:r>
      <w:r w:rsidRPr="00CB7741">
        <w:rPr>
          <w:rFonts w:asciiTheme="minorHAnsi" w:hAnsiTheme="minorHAnsi"/>
          <w:i/>
          <w:szCs w:val="20"/>
        </w:rPr>
        <w:t>Ecuria e Normave të Interesit në emetim (Dhjetor 2016-Prill 2017)</w:t>
      </w:r>
    </w:p>
    <w:p w:rsidR="00CB7741" w:rsidRDefault="00CB7741" w:rsidP="00CB7741">
      <w:pPr>
        <w:tabs>
          <w:tab w:val="left" w:pos="1530"/>
        </w:tabs>
        <w:spacing w:line="276" w:lineRule="auto"/>
        <w:jc w:val="center"/>
        <w:rPr>
          <w:rFonts w:asciiTheme="minorHAnsi" w:hAnsiTheme="minorHAnsi"/>
          <w:lang w:val="sq-AL"/>
        </w:rPr>
      </w:pPr>
      <w:r w:rsidRPr="00021047">
        <w:rPr>
          <w:rFonts w:asciiTheme="minorHAnsi" w:hAnsiTheme="minorHAnsi"/>
          <w:noProof/>
        </w:rPr>
        <w:drawing>
          <wp:inline distT="0" distB="0" distL="0" distR="0" wp14:anchorId="6495A1B9" wp14:editId="5B6A270C">
            <wp:extent cx="5844540" cy="2065020"/>
            <wp:effectExtent l="0" t="0" r="381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B7741" w:rsidRDefault="00CB7741" w:rsidP="00CB7741">
      <w:pPr>
        <w:tabs>
          <w:tab w:val="left" w:pos="360"/>
        </w:tabs>
        <w:spacing w:line="276" w:lineRule="auto"/>
        <w:jc w:val="both"/>
        <w:rPr>
          <w:rFonts w:asciiTheme="minorHAnsi" w:hAnsiTheme="minorHAnsi"/>
          <w:lang w:val="sq-AL"/>
        </w:rPr>
      </w:pPr>
      <w:r>
        <w:rPr>
          <w:rFonts w:asciiTheme="minorHAnsi" w:hAnsiTheme="minorHAnsi"/>
          <w:i/>
          <w:sz w:val="20"/>
          <w:lang w:val="sq-AL"/>
        </w:rPr>
        <w:tab/>
      </w:r>
      <w:r>
        <w:rPr>
          <w:rFonts w:asciiTheme="minorHAnsi" w:hAnsiTheme="minorHAnsi"/>
          <w:i/>
          <w:sz w:val="20"/>
          <w:lang w:val="sq-AL"/>
        </w:rPr>
        <w:tab/>
      </w:r>
      <w:r w:rsidRPr="006C73CF">
        <w:rPr>
          <w:rFonts w:asciiTheme="minorHAnsi" w:hAnsiTheme="minorHAnsi"/>
          <w:i/>
          <w:sz w:val="20"/>
          <w:lang w:val="sq-AL"/>
        </w:rPr>
        <w:t>Burimi: Ministria e Financave (2017)</w:t>
      </w:r>
    </w:p>
    <w:p w:rsidR="002A11B7" w:rsidRPr="002A11B7" w:rsidRDefault="002A11B7" w:rsidP="002A11B7">
      <w:pPr>
        <w:tabs>
          <w:tab w:val="left" w:pos="360"/>
        </w:tabs>
        <w:spacing w:line="276" w:lineRule="auto"/>
        <w:jc w:val="both"/>
        <w:rPr>
          <w:rFonts w:asciiTheme="minorHAnsi" w:hAnsiTheme="minorHAnsi"/>
          <w:i/>
          <w:sz w:val="20"/>
          <w:lang w:val="sq-AL"/>
        </w:rPr>
      </w:pPr>
    </w:p>
    <w:p w:rsidR="00CB7741" w:rsidRPr="00CB7741" w:rsidRDefault="00765663" w:rsidP="00CB7741">
      <w:pPr>
        <w:pStyle w:val="Heading2"/>
        <w:spacing w:line="276" w:lineRule="auto"/>
        <w:ind w:left="720" w:hanging="720"/>
        <w:rPr>
          <w:rFonts w:asciiTheme="minorHAnsi" w:hAnsiTheme="minorHAnsi"/>
          <w:noProof/>
          <w:color w:val="4F81BD" w:themeColor="accent1"/>
          <w:sz w:val="28"/>
          <w:szCs w:val="24"/>
          <w:lang w:val="sq-AL"/>
        </w:rPr>
      </w:pPr>
      <w:bookmarkStart w:id="17" w:name="_Toc486582887"/>
      <w:r>
        <w:rPr>
          <w:rFonts w:asciiTheme="minorHAnsi" w:hAnsiTheme="minorHAnsi"/>
          <w:noProof/>
          <w:color w:val="4F81BD" w:themeColor="accent1"/>
          <w:sz w:val="28"/>
          <w:szCs w:val="24"/>
          <w:lang w:val="sq-AL"/>
        </w:rPr>
        <w:t>I</w:t>
      </w:r>
      <w:r w:rsidR="00CB7741" w:rsidRPr="00444289">
        <w:rPr>
          <w:rFonts w:asciiTheme="minorHAnsi" w:hAnsiTheme="minorHAnsi"/>
          <w:noProof/>
          <w:color w:val="4F81BD" w:themeColor="accent1"/>
          <w:sz w:val="28"/>
          <w:szCs w:val="24"/>
          <w:lang w:val="sq-AL"/>
        </w:rPr>
        <w:t>V.</w:t>
      </w:r>
      <w:r w:rsidR="00CB7741">
        <w:rPr>
          <w:rFonts w:asciiTheme="minorHAnsi" w:hAnsiTheme="minorHAnsi"/>
          <w:noProof/>
          <w:color w:val="4F81BD" w:themeColor="accent1"/>
          <w:sz w:val="28"/>
          <w:szCs w:val="24"/>
          <w:lang w:val="sq-AL"/>
        </w:rPr>
        <w:t>3</w:t>
      </w:r>
      <w:r w:rsidR="00CB7741" w:rsidRPr="00444289">
        <w:rPr>
          <w:rFonts w:asciiTheme="minorHAnsi" w:hAnsiTheme="minorHAnsi"/>
          <w:noProof/>
          <w:color w:val="4F81BD" w:themeColor="accent1"/>
          <w:sz w:val="28"/>
          <w:szCs w:val="24"/>
          <w:lang w:val="sq-AL"/>
        </w:rPr>
        <w:tab/>
      </w:r>
      <w:r w:rsidR="00CB7741" w:rsidRPr="00CB7741">
        <w:rPr>
          <w:rFonts w:asciiTheme="minorHAnsi" w:hAnsiTheme="minorHAnsi"/>
          <w:noProof/>
          <w:color w:val="4F81BD" w:themeColor="accent1"/>
          <w:sz w:val="28"/>
          <w:szCs w:val="24"/>
          <w:lang w:val="sq-AL"/>
        </w:rPr>
        <w:t xml:space="preserve">Pritshmëritë </w:t>
      </w:r>
      <w:r w:rsidR="0085454B">
        <w:rPr>
          <w:rFonts w:asciiTheme="minorHAnsi" w:hAnsiTheme="minorHAnsi"/>
          <w:noProof/>
          <w:color w:val="4F81BD" w:themeColor="accent1"/>
          <w:sz w:val="28"/>
          <w:szCs w:val="24"/>
          <w:lang w:val="sq-AL"/>
        </w:rPr>
        <w:t xml:space="preserve">e Borxhit </w:t>
      </w:r>
      <w:r w:rsidR="00CB7741" w:rsidRPr="00CB7741">
        <w:rPr>
          <w:rFonts w:asciiTheme="minorHAnsi" w:hAnsiTheme="minorHAnsi"/>
          <w:noProof/>
          <w:color w:val="4F81BD" w:themeColor="accent1"/>
          <w:sz w:val="28"/>
          <w:szCs w:val="24"/>
          <w:lang w:val="sq-AL"/>
        </w:rPr>
        <w:t>për vitin 2017</w:t>
      </w:r>
      <w:bookmarkEnd w:id="17"/>
    </w:p>
    <w:p w:rsidR="00D51581" w:rsidRDefault="00CB7741" w:rsidP="00CB7741">
      <w:pPr>
        <w:tabs>
          <w:tab w:val="left" w:pos="2730"/>
        </w:tabs>
        <w:spacing w:line="276" w:lineRule="auto"/>
        <w:jc w:val="both"/>
        <w:rPr>
          <w:rFonts w:asciiTheme="minorHAnsi" w:hAnsiTheme="minorHAnsi"/>
          <w:lang w:val="sq-AL"/>
        </w:rPr>
      </w:pPr>
      <w:r w:rsidRPr="00CB7741">
        <w:rPr>
          <w:rFonts w:asciiTheme="minorHAnsi" w:hAnsiTheme="minorHAnsi"/>
          <w:lang w:val="sq-AL"/>
        </w:rPr>
        <w:t xml:space="preserve">Gjatë pjesës së mbetur të vitit 2017 menaxhimi i borxhit do të ketë në fokus reduktimin e mëtejshëm të ekspozimit ndaj risqeve të portofolit të borxhit (kryesisht portofolit të borxhit të brendshëm), si edhe ruajtjen e raporteve të qëndrueshme ndërmjet kostos dhe riskut. </w:t>
      </w:r>
    </w:p>
    <w:p w:rsidR="00CB7741" w:rsidRPr="00CB7741" w:rsidRDefault="00CB7741" w:rsidP="00CB7741">
      <w:pPr>
        <w:tabs>
          <w:tab w:val="left" w:pos="2730"/>
        </w:tabs>
        <w:spacing w:line="276" w:lineRule="auto"/>
        <w:jc w:val="both"/>
        <w:rPr>
          <w:rFonts w:asciiTheme="minorHAnsi" w:hAnsiTheme="minorHAnsi"/>
          <w:lang w:val="sq-AL"/>
        </w:rPr>
      </w:pPr>
      <w:r w:rsidRPr="00CB7741">
        <w:rPr>
          <w:rFonts w:asciiTheme="minorHAnsi" w:hAnsiTheme="minorHAnsi"/>
          <w:lang w:val="sq-AL"/>
        </w:rPr>
        <w:t>Ndërkohë, do të vazhdojnë të ndërmer</w:t>
      </w:r>
      <w:r w:rsidR="00C15E4A">
        <w:rPr>
          <w:rFonts w:asciiTheme="minorHAnsi" w:hAnsiTheme="minorHAnsi"/>
          <w:lang w:val="sq-AL"/>
        </w:rPr>
        <w:t>r</w:t>
      </w:r>
      <w:r w:rsidRPr="00CB7741">
        <w:rPr>
          <w:rFonts w:asciiTheme="minorHAnsi" w:hAnsiTheme="minorHAnsi"/>
          <w:lang w:val="sq-AL"/>
        </w:rPr>
        <w:t>en aktivitete të cilat do të synojnë zhvillimin e mëtejshëm të tregut primar dhe nxitjen e aktivitetit të tregut sekondar për titujt shtetërorë.</w:t>
      </w:r>
    </w:p>
    <w:p w:rsidR="00CB7741" w:rsidRPr="00CB7741" w:rsidRDefault="00CB7741" w:rsidP="00CB7741">
      <w:pPr>
        <w:tabs>
          <w:tab w:val="left" w:pos="2730"/>
        </w:tabs>
        <w:spacing w:line="276" w:lineRule="auto"/>
        <w:jc w:val="both"/>
        <w:rPr>
          <w:rFonts w:asciiTheme="minorHAnsi" w:hAnsiTheme="minorHAnsi"/>
          <w:lang w:val="sq-AL"/>
        </w:rPr>
      </w:pPr>
      <w:r w:rsidRPr="00CB7741">
        <w:rPr>
          <w:rFonts w:asciiTheme="minorHAnsi" w:hAnsiTheme="minorHAnsi"/>
          <w:lang w:val="sq-AL"/>
        </w:rPr>
        <w:t>Huamarrja e brendshme do të vazhdojë të bazohet kryesisht në instrumentet afatgjata me norma interesi fikse, duke shfrytëzuar avantazhin e normave të interesit në nivele ende të ulta. Ndërkohë, huamarrja e huaj do të mbështetet në disbursimin e kredive për financimin e projekteve si edhe kredive zhvillimore me terma të buta. Këto të fundit përveç të tjerash do të kontribuojnë në uljen e presionit për huamarrje në tregun e brendshëm, si edhe në  sigurimin e valutës për shlyerjen e ripagesave, të cilat gjatë vitit 2017 vlerësohen me rreth 7 miliard Lek rritje krahasuar me 2016.</w:t>
      </w:r>
    </w:p>
    <w:p w:rsidR="00CB7741" w:rsidRPr="00CB7741" w:rsidRDefault="00CB7741" w:rsidP="00CB7741">
      <w:pPr>
        <w:tabs>
          <w:tab w:val="left" w:pos="2730"/>
        </w:tabs>
        <w:spacing w:line="276" w:lineRule="auto"/>
        <w:jc w:val="both"/>
        <w:rPr>
          <w:rFonts w:asciiTheme="minorHAnsi" w:hAnsiTheme="minorHAnsi"/>
          <w:lang w:val="sq-AL"/>
        </w:rPr>
      </w:pPr>
      <w:r w:rsidRPr="00CB7741">
        <w:rPr>
          <w:rFonts w:asciiTheme="minorHAnsi" w:hAnsiTheme="minorHAnsi"/>
          <w:lang w:val="sq-AL"/>
        </w:rPr>
        <w:t>Shërbimi i borxhit të brendshëm për pjesën e mbetur të vitit parashikohet me rënie krahasuar me parashikimet e plan buxhetit 2017, duke qenë se normat e interesit kanë vijuar të mbeten në nivele të ulta. Kursimi nga shërbimi i borxhit të brendshëm parashikohet rreth 1.5 miliardë. Ndërkohë, interesat e borxhit të huaj pritet të jenë në nivele të krahasueshme me ato të planifikuar në buxhetin e vitit 2017.</w:t>
      </w:r>
    </w:p>
    <w:p w:rsidR="00D85320" w:rsidRDefault="00CB7741" w:rsidP="00CB7741">
      <w:pPr>
        <w:tabs>
          <w:tab w:val="left" w:pos="2730"/>
        </w:tabs>
        <w:spacing w:line="276" w:lineRule="auto"/>
        <w:jc w:val="both"/>
        <w:rPr>
          <w:rFonts w:asciiTheme="minorHAnsi" w:hAnsiTheme="minorHAnsi"/>
          <w:lang w:val="sq-AL"/>
        </w:rPr>
      </w:pPr>
      <w:r w:rsidRPr="00CB7741">
        <w:rPr>
          <w:rFonts w:asciiTheme="minorHAnsi" w:hAnsiTheme="minorHAnsi"/>
          <w:lang w:val="sq-AL"/>
        </w:rPr>
        <w:t>Normat e interesit të borxhit të bren</w:t>
      </w:r>
      <w:r w:rsidR="0085454B">
        <w:rPr>
          <w:rFonts w:asciiTheme="minorHAnsi" w:hAnsiTheme="minorHAnsi"/>
          <w:lang w:val="sq-AL"/>
        </w:rPr>
        <w:t>d</w:t>
      </w:r>
      <w:r w:rsidRPr="00CB7741">
        <w:rPr>
          <w:rFonts w:asciiTheme="minorHAnsi" w:hAnsiTheme="minorHAnsi"/>
          <w:lang w:val="sq-AL"/>
        </w:rPr>
        <w:t>shëm</w:t>
      </w:r>
      <w:r w:rsidR="0085454B">
        <w:rPr>
          <w:rFonts w:asciiTheme="minorHAnsi" w:hAnsiTheme="minorHAnsi"/>
          <w:lang w:val="sq-AL"/>
        </w:rPr>
        <w:t>,</w:t>
      </w:r>
      <w:r w:rsidRPr="00CB7741">
        <w:rPr>
          <w:rFonts w:asciiTheme="minorHAnsi" w:hAnsiTheme="minorHAnsi"/>
          <w:lang w:val="sq-AL"/>
        </w:rPr>
        <w:t xml:space="preserve"> gjatë pjesës së mbetur të vitit</w:t>
      </w:r>
      <w:r w:rsidR="0085454B">
        <w:rPr>
          <w:rFonts w:asciiTheme="minorHAnsi" w:hAnsiTheme="minorHAnsi"/>
          <w:lang w:val="sq-AL"/>
        </w:rPr>
        <w:t>,</w:t>
      </w:r>
      <w:r w:rsidRPr="00CB7741">
        <w:rPr>
          <w:rFonts w:asciiTheme="minorHAnsi" w:hAnsiTheme="minorHAnsi"/>
          <w:lang w:val="sq-AL"/>
        </w:rPr>
        <w:t xml:space="preserve"> pritet të qendrojnë në nivele të krahasueshme me ato të vitit të kaluar.</w:t>
      </w:r>
    </w:p>
    <w:p w:rsidR="00C15E4A" w:rsidRDefault="00C15E4A" w:rsidP="00CB7741">
      <w:pPr>
        <w:tabs>
          <w:tab w:val="left" w:pos="2730"/>
        </w:tabs>
        <w:spacing w:line="276" w:lineRule="auto"/>
        <w:jc w:val="both"/>
        <w:rPr>
          <w:rFonts w:asciiTheme="minorHAnsi" w:hAnsiTheme="minorHAnsi"/>
          <w:lang w:val="sq-AL"/>
        </w:rPr>
      </w:pPr>
    </w:p>
    <w:p w:rsidR="00C15E4A" w:rsidRDefault="00C15E4A" w:rsidP="00CB7741">
      <w:pPr>
        <w:tabs>
          <w:tab w:val="left" w:pos="2730"/>
        </w:tabs>
        <w:spacing w:line="276" w:lineRule="auto"/>
        <w:jc w:val="both"/>
        <w:rPr>
          <w:rFonts w:asciiTheme="minorHAnsi" w:hAnsiTheme="minorHAnsi"/>
          <w:lang w:val="sq-AL"/>
        </w:rPr>
      </w:pPr>
    </w:p>
    <w:p w:rsidR="00CB7741" w:rsidRDefault="00CB7741" w:rsidP="00A40986">
      <w:pPr>
        <w:tabs>
          <w:tab w:val="left" w:pos="2730"/>
        </w:tabs>
        <w:spacing w:line="276" w:lineRule="auto"/>
        <w:jc w:val="both"/>
        <w:rPr>
          <w:rFonts w:asciiTheme="minorHAnsi" w:hAnsiTheme="minorHAnsi"/>
          <w:lang w:val="sq-AL"/>
        </w:rPr>
      </w:pPr>
    </w:p>
    <w:p w:rsidR="00880BDE" w:rsidRPr="00330EE7" w:rsidRDefault="00765663" w:rsidP="00A40986">
      <w:pPr>
        <w:pStyle w:val="Heading1"/>
        <w:numPr>
          <w:ilvl w:val="0"/>
          <w:numId w:val="7"/>
        </w:numPr>
        <w:spacing w:before="0" w:line="276" w:lineRule="auto"/>
        <w:ind w:left="720"/>
        <w:jc w:val="both"/>
        <w:rPr>
          <w:rFonts w:asciiTheme="minorHAnsi" w:hAnsiTheme="minorHAnsi"/>
          <w:noProof/>
          <w:color w:val="365F91" w:themeColor="accent1" w:themeShade="BF"/>
          <w:sz w:val="32"/>
          <w:szCs w:val="24"/>
          <w:lang w:val="sq-AL"/>
        </w:rPr>
      </w:pPr>
      <w:bookmarkStart w:id="18" w:name="_Toc486582888"/>
      <w:r w:rsidRPr="00330EE7">
        <w:rPr>
          <w:rFonts w:asciiTheme="minorHAnsi" w:hAnsiTheme="minorHAnsi"/>
          <w:noProof/>
          <w:color w:val="365F91" w:themeColor="accent1" w:themeShade="BF"/>
          <w:sz w:val="32"/>
          <w:szCs w:val="24"/>
          <w:lang w:val="sq-AL"/>
        </w:rPr>
        <w:t>KONKLUZIONE DHE PROPOZIME</w:t>
      </w:r>
      <w:bookmarkEnd w:id="18"/>
    </w:p>
    <w:p w:rsidR="002A11B7" w:rsidRDefault="00C15E4A" w:rsidP="00C15E4A">
      <w:pPr>
        <w:spacing w:line="276" w:lineRule="auto"/>
        <w:jc w:val="both"/>
        <w:rPr>
          <w:rFonts w:asciiTheme="minorHAnsi" w:hAnsiTheme="minorHAnsi"/>
          <w:lang w:val="sq-AL"/>
        </w:rPr>
      </w:pPr>
      <w:r w:rsidRPr="00C026B3">
        <w:rPr>
          <w:rFonts w:asciiTheme="minorHAnsi" w:hAnsiTheme="minorHAnsi"/>
          <w:lang w:val="sq-AL"/>
        </w:rPr>
        <w:t xml:space="preserve">Parashikimi i rritjes ekonomike </w:t>
      </w:r>
      <w:r>
        <w:rPr>
          <w:rFonts w:asciiTheme="minorHAnsi" w:hAnsiTheme="minorHAnsi"/>
          <w:lang w:val="sq-AL"/>
        </w:rPr>
        <w:t>deri n</w:t>
      </w:r>
      <w:r w:rsidR="007117C6">
        <w:rPr>
          <w:rFonts w:asciiTheme="minorHAnsi" w:hAnsiTheme="minorHAnsi"/>
          <w:lang w:val="sq-AL"/>
        </w:rPr>
        <w:t>ë</w:t>
      </w:r>
      <w:r>
        <w:rPr>
          <w:rFonts w:asciiTheme="minorHAnsi" w:hAnsiTheme="minorHAnsi"/>
          <w:lang w:val="sq-AL"/>
        </w:rPr>
        <w:t xml:space="preserve"> fund t</w:t>
      </w:r>
      <w:r w:rsidRPr="00C026B3">
        <w:rPr>
          <w:rFonts w:asciiTheme="minorHAnsi" w:hAnsiTheme="minorHAnsi"/>
          <w:lang w:val="sq-AL"/>
        </w:rPr>
        <w:t>ë viti</w:t>
      </w:r>
      <w:r>
        <w:rPr>
          <w:rFonts w:asciiTheme="minorHAnsi" w:hAnsiTheme="minorHAnsi"/>
          <w:lang w:val="sq-AL"/>
        </w:rPr>
        <w:t>t</w:t>
      </w:r>
      <w:r w:rsidRPr="00C026B3">
        <w:rPr>
          <w:rFonts w:asciiTheme="minorHAnsi" w:hAnsiTheme="minorHAnsi"/>
          <w:lang w:val="sq-AL"/>
        </w:rPr>
        <w:t xml:space="preserve"> 2017 mbetet i njëjtë me atë fillestar prej  3.8 përqind nga 3.46 përqind që shënonte në 2016. Perspektiva ekonomike pritet të vijojë përmirësimin në periudhën afatmesme.</w:t>
      </w:r>
    </w:p>
    <w:p w:rsidR="00C15E4A" w:rsidRDefault="007117C6" w:rsidP="008961BC">
      <w:pPr>
        <w:spacing w:before="120" w:line="276" w:lineRule="auto"/>
        <w:jc w:val="both"/>
        <w:rPr>
          <w:rFonts w:asciiTheme="minorHAnsi" w:hAnsiTheme="minorHAnsi"/>
          <w:noProof/>
          <w:lang w:val="sq-AL"/>
        </w:rPr>
      </w:pPr>
      <w:r>
        <w:rPr>
          <w:rFonts w:asciiTheme="minorHAnsi" w:hAnsiTheme="minorHAnsi"/>
          <w:lang w:val="sq-AL"/>
        </w:rPr>
        <w:t>Zë</w:t>
      </w:r>
      <w:r w:rsidR="00C15E4A">
        <w:rPr>
          <w:rFonts w:asciiTheme="minorHAnsi" w:hAnsiTheme="minorHAnsi"/>
          <w:lang w:val="sq-AL"/>
        </w:rPr>
        <w:t>rat e t</w:t>
      </w:r>
      <w:r>
        <w:rPr>
          <w:rFonts w:asciiTheme="minorHAnsi" w:hAnsiTheme="minorHAnsi"/>
          <w:lang w:val="sq-AL"/>
        </w:rPr>
        <w:t>ë</w:t>
      </w:r>
      <w:r w:rsidR="00C15E4A">
        <w:rPr>
          <w:rFonts w:asciiTheme="minorHAnsi" w:hAnsiTheme="minorHAnsi"/>
          <w:lang w:val="sq-AL"/>
        </w:rPr>
        <w:t xml:space="preserve"> ardhurave buxhetore, p</w:t>
      </w:r>
      <w:r>
        <w:rPr>
          <w:rFonts w:asciiTheme="minorHAnsi" w:hAnsiTheme="minorHAnsi"/>
          <w:lang w:val="sq-AL"/>
        </w:rPr>
        <w:t>ë</w:t>
      </w:r>
      <w:r w:rsidR="00C15E4A">
        <w:rPr>
          <w:rFonts w:asciiTheme="minorHAnsi" w:hAnsiTheme="minorHAnsi"/>
          <w:lang w:val="sq-AL"/>
        </w:rPr>
        <w:t>rfshir</w:t>
      </w:r>
      <w:r>
        <w:rPr>
          <w:rFonts w:asciiTheme="minorHAnsi" w:hAnsiTheme="minorHAnsi"/>
          <w:lang w:val="sq-AL"/>
        </w:rPr>
        <w:t>ë</w:t>
      </w:r>
      <w:r w:rsidR="00C15E4A">
        <w:rPr>
          <w:rFonts w:asciiTheme="minorHAnsi" w:hAnsiTheme="minorHAnsi"/>
          <w:lang w:val="sq-AL"/>
        </w:rPr>
        <w:t xml:space="preserve"> ato tatimore e doganore s</w:t>
      </w:r>
      <w:r>
        <w:rPr>
          <w:rFonts w:asciiTheme="minorHAnsi" w:hAnsiTheme="minorHAnsi"/>
          <w:lang w:val="sq-AL"/>
        </w:rPr>
        <w:t>ë</w:t>
      </w:r>
      <w:r w:rsidR="00C15E4A">
        <w:rPr>
          <w:rFonts w:asciiTheme="minorHAnsi" w:hAnsiTheme="minorHAnsi"/>
          <w:lang w:val="sq-AL"/>
        </w:rPr>
        <w:t xml:space="preserve"> bashku me </w:t>
      </w:r>
      <w:r w:rsidR="00C15E4A" w:rsidRPr="009C40B4">
        <w:rPr>
          <w:rFonts w:asciiTheme="minorHAnsi" w:hAnsiTheme="minorHAnsi"/>
          <w:noProof/>
          <w:lang w:val="sq-AL"/>
        </w:rPr>
        <w:t>kontributet e sigurimeve shoqërore e shëndetësore, pritet të realizohen në nivel</w:t>
      </w:r>
      <w:r w:rsidR="00C15E4A">
        <w:rPr>
          <w:rFonts w:asciiTheme="minorHAnsi" w:hAnsiTheme="minorHAnsi"/>
          <w:noProof/>
          <w:lang w:val="sq-AL"/>
        </w:rPr>
        <w:t>in e planifikuar për vitin 2017</w:t>
      </w:r>
      <w:r w:rsidR="00C15E4A" w:rsidRPr="009C40B4">
        <w:rPr>
          <w:rFonts w:asciiTheme="minorHAnsi" w:hAnsiTheme="minorHAnsi"/>
          <w:noProof/>
          <w:lang w:val="sq-AL"/>
        </w:rPr>
        <w:t>.</w:t>
      </w:r>
    </w:p>
    <w:p w:rsidR="00C15E4A" w:rsidRDefault="007117C6" w:rsidP="008961BC">
      <w:pPr>
        <w:tabs>
          <w:tab w:val="left" w:pos="2730"/>
        </w:tabs>
        <w:spacing w:before="120" w:line="276" w:lineRule="auto"/>
        <w:jc w:val="both"/>
        <w:rPr>
          <w:rFonts w:asciiTheme="minorHAnsi" w:hAnsiTheme="minorHAnsi"/>
          <w:lang w:val="sq-AL"/>
        </w:rPr>
      </w:pPr>
      <w:r>
        <w:rPr>
          <w:rFonts w:asciiTheme="minorHAnsi" w:hAnsiTheme="minorHAnsi"/>
          <w:noProof/>
          <w:lang w:val="sq-AL"/>
        </w:rPr>
        <w:t xml:space="preserve">Njëkohësisht, </w:t>
      </w:r>
      <w:r w:rsidR="00C15E4A" w:rsidRPr="00CB7741">
        <w:rPr>
          <w:rFonts w:asciiTheme="minorHAnsi" w:hAnsiTheme="minorHAnsi"/>
          <w:lang w:val="sq-AL"/>
        </w:rPr>
        <w:t>gjatë pjesës së mbetur të vitit</w:t>
      </w:r>
      <w:r w:rsidR="00C15E4A">
        <w:rPr>
          <w:rFonts w:asciiTheme="minorHAnsi" w:hAnsiTheme="minorHAnsi"/>
          <w:noProof/>
          <w:lang w:val="sq-AL"/>
        </w:rPr>
        <w:t xml:space="preserve"> n</w:t>
      </w:r>
      <w:r w:rsidR="00C15E4A" w:rsidRPr="00CB7741">
        <w:rPr>
          <w:rFonts w:asciiTheme="minorHAnsi" w:hAnsiTheme="minorHAnsi"/>
          <w:lang w:val="sq-AL"/>
        </w:rPr>
        <w:t>ormat e interesit të borxhit të bren</w:t>
      </w:r>
      <w:r w:rsidR="00C15E4A">
        <w:rPr>
          <w:rFonts w:asciiTheme="minorHAnsi" w:hAnsiTheme="minorHAnsi"/>
          <w:lang w:val="sq-AL"/>
        </w:rPr>
        <w:t>d</w:t>
      </w:r>
      <w:r w:rsidR="00C15E4A" w:rsidRPr="00CB7741">
        <w:rPr>
          <w:rFonts w:asciiTheme="minorHAnsi" w:hAnsiTheme="minorHAnsi"/>
          <w:lang w:val="sq-AL"/>
        </w:rPr>
        <w:t xml:space="preserve">shëm </w:t>
      </w:r>
      <w:r w:rsidR="00C15E4A">
        <w:rPr>
          <w:rFonts w:asciiTheme="minorHAnsi" w:hAnsiTheme="minorHAnsi"/>
          <w:lang w:val="sq-AL"/>
        </w:rPr>
        <w:t>dhe atij t</w:t>
      </w:r>
      <w:r>
        <w:rPr>
          <w:rFonts w:asciiTheme="minorHAnsi" w:hAnsiTheme="minorHAnsi"/>
          <w:lang w:val="sq-AL"/>
        </w:rPr>
        <w:t>ë</w:t>
      </w:r>
      <w:r w:rsidR="00C15E4A">
        <w:rPr>
          <w:rFonts w:asciiTheme="minorHAnsi" w:hAnsiTheme="minorHAnsi"/>
          <w:lang w:val="sq-AL"/>
        </w:rPr>
        <w:t xml:space="preserve"> huaj </w:t>
      </w:r>
      <w:r w:rsidR="00C15E4A" w:rsidRPr="00CB7741">
        <w:rPr>
          <w:rFonts w:asciiTheme="minorHAnsi" w:hAnsiTheme="minorHAnsi"/>
          <w:lang w:val="sq-AL"/>
        </w:rPr>
        <w:t>pritet të qendrojnë në nivele të krahasu</w:t>
      </w:r>
      <w:r w:rsidR="00C15E4A">
        <w:rPr>
          <w:rFonts w:asciiTheme="minorHAnsi" w:hAnsiTheme="minorHAnsi"/>
          <w:lang w:val="sq-AL"/>
        </w:rPr>
        <w:t>eshme me ato të vitit të kaluar. Nd</w:t>
      </w:r>
      <w:r>
        <w:rPr>
          <w:rFonts w:asciiTheme="minorHAnsi" w:hAnsiTheme="minorHAnsi"/>
          <w:lang w:val="sq-AL"/>
        </w:rPr>
        <w:t>ë</w:t>
      </w:r>
      <w:r w:rsidR="00C15E4A">
        <w:rPr>
          <w:rFonts w:asciiTheme="minorHAnsi" w:hAnsiTheme="minorHAnsi"/>
          <w:lang w:val="sq-AL"/>
        </w:rPr>
        <w:t>rkoh</w:t>
      </w:r>
      <w:r>
        <w:rPr>
          <w:rFonts w:asciiTheme="minorHAnsi" w:hAnsiTheme="minorHAnsi"/>
          <w:lang w:val="sq-AL"/>
        </w:rPr>
        <w:t>ë</w:t>
      </w:r>
      <w:r w:rsidR="00C15E4A">
        <w:rPr>
          <w:rFonts w:asciiTheme="minorHAnsi" w:hAnsiTheme="minorHAnsi"/>
          <w:lang w:val="sq-AL"/>
        </w:rPr>
        <w:t xml:space="preserve"> q</w:t>
      </w:r>
      <w:r>
        <w:rPr>
          <w:rFonts w:asciiTheme="minorHAnsi" w:hAnsiTheme="minorHAnsi"/>
          <w:lang w:val="sq-AL"/>
        </w:rPr>
        <w:t>ë</w:t>
      </w:r>
      <w:r w:rsidR="00C15E4A">
        <w:rPr>
          <w:rFonts w:asciiTheme="minorHAnsi" w:hAnsiTheme="minorHAnsi"/>
          <w:lang w:val="sq-AL"/>
        </w:rPr>
        <w:t>, s</w:t>
      </w:r>
      <w:r>
        <w:rPr>
          <w:rFonts w:asciiTheme="minorHAnsi" w:hAnsiTheme="minorHAnsi"/>
          <w:lang w:val="sq-AL"/>
        </w:rPr>
        <w:t xml:space="preserve">hërbimi i borxhit të brendshëm </w:t>
      </w:r>
      <w:r w:rsidRPr="00CB7741">
        <w:rPr>
          <w:rFonts w:asciiTheme="minorHAnsi" w:hAnsiTheme="minorHAnsi"/>
          <w:lang w:val="sq-AL"/>
        </w:rPr>
        <w:t>parashikohet me rënie krahasuar me plan</w:t>
      </w:r>
      <w:r>
        <w:rPr>
          <w:rFonts w:asciiTheme="minorHAnsi" w:hAnsiTheme="minorHAnsi"/>
          <w:lang w:val="sq-AL"/>
        </w:rPr>
        <w:t>in e</w:t>
      </w:r>
      <w:r w:rsidRPr="00CB7741">
        <w:rPr>
          <w:rFonts w:asciiTheme="minorHAnsi" w:hAnsiTheme="minorHAnsi"/>
          <w:lang w:val="sq-AL"/>
        </w:rPr>
        <w:t xml:space="preserve"> buxhetit 2017, duke qenë se normat e interesit kanë vijuar të mbeten në nivele të ulta</w:t>
      </w:r>
    </w:p>
    <w:p w:rsidR="00C15E4A" w:rsidRDefault="007117C6" w:rsidP="008961BC">
      <w:pPr>
        <w:spacing w:before="120" w:line="276" w:lineRule="auto"/>
        <w:jc w:val="both"/>
        <w:rPr>
          <w:rFonts w:asciiTheme="minorHAnsi" w:hAnsiTheme="minorHAnsi"/>
          <w:noProof/>
          <w:lang w:val="sq-AL"/>
        </w:rPr>
      </w:pPr>
      <w:r w:rsidRPr="00804B54">
        <w:rPr>
          <w:rFonts w:asciiTheme="minorHAnsi" w:hAnsiTheme="minorHAnsi"/>
          <w:noProof/>
          <w:lang w:val="sq-AL"/>
        </w:rPr>
        <w:t>Përsa i përket shpenzimeve buxhetore, deri në fund të vitit 2017 pritshëritë janë për një ecuri të qëndrueshme të tyre</w:t>
      </w:r>
      <w:r w:rsidR="008961BC" w:rsidRPr="00804B54">
        <w:rPr>
          <w:rFonts w:asciiTheme="minorHAnsi" w:hAnsiTheme="minorHAnsi"/>
          <w:noProof/>
          <w:lang w:val="sq-AL"/>
        </w:rPr>
        <w:t>, duke ruajtur kësisoj edhe nivelin e planifikuar të defiçitit buxhetor.</w:t>
      </w:r>
    </w:p>
    <w:p w:rsidR="008961BC" w:rsidRPr="009C40B4" w:rsidRDefault="008961BC" w:rsidP="008961BC">
      <w:pPr>
        <w:spacing w:before="120" w:line="276" w:lineRule="auto"/>
        <w:jc w:val="both"/>
        <w:rPr>
          <w:rFonts w:asciiTheme="minorHAnsi" w:hAnsiTheme="minorHAnsi"/>
          <w:noProof/>
          <w:lang w:val="sq-AL"/>
        </w:rPr>
      </w:pPr>
      <w:r>
        <w:rPr>
          <w:rFonts w:asciiTheme="minorHAnsi" w:hAnsiTheme="minorHAnsi"/>
          <w:noProof/>
          <w:lang w:val="sq-AL"/>
        </w:rPr>
        <w:t xml:space="preserve">Në përfundim, nën dritën e analizës së mësipërme mbi ecurinë dhe pritshmërinë e treguesve të konsoliduar makro-fiskal dhe buxhetor, si edhe në kushtet e një situate tranzitore në vijim të përmbylljes së proçesit zgjedhor dhe në prag të formimit të Qeverisë së re, mendimi i Ministrisë së Financave është për </w:t>
      </w:r>
      <w:r w:rsidRPr="008961BC">
        <w:rPr>
          <w:rFonts w:asciiTheme="minorHAnsi" w:hAnsiTheme="minorHAnsi"/>
          <w:i/>
          <w:noProof/>
          <w:u w:val="single"/>
          <w:lang w:val="sq-AL"/>
        </w:rPr>
        <w:t>mos-rishikimin</w:t>
      </w:r>
      <w:r>
        <w:rPr>
          <w:rFonts w:asciiTheme="minorHAnsi" w:hAnsiTheme="minorHAnsi"/>
          <w:noProof/>
          <w:lang w:val="sq-AL"/>
        </w:rPr>
        <w:t xml:space="preserve"> në këtë moment të buxhetit të shtetit për vitin 2017.</w:t>
      </w:r>
    </w:p>
    <w:p w:rsidR="00C15E4A" w:rsidRPr="002A11B7" w:rsidRDefault="00C15E4A" w:rsidP="00C15E4A">
      <w:pPr>
        <w:spacing w:line="276" w:lineRule="auto"/>
        <w:jc w:val="both"/>
        <w:rPr>
          <w:highlight w:val="yellow"/>
          <w:lang w:val="sq-AL"/>
        </w:rPr>
      </w:pPr>
    </w:p>
    <w:p w:rsidR="001B35D0" w:rsidRDefault="001B35D0" w:rsidP="00A40986">
      <w:pPr>
        <w:tabs>
          <w:tab w:val="left" w:pos="2730"/>
        </w:tabs>
        <w:spacing w:line="276" w:lineRule="auto"/>
        <w:jc w:val="center"/>
        <w:rPr>
          <w:rFonts w:asciiTheme="minorHAnsi" w:hAnsiTheme="minorHAnsi"/>
          <w:lang w:val="sq-AL"/>
        </w:rPr>
      </w:pPr>
    </w:p>
    <w:p w:rsidR="000A1A4D" w:rsidRPr="00330EE7" w:rsidRDefault="000A1A4D" w:rsidP="000A1A4D">
      <w:pPr>
        <w:pStyle w:val="Heading1"/>
        <w:numPr>
          <w:ilvl w:val="0"/>
          <w:numId w:val="7"/>
        </w:numPr>
        <w:spacing w:before="0" w:line="276" w:lineRule="auto"/>
        <w:ind w:left="720"/>
        <w:jc w:val="both"/>
        <w:rPr>
          <w:rFonts w:asciiTheme="minorHAnsi" w:hAnsiTheme="minorHAnsi"/>
          <w:noProof/>
          <w:color w:val="365F91" w:themeColor="accent1" w:themeShade="BF"/>
          <w:sz w:val="32"/>
          <w:szCs w:val="24"/>
          <w:lang w:val="sq-AL"/>
        </w:rPr>
      </w:pPr>
      <w:bookmarkStart w:id="19" w:name="_Toc486582889"/>
      <w:r>
        <w:rPr>
          <w:rFonts w:asciiTheme="minorHAnsi" w:hAnsiTheme="minorHAnsi"/>
          <w:noProof/>
          <w:color w:val="365F91" w:themeColor="accent1" w:themeShade="BF"/>
          <w:sz w:val="32"/>
          <w:szCs w:val="24"/>
          <w:lang w:val="sq-AL"/>
        </w:rPr>
        <w:t>ANEKS</w:t>
      </w:r>
      <w:bookmarkEnd w:id="19"/>
    </w:p>
    <w:p w:rsidR="000A1A4D" w:rsidRPr="00444289" w:rsidRDefault="000A1A4D" w:rsidP="000A1A4D">
      <w:pPr>
        <w:pStyle w:val="Heading2"/>
        <w:spacing w:line="276" w:lineRule="auto"/>
        <w:rPr>
          <w:rFonts w:asciiTheme="minorHAnsi" w:hAnsiTheme="minorHAnsi"/>
          <w:noProof/>
          <w:color w:val="4F81BD" w:themeColor="accent1"/>
          <w:sz w:val="28"/>
          <w:szCs w:val="24"/>
          <w:lang w:val="sq-AL"/>
        </w:rPr>
      </w:pPr>
      <w:bookmarkStart w:id="20" w:name="_Toc486582890"/>
      <w:r>
        <w:rPr>
          <w:rFonts w:asciiTheme="minorHAnsi" w:hAnsiTheme="minorHAnsi"/>
          <w:noProof/>
          <w:color w:val="4F81BD" w:themeColor="accent1"/>
          <w:sz w:val="28"/>
          <w:szCs w:val="24"/>
          <w:lang w:val="sq-AL"/>
        </w:rPr>
        <w:t>V</w:t>
      </w:r>
      <w:r w:rsidRPr="00444289">
        <w:rPr>
          <w:rFonts w:asciiTheme="minorHAnsi" w:hAnsiTheme="minorHAnsi"/>
          <w:noProof/>
          <w:color w:val="4F81BD" w:themeColor="accent1"/>
          <w:sz w:val="28"/>
          <w:szCs w:val="24"/>
          <w:lang w:val="sq-AL"/>
        </w:rPr>
        <w:t>I.</w:t>
      </w:r>
      <w:r>
        <w:rPr>
          <w:rFonts w:asciiTheme="minorHAnsi" w:hAnsiTheme="minorHAnsi"/>
          <w:noProof/>
          <w:color w:val="4F81BD" w:themeColor="accent1"/>
          <w:sz w:val="28"/>
          <w:szCs w:val="24"/>
          <w:lang w:val="sq-AL"/>
        </w:rPr>
        <w:t>1</w:t>
      </w:r>
      <w:r w:rsidRPr="00444289">
        <w:rPr>
          <w:rFonts w:asciiTheme="minorHAnsi" w:hAnsiTheme="minorHAnsi"/>
          <w:noProof/>
          <w:color w:val="4F81BD" w:themeColor="accent1"/>
          <w:sz w:val="28"/>
          <w:szCs w:val="24"/>
          <w:lang w:val="sq-AL"/>
        </w:rPr>
        <w:tab/>
      </w:r>
      <w:r>
        <w:rPr>
          <w:rFonts w:asciiTheme="minorHAnsi" w:hAnsiTheme="minorHAnsi"/>
          <w:noProof/>
          <w:color w:val="4F81BD" w:themeColor="accent1"/>
          <w:sz w:val="28"/>
          <w:szCs w:val="24"/>
          <w:lang w:val="sq-AL"/>
        </w:rPr>
        <w:t xml:space="preserve">Ecuria e </w:t>
      </w:r>
      <w:r w:rsidR="003D082B">
        <w:rPr>
          <w:rFonts w:asciiTheme="minorHAnsi" w:hAnsiTheme="minorHAnsi"/>
          <w:noProof/>
          <w:color w:val="4F81BD" w:themeColor="accent1"/>
          <w:sz w:val="28"/>
          <w:szCs w:val="24"/>
          <w:lang w:val="sq-AL"/>
        </w:rPr>
        <w:t xml:space="preserve">detajuar e </w:t>
      </w:r>
      <w:r>
        <w:rPr>
          <w:rFonts w:asciiTheme="minorHAnsi" w:hAnsiTheme="minorHAnsi"/>
          <w:noProof/>
          <w:color w:val="4F81BD" w:themeColor="accent1"/>
          <w:sz w:val="28"/>
          <w:szCs w:val="24"/>
          <w:lang w:val="sq-AL"/>
        </w:rPr>
        <w:t>treguesve makroekonomik</w:t>
      </w:r>
      <w:r w:rsidR="00CB4E18">
        <w:rPr>
          <w:rFonts w:asciiTheme="minorHAnsi" w:hAnsiTheme="minorHAnsi"/>
          <w:noProof/>
          <w:color w:val="4F81BD" w:themeColor="accent1"/>
          <w:sz w:val="28"/>
          <w:szCs w:val="24"/>
          <w:lang w:val="sq-AL"/>
        </w:rPr>
        <w:t>ë</w:t>
      </w:r>
      <w:r>
        <w:rPr>
          <w:rFonts w:asciiTheme="minorHAnsi" w:hAnsiTheme="minorHAnsi"/>
          <w:noProof/>
          <w:color w:val="4F81BD" w:themeColor="accent1"/>
          <w:sz w:val="28"/>
          <w:szCs w:val="24"/>
          <w:lang w:val="sq-AL"/>
        </w:rPr>
        <w:t xml:space="preserve"> gjat</w:t>
      </w:r>
      <w:r w:rsidR="00CB4E18">
        <w:rPr>
          <w:rFonts w:asciiTheme="minorHAnsi" w:hAnsiTheme="minorHAnsi"/>
          <w:noProof/>
          <w:color w:val="4F81BD" w:themeColor="accent1"/>
          <w:sz w:val="28"/>
          <w:szCs w:val="24"/>
          <w:lang w:val="sq-AL"/>
        </w:rPr>
        <w:t>ë</w:t>
      </w:r>
      <w:r>
        <w:rPr>
          <w:rFonts w:asciiTheme="minorHAnsi" w:hAnsiTheme="minorHAnsi"/>
          <w:noProof/>
          <w:color w:val="4F81BD" w:themeColor="accent1"/>
          <w:sz w:val="28"/>
          <w:szCs w:val="24"/>
          <w:lang w:val="sq-AL"/>
        </w:rPr>
        <w:t xml:space="preserve"> janar-maj 2017</w:t>
      </w:r>
      <w:bookmarkEnd w:id="20"/>
    </w:p>
    <w:p w:rsidR="000A1A4D" w:rsidRPr="000A1A4D" w:rsidRDefault="000A1A4D" w:rsidP="000A1A4D">
      <w:pPr>
        <w:autoSpaceDE w:val="0"/>
        <w:autoSpaceDN w:val="0"/>
        <w:adjustRightInd w:val="0"/>
        <w:spacing w:line="276" w:lineRule="auto"/>
        <w:contextualSpacing/>
        <w:jc w:val="both"/>
        <w:rPr>
          <w:rFonts w:asciiTheme="minorHAnsi" w:hAnsiTheme="minorHAnsi"/>
          <w:b/>
          <w:i/>
          <w:noProof/>
          <w:sz w:val="16"/>
          <w:lang w:val="sq-AL"/>
        </w:rPr>
      </w:pPr>
    </w:p>
    <w:p w:rsidR="000A1A4D" w:rsidRPr="00444289" w:rsidRDefault="000A1A4D" w:rsidP="000A1A4D">
      <w:pPr>
        <w:autoSpaceDE w:val="0"/>
        <w:autoSpaceDN w:val="0"/>
        <w:adjustRightInd w:val="0"/>
        <w:spacing w:line="276" w:lineRule="auto"/>
        <w:contextualSpacing/>
        <w:jc w:val="both"/>
        <w:rPr>
          <w:rFonts w:asciiTheme="minorHAnsi" w:hAnsiTheme="minorHAnsi"/>
          <w:b/>
          <w:i/>
          <w:noProof/>
          <w:lang w:val="sq-AL"/>
        </w:rPr>
      </w:pPr>
      <w:r w:rsidRPr="00444289">
        <w:rPr>
          <w:rFonts w:asciiTheme="minorHAnsi" w:hAnsiTheme="minorHAnsi"/>
          <w:b/>
          <w:i/>
          <w:noProof/>
          <w:lang w:val="sq-AL"/>
        </w:rPr>
        <w:t>Sektori real</w:t>
      </w:r>
    </w:p>
    <w:p w:rsidR="000A1A4D" w:rsidRPr="0015389C" w:rsidRDefault="000A1A4D" w:rsidP="000A1A4D">
      <w:pPr>
        <w:spacing w:before="120" w:after="120" w:line="276" w:lineRule="auto"/>
        <w:jc w:val="both"/>
        <w:rPr>
          <w:rFonts w:asciiTheme="minorHAnsi" w:hAnsiTheme="minorHAnsi"/>
          <w:noProof/>
          <w:lang w:val="sq-AL"/>
        </w:rPr>
      </w:pPr>
      <w:r w:rsidRPr="0015389C">
        <w:rPr>
          <w:rFonts w:asciiTheme="minorHAnsi" w:hAnsiTheme="minorHAnsi"/>
          <w:noProof/>
          <w:lang w:val="sq-AL"/>
        </w:rPr>
        <w:t xml:space="preserve">Bazuar në statistikat dhe informacionin më të fundit të disponueshëm, rezulton se ekonomia ka vijuar të performojë përgjithësisht në linjë me parashikimet makroekonomike fillestare mbi të cilat është bazuar buxheti i vitit aktual 2017. Përgjatë vitit 2016, aktiviteti ekonomik në terma vjetorë u rrit me 3.46% krahasuar me vitin 2015, sipas vlerësimeve paraprake të mbështetura në treguesin e Produktin e Brendshëm Bruto (PBB) - tremujor. Viti 2016 tregoi ritme pozitive dhe përshpejtuese të rritjes ekonomike dhe në tremujorin e katërt të tij ekonomia shënoi rritjen më të lartë të saj (që prej tremujorit të katërt të vitit 2014). </w:t>
      </w:r>
    </w:p>
    <w:p w:rsidR="000A1A4D" w:rsidRPr="0015389C" w:rsidRDefault="000A1A4D" w:rsidP="000A1A4D">
      <w:pPr>
        <w:autoSpaceDE w:val="0"/>
        <w:autoSpaceDN w:val="0"/>
        <w:adjustRightInd w:val="0"/>
        <w:spacing w:before="120" w:after="120" w:line="276" w:lineRule="auto"/>
        <w:jc w:val="both"/>
        <w:rPr>
          <w:rFonts w:asciiTheme="minorHAnsi" w:hAnsiTheme="minorHAnsi"/>
          <w:noProof/>
          <w:lang w:val="sq-AL"/>
        </w:rPr>
      </w:pPr>
      <w:r w:rsidRPr="0015389C">
        <w:rPr>
          <w:rFonts w:asciiTheme="minorHAnsi" w:hAnsiTheme="minorHAnsi"/>
          <w:noProof/>
          <w:lang w:val="sq-AL"/>
        </w:rPr>
        <w:t>Tendencat e papunësisë dhe punësimit, sipas vlerësimeve të INSTAT,</w:t>
      </w:r>
      <w:r w:rsidRPr="0015389C">
        <w:rPr>
          <w:rFonts w:asciiTheme="minorHAnsi" w:hAnsiTheme="minorHAnsi"/>
          <w:b/>
          <w:bCs/>
          <w:noProof/>
          <w:lang w:val="sq-AL"/>
        </w:rPr>
        <w:t xml:space="preserve"> </w:t>
      </w:r>
      <w:r w:rsidRPr="0015389C">
        <w:rPr>
          <w:rFonts w:asciiTheme="minorHAnsi" w:hAnsiTheme="minorHAnsi"/>
          <w:noProof/>
          <w:lang w:val="sq-AL"/>
        </w:rPr>
        <w:t>flasin për një trend të qartë pozitiv të punësimit, ndërkohë që norma e papunësisë ka shënuar një reduktim të konsiderueshëm. Përgjatë tremujorit të parë të vitit 2017 punësimi vijoi trendin pozitiv të rritjes së tij të rezultuar edhe ne tremujorët e mëparshëm të vitit 2016. Krahasuar me të njëjtin tremujor të vitit 2016, punësimi në tremujorin e parë të 2017 u rrit me 2.8 %. Përgjatë tremujorit të parë të vitit 2017, shkalla zyrtare e papunësisë në Shqipëri, për popullsinë 15 vjeç e lart, është 14.2%, ndërsa për grupmoshën 15-64 vjeç shkalla zyrtare e papunësisë ishte 14.6%.</w:t>
      </w:r>
      <w:r w:rsidRPr="0015389C">
        <w:rPr>
          <w:rFonts w:asciiTheme="minorHAnsi" w:hAnsiTheme="minorHAnsi"/>
          <w:lang w:val="sq-AL"/>
        </w:rPr>
        <w:t xml:space="preserve"> Krahasuar me të njëjtin tremujor të një viti më parë (T1-2016), shkalla e papunësisë u ul me 2.3 pikë përqindje.</w:t>
      </w:r>
    </w:p>
    <w:p w:rsidR="000A1A4D" w:rsidRPr="0015389C" w:rsidRDefault="000A1A4D" w:rsidP="000A1A4D">
      <w:pPr>
        <w:spacing w:before="120" w:after="120" w:line="276" w:lineRule="auto"/>
        <w:jc w:val="both"/>
        <w:rPr>
          <w:rFonts w:asciiTheme="minorHAnsi" w:hAnsiTheme="minorHAnsi"/>
          <w:noProof/>
          <w:lang w:val="sq-AL"/>
        </w:rPr>
      </w:pPr>
      <w:r w:rsidRPr="0015389C">
        <w:rPr>
          <w:rFonts w:asciiTheme="minorHAnsi" w:hAnsiTheme="minorHAnsi"/>
          <w:noProof/>
          <w:lang w:val="sq-AL"/>
        </w:rPr>
        <w:t xml:space="preserve">Një tjetër tregues i rendësishëm që jep sinjale mbi rritjen ekonomike të T1 2017, siç është dhe treguesi i ndjesisë ekonomike (TNE), marrë nga Vrojtimi i Besimit të Biznesit dhe Konsumatorit, shënoi nivelin 120.4 në T1-2017, me një përmirësim prej 7.6 pikësh nga tremujori i kaluar, ndërsa në krahasim me T1-2016 ka pësuar një përmirësim prej 27.8 pikë përqindje. Treguesi i besimit në sektorin e industrisë (TBI) shënoi nivelin -0.1 në T1-2017 (4.9 pikë përqindje më shumë krahasuar me T1-2016), duke pësuar një rënie tremujore prej 4.3 pikë përqindje. Treguesi i besimit në sektorin e ndërtimit (TBN) shënoi nivelin -25.1 në T1-2017 (10.9 pikë përqindje më shumë krahasuar me T1-2016), duke pësuar një ritje tremujore prej 5.9 pikë përqindje. Treguesi i besimit në shërbime (TBSH) shënoi nivelin 27.5 në T1-2017 (35 pikë përqindje më shumë krahasuar me T1-2016), duke pësuar një ritje tremujore me rreth 10.1 pikë përqindje. Treguesi i besimit të konsumatorëve (TBK) shënoi nivelin -10.4 në T1-2017 (3.9 pikë përqindje më shumë krahasuar me T1-2016) duke pësuar rrënjie tremujore me 0.4 pikë përqindje. Treguesi i besimit të tregtisë në T1-2017 ishte në nivelin 5 (6.4 pikë përqindje më shumë krahasuar me T1-2016), duke pësuar një ritje tremujore prej 2 pikë përqindje. </w:t>
      </w:r>
    </w:p>
    <w:p w:rsidR="000A1A4D" w:rsidRPr="00FB14CF" w:rsidRDefault="000A1A4D" w:rsidP="000A1A4D">
      <w:pPr>
        <w:spacing w:before="120" w:after="120" w:line="276" w:lineRule="auto"/>
        <w:jc w:val="both"/>
        <w:rPr>
          <w:rFonts w:asciiTheme="minorHAnsi" w:hAnsiTheme="minorHAnsi"/>
          <w:noProof/>
          <w:sz w:val="16"/>
          <w:lang w:val="sq-AL"/>
        </w:rPr>
      </w:pPr>
    </w:p>
    <w:p w:rsidR="000A1A4D" w:rsidRPr="00444289" w:rsidRDefault="000A1A4D" w:rsidP="000A1A4D">
      <w:pPr>
        <w:spacing w:before="120" w:after="120" w:line="276" w:lineRule="auto"/>
        <w:jc w:val="both"/>
        <w:rPr>
          <w:rFonts w:asciiTheme="minorHAnsi" w:hAnsiTheme="minorHAnsi"/>
          <w:i/>
          <w:noProof/>
          <w:lang w:val="sq-AL"/>
        </w:rPr>
      </w:pPr>
      <w:r w:rsidRPr="00444289">
        <w:rPr>
          <w:rFonts w:asciiTheme="minorHAnsi" w:hAnsiTheme="minorHAnsi"/>
          <w:b/>
          <w:i/>
          <w:noProof/>
          <w:lang w:val="sq-AL"/>
        </w:rPr>
        <w:t>Sektori i jashtëm</w:t>
      </w:r>
      <w:r w:rsidRPr="00444289">
        <w:rPr>
          <w:rFonts w:asciiTheme="minorHAnsi" w:hAnsiTheme="minorHAnsi"/>
          <w:i/>
          <w:noProof/>
          <w:lang w:val="sq-AL"/>
        </w:rPr>
        <w:t xml:space="preserve"> </w:t>
      </w:r>
    </w:p>
    <w:p w:rsidR="000A1A4D" w:rsidRDefault="000A1A4D" w:rsidP="000A1A4D">
      <w:pPr>
        <w:spacing w:line="276" w:lineRule="auto"/>
        <w:contextualSpacing/>
        <w:jc w:val="both"/>
        <w:rPr>
          <w:rFonts w:asciiTheme="minorHAnsi" w:hAnsiTheme="minorHAnsi"/>
          <w:noProof/>
          <w:lang w:val="sq-AL"/>
        </w:rPr>
      </w:pPr>
      <w:r w:rsidRPr="00400CD3">
        <w:rPr>
          <w:rFonts w:asciiTheme="minorHAnsi" w:hAnsiTheme="minorHAnsi"/>
          <w:noProof/>
          <w:lang w:val="da-DK"/>
        </w:rPr>
        <w:t>Eksportet e mallrave për periudhën janar – maj 2017 shënuan rritje prej 16.7% krahasuar me të njëjtën periudhë të një viti më parë</w:t>
      </w:r>
      <w:r w:rsidRPr="00400CD3">
        <w:rPr>
          <w:rFonts w:asciiTheme="minorHAnsi" w:hAnsiTheme="minorHAnsi"/>
          <w:noProof/>
          <w:lang w:val="sq-AL"/>
        </w:rPr>
        <w:t>, ndërsa vetëm për muajin maj 2017, eksportet shënuan rritje prej 18.0% në krahasim me muajin maj 2016. Rritja vjetore e eksporteve këtë muaj është ndikuar nga grupet: “materiale ndërtimi dhe metale” me +7.0 pikë përqindje, “ushqime, pije, duhan” me +4.2 pikë përqindje, “tekstile dhe këpucë” me +3.7 pikë përqindje.  Grupi që ka ndikuar negativisht në ndryshimin vjetor të eksporteve, është: “prodhime druri dhe letre” me -0.1 pikë përqindje. Zhvillimet sipas kategorive kryesore të mallrave të eksportit, si dhe kontributi i tyre në totalin e eksporteve, paraqiten në tabelën e mëposhtme.</w:t>
      </w:r>
    </w:p>
    <w:p w:rsidR="000A1A4D" w:rsidRPr="00FB14CF" w:rsidRDefault="000A1A4D" w:rsidP="000A1A4D">
      <w:pPr>
        <w:spacing w:line="276" w:lineRule="auto"/>
        <w:rPr>
          <w:rFonts w:asciiTheme="minorHAnsi" w:eastAsia="SimSun" w:hAnsiTheme="minorHAnsi"/>
          <w:i/>
          <w:sz w:val="8"/>
          <w:szCs w:val="8"/>
          <w:lang w:val="sq-AL"/>
        </w:rPr>
      </w:pPr>
    </w:p>
    <w:p w:rsidR="000A1A4D" w:rsidRPr="00193EF8" w:rsidRDefault="000A1A4D" w:rsidP="000A1A4D">
      <w:pPr>
        <w:spacing w:line="276" w:lineRule="auto"/>
        <w:rPr>
          <w:rFonts w:asciiTheme="minorHAnsi" w:eastAsia="SimSun" w:hAnsiTheme="minorHAnsi"/>
          <w:i/>
          <w:lang w:val="sq-AL"/>
        </w:rPr>
      </w:pPr>
      <w:r w:rsidRPr="00193EF8">
        <w:rPr>
          <w:rFonts w:asciiTheme="minorHAnsi" w:eastAsia="SimSun" w:hAnsiTheme="minorHAnsi"/>
          <w:i/>
          <w:lang w:val="sq-AL"/>
        </w:rPr>
        <w:t>Tabela 1</w:t>
      </w:r>
      <w:r w:rsidR="000B3625">
        <w:rPr>
          <w:rFonts w:asciiTheme="minorHAnsi" w:eastAsia="SimSun" w:hAnsiTheme="minorHAnsi"/>
          <w:i/>
          <w:lang w:val="sq-AL"/>
        </w:rPr>
        <w:t>1</w:t>
      </w:r>
      <w:r w:rsidRPr="00193EF8">
        <w:rPr>
          <w:rFonts w:asciiTheme="minorHAnsi" w:eastAsia="SimSun" w:hAnsiTheme="minorHAnsi"/>
          <w:i/>
          <w:lang w:val="sq-AL"/>
        </w:rPr>
        <w:t>:</w:t>
      </w:r>
      <w:r>
        <w:rPr>
          <w:rFonts w:asciiTheme="minorHAnsi" w:eastAsia="SimSun" w:hAnsiTheme="minorHAnsi"/>
          <w:i/>
          <w:lang w:val="sq-AL"/>
        </w:rPr>
        <w:tab/>
        <w:t>Rritja e eksportit të mallrave, sipas kategorive kryesore</w:t>
      </w:r>
    </w:p>
    <w:p w:rsidR="000A1A4D" w:rsidRPr="00444289" w:rsidRDefault="000A1A4D" w:rsidP="000A1A4D">
      <w:pPr>
        <w:spacing w:before="120" w:after="120" w:line="276" w:lineRule="auto"/>
        <w:jc w:val="center"/>
        <w:rPr>
          <w:rFonts w:asciiTheme="minorHAnsi" w:hAnsiTheme="minorHAnsi"/>
          <w:noProof/>
          <w:lang w:val="sq-AL"/>
        </w:rPr>
      </w:pPr>
      <w:r w:rsidRPr="00A403F7">
        <w:rPr>
          <w:noProof/>
        </w:rPr>
        <w:drawing>
          <wp:inline distT="0" distB="0" distL="0" distR="0" wp14:anchorId="1268E655" wp14:editId="5D58FEBA">
            <wp:extent cx="5078380" cy="21037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80606" cy="2104677"/>
                    </a:xfrm>
                    <a:prstGeom prst="rect">
                      <a:avLst/>
                    </a:prstGeom>
                    <a:noFill/>
                    <a:ln>
                      <a:noFill/>
                    </a:ln>
                  </pic:spPr>
                </pic:pic>
              </a:graphicData>
            </a:graphic>
          </wp:inline>
        </w:drawing>
      </w:r>
    </w:p>
    <w:p w:rsidR="000A1A4D" w:rsidRPr="006E1AD9" w:rsidRDefault="000A1A4D" w:rsidP="000A1A4D">
      <w:pPr>
        <w:spacing w:line="276" w:lineRule="auto"/>
        <w:rPr>
          <w:rFonts w:asciiTheme="minorHAnsi" w:hAnsiTheme="minorHAnsi"/>
          <w:noProof/>
          <w:sz w:val="8"/>
          <w:szCs w:val="8"/>
          <w:lang w:val="sq-AL"/>
        </w:rPr>
      </w:pPr>
    </w:p>
    <w:p w:rsidR="000A1A4D" w:rsidRDefault="000A1A4D" w:rsidP="000A1A4D">
      <w:pPr>
        <w:spacing w:line="276" w:lineRule="auto"/>
        <w:rPr>
          <w:rFonts w:asciiTheme="minorHAnsi" w:hAnsiTheme="minorHAnsi"/>
          <w:noProof/>
          <w:lang w:val="sq-AL"/>
        </w:rPr>
      </w:pPr>
      <w:r w:rsidRPr="00444289">
        <w:rPr>
          <w:rFonts w:asciiTheme="minorHAnsi" w:hAnsiTheme="minorHAnsi"/>
          <w:noProof/>
          <w:lang w:val="sq-AL"/>
        </w:rPr>
        <w:t xml:space="preserve">Në grafikun e mëposhtëm paraqitet rritja mujore e totalit të eksporteve në përqindje, kundrejt të njëjtit muaj të një viti më parë, për tre vitet e fundit. </w:t>
      </w:r>
    </w:p>
    <w:p w:rsidR="000A1A4D" w:rsidRPr="00FB14CF" w:rsidRDefault="000A1A4D" w:rsidP="000A1A4D">
      <w:pPr>
        <w:spacing w:line="276" w:lineRule="auto"/>
        <w:rPr>
          <w:rFonts w:asciiTheme="minorHAnsi" w:eastAsia="SimSun" w:hAnsiTheme="minorHAnsi"/>
          <w:i/>
          <w:sz w:val="8"/>
          <w:szCs w:val="8"/>
          <w:lang w:val="sq-AL"/>
        </w:rPr>
      </w:pPr>
    </w:p>
    <w:p w:rsidR="000A1A4D" w:rsidRDefault="000A1A4D" w:rsidP="000A1A4D">
      <w:pPr>
        <w:spacing w:line="276" w:lineRule="auto"/>
        <w:rPr>
          <w:rFonts w:asciiTheme="minorHAnsi" w:eastAsia="SimSun" w:hAnsiTheme="minorHAnsi"/>
          <w:i/>
          <w:lang w:val="sq-AL"/>
        </w:rPr>
      </w:pPr>
    </w:p>
    <w:p w:rsidR="000A1A4D" w:rsidRDefault="000A1A4D" w:rsidP="000A1A4D">
      <w:pPr>
        <w:spacing w:line="276" w:lineRule="auto"/>
        <w:rPr>
          <w:rFonts w:asciiTheme="minorHAnsi" w:eastAsia="SimSun" w:hAnsiTheme="minorHAnsi"/>
          <w:i/>
          <w:lang w:val="sq-AL"/>
        </w:rPr>
      </w:pPr>
    </w:p>
    <w:p w:rsidR="000A1A4D" w:rsidRPr="00193EF8" w:rsidRDefault="000A1A4D" w:rsidP="000A1A4D">
      <w:pPr>
        <w:spacing w:line="276" w:lineRule="auto"/>
        <w:rPr>
          <w:rFonts w:asciiTheme="minorHAnsi" w:eastAsia="SimSun" w:hAnsiTheme="minorHAnsi"/>
          <w: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0B3625">
        <w:rPr>
          <w:rFonts w:asciiTheme="minorHAnsi" w:eastAsia="SimSun" w:hAnsiTheme="minorHAnsi"/>
          <w:i/>
          <w:lang w:val="sq-AL"/>
        </w:rPr>
        <w:t>33</w:t>
      </w:r>
      <w:r w:rsidRPr="00193EF8">
        <w:rPr>
          <w:rFonts w:asciiTheme="minorHAnsi" w:eastAsia="SimSun" w:hAnsiTheme="minorHAnsi"/>
          <w:i/>
          <w:lang w:val="sq-AL"/>
        </w:rPr>
        <w:t>:</w:t>
      </w:r>
      <w:r>
        <w:rPr>
          <w:rFonts w:asciiTheme="minorHAnsi" w:eastAsia="SimSun" w:hAnsiTheme="minorHAnsi"/>
          <w:i/>
          <w:lang w:val="sq-AL"/>
        </w:rPr>
        <w:tab/>
      </w:r>
      <w:r>
        <w:rPr>
          <w:rFonts w:asciiTheme="minorHAnsi" w:hAnsiTheme="minorHAnsi"/>
          <w:noProof/>
          <w:lang w:val="sq-AL"/>
        </w:rPr>
        <w:t>R</w:t>
      </w:r>
      <w:r w:rsidRPr="00444289">
        <w:rPr>
          <w:rFonts w:asciiTheme="minorHAnsi" w:hAnsiTheme="minorHAnsi"/>
          <w:noProof/>
          <w:lang w:val="sq-AL"/>
        </w:rPr>
        <w:t>ritja mujore e totalit të eksporteve</w:t>
      </w:r>
      <w:r>
        <w:rPr>
          <w:rFonts w:asciiTheme="minorHAnsi" w:hAnsiTheme="minorHAnsi"/>
          <w:noProof/>
          <w:lang w:val="sq-AL"/>
        </w:rPr>
        <w:t>,</w:t>
      </w:r>
      <w:r w:rsidRPr="00444289">
        <w:rPr>
          <w:rFonts w:asciiTheme="minorHAnsi" w:hAnsiTheme="minorHAnsi"/>
          <w:noProof/>
          <w:lang w:val="sq-AL"/>
        </w:rPr>
        <w:t xml:space="preserve"> në përqindje</w:t>
      </w:r>
    </w:p>
    <w:p w:rsidR="000A1A4D" w:rsidRPr="00444289" w:rsidRDefault="000A1A4D" w:rsidP="000A1A4D">
      <w:pPr>
        <w:spacing w:before="120" w:after="120" w:line="276" w:lineRule="auto"/>
        <w:jc w:val="center"/>
        <w:rPr>
          <w:rFonts w:asciiTheme="minorHAnsi" w:hAnsiTheme="minorHAnsi"/>
          <w:noProof/>
          <w:lang w:val="sq-AL"/>
        </w:rPr>
      </w:pPr>
      <w:r w:rsidRPr="00A403F7">
        <w:rPr>
          <w:noProof/>
        </w:rPr>
        <w:drawing>
          <wp:inline distT="0" distB="0" distL="0" distR="0" wp14:anchorId="3A311A16" wp14:editId="08C282C8">
            <wp:extent cx="5768340" cy="18440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8340" cy="1844040"/>
                    </a:xfrm>
                    <a:prstGeom prst="rect">
                      <a:avLst/>
                    </a:prstGeom>
                    <a:noFill/>
                    <a:ln>
                      <a:noFill/>
                    </a:ln>
                  </pic:spPr>
                </pic:pic>
              </a:graphicData>
            </a:graphic>
          </wp:inline>
        </w:drawing>
      </w:r>
    </w:p>
    <w:p w:rsidR="000A1A4D" w:rsidRPr="000A1A4D" w:rsidRDefault="000A1A4D" w:rsidP="000A1A4D">
      <w:pPr>
        <w:spacing w:line="276" w:lineRule="auto"/>
        <w:rPr>
          <w:rFonts w:asciiTheme="minorHAnsi" w:hAnsiTheme="minorHAnsi"/>
          <w:noProof/>
          <w:sz w:val="8"/>
          <w:szCs w:val="12"/>
          <w:lang w:val="sq-AL"/>
        </w:rPr>
      </w:pPr>
    </w:p>
    <w:p w:rsidR="000A1A4D" w:rsidRDefault="000A1A4D" w:rsidP="000A1A4D">
      <w:pPr>
        <w:spacing w:line="276" w:lineRule="auto"/>
        <w:jc w:val="both"/>
        <w:rPr>
          <w:rFonts w:asciiTheme="minorHAnsi" w:hAnsiTheme="minorHAnsi"/>
          <w:noProof/>
          <w:lang w:val="sq-AL"/>
        </w:rPr>
      </w:pPr>
      <w:r w:rsidRPr="00FB14CF">
        <w:rPr>
          <w:rFonts w:asciiTheme="minorHAnsi" w:hAnsiTheme="minorHAnsi"/>
          <w:noProof/>
          <w:lang w:val="sq-AL"/>
        </w:rPr>
        <w:t>Importet e mallrave për periudhën janar – maj 2017 shënuan rritje prej 4.6% krahasuar me të njëjtën periudhë të një viti më parë, ndërsa vetëm për muajin maj 2017 importet shënuan rritje vjetore prej 5.8% në krahasim me muajin maj 2016. Ashtu sic mund të vihet re në tabelën më poshtë, rritja vjetore e importeve prej 4.6 %, për këtë periudhë është ndikuar kryesisht nga grupet: “tekstile dhe këpucë” me +1.8 pikë përqindje, “ushqim, pije, duhan” me +1.4 pikë përqindje, “produkte kimike dhe plastike” me +1.2 pikë përqindje.</w:t>
      </w:r>
    </w:p>
    <w:p w:rsidR="000A1A4D" w:rsidRPr="000A1A4D" w:rsidRDefault="000A1A4D" w:rsidP="000A1A4D">
      <w:pPr>
        <w:spacing w:line="276" w:lineRule="auto"/>
        <w:rPr>
          <w:rFonts w:asciiTheme="minorHAnsi" w:hAnsiTheme="minorHAnsi"/>
          <w:noProof/>
          <w:sz w:val="8"/>
          <w:lang w:val="sq-AL"/>
        </w:rPr>
      </w:pPr>
    </w:p>
    <w:p w:rsidR="000A1A4D" w:rsidRPr="00193EF8" w:rsidRDefault="000A1A4D" w:rsidP="000A1A4D">
      <w:pPr>
        <w:spacing w:line="276" w:lineRule="auto"/>
        <w:rPr>
          <w:rFonts w:asciiTheme="minorHAnsi" w:eastAsia="SimSun" w:hAnsiTheme="minorHAnsi"/>
          <w:i/>
          <w:lang w:val="sq-AL"/>
        </w:rPr>
      </w:pPr>
      <w:r w:rsidRPr="00193EF8">
        <w:rPr>
          <w:rFonts w:asciiTheme="minorHAnsi" w:eastAsia="SimSun" w:hAnsiTheme="minorHAnsi"/>
          <w:i/>
          <w:lang w:val="sq-AL"/>
        </w:rPr>
        <w:t xml:space="preserve">Tabela </w:t>
      </w:r>
      <w:r w:rsidR="000B3625">
        <w:rPr>
          <w:rFonts w:asciiTheme="minorHAnsi" w:eastAsia="SimSun" w:hAnsiTheme="minorHAnsi"/>
          <w:i/>
          <w:lang w:val="sq-AL"/>
        </w:rPr>
        <w:t>1</w:t>
      </w:r>
      <w:r>
        <w:rPr>
          <w:rFonts w:asciiTheme="minorHAnsi" w:eastAsia="SimSun" w:hAnsiTheme="minorHAnsi"/>
          <w:i/>
          <w:lang w:val="sq-AL"/>
        </w:rPr>
        <w:t>2</w:t>
      </w:r>
      <w:r w:rsidRPr="00193EF8">
        <w:rPr>
          <w:rFonts w:asciiTheme="minorHAnsi" w:eastAsia="SimSun" w:hAnsiTheme="minorHAnsi"/>
          <w:i/>
          <w:lang w:val="sq-AL"/>
        </w:rPr>
        <w:t>:</w:t>
      </w:r>
      <w:r>
        <w:rPr>
          <w:rFonts w:asciiTheme="minorHAnsi" w:eastAsia="SimSun" w:hAnsiTheme="minorHAnsi"/>
          <w:i/>
          <w:lang w:val="sq-AL"/>
        </w:rPr>
        <w:tab/>
        <w:t>Rritja e importit të mallrave, sipas kategorive kryesore</w:t>
      </w:r>
    </w:p>
    <w:p w:rsidR="000A1A4D" w:rsidRPr="00444289" w:rsidRDefault="000A1A4D" w:rsidP="000A1A4D">
      <w:pPr>
        <w:spacing w:before="120" w:after="120" w:line="276" w:lineRule="auto"/>
        <w:jc w:val="center"/>
        <w:rPr>
          <w:rFonts w:asciiTheme="minorHAnsi" w:hAnsiTheme="minorHAnsi"/>
          <w:noProof/>
          <w:lang w:val="sq-AL"/>
        </w:rPr>
      </w:pPr>
      <w:r w:rsidRPr="00A403F7">
        <w:rPr>
          <w:noProof/>
        </w:rPr>
        <w:drawing>
          <wp:inline distT="0" distB="0" distL="0" distR="0" wp14:anchorId="291FDC65" wp14:editId="4656C8D6">
            <wp:extent cx="5165083" cy="17830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79395" cy="1788021"/>
                    </a:xfrm>
                    <a:prstGeom prst="rect">
                      <a:avLst/>
                    </a:prstGeom>
                    <a:noFill/>
                    <a:ln>
                      <a:noFill/>
                    </a:ln>
                  </pic:spPr>
                </pic:pic>
              </a:graphicData>
            </a:graphic>
          </wp:inline>
        </w:drawing>
      </w:r>
    </w:p>
    <w:p w:rsidR="000A1A4D" w:rsidRDefault="000A1A4D" w:rsidP="000A1A4D">
      <w:pPr>
        <w:spacing w:before="120" w:after="120" w:line="276" w:lineRule="auto"/>
        <w:jc w:val="both"/>
        <w:rPr>
          <w:rFonts w:asciiTheme="minorHAnsi" w:hAnsiTheme="minorHAnsi"/>
          <w:noProof/>
          <w:lang w:val="sq-AL"/>
        </w:rPr>
      </w:pPr>
      <w:r w:rsidRPr="00444289">
        <w:rPr>
          <w:rFonts w:asciiTheme="minorHAnsi" w:hAnsiTheme="minorHAnsi"/>
          <w:noProof/>
          <w:lang w:val="sq-AL"/>
        </w:rPr>
        <w:t xml:space="preserve">Në grafikun e mëposhtëm paraqitet rritja mujore e totalit të importeve në përqindje, kundrejt të njëjtit muaj të një viti më parë, për tre vitet e fundit. </w:t>
      </w:r>
    </w:p>
    <w:p w:rsidR="000A1A4D" w:rsidRPr="00193EF8" w:rsidRDefault="000A1A4D" w:rsidP="000A1A4D">
      <w:pPr>
        <w:spacing w:line="276" w:lineRule="auto"/>
        <w:rPr>
          <w:rFonts w:asciiTheme="minorHAnsi" w:eastAsia="SimSun" w:hAnsiTheme="minorHAnsi"/>
          <w: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0B3625">
        <w:rPr>
          <w:rFonts w:asciiTheme="minorHAnsi" w:eastAsia="SimSun" w:hAnsiTheme="minorHAnsi"/>
          <w:i/>
          <w:lang w:val="sq-AL"/>
        </w:rPr>
        <w:t>34</w:t>
      </w:r>
      <w:r w:rsidRPr="00193EF8">
        <w:rPr>
          <w:rFonts w:asciiTheme="minorHAnsi" w:eastAsia="SimSun" w:hAnsiTheme="minorHAnsi"/>
          <w:i/>
          <w:lang w:val="sq-AL"/>
        </w:rPr>
        <w:t>:</w:t>
      </w:r>
      <w:r>
        <w:rPr>
          <w:rFonts w:asciiTheme="minorHAnsi" w:eastAsia="SimSun" w:hAnsiTheme="minorHAnsi"/>
          <w:i/>
          <w:lang w:val="sq-AL"/>
        </w:rPr>
        <w:tab/>
      </w:r>
      <w:r>
        <w:rPr>
          <w:rFonts w:asciiTheme="minorHAnsi" w:hAnsiTheme="minorHAnsi"/>
          <w:noProof/>
          <w:lang w:val="sq-AL"/>
        </w:rPr>
        <w:t>R</w:t>
      </w:r>
      <w:r w:rsidRPr="00444289">
        <w:rPr>
          <w:rFonts w:asciiTheme="minorHAnsi" w:hAnsiTheme="minorHAnsi"/>
          <w:noProof/>
          <w:lang w:val="sq-AL"/>
        </w:rPr>
        <w:t xml:space="preserve">ritja mujore e totalit të </w:t>
      </w:r>
      <w:r>
        <w:rPr>
          <w:rFonts w:asciiTheme="minorHAnsi" w:hAnsiTheme="minorHAnsi"/>
          <w:noProof/>
          <w:lang w:val="sq-AL"/>
        </w:rPr>
        <w:t>importeve,</w:t>
      </w:r>
      <w:r w:rsidRPr="00444289">
        <w:rPr>
          <w:rFonts w:asciiTheme="minorHAnsi" w:hAnsiTheme="minorHAnsi"/>
          <w:noProof/>
          <w:lang w:val="sq-AL"/>
        </w:rPr>
        <w:t xml:space="preserve"> në përqindje</w:t>
      </w:r>
    </w:p>
    <w:p w:rsidR="000A1A4D" w:rsidRPr="00444289" w:rsidRDefault="000A1A4D" w:rsidP="000A1A4D">
      <w:pPr>
        <w:spacing w:before="120" w:after="120" w:line="276" w:lineRule="auto"/>
        <w:jc w:val="center"/>
        <w:rPr>
          <w:rFonts w:asciiTheme="minorHAnsi" w:hAnsiTheme="minorHAnsi"/>
          <w:noProof/>
          <w:lang w:val="sq-AL"/>
        </w:rPr>
      </w:pPr>
      <w:r w:rsidRPr="00A403F7">
        <w:rPr>
          <w:noProof/>
        </w:rPr>
        <w:drawing>
          <wp:inline distT="0" distB="0" distL="0" distR="0" wp14:anchorId="0A6391C9" wp14:editId="28DC8FE8">
            <wp:extent cx="6022975" cy="22250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26080" cy="2226187"/>
                    </a:xfrm>
                    <a:prstGeom prst="rect">
                      <a:avLst/>
                    </a:prstGeom>
                    <a:noFill/>
                    <a:ln>
                      <a:noFill/>
                    </a:ln>
                  </pic:spPr>
                </pic:pic>
              </a:graphicData>
            </a:graphic>
          </wp:inline>
        </w:drawing>
      </w:r>
    </w:p>
    <w:p w:rsidR="000A1A4D" w:rsidRPr="00400CD3" w:rsidRDefault="000A1A4D" w:rsidP="000A1A4D">
      <w:pPr>
        <w:spacing w:line="276" w:lineRule="auto"/>
        <w:contextualSpacing/>
        <w:jc w:val="both"/>
        <w:rPr>
          <w:rFonts w:asciiTheme="minorHAnsi" w:hAnsiTheme="minorHAnsi"/>
          <w:noProof/>
          <w:lang w:val="sq-AL"/>
        </w:rPr>
      </w:pPr>
      <w:r w:rsidRPr="00400CD3">
        <w:rPr>
          <w:rFonts w:asciiTheme="minorHAnsi" w:hAnsiTheme="minorHAnsi"/>
          <w:noProof/>
          <w:lang w:val="sq-AL"/>
        </w:rPr>
        <w:t>Ndërkohe, në ndryshimin vjetor të importeve kanë ndikuar negativisht grupi “Materiale ndërtimi dhe metale” me -1.5 pikë përqindje. Zhvillimet sipas kategorive kryesore të mallrave të importit, si dhe kontributi i tyre në totalin e importeve, paraqiten në tabelën e mëposhtme. Këto zhvillime në tregtinë e jashtme janë reflektuar dhe tek deficiti tregtar, i cili për periudhën janar – maj 2017 është përmirësuar me 4.1% krahasuar me të njëjtën periudhë të një viti më parë. Ndërsa, norma e mbulimit të eksporteve ndaj importeve për këtë periudhë është 44.2%.</w:t>
      </w:r>
    </w:p>
    <w:p w:rsidR="000A1A4D" w:rsidRPr="006E1AD9" w:rsidRDefault="000A1A4D" w:rsidP="000A1A4D">
      <w:pPr>
        <w:spacing w:line="276" w:lineRule="auto"/>
        <w:rPr>
          <w:rFonts w:asciiTheme="minorHAnsi" w:eastAsia="SimSun" w:hAnsiTheme="minorHAnsi"/>
          <w:i/>
          <w:sz w:val="8"/>
          <w:szCs w:val="8"/>
          <w:lang w:val="sq-AL"/>
        </w:rPr>
      </w:pPr>
    </w:p>
    <w:p w:rsidR="000A1A4D" w:rsidRPr="00193EF8" w:rsidRDefault="000A1A4D" w:rsidP="000A1A4D">
      <w:pPr>
        <w:spacing w:line="276" w:lineRule="auto"/>
        <w:rPr>
          <w:rFonts w:asciiTheme="minorHAnsi" w:eastAsia="SimSun" w:hAnsiTheme="minorHAnsi"/>
          <w:i/>
          <w:lang w:val="sq-AL"/>
        </w:rPr>
      </w:pPr>
      <w:r w:rsidRPr="00193EF8">
        <w:rPr>
          <w:rFonts w:asciiTheme="minorHAnsi" w:eastAsia="SimSun" w:hAnsiTheme="minorHAnsi"/>
          <w:i/>
          <w:lang w:val="sq-AL"/>
        </w:rPr>
        <w:t xml:space="preserve">Tabela </w:t>
      </w:r>
      <w:r w:rsidR="000B3625">
        <w:rPr>
          <w:rFonts w:asciiTheme="minorHAnsi" w:eastAsia="SimSun" w:hAnsiTheme="minorHAnsi"/>
          <w:i/>
          <w:lang w:val="sq-AL"/>
        </w:rPr>
        <w:t>1</w:t>
      </w:r>
      <w:r>
        <w:rPr>
          <w:rFonts w:asciiTheme="minorHAnsi" w:eastAsia="SimSun" w:hAnsiTheme="minorHAnsi"/>
          <w:i/>
          <w:lang w:val="sq-AL"/>
        </w:rPr>
        <w:t>3</w:t>
      </w:r>
      <w:r w:rsidRPr="00193EF8">
        <w:rPr>
          <w:rFonts w:asciiTheme="minorHAnsi" w:eastAsia="SimSun" w:hAnsiTheme="minorHAnsi"/>
          <w:i/>
          <w:lang w:val="sq-AL"/>
        </w:rPr>
        <w:t>:</w:t>
      </w:r>
      <w:r>
        <w:rPr>
          <w:rFonts w:asciiTheme="minorHAnsi" w:eastAsia="SimSun" w:hAnsiTheme="minorHAnsi"/>
          <w:i/>
          <w:lang w:val="sq-AL"/>
        </w:rPr>
        <w:tab/>
        <w:t>Bilanci tregtar, sipas kategorive kryesore</w:t>
      </w:r>
    </w:p>
    <w:p w:rsidR="000A1A4D" w:rsidRPr="00444289" w:rsidRDefault="000A1A4D" w:rsidP="000A1A4D">
      <w:pPr>
        <w:spacing w:before="120" w:after="120" w:line="276" w:lineRule="auto"/>
        <w:jc w:val="center"/>
        <w:rPr>
          <w:rFonts w:asciiTheme="minorHAnsi" w:hAnsiTheme="minorHAnsi"/>
          <w:noProof/>
          <w:lang w:val="sq-AL"/>
        </w:rPr>
      </w:pPr>
      <w:r w:rsidRPr="00A403F7">
        <w:rPr>
          <w:noProof/>
        </w:rPr>
        <w:drawing>
          <wp:inline distT="0" distB="0" distL="0" distR="0" wp14:anchorId="3089807D" wp14:editId="261300A5">
            <wp:extent cx="5286375" cy="1866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8439" cy="1874692"/>
                    </a:xfrm>
                    <a:prstGeom prst="rect">
                      <a:avLst/>
                    </a:prstGeom>
                    <a:noFill/>
                    <a:ln>
                      <a:noFill/>
                    </a:ln>
                  </pic:spPr>
                </pic:pic>
              </a:graphicData>
            </a:graphic>
          </wp:inline>
        </w:drawing>
      </w:r>
    </w:p>
    <w:p w:rsidR="000A1A4D" w:rsidRPr="000A1A4D" w:rsidRDefault="000A1A4D" w:rsidP="000A1A4D">
      <w:pPr>
        <w:spacing w:before="120" w:after="120" w:line="276" w:lineRule="auto"/>
        <w:jc w:val="both"/>
        <w:rPr>
          <w:rFonts w:asciiTheme="minorHAnsi" w:hAnsiTheme="minorHAnsi"/>
          <w:b/>
          <w:noProof/>
          <w:sz w:val="16"/>
          <w:lang w:val="sq-AL"/>
        </w:rPr>
      </w:pPr>
    </w:p>
    <w:p w:rsidR="000A1A4D" w:rsidRPr="00444289" w:rsidRDefault="000A1A4D" w:rsidP="000A1A4D">
      <w:pPr>
        <w:spacing w:before="120" w:after="120" w:line="276" w:lineRule="auto"/>
        <w:jc w:val="both"/>
        <w:rPr>
          <w:rFonts w:asciiTheme="minorHAnsi" w:hAnsiTheme="minorHAnsi"/>
          <w:b/>
          <w:noProof/>
          <w:lang w:val="sq-AL"/>
        </w:rPr>
      </w:pPr>
      <w:r w:rsidRPr="00444289">
        <w:rPr>
          <w:rFonts w:asciiTheme="minorHAnsi" w:hAnsiTheme="minorHAnsi"/>
          <w:b/>
          <w:noProof/>
          <w:lang w:val="sq-AL"/>
        </w:rPr>
        <w:t>Sektori monetar</w:t>
      </w:r>
    </w:p>
    <w:p w:rsidR="000A1A4D" w:rsidRDefault="000A1A4D" w:rsidP="000A1A4D">
      <w:pPr>
        <w:spacing w:before="120" w:after="120" w:line="276" w:lineRule="auto"/>
        <w:jc w:val="both"/>
        <w:rPr>
          <w:rFonts w:asciiTheme="minorHAnsi" w:hAnsiTheme="minorHAnsi"/>
          <w:noProof/>
          <w:lang w:val="sq-AL"/>
        </w:rPr>
      </w:pPr>
      <w:r>
        <w:rPr>
          <w:rFonts w:asciiTheme="minorHAnsi" w:hAnsiTheme="minorHAnsi"/>
          <w:noProof/>
          <w:lang w:val="sq-AL"/>
        </w:rPr>
        <w:t>N</w:t>
      </w:r>
      <w:r w:rsidRPr="00F57279">
        <w:rPr>
          <w:rFonts w:asciiTheme="minorHAnsi" w:hAnsiTheme="minorHAnsi"/>
          <w:noProof/>
          <w:lang w:val="sq-AL"/>
        </w:rPr>
        <w:t xml:space="preserve">dryshimi vjetor i indeksit të çmimeve të konsumit </w:t>
      </w:r>
      <w:r>
        <w:rPr>
          <w:rFonts w:asciiTheme="minorHAnsi" w:hAnsiTheme="minorHAnsi"/>
          <w:noProof/>
          <w:lang w:val="sq-AL"/>
        </w:rPr>
        <w:t xml:space="preserve">në </w:t>
      </w:r>
      <w:r w:rsidRPr="00F57279">
        <w:rPr>
          <w:rFonts w:asciiTheme="minorHAnsi" w:hAnsiTheme="minorHAnsi"/>
          <w:noProof/>
          <w:lang w:val="sq-AL"/>
        </w:rPr>
        <w:t>muajin maj 2017 ishte +2</w:t>
      </w:r>
      <w:r>
        <w:rPr>
          <w:rFonts w:asciiTheme="minorHAnsi" w:hAnsiTheme="minorHAnsi"/>
          <w:noProof/>
          <w:lang w:val="sq-AL"/>
        </w:rPr>
        <w:t>.</w:t>
      </w:r>
      <w:r w:rsidRPr="00F57279">
        <w:rPr>
          <w:rFonts w:asciiTheme="minorHAnsi" w:hAnsiTheme="minorHAnsi"/>
          <w:noProof/>
          <w:lang w:val="sq-AL"/>
        </w:rPr>
        <w:t>0%</w:t>
      </w:r>
      <w:r>
        <w:rPr>
          <w:rFonts w:asciiTheme="minorHAnsi" w:hAnsiTheme="minorHAnsi"/>
          <w:noProof/>
          <w:lang w:val="sq-AL"/>
        </w:rPr>
        <w:t xml:space="preserve">, ndërsa inflacioni mesatar për periudhën janar-maj 2017 </w:t>
      </w:r>
      <w:r w:rsidRPr="001120E5">
        <w:rPr>
          <w:rFonts w:asciiTheme="minorHAnsi" w:hAnsiTheme="minorHAnsi"/>
          <w:noProof/>
          <w:lang w:val="sq-AL"/>
        </w:rPr>
        <w:t>ishte 2.2%.</w:t>
      </w:r>
      <w:r w:rsidRPr="00F57279">
        <w:rPr>
          <w:rFonts w:asciiTheme="minorHAnsi" w:hAnsiTheme="minorHAnsi"/>
          <w:noProof/>
          <w:lang w:val="sq-AL"/>
        </w:rPr>
        <w:t xml:space="preserve"> Ne Figurën më posht</w:t>
      </w:r>
      <w:r>
        <w:rPr>
          <w:rFonts w:asciiTheme="minorHAnsi" w:hAnsiTheme="minorHAnsi"/>
          <w:noProof/>
          <w:lang w:val="sq-AL"/>
        </w:rPr>
        <w:t>ë</w:t>
      </w:r>
      <w:r w:rsidRPr="00F57279">
        <w:rPr>
          <w:rFonts w:asciiTheme="minorHAnsi" w:hAnsiTheme="minorHAnsi"/>
          <w:noProof/>
          <w:lang w:val="sq-AL"/>
        </w:rPr>
        <w:t xml:space="preserve"> </w:t>
      </w:r>
      <w:r>
        <w:rPr>
          <w:rFonts w:asciiTheme="minorHAnsi" w:hAnsiTheme="minorHAnsi"/>
          <w:noProof/>
          <w:lang w:val="sq-AL"/>
        </w:rPr>
        <w:t>paraqitet</w:t>
      </w:r>
      <w:r w:rsidRPr="00F57279">
        <w:rPr>
          <w:rFonts w:asciiTheme="minorHAnsi" w:hAnsiTheme="minorHAnsi"/>
          <w:noProof/>
          <w:lang w:val="sq-AL"/>
        </w:rPr>
        <w:t xml:space="preserve"> ecuria e çmimeve për 3 vitet e fundit:</w:t>
      </w:r>
    </w:p>
    <w:p w:rsidR="000A1A4D" w:rsidRPr="00193EF8" w:rsidRDefault="000A1A4D" w:rsidP="000A1A4D">
      <w:pPr>
        <w:spacing w:line="276" w:lineRule="auto"/>
        <w:rPr>
          <w:rFonts w:asciiTheme="minorHAnsi" w:eastAsia="SimSun" w:hAnsiTheme="minorHAnsi"/>
          <w: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Pr>
          <w:rFonts w:asciiTheme="minorHAnsi" w:eastAsia="SimSun" w:hAnsiTheme="minorHAnsi"/>
          <w:i/>
          <w:lang w:val="sq-AL"/>
        </w:rPr>
        <w:t>3</w:t>
      </w:r>
      <w:r w:rsidR="000B3625">
        <w:rPr>
          <w:rFonts w:asciiTheme="minorHAnsi" w:eastAsia="SimSun" w:hAnsiTheme="minorHAnsi"/>
          <w:i/>
          <w:lang w:val="sq-AL"/>
        </w:rPr>
        <w:t>5</w:t>
      </w:r>
      <w:r w:rsidRPr="00193EF8">
        <w:rPr>
          <w:rFonts w:asciiTheme="minorHAnsi" w:eastAsia="SimSun" w:hAnsiTheme="minorHAnsi"/>
          <w:i/>
          <w:lang w:val="sq-AL"/>
        </w:rPr>
        <w:t>:</w:t>
      </w:r>
      <w:r>
        <w:rPr>
          <w:rFonts w:asciiTheme="minorHAnsi" w:eastAsia="SimSun" w:hAnsiTheme="minorHAnsi"/>
          <w:i/>
          <w:lang w:val="sq-AL"/>
        </w:rPr>
        <w:tab/>
      </w:r>
      <w:r>
        <w:rPr>
          <w:rFonts w:asciiTheme="minorHAnsi" w:hAnsiTheme="minorHAnsi"/>
          <w:noProof/>
          <w:lang w:val="sq-AL"/>
        </w:rPr>
        <w:t>E</w:t>
      </w:r>
      <w:r w:rsidRPr="00444289">
        <w:rPr>
          <w:rFonts w:asciiTheme="minorHAnsi" w:hAnsiTheme="minorHAnsi"/>
          <w:noProof/>
          <w:lang w:val="sq-AL"/>
        </w:rPr>
        <w:t>curia e çmimeve</w:t>
      </w:r>
      <w:r>
        <w:rPr>
          <w:rFonts w:asciiTheme="minorHAnsi" w:hAnsiTheme="minorHAnsi"/>
          <w:noProof/>
          <w:lang w:val="sq-AL"/>
        </w:rPr>
        <w:t xml:space="preserve"> 2014-2017,</w:t>
      </w:r>
      <w:r w:rsidRPr="00444289">
        <w:rPr>
          <w:rFonts w:asciiTheme="minorHAnsi" w:hAnsiTheme="minorHAnsi"/>
          <w:noProof/>
          <w:lang w:val="sq-AL"/>
        </w:rPr>
        <w:t xml:space="preserve"> në përqindje</w:t>
      </w:r>
    </w:p>
    <w:p w:rsidR="000A1A4D" w:rsidRPr="00444289" w:rsidRDefault="000A1A4D" w:rsidP="000A1A4D">
      <w:pPr>
        <w:spacing w:before="120" w:after="120" w:line="276" w:lineRule="auto"/>
        <w:jc w:val="center"/>
        <w:rPr>
          <w:rFonts w:asciiTheme="minorHAnsi" w:hAnsiTheme="minorHAnsi"/>
          <w:noProof/>
          <w:lang w:val="sq-AL"/>
        </w:rPr>
      </w:pPr>
      <w:r w:rsidRPr="00E41B0C">
        <w:rPr>
          <w:noProof/>
        </w:rPr>
        <w:drawing>
          <wp:inline distT="0" distB="0" distL="0" distR="0" wp14:anchorId="420C8D7D" wp14:editId="769CBC30">
            <wp:extent cx="5902325" cy="2758440"/>
            <wp:effectExtent l="0" t="0" r="317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2759" cy="2763316"/>
                    </a:xfrm>
                    <a:prstGeom prst="rect">
                      <a:avLst/>
                    </a:prstGeom>
                    <a:noFill/>
                    <a:ln>
                      <a:noFill/>
                    </a:ln>
                  </pic:spPr>
                </pic:pic>
              </a:graphicData>
            </a:graphic>
          </wp:inline>
        </w:drawing>
      </w:r>
    </w:p>
    <w:p w:rsidR="000A1A4D" w:rsidRPr="00563387" w:rsidRDefault="000A1A4D" w:rsidP="000A1A4D">
      <w:pPr>
        <w:spacing w:before="120" w:after="120" w:line="276" w:lineRule="auto"/>
        <w:jc w:val="both"/>
        <w:rPr>
          <w:rFonts w:asciiTheme="minorHAnsi" w:hAnsiTheme="minorHAnsi"/>
          <w:noProof/>
          <w:sz w:val="8"/>
          <w:szCs w:val="8"/>
          <w:lang w:val="sq-AL"/>
        </w:rPr>
      </w:pPr>
    </w:p>
    <w:p w:rsidR="000A1A4D" w:rsidRDefault="000A1A4D" w:rsidP="000A1A4D">
      <w:pPr>
        <w:spacing w:before="120" w:after="120" w:line="276" w:lineRule="auto"/>
        <w:jc w:val="both"/>
        <w:rPr>
          <w:rFonts w:asciiTheme="minorHAnsi" w:hAnsiTheme="minorHAnsi"/>
          <w:noProof/>
          <w:lang w:val="sq-AL"/>
        </w:rPr>
      </w:pPr>
      <w:r w:rsidRPr="00444289">
        <w:rPr>
          <w:rFonts w:asciiTheme="minorHAnsi" w:hAnsiTheme="minorHAnsi"/>
          <w:noProof/>
          <w:lang w:val="sq-AL"/>
        </w:rPr>
        <w:t>Në tabelën e mëposhtme mund të vihen re kontributet dhe rritjet respektive në çmime për çdo grup mallrash.</w:t>
      </w:r>
    </w:p>
    <w:p w:rsidR="000A1A4D" w:rsidRDefault="000A1A4D" w:rsidP="000A1A4D">
      <w:pPr>
        <w:spacing w:line="276" w:lineRule="auto"/>
        <w:rPr>
          <w:rFonts w:asciiTheme="minorHAnsi" w:eastAsia="SimSun" w:hAnsiTheme="minorHAnsi"/>
          <w:i/>
          <w:lang w:val="sq-AL"/>
        </w:rPr>
      </w:pPr>
    </w:p>
    <w:p w:rsidR="000A1A4D" w:rsidRPr="00193EF8" w:rsidRDefault="000A1A4D" w:rsidP="000A1A4D">
      <w:pPr>
        <w:spacing w:line="276" w:lineRule="auto"/>
        <w:rPr>
          <w:rFonts w:asciiTheme="minorHAnsi" w:eastAsia="SimSun" w:hAnsiTheme="minorHAnsi"/>
          <w:i/>
          <w:lang w:val="sq-AL"/>
        </w:rPr>
      </w:pPr>
      <w:r w:rsidRPr="00193EF8">
        <w:rPr>
          <w:rFonts w:asciiTheme="minorHAnsi" w:eastAsia="SimSun" w:hAnsiTheme="minorHAnsi"/>
          <w:i/>
          <w:lang w:val="sq-AL"/>
        </w:rPr>
        <w:t xml:space="preserve">Tabela </w:t>
      </w:r>
      <w:r w:rsidR="000B3625">
        <w:rPr>
          <w:rFonts w:asciiTheme="minorHAnsi" w:eastAsia="SimSun" w:hAnsiTheme="minorHAnsi"/>
          <w:i/>
          <w:lang w:val="sq-AL"/>
        </w:rPr>
        <w:t>1</w:t>
      </w:r>
      <w:r>
        <w:rPr>
          <w:rFonts w:asciiTheme="minorHAnsi" w:eastAsia="SimSun" w:hAnsiTheme="minorHAnsi"/>
          <w:i/>
          <w:lang w:val="sq-AL"/>
        </w:rPr>
        <w:t>4</w:t>
      </w:r>
      <w:r w:rsidRPr="00193EF8">
        <w:rPr>
          <w:rFonts w:asciiTheme="minorHAnsi" w:eastAsia="SimSun" w:hAnsiTheme="minorHAnsi"/>
          <w:i/>
          <w:lang w:val="sq-AL"/>
        </w:rPr>
        <w:t>:</w:t>
      </w:r>
      <w:r>
        <w:rPr>
          <w:rFonts w:asciiTheme="minorHAnsi" w:eastAsia="SimSun" w:hAnsiTheme="minorHAnsi"/>
          <w:i/>
          <w:lang w:val="sq-AL"/>
        </w:rPr>
        <w:tab/>
        <w:t>Rritja vjetore e çmimeve, në përqindje</w:t>
      </w:r>
    </w:p>
    <w:p w:rsidR="000A1A4D" w:rsidRPr="00444289" w:rsidRDefault="000A1A4D" w:rsidP="000A1A4D">
      <w:pPr>
        <w:spacing w:before="120" w:after="120" w:line="276" w:lineRule="auto"/>
        <w:jc w:val="center"/>
        <w:rPr>
          <w:rFonts w:asciiTheme="minorHAnsi" w:hAnsiTheme="minorHAnsi"/>
          <w:noProof/>
          <w:lang w:val="sq-AL"/>
        </w:rPr>
      </w:pPr>
      <w:r w:rsidRPr="00A04479">
        <w:rPr>
          <w:noProof/>
        </w:rPr>
        <w:drawing>
          <wp:inline distT="0" distB="0" distL="0" distR="0" wp14:anchorId="75EC7E16" wp14:editId="0CAE0D8D">
            <wp:extent cx="5645150" cy="17449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59185" cy="1749318"/>
                    </a:xfrm>
                    <a:prstGeom prst="rect">
                      <a:avLst/>
                    </a:prstGeom>
                    <a:noFill/>
                    <a:ln>
                      <a:noFill/>
                    </a:ln>
                  </pic:spPr>
                </pic:pic>
              </a:graphicData>
            </a:graphic>
          </wp:inline>
        </w:drawing>
      </w:r>
    </w:p>
    <w:p w:rsidR="000A1A4D" w:rsidRPr="00563387" w:rsidRDefault="000A1A4D" w:rsidP="000A1A4D">
      <w:pPr>
        <w:spacing w:line="276" w:lineRule="auto"/>
        <w:jc w:val="both"/>
        <w:rPr>
          <w:rFonts w:asciiTheme="minorHAnsi" w:hAnsiTheme="minorHAnsi"/>
          <w:noProof/>
          <w:sz w:val="12"/>
          <w:szCs w:val="12"/>
          <w:lang w:val="sq-AL"/>
        </w:rPr>
      </w:pPr>
    </w:p>
    <w:p w:rsidR="000A1A4D" w:rsidRDefault="000A1A4D" w:rsidP="000A1A4D">
      <w:pPr>
        <w:spacing w:line="276" w:lineRule="auto"/>
        <w:jc w:val="both"/>
        <w:rPr>
          <w:rFonts w:asciiTheme="minorHAnsi" w:hAnsiTheme="minorHAnsi"/>
          <w:noProof/>
          <w:lang w:val="sq-AL"/>
        </w:rPr>
      </w:pPr>
      <w:r w:rsidRPr="00563387">
        <w:rPr>
          <w:rFonts w:asciiTheme="minorHAnsi" w:hAnsiTheme="minorHAnsi"/>
          <w:noProof/>
          <w:lang w:val="sq-AL"/>
        </w:rPr>
        <w:t>Rezultatet e vrojtimit të aktivitetit kreditues për tremujorin e parë të vitit 2017, tregojnë shtrëngim të standardeve të kreditimit për bizneset dhe lehtësim të standardeve të kreditimit për individët, në përputhje me pritjet e tremujorit të kaluar. Shtrëngimi i standardeve të kreditimit për bizneset është shënuar në segmentin e ndërmarrjeve të mëdha, ndërsa për ndërmarrjet e vogla dhe të mesme ka pasur prirje lehtësuese. Për individët, standardet e kreditimit janë lehtësuar si për kredinë konsumatore, ashtu edhe për kredinë për blerje banese, por lehtësimi ka qenë më i theksuar në segmentin e parë. Kërkesa për kredi në tremujorin e parë të vitit 2017 u raportua në rritje si për bizneset, ashtu edhe për individët. Rritja e kërkesës së individëve është regjistruar kryesisht për kredi konsumatore, ndërsa ajo për blerje banese ka shfaqur tkurrje. Për sa i takon kërkesës së bizneseve, ajo ka shfaqur një zgjerim të lehtë, kryesisht nga ndërmarrjet e vogla dhe të mesme.</w:t>
      </w:r>
      <w:r>
        <w:rPr>
          <w:rFonts w:asciiTheme="minorHAnsi" w:hAnsiTheme="minorHAnsi"/>
          <w:noProof/>
          <w:lang w:val="sq-AL"/>
        </w:rPr>
        <w:t xml:space="preserve"> </w:t>
      </w:r>
      <w:r w:rsidRPr="00563387">
        <w:rPr>
          <w:rFonts w:asciiTheme="minorHAnsi" w:hAnsiTheme="minorHAnsi"/>
          <w:noProof/>
          <w:lang w:val="sq-AL"/>
        </w:rPr>
        <w:t xml:space="preserve">Referuar të dhënave të deritanishme, deri në muajin prill të vitit 2017 stoku total i depozitave bankare u rrit me 2.5% krahasuar me muajin prill të vitit 2016. Stoku total i depozitave në Lekë ka shënuar një rënie prej 1.4%, ndërsa ai në valutë është rritur me 6.2% krahasuar me të njëjtin muaj të vitit 2016. Në prill 2017 rezulton se rreth 47.72% e totalit të stokut të depozitave përbëhet nga depozitat në Lekë, ndërsa pjesa tjetër prej 52.28% përbëhet nga depozitimet në valutë të huaj. </w:t>
      </w:r>
    </w:p>
    <w:p w:rsidR="000A1A4D" w:rsidRPr="00563387" w:rsidRDefault="000A1A4D" w:rsidP="000A1A4D">
      <w:pPr>
        <w:spacing w:line="276" w:lineRule="auto"/>
        <w:jc w:val="both"/>
        <w:rPr>
          <w:rFonts w:asciiTheme="minorHAnsi" w:hAnsiTheme="minorHAnsi"/>
          <w:noProof/>
          <w:sz w:val="8"/>
          <w:szCs w:val="8"/>
          <w:lang w:val="sq-AL"/>
        </w:rPr>
      </w:pPr>
    </w:p>
    <w:p w:rsidR="000A1A4D" w:rsidRPr="00193EF8" w:rsidRDefault="000A1A4D" w:rsidP="000A1A4D">
      <w:pPr>
        <w:spacing w:line="276" w:lineRule="auto"/>
        <w:jc w:val="both"/>
        <w:rPr>
          <w:rFonts w:asciiTheme="minorHAnsi" w:eastAsia="SimSun" w:hAnsiTheme="minorHAnsi"/>
          <w: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0B3625">
        <w:rPr>
          <w:rFonts w:asciiTheme="minorHAnsi" w:eastAsia="SimSun" w:hAnsiTheme="minorHAnsi"/>
          <w:i/>
          <w:lang w:val="sq-AL"/>
        </w:rPr>
        <w:t>36</w:t>
      </w:r>
      <w:r w:rsidRPr="00193EF8">
        <w:rPr>
          <w:rFonts w:asciiTheme="minorHAnsi" w:eastAsia="SimSun" w:hAnsiTheme="minorHAnsi"/>
          <w:i/>
          <w:lang w:val="sq-AL"/>
        </w:rPr>
        <w:t>:</w:t>
      </w:r>
      <w:r>
        <w:rPr>
          <w:rFonts w:asciiTheme="minorHAnsi" w:eastAsia="SimSun" w:hAnsiTheme="minorHAnsi"/>
          <w:i/>
          <w:lang w:val="sq-AL"/>
        </w:rPr>
        <w:tab/>
      </w:r>
      <w:r>
        <w:rPr>
          <w:rFonts w:asciiTheme="minorHAnsi" w:hAnsiTheme="minorHAnsi"/>
          <w:noProof/>
          <w:lang w:val="sq-AL"/>
        </w:rPr>
        <w:t>E</w:t>
      </w:r>
      <w:r w:rsidRPr="00444289">
        <w:rPr>
          <w:rFonts w:asciiTheme="minorHAnsi" w:hAnsiTheme="minorHAnsi"/>
          <w:noProof/>
          <w:lang w:val="sq-AL"/>
        </w:rPr>
        <w:t xml:space="preserve">curia e </w:t>
      </w:r>
      <w:r>
        <w:rPr>
          <w:rFonts w:asciiTheme="minorHAnsi" w:hAnsiTheme="minorHAnsi"/>
          <w:noProof/>
          <w:lang w:val="sq-AL"/>
        </w:rPr>
        <w:t>stokut të depozitave 2016-2017,</w:t>
      </w:r>
      <w:r w:rsidRPr="00444289">
        <w:rPr>
          <w:rFonts w:asciiTheme="minorHAnsi" w:hAnsiTheme="minorHAnsi"/>
          <w:noProof/>
          <w:lang w:val="sq-AL"/>
        </w:rPr>
        <w:t xml:space="preserve"> në përqindje</w:t>
      </w:r>
    </w:p>
    <w:p w:rsidR="000A1A4D" w:rsidRPr="00444289" w:rsidRDefault="000A1A4D" w:rsidP="000A1A4D">
      <w:pPr>
        <w:spacing w:before="120" w:after="120" w:line="276" w:lineRule="auto"/>
        <w:jc w:val="center"/>
        <w:rPr>
          <w:rFonts w:asciiTheme="minorHAnsi" w:hAnsiTheme="minorHAnsi"/>
          <w:noProof/>
          <w:lang w:val="sq-AL"/>
        </w:rPr>
      </w:pPr>
      <w:r w:rsidRPr="00EF576F">
        <w:rPr>
          <w:noProof/>
        </w:rPr>
        <w:drawing>
          <wp:inline distT="0" distB="0" distL="0" distR="0" wp14:anchorId="0C4AA1EF" wp14:editId="2632FAC8">
            <wp:extent cx="5981700" cy="1752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81700" cy="1752600"/>
                    </a:xfrm>
                    <a:prstGeom prst="rect">
                      <a:avLst/>
                    </a:prstGeom>
                    <a:noFill/>
                    <a:ln>
                      <a:noFill/>
                    </a:ln>
                  </pic:spPr>
                </pic:pic>
              </a:graphicData>
            </a:graphic>
          </wp:inline>
        </w:drawing>
      </w:r>
    </w:p>
    <w:p w:rsidR="000A1A4D" w:rsidRDefault="000A1A4D" w:rsidP="000A1A4D">
      <w:pPr>
        <w:spacing w:line="276" w:lineRule="auto"/>
        <w:jc w:val="both"/>
        <w:rPr>
          <w:rFonts w:asciiTheme="minorHAnsi" w:hAnsiTheme="minorHAnsi"/>
          <w:noProof/>
          <w:lang w:val="sq-AL"/>
        </w:rPr>
      </w:pPr>
      <w:r w:rsidRPr="00563387">
        <w:rPr>
          <w:rFonts w:asciiTheme="minorHAnsi" w:hAnsiTheme="minorHAnsi"/>
          <w:noProof/>
          <w:lang w:val="sq-AL"/>
        </w:rPr>
        <w:t xml:space="preserve">Deri në muajin prill të vitit 2017, stoku total i kredive bankare pati një rënie me 0.4% krahasuar me muajin prill të vitit 2016. Stoku i kredive në lekë shënoi rritje prej 6.9%, ndërsa ai në valutë shënoi rënie prej 6.3%, krahasuar me muajin prill të vitit të kaluar. Pjesa më e madhe e kontributit në rritjen e stokut total të kredisë gjatë kësaj periudhe ka ardhur prej kredive akorduar individëve. </w:t>
      </w:r>
    </w:p>
    <w:p w:rsidR="000A1A4D" w:rsidRPr="00563387" w:rsidRDefault="000A1A4D" w:rsidP="000A1A4D">
      <w:pPr>
        <w:spacing w:line="276" w:lineRule="auto"/>
        <w:jc w:val="both"/>
        <w:rPr>
          <w:rFonts w:asciiTheme="minorHAnsi" w:hAnsiTheme="minorHAnsi"/>
          <w:noProof/>
          <w:sz w:val="8"/>
          <w:szCs w:val="8"/>
          <w:lang w:val="sq-AL"/>
        </w:rPr>
      </w:pPr>
    </w:p>
    <w:p w:rsidR="000A1A4D" w:rsidRPr="007138C5" w:rsidRDefault="000A1A4D" w:rsidP="000A1A4D">
      <w:pPr>
        <w:spacing w:line="276" w:lineRule="auto"/>
        <w:jc w:val="both"/>
        <w:rPr>
          <w:rFonts w:asciiTheme="minorHAnsi" w:eastAsia="SimSun" w:hAnsiTheme="minorHAnsi"/>
          <w: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1</w:t>
      </w:r>
      <w:r w:rsidRPr="007138C5">
        <w:rPr>
          <w:rFonts w:asciiTheme="minorHAnsi" w:eastAsia="SimSun" w:hAnsiTheme="minorHAnsi"/>
          <w:i/>
          <w:lang w:val="sq-AL"/>
        </w:rPr>
        <w:t>5:</w:t>
      </w:r>
      <w:r w:rsidRPr="007138C5">
        <w:rPr>
          <w:rFonts w:asciiTheme="minorHAnsi" w:eastAsia="SimSun" w:hAnsiTheme="minorHAnsi"/>
          <w:i/>
          <w:lang w:val="sq-AL"/>
        </w:rPr>
        <w:tab/>
        <w:t>E</w:t>
      </w:r>
      <w:r w:rsidRPr="007138C5">
        <w:rPr>
          <w:rFonts w:asciiTheme="minorHAnsi" w:hAnsiTheme="minorHAnsi"/>
          <w:i/>
          <w:noProof/>
          <w:lang w:val="sq-AL"/>
        </w:rPr>
        <w:t>curia e kredisë për bizneset dhe individët</w:t>
      </w:r>
      <w:r w:rsidRPr="007138C5">
        <w:rPr>
          <w:rFonts w:asciiTheme="minorHAnsi" w:eastAsia="SimSun" w:hAnsiTheme="minorHAnsi"/>
          <w:i/>
          <w:lang w:val="sq-AL"/>
        </w:rPr>
        <w:t>, n</w:t>
      </w:r>
      <w:r>
        <w:rPr>
          <w:rFonts w:asciiTheme="minorHAnsi" w:eastAsia="SimSun" w:hAnsiTheme="minorHAnsi"/>
          <w:i/>
          <w:lang w:val="sq-AL"/>
        </w:rPr>
        <w:t>ë</w:t>
      </w:r>
      <w:r w:rsidRPr="007138C5">
        <w:rPr>
          <w:rFonts w:asciiTheme="minorHAnsi" w:eastAsia="SimSun" w:hAnsiTheme="minorHAnsi"/>
          <w:i/>
          <w:lang w:val="sq-AL"/>
        </w:rPr>
        <w:t xml:space="preserve"> p</w:t>
      </w:r>
      <w:r>
        <w:rPr>
          <w:rFonts w:asciiTheme="minorHAnsi" w:eastAsia="SimSun" w:hAnsiTheme="minorHAnsi"/>
          <w:i/>
          <w:lang w:val="sq-AL"/>
        </w:rPr>
        <w:t>ë</w:t>
      </w:r>
      <w:r w:rsidRPr="007138C5">
        <w:rPr>
          <w:rFonts w:asciiTheme="minorHAnsi" w:eastAsia="SimSun" w:hAnsiTheme="minorHAnsi"/>
          <w:i/>
          <w:lang w:val="sq-AL"/>
        </w:rPr>
        <w:t>rqindje</w:t>
      </w:r>
    </w:p>
    <w:p w:rsidR="000A1A4D" w:rsidRPr="00444289" w:rsidRDefault="000A1A4D" w:rsidP="000A1A4D">
      <w:pPr>
        <w:spacing w:before="120" w:after="120" w:line="276" w:lineRule="auto"/>
        <w:jc w:val="center"/>
        <w:rPr>
          <w:rFonts w:asciiTheme="minorHAnsi" w:hAnsiTheme="minorHAnsi"/>
          <w:noProof/>
          <w:lang w:val="sq-AL"/>
        </w:rPr>
      </w:pPr>
      <w:r w:rsidRPr="00CC21E3">
        <w:rPr>
          <w:noProof/>
        </w:rPr>
        <w:drawing>
          <wp:inline distT="0" distB="0" distL="0" distR="0" wp14:anchorId="0CCBA3E6" wp14:editId="7B5B6ED7">
            <wp:extent cx="5996940" cy="9067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3609" cy="907788"/>
                    </a:xfrm>
                    <a:prstGeom prst="rect">
                      <a:avLst/>
                    </a:prstGeom>
                    <a:noFill/>
                    <a:ln>
                      <a:noFill/>
                    </a:ln>
                  </pic:spPr>
                </pic:pic>
              </a:graphicData>
            </a:graphic>
          </wp:inline>
        </w:drawing>
      </w:r>
    </w:p>
    <w:p w:rsidR="000A1A4D" w:rsidRPr="0096072D" w:rsidRDefault="000A1A4D" w:rsidP="000A1A4D">
      <w:pPr>
        <w:spacing w:before="120" w:after="120" w:line="276" w:lineRule="auto"/>
        <w:jc w:val="both"/>
        <w:rPr>
          <w:rFonts w:asciiTheme="minorHAnsi" w:hAnsiTheme="minorHAnsi"/>
          <w:noProof/>
          <w:lang w:val="sq-AL"/>
        </w:rPr>
      </w:pPr>
      <w:r w:rsidRPr="0096072D">
        <w:rPr>
          <w:rFonts w:asciiTheme="minorHAnsi" w:hAnsiTheme="minorHAnsi"/>
          <w:noProof/>
          <w:lang w:val="sq-AL"/>
        </w:rPr>
        <w:t>Stoku i kredive akorduar bizneseve deri në muajin prill të vitit 2017, ka shënuar rënie prej 2.5% krahasuar me prillin e vitit 2016, duke kontribuar negativisht në ndryshimin e stokut total të kredisë me 1.6 pikë përqindje. Në prill 2017 rezulton se rreth 48% e totalit të stokut të kredive përbëhet nga kreditë në Lekë, ndërsa pjesa tjetër prej 52% përbëhet nga kreditë në valutë.</w:t>
      </w:r>
      <w:r>
        <w:rPr>
          <w:rFonts w:asciiTheme="minorHAnsi" w:hAnsiTheme="minorHAnsi"/>
          <w:noProof/>
          <w:lang w:val="sq-AL"/>
        </w:rPr>
        <w:t xml:space="preserve"> Ndonëse me një trend të qartë rënës, sërisht një fa</w:t>
      </w:r>
      <w:r w:rsidRPr="0096072D">
        <w:rPr>
          <w:rFonts w:asciiTheme="minorHAnsi" w:hAnsiTheme="minorHAnsi"/>
          <w:noProof/>
          <w:lang w:val="sq-AL"/>
        </w:rPr>
        <w:t xml:space="preserve">ktor negativ për ecurinë e kreditimit vazhdon të jenë niveli </w:t>
      </w:r>
      <w:r>
        <w:rPr>
          <w:rFonts w:asciiTheme="minorHAnsi" w:hAnsiTheme="minorHAnsi"/>
          <w:noProof/>
          <w:lang w:val="sq-AL"/>
        </w:rPr>
        <w:t xml:space="preserve">relativisht </w:t>
      </w:r>
      <w:r w:rsidRPr="0096072D">
        <w:rPr>
          <w:rFonts w:asciiTheme="minorHAnsi" w:hAnsiTheme="minorHAnsi"/>
          <w:noProof/>
          <w:lang w:val="sq-AL"/>
        </w:rPr>
        <w:t xml:space="preserve">i </w:t>
      </w:r>
      <w:r>
        <w:rPr>
          <w:rFonts w:asciiTheme="minorHAnsi" w:hAnsiTheme="minorHAnsi"/>
          <w:noProof/>
          <w:lang w:val="sq-AL"/>
        </w:rPr>
        <w:t xml:space="preserve">lartë </w:t>
      </w:r>
      <w:r w:rsidRPr="0096072D">
        <w:rPr>
          <w:rFonts w:asciiTheme="minorHAnsi" w:hAnsiTheme="minorHAnsi"/>
          <w:noProof/>
          <w:lang w:val="sq-AL"/>
        </w:rPr>
        <w:t>kredive me probleme ndaj totalit të kredive</w:t>
      </w:r>
      <w:r>
        <w:rPr>
          <w:rFonts w:asciiTheme="minorHAnsi" w:hAnsiTheme="minorHAnsi"/>
          <w:noProof/>
          <w:lang w:val="sq-AL"/>
        </w:rPr>
        <w:t>, i cili</w:t>
      </w:r>
      <w:r w:rsidRPr="0096072D">
        <w:rPr>
          <w:rFonts w:asciiTheme="minorHAnsi" w:hAnsiTheme="minorHAnsi"/>
          <w:noProof/>
          <w:lang w:val="sq-AL"/>
        </w:rPr>
        <w:t xml:space="preserve"> </w:t>
      </w:r>
      <w:r>
        <w:rPr>
          <w:rFonts w:asciiTheme="minorHAnsi" w:hAnsiTheme="minorHAnsi"/>
          <w:noProof/>
          <w:lang w:val="sq-AL"/>
        </w:rPr>
        <w:t>n</w:t>
      </w:r>
      <w:r w:rsidRPr="0096072D">
        <w:rPr>
          <w:rFonts w:asciiTheme="minorHAnsi" w:hAnsiTheme="minorHAnsi"/>
          <w:noProof/>
          <w:lang w:val="sq-AL"/>
        </w:rPr>
        <w:t>ë fund të muajit prill arriti në 16.6%</w:t>
      </w:r>
      <w:r>
        <w:rPr>
          <w:rFonts w:asciiTheme="minorHAnsi" w:hAnsiTheme="minorHAnsi"/>
          <w:noProof/>
          <w:lang w:val="sq-AL"/>
        </w:rPr>
        <w:t>.</w:t>
      </w:r>
      <w:r w:rsidRPr="0096072D">
        <w:rPr>
          <w:rFonts w:asciiTheme="minorHAnsi" w:hAnsiTheme="minorHAnsi"/>
          <w:noProof/>
          <w:lang w:val="sq-AL"/>
        </w:rPr>
        <w:t xml:space="preserve"> </w:t>
      </w:r>
    </w:p>
    <w:p w:rsidR="000A1A4D" w:rsidRPr="007138C5" w:rsidRDefault="000A1A4D" w:rsidP="000A1A4D">
      <w:pPr>
        <w:spacing w:line="276" w:lineRule="auto"/>
        <w:rPr>
          <w:rFonts w:asciiTheme="minorHAnsi" w:eastAsia="SimSun" w:hAnsiTheme="minorHAnsi"/>
          <w: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1</w:t>
      </w:r>
      <w:r>
        <w:rPr>
          <w:rFonts w:asciiTheme="minorHAnsi" w:eastAsia="SimSun" w:hAnsiTheme="minorHAnsi"/>
          <w:i/>
          <w:lang w:val="sq-AL"/>
        </w:rPr>
        <w:t>6</w:t>
      </w:r>
      <w:r w:rsidRPr="007138C5">
        <w:rPr>
          <w:rFonts w:asciiTheme="minorHAnsi" w:eastAsia="SimSun" w:hAnsiTheme="minorHAnsi"/>
          <w:i/>
          <w:lang w:val="sq-AL"/>
        </w:rPr>
        <w:t>:</w:t>
      </w:r>
      <w:r w:rsidRPr="007138C5">
        <w:rPr>
          <w:rFonts w:asciiTheme="minorHAnsi" w:eastAsia="SimSun" w:hAnsiTheme="minorHAnsi"/>
          <w:i/>
          <w:lang w:val="sq-AL"/>
        </w:rPr>
        <w:tab/>
        <w:t>E</w:t>
      </w:r>
      <w:r w:rsidRPr="007138C5">
        <w:rPr>
          <w:rFonts w:asciiTheme="minorHAnsi" w:hAnsiTheme="minorHAnsi"/>
          <w:i/>
          <w:noProof/>
          <w:lang w:val="sq-AL"/>
        </w:rPr>
        <w:t xml:space="preserve">curia e </w:t>
      </w:r>
      <w:r>
        <w:rPr>
          <w:rFonts w:asciiTheme="minorHAnsi" w:hAnsiTheme="minorHAnsi"/>
          <w:i/>
          <w:noProof/>
          <w:lang w:val="sq-AL"/>
        </w:rPr>
        <w:t>kredive të këqija</w:t>
      </w:r>
      <w:r w:rsidRPr="007138C5">
        <w:rPr>
          <w:rFonts w:asciiTheme="minorHAnsi" w:eastAsia="SimSun" w:hAnsiTheme="minorHAnsi"/>
          <w:i/>
          <w:lang w:val="sq-AL"/>
        </w:rPr>
        <w:t>, n</w:t>
      </w:r>
      <w:r>
        <w:rPr>
          <w:rFonts w:asciiTheme="minorHAnsi" w:eastAsia="SimSun" w:hAnsiTheme="minorHAnsi"/>
          <w:i/>
          <w:lang w:val="sq-AL"/>
        </w:rPr>
        <w:t>ë</w:t>
      </w:r>
      <w:r w:rsidRPr="007138C5">
        <w:rPr>
          <w:rFonts w:asciiTheme="minorHAnsi" w:eastAsia="SimSun" w:hAnsiTheme="minorHAnsi"/>
          <w:i/>
          <w:lang w:val="sq-AL"/>
        </w:rPr>
        <w:t xml:space="preserve"> p</w:t>
      </w:r>
      <w:r>
        <w:rPr>
          <w:rFonts w:asciiTheme="minorHAnsi" w:eastAsia="SimSun" w:hAnsiTheme="minorHAnsi"/>
          <w:i/>
          <w:lang w:val="sq-AL"/>
        </w:rPr>
        <w:t>ë</w:t>
      </w:r>
      <w:r w:rsidRPr="007138C5">
        <w:rPr>
          <w:rFonts w:asciiTheme="minorHAnsi" w:eastAsia="SimSun" w:hAnsiTheme="minorHAnsi"/>
          <w:i/>
          <w:lang w:val="sq-AL"/>
        </w:rPr>
        <w:t>rqindje</w:t>
      </w:r>
    </w:p>
    <w:p w:rsidR="000A1A4D" w:rsidRPr="00444289" w:rsidRDefault="000A1A4D" w:rsidP="000A1A4D">
      <w:pPr>
        <w:spacing w:before="120" w:after="120" w:line="276" w:lineRule="auto"/>
        <w:jc w:val="center"/>
        <w:rPr>
          <w:rFonts w:asciiTheme="minorHAnsi" w:hAnsiTheme="minorHAnsi"/>
          <w:noProof/>
          <w:lang w:val="sq-AL"/>
        </w:rPr>
      </w:pPr>
      <w:r w:rsidRPr="00AF78E5">
        <w:rPr>
          <w:noProof/>
        </w:rPr>
        <w:drawing>
          <wp:inline distT="0" distB="0" distL="0" distR="0" wp14:anchorId="7DB82876" wp14:editId="1CF52889">
            <wp:extent cx="5995035" cy="586740"/>
            <wp:effectExtent l="0" t="0" r="571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1554" cy="587378"/>
                    </a:xfrm>
                    <a:prstGeom prst="rect">
                      <a:avLst/>
                    </a:prstGeom>
                    <a:noFill/>
                    <a:ln>
                      <a:noFill/>
                    </a:ln>
                  </pic:spPr>
                </pic:pic>
              </a:graphicData>
            </a:graphic>
          </wp:inline>
        </w:drawing>
      </w:r>
    </w:p>
    <w:p w:rsidR="000A1A4D" w:rsidRDefault="000A1A4D" w:rsidP="000A1A4D">
      <w:pPr>
        <w:spacing w:before="120" w:after="120" w:line="276" w:lineRule="auto"/>
        <w:jc w:val="both"/>
        <w:rPr>
          <w:rFonts w:asciiTheme="minorHAnsi" w:hAnsiTheme="minorHAnsi"/>
          <w:noProof/>
          <w:lang w:val="sq-AL"/>
        </w:rPr>
      </w:pPr>
      <w:r>
        <w:rPr>
          <w:rFonts w:asciiTheme="minorHAnsi" w:hAnsiTheme="minorHAnsi"/>
          <w:noProof/>
          <w:lang w:val="sq-AL"/>
        </w:rPr>
        <w:t>Sa i takon e</w:t>
      </w:r>
      <w:r w:rsidRPr="0096072D">
        <w:rPr>
          <w:rFonts w:asciiTheme="minorHAnsi" w:hAnsiTheme="minorHAnsi"/>
          <w:noProof/>
          <w:lang w:val="sq-AL"/>
        </w:rPr>
        <w:t>curi</w:t>
      </w:r>
      <w:r>
        <w:rPr>
          <w:rFonts w:asciiTheme="minorHAnsi" w:hAnsiTheme="minorHAnsi"/>
          <w:noProof/>
          <w:lang w:val="sq-AL"/>
        </w:rPr>
        <w:t>së</w:t>
      </w:r>
      <w:r w:rsidRPr="0096072D">
        <w:rPr>
          <w:rFonts w:asciiTheme="minorHAnsi" w:hAnsiTheme="minorHAnsi"/>
          <w:noProof/>
          <w:lang w:val="sq-AL"/>
        </w:rPr>
        <w:t xml:space="preserve"> </w:t>
      </w:r>
      <w:r>
        <w:rPr>
          <w:rFonts w:asciiTheme="minorHAnsi" w:hAnsiTheme="minorHAnsi"/>
          <w:noProof/>
          <w:lang w:val="sq-AL"/>
        </w:rPr>
        <w:t>së</w:t>
      </w:r>
      <w:r w:rsidRPr="0096072D">
        <w:rPr>
          <w:rFonts w:asciiTheme="minorHAnsi" w:hAnsiTheme="minorHAnsi"/>
          <w:noProof/>
          <w:lang w:val="sq-AL"/>
        </w:rPr>
        <w:t xml:space="preserve"> normave të interesit </w:t>
      </w:r>
      <w:r>
        <w:rPr>
          <w:rFonts w:asciiTheme="minorHAnsi" w:hAnsiTheme="minorHAnsi"/>
          <w:noProof/>
          <w:lang w:val="sq-AL"/>
        </w:rPr>
        <w:t>vihet re</w:t>
      </w:r>
      <w:r w:rsidRPr="0096072D">
        <w:rPr>
          <w:rFonts w:asciiTheme="minorHAnsi" w:hAnsiTheme="minorHAnsi"/>
          <w:noProof/>
          <w:lang w:val="sq-AL"/>
        </w:rPr>
        <w:t xml:space="preserve">: </w:t>
      </w:r>
    </w:p>
    <w:p w:rsidR="000A1A4D" w:rsidRDefault="000A1A4D" w:rsidP="00593E6C">
      <w:pPr>
        <w:pStyle w:val="ListParagraph"/>
        <w:numPr>
          <w:ilvl w:val="0"/>
          <w:numId w:val="26"/>
        </w:numPr>
        <w:spacing w:line="276" w:lineRule="auto"/>
        <w:ind w:left="426"/>
        <w:contextualSpacing w:val="0"/>
        <w:jc w:val="both"/>
        <w:rPr>
          <w:rFonts w:asciiTheme="minorHAnsi" w:hAnsiTheme="minorHAnsi"/>
          <w:noProof/>
          <w:lang w:val="sq-AL"/>
        </w:rPr>
      </w:pPr>
      <w:r w:rsidRPr="00397E6B">
        <w:rPr>
          <w:rFonts w:asciiTheme="minorHAnsi" w:hAnsiTheme="minorHAnsi"/>
          <w:noProof/>
          <w:lang w:val="sq-AL"/>
        </w:rPr>
        <w:t>P</w:t>
      </w:r>
      <w:r>
        <w:rPr>
          <w:rFonts w:asciiTheme="minorHAnsi" w:hAnsiTheme="minorHAnsi"/>
          <w:noProof/>
          <w:lang w:val="sq-AL"/>
        </w:rPr>
        <w:t>ë</w:t>
      </w:r>
      <w:r w:rsidRPr="00397E6B">
        <w:rPr>
          <w:rFonts w:asciiTheme="minorHAnsi" w:hAnsiTheme="minorHAnsi"/>
          <w:noProof/>
          <w:lang w:val="sq-AL"/>
        </w:rPr>
        <w:t xml:space="preserve">r depozitat në Lekë - Norma mesatare e interesit për totalin e depozitave (duke përfshirë të gjitha maturimet) për prill 2017 shënoi vlerën 1.13%, ose 0.12 pp më pak se e njëjta periudhë e vitit të kaluar. </w:t>
      </w:r>
    </w:p>
    <w:p w:rsidR="000A1A4D" w:rsidRDefault="000A1A4D" w:rsidP="00593E6C">
      <w:pPr>
        <w:pStyle w:val="ListParagraph"/>
        <w:numPr>
          <w:ilvl w:val="0"/>
          <w:numId w:val="26"/>
        </w:numPr>
        <w:spacing w:line="276" w:lineRule="auto"/>
        <w:ind w:left="426"/>
        <w:contextualSpacing w:val="0"/>
        <w:jc w:val="both"/>
        <w:rPr>
          <w:rFonts w:asciiTheme="minorHAnsi" w:hAnsiTheme="minorHAnsi"/>
          <w:noProof/>
          <w:lang w:val="sq-AL"/>
        </w:rPr>
      </w:pPr>
      <w:r w:rsidRPr="00397E6B">
        <w:rPr>
          <w:rFonts w:asciiTheme="minorHAnsi" w:hAnsiTheme="minorHAnsi"/>
          <w:noProof/>
          <w:lang w:val="sq-AL"/>
        </w:rPr>
        <w:t>P</w:t>
      </w:r>
      <w:r>
        <w:rPr>
          <w:rFonts w:asciiTheme="minorHAnsi" w:hAnsiTheme="minorHAnsi"/>
          <w:noProof/>
          <w:lang w:val="sq-AL"/>
        </w:rPr>
        <w:t>ë</w:t>
      </w:r>
      <w:r w:rsidRPr="00397E6B">
        <w:rPr>
          <w:rFonts w:asciiTheme="minorHAnsi" w:hAnsiTheme="minorHAnsi"/>
          <w:noProof/>
          <w:lang w:val="sq-AL"/>
        </w:rPr>
        <w:t>r depozitat në Dollar</w:t>
      </w:r>
      <w:r>
        <w:rPr>
          <w:rFonts w:asciiTheme="minorHAnsi" w:hAnsiTheme="minorHAnsi"/>
          <w:noProof/>
          <w:lang w:val="sq-AL"/>
        </w:rPr>
        <w:t>ë</w:t>
      </w:r>
      <w:r w:rsidRPr="00397E6B">
        <w:rPr>
          <w:rFonts w:asciiTheme="minorHAnsi" w:hAnsiTheme="minorHAnsi"/>
          <w:noProof/>
          <w:lang w:val="sq-AL"/>
        </w:rPr>
        <w:t xml:space="preserve"> – Norma mesatare e interesit për totalin e depozitave n</w:t>
      </w:r>
      <w:r>
        <w:rPr>
          <w:rFonts w:asciiTheme="minorHAnsi" w:hAnsiTheme="minorHAnsi"/>
          <w:noProof/>
          <w:lang w:val="sq-AL"/>
        </w:rPr>
        <w:t>ë</w:t>
      </w:r>
      <w:r w:rsidRPr="00397E6B">
        <w:rPr>
          <w:rFonts w:asciiTheme="minorHAnsi" w:hAnsiTheme="minorHAnsi"/>
          <w:noProof/>
          <w:lang w:val="sq-AL"/>
        </w:rPr>
        <w:t xml:space="preserve"> muajin prill 2017 shënoi vlerën 0.71%, ose 0.12 pp më pak krahasuar me një vit më parë. </w:t>
      </w:r>
    </w:p>
    <w:p w:rsidR="000A1A4D" w:rsidRPr="00397E6B" w:rsidRDefault="000A1A4D" w:rsidP="00593E6C">
      <w:pPr>
        <w:pStyle w:val="ListParagraph"/>
        <w:numPr>
          <w:ilvl w:val="0"/>
          <w:numId w:val="26"/>
        </w:numPr>
        <w:spacing w:line="276" w:lineRule="auto"/>
        <w:ind w:left="426"/>
        <w:contextualSpacing w:val="0"/>
        <w:jc w:val="both"/>
        <w:rPr>
          <w:rFonts w:asciiTheme="minorHAnsi" w:hAnsiTheme="minorHAnsi"/>
          <w:noProof/>
          <w:lang w:val="sq-AL"/>
        </w:rPr>
      </w:pPr>
      <w:r>
        <w:rPr>
          <w:rFonts w:asciiTheme="minorHAnsi" w:hAnsiTheme="minorHAnsi"/>
          <w:noProof/>
          <w:lang w:val="sq-AL"/>
        </w:rPr>
        <w:t>Për d</w:t>
      </w:r>
      <w:r w:rsidRPr="00397E6B">
        <w:rPr>
          <w:rFonts w:asciiTheme="minorHAnsi" w:hAnsiTheme="minorHAnsi"/>
          <w:noProof/>
          <w:lang w:val="sq-AL"/>
        </w:rPr>
        <w:t xml:space="preserve">epozitat në Euro - Norma mesatare e interesit për totalin e depozitave </w:t>
      </w:r>
      <w:r>
        <w:rPr>
          <w:rFonts w:asciiTheme="minorHAnsi" w:hAnsiTheme="minorHAnsi"/>
          <w:noProof/>
          <w:lang w:val="sq-AL"/>
        </w:rPr>
        <w:t xml:space="preserve">në muajin prill 2017 </w:t>
      </w:r>
      <w:r w:rsidRPr="00397E6B">
        <w:rPr>
          <w:rFonts w:asciiTheme="minorHAnsi" w:hAnsiTheme="minorHAnsi"/>
          <w:noProof/>
          <w:lang w:val="sq-AL"/>
        </w:rPr>
        <w:t>shënoi vlerën 0.37%, duke shënuar rënie prej 0.05 pp krahasuar me një vit më parë</w:t>
      </w:r>
      <w:r>
        <w:rPr>
          <w:rFonts w:asciiTheme="minorHAnsi" w:hAnsiTheme="minorHAnsi"/>
          <w:noProof/>
          <w:lang w:val="sq-AL"/>
        </w:rPr>
        <w:t>.</w:t>
      </w:r>
      <w:r w:rsidRPr="00397E6B">
        <w:rPr>
          <w:rFonts w:asciiTheme="minorHAnsi" w:hAnsiTheme="minorHAnsi"/>
          <w:noProof/>
          <w:lang w:val="sq-AL"/>
        </w:rPr>
        <w:t xml:space="preserve"> </w:t>
      </w:r>
    </w:p>
    <w:p w:rsidR="000A1A4D" w:rsidRDefault="000A1A4D" w:rsidP="00593E6C">
      <w:pPr>
        <w:pStyle w:val="ListParagraph"/>
        <w:numPr>
          <w:ilvl w:val="0"/>
          <w:numId w:val="26"/>
        </w:numPr>
        <w:spacing w:line="276" w:lineRule="auto"/>
        <w:ind w:left="426"/>
        <w:contextualSpacing w:val="0"/>
        <w:jc w:val="both"/>
        <w:rPr>
          <w:rFonts w:asciiTheme="minorHAnsi" w:hAnsiTheme="minorHAnsi"/>
          <w:noProof/>
          <w:lang w:val="sq-AL"/>
        </w:rPr>
      </w:pPr>
      <w:r>
        <w:rPr>
          <w:rFonts w:asciiTheme="minorHAnsi" w:hAnsiTheme="minorHAnsi"/>
          <w:noProof/>
          <w:lang w:val="sq-AL"/>
        </w:rPr>
        <w:t>Për k</w:t>
      </w:r>
      <w:r w:rsidRPr="0096072D">
        <w:rPr>
          <w:rFonts w:asciiTheme="minorHAnsi" w:hAnsiTheme="minorHAnsi"/>
          <w:noProof/>
          <w:lang w:val="sq-AL"/>
        </w:rPr>
        <w:t>reditë në Lekë - Norma mesatare e interesit për totalin e kredive (duke përfshirë të gjitha maturimet) për prill 2017 shënoi vlerën 5.3%, ose 0.7 pp më pak se e njëjta periudhë e vitit të kaluar</w:t>
      </w:r>
      <w:r>
        <w:rPr>
          <w:rFonts w:asciiTheme="minorHAnsi" w:hAnsiTheme="minorHAnsi"/>
          <w:noProof/>
          <w:lang w:val="sq-AL"/>
        </w:rPr>
        <w:t>.</w:t>
      </w:r>
      <w:r w:rsidRPr="0096072D">
        <w:rPr>
          <w:rFonts w:asciiTheme="minorHAnsi" w:hAnsiTheme="minorHAnsi"/>
          <w:noProof/>
          <w:lang w:val="sq-AL"/>
        </w:rPr>
        <w:t xml:space="preserve"> Ndërkohë, norma e interesit për kreditimin mbi 5 vjeçarë ka shënuar rënie prej 0.2 pp krahasuar me një vit më parë</w:t>
      </w:r>
      <w:r>
        <w:rPr>
          <w:rFonts w:asciiTheme="minorHAnsi" w:hAnsiTheme="minorHAnsi"/>
          <w:noProof/>
          <w:lang w:val="sq-AL"/>
        </w:rPr>
        <w:t>.</w:t>
      </w:r>
      <w:r w:rsidRPr="0096072D">
        <w:rPr>
          <w:rFonts w:asciiTheme="minorHAnsi" w:hAnsiTheme="minorHAnsi"/>
          <w:noProof/>
          <w:lang w:val="sq-AL"/>
        </w:rPr>
        <w:t xml:space="preserve"> </w:t>
      </w:r>
    </w:p>
    <w:p w:rsidR="000A1A4D" w:rsidRDefault="000A1A4D" w:rsidP="00593E6C">
      <w:pPr>
        <w:pStyle w:val="ListParagraph"/>
        <w:numPr>
          <w:ilvl w:val="0"/>
          <w:numId w:val="26"/>
        </w:numPr>
        <w:spacing w:line="276" w:lineRule="auto"/>
        <w:ind w:left="426"/>
        <w:contextualSpacing w:val="0"/>
        <w:jc w:val="both"/>
        <w:rPr>
          <w:rFonts w:asciiTheme="minorHAnsi" w:hAnsiTheme="minorHAnsi"/>
          <w:noProof/>
          <w:lang w:val="sq-AL"/>
        </w:rPr>
      </w:pPr>
      <w:r>
        <w:rPr>
          <w:rFonts w:asciiTheme="minorHAnsi" w:hAnsiTheme="minorHAnsi"/>
          <w:noProof/>
          <w:lang w:val="sq-AL"/>
        </w:rPr>
        <w:t>Për k</w:t>
      </w:r>
      <w:r w:rsidRPr="0096072D">
        <w:rPr>
          <w:rFonts w:asciiTheme="minorHAnsi" w:hAnsiTheme="minorHAnsi"/>
          <w:noProof/>
          <w:lang w:val="sq-AL"/>
        </w:rPr>
        <w:t>redi</w:t>
      </w:r>
      <w:r>
        <w:rPr>
          <w:rFonts w:asciiTheme="minorHAnsi" w:hAnsiTheme="minorHAnsi"/>
          <w:noProof/>
          <w:lang w:val="sq-AL"/>
        </w:rPr>
        <w:t>në</w:t>
      </w:r>
      <w:r w:rsidRPr="0096072D">
        <w:rPr>
          <w:rFonts w:asciiTheme="minorHAnsi" w:hAnsiTheme="minorHAnsi"/>
          <w:noProof/>
          <w:lang w:val="sq-AL"/>
        </w:rPr>
        <w:t xml:space="preserve"> në Dollar</w:t>
      </w:r>
      <w:r>
        <w:rPr>
          <w:rFonts w:asciiTheme="minorHAnsi" w:hAnsiTheme="minorHAnsi"/>
          <w:noProof/>
          <w:lang w:val="sq-AL"/>
        </w:rPr>
        <w:t>ë</w:t>
      </w:r>
      <w:r w:rsidRPr="0096072D">
        <w:rPr>
          <w:rFonts w:asciiTheme="minorHAnsi" w:hAnsiTheme="minorHAnsi"/>
          <w:noProof/>
          <w:lang w:val="sq-AL"/>
        </w:rPr>
        <w:t xml:space="preserve"> - Norma mesatare e interesit për totalin e kredive </w:t>
      </w:r>
      <w:r>
        <w:rPr>
          <w:rFonts w:asciiTheme="minorHAnsi" w:hAnsiTheme="minorHAnsi"/>
          <w:noProof/>
          <w:lang w:val="sq-AL"/>
        </w:rPr>
        <w:t xml:space="preserve">për muajin prill 2017 </w:t>
      </w:r>
      <w:r w:rsidRPr="0096072D">
        <w:rPr>
          <w:rFonts w:asciiTheme="minorHAnsi" w:hAnsiTheme="minorHAnsi"/>
          <w:noProof/>
          <w:lang w:val="sq-AL"/>
        </w:rPr>
        <w:t>shënoi vlerën 5.2%, duke u rritur me 0.7 pp krahasuar me të njëjtin muaj të vitit të kaluar</w:t>
      </w:r>
      <w:r>
        <w:rPr>
          <w:rFonts w:asciiTheme="minorHAnsi" w:hAnsiTheme="minorHAnsi"/>
          <w:noProof/>
          <w:lang w:val="sq-AL"/>
        </w:rPr>
        <w:t>.</w:t>
      </w:r>
      <w:r w:rsidRPr="0096072D">
        <w:rPr>
          <w:rFonts w:asciiTheme="minorHAnsi" w:hAnsiTheme="minorHAnsi"/>
          <w:noProof/>
          <w:lang w:val="sq-AL"/>
        </w:rPr>
        <w:t xml:space="preserve"> Ndërkohë, norma e interesit për kreditimin mbi 5 vjeçarë ka shënuar rritje prej 1.5 pp krahasuar me një vit më parë</w:t>
      </w:r>
      <w:r>
        <w:rPr>
          <w:rFonts w:asciiTheme="minorHAnsi" w:hAnsiTheme="minorHAnsi"/>
          <w:noProof/>
          <w:lang w:val="sq-AL"/>
        </w:rPr>
        <w:t>.</w:t>
      </w:r>
      <w:r w:rsidRPr="0096072D">
        <w:rPr>
          <w:rFonts w:asciiTheme="minorHAnsi" w:hAnsiTheme="minorHAnsi"/>
          <w:noProof/>
          <w:lang w:val="sq-AL"/>
        </w:rPr>
        <w:t xml:space="preserve"> </w:t>
      </w:r>
    </w:p>
    <w:p w:rsidR="00593E6C" w:rsidRDefault="000A1A4D" w:rsidP="00593E6C">
      <w:pPr>
        <w:pStyle w:val="ListParagraph"/>
        <w:numPr>
          <w:ilvl w:val="0"/>
          <w:numId w:val="26"/>
        </w:numPr>
        <w:spacing w:line="276" w:lineRule="auto"/>
        <w:ind w:left="426"/>
        <w:contextualSpacing w:val="0"/>
        <w:jc w:val="both"/>
        <w:rPr>
          <w:rFonts w:asciiTheme="minorHAnsi" w:hAnsiTheme="minorHAnsi"/>
          <w:noProof/>
          <w:lang w:val="sq-AL"/>
        </w:rPr>
      </w:pPr>
      <w:r>
        <w:rPr>
          <w:rFonts w:asciiTheme="minorHAnsi" w:hAnsiTheme="minorHAnsi"/>
          <w:noProof/>
          <w:lang w:val="sq-AL"/>
        </w:rPr>
        <w:t>Për k</w:t>
      </w:r>
      <w:r w:rsidRPr="0096072D">
        <w:rPr>
          <w:rFonts w:asciiTheme="minorHAnsi" w:hAnsiTheme="minorHAnsi"/>
          <w:noProof/>
          <w:lang w:val="sq-AL"/>
        </w:rPr>
        <w:t>reditë në Euro - Norma mesatare e interesit për totalin e kredive për prill 2017 shënoi vlerën 5.1%, ose 0.4 pp më pak se e njëjta periudhë e vitit të kaluar</w:t>
      </w:r>
      <w:r>
        <w:rPr>
          <w:rFonts w:asciiTheme="minorHAnsi" w:hAnsiTheme="minorHAnsi"/>
          <w:noProof/>
          <w:lang w:val="sq-AL"/>
        </w:rPr>
        <w:t>.</w:t>
      </w:r>
      <w:r w:rsidRPr="0096072D">
        <w:rPr>
          <w:rFonts w:asciiTheme="minorHAnsi" w:hAnsiTheme="minorHAnsi"/>
          <w:noProof/>
          <w:lang w:val="sq-AL"/>
        </w:rPr>
        <w:t xml:space="preserve"> Ndërkohë, norma e interesit për kreditimin mbi 5 vjeçarë ka shënuar rritje prej 0.8 pp krahasuar me një vit më parë</w:t>
      </w:r>
      <w:r>
        <w:rPr>
          <w:rFonts w:asciiTheme="minorHAnsi" w:hAnsiTheme="minorHAnsi"/>
          <w:noProof/>
          <w:lang w:val="sq-AL"/>
        </w:rPr>
        <w:t>.</w:t>
      </w:r>
      <w:r w:rsidRPr="0096072D">
        <w:rPr>
          <w:rFonts w:asciiTheme="minorHAnsi" w:hAnsiTheme="minorHAnsi"/>
          <w:noProof/>
          <w:lang w:val="sq-AL"/>
        </w:rPr>
        <w:t xml:space="preserve"> </w:t>
      </w:r>
    </w:p>
    <w:p w:rsidR="000A1A4D" w:rsidRPr="00593E6C" w:rsidRDefault="000A1A4D" w:rsidP="00593E6C">
      <w:pPr>
        <w:spacing w:line="276" w:lineRule="auto"/>
        <w:ind w:left="66"/>
        <w:jc w:val="both"/>
        <w:rPr>
          <w:rFonts w:asciiTheme="minorHAnsi" w:hAnsiTheme="minorHAnsi"/>
          <w:noProof/>
          <w:lang w:val="sq-AL"/>
        </w:rPr>
      </w:pPr>
      <w:r w:rsidRPr="00593E6C">
        <w:rPr>
          <w:rFonts w:asciiTheme="minorHAnsi" w:hAnsiTheme="minorHAnsi"/>
          <w:noProof/>
          <w:lang w:val="sq-AL"/>
        </w:rPr>
        <w:t>Kursi i këmbimit i Lek-ut ndaj Dollarit Amerikan dhe Euros, në muajin maj 2017 arriti respektivisht nivelin 121.83 dhe 134.58 në vlerë mesatare mujore, ku monedha Lek është forcuar kundrejt të dy monedhave të huaja kryesore krahasuar me mesataren e kursit për vitin 2016.</w:t>
      </w:r>
    </w:p>
    <w:p w:rsidR="000A1A4D" w:rsidRPr="007138C5" w:rsidRDefault="000A1A4D" w:rsidP="000A1A4D">
      <w:pPr>
        <w:spacing w:line="276" w:lineRule="auto"/>
        <w:rPr>
          <w:rFonts w:asciiTheme="minorHAnsi" w:eastAsia="SimSun" w:hAnsiTheme="minorHAnsi"/>
          <w:i/>
          <w:lang w:val="sq-AL"/>
        </w:rPr>
      </w:pPr>
      <w:r w:rsidRPr="007138C5">
        <w:rPr>
          <w:rFonts w:asciiTheme="minorHAnsi" w:eastAsia="SimSun" w:hAnsiTheme="minorHAnsi"/>
          <w:i/>
          <w:lang w:val="sq-AL"/>
        </w:rPr>
        <w:t xml:space="preserve">Tabela </w:t>
      </w:r>
      <w:r w:rsidR="000B3625">
        <w:rPr>
          <w:rFonts w:asciiTheme="minorHAnsi" w:eastAsia="SimSun" w:hAnsiTheme="minorHAnsi"/>
          <w:i/>
          <w:lang w:val="sq-AL"/>
        </w:rPr>
        <w:t>1</w:t>
      </w:r>
      <w:r>
        <w:rPr>
          <w:rFonts w:asciiTheme="minorHAnsi" w:eastAsia="SimSun" w:hAnsiTheme="minorHAnsi"/>
          <w:i/>
          <w:lang w:val="sq-AL"/>
        </w:rPr>
        <w:t>7</w:t>
      </w:r>
      <w:r w:rsidRPr="007138C5">
        <w:rPr>
          <w:rFonts w:asciiTheme="minorHAnsi" w:eastAsia="SimSun" w:hAnsiTheme="minorHAnsi"/>
          <w:i/>
          <w:lang w:val="sq-AL"/>
        </w:rPr>
        <w:t>:</w:t>
      </w:r>
      <w:r w:rsidRPr="007138C5">
        <w:rPr>
          <w:rFonts w:asciiTheme="minorHAnsi" w:eastAsia="SimSun" w:hAnsiTheme="minorHAnsi"/>
          <w:i/>
          <w:lang w:val="sq-AL"/>
        </w:rPr>
        <w:tab/>
        <w:t>E</w:t>
      </w:r>
      <w:r w:rsidRPr="007138C5">
        <w:rPr>
          <w:rFonts w:asciiTheme="minorHAnsi" w:hAnsiTheme="minorHAnsi"/>
          <w:i/>
          <w:noProof/>
          <w:lang w:val="sq-AL"/>
        </w:rPr>
        <w:t xml:space="preserve">curia e </w:t>
      </w:r>
      <w:r>
        <w:rPr>
          <w:rFonts w:asciiTheme="minorHAnsi" w:hAnsiTheme="minorHAnsi"/>
          <w:i/>
          <w:noProof/>
          <w:lang w:val="sq-AL"/>
        </w:rPr>
        <w:t>kursit të këmbimit 2014-2017</w:t>
      </w:r>
    </w:p>
    <w:p w:rsidR="000A1A4D" w:rsidRDefault="000A1A4D" w:rsidP="000A1A4D">
      <w:pPr>
        <w:spacing w:before="120" w:after="120" w:line="276" w:lineRule="auto"/>
        <w:jc w:val="center"/>
        <w:rPr>
          <w:rFonts w:asciiTheme="minorHAnsi" w:hAnsiTheme="minorHAnsi"/>
          <w:noProof/>
          <w:lang w:val="sq-AL"/>
        </w:rPr>
      </w:pPr>
      <w:r w:rsidRPr="00CD475F">
        <w:rPr>
          <w:noProof/>
        </w:rPr>
        <w:drawing>
          <wp:inline distT="0" distB="0" distL="0" distR="0" wp14:anchorId="0420D861" wp14:editId="7B19B516">
            <wp:extent cx="6000387" cy="815340"/>
            <wp:effectExtent l="0" t="0" r="63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2654" cy="815648"/>
                    </a:xfrm>
                    <a:prstGeom prst="rect">
                      <a:avLst/>
                    </a:prstGeom>
                    <a:noFill/>
                    <a:ln>
                      <a:noFill/>
                    </a:ln>
                  </pic:spPr>
                </pic:pic>
              </a:graphicData>
            </a:graphic>
          </wp:inline>
        </w:drawing>
      </w:r>
    </w:p>
    <w:p w:rsidR="000A1A4D" w:rsidRPr="000A1A4D" w:rsidRDefault="000A1A4D" w:rsidP="000A1A4D">
      <w:pPr>
        <w:spacing w:before="120" w:after="120" w:line="276" w:lineRule="auto"/>
        <w:jc w:val="center"/>
        <w:rPr>
          <w:rFonts w:asciiTheme="minorHAnsi" w:hAnsiTheme="minorHAnsi"/>
          <w:noProof/>
          <w:sz w:val="16"/>
          <w:lang w:val="sq-AL"/>
        </w:rPr>
      </w:pPr>
    </w:p>
    <w:p w:rsidR="000A1A4D" w:rsidRPr="00444289" w:rsidRDefault="000A1A4D" w:rsidP="000A1A4D">
      <w:pPr>
        <w:pStyle w:val="Heading2"/>
        <w:spacing w:line="276" w:lineRule="auto"/>
        <w:rPr>
          <w:rFonts w:asciiTheme="minorHAnsi" w:hAnsiTheme="minorHAnsi"/>
          <w:noProof/>
          <w:color w:val="4F81BD" w:themeColor="accent1"/>
          <w:sz w:val="28"/>
          <w:szCs w:val="24"/>
          <w:lang w:val="sq-AL"/>
        </w:rPr>
      </w:pPr>
      <w:bookmarkStart w:id="21" w:name="_Toc486582891"/>
      <w:r>
        <w:rPr>
          <w:rFonts w:asciiTheme="minorHAnsi" w:hAnsiTheme="minorHAnsi"/>
          <w:noProof/>
          <w:color w:val="4F81BD" w:themeColor="accent1"/>
          <w:sz w:val="28"/>
          <w:szCs w:val="24"/>
          <w:lang w:val="sq-AL"/>
        </w:rPr>
        <w:t>V</w:t>
      </w:r>
      <w:r w:rsidRPr="00444289">
        <w:rPr>
          <w:rFonts w:asciiTheme="minorHAnsi" w:hAnsiTheme="minorHAnsi"/>
          <w:noProof/>
          <w:color w:val="4F81BD" w:themeColor="accent1"/>
          <w:sz w:val="28"/>
          <w:szCs w:val="24"/>
          <w:lang w:val="sq-AL"/>
        </w:rPr>
        <w:t>I.2</w:t>
      </w:r>
      <w:r w:rsidRPr="00444289">
        <w:rPr>
          <w:rFonts w:asciiTheme="minorHAnsi" w:hAnsiTheme="minorHAnsi"/>
          <w:noProof/>
          <w:color w:val="4F81BD" w:themeColor="accent1"/>
          <w:sz w:val="28"/>
          <w:szCs w:val="24"/>
          <w:lang w:val="sq-AL"/>
        </w:rPr>
        <w:tab/>
      </w:r>
      <w:r w:rsidR="003D082B">
        <w:rPr>
          <w:rFonts w:asciiTheme="minorHAnsi" w:hAnsiTheme="minorHAnsi"/>
          <w:noProof/>
          <w:color w:val="4F81BD" w:themeColor="accent1"/>
          <w:sz w:val="28"/>
          <w:szCs w:val="24"/>
          <w:lang w:val="sq-AL"/>
        </w:rPr>
        <w:t>Analiza e holl</w:t>
      </w:r>
      <w:r w:rsidR="00593E6C">
        <w:rPr>
          <w:rFonts w:asciiTheme="minorHAnsi" w:hAnsiTheme="minorHAnsi"/>
          <w:noProof/>
          <w:color w:val="4F81BD" w:themeColor="accent1"/>
          <w:sz w:val="28"/>
          <w:szCs w:val="24"/>
          <w:lang w:val="sq-AL"/>
        </w:rPr>
        <w:t>ë</w:t>
      </w:r>
      <w:r w:rsidR="003D082B">
        <w:rPr>
          <w:rFonts w:asciiTheme="minorHAnsi" w:hAnsiTheme="minorHAnsi"/>
          <w:noProof/>
          <w:color w:val="4F81BD" w:themeColor="accent1"/>
          <w:sz w:val="28"/>
          <w:szCs w:val="24"/>
          <w:lang w:val="sq-AL"/>
        </w:rPr>
        <w:t>sishme e p</w:t>
      </w:r>
      <w:r w:rsidRPr="00444289">
        <w:rPr>
          <w:rFonts w:asciiTheme="minorHAnsi" w:hAnsiTheme="minorHAnsi"/>
          <w:noProof/>
          <w:color w:val="4F81BD" w:themeColor="accent1"/>
          <w:sz w:val="28"/>
          <w:szCs w:val="24"/>
          <w:lang w:val="sq-AL"/>
        </w:rPr>
        <w:t>ritshmëri</w:t>
      </w:r>
      <w:r w:rsidR="003D082B">
        <w:rPr>
          <w:rFonts w:asciiTheme="minorHAnsi" w:hAnsiTheme="minorHAnsi"/>
          <w:noProof/>
          <w:color w:val="4F81BD" w:themeColor="accent1"/>
          <w:sz w:val="28"/>
          <w:szCs w:val="24"/>
          <w:lang w:val="sq-AL"/>
        </w:rPr>
        <w:t>ve</w:t>
      </w:r>
      <w:r w:rsidRPr="00444289">
        <w:rPr>
          <w:rFonts w:asciiTheme="minorHAnsi" w:hAnsiTheme="minorHAnsi"/>
          <w:noProof/>
          <w:color w:val="4F81BD" w:themeColor="accent1"/>
          <w:sz w:val="28"/>
          <w:szCs w:val="24"/>
          <w:lang w:val="sq-AL"/>
        </w:rPr>
        <w:t xml:space="preserve"> deri në fund të vitit 2017</w:t>
      </w:r>
      <w:bookmarkEnd w:id="21"/>
    </w:p>
    <w:p w:rsidR="000A1A4D" w:rsidRPr="00C026B3" w:rsidRDefault="000A1A4D" w:rsidP="000A1A4D">
      <w:pPr>
        <w:spacing w:line="276" w:lineRule="auto"/>
        <w:jc w:val="both"/>
        <w:rPr>
          <w:rFonts w:asciiTheme="minorHAnsi" w:hAnsiTheme="minorHAnsi"/>
          <w:lang w:val="sq-AL"/>
        </w:rPr>
      </w:pPr>
      <w:r w:rsidRPr="00C026B3">
        <w:rPr>
          <w:rFonts w:asciiTheme="minorHAnsi" w:hAnsiTheme="minorHAnsi"/>
          <w:lang w:val="sq-AL"/>
        </w:rPr>
        <w:t xml:space="preserve">Parashikimi i rritjes ekonomike për vitin 2017 mbetet i njëjtë me atë fillestar prej  3.8 përqind nga 3.46 përqind që shënonte në 2016. Perspektiva ekonomike pritet të vijojë përmirësimin në periudhën afatmesme. Rritja ekonomike pritet të vijojë përshpejtimin e saj e gjeneruar në masën më të madhe prej kërkesës së brendshme. Investimet, veçanërisht ato të huaja direkte si dhe konsumi, pritet të jenë gjeneratorët kryesorë të rritjes. Pritshmëritë për rritjen e mëtejshme të kërkesës për investime reflektojnë edhe përmirësimin aktual të normave të shfrytëzimit të kapaciteteve prodhuese. </w:t>
      </w:r>
    </w:p>
    <w:p w:rsidR="000A1A4D" w:rsidRPr="00C026B3" w:rsidRDefault="000A1A4D" w:rsidP="000A1A4D">
      <w:pPr>
        <w:spacing w:line="276" w:lineRule="auto"/>
        <w:jc w:val="both"/>
        <w:rPr>
          <w:rFonts w:asciiTheme="minorHAnsi" w:hAnsiTheme="minorHAnsi"/>
          <w:lang w:val="sq-AL"/>
        </w:rPr>
      </w:pPr>
      <w:r w:rsidRPr="00C026B3">
        <w:rPr>
          <w:rFonts w:asciiTheme="minorHAnsi" w:hAnsiTheme="minorHAnsi"/>
          <w:lang w:val="sq-AL"/>
        </w:rPr>
        <w:t>Eksporti i mallrave, në reflektim edhe të tendencës së çmimeve ndërkombëtare të nafës bruto dhe mineraleve, pritet të ruajë ritmet e rritjes relativisht të larta të rezultuara gjatë katër muajve të parë të vitit, në linjë kjo me supozimet fillestare. Në të njëjtën kohë edhe eksporti i shërbimeve pritet të vijojë në linjë me parashikimet fillestare i udhëhequr nga eksporti i shërbimeve turistike.</w:t>
      </w:r>
    </w:p>
    <w:p w:rsidR="000A1A4D" w:rsidRDefault="000A1A4D" w:rsidP="000A1A4D">
      <w:pPr>
        <w:spacing w:line="276" w:lineRule="auto"/>
        <w:jc w:val="both"/>
        <w:rPr>
          <w:rFonts w:asciiTheme="minorHAnsi" w:hAnsiTheme="minorHAnsi"/>
          <w:lang w:val="sq-AL"/>
        </w:rPr>
      </w:pPr>
      <w:r w:rsidRPr="00C026B3">
        <w:rPr>
          <w:rFonts w:asciiTheme="minorHAnsi" w:hAnsiTheme="minorHAnsi"/>
          <w:lang w:val="sq-AL"/>
        </w:rPr>
        <w:t xml:space="preserve">Rritja e konsumit privat pritet të vazhdojë të jetë në nivele relativisht të larta pozitive, duke reflektuar besimin e përmirësuar të konsumatorëve. </w:t>
      </w:r>
    </w:p>
    <w:p w:rsidR="000A1A4D" w:rsidRPr="00C026B3" w:rsidRDefault="000A1A4D" w:rsidP="000A1A4D">
      <w:pPr>
        <w:spacing w:line="276" w:lineRule="auto"/>
        <w:jc w:val="both"/>
        <w:rPr>
          <w:rFonts w:asciiTheme="minorHAnsi" w:hAnsiTheme="minorHAnsi"/>
          <w:lang w:val="sq-AL"/>
        </w:rPr>
      </w:pPr>
      <w:r w:rsidRPr="00C026B3">
        <w:rPr>
          <w:rFonts w:asciiTheme="minorHAnsi" w:hAnsiTheme="minorHAnsi"/>
          <w:lang w:val="sq-AL"/>
        </w:rPr>
        <w:t>Rritja e konsumit privat pritet të mbështetet edhe nga përmirësimet në tregun e punës me efekte pozitive në rritjen e të ardhurave të individëve. Në të njëjtën kohë, edhe huadhënia për konsum parashikohet të ruajë trendin rritës, duke reflektuar si përmirësimin e financave të individëve, ashtu edhe lehtësimin e standardeve të kredidhënies nga sistemi bankar. Kërkesa totale e sektorit publik do të vijojë të jetë disi e kufizuar si rezultat i konsolidimit fiskal. Megjitha</w:t>
      </w:r>
      <w:r>
        <w:rPr>
          <w:rFonts w:asciiTheme="minorHAnsi" w:hAnsiTheme="minorHAnsi"/>
          <w:lang w:val="sq-AL"/>
        </w:rPr>
        <w:t>të, konsolidimi fiskal do vijojë</w:t>
      </w:r>
      <w:r w:rsidRPr="00C026B3">
        <w:rPr>
          <w:rFonts w:asciiTheme="minorHAnsi" w:hAnsiTheme="minorHAnsi"/>
          <w:lang w:val="sq-AL"/>
        </w:rPr>
        <w:t xml:space="preserve"> të reduktojë në mënyrë të konsiderueshme primet e risqeve dhe do të krijojë më shumë hapësira për aktivitetin ekonomik të sektorit privat. Në të njëjtën kohë, politikat buxhetore të planifikuara për këtë vit janë në mbështetje të rritjes ekonomike si nëpërmjet konsumit ashtu edhe investimeve dhe kjo pritet të balancojnë në një masë të caktuar efektet shtrënguese të konsolidimit fiskal.</w:t>
      </w:r>
    </w:p>
    <w:p w:rsidR="000A1A4D" w:rsidRDefault="000A1A4D" w:rsidP="000A1A4D">
      <w:pPr>
        <w:spacing w:line="276" w:lineRule="auto"/>
        <w:jc w:val="both"/>
        <w:rPr>
          <w:rFonts w:asciiTheme="minorHAnsi" w:hAnsiTheme="minorHAnsi"/>
          <w:lang w:val="sq-AL"/>
        </w:rPr>
      </w:pPr>
      <w:r w:rsidRPr="00C026B3">
        <w:rPr>
          <w:rFonts w:asciiTheme="minorHAnsi" w:hAnsiTheme="minorHAnsi"/>
          <w:lang w:val="sq-AL"/>
        </w:rPr>
        <w:t>Rritja ekonomike pritet të gjenerojë një nivel relativisht të lartë punësimi, veçanërisht në periudhën afatmesme, pasi sektorët e prodhimit me intensitet të lartë të forcës së punës pritet të performojnë më mirë se të tjerët. Presionet inflacioniste parashikohen të forcohen në periudhën afatmesme. Inflacioni pritet të rritet gradualisht dhe të shkojë drejt normës prej 2.3% për vitin 2017. Presionet e brendshme inflacioniste priten të përshpejtohen, si rezultat i rritjes së konsumit privat dhe investimeve, që do të mbështesin një ritëm më të shpejtë të rritjes ekonomike. Për më tepër, kërkesa agregate dhe inflacioni në mjedisin ndërkombëtar pritet të kenë një efekt dis-inflacionist në një masë më të vogël për periudhën afatmesme në vijim.</w:t>
      </w:r>
      <w:r>
        <w:rPr>
          <w:rFonts w:asciiTheme="minorHAnsi" w:hAnsiTheme="minorHAnsi"/>
          <w:lang w:val="sq-AL"/>
        </w:rPr>
        <w:t xml:space="preserve"> </w:t>
      </w:r>
      <w:r w:rsidRPr="00444289">
        <w:rPr>
          <w:rFonts w:asciiTheme="minorHAnsi" w:hAnsiTheme="minorHAnsi"/>
          <w:lang w:val="sq-AL"/>
        </w:rPr>
        <w:t>Mëposhtë jepet rritja reale (majtas, në përqind) dhe kontributet në rritje (djathtas, në pikë përqind) sipas komponentëve të kërkesës agregate:</w:t>
      </w:r>
    </w:p>
    <w:p w:rsidR="000A1A4D" w:rsidRPr="0030746D" w:rsidRDefault="000A1A4D" w:rsidP="000A1A4D">
      <w:pPr>
        <w:spacing w:line="276" w:lineRule="auto"/>
        <w:rPr>
          <w:rFonts w:asciiTheme="minorHAnsi" w:eastAsia="SimSun" w:hAnsiTheme="minorHAnsi"/>
          <w:i/>
          <w:sz w:val="8"/>
          <w:szCs w:val="8"/>
          <w:lang w:val="sq-AL"/>
        </w:rPr>
      </w:pPr>
    </w:p>
    <w:p w:rsidR="000A1A4D" w:rsidRPr="00193EF8" w:rsidRDefault="000A1A4D" w:rsidP="000A1A4D">
      <w:pPr>
        <w:spacing w:line="276" w:lineRule="auto"/>
        <w:rPr>
          <w:rFonts w:asciiTheme="minorHAnsi" w:eastAsia="SimSun" w:hAnsiTheme="minorHAnsi"/>
          <w: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0B3625">
        <w:rPr>
          <w:rFonts w:asciiTheme="minorHAnsi" w:eastAsia="SimSun" w:hAnsiTheme="minorHAnsi"/>
          <w:i/>
          <w:lang w:val="sq-AL"/>
        </w:rPr>
        <w:t>37</w:t>
      </w:r>
      <w:r w:rsidRPr="00193EF8">
        <w:rPr>
          <w:rFonts w:asciiTheme="minorHAnsi" w:eastAsia="SimSun" w:hAnsiTheme="minorHAnsi"/>
          <w:i/>
          <w:lang w:val="sq-AL"/>
        </w:rPr>
        <w:t>:</w:t>
      </w:r>
      <w:r>
        <w:rPr>
          <w:rFonts w:asciiTheme="minorHAnsi" w:eastAsia="SimSun" w:hAnsiTheme="minorHAnsi"/>
          <w:i/>
          <w:lang w:val="sq-AL"/>
        </w:rPr>
        <w:tab/>
      </w:r>
      <w:r>
        <w:rPr>
          <w:rFonts w:asciiTheme="minorHAnsi" w:hAnsiTheme="minorHAnsi"/>
          <w:noProof/>
          <w:lang w:val="sq-AL"/>
        </w:rPr>
        <w:t>Komponentët e kërkesës agregate,</w:t>
      </w:r>
      <w:r w:rsidRPr="00444289">
        <w:rPr>
          <w:rFonts w:asciiTheme="minorHAnsi" w:hAnsiTheme="minorHAnsi"/>
          <w:noProof/>
          <w:lang w:val="sq-AL"/>
        </w:rPr>
        <w:t xml:space="preserve"> në përqindje</w:t>
      </w:r>
    </w:p>
    <w:p w:rsidR="000A1A4D" w:rsidRPr="00444289" w:rsidRDefault="000A1A4D" w:rsidP="000A1A4D">
      <w:pPr>
        <w:spacing w:line="276" w:lineRule="auto"/>
        <w:jc w:val="center"/>
        <w:rPr>
          <w:rFonts w:asciiTheme="minorHAnsi" w:hAnsiTheme="minorHAnsi"/>
          <w:lang w:val="sq-AL"/>
        </w:rPr>
      </w:pPr>
      <w:r w:rsidRPr="0043037A">
        <w:rPr>
          <w:noProof/>
        </w:rPr>
        <w:drawing>
          <wp:inline distT="0" distB="0" distL="0" distR="0" wp14:anchorId="1B150444" wp14:editId="10515496">
            <wp:extent cx="6000750" cy="16306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0750" cy="1630680"/>
                    </a:xfrm>
                    <a:prstGeom prst="rect">
                      <a:avLst/>
                    </a:prstGeom>
                    <a:noFill/>
                    <a:ln>
                      <a:noFill/>
                    </a:ln>
                  </pic:spPr>
                </pic:pic>
              </a:graphicData>
            </a:graphic>
          </wp:inline>
        </w:drawing>
      </w:r>
    </w:p>
    <w:p w:rsidR="000A1A4D" w:rsidRPr="00444289" w:rsidRDefault="000A1A4D" w:rsidP="000A1A4D">
      <w:pPr>
        <w:spacing w:line="276" w:lineRule="auto"/>
        <w:jc w:val="both"/>
        <w:rPr>
          <w:rFonts w:asciiTheme="minorHAnsi" w:hAnsiTheme="minorHAnsi"/>
          <w:i/>
          <w:sz w:val="20"/>
          <w:lang w:val="sq-AL"/>
        </w:rPr>
      </w:pPr>
      <w:r w:rsidRPr="00444289">
        <w:rPr>
          <w:rFonts w:asciiTheme="minorHAnsi" w:hAnsiTheme="minorHAnsi"/>
          <w:i/>
          <w:sz w:val="20"/>
          <w:lang w:val="sq-AL"/>
        </w:rPr>
        <w:t xml:space="preserve">Burimi: INSTAT, Ministria e Financave </w:t>
      </w:r>
    </w:p>
    <w:p w:rsidR="000A1A4D" w:rsidRPr="00563387" w:rsidRDefault="000A1A4D" w:rsidP="000A1A4D">
      <w:pPr>
        <w:spacing w:line="276" w:lineRule="auto"/>
        <w:jc w:val="both"/>
        <w:rPr>
          <w:rFonts w:asciiTheme="minorHAnsi" w:hAnsiTheme="minorHAnsi"/>
          <w:sz w:val="12"/>
          <w:szCs w:val="12"/>
          <w:lang w:val="sq-AL"/>
        </w:rPr>
      </w:pPr>
    </w:p>
    <w:p w:rsidR="000A1A4D" w:rsidRDefault="000A1A4D" w:rsidP="000A1A4D">
      <w:pPr>
        <w:spacing w:line="276" w:lineRule="auto"/>
        <w:jc w:val="both"/>
        <w:rPr>
          <w:rFonts w:asciiTheme="minorHAnsi" w:hAnsiTheme="minorHAnsi"/>
          <w:lang w:val="sq-AL"/>
        </w:rPr>
      </w:pPr>
      <w:r w:rsidRPr="00C026B3">
        <w:rPr>
          <w:rFonts w:asciiTheme="minorHAnsi" w:hAnsiTheme="minorHAnsi"/>
          <w:lang w:val="sq-AL"/>
        </w:rPr>
        <w:t xml:space="preserve">Kontributi në rritjen ekonomike sipas kërkesës aggregate për vitin 2017 do të vijë respektivisht +2.5 pikë përqindje nga konsumi, +2.4 nga investimet dhe -1.5 nga eksportet neto. Rritjen më të madhe për vitin 2017 do ta ketë zëri i investimeve me 8.4%. </w:t>
      </w:r>
      <w:r w:rsidRPr="00444289">
        <w:rPr>
          <w:rFonts w:asciiTheme="minorHAnsi" w:hAnsiTheme="minorHAnsi"/>
          <w:lang w:val="sq-AL"/>
        </w:rPr>
        <w:t xml:space="preserve">Mëposhtë jepet rritja reale (majtas, në përqind) dhe kontributet në rritje (djathtas, në pikë përqind) sipas komponentëve të </w:t>
      </w:r>
      <w:r>
        <w:rPr>
          <w:rFonts w:asciiTheme="minorHAnsi" w:hAnsiTheme="minorHAnsi"/>
          <w:lang w:val="sq-AL"/>
        </w:rPr>
        <w:t>ofertës</w:t>
      </w:r>
      <w:r w:rsidRPr="00444289">
        <w:rPr>
          <w:rFonts w:asciiTheme="minorHAnsi" w:hAnsiTheme="minorHAnsi"/>
          <w:lang w:val="sq-AL"/>
        </w:rPr>
        <w:t xml:space="preserve"> agregate:</w:t>
      </w:r>
    </w:p>
    <w:p w:rsidR="000A1A4D" w:rsidRPr="000A1A4D" w:rsidRDefault="000A1A4D" w:rsidP="000A1A4D">
      <w:pPr>
        <w:spacing w:line="276" w:lineRule="auto"/>
        <w:rPr>
          <w:rFonts w:asciiTheme="minorHAnsi" w:eastAsia="SimSun" w:hAnsiTheme="minorHAnsi"/>
          <w:i/>
          <w:sz w:val="8"/>
          <w:lang w:val="sq-AL"/>
        </w:rPr>
      </w:pPr>
    </w:p>
    <w:p w:rsidR="000A1A4D" w:rsidRPr="00193EF8" w:rsidRDefault="000A1A4D" w:rsidP="000A1A4D">
      <w:pPr>
        <w:spacing w:line="276" w:lineRule="auto"/>
        <w:rPr>
          <w:rFonts w:asciiTheme="minorHAnsi" w:eastAsia="SimSun" w:hAnsiTheme="minorHAnsi"/>
          <w:i/>
          <w:lang w:val="sq-AL"/>
        </w:rPr>
      </w:pPr>
      <w:r>
        <w:rPr>
          <w:rFonts w:asciiTheme="minorHAnsi" w:eastAsia="SimSun" w:hAnsiTheme="minorHAnsi"/>
          <w:i/>
          <w:lang w:val="sq-AL"/>
        </w:rPr>
        <w:t>Grafiku</w:t>
      </w:r>
      <w:r w:rsidRPr="00193EF8">
        <w:rPr>
          <w:rFonts w:asciiTheme="minorHAnsi" w:eastAsia="SimSun" w:hAnsiTheme="minorHAnsi"/>
          <w:i/>
          <w:lang w:val="sq-AL"/>
        </w:rPr>
        <w:t xml:space="preserve"> </w:t>
      </w:r>
      <w:r w:rsidR="000B3625">
        <w:rPr>
          <w:rFonts w:asciiTheme="minorHAnsi" w:eastAsia="SimSun" w:hAnsiTheme="minorHAnsi"/>
          <w:i/>
          <w:lang w:val="sq-AL"/>
        </w:rPr>
        <w:t>38</w:t>
      </w:r>
      <w:r w:rsidRPr="00193EF8">
        <w:rPr>
          <w:rFonts w:asciiTheme="minorHAnsi" w:eastAsia="SimSun" w:hAnsiTheme="minorHAnsi"/>
          <w:i/>
          <w:lang w:val="sq-AL"/>
        </w:rPr>
        <w:t>:</w:t>
      </w:r>
      <w:r>
        <w:rPr>
          <w:rFonts w:asciiTheme="minorHAnsi" w:eastAsia="SimSun" w:hAnsiTheme="minorHAnsi"/>
          <w:i/>
          <w:lang w:val="sq-AL"/>
        </w:rPr>
        <w:tab/>
      </w:r>
      <w:r>
        <w:rPr>
          <w:rFonts w:asciiTheme="minorHAnsi" w:hAnsiTheme="minorHAnsi"/>
          <w:noProof/>
          <w:lang w:val="sq-AL"/>
        </w:rPr>
        <w:t>Komponentët e ofertës agregate,</w:t>
      </w:r>
      <w:r w:rsidRPr="00444289">
        <w:rPr>
          <w:rFonts w:asciiTheme="minorHAnsi" w:hAnsiTheme="minorHAnsi"/>
          <w:noProof/>
          <w:lang w:val="sq-AL"/>
        </w:rPr>
        <w:t xml:space="preserve"> në përqindje</w:t>
      </w:r>
    </w:p>
    <w:p w:rsidR="000A1A4D" w:rsidRPr="00444289" w:rsidRDefault="000A1A4D" w:rsidP="000A1A4D">
      <w:pPr>
        <w:spacing w:line="276" w:lineRule="auto"/>
        <w:jc w:val="center"/>
        <w:rPr>
          <w:rFonts w:asciiTheme="minorHAnsi" w:hAnsiTheme="minorHAnsi"/>
          <w:lang w:val="sq-AL"/>
        </w:rPr>
      </w:pPr>
      <w:r w:rsidRPr="0043037A">
        <w:rPr>
          <w:noProof/>
        </w:rPr>
        <w:drawing>
          <wp:inline distT="0" distB="0" distL="0" distR="0" wp14:anchorId="1B26B498" wp14:editId="36EAE43D">
            <wp:extent cx="6000750" cy="1554480"/>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00750" cy="1554480"/>
                    </a:xfrm>
                    <a:prstGeom prst="rect">
                      <a:avLst/>
                    </a:prstGeom>
                    <a:noFill/>
                    <a:ln>
                      <a:noFill/>
                    </a:ln>
                  </pic:spPr>
                </pic:pic>
              </a:graphicData>
            </a:graphic>
          </wp:inline>
        </w:drawing>
      </w:r>
    </w:p>
    <w:p w:rsidR="000A1A4D" w:rsidRPr="00444289" w:rsidRDefault="000A1A4D" w:rsidP="000A1A4D">
      <w:pPr>
        <w:spacing w:line="276" w:lineRule="auto"/>
        <w:jc w:val="both"/>
        <w:rPr>
          <w:rFonts w:asciiTheme="minorHAnsi" w:hAnsiTheme="minorHAnsi"/>
          <w:i/>
          <w:sz w:val="20"/>
          <w:lang w:val="sq-AL"/>
        </w:rPr>
      </w:pPr>
      <w:r w:rsidRPr="00444289">
        <w:rPr>
          <w:rFonts w:asciiTheme="minorHAnsi" w:hAnsiTheme="minorHAnsi"/>
          <w:i/>
          <w:sz w:val="20"/>
          <w:lang w:val="sq-AL"/>
        </w:rPr>
        <w:t xml:space="preserve">Burimi: INSTAT, Ministria e Financave </w:t>
      </w:r>
    </w:p>
    <w:p w:rsidR="000A1A4D" w:rsidRPr="00563387" w:rsidRDefault="000A1A4D" w:rsidP="000A1A4D">
      <w:pPr>
        <w:spacing w:line="276" w:lineRule="auto"/>
        <w:jc w:val="both"/>
        <w:rPr>
          <w:rFonts w:asciiTheme="minorHAnsi" w:hAnsiTheme="minorHAnsi"/>
          <w:sz w:val="12"/>
          <w:szCs w:val="12"/>
          <w:lang w:val="sq-AL"/>
        </w:rPr>
      </w:pPr>
    </w:p>
    <w:p w:rsidR="00804B54" w:rsidRDefault="000A1A4D" w:rsidP="000A1A4D">
      <w:pPr>
        <w:spacing w:line="276" w:lineRule="auto"/>
        <w:jc w:val="both"/>
        <w:rPr>
          <w:rFonts w:asciiTheme="minorHAnsi" w:hAnsiTheme="minorHAnsi"/>
          <w:lang w:val="sq-AL"/>
        </w:rPr>
      </w:pPr>
      <w:r w:rsidRPr="00C026B3">
        <w:rPr>
          <w:rFonts w:asciiTheme="minorHAnsi" w:hAnsiTheme="minorHAnsi"/>
          <w:lang w:val="sq-AL"/>
        </w:rPr>
        <w:t>Parë nga ana e ofertës rritjet më të mëdha për vitin 2017 do të vijnë nga sektorët e ndërtimit dhe industrisë me respektivisht 9.6% dhe 5.0%, por nga ana tjetër, për shkak të peshës së tij në strukturën e ekonomisë, kontributi më i madh në rritjen ekonomike të 2017 do të vijë nga sektori i shërbimeve me një kontribut prej rreth 1.2 pikë përqindje.</w:t>
      </w:r>
    </w:p>
    <w:p w:rsidR="004335A3" w:rsidRDefault="004335A3" w:rsidP="000A1A4D">
      <w:pPr>
        <w:spacing w:line="276" w:lineRule="auto"/>
        <w:jc w:val="both"/>
        <w:rPr>
          <w:rFonts w:asciiTheme="minorHAnsi" w:hAnsiTheme="minorHAnsi"/>
          <w:lang w:val="sq-AL"/>
        </w:rPr>
      </w:pPr>
    </w:p>
    <w:p w:rsidR="00334E32" w:rsidRDefault="00334E32" w:rsidP="000A1A4D">
      <w:pPr>
        <w:spacing w:line="276" w:lineRule="auto"/>
        <w:jc w:val="both"/>
        <w:rPr>
          <w:rFonts w:asciiTheme="minorHAnsi" w:hAnsiTheme="minorHAnsi"/>
          <w:lang w:val="sq-AL"/>
        </w:rPr>
      </w:pPr>
    </w:p>
    <w:p w:rsidR="00334E32" w:rsidRDefault="00334E32" w:rsidP="000A1A4D">
      <w:pPr>
        <w:spacing w:line="276" w:lineRule="auto"/>
        <w:jc w:val="both"/>
        <w:rPr>
          <w:rFonts w:asciiTheme="minorHAnsi" w:hAnsiTheme="minorHAnsi"/>
          <w:lang w:val="sq-AL"/>
        </w:rPr>
      </w:pPr>
    </w:p>
    <w:p w:rsidR="00593E6C" w:rsidRPr="00F5471B" w:rsidRDefault="00593E6C" w:rsidP="000A1A4D">
      <w:pPr>
        <w:spacing w:line="276" w:lineRule="auto"/>
        <w:jc w:val="both"/>
        <w:rPr>
          <w:rFonts w:asciiTheme="minorHAnsi" w:hAnsiTheme="minorHAnsi"/>
          <w:sz w:val="8"/>
          <w:lang w:val="sq-AL"/>
        </w:rPr>
      </w:pPr>
    </w:p>
    <w:p w:rsidR="00673BAA" w:rsidRDefault="00334E32" w:rsidP="00334E32">
      <w:pPr>
        <w:tabs>
          <w:tab w:val="left" w:pos="4770"/>
        </w:tabs>
        <w:spacing w:line="276" w:lineRule="auto"/>
        <w:ind w:left="4410"/>
        <w:jc w:val="both"/>
        <w:rPr>
          <w:rFonts w:asciiTheme="minorHAnsi" w:hAnsiTheme="minorHAnsi"/>
          <w:b/>
          <w:bCs/>
          <w:sz w:val="32"/>
          <w:lang w:val="sq-AL"/>
        </w:rPr>
      </w:pPr>
      <w:r>
        <w:rPr>
          <w:rFonts w:asciiTheme="minorHAnsi" w:hAnsiTheme="minorHAnsi"/>
          <w:b/>
          <w:lang w:val="sq-AL"/>
        </w:rPr>
        <w:tab/>
      </w:r>
      <w:r>
        <w:rPr>
          <w:rFonts w:asciiTheme="minorHAnsi" w:hAnsiTheme="minorHAnsi"/>
          <w:b/>
          <w:lang w:val="sq-AL"/>
        </w:rPr>
        <w:tab/>
      </w:r>
      <w:r>
        <w:rPr>
          <w:rFonts w:asciiTheme="minorHAnsi" w:hAnsiTheme="minorHAnsi"/>
          <w:b/>
          <w:bCs/>
          <w:sz w:val="32"/>
          <w:lang w:val="sq-AL"/>
        </w:rPr>
        <w:t xml:space="preserve">MINISTRIA E </w:t>
      </w:r>
      <w:r w:rsidR="00673BAA" w:rsidRPr="007117C6">
        <w:rPr>
          <w:rFonts w:asciiTheme="minorHAnsi" w:hAnsiTheme="minorHAnsi"/>
          <w:b/>
          <w:bCs/>
          <w:sz w:val="32"/>
          <w:lang w:val="sq-AL"/>
        </w:rPr>
        <w:t>FINANCAVE</w:t>
      </w:r>
    </w:p>
    <w:p w:rsidR="00593E6C" w:rsidRPr="00444289" w:rsidRDefault="00593E6C" w:rsidP="000A1A4D">
      <w:pPr>
        <w:spacing w:line="276" w:lineRule="auto"/>
        <w:ind w:left="5040"/>
        <w:jc w:val="both"/>
        <w:rPr>
          <w:rFonts w:asciiTheme="minorHAnsi" w:hAnsiTheme="minorHAnsi"/>
          <w:b/>
          <w:bCs/>
          <w:lang w:val="sq-AL"/>
        </w:rPr>
      </w:pPr>
    </w:p>
    <w:p w:rsidR="002460BC" w:rsidRDefault="002460BC" w:rsidP="002460BC">
      <w:pPr>
        <w:pStyle w:val="NoSpacing"/>
        <w:rPr>
          <w:rFonts w:ascii="Times New Roman" w:hAnsi="Times New Roman"/>
          <w:i/>
          <w:sz w:val="18"/>
          <w:szCs w:val="18"/>
        </w:rPr>
      </w:pPr>
    </w:p>
    <w:p w:rsidR="00334E32" w:rsidRDefault="00334E32" w:rsidP="002460BC">
      <w:pPr>
        <w:pStyle w:val="NoSpacing"/>
        <w:rPr>
          <w:rFonts w:ascii="Times New Roman" w:hAnsi="Times New Roman"/>
          <w:i/>
          <w:sz w:val="18"/>
          <w:szCs w:val="18"/>
        </w:rPr>
      </w:pPr>
    </w:p>
    <w:p w:rsidR="00334E32" w:rsidRDefault="00334E32" w:rsidP="002460BC">
      <w:pPr>
        <w:pStyle w:val="NoSpacing"/>
        <w:rPr>
          <w:rFonts w:ascii="Times New Roman" w:hAnsi="Times New Roman"/>
          <w:i/>
          <w:sz w:val="18"/>
          <w:szCs w:val="18"/>
        </w:rPr>
      </w:pPr>
    </w:p>
    <w:p w:rsidR="00334E32" w:rsidRDefault="00334E32" w:rsidP="002460BC">
      <w:pPr>
        <w:pStyle w:val="NoSpacing"/>
        <w:rPr>
          <w:rFonts w:ascii="Times New Roman" w:hAnsi="Times New Roman"/>
          <w:i/>
          <w:sz w:val="18"/>
          <w:szCs w:val="18"/>
        </w:rPr>
      </w:pPr>
    </w:p>
    <w:p w:rsidR="00334E32" w:rsidRDefault="00334E32" w:rsidP="002460BC">
      <w:pPr>
        <w:pStyle w:val="NoSpacing"/>
        <w:rPr>
          <w:rFonts w:ascii="Times New Roman" w:hAnsi="Times New Roman"/>
          <w:i/>
          <w:sz w:val="18"/>
          <w:szCs w:val="18"/>
        </w:rPr>
      </w:pPr>
    </w:p>
    <w:p w:rsidR="00334E32" w:rsidRDefault="00334E32" w:rsidP="002460BC">
      <w:pPr>
        <w:pStyle w:val="NoSpacing"/>
        <w:rPr>
          <w:rFonts w:ascii="Times New Roman" w:hAnsi="Times New Roman"/>
          <w:i/>
          <w:sz w:val="18"/>
          <w:szCs w:val="18"/>
        </w:rPr>
      </w:pPr>
    </w:p>
    <w:p w:rsidR="00334E32" w:rsidRDefault="00334E32" w:rsidP="002460BC">
      <w:pPr>
        <w:pStyle w:val="NoSpacing"/>
        <w:rPr>
          <w:rFonts w:ascii="Times New Roman" w:hAnsi="Times New Roman"/>
          <w:i/>
          <w:sz w:val="18"/>
          <w:szCs w:val="18"/>
        </w:rPr>
      </w:pPr>
    </w:p>
    <w:p w:rsidR="00334E32" w:rsidRPr="00334E32" w:rsidRDefault="00334E32" w:rsidP="00334E32">
      <w:pPr>
        <w:tabs>
          <w:tab w:val="left" w:pos="4770"/>
        </w:tabs>
        <w:spacing w:line="276" w:lineRule="auto"/>
        <w:jc w:val="both"/>
        <w:rPr>
          <w:rFonts w:asciiTheme="minorHAnsi" w:hAnsiTheme="minorHAnsi"/>
          <w:b/>
          <w:i/>
          <w:color w:val="C00000"/>
          <w:u w:val="single"/>
          <w:lang w:val="sq-AL"/>
        </w:rPr>
      </w:pPr>
      <w:r w:rsidRPr="00334E32">
        <w:rPr>
          <w:rFonts w:asciiTheme="minorHAnsi" w:hAnsiTheme="minorHAnsi"/>
          <w:b/>
          <w:i/>
          <w:color w:val="C00000"/>
          <w:u w:val="single"/>
          <w:lang w:val="sq-AL"/>
        </w:rPr>
        <w:t>QERSHOR 2017</w:t>
      </w:r>
    </w:p>
    <w:sectPr w:rsidR="00334E32" w:rsidRPr="00334E32" w:rsidSect="00CE3733">
      <w:headerReference w:type="default" r:id="rId69"/>
      <w:footerReference w:type="default" r:id="rId70"/>
      <w:pgSz w:w="11907" w:h="16839" w:code="9"/>
      <w:pgMar w:top="1440" w:right="1287" w:bottom="1276" w:left="117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B09" w:rsidRDefault="00843B09" w:rsidP="00CD61BB">
      <w:r>
        <w:separator/>
      </w:r>
    </w:p>
  </w:endnote>
  <w:endnote w:type="continuationSeparator" w:id="0">
    <w:p w:rsidR="00843B09" w:rsidRDefault="00843B09" w:rsidP="00CD6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396497"/>
      <w:docPartObj>
        <w:docPartGallery w:val="Page Numbers (Bottom of Page)"/>
        <w:docPartUnique/>
      </w:docPartObj>
    </w:sdtPr>
    <w:sdtEndPr/>
    <w:sdtContent>
      <w:p w:rsidR="00CB4E18" w:rsidRDefault="00CB4E18">
        <w:pPr>
          <w:pStyle w:val="Footer"/>
          <w:jc w:val="right"/>
        </w:pPr>
        <w:r>
          <w:fldChar w:fldCharType="begin"/>
        </w:r>
        <w:r>
          <w:instrText xml:space="preserve"> PAGE   \* MERGEFORMAT </w:instrText>
        </w:r>
        <w:r>
          <w:fldChar w:fldCharType="separate"/>
        </w:r>
        <w:r w:rsidR="007957B5">
          <w:rPr>
            <w:noProof/>
          </w:rPr>
          <w:t>14</w:t>
        </w:r>
        <w:r>
          <w:rPr>
            <w:noProof/>
          </w:rPr>
          <w:fldChar w:fldCharType="end"/>
        </w:r>
      </w:p>
    </w:sdtContent>
  </w:sdt>
  <w:p w:rsidR="00CB4E18" w:rsidRDefault="00CB4E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B09" w:rsidRDefault="00843B09" w:rsidP="00CD61BB">
      <w:r>
        <w:separator/>
      </w:r>
    </w:p>
  </w:footnote>
  <w:footnote w:type="continuationSeparator" w:id="0">
    <w:p w:rsidR="00843B09" w:rsidRDefault="00843B09" w:rsidP="00CD6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89"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101"/>
      <w:gridCol w:w="1517"/>
    </w:tblGrid>
    <w:tr w:rsidR="00CB4E18" w:rsidRPr="005B570E" w:rsidTr="004C5C81">
      <w:trPr>
        <w:trHeight w:val="288"/>
      </w:trPr>
      <w:sdt>
        <w:sdtPr>
          <w:rPr>
            <w:rFonts w:asciiTheme="majorHAnsi" w:eastAsiaTheme="majorEastAsia" w:hAnsiTheme="majorHAnsi" w:cstheme="majorBidi"/>
            <w:color w:val="A6A6A6" w:themeColor="background1" w:themeShade="A6"/>
            <w:sz w:val="18"/>
            <w:szCs w:val="18"/>
            <w:lang w:val="sq-AL"/>
          </w:rPr>
          <w:alias w:val="Title"/>
          <w:id w:val="-1053077888"/>
          <w:placeholder>
            <w:docPart w:val="CF37819AA65E4E53B4DFC7EC5F75C8DD"/>
          </w:placeholder>
          <w:dataBinding w:prefixMappings="xmlns:ns0='http://schemas.openxmlformats.org/package/2006/metadata/core-properties' xmlns:ns1='http://purl.org/dc/elements/1.1/'" w:xpath="/ns0:coreProperties[1]/ns1:title[1]" w:storeItemID="{6C3C8BC8-F283-45AE-878A-BAB7291924A1}"/>
          <w:text/>
        </w:sdtPr>
        <w:sdtEndPr/>
        <w:sdtContent>
          <w:tc>
            <w:tcPr>
              <w:tcW w:w="8935" w:type="dxa"/>
              <w:tcBorders>
                <w:right w:val="single" w:sz="12" w:space="0" w:color="A6A6A6" w:themeColor="background1" w:themeShade="A6"/>
              </w:tcBorders>
            </w:tcPr>
            <w:p w:rsidR="00CB4E18" w:rsidRPr="008E7E7B" w:rsidRDefault="00CB4E18" w:rsidP="00A6158C">
              <w:pPr>
                <w:pStyle w:val="Header"/>
                <w:jc w:val="right"/>
                <w:rPr>
                  <w:rFonts w:asciiTheme="majorHAnsi" w:eastAsiaTheme="majorEastAsia" w:hAnsiTheme="majorHAnsi" w:cstheme="majorBidi"/>
                  <w:color w:val="A6A6A6" w:themeColor="background1" w:themeShade="A6"/>
                  <w:sz w:val="18"/>
                  <w:szCs w:val="18"/>
                </w:rPr>
              </w:pPr>
              <w:r w:rsidRPr="00A6158C">
                <w:rPr>
                  <w:rFonts w:asciiTheme="majorHAnsi" w:eastAsiaTheme="majorEastAsia" w:hAnsiTheme="majorHAnsi" w:cstheme="majorBidi"/>
                  <w:color w:val="A6A6A6" w:themeColor="background1" w:themeShade="A6"/>
                  <w:sz w:val="18"/>
                  <w:szCs w:val="18"/>
                  <w:lang w:val="sq-AL"/>
                </w:rPr>
                <w:t>Raporti i Mes-Vitit i Buxheti</w:t>
              </w:r>
              <w:r>
                <w:rPr>
                  <w:rFonts w:asciiTheme="majorHAnsi" w:eastAsiaTheme="majorEastAsia" w:hAnsiTheme="majorHAnsi" w:cstheme="majorBidi"/>
                  <w:color w:val="A6A6A6" w:themeColor="background1" w:themeShade="A6"/>
                  <w:sz w:val="18"/>
                  <w:szCs w:val="18"/>
                  <w:lang w:val="sq-AL"/>
                </w:rPr>
                <w:t>t</w:t>
              </w:r>
            </w:p>
          </w:tc>
        </w:sdtContent>
      </w:sdt>
      <w:tc>
        <w:tcPr>
          <w:tcW w:w="1620" w:type="dxa"/>
          <w:tcBorders>
            <w:left w:val="single" w:sz="12" w:space="0" w:color="A6A6A6" w:themeColor="background1" w:themeShade="A6"/>
          </w:tcBorders>
        </w:tcPr>
        <w:p w:rsidR="00CB4E18" w:rsidRPr="008E7E7B" w:rsidRDefault="00CB4E18" w:rsidP="009E15F3">
          <w:pPr>
            <w:pStyle w:val="Header"/>
            <w:rPr>
              <w:rFonts w:asciiTheme="majorHAnsi" w:eastAsiaTheme="majorEastAsia" w:hAnsiTheme="majorHAnsi" w:cstheme="majorBidi"/>
              <w:bCs/>
              <w:color w:val="A6A6A6" w:themeColor="background1" w:themeShade="A6"/>
              <w:sz w:val="18"/>
              <w:szCs w:val="18"/>
            </w:rPr>
          </w:pPr>
          <w:r>
            <w:rPr>
              <w:rFonts w:asciiTheme="majorHAnsi" w:eastAsiaTheme="majorEastAsia" w:hAnsiTheme="majorHAnsi" w:cstheme="majorBidi"/>
              <w:bCs/>
              <w:color w:val="A6A6A6" w:themeColor="background1" w:themeShade="A6"/>
              <w:sz w:val="18"/>
              <w:szCs w:val="18"/>
            </w:rPr>
            <w:t>2017</w:t>
          </w:r>
        </w:p>
      </w:tc>
    </w:tr>
  </w:tbl>
  <w:p w:rsidR="00CB4E18" w:rsidRDefault="00CB4E18" w:rsidP="000105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21DE5"/>
    <w:multiLevelType w:val="hybridMultilevel"/>
    <w:tmpl w:val="F1468C08"/>
    <w:lvl w:ilvl="0" w:tplc="611A910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93B45"/>
    <w:multiLevelType w:val="hybridMultilevel"/>
    <w:tmpl w:val="10E44FD6"/>
    <w:lvl w:ilvl="0" w:tplc="04090001">
      <w:start w:val="1"/>
      <w:numFmt w:val="bullet"/>
      <w:lvlText w:val=""/>
      <w:lvlJc w:val="left"/>
      <w:pPr>
        <w:ind w:left="786" w:hanging="360"/>
      </w:pPr>
      <w:rPr>
        <w:rFonts w:ascii="Symbol" w:hAnsi="Symbol"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
    <w:nsid w:val="108E58E3"/>
    <w:multiLevelType w:val="hybridMultilevel"/>
    <w:tmpl w:val="7F0A24D4"/>
    <w:lvl w:ilvl="0" w:tplc="041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657D26"/>
    <w:multiLevelType w:val="hybridMultilevel"/>
    <w:tmpl w:val="D8C4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6E3F13"/>
    <w:multiLevelType w:val="hybridMultilevel"/>
    <w:tmpl w:val="202ED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51A14"/>
    <w:multiLevelType w:val="hybridMultilevel"/>
    <w:tmpl w:val="529486A6"/>
    <w:lvl w:ilvl="0" w:tplc="041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FC6B32"/>
    <w:multiLevelType w:val="hybridMultilevel"/>
    <w:tmpl w:val="7B2A8D2E"/>
    <w:lvl w:ilvl="0" w:tplc="04090005">
      <w:start w:val="1"/>
      <w:numFmt w:val="bullet"/>
      <w:lvlText w:val=""/>
      <w:lvlJc w:val="left"/>
      <w:pPr>
        <w:ind w:left="1080" w:hanging="360"/>
      </w:pPr>
      <w:rPr>
        <w:rFonts w:ascii="Wingdings" w:hAnsi="Wingdings"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7">
    <w:nsid w:val="2920638C"/>
    <w:multiLevelType w:val="hybridMultilevel"/>
    <w:tmpl w:val="7A325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E48D6"/>
    <w:multiLevelType w:val="hybridMultilevel"/>
    <w:tmpl w:val="7EC6FC88"/>
    <w:lvl w:ilvl="0" w:tplc="7CE868AA">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E4987"/>
    <w:multiLevelType w:val="hybridMultilevel"/>
    <w:tmpl w:val="2E9C97D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2065977"/>
    <w:multiLevelType w:val="hybridMultilevel"/>
    <w:tmpl w:val="904A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A65389"/>
    <w:multiLevelType w:val="hybridMultilevel"/>
    <w:tmpl w:val="C99A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79532E"/>
    <w:multiLevelType w:val="multilevel"/>
    <w:tmpl w:val="2C3C7522"/>
    <w:lvl w:ilvl="0">
      <w:start w:val="2"/>
      <w:numFmt w:val="decimal"/>
      <w:lvlText w:val="%1."/>
      <w:lvlJc w:val="left"/>
      <w:pPr>
        <w:ind w:left="360" w:hanging="36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13">
    <w:nsid w:val="37FB4FF1"/>
    <w:multiLevelType w:val="hybridMultilevel"/>
    <w:tmpl w:val="0A8CF520"/>
    <w:lvl w:ilvl="0" w:tplc="04090001">
      <w:start w:val="1"/>
      <w:numFmt w:val="bullet"/>
      <w:lvlText w:val=""/>
      <w:lvlJc w:val="left"/>
      <w:pPr>
        <w:ind w:left="720" w:hanging="360"/>
      </w:pPr>
      <w:rPr>
        <w:rFonts w:ascii="Symbol" w:hAnsi="Symbol" w:hint="default"/>
      </w:rPr>
    </w:lvl>
    <w:lvl w:ilvl="1" w:tplc="7BCA92F6">
      <w:start w:val="4"/>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953A35"/>
    <w:multiLevelType w:val="hybridMultilevel"/>
    <w:tmpl w:val="ADBC8BE8"/>
    <w:lvl w:ilvl="0" w:tplc="F28800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906250"/>
    <w:multiLevelType w:val="hybridMultilevel"/>
    <w:tmpl w:val="BDB0BA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700162"/>
    <w:multiLevelType w:val="hybridMultilevel"/>
    <w:tmpl w:val="9AFE9BF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nsid w:val="42F4495D"/>
    <w:multiLevelType w:val="hybridMultilevel"/>
    <w:tmpl w:val="4E92890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472E6F9F"/>
    <w:multiLevelType w:val="hybridMultilevel"/>
    <w:tmpl w:val="06F2F56A"/>
    <w:lvl w:ilvl="0" w:tplc="92543D2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05540"/>
    <w:multiLevelType w:val="hybridMultilevel"/>
    <w:tmpl w:val="A5149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D38316F"/>
    <w:multiLevelType w:val="hybridMultilevel"/>
    <w:tmpl w:val="729AE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C7114F"/>
    <w:multiLevelType w:val="hybridMultilevel"/>
    <w:tmpl w:val="59FA1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A588D"/>
    <w:multiLevelType w:val="hybridMultilevel"/>
    <w:tmpl w:val="CF9E8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5578F4"/>
    <w:multiLevelType w:val="hybridMultilevel"/>
    <w:tmpl w:val="F50ED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9310C4"/>
    <w:multiLevelType w:val="hybridMultilevel"/>
    <w:tmpl w:val="623ABDCE"/>
    <w:lvl w:ilvl="0" w:tplc="F034A4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21565C"/>
    <w:multiLevelType w:val="hybridMultilevel"/>
    <w:tmpl w:val="0E46F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A51881"/>
    <w:multiLevelType w:val="multilevel"/>
    <w:tmpl w:val="B4C6BA8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2805A86"/>
    <w:multiLevelType w:val="hybridMultilevel"/>
    <w:tmpl w:val="35BE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431191"/>
    <w:multiLevelType w:val="hybridMultilevel"/>
    <w:tmpl w:val="AB043D40"/>
    <w:lvl w:ilvl="0" w:tplc="7B968B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E475D3"/>
    <w:multiLevelType w:val="hybridMultilevel"/>
    <w:tmpl w:val="9AE4B74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AAF6FCC"/>
    <w:multiLevelType w:val="hybridMultilevel"/>
    <w:tmpl w:val="DED4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8D6192"/>
    <w:multiLevelType w:val="hybridMultilevel"/>
    <w:tmpl w:val="B4246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0"/>
  </w:num>
  <w:num w:numId="4">
    <w:abstractNumId w:val="2"/>
  </w:num>
  <w:num w:numId="5">
    <w:abstractNumId w:val="13"/>
  </w:num>
  <w:num w:numId="6">
    <w:abstractNumId w:val="27"/>
  </w:num>
  <w:num w:numId="7">
    <w:abstractNumId w:val="28"/>
  </w:num>
  <w:num w:numId="8">
    <w:abstractNumId w:val="8"/>
  </w:num>
  <w:num w:numId="9">
    <w:abstractNumId w:val="14"/>
  </w:num>
  <w:num w:numId="10">
    <w:abstractNumId w:val="25"/>
  </w:num>
  <w:num w:numId="11">
    <w:abstractNumId w:val="23"/>
  </w:num>
  <w:num w:numId="12">
    <w:abstractNumId w:val="3"/>
  </w:num>
  <w:num w:numId="13">
    <w:abstractNumId w:val="1"/>
  </w:num>
  <w:num w:numId="14">
    <w:abstractNumId w:val="5"/>
  </w:num>
  <w:num w:numId="15">
    <w:abstractNumId w:val="29"/>
  </w:num>
  <w:num w:numId="16">
    <w:abstractNumId w:val="22"/>
  </w:num>
  <w:num w:numId="17">
    <w:abstractNumId w:val="15"/>
  </w:num>
  <w:num w:numId="18">
    <w:abstractNumId w:val="21"/>
  </w:num>
  <w:num w:numId="19">
    <w:abstractNumId w:val="9"/>
  </w:num>
  <w:num w:numId="20">
    <w:abstractNumId w:val="17"/>
  </w:num>
  <w:num w:numId="21">
    <w:abstractNumId w:val="7"/>
  </w:num>
  <w:num w:numId="22">
    <w:abstractNumId w:val="11"/>
  </w:num>
  <w:num w:numId="23">
    <w:abstractNumId w:val="18"/>
  </w:num>
  <w:num w:numId="24">
    <w:abstractNumId w:val="24"/>
  </w:num>
  <w:num w:numId="25">
    <w:abstractNumId w:val="31"/>
  </w:num>
  <w:num w:numId="26">
    <w:abstractNumId w:val="20"/>
  </w:num>
  <w:num w:numId="27">
    <w:abstractNumId w:val="30"/>
  </w:num>
  <w:num w:numId="28">
    <w:abstractNumId w:val="19"/>
  </w:num>
  <w:num w:numId="29">
    <w:abstractNumId w:val="0"/>
  </w:num>
  <w:num w:numId="30">
    <w:abstractNumId w:val="26"/>
  </w:num>
  <w:num w:numId="31">
    <w:abstractNumId w:val="4"/>
  </w:num>
  <w:num w:numId="32">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E05"/>
    <w:rsid w:val="000009B4"/>
    <w:rsid w:val="00001847"/>
    <w:rsid w:val="00001B8A"/>
    <w:rsid w:val="0000203C"/>
    <w:rsid w:val="00002903"/>
    <w:rsid w:val="00002985"/>
    <w:rsid w:val="00002BA1"/>
    <w:rsid w:val="000042BE"/>
    <w:rsid w:val="00004591"/>
    <w:rsid w:val="00004BBA"/>
    <w:rsid w:val="000058A5"/>
    <w:rsid w:val="0000625F"/>
    <w:rsid w:val="00006D26"/>
    <w:rsid w:val="00006F4A"/>
    <w:rsid w:val="00007240"/>
    <w:rsid w:val="00007FB3"/>
    <w:rsid w:val="000105BE"/>
    <w:rsid w:val="00010AD1"/>
    <w:rsid w:val="00011DE6"/>
    <w:rsid w:val="00013AAD"/>
    <w:rsid w:val="000146B5"/>
    <w:rsid w:val="00020D0D"/>
    <w:rsid w:val="00021054"/>
    <w:rsid w:val="00023EC7"/>
    <w:rsid w:val="00024F36"/>
    <w:rsid w:val="00026ECA"/>
    <w:rsid w:val="000278C7"/>
    <w:rsid w:val="00030821"/>
    <w:rsid w:val="00030AB4"/>
    <w:rsid w:val="000313E1"/>
    <w:rsid w:val="00031696"/>
    <w:rsid w:val="000316EE"/>
    <w:rsid w:val="00035841"/>
    <w:rsid w:val="000358B5"/>
    <w:rsid w:val="00040FFF"/>
    <w:rsid w:val="0004148F"/>
    <w:rsid w:val="000431C2"/>
    <w:rsid w:val="000433A3"/>
    <w:rsid w:val="000463AC"/>
    <w:rsid w:val="00050FA7"/>
    <w:rsid w:val="00051A5E"/>
    <w:rsid w:val="00052BF2"/>
    <w:rsid w:val="00053402"/>
    <w:rsid w:val="00053BCC"/>
    <w:rsid w:val="000557E1"/>
    <w:rsid w:val="0006109B"/>
    <w:rsid w:val="00062B2F"/>
    <w:rsid w:val="000631F1"/>
    <w:rsid w:val="00067A97"/>
    <w:rsid w:val="00070A9E"/>
    <w:rsid w:val="00074D63"/>
    <w:rsid w:val="00074EFC"/>
    <w:rsid w:val="00075214"/>
    <w:rsid w:val="00075221"/>
    <w:rsid w:val="00075EFB"/>
    <w:rsid w:val="00080C58"/>
    <w:rsid w:val="0008211E"/>
    <w:rsid w:val="00082792"/>
    <w:rsid w:val="0008405B"/>
    <w:rsid w:val="00084AE6"/>
    <w:rsid w:val="0008561F"/>
    <w:rsid w:val="0008790E"/>
    <w:rsid w:val="0009015E"/>
    <w:rsid w:val="00091411"/>
    <w:rsid w:val="0009269D"/>
    <w:rsid w:val="00092EF5"/>
    <w:rsid w:val="000935B0"/>
    <w:rsid w:val="00093EC3"/>
    <w:rsid w:val="000946AA"/>
    <w:rsid w:val="00094C85"/>
    <w:rsid w:val="00096062"/>
    <w:rsid w:val="000A00F7"/>
    <w:rsid w:val="000A0F68"/>
    <w:rsid w:val="000A105F"/>
    <w:rsid w:val="000A1269"/>
    <w:rsid w:val="000A1A4D"/>
    <w:rsid w:val="000A1DED"/>
    <w:rsid w:val="000A2C2B"/>
    <w:rsid w:val="000A3A65"/>
    <w:rsid w:val="000A47EC"/>
    <w:rsid w:val="000A6BDF"/>
    <w:rsid w:val="000B2FE1"/>
    <w:rsid w:val="000B3625"/>
    <w:rsid w:val="000B4464"/>
    <w:rsid w:val="000B5856"/>
    <w:rsid w:val="000B6C8B"/>
    <w:rsid w:val="000C0515"/>
    <w:rsid w:val="000C2177"/>
    <w:rsid w:val="000C4EAF"/>
    <w:rsid w:val="000C7321"/>
    <w:rsid w:val="000D0537"/>
    <w:rsid w:val="000D0B82"/>
    <w:rsid w:val="000D0FAE"/>
    <w:rsid w:val="000D1054"/>
    <w:rsid w:val="000D3057"/>
    <w:rsid w:val="000D39D1"/>
    <w:rsid w:val="000D678C"/>
    <w:rsid w:val="000D725A"/>
    <w:rsid w:val="000D735A"/>
    <w:rsid w:val="000D78D1"/>
    <w:rsid w:val="000D7B83"/>
    <w:rsid w:val="000E0554"/>
    <w:rsid w:val="000E1C80"/>
    <w:rsid w:val="000E2E50"/>
    <w:rsid w:val="000E3075"/>
    <w:rsid w:val="000E3178"/>
    <w:rsid w:val="000E44E0"/>
    <w:rsid w:val="000E4AD3"/>
    <w:rsid w:val="000E6C40"/>
    <w:rsid w:val="000E7521"/>
    <w:rsid w:val="000E765C"/>
    <w:rsid w:val="000F051F"/>
    <w:rsid w:val="000F1197"/>
    <w:rsid w:val="000F2E94"/>
    <w:rsid w:val="000F2F61"/>
    <w:rsid w:val="000F4824"/>
    <w:rsid w:val="000F4D1C"/>
    <w:rsid w:val="000F540A"/>
    <w:rsid w:val="000F606D"/>
    <w:rsid w:val="000F7B0C"/>
    <w:rsid w:val="000F7EE0"/>
    <w:rsid w:val="001004A6"/>
    <w:rsid w:val="001011D2"/>
    <w:rsid w:val="00102AA3"/>
    <w:rsid w:val="00102D6A"/>
    <w:rsid w:val="00104441"/>
    <w:rsid w:val="00105412"/>
    <w:rsid w:val="00106E18"/>
    <w:rsid w:val="001070FF"/>
    <w:rsid w:val="00107342"/>
    <w:rsid w:val="001105BE"/>
    <w:rsid w:val="0011061C"/>
    <w:rsid w:val="0011178E"/>
    <w:rsid w:val="00112C09"/>
    <w:rsid w:val="001140C9"/>
    <w:rsid w:val="0011462F"/>
    <w:rsid w:val="001147E2"/>
    <w:rsid w:val="0011683A"/>
    <w:rsid w:val="00117C1E"/>
    <w:rsid w:val="001216A1"/>
    <w:rsid w:val="0012315A"/>
    <w:rsid w:val="00123875"/>
    <w:rsid w:val="0012432B"/>
    <w:rsid w:val="00124A22"/>
    <w:rsid w:val="0012547B"/>
    <w:rsid w:val="00125535"/>
    <w:rsid w:val="001256B7"/>
    <w:rsid w:val="00126C04"/>
    <w:rsid w:val="001273EB"/>
    <w:rsid w:val="00127B95"/>
    <w:rsid w:val="00132007"/>
    <w:rsid w:val="00132274"/>
    <w:rsid w:val="001325A5"/>
    <w:rsid w:val="00132760"/>
    <w:rsid w:val="00133661"/>
    <w:rsid w:val="001348C2"/>
    <w:rsid w:val="00134C45"/>
    <w:rsid w:val="00137DBA"/>
    <w:rsid w:val="0014189B"/>
    <w:rsid w:val="00142974"/>
    <w:rsid w:val="00143F84"/>
    <w:rsid w:val="001445E4"/>
    <w:rsid w:val="0014483A"/>
    <w:rsid w:val="00145A6E"/>
    <w:rsid w:val="00145CF2"/>
    <w:rsid w:val="001460AD"/>
    <w:rsid w:val="00146D79"/>
    <w:rsid w:val="001470C2"/>
    <w:rsid w:val="001472EC"/>
    <w:rsid w:val="00150059"/>
    <w:rsid w:val="00150A21"/>
    <w:rsid w:val="00152EE7"/>
    <w:rsid w:val="00152F8F"/>
    <w:rsid w:val="001549DF"/>
    <w:rsid w:val="00155195"/>
    <w:rsid w:val="0015558C"/>
    <w:rsid w:val="001559DA"/>
    <w:rsid w:val="00157B21"/>
    <w:rsid w:val="00161F13"/>
    <w:rsid w:val="00163C3B"/>
    <w:rsid w:val="001649C0"/>
    <w:rsid w:val="001664DF"/>
    <w:rsid w:val="00166D8B"/>
    <w:rsid w:val="001700B3"/>
    <w:rsid w:val="0017076B"/>
    <w:rsid w:val="0017172F"/>
    <w:rsid w:val="00171750"/>
    <w:rsid w:val="00172EF6"/>
    <w:rsid w:val="00172F07"/>
    <w:rsid w:val="00174442"/>
    <w:rsid w:val="0017449A"/>
    <w:rsid w:val="0017690C"/>
    <w:rsid w:val="00176D8B"/>
    <w:rsid w:val="0017759D"/>
    <w:rsid w:val="00177EE9"/>
    <w:rsid w:val="00180408"/>
    <w:rsid w:val="001813D0"/>
    <w:rsid w:val="001829D2"/>
    <w:rsid w:val="001838EB"/>
    <w:rsid w:val="00184522"/>
    <w:rsid w:val="001850DE"/>
    <w:rsid w:val="00186C16"/>
    <w:rsid w:val="00186CC4"/>
    <w:rsid w:val="00186F3E"/>
    <w:rsid w:val="00187722"/>
    <w:rsid w:val="001907DA"/>
    <w:rsid w:val="00192E38"/>
    <w:rsid w:val="00193047"/>
    <w:rsid w:val="00193214"/>
    <w:rsid w:val="00193217"/>
    <w:rsid w:val="00193EF8"/>
    <w:rsid w:val="001964A3"/>
    <w:rsid w:val="001978B3"/>
    <w:rsid w:val="00197C2F"/>
    <w:rsid w:val="001A1995"/>
    <w:rsid w:val="001A6E86"/>
    <w:rsid w:val="001A766B"/>
    <w:rsid w:val="001A77A8"/>
    <w:rsid w:val="001B038E"/>
    <w:rsid w:val="001B14EA"/>
    <w:rsid w:val="001B168E"/>
    <w:rsid w:val="001B35D0"/>
    <w:rsid w:val="001B3B3B"/>
    <w:rsid w:val="001B5B2F"/>
    <w:rsid w:val="001C27C1"/>
    <w:rsid w:val="001C2A41"/>
    <w:rsid w:val="001C3D4D"/>
    <w:rsid w:val="001C4818"/>
    <w:rsid w:val="001C4FB0"/>
    <w:rsid w:val="001C4FB4"/>
    <w:rsid w:val="001C7383"/>
    <w:rsid w:val="001D44AF"/>
    <w:rsid w:val="001D4F19"/>
    <w:rsid w:val="001D5347"/>
    <w:rsid w:val="001E0CE8"/>
    <w:rsid w:val="001E2B2F"/>
    <w:rsid w:val="001E701E"/>
    <w:rsid w:val="001E7643"/>
    <w:rsid w:val="001F058C"/>
    <w:rsid w:val="001F0604"/>
    <w:rsid w:val="001F063F"/>
    <w:rsid w:val="001F0FC4"/>
    <w:rsid w:val="001F142F"/>
    <w:rsid w:val="001F2ADF"/>
    <w:rsid w:val="001F67C5"/>
    <w:rsid w:val="001F6F5E"/>
    <w:rsid w:val="001F6F95"/>
    <w:rsid w:val="001F6FDF"/>
    <w:rsid w:val="00203D04"/>
    <w:rsid w:val="00204B73"/>
    <w:rsid w:val="00204F1C"/>
    <w:rsid w:val="00205409"/>
    <w:rsid w:val="00205627"/>
    <w:rsid w:val="0020657D"/>
    <w:rsid w:val="00207814"/>
    <w:rsid w:val="00210AB8"/>
    <w:rsid w:val="00211F52"/>
    <w:rsid w:val="00213209"/>
    <w:rsid w:val="00213C47"/>
    <w:rsid w:val="00215300"/>
    <w:rsid w:val="0021544A"/>
    <w:rsid w:val="00215963"/>
    <w:rsid w:val="002161D1"/>
    <w:rsid w:val="00216E0B"/>
    <w:rsid w:val="00217106"/>
    <w:rsid w:val="0021769C"/>
    <w:rsid w:val="00217FEB"/>
    <w:rsid w:val="002209C4"/>
    <w:rsid w:val="00222429"/>
    <w:rsid w:val="00224542"/>
    <w:rsid w:val="00224B01"/>
    <w:rsid w:val="002255E1"/>
    <w:rsid w:val="00225E29"/>
    <w:rsid w:val="00227084"/>
    <w:rsid w:val="002278F9"/>
    <w:rsid w:val="00233485"/>
    <w:rsid w:val="00233B27"/>
    <w:rsid w:val="00234757"/>
    <w:rsid w:val="00236654"/>
    <w:rsid w:val="002370D8"/>
    <w:rsid w:val="00237145"/>
    <w:rsid w:val="0023717E"/>
    <w:rsid w:val="002402F8"/>
    <w:rsid w:val="002406D0"/>
    <w:rsid w:val="0024079D"/>
    <w:rsid w:val="00240864"/>
    <w:rsid w:val="00240ABA"/>
    <w:rsid w:val="00240ABC"/>
    <w:rsid w:val="00240E5B"/>
    <w:rsid w:val="00241855"/>
    <w:rsid w:val="00241CE3"/>
    <w:rsid w:val="002423E9"/>
    <w:rsid w:val="002441A5"/>
    <w:rsid w:val="00244B72"/>
    <w:rsid w:val="00244CEF"/>
    <w:rsid w:val="00245055"/>
    <w:rsid w:val="00245495"/>
    <w:rsid w:val="00245B8B"/>
    <w:rsid w:val="002460BC"/>
    <w:rsid w:val="002469C1"/>
    <w:rsid w:val="00247778"/>
    <w:rsid w:val="002478D3"/>
    <w:rsid w:val="00251493"/>
    <w:rsid w:val="00251AAE"/>
    <w:rsid w:val="00251F46"/>
    <w:rsid w:val="002527CA"/>
    <w:rsid w:val="00252F8E"/>
    <w:rsid w:val="00255AEC"/>
    <w:rsid w:val="00255C53"/>
    <w:rsid w:val="002570C3"/>
    <w:rsid w:val="002572CD"/>
    <w:rsid w:val="00257EA1"/>
    <w:rsid w:val="00260083"/>
    <w:rsid w:val="00260328"/>
    <w:rsid w:val="00261D6E"/>
    <w:rsid w:val="00262852"/>
    <w:rsid w:val="00263A0A"/>
    <w:rsid w:val="00264A8E"/>
    <w:rsid w:val="00264E3B"/>
    <w:rsid w:val="002651EF"/>
    <w:rsid w:val="00265A7D"/>
    <w:rsid w:val="00265F48"/>
    <w:rsid w:val="00267105"/>
    <w:rsid w:val="0027011A"/>
    <w:rsid w:val="0027240C"/>
    <w:rsid w:val="00272C50"/>
    <w:rsid w:val="00273119"/>
    <w:rsid w:val="00275310"/>
    <w:rsid w:val="00275E5D"/>
    <w:rsid w:val="00276003"/>
    <w:rsid w:val="002762A9"/>
    <w:rsid w:val="00276794"/>
    <w:rsid w:val="0027683A"/>
    <w:rsid w:val="00277F20"/>
    <w:rsid w:val="00282629"/>
    <w:rsid w:val="00286D23"/>
    <w:rsid w:val="00286DCC"/>
    <w:rsid w:val="0028760E"/>
    <w:rsid w:val="00291768"/>
    <w:rsid w:val="00291EF6"/>
    <w:rsid w:val="0029315A"/>
    <w:rsid w:val="00297E24"/>
    <w:rsid w:val="002A0C3D"/>
    <w:rsid w:val="002A11B7"/>
    <w:rsid w:val="002A1407"/>
    <w:rsid w:val="002A2247"/>
    <w:rsid w:val="002A228A"/>
    <w:rsid w:val="002A328E"/>
    <w:rsid w:val="002A38F0"/>
    <w:rsid w:val="002A60C3"/>
    <w:rsid w:val="002A6548"/>
    <w:rsid w:val="002A734A"/>
    <w:rsid w:val="002B1D29"/>
    <w:rsid w:val="002B2276"/>
    <w:rsid w:val="002B2B79"/>
    <w:rsid w:val="002B3717"/>
    <w:rsid w:val="002B51BE"/>
    <w:rsid w:val="002C04BF"/>
    <w:rsid w:val="002C1E64"/>
    <w:rsid w:val="002C2324"/>
    <w:rsid w:val="002C2FBF"/>
    <w:rsid w:val="002C3CA1"/>
    <w:rsid w:val="002C4E7B"/>
    <w:rsid w:val="002C5A42"/>
    <w:rsid w:val="002C6745"/>
    <w:rsid w:val="002C681F"/>
    <w:rsid w:val="002D0C56"/>
    <w:rsid w:val="002D2D2D"/>
    <w:rsid w:val="002D38C7"/>
    <w:rsid w:val="002D4B15"/>
    <w:rsid w:val="002D5945"/>
    <w:rsid w:val="002D762C"/>
    <w:rsid w:val="002E06CE"/>
    <w:rsid w:val="002E0B92"/>
    <w:rsid w:val="002E2871"/>
    <w:rsid w:val="002E3BD8"/>
    <w:rsid w:val="002E3D93"/>
    <w:rsid w:val="002E4B00"/>
    <w:rsid w:val="002E5A19"/>
    <w:rsid w:val="002E5B8A"/>
    <w:rsid w:val="002E7615"/>
    <w:rsid w:val="002F0689"/>
    <w:rsid w:val="002F14DE"/>
    <w:rsid w:val="002F43DA"/>
    <w:rsid w:val="002F4D7C"/>
    <w:rsid w:val="002F5102"/>
    <w:rsid w:val="002F5328"/>
    <w:rsid w:val="002F5474"/>
    <w:rsid w:val="002F619B"/>
    <w:rsid w:val="002F6850"/>
    <w:rsid w:val="002F77DE"/>
    <w:rsid w:val="00301175"/>
    <w:rsid w:val="00301253"/>
    <w:rsid w:val="00302B52"/>
    <w:rsid w:val="00303DF2"/>
    <w:rsid w:val="0030746D"/>
    <w:rsid w:val="00307625"/>
    <w:rsid w:val="0030765D"/>
    <w:rsid w:val="00307698"/>
    <w:rsid w:val="00312527"/>
    <w:rsid w:val="003134EA"/>
    <w:rsid w:val="003136B7"/>
    <w:rsid w:val="00313B39"/>
    <w:rsid w:val="00314D71"/>
    <w:rsid w:val="003174DD"/>
    <w:rsid w:val="00317E44"/>
    <w:rsid w:val="0032510B"/>
    <w:rsid w:val="00326976"/>
    <w:rsid w:val="00327513"/>
    <w:rsid w:val="00327624"/>
    <w:rsid w:val="00327729"/>
    <w:rsid w:val="003301FA"/>
    <w:rsid w:val="00330B1D"/>
    <w:rsid w:val="00330EE7"/>
    <w:rsid w:val="00330F78"/>
    <w:rsid w:val="003329FF"/>
    <w:rsid w:val="00334E32"/>
    <w:rsid w:val="0033525B"/>
    <w:rsid w:val="003356F7"/>
    <w:rsid w:val="00335DD0"/>
    <w:rsid w:val="00336589"/>
    <w:rsid w:val="00336753"/>
    <w:rsid w:val="00337792"/>
    <w:rsid w:val="00337F9A"/>
    <w:rsid w:val="00340944"/>
    <w:rsid w:val="00340DDE"/>
    <w:rsid w:val="00341655"/>
    <w:rsid w:val="00341DF7"/>
    <w:rsid w:val="00341E88"/>
    <w:rsid w:val="003428D1"/>
    <w:rsid w:val="00343879"/>
    <w:rsid w:val="0034411F"/>
    <w:rsid w:val="00344512"/>
    <w:rsid w:val="00344C59"/>
    <w:rsid w:val="003450A2"/>
    <w:rsid w:val="00345A78"/>
    <w:rsid w:val="00347DAF"/>
    <w:rsid w:val="003519B5"/>
    <w:rsid w:val="003537DA"/>
    <w:rsid w:val="00353DB6"/>
    <w:rsid w:val="00355305"/>
    <w:rsid w:val="00355C74"/>
    <w:rsid w:val="003570A0"/>
    <w:rsid w:val="00357847"/>
    <w:rsid w:val="00361ABE"/>
    <w:rsid w:val="00362095"/>
    <w:rsid w:val="003621AA"/>
    <w:rsid w:val="003623F3"/>
    <w:rsid w:val="00362A60"/>
    <w:rsid w:val="00362CA4"/>
    <w:rsid w:val="00362D24"/>
    <w:rsid w:val="00365DAA"/>
    <w:rsid w:val="003661FA"/>
    <w:rsid w:val="003671F1"/>
    <w:rsid w:val="0036747C"/>
    <w:rsid w:val="00370C58"/>
    <w:rsid w:val="003718F9"/>
    <w:rsid w:val="00372A3F"/>
    <w:rsid w:val="00372B08"/>
    <w:rsid w:val="00373494"/>
    <w:rsid w:val="00375B6A"/>
    <w:rsid w:val="00381CAE"/>
    <w:rsid w:val="00382398"/>
    <w:rsid w:val="00384ABC"/>
    <w:rsid w:val="00386111"/>
    <w:rsid w:val="003862DD"/>
    <w:rsid w:val="003864E7"/>
    <w:rsid w:val="00386547"/>
    <w:rsid w:val="0038676C"/>
    <w:rsid w:val="00387104"/>
    <w:rsid w:val="00392AE6"/>
    <w:rsid w:val="00392D7F"/>
    <w:rsid w:val="003947F2"/>
    <w:rsid w:val="00394CF9"/>
    <w:rsid w:val="003950C6"/>
    <w:rsid w:val="0039681B"/>
    <w:rsid w:val="003A02D6"/>
    <w:rsid w:val="003A0994"/>
    <w:rsid w:val="003A1589"/>
    <w:rsid w:val="003A5D62"/>
    <w:rsid w:val="003A67D5"/>
    <w:rsid w:val="003A68A0"/>
    <w:rsid w:val="003A7637"/>
    <w:rsid w:val="003A797D"/>
    <w:rsid w:val="003B1519"/>
    <w:rsid w:val="003B165E"/>
    <w:rsid w:val="003B21B2"/>
    <w:rsid w:val="003B52C0"/>
    <w:rsid w:val="003B67ED"/>
    <w:rsid w:val="003B7659"/>
    <w:rsid w:val="003B7685"/>
    <w:rsid w:val="003B7A5E"/>
    <w:rsid w:val="003B7A8E"/>
    <w:rsid w:val="003B7EAE"/>
    <w:rsid w:val="003C2CAD"/>
    <w:rsid w:val="003C42B7"/>
    <w:rsid w:val="003D047F"/>
    <w:rsid w:val="003D071E"/>
    <w:rsid w:val="003D082B"/>
    <w:rsid w:val="003D0A60"/>
    <w:rsid w:val="003D0C18"/>
    <w:rsid w:val="003D184D"/>
    <w:rsid w:val="003D24A4"/>
    <w:rsid w:val="003D27B0"/>
    <w:rsid w:val="003D2E53"/>
    <w:rsid w:val="003D3D34"/>
    <w:rsid w:val="003D3D3B"/>
    <w:rsid w:val="003D43A4"/>
    <w:rsid w:val="003D5130"/>
    <w:rsid w:val="003D5A86"/>
    <w:rsid w:val="003D72D8"/>
    <w:rsid w:val="003D7996"/>
    <w:rsid w:val="003E03A1"/>
    <w:rsid w:val="003E03E4"/>
    <w:rsid w:val="003E069C"/>
    <w:rsid w:val="003E3135"/>
    <w:rsid w:val="003E49E5"/>
    <w:rsid w:val="003E529E"/>
    <w:rsid w:val="003E568F"/>
    <w:rsid w:val="003E6982"/>
    <w:rsid w:val="003E783A"/>
    <w:rsid w:val="003E788A"/>
    <w:rsid w:val="003F09C1"/>
    <w:rsid w:val="003F1220"/>
    <w:rsid w:val="003F2272"/>
    <w:rsid w:val="003F2FDB"/>
    <w:rsid w:val="003F38E8"/>
    <w:rsid w:val="003F4DA7"/>
    <w:rsid w:val="003F50B1"/>
    <w:rsid w:val="00400BF5"/>
    <w:rsid w:val="004010D2"/>
    <w:rsid w:val="0040176D"/>
    <w:rsid w:val="0040348D"/>
    <w:rsid w:val="004049A9"/>
    <w:rsid w:val="0040685E"/>
    <w:rsid w:val="00406C97"/>
    <w:rsid w:val="004104AC"/>
    <w:rsid w:val="00412105"/>
    <w:rsid w:val="00412B4B"/>
    <w:rsid w:val="00413F7E"/>
    <w:rsid w:val="00414624"/>
    <w:rsid w:val="004158FA"/>
    <w:rsid w:val="0041642C"/>
    <w:rsid w:val="00420C89"/>
    <w:rsid w:val="00421A03"/>
    <w:rsid w:val="0042203E"/>
    <w:rsid w:val="004241A1"/>
    <w:rsid w:val="004243F1"/>
    <w:rsid w:val="00425D0E"/>
    <w:rsid w:val="0042698C"/>
    <w:rsid w:val="00426C9E"/>
    <w:rsid w:val="0042726F"/>
    <w:rsid w:val="0042741F"/>
    <w:rsid w:val="00430AC8"/>
    <w:rsid w:val="00432288"/>
    <w:rsid w:val="00433397"/>
    <w:rsid w:val="004335A3"/>
    <w:rsid w:val="004349AE"/>
    <w:rsid w:val="0043587B"/>
    <w:rsid w:val="00436982"/>
    <w:rsid w:val="00437C04"/>
    <w:rsid w:val="004426DC"/>
    <w:rsid w:val="00443A81"/>
    <w:rsid w:val="00443FC6"/>
    <w:rsid w:val="00444289"/>
    <w:rsid w:val="004449DB"/>
    <w:rsid w:val="00447459"/>
    <w:rsid w:val="0045026B"/>
    <w:rsid w:val="00451135"/>
    <w:rsid w:val="004516AC"/>
    <w:rsid w:val="00451987"/>
    <w:rsid w:val="00453CE5"/>
    <w:rsid w:val="004546A1"/>
    <w:rsid w:val="00454868"/>
    <w:rsid w:val="00455ECB"/>
    <w:rsid w:val="004563A6"/>
    <w:rsid w:val="00456A13"/>
    <w:rsid w:val="00456A1A"/>
    <w:rsid w:val="0045766D"/>
    <w:rsid w:val="00461120"/>
    <w:rsid w:val="00462432"/>
    <w:rsid w:val="00462B80"/>
    <w:rsid w:val="0046343D"/>
    <w:rsid w:val="004634AF"/>
    <w:rsid w:val="00464239"/>
    <w:rsid w:val="00464997"/>
    <w:rsid w:val="00464C32"/>
    <w:rsid w:val="00465363"/>
    <w:rsid w:val="00465948"/>
    <w:rsid w:val="0046664E"/>
    <w:rsid w:val="00467F2A"/>
    <w:rsid w:val="00467F54"/>
    <w:rsid w:val="004710C9"/>
    <w:rsid w:val="004748A7"/>
    <w:rsid w:val="0047559A"/>
    <w:rsid w:val="00476597"/>
    <w:rsid w:val="00477292"/>
    <w:rsid w:val="0048014F"/>
    <w:rsid w:val="00480699"/>
    <w:rsid w:val="00480DDB"/>
    <w:rsid w:val="00482138"/>
    <w:rsid w:val="004823A1"/>
    <w:rsid w:val="0048344E"/>
    <w:rsid w:val="00486F2E"/>
    <w:rsid w:val="004878CE"/>
    <w:rsid w:val="00491932"/>
    <w:rsid w:val="00491995"/>
    <w:rsid w:val="004931F1"/>
    <w:rsid w:val="004959D2"/>
    <w:rsid w:val="004965B0"/>
    <w:rsid w:val="004974C9"/>
    <w:rsid w:val="004A010E"/>
    <w:rsid w:val="004A0FE4"/>
    <w:rsid w:val="004A1BCD"/>
    <w:rsid w:val="004A2522"/>
    <w:rsid w:val="004A492C"/>
    <w:rsid w:val="004A7490"/>
    <w:rsid w:val="004B03D5"/>
    <w:rsid w:val="004B0534"/>
    <w:rsid w:val="004B403B"/>
    <w:rsid w:val="004B4AD0"/>
    <w:rsid w:val="004B58CA"/>
    <w:rsid w:val="004B69DB"/>
    <w:rsid w:val="004B6ADA"/>
    <w:rsid w:val="004C1174"/>
    <w:rsid w:val="004C12C9"/>
    <w:rsid w:val="004C12F0"/>
    <w:rsid w:val="004C17C5"/>
    <w:rsid w:val="004C219F"/>
    <w:rsid w:val="004C240F"/>
    <w:rsid w:val="004C2653"/>
    <w:rsid w:val="004C3D1F"/>
    <w:rsid w:val="004C55B4"/>
    <w:rsid w:val="004C5BEC"/>
    <w:rsid w:val="004C5C81"/>
    <w:rsid w:val="004D0619"/>
    <w:rsid w:val="004D0C06"/>
    <w:rsid w:val="004D1A9D"/>
    <w:rsid w:val="004D1F43"/>
    <w:rsid w:val="004D5FDB"/>
    <w:rsid w:val="004D6D23"/>
    <w:rsid w:val="004D7C64"/>
    <w:rsid w:val="004E0EF1"/>
    <w:rsid w:val="004E13A4"/>
    <w:rsid w:val="004E3218"/>
    <w:rsid w:val="004E33F6"/>
    <w:rsid w:val="004E3562"/>
    <w:rsid w:val="004E391D"/>
    <w:rsid w:val="004E43E2"/>
    <w:rsid w:val="004E45D3"/>
    <w:rsid w:val="004E4BE3"/>
    <w:rsid w:val="004E4D69"/>
    <w:rsid w:val="004E4E4E"/>
    <w:rsid w:val="004E58EE"/>
    <w:rsid w:val="004E67E5"/>
    <w:rsid w:val="004F0C7D"/>
    <w:rsid w:val="004F0F4C"/>
    <w:rsid w:val="004F1FA6"/>
    <w:rsid w:val="004F2300"/>
    <w:rsid w:val="004F2CAD"/>
    <w:rsid w:val="004F3E0B"/>
    <w:rsid w:val="004F3F15"/>
    <w:rsid w:val="004F5A59"/>
    <w:rsid w:val="004F62A4"/>
    <w:rsid w:val="004F79E4"/>
    <w:rsid w:val="004F7CCF"/>
    <w:rsid w:val="005008F3"/>
    <w:rsid w:val="00501737"/>
    <w:rsid w:val="005031B9"/>
    <w:rsid w:val="0050357E"/>
    <w:rsid w:val="00503636"/>
    <w:rsid w:val="0050393B"/>
    <w:rsid w:val="00503E2F"/>
    <w:rsid w:val="00504FB2"/>
    <w:rsid w:val="005057C8"/>
    <w:rsid w:val="00505A68"/>
    <w:rsid w:val="00506CBA"/>
    <w:rsid w:val="00511809"/>
    <w:rsid w:val="00512323"/>
    <w:rsid w:val="0051249B"/>
    <w:rsid w:val="00513D66"/>
    <w:rsid w:val="00514246"/>
    <w:rsid w:val="00514DA0"/>
    <w:rsid w:val="00516407"/>
    <w:rsid w:val="00516451"/>
    <w:rsid w:val="00516618"/>
    <w:rsid w:val="0052258A"/>
    <w:rsid w:val="00522977"/>
    <w:rsid w:val="0052318E"/>
    <w:rsid w:val="0052359A"/>
    <w:rsid w:val="0052511B"/>
    <w:rsid w:val="00526AC1"/>
    <w:rsid w:val="00530A99"/>
    <w:rsid w:val="005313BB"/>
    <w:rsid w:val="00532A95"/>
    <w:rsid w:val="00532E02"/>
    <w:rsid w:val="0053516F"/>
    <w:rsid w:val="005353F6"/>
    <w:rsid w:val="00535EA0"/>
    <w:rsid w:val="00540BB0"/>
    <w:rsid w:val="00543268"/>
    <w:rsid w:val="0054341D"/>
    <w:rsid w:val="00544DAF"/>
    <w:rsid w:val="005463E4"/>
    <w:rsid w:val="00546E20"/>
    <w:rsid w:val="0054759A"/>
    <w:rsid w:val="00550C61"/>
    <w:rsid w:val="0055157D"/>
    <w:rsid w:val="005520FD"/>
    <w:rsid w:val="0055638F"/>
    <w:rsid w:val="005564F1"/>
    <w:rsid w:val="0055673C"/>
    <w:rsid w:val="00560789"/>
    <w:rsid w:val="005607ED"/>
    <w:rsid w:val="005612CA"/>
    <w:rsid w:val="00561C3B"/>
    <w:rsid w:val="00562447"/>
    <w:rsid w:val="00562E3F"/>
    <w:rsid w:val="00563387"/>
    <w:rsid w:val="00564887"/>
    <w:rsid w:val="00566B75"/>
    <w:rsid w:val="00566BBB"/>
    <w:rsid w:val="00566D66"/>
    <w:rsid w:val="005670F3"/>
    <w:rsid w:val="005740A4"/>
    <w:rsid w:val="00574B2E"/>
    <w:rsid w:val="00575CA1"/>
    <w:rsid w:val="00576106"/>
    <w:rsid w:val="0057792F"/>
    <w:rsid w:val="00580297"/>
    <w:rsid w:val="00580324"/>
    <w:rsid w:val="00580916"/>
    <w:rsid w:val="00581FCB"/>
    <w:rsid w:val="00582D23"/>
    <w:rsid w:val="005836FC"/>
    <w:rsid w:val="00584C75"/>
    <w:rsid w:val="00585F5C"/>
    <w:rsid w:val="005863E3"/>
    <w:rsid w:val="0058644C"/>
    <w:rsid w:val="0058673C"/>
    <w:rsid w:val="00586FF5"/>
    <w:rsid w:val="005918CA"/>
    <w:rsid w:val="005927D5"/>
    <w:rsid w:val="00592C8D"/>
    <w:rsid w:val="005935E3"/>
    <w:rsid w:val="00593E6C"/>
    <w:rsid w:val="005946E7"/>
    <w:rsid w:val="00595058"/>
    <w:rsid w:val="005954DD"/>
    <w:rsid w:val="005958E5"/>
    <w:rsid w:val="005964CB"/>
    <w:rsid w:val="005965FC"/>
    <w:rsid w:val="005A0123"/>
    <w:rsid w:val="005A1403"/>
    <w:rsid w:val="005A1F94"/>
    <w:rsid w:val="005A29D0"/>
    <w:rsid w:val="005A3D9A"/>
    <w:rsid w:val="005A43B2"/>
    <w:rsid w:val="005A4B21"/>
    <w:rsid w:val="005A5B4E"/>
    <w:rsid w:val="005A646A"/>
    <w:rsid w:val="005A6913"/>
    <w:rsid w:val="005A7472"/>
    <w:rsid w:val="005A76AD"/>
    <w:rsid w:val="005B0675"/>
    <w:rsid w:val="005B0F20"/>
    <w:rsid w:val="005B15BE"/>
    <w:rsid w:val="005B1AB0"/>
    <w:rsid w:val="005B1B0D"/>
    <w:rsid w:val="005B36C1"/>
    <w:rsid w:val="005B629E"/>
    <w:rsid w:val="005C140F"/>
    <w:rsid w:val="005C33DE"/>
    <w:rsid w:val="005C3F1C"/>
    <w:rsid w:val="005C45FB"/>
    <w:rsid w:val="005C52D1"/>
    <w:rsid w:val="005C53FD"/>
    <w:rsid w:val="005C723F"/>
    <w:rsid w:val="005C7667"/>
    <w:rsid w:val="005C7F92"/>
    <w:rsid w:val="005D04F4"/>
    <w:rsid w:val="005D0EFC"/>
    <w:rsid w:val="005D12E4"/>
    <w:rsid w:val="005D3BB5"/>
    <w:rsid w:val="005D423F"/>
    <w:rsid w:val="005D4754"/>
    <w:rsid w:val="005D568B"/>
    <w:rsid w:val="005D6734"/>
    <w:rsid w:val="005D6B16"/>
    <w:rsid w:val="005D769F"/>
    <w:rsid w:val="005D786F"/>
    <w:rsid w:val="005D7F8A"/>
    <w:rsid w:val="005E0CF1"/>
    <w:rsid w:val="005E1A02"/>
    <w:rsid w:val="005E2511"/>
    <w:rsid w:val="005E2B17"/>
    <w:rsid w:val="005E36C5"/>
    <w:rsid w:val="005E6C77"/>
    <w:rsid w:val="005E6CF7"/>
    <w:rsid w:val="005E7110"/>
    <w:rsid w:val="005E76B0"/>
    <w:rsid w:val="005F0A86"/>
    <w:rsid w:val="005F2324"/>
    <w:rsid w:val="005F249C"/>
    <w:rsid w:val="005F5097"/>
    <w:rsid w:val="005F63A7"/>
    <w:rsid w:val="005F6C67"/>
    <w:rsid w:val="005F6E35"/>
    <w:rsid w:val="005F704A"/>
    <w:rsid w:val="005F7591"/>
    <w:rsid w:val="005F7844"/>
    <w:rsid w:val="00600552"/>
    <w:rsid w:val="00600789"/>
    <w:rsid w:val="00601EFC"/>
    <w:rsid w:val="00603450"/>
    <w:rsid w:val="00603E68"/>
    <w:rsid w:val="00605C22"/>
    <w:rsid w:val="006067E7"/>
    <w:rsid w:val="00606B78"/>
    <w:rsid w:val="00606D4E"/>
    <w:rsid w:val="00606EA6"/>
    <w:rsid w:val="00606F60"/>
    <w:rsid w:val="006107B5"/>
    <w:rsid w:val="00610DC5"/>
    <w:rsid w:val="00610F07"/>
    <w:rsid w:val="0061319C"/>
    <w:rsid w:val="00615269"/>
    <w:rsid w:val="00617373"/>
    <w:rsid w:val="00617C1D"/>
    <w:rsid w:val="00620191"/>
    <w:rsid w:val="006204D1"/>
    <w:rsid w:val="0062071E"/>
    <w:rsid w:val="00620A40"/>
    <w:rsid w:val="00620E23"/>
    <w:rsid w:val="00621382"/>
    <w:rsid w:val="00621D97"/>
    <w:rsid w:val="0062222E"/>
    <w:rsid w:val="00622C5D"/>
    <w:rsid w:val="00623064"/>
    <w:rsid w:val="006233E2"/>
    <w:rsid w:val="00626746"/>
    <w:rsid w:val="00626A33"/>
    <w:rsid w:val="00630F48"/>
    <w:rsid w:val="00632245"/>
    <w:rsid w:val="00632747"/>
    <w:rsid w:val="006327FE"/>
    <w:rsid w:val="006352E6"/>
    <w:rsid w:val="00637410"/>
    <w:rsid w:val="0063765A"/>
    <w:rsid w:val="00641F3F"/>
    <w:rsid w:val="00643654"/>
    <w:rsid w:val="00645A66"/>
    <w:rsid w:val="006460B0"/>
    <w:rsid w:val="00646D02"/>
    <w:rsid w:val="006501A7"/>
    <w:rsid w:val="006502DB"/>
    <w:rsid w:val="006508C0"/>
    <w:rsid w:val="0065154D"/>
    <w:rsid w:val="00651605"/>
    <w:rsid w:val="006528BB"/>
    <w:rsid w:val="0065476E"/>
    <w:rsid w:val="00657E2D"/>
    <w:rsid w:val="00657FAD"/>
    <w:rsid w:val="006609A2"/>
    <w:rsid w:val="006623A3"/>
    <w:rsid w:val="0066387E"/>
    <w:rsid w:val="006638E6"/>
    <w:rsid w:val="0066452D"/>
    <w:rsid w:val="00664B6B"/>
    <w:rsid w:val="006654D7"/>
    <w:rsid w:val="00665A08"/>
    <w:rsid w:val="00666304"/>
    <w:rsid w:val="00666780"/>
    <w:rsid w:val="00667097"/>
    <w:rsid w:val="0066798D"/>
    <w:rsid w:val="00670AC6"/>
    <w:rsid w:val="006719B5"/>
    <w:rsid w:val="006730F4"/>
    <w:rsid w:val="00673227"/>
    <w:rsid w:val="00673BAA"/>
    <w:rsid w:val="00674DBA"/>
    <w:rsid w:val="00680E93"/>
    <w:rsid w:val="00681006"/>
    <w:rsid w:val="00681D88"/>
    <w:rsid w:val="0068255C"/>
    <w:rsid w:val="00685257"/>
    <w:rsid w:val="0069085E"/>
    <w:rsid w:val="006922F4"/>
    <w:rsid w:val="0069249A"/>
    <w:rsid w:val="006925BA"/>
    <w:rsid w:val="00692A53"/>
    <w:rsid w:val="00693A38"/>
    <w:rsid w:val="00697120"/>
    <w:rsid w:val="006A09D1"/>
    <w:rsid w:val="006A1E00"/>
    <w:rsid w:val="006A206A"/>
    <w:rsid w:val="006A26E4"/>
    <w:rsid w:val="006A45A0"/>
    <w:rsid w:val="006A58F8"/>
    <w:rsid w:val="006A6936"/>
    <w:rsid w:val="006B1405"/>
    <w:rsid w:val="006B1E99"/>
    <w:rsid w:val="006B2026"/>
    <w:rsid w:val="006B2319"/>
    <w:rsid w:val="006B29A1"/>
    <w:rsid w:val="006B2FB2"/>
    <w:rsid w:val="006B4B62"/>
    <w:rsid w:val="006B6CA4"/>
    <w:rsid w:val="006B73BA"/>
    <w:rsid w:val="006B75A4"/>
    <w:rsid w:val="006C0FBA"/>
    <w:rsid w:val="006C1598"/>
    <w:rsid w:val="006C245D"/>
    <w:rsid w:val="006C2765"/>
    <w:rsid w:val="006C3ADA"/>
    <w:rsid w:val="006C5681"/>
    <w:rsid w:val="006C655E"/>
    <w:rsid w:val="006C739C"/>
    <w:rsid w:val="006C73CF"/>
    <w:rsid w:val="006C77A2"/>
    <w:rsid w:val="006C7949"/>
    <w:rsid w:val="006D045B"/>
    <w:rsid w:val="006D26CB"/>
    <w:rsid w:val="006D3879"/>
    <w:rsid w:val="006D5036"/>
    <w:rsid w:val="006D5808"/>
    <w:rsid w:val="006D603B"/>
    <w:rsid w:val="006D6632"/>
    <w:rsid w:val="006D6701"/>
    <w:rsid w:val="006E00CC"/>
    <w:rsid w:val="006E072D"/>
    <w:rsid w:val="006E0B03"/>
    <w:rsid w:val="006E1377"/>
    <w:rsid w:val="006E1AD9"/>
    <w:rsid w:val="006E1BE5"/>
    <w:rsid w:val="006E34EA"/>
    <w:rsid w:val="006E4755"/>
    <w:rsid w:val="006E5145"/>
    <w:rsid w:val="006E5DD5"/>
    <w:rsid w:val="006E6994"/>
    <w:rsid w:val="006F14C5"/>
    <w:rsid w:val="006F17F2"/>
    <w:rsid w:val="006F19B3"/>
    <w:rsid w:val="006F3FDF"/>
    <w:rsid w:val="006F4B16"/>
    <w:rsid w:val="006F52BB"/>
    <w:rsid w:val="006F60FF"/>
    <w:rsid w:val="006F6305"/>
    <w:rsid w:val="006F6ED4"/>
    <w:rsid w:val="006F7BAA"/>
    <w:rsid w:val="007009D2"/>
    <w:rsid w:val="0070116C"/>
    <w:rsid w:val="0070187E"/>
    <w:rsid w:val="00701954"/>
    <w:rsid w:val="00701CFE"/>
    <w:rsid w:val="00706101"/>
    <w:rsid w:val="0070737F"/>
    <w:rsid w:val="00707EAF"/>
    <w:rsid w:val="00710F5F"/>
    <w:rsid w:val="007117C6"/>
    <w:rsid w:val="00711AD9"/>
    <w:rsid w:val="007123F5"/>
    <w:rsid w:val="007138C5"/>
    <w:rsid w:val="00715308"/>
    <w:rsid w:val="0071751F"/>
    <w:rsid w:val="00721AC3"/>
    <w:rsid w:val="00721EE7"/>
    <w:rsid w:val="00721F1A"/>
    <w:rsid w:val="007233A8"/>
    <w:rsid w:val="007246EF"/>
    <w:rsid w:val="0072482E"/>
    <w:rsid w:val="00724B4D"/>
    <w:rsid w:val="00724C94"/>
    <w:rsid w:val="00730B1E"/>
    <w:rsid w:val="007318FD"/>
    <w:rsid w:val="007319D2"/>
    <w:rsid w:val="00731DD8"/>
    <w:rsid w:val="0073653A"/>
    <w:rsid w:val="007367F1"/>
    <w:rsid w:val="007412F6"/>
    <w:rsid w:val="00741A23"/>
    <w:rsid w:val="007433B0"/>
    <w:rsid w:val="00745987"/>
    <w:rsid w:val="00746EB0"/>
    <w:rsid w:val="0074740A"/>
    <w:rsid w:val="00747ECC"/>
    <w:rsid w:val="007504CF"/>
    <w:rsid w:val="007544A1"/>
    <w:rsid w:val="007548EF"/>
    <w:rsid w:val="0075670E"/>
    <w:rsid w:val="00760063"/>
    <w:rsid w:val="00761F41"/>
    <w:rsid w:val="00762081"/>
    <w:rsid w:val="0076218D"/>
    <w:rsid w:val="0076231C"/>
    <w:rsid w:val="00762694"/>
    <w:rsid w:val="00764371"/>
    <w:rsid w:val="00765238"/>
    <w:rsid w:val="00765663"/>
    <w:rsid w:val="00765CA3"/>
    <w:rsid w:val="0076649E"/>
    <w:rsid w:val="0076795D"/>
    <w:rsid w:val="00772159"/>
    <w:rsid w:val="007736F2"/>
    <w:rsid w:val="00774337"/>
    <w:rsid w:val="00774444"/>
    <w:rsid w:val="00774D86"/>
    <w:rsid w:val="00774FBE"/>
    <w:rsid w:val="00775016"/>
    <w:rsid w:val="007758CF"/>
    <w:rsid w:val="007775D4"/>
    <w:rsid w:val="00777963"/>
    <w:rsid w:val="007839F4"/>
    <w:rsid w:val="0078591D"/>
    <w:rsid w:val="00786A15"/>
    <w:rsid w:val="00786F06"/>
    <w:rsid w:val="00787992"/>
    <w:rsid w:val="00787AE8"/>
    <w:rsid w:val="007904FF"/>
    <w:rsid w:val="00790647"/>
    <w:rsid w:val="00791761"/>
    <w:rsid w:val="007922DE"/>
    <w:rsid w:val="0079251A"/>
    <w:rsid w:val="00794876"/>
    <w:rsid w:val="007957B5"/>
    <w:rsid w:val="00795EA6"/>
    <w:rsid w:val="00797352"/>
    <w:rsid w:val="00797787"/>
    <w:rsid w:val="007A1A5D"/>
    <w:rsid w:val="007A244A"/>
    <w:rsid w:val="007A685C"/>
    <w:rsid w:val="007A7931"/>
    <w:rsid w:val="007B2637"/>
    <w:rsid w:val="007B38FB"/>
    <w:rsid w:val="007B3B58"/>
    <w:rsid w:val="007B3CBB"/>
    <w:rsid w:val="007B562A"/>
    <w:rsid w:val="007B61F5"/>
    <w:rsid w:val="007C02CF"/>
    <w:rsid w:val="007C3E85"/>
    <w:rsid w:val="007C4703"/>
    <w:rsid w:val="007C6039"/>
    <w:rsid w:val="007C6700"/>
    <w:rsid w:val="007C69A7"/>
    <w:rsid w:val="007C7CEB"/>
    <w:rsid w:val="007D1EEF"/>
    <w:rsid w:val="007D2816"/>
    <w:rsid w:val="007D30E4"/>
    <w:rsid w:val="007D35A4"/>
    <w:rsid w:val="007D3DDE"/>
    <w:rsid w:val="007D3FAB"/>
    <w:rsid w:val="007D403A"/>
    <w:rsid w:val="007D4804"/>
    <w:rsid w:val="007D6211"/>
    <w:rsid w:val="007D62DB"/>
    <w:rsid w:val="007D6B1A"/>
    <w:rsid w:val="007D7BF9"/>
    <w:rsid w:val="007E05FC"/>
    <w:rsid w:val="007E0FDB"/>
    <w:rsid w:val="007E145D"/>
    <w:rsid w:val="007E16D7"/>
    <w:rsid w:val="007E1E88"/>
    <w:rsid w:val="007E293E"/>
    <w:rsid w:val="007E2E33"/>
    <w:rsid w:val="007E3A95"/>
    <w:rsid w:val="007E3C99"/>
    <w:rsid w:val="007E4DD7"/>
    <w:rsid w:val="007E5043"/>
    <w:rsid w:val="007E6768"/>
    <w:rsid w:val="007E6E48"/>
    <w:rsid w:val="007E6E65"/>
    <w:rsid w:val="007E6EF3"/>
    <w:rsid w:val="007E7559"/>
    <w:rsid w:val="007F0810"/>
    <w:rsid w:val="007F2A1F"/>
    <w:rsid w:val="007F3B36"/>
    <w:rsid w:val="007F3B83"/>
    <w:rsid w:val="007F3D7C"/>
    <w:rsid w:val="007F60E0"/>
    <w:rsid w:val="007F6444"/>
    <w:rsid w:val="007F6F2D"/>
    <w:rsid w:val="00802585"/>
    <w:rsid w:val="00804B54"/>
    <w:rsid w:val="008051D6"/>
    <w:rsid w:val="0080562A"/>
    <w:rsid w:val="00806184"/>
    <w:rsid w:val="008066FC"/>
    <w:rsid w:val="00807ABB"/>
    <w:rsid w:val="00807AEE"/>
    <w:rsid w:val="00810192"/>
    <w:rsid w:val="00810B23"/>
    <w:rsid w:val="00811C4D"/>
    <w:rsid w:val="00812683"/>
    <w:rsid w:val="00813014"/>
    <w:rsid w:val="008144FF"/>
    <w:rsid w:val="00816793"/>
    <w:rsid w:val="0082234A"/>
    <w:rsid w:val="00824978"/>
    <w:rsid w:val="00825733"/>
    <w:rsid w:val="00826923"/>
    <w:rsid w:val="00830636"/>
    <w:rsid w:val="00831017"/>
    <w:rsid w:val="008316B6"/>
    <w:rsid w:val="00831BD2"/>
    <w:rsid w:val="0083204B"/>
    <w:rsid w:val="00832732"/>
    <w:rsid w:val="0083392C"/>
    <w:rsid w:val="00833A9C"/>
    <w:rsid w:val="00834851"/>
    <w:rsid w:val="00834DE6"/>
    <w:rsid w:val="00835AFE"/>
    <w:rsid w:val="00835E4D"/>
    <w:rsid w:val="00836E76"/>
    <w:rsid w:val="008371E4"/>
    <w:rsid w:val="00840626"/>
    <w:rsid w:val="00841628"/>
    <w:rsid w:val="00841B21"/>
    <w:rsid w:val="00841ECD"/>
    <w:rsid w:val="00843B09"/>
    <w:rsid w:val="00845666"/>
    <w:rsid w:val="00847AC8"/>
    <w:rsid w:val="00850082"/>
    <w:rsid w:val="008510A0"/>
    <w:rsid w:val="00851709"/>
    <w:rsid w:val="0085454B"/>
    <w:rsid w:val="00856996"/>
    <w:rsid w:val="00856D42"/>
    <w:rsid w:val="008620F0"/>
    <w:rsid w:val="00862D36"/>
    <w:rsid w:val="008630B1"/>
    <w:rsid w:val="00863C4C"/>
    <w:rsid w:val="00863C9B"/>
    <w:rsid w:val="008644E9"/>
    <w:rsid w:val="00864C51"/>
    <w:rsid w:val="00865682"/>
    <w:rsid w:val="00867E0C"/>
    <w:rsid w:val="00870BB4"/>
    <w:rsid w:val="00871F68"/>
    <w:rsid w:val="0087282B"/>
    <w:rsid w:val="00872D37"/>
    <w:rsid w:val="00873C54"/>
    <w:rsid w:val="00874595"/>
    <w:rsid w:val="00874A0B"/>
    <w:rsid w:val="00874B12"/>
    <w:rsid w:val="00877132"/>
    <w:rsid w:val="0088048C"/>
    <w:rsid w:val="00880BDE"/>
    <w:rsid w:val="00880F5F"/>
    <w:rsid w:val="0088114F"/>
    <w:rsid w:val="008815D4"/>
    <w:rsid w:val="008815DA"/>
    <w:rsid w:val="00882A08"/>
    <w:rsid w:val="00884C5E"/>
    <w:rsid w:val="00886397"/>
    <w:rsid w:val="00886D9A"/>
    <w:rsid w:val="00887C97"/>
    <w:rsid w:val="0089065D"/>
    <w:rsid w:val="00892B12"/>
    <w:rsid w:val="00893D93"/>
    <w:rsid w:val="00894F57"/>
    <w:rsid w:val="00895E84"/>
    <w:rsid w:val="008961BC"/>
    <w:rsid w:val="008961CC"/>
    <w:rsid w:val="008962A3"/>
    <w:rsid w:val="0089630D"/>
    <w:rsid w:val="00896487"/>
    <w:rsid w:val="008A037E"/>
    <w:rsid w:val="008A1177"/>
    <w:rsid w:val="008A1331"/>
    <w:rsid w:val="008A299E"/>
    <w:rsid w:val="008A2D28"/>
    <w:rsid w:val="008A3227"/>
    <w:rsid w:val="008A4192"/>
    <w:rsid w:val="008A5ECC"/>
    <w:rsid w:val="008A63C7"/>
    <w:rsid w:val="008A66E2"/>
    <w:rsid w:val="008A6A15"/>
    <w:rsid w:val="008A6C24"/>
    <w:rsid w:val="008A6ED1"/>
    <w:rsid w:val="008A7464"/>
    <w:rsid w:val="008A750D"/>
    <w:rsid w:val="008A7707"/>
    <w:rsid w:val="008A7B43"/>
    <w:rsid w:val="008B16F3"/>
    <w:rsid w:val="008B29C3"/>
    <w:rsid w:val="008B4293"/>
    <w:rsid w:val="008B453D"/>
    <w:rsid w:val="008B46D3"/>
    <w:rsid w:val="008B563E"/>
    <w:rsid w:val="008B6362"/>
    <w:rsid w:val="008C22BF"/>
    <w:rsid w:val="008C2917"/>
    <w:rsid w:val="008C2E67"/>
    <w:rsid w:val="008C365B"/>
    <w:rsid w:val="008C3E8D"/>
    <w:rsid w:val="008C42C5"/>
    <w:rsid w:val="008C512C"/>
    <w:rsid w:val="008C7FEB"/>
    <w:rsid w:val="008D0120"/>
    <w:rsid w:val="008D02FC"/>
    <w:rsid w:val="008D2E6D"/>
    <w:rsid w:val="008D4890"/>
    <w:rsid w:val="008D4A6E"/>
    <w:rsid w:val="008D6101"/>
    <w:rsid w:val="008D7039"/>
    <w:rsid w:val="008E1CF9"/>
    <w:rsid w:val="008E27CD"/>
    <w:rsid w:val="008E2DF6"/>
    <w:rsid w:val="008E3446"/>
    <w:rsid w:val="008E4619"/>
    <w:rsid w:val="008E5551"/>
    <w:rsid w:val="008E5BF0"/>
    <w:rsid w:val="008E5DF4"/>
    <w:rsid w:val="008E65B3"/>
    <w:rsid w:val="008E6D6F"/>
    <w:rsid w:val="008E765B"/>
    <w:rsid w:val="008F01CE"/>
    <w:rsid w:val="008F03BC"/>
    <w:rsid w:val="008F18F7"/>
    <w:rsid w:val="008F2E86"/>
    <w:rsid w:val="008F3223"/>
    <w:rsid w:val="008F38EF"/>
    <w:rsid w:val="008F63B4"/>
    <w:rsid w:val="00901B93"/>
    <w:rsid w:val="009021AC"/>
    <w:rsid w:val="00902F4E"/>
    <w:rsid w:val="00903C18"/>
    <w:rsid w:val="0090601E"/>
    <w:rsid w:val="00906FEE"/>
    <w:rsid w:val="00911677"/>
    <w:rsid w:val="009119E7"/>
    <w:rsid w:val="009134E9"/>
    <w:rsid w:val="00913979"/>
    <w:rsid w:val="00914118"/>
    <w:rsid w:val="0091448F"/>
    <w:rsid w:val="00916196"/>
    <w:rsid w:val="00916C0E"/>
    <w:rsid w:val="009211E5"/>
    <w:rsid w:val="009216BE"/>
    <w:rsid w:val="00921D94"/>
    <w:rsid w:val="0092202A"/>
    <w:rsid w:val="009222DF"/>
    <w:rsid w:val="009229E9"/>
    <w:rsid w:val="00923496"/>
    <w:rsid w:val="00923599"/>
    <w:rsid w:val="00924E38"/>
    <w:rsid w:val="00924F50"/>
    <w:rsid w:val="00925AC8"/>
    <w:rsid w:val="00926D41"/>
    <w:rsid w:val="009274AD"/>
    <w:rsid w:val="009276CB"/>
    <w:rsid w:val="0092770A"/>
    <w:rsid w:val="00930173"/>
    <w:rsid w:val="0093052F"/>
    <w:rsid w:val="00930EB8"/>
    <w:rsid w:val="009312FA"/>
    <w:rsid w:val="00931851"/>
    <w:rsid w:val="00931B98"/>
    <w:rsid w:val="00933394"/>
    <w:rsid w:val="00933D99"/>
    <w:rsid w:val="00936A9D"/>
    <w:rsid w:val="0094007A"/>
    <w:rsid w:val="00940135"/>
    <w:rsid w:val="00940A93"/>
    <w:rsid w:val="00940E6B"/>
    <w:rsid w:val="00941048"/>
    <w:rsid w:val="00941588"/>
    <w:rsid w:val="0094269D"/>
    <w:rsid w:val="00942C52"/>
    <w:rsid w:val="00942F10"/>
    <w:rsid w:val="0094327D"/>
    <w:rsid w:val="009432E6"/>
    <w:rsid w:val="009453AA"/>
    <w:rsid w:val="0094558D"/>
    <w:rsid w:val="00947085"/>
    <w:rsid w:val="00947435"/>
    <w:rsid w:val="00947D2B"/>
    <w:rsid w:val="0095022A"/>
    <w:rsid w:val="00953D96"/>
    <w:rsid w:val="00953EAA"/>
    <w:rsid w:val="0095479A"/>
    <w:rsid w:val="009557D7"/>
    <w:rsid w:val="00960FF7"/>
    <w:rsid w:val="009617F3"/>
    <w:rsid w:val="0096190F"/>
    <w:rsid w:val="00962073"/>
    <w:rsid w:val="0096263C"/>
    <w:rsid w:val="00963740"/>
    <w:rsid w:val="00964492"/>
    <w:rsid w:val="00966810"/>
    <w:rsid w:val="0096689C"/>
    <w:rsid w:val="00971093"/>
    <w:rsid w:val="00973A83"/>
    <w:rsid w:val="00974240"/>
    <w:rsid w:val="0097558D"/>
    <w:rsid w:val="009756A5"/>
    <w:rsid w:val="00975932"/>
    <w:rsid w:val="00976A88"/>
    <w:rsid w:val="00977A11"/>
    <w:rsid w:val="009808EE"/>
    <w:rsid w:val="00980D19"/>
    <w:rsid w:val="00980FC2"/>
    <w:rsid w:val="00982BAC"/>
    <w:rsid w:val="00984C6E"/>
    <w:rsid w:val="00986124"/>
    <w:rsid w:val="009864B4"/>
    <w:rsid w:val="00986CAA"/>
    <w:rsid w:val="00986D71"/>
    <w:rsid w:val="0099086D"/>
    <w:rsid w:val="00992AF4"/>
    <w:rsid w:val="009A0E9E"/>
    <w:rsid w:val="009A28B3"/>
    <w:rsid w:val="009A2AF7"/>
    <w:rsid w:val="009A4930"/>
    <w:rsid w:val="009A5867"/>
    <w:rsid w:val="009A66E7"/>
    <w:rsid w:val="009A6F16"/>
    <w:rsid w:val="009A711F"/>
    <w:rsid w:val="009A715B"/>
    <w:rsid w:val="009A76CA"/>
    <w:rsid w:val="009A792F"/>
    <w:rsid w:val="009B253E"/>
    <w:rsid w:val="009B496C"/>
    <w:rsid w:val="009B4B50"/>
    <w:rsid w:val="009B561B"/>
    <w:rsid w:val="009B62DC"/>
    <w:rsid w:val="009B7CA2"/>
    <w:rsid w:val="009C1E92"/>
    <w:rsid w:val="009C2312"/>
    <w:rsid w:val="009C2E45"/>
    <w:rsid w:val="009C30A8"/>
    <w:rsid w:val="009D1864"/>
    <w:rsid w:val="009D3421"/>
    <w:rsid w:val="009D53EE"/>
    <w:rsid w:val="009D5D32"/>
    <w:rsid w:val="009D626A"/>
    <w:rsid w:val="009D6D6F"/>
    <w:rsid w:val="009E0A6E"/>
    <w:rsid w:val="009E0EB0"/>
    <w:rsid w:val="009E15F3"/>
    <w:rsid w:val="009E2EC7"/>
    <w:rsid w:val="009E3086"/>
    <w:rsid w:val="009E4104"/>
    <w:rsid w:val="009E4504"/>
    <w:rsid w:val="009E4647"/>
    <w:rsid w:val="009E4871"/>
    <w:rsid w:val="009E49EC"/>
    <w:rsid w:val="009E4E95"/>
    <w:rsid w:val="009E5AA0"/>
    <w:rsid w:val="009E66F7"/>
    <w:rsid w:val="009F115E"/>
    <w:rsid w:val="009F2CE1"/>
    <w:rsid w:val="009F53DC"/>
    <w:rsid w:val="009F67D6"/>
    <w:rsid w:val="00A01390"/>
    <w:rsid w:val="00A01593"/>
    <w:rsid w:val="00A01ECA"/>
    <w:rsid w:val="00A03037"/>
    <w:rsid w:val="00A0319B"/>
    <w:rsid w:val="00A03291"/>
    <w:rsid w:val="00A0687D"/>
    <w:rsid w:val="00A06C7D"/>
    <w:rsid w:val="00A06D78"/>
    <w:rsid w:val="00A07F7E"/>
    <w:rsid w:val="00A10C97"/>
    <w:rsid w:val="00A11476"/>
    <w:rsid w:val="00A11898"/>
    <w:rsid w:val="00A132D0"/>
    <w:rsid w:val="00A13D1B"/>
    <w:rsid w:val="00A14825"/>
    <w:rsid w:val="00A14E61"/>
    <w:rsid w:val="00A15D7E"/>
    <w:rsid w:val="00A161CC"/>
    <w:rsid w:val="00A16534"/>
    <w:rsid w:val="00A1655B"/>
    <w:rsid w:val="00A16AA8"/>
    <w:rsid w:val="00A20982"/>
    <w:rsid w:val="00A21157"/>
    <w:rsid w:val="00A2124B"/>
    <w:rsid w:val="00A21F90"/>
    <w:rsid w:val="00A234C4"/>
    <w:rsid w:val="00A237D9"/>
    <w:rsid w:val="00A238D9"/>
    <w:rsid w:val="00A25454"/>
    <w:rsid w:val="00A255FB"/>
    <w:rsid w:val="00A27B2B"/>
    <w:rsid w:val="00A32748"/>
    <w:rsid w:val="00A33C71"/>
    <w:rsid w:val="00A35301"/>
    <w:rsid w:val="00A35864"/>
    <w:rsid w:val="00A35EC5"/>
    <w:rsid w:val="00A35FE6"/>
    <w:rsid w:val="00A40986"/>
    <w:rsid w:val="00A41E26"/>
    <w:rsid w:val="00A42656"/>
    <w:rsid w:val="00A42C9F"/>
    <w:rsid w:val="00A433D9"/>
    <w:rsid w:val="00A4451F"/>
    <w:rsid w:val="00A44D27"/>
    <w:rsid w:val="00A45E69"/>
    <w:rsid w:val="00A45F80"/>
    <w:rsid w:val="00A4658F"/>
    <w:rsid w:val="00A51A14"/>
    <w:rsid w:val="00A5376B"/>
    <w:rsid w:val="00A54307"/>
    <w:rsid w:val="00A56AA7"/>
    <w:rsid w:val="00A604C7"/>
    <w:rsid w:val="00A60897"/>
    <w:rsid w:val="00A6158C"/>
    <w:rsid w:val="00A62C4F"/>
    <w:rsid w:val="00A63F6F"/>
    <w:rsid w:val="00A6415C"/>
    <w:rsid w:val="00A64311"/>
    <w:rsid w:val="00A651B2"/>
    <w:rsid w:val="00A70326"/>
    <w:rsid w:val="00A705E0"/>
    <w:rsid w:val="00A7196E"/>
    <w:rsid w:val="00A71D71"/>
    <w:rsid w:val="00A72E14"/>
    <w:rsid w:val="00A74249"/>
    <w:rsid w:val="00A74463"/>
    <w:rsid w:val="00A746F7"/>
    <w:rsid w:val="00A7498E"/>
    <w:rsid w:val="00A766D8"/>
    <w:rsid w:val="00A76852"/>
    <w:rsid w:val="00A76CC1"/>
    <w:rsid w:val="00A779E2"/>
    <w:rsid w:val="00A818BB"/>
    <w:rsid w:val="00A81A44"/>
    <w:rsid w:val="00A82959"/>
    <w:rsid w:val="00A83624"/>
    <w:rsid w:val="00A85103"/>
    <w:rsid w:val="00A85E95"/>
    <w:rsid w:val="00A86511"/>
    <w:rsid w:val="00A872B8"/>
    <w:rsid w:val="00A87308"/>
    <w:rsid w:val="00A902B8"/>
    <w:rsid w:val="00A911A0"/>
    <w:rsid w:val="00A91336"/>
    <w:rsid w:val="00A91862"/>
    <w:rsid w:val="00A91B4D"/>
    <w:rsid w:val="00A940B0"/>
    <w:rsid w:val="00A9478D"/>
    <w:rsid w:val="00A96904"/>
    <w:rsid w:val="00A97EA0"/>
    <w:rsid w:val="00AA15BB"/>
    <w:rsid w:val="00AA15CD"/>
    <w:rsid w:val="00AA2193"/>
    <w:rsid w:val="00AA28B6"/>
    <w:rsid w:val="00AA2C36"/>
    <w:rsid w:val="00AA2D73"/>
    <w:rsid w:val="00AA341D"/>
    <w:rsid w:val="00AA4E6E"/>
    <w:rsid w:val="00AA5901"/>
    <w:rsid w:val="00AA6B60"/>
    <w:rsid w:val="00AA6E7B"/>
    <w:rsid w:val="00AB0FEC"/>
    <w:rsid w:val="00AB16C5"/>
    <w:rsid w:val="00AB20E3"/>
    <w:rsid w:val="00AB2DCA"/>
    <w:rsid w:val="00AB387A"/>
    <w:rsid w:val="00AB44D3"/>
    <w:rsid w:val="00AB4E09"/>
    <w:rsid w:val="00AB5188"/>
    <w:rsid w:val="00AB6874"/>
    <w:rsid w:val="00AC0151"/>
    <w:rsid w:val="00AC0C8D"/>
    <w:rsid w:val="00AC11E9"/>
    <w:rsid w:val="00AC402A"/>
    <w:rsid w:val="00AC6E87"/>
    <w:rsid w:val="00AC7E18"/>
    <w:rsid w:val="00AD0C8D"/>
    <w:rsid w:val="00AD388B"/>
    <w:rsid w:val="00AD3EEC"/>
    <w:rsid w:val="00AD3FCD"/>
    <w:rsid w:val="00AD4301"/>
    <w:rsid w:val="00AD4899"/>
    <w:rsid w:val="00AD4A5C"/>
    <w:rsid w:val="00AD4B93"/>
    <w:rsid w:val="00AD5700"/>
    <w:rsid w:val="00AD5CED"/>
    <w:rsid w:val="00AD5D1E"/>
    <w:rsid w:val="00AE06CF"/>
    <w:rsid w:val="00AE09A7"/>
    <w:rsid w:val="00AE1D18"/>
    <w:rsid w:val="00AE2471"/>
    <w:rsid w:val="00AE2D2B"/>
    <w:rsid w:val="00AE2EA2"/>
    <w:rsid w:val="00AE3A83"/>
    <w:rsid w:val="00AE3C1A"/>
    <w:rsid w:val="00AE3C1B"/>
    <w:rsid w:val="00AE4BE6"/>
    <w:rsid w:val="00AE5131"/>
    <w:rsid w:val="00AE51D7"/>
    <w:rsid w:val="00AE61AD"/>
    <w:rsid w:val="00AE7FCA"/>
    <w:rsid w:val="00AF1162"/>
    <w:rsid w:val="00AF11C1"/>
    <w:rsid w:val="00AF2015"/>
    <w:rsid w:val="00AF4709"/>
    <w:rsid w:val="00AF516D"/>
    <w:rsid w:val="00AF54C4"/>
    <w:rsid w:val="00AF55B6"/>
    <w:rsid w:val="00AF5D77"/>
    <w:rsid w:val="00AF704E"/>
    <w:rsid w:val="00B0157D"/>
    <w:rsid w:val="00B0186A"/>
    <w:rsid w:val="00B022E9"/>
    <w:rsid w:val="00B02ECC"/>
    <w:rsid w:val="00B03E7D"/>
    <w:rsid w:val="00B05381"/>
    <w:rsid w:val="00B0569A"/>
    <w:rsid w:val="00B0575D"/>
    <w:rsid w:val="00B071FE"/>
    <w:rsid w:val="00B07B49"/>
    <w:rsid w:val="00B10752"/>
    <w:rsid w:val="00B11965"/>
    <w:rsid w:val="00B11F06"/>
    <w:rsid w:val="00B14557"/>
    <w:rsid w:val="00B14D08"/>
    <w:rsid w:val="00B1518A"/>
    <w:rsid w:val="00B15D8B"/>
    <w:rsid w:val="00B17E1B"/>
    <w:rsid w:val="00B205E9"/>
    <w:rsid w:val="00B21DFC"/>
    <w:rsid w:val="00B22178"/>
    <w:rsid w:val="00B22AAA"/>
    <w:rsid w:val="00B2326C"/>
    <w:rsid w:val="00B23531"/>
    <w:rsid w:val="00B24B35"/>
    <w:rsid w:val="00B24E3C"/>
    <w:rsid w:val="00B25B31"/>
    <w:rsid w:val="00B2606F"/>
    <w:rsid w:val="00B2674D"/>
    <w:rsid w:val="00B26BCE"/>
    <w:rsid w:val="00B270BF"/>
    <w:rsid w:val="00B27C1C"/>
    <w:rsid w:val="00B317CB"/>
    <w:rsid w:val="00B31EF1"/>
    <w:rsid w:val="00B32C14"/>
    <w:rsid w:val="00B32E3D"/>
    <w:rsid w:val="00B363C2"/>
    <w:rsid w:val="00B4075F"/>
    <w:rsid w:val="00B409CD"/>
    <w:rsid w:val="00B416CD"/>
    <w:rsid w:val="00B43A1B"/>
    <w:rsid w:val="00B43D40"/>
    <w:rsid w:val="00B4583C"/>
    <w:rsid w:val="00B507D7"/>
    <w:rsid w:val="00B5116B"/>
    <w:rsid w:val="00B54B34"/>
    <w:rsid w:val="00B54F13"/>
    <w:rsid w:val="00B55E63"/>
    <w:rsid w:val="00B55E77"/>
    <w:rsid w:val="00B55FF2"/>
    <w:rsid w:val="00B57C1A"/>
    <w:rsid w:val="00B57FE7"/>
    <w:rsid w:val="00B602C6"/>
    <w:rsid w:val="00B604AA"/>
    <w:rsid w:val="00B604AC"/>
    <w:rsid w:val="00B61A54"/>
    <w:rsid w:val="00B63DC7"/>
    <w:rsid w:val="00B66977"/>
    <w:rsid w:val="00B67C0E"/>
    <w:rsid w:val="00B67CB3"/>
    <w:rsid w:val="00B70042"/>
    <w:rsid w:val="00B701C9"/>
    <w:rsid w:val="00B715ED"/>
    <w:rsid w:val="00B72FA0"/>
    <w:rsid w:val="00B73BFC"/>
    <w:rsid w:val="00B73C04"/>
    <w:rsid w:val="00B74CB3"/>
    <w:rsid w:val="00B76518"/>
    <w:rsid w:val="00B77708"/>
    <w:rsid w:val="00B80064"/>
    <w:rsid w:val="00B80708"/>
    <w:rsid w:val="00B83CED"/>
    <w:rsid w:val="00B83FA6"/>
    <w:rsid w:val="00B8422F"/>
    <w:rsid w:val="00B842C4"/>
    <w:rsid w:val="00B85292"/>
    <w:rsid w:val="00B85434"/>
    <w:rsid w:val="00B86837"/>
    <w:rsid w:val="00B87879"/>
    <w:rsid w:val="00B87F38"/>
    <w:rsid w:val="00B910E3"/>
    <w:rsid w:val="00B91350"/>
    <w:rsid w:val="00B92550"/>
    <w:rsid w:val="00B929DB"/>
    <w:rsid w:val="00B936E9"/>
    <w:rsid w:val="00B950BA"/>
    <w:rsid w:val="00B95178"/>
    <w:rsid w:val="00B954DA"/>
    <w:rsid w:val="00B9596F"/>
    <w:rsid w:val="00B96CB1"/>
    <w:rsid w:val="00BA02A7"/>
    <w:rsid w:val="00BA041C"/>
    <w:rsid w:val="00BA2C1B"/>
    <w:rsid w:val="00BA2C90"/>
    <w:rsid w:val="00BA4090"/>
    <w:rsid w:val="00BA4ED4"/>
    <w:rsid w:val="00BA64E5"/>
    <w:rsid w:val="00BA6752"/>
    <w:rsid w:val="00BA6C6D"/>
    <w:rsid w:val="00BA72C3"/>
    <w:rsid w:val="00BA7DAF"/>
    <w:rsid w:val="00BB01B9"/>
    <w:rsid w:val="00BB124B"/>
    <w:rsid w:val="00BB19A9"/>
    <w:rsid w:val="00BB19C6"/>
    <w:rsid w:val="00BB1EEC"/>
    <w:rsid w:val="00BB2864"/>
    <w:rsid w:val="00BB323E"/>
    <w:rsid w:val="00BB3634"/>
    <w:rsid w:val="00BB3B8F"/>
    <w:rsid w:val="00BB5632"/>
    <w:rsid w:val="00BB5A40"/>
    <w:rsid w:val="00BB5AA5"/>
    <w:rsid w:val="00BB5D83"/>
    <w:rsid w:val="00BB6402"/>
    <w:rsid w:val="00BC0497"/>
    <w:rsid w:val="00BC19B9"/>
    <w:rsid w:val="00BC2C68"/>
    <w:rsid w:val="00BC3541"/>
    <w:rsid w:val="00BC3E8A"/>
    <w:rsid w:val="00BC53B6"/>
    <w:rsid w:val="00BC6B7C"/>
    <w:rsid w:val="00BD00C8"/>
    <w:rsid w:val="00BD058C"/>
    <w:rsid w:val="00BD36AE"/>
    <w:rsid w:val="00BD36ED"/>
    <w:rsid w:val="00BD3C50"/>
    <w:rsid w:val="00BD3D49"/>
    <w:rsid w:val="00BD417F"/>
    <w:rsid w:val="00BD4779"/>
    <w:rsid w:val="00BD4EC0"/>
    <w:rsid w:val="00BD567E"/>
    <w:rsid w:val="00BD688C"/>
    <w:rsid w:val="00BD71A3"/>
    <w:rsid w:val="00BD74CF"/>
    <w:rsid w:val="00BD7B2B"/>
    <w:rsid w:val="00BD7F36"/>
    <w:rsid w:val="00BE0F04"/>
    <w:rsid w:val="00BE1ED0"/>
    <w:rsid w:val="00BE21E2"/>
    <w:rsid w:val="00BE2CF7"/>
    <w:rsid w:val="00BE3413"/>
    <w:rsid w:val="00BE34E5"/>
    <w:rsid w:val="00BE36BB"/>
    <w:rsid w:val="00BE5EB2"/>
    <w:rsid w:val="00BE6741"/>
    <w:rsid w:val="00BE6A52"/>
    <w:rsid w:val="00BE7434"/>
    <w:rsid w:val="00BF12EE"/>
    <w:rsid w:val="00BF3686"/>
    <w:rsid w:val="00BF39F3"/>
    <w:rsid w:val="00BF59B4"/>
    <w:rsid w:val="00BF7148"/>
    <w:rsid w:val="00BF7B22"/>
    <w:rsid w:val="00BF7B77"/>
    <w:rsid w:val="00C002D9"/>
    <w:rsid w:val="00C02954"/>
    <w:rsid w:val="00C02DD9"/>
    <w:rsid w:val="00C03964"/>
    <w:rsid w:val="00C06F47"/>
    <w:rsid w:val="00C07141"/>
    <w:rsid w:val="00C075CB"/>
    <w:rsid w:val="00C07FD5"/>
    <w:rsid w:val="00C1035E"/>
    <w:rsid w:val="00C114B0"/>
    <w:rsid w:val="00C12E2D"/>
    <w:rsid w:val="00C13F97"/>
    <w:rsid w:val="00C1434D"/>
    <w:rsid w:val="00C14B24"/>
    <w:rsid w:val="00C15E4A"/>
    <w:rsid w:val="00C160A6"/>
    <w:rsid w:val="00C16E21"/>
    <w:rsid w:val="00C24265"/>
    <w:rsid w:val="00C24D04"/>
    <w:rsid w:val="00C2741B"/>
    <w:rsid w:val="00C30B58"/>
    <w:rsid w:val="00C31544"/>
    <w:rsid w:val="00C328FF"/>
    <w:rsid w:val="00C34A07"/>
    <w:rsid w:val="00C3564C"/>
    <w:rsid w:val="00C365B9"/>
    <w:rsid w:val="00C376F9"/>
    <w:rsid w:val="00C400AF"/>
    <w:rsid w:val="00C40922"/>
    <w:rsid w:val="00C410AA"/>
    <w:rsid w:val="00C411B3"/>
    <w:rsid w:val="00C41879"/>
    <w:rsid w:val="00C419FA"/>
    <w:rsid w:val="00C41D88"/>
    <w:rsid w:val="00C443FD"/>
    <w:rsid w:val="00C44FC8"/>
    <w:rsid w:val="00C45283"/>
    <w:rsid w:val="00C45390"/>
    <w:rsid w:val="00C458FF"/>
    <w:rsid w:val="00C50BE1"/>
    <w:rsid w:val="00C514B9"/>
    <w:rsid w:val="00C51B03"/>
    <w:rsid w:val="00C520AD"/>
    <w:rsid w:val="00C52D2B"/>
    <w:rsid w:val="00C5365D"/>
    <w:rsid w:val="00C53A27"/>
    <w:rsid w:val="00C546B2"/>
    <w:rsid w:val="00C55200"/>
    <w:rsid w:val="00C61EA8"/>
    <w:rsid w:val="00C61EAC"/>
    <w:rsid w:val="00C6327C"/>
    <w:rsid w:val="00C64A11"/>
    <w:rsid w:val="00C653DB"/>
    <w:rsid w:val="00C65B50"/>
    <w:rsid w:val="00C66A73"/>
    <w:rsid w:val="00C66B18"/>
    <w:rsid w:val="00C66DA0"/>
    <w:rsid w:val="00C67E11"/>
    <w:rsid w:val="00C708D3"/>
    <w:rsid w:val="00C70977"/>
    <w:rsid w:val="00C726DF"/>
    <w:rsid w:val="00C72DF8"/>
    <w:rsid w:val="00C743B0"/>
    <w:rsid w:val="00C778D1"/>
    <w:rsid w:val="00C80F81"/>
    <w:rsid w:val="00C81111"/>
    <w:rsid w:val="00C819FF"/>
    <w:rsid w:val="00C81BF8"/>
    <w:rsid w:val="00C8213D"/>
    <w:rsid w:val="00C827F5"/>
    <w:rsid w:val="00C86619"/>
    <w:rsid w:val="00C86833"/>
    <w:rsid w:val="00C90700"/>
    <w:rsid w:val="00C90FA5"/>
    <w:rsid w:val="00C91BD4"/>
    <w:rsid w:val="00C91DB1"/>
    <w:rsid w:val="00C92BF9"/>
    <w:rsid w:val="00C93679"/>
    <w:rsid w:val="00C936AE"/>
    <w:rsid w:val="00C93E27"/>
    <w:rsid w:val="00C94DAD"/>
    <w:rsid w:val="00C94EA4"/>
    <w:rsid w:val="00C94FAF"/>
    <w:rsid w:val="00C94FFB"/>
    <w:rsid w:val="00C96584"/>
    <w:rsid w:val="00C9664B"/>
    <w:rsid w:val="00CA06B6"/>
    <w:rsid w:val="00CA0EBB"/>
    <w:rsid w:val="00CA154A"/>
    <w:rsid w:val="00CA2345"/>
    <w:rsid w:val="00CA24E5"/>
    <w:rsid w:val="00CA3188"/>
    <w:rsid w:val="00CA3E35"/>
    <w:rsid w:val="00CA45C7"/>
    <w:rsid w:val="00CA470E"/>
    <w:rsid w:val="00CA4883"/>
    <w:rsid w:val="00CA4D55"/>
    <w:rsid w:val="00CA52D5"/>
    <w:rsid w:val="00CA560C"/>
    <w:rsid w:val="00CA6598"/>
    <w:rsid w:val="00CA6705"/>
    <w:rsid w:val="00CB058E"/>
    <w:rsid w:val="00CB05CF"/>
    <w:rsid w:val="00CB1190"/>
    <w:rsid w:val="00CB16FC"/>
    <w:rsid w:val="00CB265A"/>
    <w:rsid w:val="00CB2925"/>
    <w:rsid w:val="00CB4095"/>
    <w:rsid w:val="00CB4875"/>
    <w:rsid w:val="00CB4B54"/>
    <w:rsid w:val="00CB4E18"/>
    <w:rsid w:val="00CB5FBB"/>
    <w:rsid w:val="00CB61AF"/>
    <w:rsid w:val="00CB64CF"/>
    <w:rsid w:val="00CB7741"/>
    <w:rsid w:val="00CC133F"/>
    <w:rsid w:val="00CC1495"/>
    <w:rsid w:val="00CC14FE"/>
    <w:rsid w:val="00CC2138"/>
    <w:rsid w:val="00CC2C04"/>
    <w:rsid w:val="00CC2D76"/>
    <w:rsid w:val="00CC4473"/>
    <w:rsid w:val="00CD2295"/>
    <w:rsid w:val="00CD337B"/>
    <w:rsid w:val="00CD3E32"/>
    <w:rsid w:val="00CD4708"/>
    <w:rsid w:val="00CD4F58"/>
    <w:rsid w:val="00CD5ACC"/>
    <w:rsid w:val="00CD60E0"/>
    <w:rsid w:val="00CD61BB"/>
    <w:rsid w:val="00CE3733"/>
    <w:rsid w:val="00CE4F74"/>
    <w:rsid w:val="00CE59D4"/>
    <w:rsid w:val="00CE7299"/>
    <w:rsid w:val="00CE7558"/>
    <w:rsid w:val="00CE7D65"/>
    <w:rsid w:val="00CF019D"/>
    <w:rsid w:val="00CF02E1"/>
    <w:rsid w:val="00CF1781"/>
    <w:rsid w:val="00CF1CA2"/>
    <w:rsid w:val="00CF43B7"/>
    <w:rsid w:val="00CF4E39"/>
    <w:rsid w:val="00CF5EC5"/>
    <w:rsid w:val="00CF6041"/>
    <w:rsid w:val="00D00F80"/>
    <w:rsid w:val="00D01EFE"/>
    <w:rsid w:val="00D02393"/>
    <w:rsid w:val="00D02D18"/>
    <w:rsid w:val="00D0437F"/>
    <w:rsid w:val="00D0466B"/>
    <w:rsid w:val="00D05B62"/>
    <w:rsid w:val="00D05E09"/>
    <w:rsid w:val="00D0622E"/>
    <w:rsid w:val="00D100B9"/>
    <w:rsid w:val="00D10C6D"/>
    <w:rsid w:val="00D12BA8"/>
    <w:rsid w:val="00D15B81"/>
    <w:rsid w:val="00D20D25"/>
    <w:rsid w:val="00D2166D"/>
    <w:rsid w:val="00D217D3"/>
    <w:rsid w:val="00D26EDE"/>
    <w:rsid w:val="00D32394"/>
    <w:rsid w:val="00D327BA"/>
    <w:rsid w:val="00D332AC"/>
    <w:rsid w:val="00D3557A"/>
    <w:rsid w:val="00D3576A"/>
    <w:rsid w:val="00D359B0"/>
    <w:rsid w:val="00D3708F"/>
    <w:rsid w:val="00D405F2"/>
    <w:rsid w:val="00D414C0"/>
    <w:rsid w:val="00D41FE6"/>
    <w:rsid w:val="00D42552"/>
    <w:rsid w:val="00D433B3"/>
    <w:rsid w:val="00D43DF9"/>
    <w:rsid w:val="00D4615C"/>
    <w:rsid w:val="00D4733E"/>
    <w:rsid w:val="00D47C2D"/>
    <w:rsid w:val="00D512E1"/>
    <w:rsid w:val="00D51581"/>
    <w:rsid w:val="00D517B5"/>
    <w:rsid w:val="00D52BEB"/>
    <w:rsid w:val="00D52C14"/>
    <w:rsid w:val="00D53D2C"/>
    <w:rsid w:val="00D546A9"/>
    <w:rsid w:val="00D54ED5"/>
    <w:rsid w:val="00D60940"/>
    <w:rsid w:val="00D60FBF"/>
    <w:rsid w:val="00D62D0F"/>
    <w:rsid w:val="00D637D2"/>
    <w:rsid w:val="00D6518E"/>
    <w:rsid w:val="00D67008"/>
    <w:rsid w:val="00D670BC"/>
    <w:rsid w:val="00D67589"/>
    <w:rsid w:val="00D67B14"/>
    <w:rsid w:val="00D71404"/>
    <w:rsid w:val="00D720D9"/>
    <w:rsid w:val="00D72642"/>
    <w:rsid w:val="00D739A4"/>
    <w:rsid w:val="00D74E0B"/>
    <w:rsid w:val="00D76167"/>
    <w:rsid w:val="00D765F0"/>
    <w:rsid w:val="00D76A99"/>
    <w:rsid w:val="00D773B7"/>
    <w:rsid w:val="00D77D6D"/>
    <w:rsid w:val="00D8280D"/>
    <w:rsid w:val="00D83385"/>
    <w:rsid w:val="00D85320"/>
    <w:rsid w:val="00D86716"/>
    <w:rsid w:val="00D9038B"/>
    <w:rsid w:val="00D90FA1"/>
    <w:rsid w:val="00D92335"/>
    <w:rsid w:val="00D95947"/>
    <w:rsid w:val="00D95CBA"/>
    <w:rsid w:val="00D960B7"/>
    <w:rsid w:val="00D96E5B"/>
    <w:rsid w:val="00D97956"/>
    <w:rsid w:val="00DA04AF"/>
    <w:rsid w:val="00DA0A56"/>
    <w:rsid w:val="00DA42C4"/>
    <w:rsid w:val="00DA42D5"/>
    <w:rsid w:val="00DA77E8"/>
    <w:rsid w:val="00DA7B3B"/>
    <w:rsid w:val="00DB0E02"/>
    <w:rsid w:val="00DB0FF9"/>
    <w:rsid w:val="00DB141C"/>
    <w:rsid w:val="00DB28AB"/>
    <w:rsid w:val="00DB3ABD"/>
    <w:rsid w:val="00DB3F5C"/>
    <w:rsid w:val="00DB4522"/>
    <w:rsid w:val="00DB59C4"/>
    <w:rsid w:val="00DB5AB7"/>
    <w:rsid w:val="00DB5DDB"/>
    <w:rsid w:val="00DC361F"/>
    <w:rsid w:val="00DC36FD"/>
    <w:rsid w:val="00DC3821"/>
    <w:rsid w:val="00DC3C17"/>
    <w:rsid w:val="00DC4139"/>
    <w:rsid w:val="00DC4644"/>
    <w:rsid w:val="00DC4891"/>
    <w:rsid w:val="00DC5DD6"/>
    <w:rsid w:val="00DC5E4A"/>
    <w:rsid w:val="00DC65A4"/>
    <w:rsid w:val="00DC69B5"/>
    <w:rsid w:val="00DC7403"/>
    <w:rsid w:val="00DD0D25"/>
    <w:rsid w:val="00DD1580"/>
    <w:rsid w:val="00DD1CE1"/>
    <w:rsid w:val="00DD3156"/>
    <w:rsid w:val="00DD6AB2"/>
    <w:rsid w:val="00DD7D3E"/>
    <w:rsid w:val="00DE06E3"/>
    <w:rsid w:val="00DE2365"/>
    <w:rsid w:val="00DE30D1"/>
    <w:rsid w:val="00DE4338"/>
    <w:rsid w:val="00DE54E7"/>
    <w:rsid w:val="00DE6806"/>
    <w:rsid w:val="00DE6973"/>
    <w:rsid w:val="00DE7827"/>
    <w:rsid w:val="00DF01E0"/>
    <w:rsid w:val="00DF196D"/>
    <w:rsid w:val="00DF2C7C"/>
    <w:rsid w:val="00DF434E"/>
    <w:rsid w:val="00DF48F0"/>
    <w:rsid w:val="00DF4A09"/>
    <w:rsid w:val="00DF51CA"/>
    <w:rsid w:val="00DF6977"/>
    <w:rsid w:val="00DF6D3D"/>
    <w:rsid w:val="00DF74D1"/>
    <w:rsid w:val="00DF7533"/>
    <w:rsid w:val="00DF7C2F"/>
    <w:rsid w:val="00E00C83"/>
    <w:rsid w:val="00E01335"/>
    <w:rsid w:val="00E0348D"/>
    <w:rsid w:val="00E0380D"/>
    <w:rsid w:val="00E04E12"/>
    <w:rsid w:val="00E054C0"/>
    <w:rsid w:val="00E05726"/>
    <w:rsid w:val="00E0682A"/>
    <w:rsid w:val="00E0717E"/>
    <w:rsid w:val="00E079B7"/>
    <w:rsid w:val="00E10258"/>
    <w:rsid w:val="00E1084C"/>
    <w:rsid w:val="00E12D9E"/>
    <w:rsid w:val="00E14F0D"/>
    <w:rsid w:val="00E15567"/>
    <w:rsid w:val="00E15AD0"/>
    <w:rsid w:val="00E20207"/>
    <w:rsid w:val="00E214AE"/>
    <w:rsid w:val="00E215F2"/>
    <w:rsid w:val="00E22CE2"/>
    <w:rsid w:val="00E24537"/>
    <w:rsid w:val="00E255D7"/>
    <w:rsid w:val="00E332D2"/>
    <w:rsid w:val="00E344D0"/>
    <w:rsid w:val="00E352C0"/>
    <w:rsid w:val="00E35751"/>
    <w:rsid w:val="00E35C9F"/>
    <w:rsid w:val="00E35F1C"/>
    <w:rsid w:val="00E40045"/>
    <w:rsid w:val="00E405F9"/>
    <w:rsid w:val="00E411E0"/>
    <w:rsid w:val="00E417E5"/>
    <w:rsid w:val="00E43A30"/>
    <w:rsid w:val="00E43A6C"/>
    <w:rsid w:val="00E44A68"/>
    <w:rsid w:val="00E45388"/>
    <w:rsid w:val="00E46202"/>
    <w:rsid w:val="00E46BBC"/>
    <w:rsid w:val="00E46D07"/>
    <w:rsid w:val="00E46EBB"/>
    <w:rsid w:val="00E472B3"/>
    <w:rsid w:val="00E479AE"/>
    <w:rsid w:val="00E507EB"/>
    <w:rsid w:val="00E51F03"/>
    <w:rsid w:val="00E525CE"/>
    <w:rsid w:val="00E53E4F"/>
    <w:rsid w:val="00E54EB5"/>
    <w:rsid w:val="00E554B7"/>
    <w:rsid w:val="00E568EB"/>
    <w:rsid w:val="00E56E5B"/>
    <w:rsid w:val="00E625CA"/>
    <w:rsid w:val="00E628C8"/>
    <w:rsid w:val="00E63B8A"/>
    <w:rsid w:val="00E64417"/>
    <w:rsid w:val="00E66136"/>
    <w:rsid w:val="00E66233"/>
    <w:rsid w:val="00E66C55"/>
    <w:rsid w:val="00E67B09"/>
    <w:rsid w:val="00E70ED4"/>
    <w:rsid w:val="00E714CC"/>
    <w:rsid w:val="00E71801"/>
    <w:rsid w:val="00E72667"/>
    <w:rsid w:val="00E72B63"/>
    <w:rsid w:val="00E73BC5"/>
    <w:rsid w:val="00E763C9"/>
    <w:rsid w:val="00E76649"/>
    <w:rsid w:val="00E76E6E"/>
    <w:rsid w:val="00E77C52"/>
    <w:rsid w:val="00E80A52"/>
    <w:rsid w:val="00E80C37"/>
    <w:rsid w:val="00E812EF"/>
    <w:rsid w:val="00E81CA3"/>
    <w:rsid w:val="00E8480E"/>
    <w:rsid w:val="00E9155E"/>
    <w:rsid w:val="00E922F3"/>
    <w:rsid w:val="00E92C25"/>
    <w:rsid w:val="00E92E97"/>
    <w:rsid w:val="00E94C0B"/>
    <w:rsid w:val="00E96764"/>
    <w:rsid w:val="00E97038"/>
    <w:rsid w:val="00E97958"/>
    <w:rsid w:val="00E97A48"/>
    <w:rsid w:val="00EA14F0"/>
    <w:rsid w:val="00EA1D2A"/>
    <w:rsid w:val="00EA2B84"/>
    <w:rsid w:val="00EA2E05"/>
    <w:rsid w:val="00EA34B9"/>
    <w:rsid w:val="00EA406C"/>
    <w:rsid w:val="00EA59AD"/>
    <w:rsid w:val="00EA658F"/>
    <w:rsid w:val="00EA726E"/>
    <w:rsid w:val="00EB0587"/>
    <w:rsid w:val="00EB05AA"/>
    <w:rsid w:val="00EB280B"/>
    <w:rsid w:val="00EB2B3E"/>
    <w:rsid w:val="00EB367C"/>
    <w:rsid w:val="00EB3E13"/>
    <w:rsid w:val="00EB6117"/>
    <w:rsid w:val="00EC085E"/>
    <w:rsid w:val="00EC14FB"/>
    <w:rsid w:val="00EC2D99"/>
    <w:rsid w:val="00EC3A39"/>
    <w:rsid w:val="00EC4A78"/>
    <w:rsid w:val="00EC4C7F"/>
    <w:rsid w:val="00EC5E58"/>
    <w:rsid w:val="00EC6DDA"/>
    <w:rsid w:val="00ED0309"/>
    <w:rsid w:val="00ED27F1"/>
    <w:rsid w:val="00ED4CF4"/>
    <w:rsid w:val="00ED4DBC"/>
    <w:rsid w:val="00ED50AC"/>
    <w:rsid w:val="00ED6013"/>
    <w:rsid w:val="00ED6E89"/>
    <w:rsid w:val="00EE1970"/>
    <w:rsid w:val="00EE1B08"/>
    <w:rsid w:val="00EE2069"/>
    <w:rsid w:val="00EE6D93"/>
    <w:rsid w:val="00EF00AC"/>
    <w:rsid w:val="00EF0954"/>
    <w:rsid w:val="00EF0F32"/>
    <w:rsid w:val="00EF3B73"/>
    <w:rsid w:val="00EF44BC"/>
    <w:rsid w:val="00EF4B34"/>
    <w:rsid w:val="00EF4B4D"/>
    <w:rsid w:val="00EF4F0D"/>
    <w:rsid w:val="00EF5147"/>
    <w:rsid w:val="00EF54DC"/>
    <w:rsid w:val="00EF7A18"/>
    <w:rsid w:val="00EF7A35"/>
    <w:rsid w:val="00F02248"/>
    <w:rsid w:val="00F02592"/>
    <w:rsid w:val="00F04826"/>
    <w:rsid w:val="00F04855"/>
    <w:rsid w:val="00F05295"/>
    <w:rsid w:val="00F056DF"/>
    <w:rsid w:val="00F057D8"/>
    <w:rsid w:val="00F07364"/>
    <w:rsid w:val="00F07996"/>
    <w:rsid w:val="00F101A8"/>
    <w:rsid w:val="00F10AE1"/>
    <w:rsid w:val="00F11FDC"/>
    <w:rsid w:val="00F140E4"/>
    <w:rsid w:val="00F141F7"/>
    <w:rsid w:val="00F15D8B"/>
    <w:rsid w:val="00F176B7"/>
    <w:rsid w:val="00F20E64"/>
    <w:rsid w:val="00F230E2"/>
    <w:rsid w:val="00F268DF"/>
    <w:rsid w:val="00F272FE"/>
    <w:rsid w:val="00F313BC"/>
    <w:rsid w:val="00F325AA"/>
    <w:rsid w:val="00F32864"/>
    <w:rsid w:val="00F32C74"/>
    <w:rsid w:val="00F33205"/>
    <w:rsid w:val="00F34ACF"/>
    <w:rsid w:val="00F35181"/>
    <w:rsid w:val="00F36535"/>
    <w:rsid w:val="00F37918"/>
    <w:rsid w:val="00F379A6"/>
    <w:rsid w:val="00F40B33"/>
    <w:rsid w:val="00F41127"/>
    <w:rsid w:val="00F42A84"/>
    <w:rsid w:val="00F43CE7"/>
    <w:rsid w:val="00F46C9C"/>
    <w:rsid w:val="00F513AA"/>
    <w:rsid w:val="00F51D1B"/>
    <w:rsid w:val="00F52005"/>
    <w:rsid w:val="00F5253C"/>
    <w:rsid w:val="00F52824"/>
    <w:rsid w:val="00F52BF1"/>
    <w:rsid w:val="00F54468"/>
    <w:rsid w:val="00F5471B"/>
    <w:rsid w:val="00F57B28"/>
    <w:rsid w:val="00F60DF2"/>
    <w:rsid w:val="00F629C4"/>
    <w:rsid w:val="00F62BEF"/>
    <w:rsid w:val="00F643F5"/>
    <w:rsid w:val="00F64868"/>
    <w:rsid w:val="00F64B23"/>
    <w:rsid w:val="00F66498"/>
    <w:rsid w:val="00F665E8"/>
    <w:rsid w:val="00F66E8A"/>
    <w:rsid w:val="00F66EB3"/>
    <w:rsid w:val="00F67B4E"/>
    <w:rsid w:val="00F70B04"/>
    <w:rsid w:val="00F70E24"/>
    <w:rsid w:val="00F70EAA"/>
    <w:rsid w:val="00F72E51"/>
    <w:rsid w:val="00F73BC3"/>
    <w:rsid w:val="00F7499E"/>
    <w:rsid w:val="00F75D11"/>
    <w:rsid w:val="00F810AD"/>
    <w:rsid w:val="00F82FE7"/>
    <w:rsid w:val="00F83ED6"/>
    <w:rsid w:val="00F84F60"/>
    <w:rsid w:val="00F90334"/>
    <w:rsid w:val="00F9095D"/>
    <w:rsid w:val="00F918ED"/>
    <w:rsid w:val="00F928F0"/>
    <w:rsid w:val="00F93D06"/>
    <w:rsid w:val="00F9617B"/>
    <w:rsid w:val="00F96281"/>
    <w:rsid w:val="00F96AD8"/>
    <w:rsid w:val="00F978F5"/>
    <w:rsid w:val="00FA0302"/>
    <w:rsid w:val="00FA2FFA"/>
    <w:rsid w:val="00FA41DB"/>
    <w:rsid w:val="00FA4B51"/>
    <w:rsid w:val="00FA6E70"/>
    <w:rsid w:val="00FB02B6"/>
    <w:rsid w:val="00FB059F"/>
    <w:rsid w:val="00FB083E"/>
    <w:rsid w:val="00FB14CF"/>
    <w:rsid w:val="00FB4888"/>
    <w:rsid w:val="00FB69D4"/>
    <w:rsid w:val="00FB705E"/>
    <w:rsid w:val="00FB7161"/>
    <w:rsid w:val="00FB742E"/>
    <w:rsid w:val="00FC01D0"/>
    <w:rsid w:val="00FC06F6"/>
    <w:rsid w:val="00FC1177"/>
    <w:rsid w:val="00FC154E"/>
    <w:rsid w:val="00FC23AC"/>
    <w:rsid w:val="00FC35B1"/>
    <w:rsid w:val="00FC3C5D"/>
    <w:rsid w:val="00FC4F80"/>
    <w:rsid w:val="00FC51D0"/>
    <w:rsid w:val="00FC564A"/>
    <w:rsid w:val="00FC6855"/>
    <w:rsid w:val="00FC7007"/>
    <w:rsid w:val="00FC76FF"/>
    <w:rsid w:val="00FD050F"/>
    <w:rsid w:val="00FD06C0"/>
    <w:rsid w:val="00FD0DF8"/>
    <w:rsid w:val="00FD1898"/>
    <w:rsid w:val="00FD280C"/>
    <w:rsid w:val="00FD45C9"/>
    <w:rsid w:val="00FD4D84"/>
    <w:rsid w:val="00FD6006"/>
    <w:rsid w:val="00FD668F"/>
    <w:rsid w:val="00FD7719"/>
    <w:rsid w:val="00FD7B3F"/>
    <w:rsid w:val="00FE1AD7"/>
    <w:rsid w:val="00FE3719"/>
    <w:rsid w:val="00FE64E9"/>
    <w:rsid w:val="00FE7C32"/>
    <w:rsid w:val="00FF00CF"/>
    <w:rsid w:val="00FF0336"/>
    <w:rsid w:val="00FF056B"/>
    <w:rsid w:val="00FF48DF"/>
    <w:rsid w:val="00FF4F46"/>
    <w:rsid w:val="00FF65C9"/>
    <w:rsid w:val="00FF78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A3EAB24-3991-46EC-BD9E-85D3BFA5C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E05"/>
    <w:rPr>
      <w:rFonts w:eastAsia="Times New Roman"/>
      <w:sz w:val="24"/>
      <w:szCs w:val="24"/>
    </w:rPr>
  </w:style>
  <w:style w:type="paragraph" w:styleId="Heading1">
    <w:name w:val="heading 1"/>
    <w:basedOn w:val="Normal"/>
    <w:next w:val="Normal"/>
    <w:link w:val="Heading1Char"/>
    <w:uiPriority w:val="9"/>
    <w:qFormat/>
    <w:rsid w:val="00D3557A"/>
    <w:pPr>
      <w:keepNext/>
      <w:keepLines/>
      <w:spacing w:before="480"/>
      <w:outlineLvl w:val="0"/>
    </w:pPr>
    <w:rPr>
      <w:rFonts w:eastAsiaTheme="majorEastAsia" w:cstheme="majorBidi"/>
      <w:b/>
      <w:bCs/>
      <w:color w:val="943634" w:themeColor="accent2" w:themeShade="BF"/>
      <w:szCs w:val="28"/>
    </w:rPr>
  </w:style>
  <w:style w:type="paragraph" w:styleId="Heading2">
    <w:name w:val="heading 2"/>
    <w:basedOn w:val="Normal"/>
    <w:next w:val="Normal"/>
    <w:link w:val="Heading2Char"/>
    <w:unhideWhenUsed/>
    <w:qFormat/>
    <w:rsid w:val="00B10752"/>
    <w:pPr>
      <w:keepNext/>
      <w:keepLines/>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autoRedefine/>
    <w:unhideWhenUsed/>
    <w:qFormat/>
    <w:rsid w:val="006F52BB"/>
    <w:pPr>
      <w:keepNext/>
      <w:keepLines/>
      <w:tabs>
        <w:tab w:val="left" w:pos="426"/>
        <w:tab w:val="left" w:pos="540"/>
      </w:tabs>
      <w:spacing w:before="200" w:line="276" w:lineRule="auto"/>
      <w:ind w:left="2700" w:hanging="2700"/>
      <w:jc w:val="both"/>
      <w:outlineLvl w:val="2"/>
    </w:pPr>
    <w:rPr>
      <w:rFonts w:asciiTheme="minorHAnsi" w:eastAsiaTheme="majorEastAsia" w:hAnsiTheme="minorHAnsi" w:cstheme="majorBidi"/>
      <w:bCs/>
      <w:i/>
      <w:u w:val="single"/>
      <w:lang w:val="sq-AL"/>
    </w:rPr>
  </w:style>
  <w:style w:type="paragraph" w:styleId="Heading4">
    <w:name w:val="heading 4"/>
    <w:basedOn w:val="Normal"/>
    <w:next w:val="Normal"/>
    <w:link w:val="Heading4Char"/>
    <w:unhideWhenUsed/>
    <w:qFormat/>
    <w:rsid w:val="00155195"/>
    <w:pPr>
      <w:keepNext/>
      <w:keepLines/>
      <w:spacing w:before="20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A2E05"/>
    <w:pPr>
      <w:autoSpaceDE w:val="0"/>
      <w:autoSpaceDN w:val="0"/>
      <w:adjustRightInd w:val="0"/>
    </w:pPr>
    <w:rPr>
      <w:rFonts w:eastAsia="Batang"/>
      <w:color w:val="000000"/>
      <w:sz w:val="24"/>
      <w:szCs w:val="24"/>
      <w:lang w:eastAsia="ko-KR"/>
    </w:rPr>
  </w:style>
  <w:style w:type="paragraph" w:styleId="BalloonText">
    <w:name w:val="Balloon Text"/>
    <w:basedOn w:val="Normal"/>
    <w:link w:val="BalloonTextChar"/>
    <w:rsid w:val="00CA3188"/>
    <w:rPr>
      <w:rFonts w:ascii="Tahoma" w:hAnsi="Tahoma" w:cs="Tahoma"/>
      <w:sz w:val="16"/>
      <w:szCs w:val="16"/>
    </w:rPr>
  </w:style>
  <w:style w:type="character" w:customStyle="1" w:styleId="BalloonTextChar">
    <w:name w:val="Balloon Text Char"/>
    <w:basedOn w:val="DefaultParagraphFont"/>
    <w:link w:val="BalloonText"/>
    <w:rsid w:val="00CA3188"/>
    <w:rPr>
      <w:rFonts w:ascii="Tahoma" w:eastAsia="Times New Roman" w:hAnsi="Tahoma" w:cs="Tahoma"/>
      <w:sz w:val="16"/>
      <w:szCs w:val="16"/>
    </w:rPr>
  </w:style>
  <w:style w:type="paragraph" w:styleId="ListParagraph">
    <w:name w:val="List Paragraph"/>
    <w:basedOn w:val="Normal"/>
    <w:link w:val="ListParagraphChar"/>
    <w:uiPriority w:val="34"/>
    <w:qFormat/>
    <w:rsid w:val="0076649E"/>
    <w:pPr>
      <w:ind w:left="720"/>
      <w:contextualSpacing/>
    </w:pPr>
  </w:style>
  <w:style w:type="character" w:customStyle="1" w:styleId="Heading1Char">
    <w:name w:val="Heading 1 Char"/>
    <w:basedOn w:val="DefaultParagraphFont"/>
    <w:link w:val="Heading1"/>
    <w:uiPriority w:val="9"/>
    <w:rsid w:val="00D3557A"/>
    <w:rPr>
      <w:rFonts w:eastAsiaTheme="majorEastAsia" w:cstheme="majorBidi"/>
      <w:b/>
      <w:bCs/>
      <w:color w:val="943634" w:themeColor="accent2" w:themeShade="BF"/>
      <w:sz w:val="24"/>
      <w:szCs w:val="28"/>
    </w:rPr>
  </w:style>
  <w:style w:type="paragraph" w:styleId="Subtitle">
    <w:name w:val="Subtitle"/>
    <w:basedOn w:val="Normal"/>
    <w:next w:val="Normal"/>
    <w:link w:val="SubtitleChar"/>
    <w:qFormat/>
    <w:rsid w:val="00476597"/>
    <w:pPr>
      <w:numPr>
        <w:ilvl w:val="1"/>
      </w:numPr>
    </w:pPr>
    <w:rPr>
      <w:rFonts w:eastAsiaTheme="majorEastAsia" w:cstheme="majorBidi"/>
      <w:i/>
      <w:iCs/>
      <w:spacing w:val="15"/>
    </w:rPr>
  </w:style>
  <w:style w:type="character" w:customStyle="1" w:styleId="SubtitleChar">
    <w:name w:val="Subtitle Char"/>
    <w:basedOn w:val="DefaultParagraphFont"/>
    <w:link w:val="Subtitle"/>
    <w:rsid w:val="00476597"/>
    <w:rPr>
      <w:rFonts w:eastAsiaTheme="majorEastAsia" w:cstheme="majorBidi"/>
      <w:i/>
      <w:iCs/>
      <w:spacing w:val="15"/>
      <w:sz w:val="24"/>
      <w:szCs w:val="24"/>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
    <w:basedOn w:val="Normal"/>
    <w:link w:val="FootnoteTextChar"/>
    <w:uiPriority w:val="99"/>
    <w:unhideWhenUsed/>
    <w:rsid w:val="00CD61BB"/>
    <w:pPr>
      <w:spacing w:after="200" w:line="276" w:lineRule="auto"/>
    </w:pPr>
    <w:rPr>
      <w:rFonts w:ascii="Calibri" w:eastAsia="Calibri" w:hAnsi="Calibri"/>
      <w:sz w:val="20"/>
      <w:szCs w:val="20"/>
      <w:lang w:val="sq-AL"/>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rsid w:val="00CD61BB"/>
    <w:rPr>
      <w:rFonts w:ascii="Calibri" w:eastAsia="Calibri" w:hAnsi="Calibri"/>
      <w:lang w:val="sq-AL"/>
    </w:rPr>
  </w:style>
  <w:style w:type="character" w:styleId="FootnoteReference">
    <w:name w:val="footnote reference"/>
    <w:aliases w:val="ftref"/>
    <w:unhideWhenUsed/>
    <w:rsid w:val="00CD61BB"/>
    <w:rPr>
      <w:vertAlign w:val="superscript"/>
    </w:rPr>
  </w:style>
  <w:style w:type="character" w:customStyle="1" w:styleId="Heading2Char">
    <w:name w:val="Heading 2 Char"/>
    <w:basedOn w:val="DefaultParagraphFont"/>
    <w:link w:val="Heading2"/>
    <w:rsid w:val="00B10752"/>
    <w:rPr>
      <w:rFonts w:asciiTheme="majorHAnsi" w:eastAsiaTheme="majorEastAsia" w:hAnsiTheme="majorHAnsi" w:cstheme="majorBidi"/>
      <w:b/>
      <w:bCs/>
      <w:sz w:val="24"/>
      <w:szCs w:val="26"/>
    </w:rPr>
  </w:style>
  <w:style w:type="paragraph" w:styleId="Header">
    <w:name w:val="header"/>
    <w:basedOn w:val="Normal"/>
    <w:link w:val="HeaderChar"/>
    <w:uiPriority w:val="99"/>
    <w:rsid w:val="00AC402A"/>
    <w:pPr>
      <w:tabs>
        <w:tab w:val="center" w:pos="4680"/>
        <w:tab w:val="right" w:pos="9360"/>
      </w:tabs>
    </w:pPr>
  </w:style>
  <w:style w:type="character" w:customStyle="1" w:styleId="HeaderChar">
    <w:name w:val="Header Char"/>
    <w:basedOn w:val="DefaultParagraphFont"/>
    <w:link w:val="Header"/>
    <w:uiPriority w:val="99"/>
    <w:rsid w:val="00AC402A"/>
    <w:rPr>
      <w:rFonts w:eastAsia="Times New Roman"/>
      <w:sz w:val="24"/>
      <w:szCs w:val="24"/>
    </w:rPr>
  </w:style>
  <w:style w:type="paragraph" w:styleId="Footer">
    <w:name w:val="footer"/>
    <w:basedOn w:val="Normal"/>
    <w:link w:val="FooterChar"/>
    <w:uiPriority w:val="99"/>
    <w:rsid w:val="00AC402A"/>
    <w:pPr>
      <w:tabs>
        <w:tab w:val="center" w:pos="4680"/>
        <w:tab w:val="right" w:pos="9360"/>
      </w:tabs>
    </w:pPr>
  </w:style>
  <w:style w:type="character" w:customStyle="1" w:styleId="FooterChar">
    <w:name w:val="Footer Char"/>
    <w:basedOn w:val="DefaultParagraphFont"/>
    <w:link w:val="Footer"/>
    <w:uiPriority w:val="99"/>
    <w:rsid w:val="00AC402A"/>
    <w:rPr>
      <w:rFonts w:eastAsia="Times New Roman"/>
      <w:sz w:val="24"/>
      <w:szCs w:val="24"/>
    </w:rPr>
  </w:style>
  <w:style w:type="paragraph" w:styleId="EndnoteText">
    <w:name w:val="endnote text"/>
    <w:basedOn w:val="Normal"/>
    <w:link w:val="EndnoteTextChar"/>
    <w:rsid w:val="00AC402A"/>
    <w:rPr>
      <w:sz w:val="20"/>
      <w:szCs w:val="20"/>
    </w:rPr>
  </w:style>
  <w:style w:type="character" w:customStyle="1" w:styleId="EndnoteTextChar">
    <w:name w:val="Endnote Text Char"/>
    <w:basedOn w:val="DefaultParagraphFont"/>
    <w:link w:val="EndnoteText"/>
    <w:rsid w:val="00AC402A"/>
    <w:rPr>
      <w:rFonts w:eastAsia="Times New Roman"/>
    </w:rPr>
  </w:style>
  <w:style w:type="character" w:styleId="EndnoteReference">
    <w:name w:val="endnote reference"/>
    <w:basedOn w:val="DefaultParagraphFont"/>
    <w:rsid w:val="00AC402A"/>
    <w:rPr>
      <w:vertAlign w:val="superscript"/>
    </w:rPr>
  </w:style>
  <w:style w:type="character" w:customStyle="1" w:styleId="Heading3Char">
    <w:name w:val="Heading 3 Char"/>
    <w:basedOn w:val="DefaultParagraphFont"/>
    <w:link w:val="Heading3"/>
    <w:rsid w:val="006F52BB"/>
    <w:rPr>
      <w:rFonts w:asciiTheme="minorHAnsi" w:eastAsiaTheme="majorEastAsia" w:hAnsiTheme="minorHAnsi" w:cstheme="majorBidi"/>
      <w:bCs/>
      <w:i/>
      <w:sz w:val="24"/>
      <w:szCs w:val="24"/>
      <w:u w:val="single"/>
      <w:lang w:val="sq-AL"/>
    </w:rPr>
  </w:style>
  <w:style w:type="character" w:customStyle="1" w:styleId="Heading4Char">
    <w:name w:val="Heading 4 Char"/>
    <w:basedOn w:val="DefaultParagraphFont"/>
    <w:link w:val="Heading4"/>
    <w:rsid w:val="00155195"/>
    <w:rPr>
      <w:rFonts w:asciiTheme="majorHAnsi" w:eastAsiaTheme="majorEastAsia" w:hAnsiTheme="majorHAnsi" w:cstheme="majorBidi"/>
      <w:bCs/>
      <w:i/>
      <w:iCs/>
      <w:sz w:val="24"/>
      <w:szCs w:val="24"/>
    </w:rPr>
  </w:style>
  <w:style w:type="paragraph" w:styleId="TOCHeading">
    <w:name w:val="TOC Heading"/>
    <w:basedOn w:val="Heading1"/>
    <w:next w:val="Normal"/>
    <w:uiPriority w:val="39"/>
    <w:unhideWhenUsed/>
    <w:qFormat/>
    <w:rsid w:val="00887C97"/>
    <w:pPr>
      <w:spacing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rsid w:val="0070116C"/>
    <w:pPr>
      <w:tabs>
        <w:tab w:val="left" w:pos="480"/>
        <w:tab w:val="right" w:leader="dot" w:pos="9450"/>
      </w:tabs>
      <w:spacing w:after="100" w:line="480" w:lineRule="auto"/>
    </w:pPr>
    <w:rPr>
      <w:b/>
      <w:noProof/>
      <w:sz w:val="20"/>
      <w:szCs w:val="20"/>
    </w:rPr>
  </w:style>
  <w:style w:type="paragraph" w:styleId="TOC2">
    <w:name w:val="toc 2"/>
    <w:basedOn w:val="Normal"/>
    <w:next w:val="Normal"/>
    <w:autoRedefine/>
    <w:uiPriority w:val="39"/>
    <w:rsid w:val="00887C97"/>
    <w:pPr>
      <w:spacing w:after="100"/>
      <w:ind w:left="240"/>
    </w:pPr>
  </w:style>
  <w:style w:type="paragraph" w:styleId="TOC3">
    <w:name w:val="toc 3"/>
    <w:basedOn w:val="Normal"/>
    <w:next w:val="Normal"/>
    <w:autoRedefine/>
    <w:uiPriority w:val="39"/>
    <w:rsid w:val="00887C97"/>
    <w:pPr>
      <w:spacing w:after="100"/>
      <w:ind w:left="480"/>
    </w:pPr>
  </w:style>
  <w:style w:type="character" w:styleId="Hyperlink">
    <w:name w:val="Hyperlink"/>
    <w:basedOn w:val="DefaultParagraphFont"/>
    <w:uiPriority w:val="99"/>
    <w:unhideWhenUsed/>
    <w:rsid w:val="00887C97"/>
    <w:rPr>
      <w:color w:val="0000FF" w:themeColor="hyperlink"/>
      <w:u w:val="single"/>
    </w:rPr>
  </w:style>
  <w:style w:type="paragraph" w:styleId="TOC4">
    <w:name w:val="toc 4"/>
    <w:basedOn w:val="Normal"/>
    <w:next w:val="Normal"/>
    <w:autoRedefine/>
    <w:uiPriority w:val="39"/>
    <w:rsid w:val="00236654"/>
    <w:pPr>
      <w:spacing w:after="100"/>
      <w:ind w:left="720"/>
    </w:pPr>
  </w:style>
  <w:style w:type="paragraph" w:styleId="NormalWeb">
    <w:name w:val="Normal (Web)"/>
    <w:basedOn w:val="Normal"/>
    <w:uiPriority w:val="99"/>
    <w:rsid w:val="000F540A"/>
    <w:pPr>
      <w:spacing w:before="100" w:beforeAutospacing="1" w:after="100" w:afterAutospacing="1"/>
    </w:pPr>
  </w:style>
  <w:style w:type="paragraph" w:styleId="NoSpacing">
    <w:name w:val="No Spacing"/>
    <w:uiPriority w:val="1"/>
    <w:qFormat/>
    <w:rsid w:val="000F540A"/>
    <w:rPr>
      <w:rFonts w:asciiTheme="minorHAnsi" w:hAnsiTheme="minorHAnsi" w:cstheme="minorBidi"/>
      <w:sz w:val="22"/>
      <w:szCs w:val="22"/>
    </w:rPr>
  </w:style>
  <w:style w:type="character" w:customStyle="1" w:styleId="ListParagraphChar">
    <w:name w:val="List Paragraph Char"/>
    <w:link w:val="ListParagraph"/>
    <w:uiPriority w:val="34"/>
    <w:locked/>
    <w:rsid w:val="004C12C9"/>
    <w:rPr>
      <w:rFonts w:eastAsia="Times New Roman"/>
      <w:sz w:val="24"/>
      <w:szCs w:val="24"/>
    </w:rPr>
  </w:style>
  <w:style w:type="character" w:customStyle="1" w:styleId="MessageHeaderLabel">
    <w:name w:val="Message Header Label"/>
    <w:uiPriority w:val="99"/>
    <w:rsid w:val="004C12C9"/>
    <w:rPr>
      <w:rFonts w:ascii="Arial Black" w:hAnsi="Arial Black" w:cs="Arial Black"/>
      <w:spacing w:val="-10"/>
      <w:sz w:val="18"/>
      <w:szCs w:val="18"/>
    </w:rPr>
  </w:style>
  <w:style w:type="character" w:customStyle="1" w:styleId="hps">
    <w:name w:val="hps"/>
    <w:basedOn w:val="DefaultParagraphFont"/>
    <w:uiPriority w:val="99"/>
    <w:rsid w:val="00CE3733"/>
  </w:style>
  <w:style w:type="table" w:styleId="TableGridLight">
    <w:name w:val="Grid Table Light"/>
    <w:basedOn w:val="TableNormal"/>
    <w:uiPriority w:val="40"/>
    <w:rsid w:val="00CE3733"/>
    <w:rPr>
      <w:rFonts w:ascii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59"/>
    <w:rsid w:val="00B03E7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5965FC"/>
    <w:rPr>
      <w:sz w:val="16"/>
      <w:szCs w:val="16"/>
    </w:rPr>
  </w:style>
  <w:style w:type="paragraph" w:styleId="CommentText">
    <w:name w:val="annotation text"/>
    <w:basedOn w:val="Normal"/>
    <w:link w:val="CommentTextChar"/>
    <w:semiHidden/>
    <w:unhideWhenUsed/>
    <w:rsid w:val="005965FC"/>
    <w:rPr>
      <w:sz w:val="20"/>
      <w:szCs w:val="20"/>
    </w:rPr>
  </w:style>
  <w:style w:type="character" w:customStyle="1" w:styleId="CommentTextChar">
    <w:name w:val="Comment Text Char"/>
    <w:basedOn w:val="DefaultParagraphFont"/>
    <w:link w:val="CommentText"/>
    <w:semiHidden/>
    <w:rsid w:val="005965FC"/>
    <w:rPr>
      <w:rFonts w:eastAsia="Times New Roman"/>
    </w:rPr>
  </w:style>
  <w:style w:type="character" w:styleId="Strong">
    <w:name w:val="Strong"/>
    <w:basedOn w:val="DefaultParagraphFont"/>
    <w:uiPriority w:val="22"/>
    <w:qFormat/>
    <w:rsid w:val="00F67B4E"/>
    <w:rPr>
      <w:b/>
      <w:bCs/>
    </w:rPr>
  </w:style>
  <w:style w:type="table" w:styleId="GridTable1Light">
    <w:name w:val="Grid Table 1 Light"/>
    <w:basedOn w:val="TableNormal"/>
    <w:uiPriority w:val="46"/>
    <w:rsid w:val="00291EF6"/>
    <w:rPr>
      <w:rFonts w:ascii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3300">
      <w:bodyDiv w:val="1"/>
      <w:marLeft w:val="0"/>
      <w:marRight w:val="0"/>
      <w:marTop w:val="0"/>
      <w:marBottom w:val="0"/>
      <w:divBdr>
        <w:top w:val="none" w:sz="0" w:space="0" w:color="auto"/>
        <w:left w:val="none" w:sz="0" w:space="0" w:color="auto"/>
        <w:bottom w:val="none" w:sz="0" w:space="0" w:color="auto"/>
        <w:right w:val="none" w:sz="0" w:space="0" w:color="auto"/>
      </w:divBdr>
    </w:div>
    <w:div w:id="92478611">
      <w:bodyDiv w:val="1"/>
      <w:marLeft w:val="0"/>
      <w:marRight w:val="0"/>
      <w:marTop w:val="0"/>
      <w:marBottom w:val="0"/>
      <w:divBdr>
        <w:top w:val="none" w:sz="0" w:space="0" w:color="auto"/>
        <w:left w:val="none" w:sz="0" w:space="0" w:color="auto"/>
        <w:bottom w:val="none" w:sz="0" w:space="0" w:color="auto"/>
        <w:right w:val="none" w:sz="0" w:space="0" w:color="auto"/>
      </w:divBdr>
    </w:div>
    <w:div w:id="179397677">
      <w:bodyDiv w:val="1"/>
      <w:marLeft w:val="0"/>
      <w:marRight w:val="0"/>
      <w:marTop w:val="0"/>
      <w:marBottom w:val="0"/>
      <w:divBdr>
        <w:top w:val="none" w:sz="0" w:space="0" w:color="auto"/>
        <w:left w:val="none" w:sz="0" w:space="0" w:color="auto"/>
        <w:bottom w:val="none" w:sz="0" w:space="0" w:color="auto"/>
        <w:right w:val="none" w:sz="0" w:space="0" w:color="auto"/>
      </w:divBdr>
    </w:div>
    <w:div w:id="242960594">
      <w:bodyDiv w:val="1"/>
      <w:marLeft w:val="0"/>
      <w:marRight w:val="0"/>
      <w:marTop w:val="0"/>
      <w:marBottom w:val="0"/>
      <w:divBdr>
        <w:top w:val="none" w:sz="0" w:space="0" w:color="auto"/>
        <w:left w:val="none" w:sz="0" w:space="0" w:color="auto"/>
        <w:bottom w:val="none" w:sz="0" w:space="0" w:color="auto"/>
        <w:right w:val="none" w:sz="0" w:space="0" w:color="auto"/>
      </w:divBdr>
    </w:div>
    <w:div w:id="281302082">
      <w:bodyDiv w:val="1"/>
      <w:marLeft w:val="0"/>
      <w:marRight w:val="0"/>
      <w:marTop w:val="0"/>
      <w:marBottom w:val="0"/>
      <w:divBdr>
        <w:top w:val="none" w:sz="0" w:space="0" w:color="auto"/>
        <w:left w:val="none" w:sz="0" w:space="0" w:color="auto"/>
        <w:bottom w:val="none" w:sz="0" w:space="0" w:color="auto"/>
        <w:right w:val="none" w:sz="0" w:space="0" w:color="auto"/>
      </w:divBdr>
    </w:div>
    <w:div w:id="350648787">
      <w:bodyDiv w:val="1"/>
      <w:marLeft w:val="0"/>
      <w:marRight w:val="0"/>
      <w:marTop w:val="0"/>
      <w:marBottom w:val="0"/>
      <w:divBdr>
        <w:top w:val="none" w:sz="0" w:space="0" w:color="auto"/>
        <w:left w:val="none" w:sz="0" w:space="0" w:color="auto"/>
        <w:bottom w:val="none" w:sz="0" w:space="0" w:color="auto"/>
        <w:right w:val="none" w:sz="0" w:space="0" w:color="auto"/>
      </w:divBdr>
    </w:div>
    <w:div w:id="472870282">
      <w:bodyDiv w:val="1"/>
      <w:marLeft w:val="0"/>
      <w:marRight w:val="0"/>
      <w:marTop w:val="0"/>
      <w:marBottom w:val="0"/>
      <w:divBdr>
        <w:top w:val="none" w:sz="0" w:space="0" w:color="auto"/>
        <w:left w:val="none" w:sz="0" w:space="0" w:color="auto"/>
        <w:bottom w:val="none" w:sz="0" w:space="0" w:color="auto"/>
        <w:right w:val="none" w:sz="0" w:space="0" w:color="auto"/>
      </w:divBdr>
    </w:div>
    <w:div w:id="504365511">
      <w:bodyDiv w:val="1"/>
      <w:marLeft w:val="0"/>
      <w:marRight w:val="0"/>
      <w:marTop w:val="0"/>
      <w:marBottom w:val="0"/>
      <w:divBdr>
        <w:top w:val="none" w:sz="0" w:space="0" w:color="auto"/>
        <w:left w:val="none" w:sz="0" w:space="0" w:color="auto"/>
        <w:bottom w:val="none" w:sz="0" w:space="0" w:color="auto"/>
        <w:right w:val="none" w:sz="0" w:space="0" w:color="auto"/>
      </w:divBdr>
    </w:div>
    <w:div w:id="605620984">
      <w:bodyDiv w:val="1"/>
      <w:marLeft w:val="0"/>
      <w:marRight w:val="0"/>
      <w:marTop w:val="0"/>
      <w:marBottom w:val="0"/>
      <w:divBdr>
        <w:top w:val="none" w:sz="0" w:space="0" w:color="auto"/>
        <w:left w:val="none" w:sz="0" w:space="0" w:color="auto"/>
        <w:bottom w:val="none" w:sz="0" w:space="0" w:color="auto"/>
        <w:right w:val="none" w:sz="0" w:space="0" w:color="auto"/>
      </w:divBdr>
    </w:div>
    <w:div w:id="680546287">
      <w:bodyDiv w:val="1"/>
      <w:marLeft w:val="0"/>
      <w:marRight w:val="0"/>
      <w:marTop w:val="0"/>
      <w:marBottom w:val="0"/>
      <w:divBdr>
        <w:top w:val="none" w:sz="0" w:space="0" w:color="auto"/>
        <w:left w:val="none" w:sz="0" w:space="0" w:color="auto"/>
        <w:bottom w:val="none" w:sz="0" w:space="0" w:color="auto"/>
        <w:right w:val="none" w:sz="0" w:space="0" w:color="auto"/>
      </w:divBdr>
    </w:div>
    <w:div w:id="711541834">
      <w:bodyDiv w:val="1"/>
      <w:marLeft w:val="0"/>
      <w:marRight w:val="0"/>
      <w:marTop w:val="0"/>
      <w:marBottom w:val="0"/>
      <w:divBdr>
        <w:top w:val="none" w:sz="0" w:space="0" w:color="auto"/>
        <w:left w:val="none" w:sz="0" w:space="0" w:color="auto"/>
        <w:bottom w:val="none" w:sz="0" w:space="0" w:color="auto"/>
        <w:right w:val="none" w:sz="0" w:space="0" w:color="auto"/>
      </w:divBdr>
    </w:div>
    <w:div w:id="766313720">
      <w:bodyDiv w:val="1"/>
      <w:marLeft w:val="0"/>
      <w:marRight w:val="0"/>
      <w:marTop w:val="0"/>
      <w:marBottom w:val="0"/>
      <w:divBdr>
        <w:top w:val="none" w:sz="0" w:space="0" w:color="auto"/>
        <w:left w:val="none" w:sz="0" w:space="0" w:color="auto"/>
        <w:bottom w:val="none" w:sz="0" w:space="0" w:color="auto"/>
        <w:right w:val="none" w:sz="0" w:space="0" w:color="auto"/>
      </w:divBdr>
    </w:div>
    <w:div w:id="789740096">
      <w:bodyDiv w:val="1"/>
      <w:marLeft w:val="0"/>
      <w:marRight w:val="0"/>
      <w:marTop w:val="0"/>
      <w:marBottom w:val="0"/>
      <w:divBdr>
        <w:top w:val="none" w:sz="0" w:space="0" w:color="auto"/>
        <w:left w:val="none" w:sz="0" w:space="0" w:color="auto"/>
        <w:bottom w:val="none" w:sz="0" w:space="0" w:color="auto"/>
        <w:right w:val="none" w:sz="0" w:space="0" w:color="auto"/>
      </w:divBdr>
    </w:div>
    <w:div w:id="1033649556">
      <w:bodyDiv w:val="1"/>
      <w:marLeft w:val="0"/>
      <w:marRight w:val="0"/>
      <w:marTop w:val="0"/>
      <w:marBottom w:val="0"/>
      <w:divBdr>
        <w:top w:val="none" w:sz="0" w:space="0" w:color="auto"/>
        <w:left w:val="none" w:sz="0" w:space="0" w:color="auto"/>
        <w:bottom w:val="none" w:sz="0" w:space="0" w:color="auto"/>
        <w:right w:val="none" w:sz="0" w:space="0" w:color="auto"/>
      </w:divBdr>
    </w:div>
    <w:div w:id="1074666893">
      <w:bodyDiv w:val="1"/>
      <w:marLeft w:val="0"/>
      <w:marRight w:val="0"/>
      <w:marTop w:val="0"/>
      <w:marBottom w:val="0"/>
      <w:divBdr>
        <w:top w:val="none" w:sz="0" w:space="0" w:color="auto"/>
        <w:left w:val="none" w:sz="0" w:space="0" w:color="auto"/>
        <w:bottom w:val="none" w:sz="0" w:space="0" w:color="auto"/>
        <w:right w:val="none" w:sz="0" w:space="0" w:color="auto"/>
      </w:divBdr>
    </w:div>
    <w:div w:id="1142236599">
      <w:bodyDiv w:val="1"/>
      <w:marLeft w:val="0"/>
      <w:marRight w:val="0"/>
      <w:marTop w:val="0"/>
      <w:marBottom w:val="0"/>
      <w:divBdr>
        <w:top w:val="none" w:sz="0" w:space="0" w:color="auto"/>
        <w:left w:val="none" w:sz="0" w:space="0" w:color="auto"/>
        <w:bottom w:val="none" w:sz="0" w:space="0" w:color="auto"/>
        <w:right w:val="none" w:sz="0" w:space="0" w:color="auto"/>
      </w:divBdr>
    </w:div>
    <w:div w:id="1225524160">
      <w:bodyDiv w:val="1"/>
      <w:marLeft w:val="0"/>
      <w:marRight w:val="0"/>
      <w:marTop w:val="0"/>
      <w:marBottom w:val="0"/>
      <w:divBdr>
        <w:top w:val="none" w:sz="0" w:space="0" w:color="auto"/>
        <w:left w:val="none" w:sz="0" w:space="0" w:color="auto"/>
        <w:bottom w:val="none" w:sz="0" w:space="0" w:color="auto"/>
        <w:right w:val="none" w:sz="0" w:space="0" w:color="auto"/>
      </w:divBdr>
    </w:div>
    <w:div w:id="1277564277">
      <w:bodyDiv w:val="1"/>
      <w:marLeft w:val="0"/>
      <w:marRight w:val="0"/>
      <w:marTop w:val="0"/>
      <w:marBottom w:val="0"/>
      <w:divBdr>
        <w:top w:val="none" w:sz="0" w:space="0" w:color="auto"/>
        <w:left w:val="none" w:sz="0" w:space="0" w:color="auto"/>
        <w:bottom w:val="none" w:sz="0" w:space="0" w:color="auto"/>
        <w:right w:val="none" w:sz="0" w:space="0" w:color="auto"/>
      </w:divBdr>
    </w:div>
    <w:div w:id="1367873379">
      <w:bodyDiv w:val="1"/>
      <w:marLeft w:val="0"/>
      <w:marRight w:val="0"/>
      <w:marTop w:val="0"/>
      <w:marBottom w:val="0"/>
      <w:divBdr>
        <w:top w:val="none" w:sz="0" w:space="0" w:color="auto"/>
        <w:left w:val="none" w:sz="0" w:space="0" w:color="auto"/>
        <w:bottom w:val="none" w:sz="0" w:space="0" w:color="auto"/>
        <w:right w:val="none" w:sz="0" w:space="0" w:color="auto"/>
      </w:divBdr>
    </w:div>
    <w:div w:id="1429614223">
      <w:bodyDiv w:val="1"/>
      <w:marLeft w:val="0"/>
      <w:marRight w:val="0"/>
      <w:marTop w:val="0"/>
      <w:marBottom w:val="0"/>
      <w:divBdr>
        <w:top w:val="none" w:sz="0" w:space="0" w:color="auto"/>
        <w:left w:val="none" w:sz="0" w:space="0" w:color="auto"/>
        <w:bottom w:val="none" w:sz="0" w:space="0" w:color="auto"/>
        <w:right w:val="none" w:sz="0" w:space="0" w:color="auto"/>
      </w:divBdr>
    </w:div>
    <w:div w:id="1456631641">
      <w:bodyDiv w:val="1"/>
      <w:marLeft w:val="0"/>
      <w:marRight w:val="0"/>
      <w:marTop w:val="0"/>
      <w:marBottom w:val="0"/>
      <w:divBdr>
        <w:top w:val="none" w:sz="0" w:space="0" w:color="auto"/>
        <w:left w:val="none" w:sz="0" w:space="0" w:color="auto"/>
        <w:bottom w:val="none" w:sz="0" w:space="0" w:color="auto"/>
        <w:right w:val="none" w:sz="0" w:space="0" w:color="auto"/>
      </w:divBdr>
    </w:div>
    <w:div w:id="1738631158">
      <w:bodyDiv w:val="1"/>
      <w:marLeft w:val="0"/>
      <w:marRight w:val="0"/>
      <w:marTop w:val="0"/>
      <w:marBottom w:val="0"/>
      <w:divBdr>
        <w:top w:val="none" w:sz="0" w:space="0" w:color="auto"/>
        <w:left w:val="none" w:sz="0" w:space="0" w:color="auto"/>
        <w:bottom w:val="none" w:sz="0" w:space="0" w:color="auto"/>
        <w:right w:val="none" w:sz="0" w:space="0" w:color="auto"/>
      </w:divBdr>
    </w:div>
    <w:div w:id="1743023422">
      <w:bodyDiv w:val="1"/>
      <w:marLeft w:val="0"/>
      <w:marRight w:val="0"/>
      <w:marTop w:val="0"/>
      <w:marBottom w:val="0"/>
      <w:divBdr>
        <w:top w:val="none" w:sz="0" w:space="0" w:color="auto"/>
        <w:left w:val="none" w:sz="0" w:space="0" w:color="auto"/>
        <w:bottom w:val="none" w:sz="0" w:space="0" w:color="auto"/>
        <w:right w:val="none" w:sz="0" w:space="0" w:color="auto"/>
      </w:divBdr>
    </w:div>
    <w:div w:id="1798183540">
      <w:bodyDiv w:val="1"/>
      <w:marLeft w:val="0"/>
      <w:marRight w:val="0"/>
      <w:marTop w:val="0"/>
      <w:marBottom w:val="0"/>
      <w:divBdr>
        <w:top w:val="none" w:sz="0" w:space="0" w:color="auto"/>
        <w:left w:val="none" w:sz="0" w:space="0" w:color="auto"/>
        <w:bottom w:val="none" w:sz="0" w:space="0" w:color="auto"/>
        <w:right w:val="none" w:sz="0" w:space="0" w:color="auto"/>
      </w:divBdr>
      <w:divsChild>
        <w:div w:id="408158981">
          <w:marLeft w:val="0"/>
          <w:marRight w:val="0"/>
          <w:marTop w:val="0"/>
          <w:marBottom w:val="0"/>
          <w:divBdr>
            <w:top w:val="none" w:sz="0" w:space="0" w:color="auto"/>
            <w:left w:val="none" w:sz="0" w:space="0" w:color="auto"/>
            <w:bottom w:val="none" w:sz="0" w:space="0" w:color="auto"/>
            <w:right w:val="none" w:sz="0" w:space="0" w:color="auto"/>
          </w:divBdr>
        </w:div>
        <w:div w:id="1600601018">
          <w:marLeft w:val="0"/>
          <w:marRight w:val="0"/>
          <w:marTop w:val="0"/>
          <w:marBottom w:val="0"/>
          <w:divBdr>
            <w:top w:val="none" w:sz="0" w:space="0" w:color="auto"/>
            <w:left w:val="none" w:sz="0" w:space="0" w:color="auto"/>
            <w:bottom w:val="none" w:sz="0" w:space="0" w:color="auto"/>
            <w:right w:val="none" w:sz="0" w:space="0" w:color="auto"/>
          </w:divBdr>
        </w:div>
        <w:div w:id="1698891052">
          <w:marLeft w:val="0"/>
          <w:marRight w:val="0"/>
          <w:marTop w:val="0"/>
          <w:marBottom w:val="0"/>
          <w:divBdr>
            <w:top w:val="none" w:sz="0" w:space="0" w:color="auto"/>
            <w:left w:val="none" w:sz="0" w:space="0" w:color="auto"/>
            <w:bottom w:val="none" w:sz="0" w:space="0" w:color="auto"/>
            <w:right w:val="none" w:sz="0" w:space="0" w:color="auto"/>
          </w:divBdr>
        </w:div>
        <w:div w:id="2002930170">
          <w:marLeft w:val="0"/>
          <w:marRight w:val="0"/>
          <w:marTop w:val="0"/>
          <w:marBottom w:val="0"/>
          <w:divBdr>
            <w:top w:val="none" w:sz="0" w:space="0" w:color="auto"/>
            <w:left w:val="none" w:sz="0" w:space="0" w:color="auto"/>
            <w:bottom w:val="none" w:sz="0" w:space="0" w:color="auto"/>
            <w:right w:val="none" w:sz="0" w:space="0" w:color="auto"/>
          </w:divBdr>
        </w:div>
      </w:divsChild>
    </w:div>
    <w:div w:id="1977640142">
      <w:bodyDiv w:val="1"/>
      <w:marLeft w:val="0"/>
      <w:marRight w:val="0"/>
      <w:marTop w:val="0"/>
      <w:marBottom w:val="0"/>
      <w:divBdr>
        <w:top w:val="none" w:sz="0" w:space="0" w:color="auto"/>
        <w:left w:val="none" w:sz="0" w:space="0" w:color="auto"/>
        <w:bottom w:val="none" w:sz="0" w:space="0" w:color="auto"/>
        <w:right w:val="none" w:sz="0" w:space="0" w:color="auto"/>
      </w:divBdr>
      <w:divsChild>
        <w:div w:id="709644162">
          <w:marLeft w:val="0"/>
          <w:marRight w:val="0"/>
          <w:marTop w:val="0"/>
          <w:marBottom w:val="0"/>
          <w:divBdr>
            <w:top w:val="none" w:sz="0" w:space="0" w:color="auto"/>
            <w:left w:val="none" w:sz="0" w:space="0" w:color="auto"/>
            <w:bottom w:val="none" w:sz="0" w:space="0" w:color="auto"/>
            <w:right w:val="none" w:sz="0" w:space="0" w:color="auto"/>
          </w:divBdr>
        </w:div>
        <w:div w:id="1162937723">
          <w:marLeft w:val="0"/>
          <w:marRight w:val="0"/>
          <w:marTop w:val="0"/>
          <w:marBottom w:val="0"/>
          <w:divBdr>
            <w:top w:val="none" w:sz="0" w:space="0" w:color="auto"/>
            <w:left w:val="none" w:sz="0" w:space="0" w:color="auto"/>
            <w:bottom w:val="none" w:sz="0" w:space="0" w:color="auto"/>
            <w:right w:val="none" w:sz="0" w:space="0" w:color="auto"/>
          </w:divBdr>
        </w:div>
        <w:div w:id="1163593441">
          <w:marLeft w:val="0"/>
          <w:marRight w:val="0"/>
          <w:marTop w:val="0"/>
          <w:marBottom w:val="0"/>
          <w:divBdr>
            <w:top w:val="none" w:sz="0" w:space="0" w:color="auto"/>
            <w:left w:val="none" w:sz="0" w:space="0" w:color="auto"/>
            <w:bottom w:val="none" w:sz="0" w:space="0" w:color="auto"/>
            <w:right w:val="none" w:sz="0" w:space="0" w:color="auto"/>
          </w:divBdr>
        </w:div>
        <w:div w:id="1259948859">
          <w:marLeft w:val="0"/>
          <w:marRight w:val="0"/>
          <w:marTop w:val="0"/>
          <w:marBottom w:val="0"/>
          <w:divBdr>
            <w:top w:val="none" w:sz="0" w:space="0" w:color="auto"/>
            <w:left w:val="none" w:sz="0" w:space="0" w:color="auto"/>
            <w:bottom w:val="none" w:sz="0" w:space="0" w:color="auto"/>
            <w:right w:val="none" w:sz="0" w:space="0" w:color="auto"/>
          </w:divBdr>
        </w:div>
      </w:divsChild>
    </w:div>
    <w:div w:id="211990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image" Target="media/image15.png"/><Relationship Id="rId47" Type="http://schemas.openxmlformats.org/officeDocument/2006/relationships/chart" Target="charts/chart23.xml"/><Relationship Id="rId63" Type="http://schemas.openxmlformats.org/officeDocument/2006/relationships/image" Target="media/image25.emf"/><Relationship Id="rId6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2.emf"/><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image" Target="media/image20.emf"/><Relationship Id="rId66"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image" Target="media/image23.emf"/><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3.emf"/><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chart" Target="charts/chart24.xml"/><Relationship Id="rId56"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27.xm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chart" Target="charts/chart22.xml"/><Relationship Id="rId59" Type="http://schemas.openxmlformats.org/officeDocument/2006/relationships/image" Target="media/image21.emf"/><Relationship Id="rId67" Type="http://schemas.openxmlformats.org/officeDocument/2006/relationships/image" Target="media/image29.emf"/><Relationship Id="rId20" Type="http://schemas.openxmlformats.org/officeDocument/2006/relationships/chart" Target="charts/chart12.xml"/><Relationship Id="rId41" Type="http://schemas.openxmlformats.org/officeDocument/2006/relationships/image" Target="media/image14.png"/><Relationship Id="rId54" Type="http://schemas.openxmlformats.org/officeDocument/2006/relationships/chart" Target="charts/chart30.xml"/><Relationship Id="rId62" Type="http://schemas.openxmlformats.org/officeDocument/2006/relationships/image" Target="media/image24.e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image" Target="media/image9.png"/><Relationship Id="rId49" Type="http://schemas.openxmlformats.org/officeDocument/2006/relationships/chart" Target="charts/chart25.xml"/><Relationship Id="rId57" Type="http://schemas.openxmlformats.org/officeDocument/2006/relationships/image" Target="media/image19.emf"/><Relationship Id="rId10" Type="http://schemas.openxmlformats.org/officeDocument/2006/relationships/chart" Target="charts/chart2.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chart" Target="charts/chart28.xml"/><Relationship Id="rId60" Type="http://schemas.openxmlformats.org/officeDocument/2006/relationships/image" Target="media/image22.emf"/><Relationship Id="rId65" Type="http://schemas.openxmlformats.org/officeDocument/2006/relationships/image" Target="media/image27.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chart" Target="charts/chart26.xml"/><Relationship Id="rId55" Type="http://schemas.openxmlformats.org/officeDocument/2006/relationships/chart" Target="charts/chart31.xml"/><Relationship Id="rId7" Type="http://schemas.openxmlformats.org/officeDocument/2006/relationships/endnotes" Target="endnotes.xml"/><Relationship Id="rId7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ida.gjata\Desktop\Waterfall%20Powerpoin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ida.gjata\Desktop\5%20Mujori%202017\Tabelat%205%20Mujori%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ida.gjata\Desktop\5%20Mujori%202017\Tabelat%205%20Mujori%202017.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7.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8.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9.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0.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4.xml"/><Relationship Id="rId4" Type="http://schemas.openxmlformats.org/officeDocument/2006/relationships/package" Target="../embeddings/Microsoft_Excel_Worksheet12.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3.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4.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ida.gjata\Desktop\5%20Mujori%202017\Tabelat%205%20Mujori%202017.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5.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ida.gjata\Desktop\treg%20me%20jasht%20janar%20maj%202016%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ida.gjata\Desktop\treg%20me%20jasht%20janar%20maj%202016%202017.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ida.gjata\Desktop\5%20Mujori%202017\Tabelat%205%20Mujori%202017.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568990225915013E-2"/>
          <c:y val="0.13325493111644307"/>
          <c:w val="0.96841199297940517"/>
          <c:h val="0.787458681301201"/>
        </c:manualLayout>
      </c:layout>
      <c:barChart>
        <c:barDir val="col"/>
        <c:grouping val="stacked"/>
        <c:varyColors val="0"/>
        <c:ser>
          <c:idx val="0"/>
          <c:order val="0"/>
          <c:tx>
            <c:strRef>
              <c:f>'Tatimet+Doganat'!$B$3</c:f>
              <c:strCache>
                <c:ptCount val="1"/>
                <c:pt idx="0">
                  <c:v>Realizimi Total</c:v>
                </c:pt>
              </c:strCache>
            </c:strRef>
          </c:tx>
          <c:spPr>
            <a:noFill/>
            <a:ln>
              <a:noFill/>
            </a:ln>
            <a:effectLst/>
          </c:spPr>
          <c:invertIfNegative val="0"/>
          <c:dPt>
            <c:idx val="0"/>
            <c:invertIfNegative val="0"/>
            <c:bubble3D val="0"/>
            <c:spPr>
              <a:solidFill>
                <a:srgbClr val="FF9999"/>
              </a:solidFill>
              <a:ln>
                <a:noFill/>
              </a:ln>
              <a:effectLst/>
            </c:spPr>
          </c:dPt>
          <c:dPt>
            <c:idx val="5"/>
            <c:invertIfNegative val="0"/>
            <c:bubble3D val="0"/>
          </c:dPt>
          <c:dPt>
            <c:idx val="6"/>
            <c:invertIfNegative val="0"/>
            <c:bubble3D val="0"/>
          </c:dPt>
          <c:dPt>
            <c:idx val="10"/>
            <c:invertIfNegative val="0"/>
            <c:bubble3D val="0"/>
            <c:spPr>
              <a:solidFill>
                <a:srgbClr val="FFCCCC"/>
              </a:solidFill>
              <a:ln>
                <a:noFill/>
              </a:ln>
              <a:effectLst/>
            </c:spPr>
          </c:dPt>
          <c:dPt>
            <c:idx val="11"/>
            <c:invertIfNegative val="0"/>
            <c:bubble3D val="0"/>
            <c:spPr>
              <a:solidFill>
                <a:srgbClr val="4F81BD">
                  <a:lumMod val="20000"/>
                  <a:lumOff val="80000"/>
                </a:srgbClr>
              </a:solidFill>
              <a:ln>
                <a:noFill/>
              </a:ln>
              <a:effectLst/>
            </c:spPr>
          </c:dPt>
          <c:dLbls>
            <c:dLbl>
              <c:idx val="0"/>
              <c:layout>
                <c:manualLayout>
                  <c:x val="-3.1621834013388742E-4"/>
                  <c:y val="2.0180875988366673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1621834013388742E-4"/>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464788784377554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'Tatimet+Doganat'!$A$4:$A$15</c:f>
              <c:strCache>
                <c:ptCount val="12"/>
                <c:pt idx="0">
                  <c:v>Fakt 2016</c:v>
                </c:pt>
                <c:pt idx="1">
                  <c:v>TVSH në import </c:v>
                </c:pt>
                <c:pt idx="2">
                  <c:v>TVSH brenda vendit</c:v>
                </c:pt>
                <c:pt idx="3">
                  <c:v>Tatim Fitimi</c:v>
                </c:pt>
                <c:pt idx="4">
                  <c:v>Akciza</c:v>
                </c:pt>
                <c:pt idx="5">
                  <c:v>Tatimi mbi të Ardhurat Personale</c:v>
                </c:pt>
                <c:pt idx="6">
                  <c:v>Taksat Nacionale</c:v>
                </c:pt>
                <c:pt idx="7">
                  <c:v>Renta </c:v>
                </c:pt>
                <c:pt idx="8">
                  <c:v>Taksë Doganore</c:v>
                </c:pt>
                <c:pt idx="9">
                  <c:v>Kontributet e mbledhura nga DPT</c:v>
                </c:pt>
                <c:pt idx="10">
                  <c:v>Fakt 2017</c:v>
                </c:pt>
                <c:pt idx="11">
                  <c:v>Plan 2017</c:v>
                </c:pt>
              </c:strCache>
            </c:strRef>
          </c:cat>
          <c:val>
            <c:numRef>
              <c:f>'Tatimet+Doganat'!$B$4:$B$15</c:f>
              <c:numCache>
                <c:formatCode>_(* #,##0_);_(* \(#,##0\);_(* "-"??_);_(@_)</c:formatCode>
                <c:ptCount val="12"/>
                <c:pt idx="0">
                  <c:v>141483</c:v>
                </c:pt>
                <c:pt idx="1">
                  <c:v>141483</c:v>
                </c:pt>
                <c:pt idx="2">
                  <c:v>143437</c:v>
                </c:pt>
                <c:pt idx="3">
                  <c:v>143871</c:v>
                </c:pt>
                <c:pt idx="4">
                  <c:v>144646</c:v>
                </c:pt>
                <c:pt idx="5">
                  <c:v>145525</c:v>
                </c:pt>
                <c:pt idx="6">
                  <c:v>145525</c:v>
                </c:pt>
                <c:pt idx="7">
                  <c:v>149548</c:v>
                </c:pt>
                <c:pt idx="8">
                  <c:v>149724</c:v>
                </c:pt>
                <c:pt idx="9">
                  <c:v>149893</c:v>
                </c:pt>
                <c:pt idx="10">
                  <c:v>152269</c:v>
                </c:pt>
                <c:pt idx="11">
                  <c:v>141331</c:v>
                </c:pt>
              </c:numCache>
            </c:numRef>
          </c:val>
        </c:ser>
        <c:ser>
          <c:idx val="1"/>
          <c:order val="1"/>
          <c:tx>
            <c:strRef>
              <c:f>'Tatimet+Doganat'!$C$3</c:f>
              <c:strCache>
                <c:ptCount val="1"/>
                <c:pt idx="0">
                  <c:v>Rënie</c:v>
                </c:pt>
              </c:strCache>
            </c:strRef>
          </c:tx>
          <c:spPr>
            <a:solidFill>
              <a:srgbClr val="EB3415"/>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4.3103448275862597E-3"/>
                  <c:y val="-3.5725928995717637E-2"/>
                </c:manualLayout>
              </c:layout>
              <c:tx>
                <c:rich>
                  <a:bodyPr/>
                  <a:lstStyle/>
                  <a:p>
                    <a:r>
                      <a:rPr lang="en-US" sz="1000" dirty="0" smtClean="0"/>
                      <a:t>1,394</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7.1660411795810286E-17"/>
                  <c:y val="-1.4778326269603683E-2"/>
                </c:manualLayout>
              </c:layout>
              <c:tx>
                <c:rich>
                  <a:bodyPr/>
                  <a:lstStyle/>
                  <a:p>
                    <a:r>
                      <a:rPr lang="en-US" sz="1000" dirty="0" smtClean="0"/>
                      <a:t>176</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'Tatimet+Doganat'!$A$4:$A$15</c:f>
              <c:strCache>
                <c:ptCount val="12"/>
                <c:pt idx="0">
                  <c:v>Fakt 2016</c:v>
                </c:pt>
                <c:pt idx="1">
                  <c:v>TVSH në import </c:v>
                </c:pt>
                <c:pt idx="2">
                  <c:v>TVSH brenda vendit</c:v>
                </c:pt>
                <c:pt idx="3">
                  <c:v>Tatim Fitimi</c:v>
                </c:pt>
                <c:pt idx="4">
                  <c:v>Akciza</c:v>
                </c:pt>
                <c:pt idx="5">
                  <c:v>Tatimi mbi të Ardhurat Personale</c:v>
                </c:pt>
                <c:pt idx="6">
                  <c:v>Taksat Nacionale</c:v>
                </c:pt>
                <c:pt idx="7">
                  <c:v>Renta </c:v>
                </c:pt>
                <c:pt idx="8">
                  <c:v>Taksë Doganore</c:v>
                </c:pt>
                <c:pt idx="9">
                  <c:v>Kontributet e mbledhura nga DPT</c:v>
                </c:pt>
                <c:pt idx="10">
                  <c:v>Fakt 2017</c:v>
                </c:pt>
                <c:pt idx="11">
                  <c:v>Plan 2017</c:v>
                </c:pt>
              </c:strCache>
            </c:strRef>
          </c:cat>
          <c:val>
            <c:numRef>
              <c:f>'Tatimet+Doganat'!$C$4:$C$15</c:f>
              <c:numCache>
                <c:formatCode>_(* #,##0_);_(* \(#,##0\);_(* "-"??_);_(@_)</c:formatCode>
                <c:ptCount val="12"/>
                <c:pt idx="0">
                  <c:v>0</c:v>
                </c:pt>
                <c:pt idx="1">
                  <c:v>0</c:v>
                </c:pt>
                <c:pt idx="2">
                  <c:v>0</c:v>
                </c:pt>
                <c:pt idx="3">
                  <c:v>0</c:v>
                </c:pt>
                <c:pt idx="4">
                  <c:v>0</c:v>
                </c:pt>
                <c:pt idx="5">
                  <c:v>515</c:v>
                </c:pt>
                <c:pt idx="6">
                  <c:v>0</c:v>
                </c:pt>
                <c:pt idx="7">
                  <c:v>0</c:v>
                </c:pt>
                <c:pt idx="8">
                  <c:v>0</c:v>
                </c:pt>
                <c:pt idx="9">
                  <c:v>0</c:v>
                </c:pt>
              </c:numCache>
            </c:numRef>
          </c:val>
        </c:ser>
        <c:ser>
          <c:idx val="2"/>
          <c:order val="2"/>
          <c:tx>
            <c:strRef>
              <c:f>'Tatimet+Doganat'!$D$3</c:f>
              <c:strCache>
                <c:ptCount val="1"/>
                <c:pt idx="0">
                  <c:v>Rritje</c:v>
                </c:pt>
              </c:strCache>
            </c:strRef>
          </c:tx>
          <c:spPr>
            <a:solidFill>
              <a:srgbClr val="2E75B6"/>
            </a:solidFill>
            <a:ln>
              <a:noFill/>
            </a:ln>
            <a:effectLst/>
          </c:spPr>
          <c:invertIfNegative val="0"/>
          <c:dPt>
            <c:idx val="0"/>
            <c:invertIfNegative val="0"/>
            <c:bubble3D val="0"/>
            <c:spPr>
              <a:solidFill>
                <a:schemeClr val="bg2">
                  <a:lumMod val="50000"/>
                </a:schemeClr>
              </a:solidFill>
              <a:ln>
                <a:noFill/>
              </a:ln>
              <a:effectLst/>
            </c:spPr>
          </c:dPt>
          <c:dLbls>
            <c:dLbl>
              <c:idx val="0"/>
              <c:delete val="1"/>
              <c:extLst>
                <c:ext xmlns:c15="http://schemas.microsoft.com/office/drawing/2012/chart" uri="{CE6537A1-D6FC-4f65-9D91-7224C49458BB}"/>
              </c:extLst>
            </c:dLbl>
            <c:dLbl>
              <c:idx val="1"/>
              <c:layout>
                <c:manualLayout>
                  <c:x val="1.4659017968146992E-3"/>
                  <c:y val="-3.23232323232323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5.3749111635548105E-17"/>
                  <c:y val="-3.030303030303030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636363636363636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
                  <c:y val="-2.9556652539207365E-2"/>
                </c:manualLayout>
              </c:layout>
              <c:tx>
                <c:rich>
                  <a:bodyPr/>
                  <a:lstStyle/>
                  <a:p>
                    <a:r>
                      <a:rPr lang="en-US" sz="1000" dirty="0" smtClean="0"/>
                      <a:t>515</a:t>
                    </a:r>
                    <a:endParaRPr lang="en-US" dirty="0"/>
                  </a:p>
                </c:rich>
              </c:tx>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8735632183908046E-3"/>
                  <c:y val="-3.742333195192706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
                  <c:y val="-1.330049364264331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1.954397444263701E-3"/>
                  <c:y val="-2.0689656777445154E-2"/>
                </c:manualLayout>
              </c:layout>
              <c:dLblPos val="ctr"/>
              <c:showLegendKey val="0"/>
              <c:showVal val="1"/>
              <c:showCatName val="0"/>
              <c:showSerName val="0"/>
              <c:showPercent val="0"/>
              <c:showBubbleSize val="0"/>
              <c:extLst>
                <c:ext xmlns:c15="http://schemas.microsoft.com/office/drawing/2012/chart" uri="{CE6537A1-D6FC-4f65-9D91-7224C49458BB}"/>
              </c:extLst>
            </c:dLbl>
            <c:numFmt formatCode="#,##0" sourceLinked="0"/>
            <c:spPr>
              <a:no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'Tatimet+Doganat'!$A$4:$A$15</c:f>
              <c:strCache>
                <c:ptCount val="12"/>
                <c:pt idx="0">
                  <c:v>Fakt 2016</c:v>
                </c:pt>
                <c:pt idx="1">
                  <c:v>TVSH në import </c:v>
                </c:pt>
                <c:pt idx="2">
                  <c:v>TVSH brenda vendit</c:v>
                </c:pt>
                <c:pt idx="3">
                  <c:v>Tatim Fitimi</c:v>
                </c:pt>
                <c:pt idx="4">
                  <c:v>Akciza</c:v>
                </c:pt>
                <c:pt idx="5">
                  <c:v>Tatimi mbi të Ardhurat Personale</c:v>
                </c:pt>
                <c:pt idx="6">
                  <c:v>Taksat Nacionale</c:v>
                </c:pt>
                <c:pt idx="7">
                  <c:v>Renta </c:v>
                </c:pt>
                <c:pt idx="8">
                  <c:v>Taksë Doganore</c:v>
                </c:pt>
                <c:pt idx="9">
                  <c:v>Kontributet e mbledhura nga DPT</c:v>
                </c:pt>
                <c:pt idx="10">
                  <c:v>Fakt 2017</c:v>
                </c:pt>
                <c:pt idx="11">
                  <c:v>Plan 2017</c:v>
                </c:pt>
              </c:strCache>
            </c:strRef>
          </c:cat>
          <c:val>
            <c:numRef>
              <c:f>'Tatimet+Doganat'!$D$4:$D$15</c:f>
              <c:numCache>
                <c:formatCode>_(* #,##0_);_(* \(#,##0\);_(* "-"??_);_(@_)</c:formatCode>
                <c:ptCount val="12"/>
                <c:pt idx="1">
                  <c:v>1954</c:v>
                </c:pt>
                <c:pt idx="2">
                  <c:v>434</c:v>
                </c:pt>
                <c:pt idx="3">
                  <c:v>775</c:v>
                </c:pt>
                <c:pt idx="4">
                  <c:v>1394</c:v>
                </c:pt>
                <c:pt idx="5">
                  <c:v>0</c:v>
                </c:pt>
                <c:pt idx="6">
                  <c:v>4023</c:v>
                </c:pt>
                <c:pt idx="7">
                  <c:v>176</c:v>
                </c:pt>
                <c:pt idx="8">
                  <c:v>169</c:v>
                </c:pt>
                <c:pt idx="9">
                  <c:v>2376</c:v>
                </c:pt>
              </c:numCache>
            </c:numRef>
          </c:val>
        </c:ser>
        <c:dLbls>
          <c:showLegendKey val="0"/>
          <c:showVal val="0"/>
          <c:showCatName val="0"/>
          <c:showSerName val="0"/>
          <c:showPercent val="0"/>
          <c:showBubbleSize val="0"/>
        </c:dLbls>
        <c:gapWidth val="15"/>
        <c:overlap val="100"/>
        <c:axId val="-327969696"/>
        <c:axId val="-327953376"/>
      </c:barChart>
      <c:catAx>
        <c:axId val="-3279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27953376"/>
        <c:crossesAt val="50"/>
        <c:auto val="1"/>
        <c:lblAlgn val="ctr"/>
        <c:lblOffset val="100"/>
        <c:noMultiLvlLbl val="0"/>
      </c:catAx>
      <c:valAx>
        <c:axId val="-327953376"/>
        <c:scaling>
          <c:orientation val="minMax"/>
          <c:max val="160000"/>
          <c:min val="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327969696"/>
        <c:crosses val="autoZero"/>
        <c:crossBetween val="between"/>
        <c:majorUnit val="10000"/>
        <c:minorUnit val="100"/>
      </c:valAx>
      <c:spPr>
        <a:noFill/>
        <a:ln w="25400">
          <a:noFill/>
        </a:ln>
      </c:spPr>
    </c:plotArea>
    <c:legend>
      <c:legendPos val="t"/>
      <c:legendEntry>
        <c:idx val="0"/>
        <c:delete val="1"/>
      </c:legendEntry>
      <c:layout>
        <c:manualLayout>
          <c:xMode val="edge"/>
          <c:yMode val="edge"/>
          <c:x val="0.42711159232030166"/>
          <c:y val="3.2384516365758072E-2"/>
          <c:w val="0.14399172446494296"/>
          <c:h val="3.8221659770697823E-2"/>
        </c:manualLayout>
      </c:layout>
      <c:overlay val="0"/>
    </c:legend>
    <c:plotVisOnly val="1"/>
    <c:dispBlanksAs val="gap"/>
    <c:showDLblsOverMax val="0"/>
  </c:chart>
  <c:spPr>
    <a:noFill/>
    <a:ln w="9525" cap="flat" cmpd="sng" algn="ctr">
      <a:solidFill>
        <a:sysClr val="window" lastClr="FFFFFF">
          <a:lumMod val="50000"/>
        </a:sysClr>
      </a:solidFill>
      <a:round/>
    </a:ln>
    <a:effectLst/>
  </c:spPr>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3.8139955582475266E-2"/>
          <c:y val="4.8081441276151167E-2"/>
          <c:w val="0.95299145299145294"/>
          <c:h val="0.60905997861378447"/>
        </c:manualLayout>
      </c:layout>
      <c:lineChart>
        <c:grouping val="standard"/>
        <c:varyColors val="0"/>
        <c:ser>
          <c:idx val="0"/>
          <c:order val="0"/>
          <c:tx>
            <c:strRef>
              <c:f>Sheet1!$B$1</c:f>
              <c:strCache>
                <c:ptCount val="1"/>
                <c:pt idx="0">
                  <c:v>Realizimi 2016</c:v>
                </c:pt>
              </c:strCache>
            </c:strRef>
          </c:tx>
          <c:spPr>
            <a:ln w="22225">
              <a:solidFill>
                <a:schemeClr val="accent2"/>
              </a:solidFill>
            </a:ln>
            <a:effectLst>
              <a:glow rad="139700">
                <a:schemeClr val="bg1">
                  <a:alpha val="14000"/>
                </a:schemeClr>
              </a:glow>
            </a:effectLst>
          </c:spPr>
          <c:marker>
            <c:symbol val="none"/>
          </c:marker>
          <c:cat>
            <c:strRef>
              <c:f>Sheet1!$A$2:$A$13</c:f>
              <c:strCache>
                <c:ptCount val="12"/>
                <c:pt idx="0">
                  <c:v>Janar</c:v>
                </c:pt>
                <c:pt idx="1">
                  <c:v>Shkurt</c:v>
                </c:pt>
                <c:pt idx="2">
                  <c:v>Mars</c:v>
                </c:pt>
                <c:pt idx="3">
                  <c:v>Prill</c:v>
                </c:pt>
                <c:pt idx="4">
                  <c:v>Maj</c:v>
                </c:pt>
                <c:pt idx="5">
                  <c:v>Qershor</c:v>
                </c:pt>
                <c:pt idx="6">
                  <c:v>Korrik</c:v>
                </c:pt>
                <c:pt idx="7">
                  <c:v>Gusht</c:v>
                </c:pt>
                <c:pt idx="8">
                  <c:v>Shtator</c:v>
                </c:pt>
                <c:pt idx="9">
                  <c:v>Tetor</c:v>
                </c:pt>
                <c:pt idx="10">
                  <c:v>Nëntor</c:v>
                </c:pt>
                <c:pt idx="11">
                  <c:v>Dhjetor</c:v>
                </c:pt>
              </c:strCache>
            </c:strRef>
          </c:cat>
          <c:val>
            <c:numRef>
              <c:f>Sheet1!$B$2:$B$13</c:f>
              <c:numCache>
                <c:formatCode>#,##0</c:formatCode>
                <c:ptCount val="12"/>
                <c:pt idx="0">
                  <c:v>19043</c:v>
                </c:pt>
                <c:pt idx="1">
                  <c:v>14813</c:v>
                </c:pt>
                <c:pt idx="2">
                  <c:v>19236</c:v>
                </c:pt>
                <c:pt idx="3">
                  <c:v>17075</c:v>
                </c:pt>
                <c:pt idx="4">
                  <c:v>15370</c:v>
                </c:pt>
                <c:pt idx="5">
                  <c:v>15542</c:v>
                </c:pt>
                <c:pt idx="6">
                  <c:v>17479</c:v>
                </c:pt>
                <c:pt idx="7" formatCode="_(* #,##0_);_(* \(#,##0\);_(* &quot;-&quot;??_);_(@_)">
                  <c:v>15910</c:v>
                </c:pt>
                <c:pt idx="8">
                  <c:v>16009</c:v>
                </c:pt>
                <c:pt idx="9">
                  <c:v>17337</c:v>
                </c:pt>
                <c:pt idx="10">
                  <c:v>16073</c:v>
                </c:pt>
                <c:pt idx="11">
                  <c:v>17388</c:v>
                </c:pt>
              </c:numCache>
            </c:numRef>
          </c:val>
          <c:smooth val="0"/>
        </c:ser>
        <c:ser>
          <c:idx val="1"/>
          <c:order val="1"/>
          <c:tx>
            <c:strRef>
              <c:f>Sheet1!$C$1</c:f>
              <c:strCache>
                <c:ptCount val="1"/>
                <c:pt idx="0">
                  <c:v>Realizimi 2017</c:v>
                </c:pt>
              </c:strCache>
            </c:strRef>
          </c:tx>
          <c:spPr>
            <a:ln w="22225">
              <a:solidFill>
                <a:srgbClr val="00B050"/>
              </a:solidFill>
            </a:ln>
            <a:effectLst>
              <a:glow rad="139700">
                <a:schemeClr val="bg1">
                  <a:alpha val="14000"/>
                </a:schemeClr>
              </a:glow>
            </a:effectLst>
          </c:spPr>
          <c:marker>
            <c:symbol val="none"/>
          </c:marker>
          <c:dLbls>
            <c:dLbl>
              <c:idx val="0"/>
              <c:layout>
                <c:manualLayout>
                  <c:x val="-4.8290732889158083E-2"/>
                  <c:y val="-3.5714394923935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3419099535634968E-2"/>
                  <c:y val="-8.33330785108172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5384453866343626E-2"/>
                  <c:y val="-5.461152307417883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461538461538422E-2"/>
                  <c:y val="-5.357142857142856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641106400161517E-2"/>
                  <c:y val="-4.76191932319139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Janar</c:v>
                </c:pt>
                <c:pt idx="1">
                  <c:v>Shkurt</c:v>
                </c:pt>
                <c:pt idx="2">
                  <c:v>Mars</c:v>
                </c:pt>
                <c:pt idx="3">
                  <c:v>Prill</c:v>
                </c:pt>
                <c:pt idx="4">
                  <c:v>Maj</c:v>
                </c:pt>
                <c:pt idx="5">
                  <c:v>Qershor</c:v>
                </c:pt>
                <c:pt idx="6">
                  <c:v>Korrik</c:v>
                </c:pt>
                <c:pt idx="7">
                  <c:v>Gusht</c:v>
                </c:pt>
                <c:pt idx="8">
                  <c:v>Shtator</c:v>
                </c:pt>
                <c:pt idx="9">
                  <c:v>Tetor</c:v>
                </c:pt>
                <c:pt idx="10">
                  <c:v>Nëntor</c:v>
                </c:pt>
                <c:pt idx="11">
                  <c:v>Dhjetor</c:v>
                </c:pt>
              </c:strCache>
            </c:strRef>
          </c:cat>
          <c:val>
            <c:numRef>
              <c:f>Sheet1!$C$2:$C$13</c:f>
              <c:numCache>
                <c:formatCode>#,##0</c:formatCode>
                <c:ptCount val="12"/>
                <c:pt idx="0">
                  <c:v>20417</c:v>
                </c:pt>
                <c:pt idx="1">
                  <c:v>15943</c:v>
                </c:pt>
                <c:pt idx="2">
                  <c:v>19982</c:v>
                </c:pt>
                <c:pt idx="3">
                  <c:v>18316</c:v>
                </c:pt>
                <c:pt idx="4">
                  <c:v>18253</c:v>
                </c:pt>
              </c:numCache>
            </c:numRef>
          </c:val>
          <c:smooth val="0"/>
        </c:ser>
        <c:ser>
          <c:idx val="2"/>
          <c:order val="2"/>
          <c:tx>
            <c:strRef>
              <c:f>Sheet1!$D$1</c:f>
              <c:strCache>
                <c:ptCount val="1"/>
                <c:pt idx="0">
                  <c:v>Plan 2017</c:v>
                </c:pt>
              </c:strCache>
            </c:strRef>
          </c:tx>
          <c:spPr>
            <a:ln w="22225">
              <a:solidFill>
                <a:schemeClr val="accent1"/>
              </a:solidFill>
            </a:ln>
            <a:effectLst>
              <a:glow rad="139700">
                <a:schemeClr val="bg1">
                  <a:alpha val="14000"/>
                </a:schemeClr>
              </a:glow>
            </a:effectLst>
          </c:spPr>
          <c:marker>
            <c:symbol val="none"/>
          </c:marker>
          <c:dPt>
            <c:idx val="2"/>
            <c:bubble3D val="0"/>
          </c:dPt>
          <c:cat>
            <c:strRef>
              <c:f>Sheet1!$A$2:$A$13</c:f>
              <c:strCache>
                <c:ptCount val="12"/>
                <c:pt idx="0">
                  <c:v>Janar</c:v>
                </c:pt>
                <c:pt idx="1">
                  <c:v>Shkurt</c:v>
                </c:pt>
                <c:pt idx="2">
                  <c:v>Mars</c:v>
                </c:pt>
                <c:pt idx="3">
                  <c:v>Prill</c:v>
                </c:pt>
                <c:pt idx="4">
                  <c:v>Maj</c:v>
                </c:pt>
                <c:pt idx="5">
                  <c:v>Qershor</c:v>
                </c:pt>
                <c:pt idx="6">
                  <c:v>Korrik</c:v>
                </c:pt>
                <c:pt idx="7">
                  <c:v>Gusht</c:v>
                </c:pt>
                <c:pt idx="8">
                  <c:v>Shtator</c:v>
                </c:pt>
                <c:pt idx="9">
                  <c:v>Tetor</c:v>
                </c:pt>
                <c:pt idx="10">
                  <c:v>Nëntor</c:v>
                </c:pt>
                <c:pt idx="11">
                  <c:v>Dhjetor</c:v>
                </c:pt>
              </c:strCache>
            </c:strRef>
          </c:cat>
          <c:val>
            <c:numRef>
              <c:f>Sheet1!$D$2:$D$13</c:f>
              <c:numCache>
                <c:formatCode>#,##0</c:formatCode>
                <c:ptCount val="12"/>
                <c:pt idx="0">
                  <c:v>18747.283405227499</c:v>
                </c:pt>
                <c:pt idx="1">
                  <c:v>15609.424009211441</c:v>
                </c:pt>
                <c:pt idx="2">
                  <c:v>18223.937445965796</c:v>
                </c:pt>
                <c:pt idx="3">
                  <c:v>17786</c:v>
                </c:pt>
                <c:pt idx="4">
                  <c:v>16055.228898255948</c:v>
                </c:pt>
                <c:pt idx="5">
                  <c:v>16668.919914356276</c:v>
                </c:pt>
                <c:pt idx="6">
                  <c:v>18899.838507037319</c:v>
                </c:pt>
                <c:pt idx="7">
                  <c:v>16946.187004296633</c:v>
                </c:pt>
                <c:pt idx="8">
                  <c:v>19449.32145129882</c:v>
                </c:pt>
                <c:pt idx="9">
                  <c:v>21111.298733182466</c:v>
                </c:pt>
                <c:pt idx="10">
                  <c:v>19605.025912432284</c:v>
                </c:pt>
                <c:pt idx="11">
                  <c:v>21830.937520740517</c:v>
                </c:pt>
              </c:numCache>
            </c:numRef>
          </c:val>
          <c:smooth val="0"/>
        </c:ser>
        <c:dLbls>
          <c:showLegendKey val="0"/>
          <c:showVal val="0"/>
          <c:showCatName val="0"/>
          <c:showSerName val="0"/>
          <c:showPercent val="0"/>
          <c:showBubbleSize val="0"/>
        </c:dLbls>
        <c:smooth val="0"/>
        <c:axId val="-327959904"/>
        <c:axId val="-327968064"/>
      </c:lineChart>
      <c:catAx>
        <c:axId val="-327959904"/>
        <c:scaling>
          <c:orientation val="minMax"/>
        </c:scaling>
        <c:delete val="0"/>
        <c:axPos val="b"/>
        <c:numFmt formatCode="General" sourceLinked="0"/>
        <c:majorTickMark val="none"/>
        <c:minorTickMark val="none"/>
        <c:tickLblPos val="nextTo"/>
        <c:crossAx val="-327968064"/>
        <c:crosses val="autoZero"/>
        <c:auto val="1"/>
        <c:lblAlgn val="ctr"/>
        <c:lblOffset val="100"/>
        <c:noMultiLvlLbl val="0"/>
      </c:catAx>
      <c:valAx>
        <c:axId val="-327968064"/>
        <c:scaling>
          <c:orientation val="minMax"/>
        </c:scaling>
        <c:delete val="1"/>
        <c:axPos val="l"/>
        <c:numFmt formatCode="#,##0" sourceLinked="1"/>
        <c:majorTickMark val="none"/>
        <c:minorTickMark val="none"/>
        <c:tickLblPos val="nextTo"/>
        <c:crossAx val="-327959904"/>
        <c:crosses val="autoZero"/>
        <c:crossBetween val="between"/>
      </c:valAx>
    </c:plotArea>
    <c:legend>
      <c:legendPos val="b"/>
      <c:layout>
        <c:manualLayout>
          <c:xMode val="edge"/>
          <c:yMode val="edge"/>
          <c:x val="0.11037207032538018"/>
          <c:y val="0.89061922815203654"/>
          <c:w val="0.79396277003836058"/>
          <c:h val="0.10204670012103409"/>
        </c:manualLayout>
      </c:layout>
      <c:overlay val="0"/>
    </c:legend>
    <c:plotVisOnly val="1"/>
    <c:dispBlanksAs val="gap"/>
    <c:showDLblsOverMax val="0"/>
  </c:chart>
  <c:spPr>
    <a:solidFill>
      <a:schemeClr val="bg1"/>
    </a:solidFill>
    <a:ln>
      <a:noFill/>
    </a:ln>
  </c:spPr>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
          <c:y val="6.5410791674296613E-3"/>
          <c:w val="1"/>
          <c:h val="0.73701321491790284"/>
        </c:manualLayout>
      </c:layout>
      <c:bar3DChart>
        <c:barDir val="col"/>
        <c:grouping val="clustered"/>
        <c:varyColors val="0"/>
        <c:ser>
          <c:idx val="0"/>
          <c:order val="0"/>
          <c:invertIfNegative val="0"/>
          <c:dPt>
            <c:idx val="1"/>
            <c:invertIfNegative val="0"/>
            <c:bubble3D val="0"/>
            <c:spPr>
              <a:solidFill>
                <a:srgbClr val="C00000"/>
              </a:solidFill>
            </c:spPr>
          </c:dPt>
          <c:dPt>
            <c:idx val="2"/>
            <c:invertIfNegative val="0"/>
            <c:bubble3D val="0"/>
            <c:spPr>
              <a:solidFill>
                <a:srgbClr val="92D050"/>
              </a:solidFill>
            </c:spPr>
          </c:dPt>
          <c:dLbls>
            <c:dLbl>
              <c:idx val="0"/>
              <c:layout>
                <c:manualLayout>
                  <c:x val="8.3333333333333332E-3"/>
                  <c:y val="0.1203703703703703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0.23611111111111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Sheet5!$D$34:$D$36</c:f>
              <c:strCache>
                <c:ptCount val="3"/>
                <c:pt idx="0">
                  <c:v>Fakt 5 M - 2016</c:v>
                </c:pt>
                <c:pt idx="1">
                  <c:v>Plan 5 M - 2017</c:v>
                </c:pt>
                <c:pt idx="2">
                  <c:v>Fakt 5 M - 2017</c:v>
                </c:pt>
              </c:strCache>
            </c:strRef>
          </c:cat>
          <c:val>
            <c:numRef>
              <c:f>Sheet5!$E$34:$E$36</c:f>
              <c:numCache>
                <c:formatCode>_(* #,##0_);_(* \(#,##0\);_(* "-"??_);_(@_)</c:formatCode>
                <c:ptCount val="3"/>
                <c:pt idx="0">
                  <c:v>85818</c:v>
                </c:pt>
                <c:pt idx="1">
                  <c:v>86421</c:v>
                </c:pt>
                <c:pt idx="2">
                  <c:v>92911</c:v>
                </c:pt>
              </c:numCache>
            </c:numRef>
          </c:val>
        </c:ser>
        <c:dLbls>
          <c:showLegendKey val="0"/>
          <c:showVal val="1"/>
          <c:showCatName val="0"/>
          <c:showSerName val="0"/>
          <c:showPercent val="0"/>
          <c:showBubbleSize val="0"/>
        </c:dLbls>
        <c:gapWidth val="75"/>
        <c:shape val="box"/>
        <c:axId val="-327965888"/>
        <c:axId val="-327964800"/>
        <c:axId val="0"/>
      </c:bar3DChart>
      <c:catAx>
        <c:axId val="-327965888"/>
        <c:scaling>
          <c:orientation val="minMax"/>
        </c:scaling>
        <c:delete val="0"/>
        <c:axPos val="b"/>
        <c:numFmt formatCode="General" sourceLinked="0"/>
        <c:majorTickMark val="none"/>
        <c:minorTickMark val="none"/>
        <c:tickLblPos val="nextTo"/>
        <c:txPr>
          <a:bodyPr/>
          <a:lstStyle/>
          <a:p>
            <a:pPr>
              <a:defRPr sz="800" b="1">
                <a:solidFill>
                  <a:sysClr val="windowText" lastClr="000000"/>
                </a:solidFill>
              </a:defRPr>
            </a:pPr>
            <a:endParaRPr lang="en-US"/>
          </a:p>
        </c:txPr>
        <c:crossAx val="-327964800"/>
        <c:crosses val="autoZero"/>
        <c:auto val="1"/>
        <c:lblAlgn val="ctr"/>
        <c:lblOffset val="100"/>
        <c:noMultiLvlLbl val="0"/>
      </c:catAx>
      <c:valAx>
        <c:axId val="-327964800"/>
        <c:scaling>
          <c:orientation val="minMax"/>
        </c:scaling>
        <c:delete val="1"/>
        <c:axPos val="l"/>
        <c:numFmt formatCode="_(* #,##0_);_(* \(#,##0\);_(* &quot;-&quot;??_);_(@_)" sourceLinked="1"/>
        <c:majorTickMark val="none"/>
        <c:minorTickMark val="none"/>
        <c:tickLblPos val="nextTo"/>
        <c:crossAx val="-327965888"/>
        <c:crosses val="autoZero"/>
        <c:crossBetween val="between"/>
      </c:valAx>
    </c:plotArea>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801980198019802E-2"/>
          <c:y val="0.14230304203777808"/>
          <c:w val="0.96039603960396036"/>
          <c:h val="0.73670480845066777"/>
        </c:manualLayout>
      </c:layout>
      <c:lineChart>
        <c:grouping val="standard"/>
        <c:varyColors val="0"/>
        <c:ser>
          <c:idx val="0"/>
          <c:order val="0"/>
          <c:tx>
            <c:strRef>
              <c:f>'Taksat grafiket'!$B$1</c:f>
              <c:strCache>
                <c:ptCount val="1"/>
                <c:pt idx="0">
                  <c:v>TVSH Bruto</c:v>
                </c:pt>
              </c:strCache>
            </c:strRef>
          </c:tx>
          <c:dLbls>
            <c:dLbl>
              <c:idx val="0"/>
              <c:layout>
                <c:manualLayout>
                  <c:x val="-2.2296544035674472E-2"/>
                  <c:y val="-5.72245979859344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985507246376854E-2"/>
                  <c:y val="-5.34096247868721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674470457079152E-2"/>
                  <c:y val="-4.959465158780986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2229598223299005E-2"/>
                  <c:y val="-8.766459166426186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2586553603876442E-2"/>
                  <c:y val="-4.44814555248656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26096143687269E-2"/>
                  <c:y val="-7.88177339901477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grafiket'!$A$2:$A$7</c:f>
              <c:numCache>
                <c:formatCode>General</c:formatCode>
                <c:ptCount val="6"/>
                <c:pt idx="0">
                  <c:v>2012</c:v>
                </c:pt>
                <c:pt idx="1">
                  <c:v>2013</c:v>
                </c:pt>
                <c:pt idx="2">
                  <c:v>2014</c:v>
                </c:pt>
                <c:pt idx="3">
                  <c:v>2015</c:v>
                </c:pt>
                <c:pt idx="4">
                  <c:v>2016</c:v>
                </c:pt>
                <c:pt idx="5">
                  <c:v>2017</c:v>
                </c:pt>
              </c:numCache>
            </c:numRef>
          </c:cat>
          <c:val>
            <c:numRef>
              <c:f>'Taksat grafiket'!$B$2:$B$7</c:f>
              <c:numCache>
                <c:formatCode>_(* #,##0_);_(* \(#,##0\);_(* "-"??_);_(@_)</c:formatCode>
                <c:ptCount val="6"/>
                <c:pt idx="0">
                  <c:v>12635</c:v>
                </c:pt>
                <c:pt idx="1">
                  <c:v>12991</c:v>
                </c:pt>
                <c:pt idx="2">
                  <c:v>14389</c:v>
                </c:pt>
                <c:pt idx="3">
                  <c:v>14738</c:v>
                </c:pt>
                <c:pt idx="4">
                  <c:v>17290</c:v>
                </c:pt>
                <c:pt idx="5">
                  <c:v>19602</c:v>
                </c:pt>
              </c:numCache>
            </c:numRef>
          </c:val>
          <c:smooth val="0"/>
        </c:ser>
        <c:ser>
          <c:idx val="1"/>
          <c:order val="1"/>
          <c:tx>
            <c:strRef>
              <c:f>'Taksat grafiket'!$C$1</c:f>
              <c:strCache>
                <c:ptCount val="1"/>
                <c:pt idx="0">
                  <c:v>TVSH Neto</c:v>
                </c:pt>
              </c:strCache>
            </c:strRef>
          </c:tx>
          <c:dLbls>
            <c:dLbl>
              <c:idx val="0"/>
              <c:layout>
                <c:manualLayout>
                  <c:x val="-3.121516164994426E-2"/>
                  <c:y val="4.95946515878097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094991493733648E-2"/>
                  <c:y val="6.166918790323623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215210618482515E-2"/>
                  <c:y val="6.82373324024152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445058670360343E-2"/>
                  <c:y val="6.54838834800822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794371088229356E-2"/>
                  <c:y val="9.405614874056973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695721077654518E-2"/>
                  <c:y val="9.85221674876847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grafiket'!$A$2:$A$7</c:f>
              <c:numCache>
                <c:formatCode>General</c:formatCode>
                <c:ptCount val="6"/>
                <c:pt idx="0">
                  <c:v>2012</c:v>
                </c:pt>
                <c:pt idx="1">
                  <c:v>2013</c:v>
                </c:pt>
                <c:pt idx="2">
                  <c:v>2014</c:v>
                </c:pt>
                <c:pt idx="3">
                  <c:v>2015</c:v>
                </c:pt>
                <c:pt idx="4">
                  <c:v>2016</c:v>
                </c:pt>
                <c:pt idx="5">
                  <c:v>2017</c:v>
                </c:pt>
              </c:numCache>
            </c:numRef>
          </c:cat>
          <c:val>
            <c:numRef>
              <c:f>'Taksat grafiket'!$C$2:$C$7</c:f>
              <c:numCache>
                <c:formatCode>_(* #,##0_);_(* \(#,##0\);_(* "-"??_);_(@_)</c:formatCode>
                <c:ptCount val="6"/>
                <c:pt idx="0">
                  <c:v>10038</c:v>
                </c:pt>
                <c:pt idx="1">
                  <c:v>9478</c:v>
                </c:pt>
                <c:pt idx="2">
                  <c:v>12177</c:v>
                </c:pt>
                <c:pt idx="3">
                  <c:v>11868</c:v>
                </c:pt>
                <c:pt idx="4">
                  <c:v>14286</c:v>
                </c:pt>
                <c:pt idx="5">
                  <c:v>14720</c:v>
                </c:pt>
              </c:numCache>
            </c:numRef>
          </c:val>
          <c:smooth val="0"/>
        </c:ser>
        <c:dLbls>
          <c:showLegendKey val="0"/>
          <c:showVal val="1"/>
          <c:showCatName val="0"/>
          <c:showSerName val="0"/>
          <c:showPercent val="0"/>
          <c:showBubbleSize val="0"/>
        </c:dLbls>
        <c:marker val="1"/>
        <c:smooth val="0"/>
        <c:axId val="-331337504"/>
        <c:axId val="-331358720"/>
      </c:lineChart>
      <c:catAx>
        <c:axId val="-331337504"/>
        <c:scaling>
          <c:orientation val="minMax"/>
        </c:scaling>
        <c:delete val="0"/>
        <c:axPos val="b"/>
        <c:numFmt formatCode="General" sourceLinked="1"/>
        <c:majorTickMark val="none"/>
        <c:minorTickMark val="none"/>
        <c:tickLblPos val="nextTo"/>
        <c:txPr>
          <a:bodyPr/>
          <a:lstStyle/>
          <a:p>
            <a:pPr>
              <a:defRPr b="1"/>
            </a:pPr>
            <a:endParaRPr lang="en-US"/>
          </a:p>
        </c:txPr>
        <c:crossAx val="-331358720"/>
        <c:crosses val="autoZero"/>
        <c:auto val="1"/>
        <c:lblAlgn val="ctr"/>
        <c:lblOffset val="100"/>
        <c:noMultiLvlLbl val="0"/>
      </c:catAx>
      <c:valAx>
        <c:axId val="-331358720"/>
        <c:scaling>
          <c:orientation val="minMax"/>
        </c:scaling>
        <c:delete val="1"/>
        <c:axPos val="l"/>
        <c:numFmt formatCode="_(* #,##0_);_(* \(#,##0\);_(* &quot;-&quot;??_);_(@_)" sourceLinked="1"/>
        <c:majorTickMark val="out"/>
        <c:minorTickMark val="none"/>
        <c:tickLblPos val="nextTo"/>
        <c:crossAx val="-331337504"/>
        <c:crosses val="autoZero"/>
        <c:crossBetween val="between"/>
      </c:valAx>
    </c:plotArea>
    <c:legend>
      <c:legendPos val="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3770874794496841E-2"/>
          <c:y val="3.483789878377881E-3"/>
          <c:w val="0.95245813074014052"/>
          <c:h val="0.88849112170837796"/>
        </c:manualLayout>
      </c:layout>
      <c:bar3DChart>
        <c:barDir val="col"/>
        <c:grouping val="clustered"/>
        <c:varyColors val="0"/>
        <c:ser>
          <c:idx val="0"/>
          <c:order val="0"/>
          <c:tx>
            <c:strRef>
              <c:f>'Taksat grafiket'!$B$16</c:f>
              <c:strCache>
                <c:ptCount val="1"/>
                <c:pt idx="0">
                  <c:v>Rimbursim i TVSH</c:v>
                </c:pt>
              </c:strCache>
            </c:strRef>
          </c:tx>
          <c:spPr>
            <a:solidFill>
              <a:schemeClr val="accent2">
                <a:lumMod val="75000"/>
              </a:schemeClr>
            </a:solidFill>
          </c:spPr>
          <c:invertIfNegative val="0"/>
          <c:dPt>
            <c:idx val="0"/>
            <c:invertIfNegative val="0"/>
            <c:bubble3D val="0"/>
            <c:spPr>
              <a:solidFill>
                <a:schemeClr val="accent2">
                  <a:lumMod val="40000"/>
                  <a:lumOff val="60000"/>
                </a:schemeClr>
              </a:solidFill>
            </c:spPr>
          </c:dPt>
          <c:dPt>
            <c:idx val="1"/>
            <c:invertIfNegative val="0"/>
            <c:bubble3D val="0"/>
            <c:spPr>
              <a:solidFill>
                <a:schemeClr val="accent2">
                  <a:lumMod val="60000"/>
                  <a:lumOff val="40000"/>
                </a:schemeClr>
              </a:solidFill>
            </c:spPr>
          </c:dPt>
          <c:dPt>
            <c:idx val="2"/>
            <c:invertIfNegative val="0"/>
            <c:bubble3D val="0"/>
            <c:spPr>
              <a:solidFill>
                <a:schemeClr val="accent2">
                  <a:lumMod val="40000"/>
                  <a:lumOff val="60000"/>
                </a:schemeClr>
              </a:solidFill>
            </c:spPr>
          </c:dPt>
          <c:dPt>
            <c:idx val="3"/>
            <c:invertIfNegative val="0"/>
            <c:bubble3D val="0"/>
            <c:spPr>
              <a:solidFill>
                <a:schemeClr val="accent2">
                  <a:lumMod val="40000"/>
                  <a:lumOff val="60000"/>
                </a:schemeClr>
              </a:solidFill>
            </c:spPr>
          </c:dPt>
          <c:dPt>
            <c:idx val="4"/>
            <c:invertIfNegative val="0"/>
            <c:bubble3D val="0"/>
            <c:spPr>
              <a:solidFill>
                <a:schemeClr val="accent2">
                  <a:lumMod val="60000"/>
                  <a:lumOff val="40000"/>
                </a:schemeClr>
              </a:solidFill>
            </c:spPr>
          </c:dPt>
          <c:dLbls>
            <c:dLbl>
              <c:idx val="0"/>
              <c:layout>
                <c:manualLayout>
                  <c:x val="0"/>
                  <c:y val="0.1623188405797101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609940572663426E-3"/>
                  <c:y val="0.1739130434782608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609940572663426E-3"/>
                  <c:y val="0.168115942028985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913043478260869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482982171799107E-3"/>
                  <c:y val="0.1739130434782608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829821717990272E-3"/>
                  <c:y val="0.214492753623188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grafiket'!$A$17:$A$22</c:f>
              <c:numCache>
                <c:formatCode>General</c:formatCode>
                <c:ptCount val="6"/>
                <c:pt idx="0">
                  <c:v>2012</c:v>
                </c:pt>
                <c:pt idx="1">
                  <c:v>2013</c:v>
                </c:pt>
                <c:pt idx="2">
                  <c:v>2014</c:v>
                </c:pt>
                <c:pt idx="3">
                  <c:v>2015</c:v>
                </c:pt>
                <c:pt idx="4">
                  <c:v>2016</c:v>
                </c:pt>
                <c:pt idx="5">
                  <c:v>2017</c:v>
                </c:pt>
              </c:numCache>
            </c:numRef>
          </c:cat>
          <c:val>
            <c:numRef>
              <c:f>'Taksat grafiket'!$B$17:$B$22</c:f>
              <c:numCache>
                <c:formatCode>_(* #,##0_);_(* \(#,##0\);_(* "-"??_);_(@_)</c:formatCode>
                <c:ptCount val="6"/>
                <c:pt idx="0">
                  <c:v>2597</c:v>
                </c:pt>
                <c:pt idx="1">
                  <c:v>3513</c:v>
                </c:pt>
                <c:pt idx="2">
                  <c:v>2212</c:v>
                </c:pt>
                <c:pt idx="3">
                  <c:v>2870</c:v>
                </c:pt>
                <c:pt idx="4">
                  <c:v>3004</c:v>
                </c:pt>
                <c:pt idx="5">
                  <c:v>4882</c:v>
                </c:pt>
              </c:numCache>
            </c:numRef>
          </c:val>
        </c:ser>
        <c:dLbls>
          <c:showLegendKey val="0"/>
          <c:showVal val="1"/>
          <c:showCatName val="0"/>
          <c:showSerName val="0"/>
          <c:showPercent val="0"/>
          <c:showBubbleSize val="0"/>
        </c:dLbls>
        <c:gapWidth val="75"/>
        <c:shape val="box"/>
        <c:axId val="-331350016"/>
        <c:axId val="-331340224"/>
        <c:axId val="0"/>
      </c:bar3DChart>
      <c:catAx>
        <c:axId val="-331350016"/>
        <c:scaling>
          <c:orientation val="minMax"/>
        </c:scaling>
        <c:delete val="0"/>
        <c:axPos val="b"/>
        <c:numFmt formatCode="General" sourceLinked="1"/>
        <c:majorTickMark val="none"/>
        <c:minorTickMark val="none"/>
        <c:tickLblPos val="nextTo"/>
        <c:txPr>
          <a:bodyPr/>
          <a:lstStyle/>
          <a:p>
            <a:pPr>
              <a:defRPr b="1">
                <a:solidFill>
                  <a:sysClr val="windowText" lastClr="000000"/>
                </a:solidFill>
              </a:defRPr>
            </a:pPr>
            <a:endParaRPr lang="en-US"/>
          </a:p>
        </c:txPr>
        <c:crossAx val="-331340224"/>
        <c:crosses val="autoZero"/>
        <c:auto val="1"/>
        <c:lblAlgn val="ctr"/>
        <c:lblOffset val="100"/>
        <c:noMultiLvlLbl val="0"/>
      </c:catAx>
      <c:valAx>
        <c:axId val="-331340224"/>
        <c:scaling>
          <c:orientation val="minMax"/>
        </c:scaling>
        <c:delete val="1"/>
        <c:axPos val="l"/>
        <c:numFmt formatCode="_(* #,##0_);_(* \(#,##0\);_(* &quot;-&quot;??_);_(@_)" sourceLinked="1"/>
        <c:majorTickMark val="none"/>
        <c:minorTickMark val="none"/>
        <c:tickLblPos val="nextTo"/>
        <c:crossAx val="-331350016"/>
        <c:crosses val="autoZero"/>
        <c:crossBetween val="between"/>
      </c:valAx>
    </c:plotArea>
    <c:plotVisOnly val="1"/>
    <c:dispBlanksAs val="gap"/>
    <c:showDLblsOverMax val="0"/>
  </c:chart>
  <c:spPr>
    <a:ln>
      <a:noFill/>
    </a:ln>
  </c:spPr>
  <c:txPr>
    <a:bodyPr/>
    <a:lstStyle/>
    <a:p>
      <a:pPr>
        <a:defRPr sz="900" b="1">
          <a:solidFill>
            <a:schemeClr val="bg1"/>
          </a:solidFill>
          <a:latin typeface="Times New Roman" pitchFamily="18" charset="0"/>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9808027923211171E-3"/>
          <c:y val="7.7192982456140355E-2"/>
          <c:w val="0.99301919720767884"/>
          <c:h val="0.63589832849841144"/>
        </c:manualLayout>
      </c:layout>
      <c:barChart>
        <c:barDir val="col"/>
        <c:grouping val="clustered"/>
        <c:varyColors val="0"/>
        <c:ser>
          <c:idx val="0"/>
          <c:order val="0"/>
          <c:tx>
            <c:strRef>
              <c:f>'Tvsh bruto dhe tatim fitimi'!$B$102</c:f>
              <c:strCache>
                <c:ptCount val="1"/>
                <c:pt idx="0">
                  <c:v>2015</c:v>
                </c:pt>
              </c:strCache>
            </c:strRef>
          </c:tx>
          <c:spPr>
            <a:solidFill>
              <a:schemeClr val="accent2">
                <a:lumMod val="20000"/>
                <a:lumOff val="80000"/>
              </a:schemeClr>
            </a:solidFill>
          </c:spPr>
          <c:invertIfNegative val="0"/>
          <c:dLbls>
            <c:dLbl>
              <c:idx val="0"/>
              <c:layout>
                <c:manualLayout>
                  <c:x val="-1.3961605584642234E-2"/>
                  <c:y val="-7.017543859649122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978675645342292E-3"/>
                  <c:y val="-4.728132387706855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34006734006692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'Tvsh bruto dhe tatim fitimi'!$A$103:$A$108</c:f>
              <c:strCache>
                <c:ptCount val="6"/>
                <c:pt idx="0">
                  <c:v>Ndërtim</c:v>
                </c:pt>
                <c:pt idx="1">
                  <c:v>Prodhim</c:v>
                </c:pt>
                <c:pt idx="2">
                  <c:v>Shërbime</c:v>
                </c:pt>
                <c:pt idx="3">
                  <c:v>Transport</c:v>
                </c:pt>
                <c:pt idx="4">
                  <c:v>Tregti</c:v>
                </c:pt>
                <c:pt idx="5">
                  <c:v>Të tjera</c:v>
                </c:pt>
              </c:strCache>
            </c:strRef>
          </c:cat>
          <c:val>
            <c:numRef>
              <c:f>'Tvsh bruto dhe tatim fitimi'!$B$103:$B$108</c:f>
              <c:numCache>
                <c:formatCode>_(* #,##0_);_(* \(#,##0\);_(* "-"??_);_(@_)</c:formatCode>
                <c:ptCount val="6"/>
                <c:pt idx="0">
                  <c:v>2275.6140850000002</c:v>
                </c:pt>
                <c:pt idx="1">
                  <c:v>2679.1868650000001</c:v>
                </c:pt>
                <c:pt idx="2">
                  <c:v>4970.3570399999999</c:v>
                </c:pt>
                <c:pt idx="3">
                  <c:v>393.85425500000002</c:v>
                </c:pt>
                <c:pt idx="4">
                  <c:v>4448.3053929999996</c:v>
                </c:pt>
                <c:pt idx="5">
                  <c:v>40.062328999999998</c:v>
                </c:pt>
              </c:numCache>
            </c:numRef>
          </c:val>
        </c:ser>
        <c:ser>
          <c:idx val="1"/>
          <c:order val="1"/>
          <c:tx>
            <c:strRef>
              <c:f>'Tvsh bruto dhe tatim fitimi'!$C$102</c:f>
              <c:strCache>
                <c:ptCount val="1"/>
                <c:pt idx="0">
                  <c:v>2016</c:v>
                </c:pt>
              </c:strCache>
            </c:strRef>
          </c:tx>
          <c:spPr>
            <a:solidFill>
              <a:schemeClr val="accent2">
                <a:lumMod val="60000"/>
                <a:lumOff val="40000"/>
              </a:schemeClr>
            </a:solidFill>
          </c:spPr>
          <c:invertIfNegative val="0"/>
          <c:dLbls>
            <c:dLbl>
              <c:idx val="0"/>
              <c:layout>
                <c:manualLayout>
                  <c:x val="-6.734006734006733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7340067340067337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9786756453423128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'Tvsh bruto dhe tatim fitimi'!$A$103:$A$108</c:f>
              <c:strCache>
                <c:ptCount val="6"/>
                <c:pt idx="0">
                  <c:v>Ndërtim</c:v>
                </c:pt>
                <c:pt idx="1">
                  <c:v>Prodhim</c:v>
                </c:pt>
                <c:pt idx="2">
                  <c:v>Shërbime</c:v>
                </c:pt>
                <c:pt idx="3">
                  <c:v>Transport</c:v>
                </c:pt>
                <c:pt idx="4">
                  <c:v>Tregti</c:v>
                </c:pt>
                <c:pt idx="5">
                  <c:v>Të tjera</c:v>
                </c:pt>
              </c:strCache>
            </c:strRef>
          </c:cat>
          <c:val>
            <c:numRef>
              <c:f>'Tvsh bruto dhe tatim fitimi'!$C$103:$C$108</c:f>
              <c:numCache>
                <c:formatCode>_(* #,##0_);_(* \(#,##0\);_(* "-"??_);_(@_)</c:formatCode>
                <c:ptCount val="6"/>
                <c:pt idx="0">
                  <c:v>2742.8021450000001</c:v>
                </c:pt>
                <c:pt idx="1">
                  <c:v>3079.1069149999998</c:v>
                </c:pt>
                <c:pt idx="2">
                  <c:v>5731.922082</c:v>
                </c:pt>
                <c:pt idx="3">
                  <c:v>365.15861200000001</c:v>
                </c:pt>
                <c:pt idx="4">
                  <c:v>5374.4523689999996</c:v>
                </c:pt>
                <c:pt idx="5">
                  <c:v>51.788167000000001</c:v>
                </c:pt>
              </c:numCache>
            </c:numRef>
          </c:val>
        </c:ser>
        <c:ser>
          <c:idx val="2"/>
          <c:order val="2"/>
          <c:tx>
            <c:strRef>
              <c:f>'Tvsh bruto dhe tatim fitimi'!$D$102</c:f>
              <c:strCache>
                <c:ptCount val="1"/>
                <c:pt idx="0">
                  <c:v>2017</c:v>
                </c:pt>
              </c:strCache>
            </c:strRef>
          </c:tx>
          <c:spPr>
            <a:solidFill>
              <a:schemeClr val="accent2">
                <a:lumMod val="75000"/>
              </a:schemeClr>
            </a:solidFill>
          </c:spPr>
          <c:invertIfNegative val="0"/>
          <c:dLbls>
            <c:dLbl>
              <c:idx val="4"/>
              <c:layout>
                <c:manualLayout>
                  <c:x val="0"/>
                  <c:y val="-2.83687943262411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'Tvsh bruto dhe tatim fitimi'!$A$103:$A$108</c:f>
              <c:strCache>
                <c:ptCount val="6"/>
                <c:pt idx="0">
                  <c:v>Ndërtim</c:v>
                </c:pt>
                <c:pt idx="1">
                  <c:v>Prodhim</c:v>
                </c:pt>
                <c:pt idx="2">
                  <c:v>Shërbime</c:v>
                </c:pt>
                <c:pt idx="3">
                  <c:v>Transport</c:v>
                </c:pt>
                <c:pt idx="4">
                  <c:v>Tregti</c:v>
                </c:pt>
                <c:pt idx="5">
                  <c:v>Të tjera</c:v>
                </c:pt>
              </c:strCache>
            </c:strRef>
          </c:cat>
          <c:val>
            <c:numRef>
              <c:f>'Tvsh bruto dhe tatim fitimi'!$D$103:$D$108</c:f>
              <c:numCache>
                <c:formatCode>_(* #,##0_);_(* \(#,##0\);_(* "-"??_);_(@_)</c:formatCode>
                <c:ptCount val="6"/>
                <c:pt idx="0">
                  <c:v>3607.31185</c:v>
                </c:pt>
                <c:pt idx="1">
                  <c:v>3864.4114629999999</c:v>
                </c:pt>
                <c:pt idx="2">
                  <c:v>6107.2426109999997</c:v>
                </c:pt>
                <c:pt idx="3">
                  <c:v>521.26808600000004</c:v>
                </c:pt>
                <c:pt idx="4">
                  <c:v>5480.4795089999998</c:v>
                </c:pt>
                <c:pt idx="5">
                  <c:v>47.632266999999999</c:v>
                </c:pt>
              </c:numCache>
            </c:numRef>
          </c:val>
        </c:ser>
        <c:dLbls>
          <c:showLegendKey val="0"/>
          <c:showVal val="1"/>
          <c:showCatName val="0"/>
          <c:showSerName val="0"/>
          <c:showPercent val="0"/>
          <c:showBubbleSize val="0"/>
        </c:dLbls>
        <c:gapWidth val="75"/>
        <c:axId val="-331354368"/>
        <c:axId val="-331355456"/>
      </c:barChart>
      <c:catAx>
        <c:axId val="-331354368"/>
        <c:scaling>
          <c:orientation val="minMax"/>
        </c:scaling>
        <c:delete val="0"/>
        <c:axPos val="b"/>
        <c:numFmt formatCode="General" sourceLinked="0"/>
        <c:majorTickMark val="none"/>
        <c:minorTickMark val="none"/>
        <c:tickLblPos val="nextTo"/>
        <c:txPr>
          <a:bodyPr/>
          <a:lstStyle/>
          <a:p>
            <a:pPr>
              <a:defRPr b="1"/>
            </a:pPr>
            <a:endParaRPr lang="en-US"/>
          </a:p>
        </c:txPr>
        <c:crossAx val="-331355456"/>
        <c:crosses val="autoZero"/>
        <c:auto val="1"/>
        <c:lblAlgn val="ctr"/>
        <c:lblOffset val="100"/>
        <c:noMultiLvlLbl val="0"/>
      </c:catAx>
      <c:valAx>
        <c:axId val="-331355456"/>
        <c:scaling>
          <c:orientation val="minMax"/>
        </c:scaling>
        <c:delete val="1"/>
        <c:axPos val="l"/>
        <c:numFmt formatCode="_(* #,##0_);_(* \(#,##0\);_(* &quot;-&quot;??_);_(@_)" sourceLinked="1"/>
        <c:majorTickMark val="none"/>
        <c:minorTickMark val="none"/>
        <c:tickLblPos val="nextTo"/>
        <c:crossAx val="-331354368"/>
        <c:crosses val="autoZero"/>
        <c:crossBetween val="between"/>
      </c:valAx>
    </c:plotArea>
    <c:legend>
      <c:legendPos val="b"/>
      <c:overlay val="0"/>
      <c:txPr>
        <a:bodyPr/>
        <a:lstStyle/>
        <a:p>
          <a:pPr>
            <a:defRPr b="1"/>
          </a:pPr>
          <a:endParaRPr lang="en-US"/>
        </a:p>
      </c:txPr>
    </c:legend>
    <c:plotVisOnly val="1"/>
    <c:dispBlanksAs val="gap"/>
    <c:showDLblsOverMax val="0"/>
  </c:chart>
  <c:spPr>
    <a:ln>
      <a:solidFill>
        <a:sysClr val="window" lastClr="FFFFFF">
          <a:lumMod val="50000"/>
        </a:sysClr>
      </a:solid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4765660542432196"/>
          <c:w val="0.99905170944541022"/>
          <c:h val="0.70419091230617459"/>
        </c:manualLayout>
      </c:layout>
      <c:lineChart>
        <c:grouping val="standard"/>
        <c:varyColors val="0"/>
        <c:ser>
          <c:idx val="0"/>
          <c:order val="0"/>
          <c:tx>
            <c:strRef>
              <c:f>'Taksat grafiket'!$B$32</c:f>
              <c:strCache>
                <c:ptCount val="1"/>
                <c:pt idx="0">
                  <c:v>Fakt</c:v>
                </c:pt>
              </c:strCache>
            </c:strRef>
          </c:tx>
          <c:dLbls>
            <c:dLbl>
              <c:idx val="0"/>
              <c:layout>
                <c:manualLayout>
                  <c:x val="-2.3582766439909298E-2"/>
                  <c:y val="4.90196078431373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275920904077859E-2"/>
                  <c:y val="-5.13389589742142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40589569160998E-2"/>
                  <c:y val="3.92156862745098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3492063492063489E-2"/>
                  <c:y val="-4.901960784313722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863945578231291E-2"/>
                  <c:y val="-3.92156862745097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808769149498152E-2"/>
                  <c:y val="-7.53623188405797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grafiket'!$A$33:$A$38</c:f>
              <c:numCache>
                <c:formatCode>General</c:formatCode>
                <c:ptCount val="6"/>
                <c:pt idx="0">
                  <c:v>2012</c:v>
                </c:pt>
                <c:pt idx="1">
                  <c:v>2013</c:v>
                </c:pt>
                <c:pt idx="2">
                  <c:v>2014</c:v>
                </c:pt>
                <c:pt idx="3">
                  <c:v>2015</c:v>
                </c:pt>
                <c:pt idx="4">
                  <c:v>2016</c:v>
                </c:pt>
                <c:pt idx="5">
                  <c:v>2017</c:v>
                </c:pt>
              </c:numCache>
            </c:numRef>
          </c:cat>
          <c:val>
            <c:numRef>
              <c:f>'Taksat grafiket'!$B$33:$B$38</c:f>
              <c:numCache>
                <c:formatCode>#,##0</c:formatCode>
                <c:ptCount val="6"/>
                <c:pt idx="0">
                  <c:v>7688</c:v>
                </c:pt>
                <c:pt idx="1">
                  <c:v>7579</c:v>
                </c:pt>
                <c:pt idx="2">
                  <c:v>9477</c:v>
                </c:pt>
                <c:pt idx="3">
                  <c:v>11736</c:v>
                </c:pt>
                <c:pt idx="4">
                  <c:v>14551</c:v>
                </c:pt>
                <c:pt idx="5" formatCode="_(* #,##0_);_(* \(#,##0\);_(* &quot;-&quot;??_);_(@_)">
                  <c:v>15326</c:v>
                </c:pt>
              </c:numCache>
            </c:numRef>
          </c:val>
          <c:smooth val="0"/>
        </c:ser>
        <c:ser>
          <c:idx val="1"/>
          <c:order val="1"/>
          <c:tx>
            <c:strRef>
              <c:f>'Taksat grafiket'!$C$32</c:f>
              <c:strCache>
                <c:ptCount val="1"/>
                <c:pt idx="0">
                  <c:v>Plan</c:v>
                </c:pt>
              </c:strCache>
            </c:strRef>
          </c:tx>
          <c:dLbls>
            <c:dLbl>
              <c:idx val="1"/>
              <c:layout>
                <c:manualLayout>
                  <c:x val="-3.2653096786138244E-2"/>
                  <c:y val="5.15846809471396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863945578231291E-2"/>
                  <c:y val="-4.901960784313725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7165532879818596E-2"/>
                  <c:y val="3.92156862745098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653061224489799E-2"/>
                  <c:y val="4.248366013071895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4374009508716325E-2"/>
                  <c:y val="6.95652173913043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grafiket'!$A$33:$A$38</c:f>
              <c:numCache>
                <c:formatCode>General</c:formatCode>
                <c:ptCount val="6"/>
                <c:pt idx="0">
                  <c:v>2012</c:v>
                </c:pt>
                <c:pt idx="1">
                  <c:v>2013</c:v>
                </c:pt>
                <c:pt idx="2">
                  <c:v>2014</c:v>
                </c:pt>
                <c:pt idx="3">
                  <c:v>2015</c:v>
                </c:pt>
                <c:pt idx="4">
                  <c:v>2016</c:v>
                </c:pt>
                <c:pt idx="5">
                  <c:v>2017</c:v>
                </c:pt>
              </c:numCache>
            </c:numRef>
          </c:cat>
          <c:val>
            <c:numRef>
              <c:f>'Taksat grafiket'!$C$33:$C$38</c:f>
              <c:numCache>
                <c:formatCode>#,##0</c:formatCode>
                <c:ptCount val="6"/>
                <c:pt idx="0">
                  <c:v>10560</c:v>
                </c:pt>
                <c:pt idx="1">
                  <c:v>6500</c:v>
                </c:pt>
                <c:pt idx="2">
                  <c:v>10000</c:v>
                </c:pt>
                <c:pt idx="3">
                  <c:v>10568</c:v>
                </c:pt>
                <c:pt idx="4">
                  <c:v>11550</c:v>
                </c:pt>
                <c:pt idx="5" formatCode="_(* #,##0_);_(* \(#,##0\);_(* &quot;-&quot;??_);_(@_)">
                  <c:v>11702</c:v>
                </c:pt>
              </c:numCache>
            </c:numRef>
          </c:val>
          <c:smooth val="0"/>
        </c:ser>
        <c:dLbls>
          <c:showLegendKey val="0"/>
          <c:showVal val="1"/>
          <c:showCatName val="0"/>
          <c:showSerName val="0"/>
          <c:showPercent val="0"/>
          <c:showBubbleSize val="0"/>
        </c:dLbls>
        <c:marker val="1"/>
        <c:smooth val="0"/>
        <c:axId val="-331353280"/>
        <c:axId val="-331346752"/>
      </c:lineChart>
      <c:catAx>
        <c:axId val="-331353280"/>
        <c:scaling>
          <c:orientation val="minMax"/>
        </c:scaling>
        <c:delete val="0"/>
        <c:axPos val="b"/>
        <c:numFmt formatCode="General" sourceLinked="1"/>
        <c:majorTickMark val="none"/>
        <c:minorTickMark val="none"/>
        <c:tickLblPos val="nextTo"/>
        <c:txPr>
          <a:bodyPr/>
          <a:lstStyle/>
          <a:p>
            <a:pPr>
              <a:defRPr b="1"/>
            </a:pPr>
            <a:endParaRPr lang="en-US"/>
          </a:p>
        </c:txPr>
        <c:crossAx val="-331346752"/>
        <c:crosses val="autoZero"/>
        <c:auto val="1"/>
        <c:lblAlgn val="ctr"/>
        <c:lblOffset val="100"/>
        <c:noMultiLvlLbl val="0"/>
      </c:catAx>
      <c:valAx>
        <c:axId val="-331346752"/>
        <c:scaling>
          <c:orientation val="minMax"/>
        </c:scaling>
        <c:delete val="1"/>
        <c:axPos val="l"/>
        <c:numFmt formatCode="#,##0" sourceLinked="1"/>
        <c:majorTickMark val="out"/>
        <c:minorTickMark val="none"/>
        <c:tickLblPos val="nextTo"/>
        <c:crossAx val="-331353280"/>
        <c:crosses val="autoZero"/>
        <c:crossBetween val="between"/>
      </c:valAx>
    </c:plotArea>
    <c:legend>
      <c:legendPos val="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5.9379217273954114E-2"/>
          <c:w val="1"/>
          <c:h val="0.78129448393849554"/>
        </c:manualLayout>
      </c:layout>
      <c:bar3DChart>
        <c:barDir val="col"/>
        <c:grouping val="clustered"/>
        <c:varyColors val="0"/>
        <c:ser>
          <c:idx val="0"/>
          <c:order val="0"/>
          <c:tx>
            <c:strRef>
              <c:f>'Nenzerat grafiket'!$B$3</c:f>
              <c:strCache>
                <c:ptCount val="1"/>
                <c:pt idx="0">
                  <c:v>2015</c:v>
                </c:pt>
              </c:strCache>
            </c:strRef>
          </c:tx>
          <c:invertIfNegative val="0"/>
          <c:dLbls>
            <c:dLbl>
              <c:idx val="0"/>
              <c:layout>
                <c:manualLayout>
                  <c:x val="4.9783464566929133E-3"/>
                  <c:y val="-5.934521342726896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978346456692912E-2"/>
                  <c:y val="-4.23003602282508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3159568796349397E-3"/>
                  <c:y val="-1.720429874465515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579784398174699E-3"/>
                  <c:y val="-2.75268779914482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'Nenzerat grafiket'!$A$4:$A$7</c:f>
              <c:strCache>
                <c:ptCount val="4"/>
                <c:pt idx="0">
                  <c:v>Nga ndërmarrjet e sektorit publik</c:v>
                </c:pt>
                <c:pt idx="1">
                  <c:v>Nga subjektet e sektorit privat</c:v>
                </c:pt>
                <c:pt idx="2">
                  <c:v>Nga subjektet e "lojrave të fatit"</c:v>
                </c:pt>
                <c:pt idx="3">
                  <c:v>Tatimi i thjeshtuar mbi fitimin</c:v>
                </c:pt>
              </c:strCache>
            </c:strRef>
          </c:cat>
          <c:val>
            <c:numRef>
              <c:f>'Nenzerat grafiket'!$B$4:$B$7</c:f>
              <c:numCache>
                <c:formatCode>_(* #,##0_);_(* \(#,##0\);_(* "-"??_);_(@_)</c:formatCode>
                <c:ptCount val="4"/>
                <c:pt idx="0">
                  <c:v>985.14622099999997</c:v>
                </c:pt>
                <c:pt idx="1">
                  <c:v>9960.5878740000007</c:v>
                </c:pt>
                <c:pt idx="2">
                  <c:v>354.797619</c:v>
                </c:pt>
                <c:pt idx="3">
                  <c:v>5.0000000000000004E-6</c:v>
                </c:pt>
              </c:numCache>
            </c:numRef>
          </c:val>
        </c:ser>
        <c:ser>
          <c:idx val="1"/>
          <c:order val="1"/>
          <c:tx>
            <c:strRef>
              <c:f>'Nenzerat grafiket'!$C$3</c:f>
              <c:strCache>
                <c:ptCount val="1"/>
                <c:pt idx="0">
                  <c:v>2016</c:v>
                </c:pt>
              </c:strCache>
            </c:strRef>
          </c:tx>
          <c:invertIfNegative val="0"/>
          <c:dLbls>
            <c:dLbl>
              <c:idx val="0"/>
              <c:layout>
                <c:manualLayout>
                  <c:x val="7.3159448818897639E-3"/>
                  <c:y val="-3.19776424708045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802924539361145E-2"/>
                  <c:y val="-2.376143022102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460902979178613E-2"/>
                  <c:y val="-1.376343899572412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631913759269879E-2"/>
                  <c:y val="-2.06451584935861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'Nenzerat grafiket'!$A$4:$A$7</c:f>
              <c:strCache>
                <c:ptCount val="4"/>
                <c:pt idx="0">
                  <c:v>Nga ndërmarrjet e sektorit publik</c:v>
                </c:pt>
                <c:pt idx="1">
                  <c:v>Nga subjektet e sektorit privat</c:v>
                </c:pt>
                <c:pt idx="2">
                  <c:v>Nga subjektet e "lojrave të fatit"</c:v>
                </c:pt>
                <c:pt idx="3">
                  <c:v>Tatimi i thjeshtuar mbi fitimin</c:v>
                </c:pt>
              </c:strCache>
            </c:strRef>
          </c:cat>
          <c:val>
            <c:numRef>
              <c:f>'Nenzerat grafiket'!$C$4:$C$7</c:f>
              <c:numCache>
                <c:formatCode>_(* #,##0_);_(* \(#,##0\);_(* "-"??_);_(@_)</c:formatCode>
                <c:ptCount val="4"/>
                <c:pt idx="0">
                  <c:v>1248.746721</c:v>
                </c:pt>
                <c:pt idx="1">
                  <c:v>13160.012839000001</c:v>
                </c:pt>
                <c:pt idx="2">
                  <c:v>71.215436999999994</c:v>
                </c:pt>
                <c:pt idx="3">
                  <c:v>563.85417900000004</c:v>
                </c:pt>
              </c:numCache>
            </c:numRef>
          </c:val>
        </c:ser>
        <c:ser>
          <c:idx val="2"/>
          <c:order val="2"/>
          <c:tx>
            <c:strRef>
              <c:f>'Nenzerat grafiket'!$D$3</c:f>
              <c:strCache>
                <c:ptCount val="1"/>
                <c:pt idx="0">
                  <c:v>2017</c:v>
                </c:pt>
              </c:strCache>
            </c:strRef>
          </c:tx>
          <c:invertIfNegative val="0"/>
          <c:dLbls>
            <c:dLbl>
              <c:idx val="0"/>
              <c:layout>
                <c:manualLayout>
                  <c:x val="3.4520997375328275E-3"/>
                  <c:y val="-6.3356392191866701E-2"/>
                </c:manualLayout>
              </c:layout>
              <c:tx>
                <c:rich>
                  <a:bodyPr/>
                  <a:lstStyle/>
                  <a:p>
                    <a:r>
                      <a:rPr lang="en-US"/>
                      <a:t> </a:t>
                    </a:r>
                    <a:r>
                      <a:rPr lang="en-US" b="1"/>
                      <a:t>1,974</a:t>
                    </a:r>
                    <a:r>
                      <a:rPr lang="en-US"/>
                      <a:t> </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5.4263779527559057E-2"/>
                  <c:y val="-5.1076328009606084E-2"/>
                </c:manualLayout>
              </c:layout>
              <c:spPr/>
              <c:txPr>
                <a:bodyPr/>
                <a:lstStyle/>
                <a:p>
                  <a:pPr>
                    <a:defRPr sz="800" b="1" i="0"/>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460902979178613E-2"/>
                  <c:y val="-1.0322579246793091E-2"/>
                </c:manualLayout>
              </c:layout>
              <c:spPr/>
              <c:txPr>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1947870638904819E-2"/>
                  <c:y val="-2.0645158493586183E-2"/>
                </c:manualLayout>
              </c:layout>
              <c:spPr/>
              <c:txPr>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'Nenzerat grafiket'!$A$4:$A$7</c:f>
              <c:strCache>
                <c:ptCount val="4"/>
                <c:pt idx="0">
                  <c:v>Nga ndërmarrjet e sektorit publik</c:v>
                </c:pt>
                <c:pt idx="1">
                  <c:v>Nga subjektet e sektorit privat</c:v>
                </c:pt>
                <c:pt idx="2">
                  <c:v>Nga subjektet e "lojrave të fatit"</c:v>
                </c:pt>
                <c:pt idx="3">
                  <c:v>Tatimi i thjeshtuar mbi fitimin</c:v>
                </c:pt>
              </c:strCache>
            </c:strRef>
          </c:cat>
          <c:val>
            <c:numRef>
              <c:f>'Nenzerat grafiket'!$D$4:$D$7</c:f>
              <c:numCache>
                <c:formatCode>_(* #,##0_);_(* \(#,##0\);_(* "-"??_);_(@_)</c:formatCode>
                <c:ptCount val="4"/>
                <c:pt idx="0">
                  <c:v>1974.0646650000001</c:v>
                </c:pt>
                <c:pt idx="1">
                  <c:v>13070.551793000001</c:v>
                </c:pt>
                <c:pt idx="2">
                  <c:v>76.924610000000001</c:v>
                </c:pt>
                <c:pt idx="3">
                  <c:v>275.03937100000002</c:v>
                </c:pt>
              </c:numCache>
            </c:numRef>
          </c:val>
        </c:ser>
        <c:dLbls>
          <c:showLegendKey val="0"/>
          <c:showVal val="0"/>
          <c:showCatName val="0"/>
          <c:showSerName val="0"/>
          <c:showPercent val="0"/>
          <c:showBubbleSize val="0"/>
        </c:dLbls>
        <c:gapWidth val="75"/>
        <c:shape val="box"/>
        <c:axId val="-331358176"/>
        <c:axId val="-331357632"/>
        <c:axId val="0"/>
      </c:bar3DChart>
      <c:catAx>
        <c:axId val="-331358176"/>
        <c:scaling>
          <c:orientation val="minMax"/>
        </c:scaling>
        <c:delete val="0"/>
        <c:axPos val="b"/>
        <c:numFmt formatCode="General" sourceLinked="1"/>
        <c:majorTickMark val="none"/>
        <c:minorTickMark val="none"/>
        <c:tickLblPos val="nextTo"/>
        <c:txPr>
          <a:bodyPr/>
          <a:lstStyle/>
          <a:p>
            <a:pPr>
              <a:defRPr b="1"/>
            </a:pPr>
            <a:endParaRPr lang="en-US"/>
          </a:p>
        </c:txPr>
        <c:crossAx val="-331357632"/>
        <c:crosses val="autoZero"/>
        <c:auto val="1"/>
        <c:lblAlgn val="ctr"/>
        <c:lblOffset val="100"/>
        <c:noMultiLvlLbl val="0"/>
      </c:catAx>
      <c:valAx>
        <c:axId val="-331357632"/>
        <c:scaling>
          <c:orientation val="minMax"/>
        </c:scaling>
        <c:delete val="1"/>
        <c:axPos val="l"/>
        <c:numFmt formatCode="_(* #,##0_);_(* \(#,##0\);_(* &quot;-&quot;??_);_(@_)" sourceLinked="1"/>
        <c:majorTickMark val="none"/>
        <c:minorTickMark val="none"/>
        <c:tickLblPos val="nextTo"/>
        <c:crossAx val="-331358176"/>
        <c:crosses val="autoZero"/>
        <c:crossBetween val="between"/>
      </c:valAx>
    </c:plotArea>
    <c:legend>
      <c:legendPos val="b"/>
      <c:layout>
        <c:manualLayout>
          <c:xMode val="edge"/>
          <c:yMode val="edge"/>
          <c:x val="0.63162204724409454"/>
          <c:y val="6.6905968737713442E-2"/>
          <c:w val="0.27985334645669291"/>
          <c:h val="8.0061028956746258E-2"/>
        </c:manualLayout>
      </c:layout>
      <c:overlay val="0"/>
      <c:txPr>
        <a:bodyPr/>
        <a:lstStyle/>
        <a:p>
          <a:pPr>
            <a:defRPr b="1"/>
          </a:pPr>
          <a:endParaRPr lang="en-US"/>
        </a:p>
      </c:txPr>
    </c:legend>
    <c:plotVisOnly val="1"/>
    <c:dispBlanksAs val="gap"/>
    <c:showDLblsOverMax val="0"/>
  </c:chart>
  <c:spPr>
    <a:ln>
      <a:noFill/>
    </a:ln>
  </c:spPr>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1.5605020526280374E-2"/>
          <c:y val="2.9591924751111307E-2"/>
          <c:w val="0.97958728716602728"/>
          <c:h val="0.78689921439001009"/>
        </c:manualLayout>
      </c:layout>
      <c:barChart>
        <c:barDir val="col"/>
        <c:grouping val="clustered"/>
        <c:varyColors val="0"/>
        <c:ser>
          <c:idx val="0"/>
          <c:order val="0"/>
          <c:tx>
            <c:strRef>
              <c:f>'Tvsh bruto dhe tatim fitimi'!$B$152</c:f>
              <c:strCache>
                <c:ptCount val="1"/>
                <c:pt idx="0">
                  <c:v>2015</c:v>
                </c:pt>
              </c:strCache>
            </c:strRef>
          </c:tx>
          <c:spPr>
            <a:solidFill>
              <a:schemeClr val="accent2">
                <a:lumMod val="20000"/>
                <a:lumOff val="80000"/>
              </a:schemeClr>
            </a:solidFill>
          </c:spPr>
          <c:invertIfNegative val="0"/>
          <c:dLbls>
            <c:dLbl>
              <c:idx val="2"/>
              <c:layout>
                <c:manualLayout>
                  <c:x val="-1.7341037831529769E-2"/>
                  <c:y val="4.108886129500462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60691887686513E-2"/>
                  <c:y val="-8.217772259000886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'Tvsh bruto dhe tatim fitimi'!$A$153:$A$158</c:f>
              <c:strCache>
                <c:ptCount val="6"/>
                <c:pt idx="0">
                  <c:v>Ndërtim</c:v>
                </c:pt>
                <c:pt idx="1">
                  <c:v>Prodhim</c:v>
                </c:pt>
                <c:pt idx="2">
                  <c:v>Shërbime</c:v>
                </c:pt>
                <c:pt idx="3">
                  <c:v>Transport</c:v>
                </c:pt>
                <c:pt idx="4">
                  <c:v>Tregti</c:v>
                </c:pt>
                <c:pt idx="5">
                  <c:v>Të tjera</c:v>
                </c:pt>
              </c:strCache>
            </c:strRef>
          </c:cat>
          <c:val>
            <c:numRef>
              <c:f>'Tvsh bruto dhe tatim fitimi'!$B$153:$B$158</c:f>
              <c:numCache>
                <c:formatCode>_(* #,##0_);_(* \(#,##0\);_(* "-"??_);_(@_)</c:formatCode>
                <c:ptCount val="6"/>
                <c:pt idx="0">
                  <c:v>1391.5115940000001</c:v>
                </c:pt>
                <c:pt idx="1">
                  <c:v>2786.2281200000002</c:v>
                </c:pt>
                <c:pt idx="2">
                  <c:v>4221.5105960000001</c:v>
                </c:pt>
                <c:pt idx="3">
                  <c:v>408.65876600000001</c:v>
                </c:pt>
                <c:pt idx="4">
                  <c:v>2992.5279690000002</c:v>
                </c:pt>
                <c:pt idx="5">
                  <c:v>12.798755</c:v>
                </c:pt>
              </c:numCache>
            </c:numRef>
          </c:val>
        </c:ser>
        <c:ser>
          <c:idx val="1"/>
          <c:order val="1"/>
          <c:tx>
            <c:strRef>
              <c:f>'Tvsh bruto dhe tatim fitimi'!$C$152</c:f>
              <c:strCache>
                <c:ptCount val="1"/>
                <c:pt idx="0">
                  <c:v>2016</c:v>
                </c:pt>
              </c:strCache>
            </c:strRef>
          </c:tx>
          <c:spPr>
            <a:solidFill>
              <a:schemeClr val="accent2">
                <a:lumMod val="60000"/>
                <a:lumOff val="40000"/>
              </a:schemeClr>
            </a:solidFill>
          </c:spPr>
          <c:invertIfNegative val="0"/>
          <c:dLbls>
            <c:dLbl>
              <c:idx val="1"/>
              <c:layout>
                <c:manualLayout>
                  <c:x val="-5.7803459438432207E-3"/>
                  <c:y val="-4.93066335540053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'Tvsh bruto dhe tatim fitimi'!$A$153:$A$158</c:f>
              <c:strCache>
                <c:ptCount val="6"/>
                <c:pt idx="0">
                  <c:v>Ndërtim</c:v>
                </c:pt>
                <c:pt idx="1">
                  <c:v>Prodhim</c:v>
                </c:pt>
                <c:pt idx="2">
                  <c:v>Shërbime</c:v>
                </c:pt>
                <c:pt idx="3">
                  <c:v>Transport</c:v>
                </c:pt>
                <c:pt idx="4">
                  <c:v>Tregti</c:v>
                </c:pt>
                <c:pt idx="5">
                  <c:v>Të tjera</c:v>
                </c:pt>
              </c:strCache>
            </c:strRef>
          </c:cat>
          <c:val>
            <c:numRef>
              <c:f>'Tvsh bruto dhe tatim fitimi'!$C$153:$C$158</c:f>
              <c:numCache>
                <c:formatCode>_(* #,##0_);_(* \(#,##0\);_(* "-"??_);_(@_)</c:formatCode>
                <c:ptCount val="6"/>
                <c:pt idx="0">
                  <c:v>1765.172474</c:v>
                </c:pt>
                <c:pt idx="1">
                  <c:v>2827.6643009999998</c:v>
                </c:pt>
                <c:pt idx="2">
                  <c:v>5214.6880419999998</c:v>
                </c:pt>
                <c:pt idx="3">
                  <c:v>561.36330599999997</c:v>
                </c:pt>
                <c:pt idx="4">
                  <c:v>4324.5121950000002</c:v>
                </c:pt>
                <c:pt idx="5">
                  <c:v>26.247323999999999</c:v>
                </c:pt>
              </c:numCache>
            </c:numRef>
          </c:val>
        </c:ser>
        <c:ser>
          <c:idx val="2"/>
          <c:order val="2"/>
          <c:tx>
            <c:strRef>
              <c:f>'Tvsh bruto dhe tatim fitimi'!$D$152</c:f>
              <c:strCache>
                <c:ptCount val="1"/>
                <c:pt idx="0">
                  <c:v>2017</c:v>
                </c:pt>
              </c:strCache>
            </c:strRef>
          </c:tx>
          <c:spPr>
            <a:solidFill>
              <a:schemeClr val="accent2">
                <a:lumMod val="75000"/>
              </a:schemeClr>
            </a:solidFill>
          </c:spPr>
          <c:invertIfNegative val="0"/>
          <c:dLbls>
            <c:dLbl>
              <c:idx val="2"/>
              <c:layout>
                <c:manualLayout>
                  <c:x val="5.7803459438432563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465331677700266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10888612950044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'Tvsh bruto dhe tatim fitimi'!$A$153:$A$158</c:f>
              <c:strCache>
                <c:ptCount val="6"/>
                <c:pt idx="0">
                  <c:v>Ndërtim</c:v>
                </c:pt>
                <c:pt idx="1">
                  <c:v>Prodhim</c:v>
                </c:pt>
                <c:pt idx="2">
                  <c:v>Shërbime</c:v>
                </c:pt>
                <c:pt idx="3">
                  <c:v>Transport</c:v>
                </c:pt>
                <c:pt idx="4">
                  <c:v>Tregti</c:v>
                </c:pt>
                <c:pt idx="5">
                  <c:v>Të tjera</c:v>
                </c:pt>
              </c:strCache>
            </c:strRef>
          </c:cat>
          <c:val>
            <c:numRef>
              <c:f>'Tvsh bruto dhe tatim fitimi'!$D$153:$D$158</c:f>
              <c:numCache>
                <c:formatCode>_(* #,##0_);_(* \(#,##0\);_(* "-"??_);_(@_)</c:formatCode>
                <c:ptCount val="6"/>
                <c:pt idx="0">
                  <c:v>2167.4005120000002</c:v>
                </c:pt>
                <c:pt idx="1">
                  <c:v>3468.7903710000001</c:v>
                </c:pt>
                <c:pt idx="2">
                  <c:v>4455.4882390000002</c:v>
                </c:pt>
                <c:pt idx="3">
                  <c:v>653.73181199999999</c:v>
                </c:pt>
                <c:pt idx="4">
                  <c:v>4490.8493920000001</c:v>
                </c:pt>
                <c:pt idx="5">
                  <c:v>43.890926999999998</c:v>
                </c:pt>
              </c:numCache>
            </c:numRef>
          </c:val>
        </c:ser>
        <c:dLbls>
          <c:showLegendKey val="0"/>
          <c:showVal val="1"/>
          <c:showCatName val="0"/>
          <c:showSerName val="0"/>
          <c:showPercent val="0"/>
          <c:showBubbleSize val="0"/>
        </c:dLbls>
        <c:gapWidth val="75"/>
        <c:axId val="-331352736"/>
        <c:axId val="-331330976"/>
      </c:barChart>
      <c:catAx>
        <c:axId val="-331352736"/>
        <c:scaling>
          <c:orientation val="minMax"/>
        </c:scaling>
        <c:delete val="0"/>
        <c:axPos val="b"/>
        <c:numFmt formatCode="General" sourceLinked="0"/>
        <c:majorTickMark val="none"/>
        <c:minorTickMark val="none"/>
        <c:tickLblPos val="nextTo"/>
        <c:txPr>
          <a:bodyPr/>
          <a:lstStyle/>
          <a:p>
            <a:pPr>
              <a:defRPr b="1"/>
            </a:pPr>
            <a:endParaRPr lang="en-US"/>
          </a:p>
        </c:txPr>
        <c:crossAx val="-331330976"/>
        <c:crosses val="autoZero"/>
        <c:auto val="1"/>
        <c:lblAlgn val="ctr"/>
        <c:lblOffset val="100"/>
        <c:noMultiLvlLbl val="0"/>
      </c:catAx>
      <c:valAx>
        <c:axId val="-331330976"/>
        <c:scaling>
          <c:orientation val="minMax"/>
        </c:scaling>
        <c:delete val="1"/>
        <c:axPos val="l"/>
        <c:numFmt formatCode="_(* #,##0_);_(* \(#,##0\);_(* &quot;-&quot;??_);_(@_)" sourceLinked="1"/>
        <c:majorTickMark val="none"/>
        <c:minorTickMark val="none"/>
        <c:tickLblPos val="nextTo"/>
        <c:crossAx val="-331352736"/>
        <c:crosses val="autoZero"/>
        <c:crossBetween val="between"/>
      </c:valAx>
    </c:plotArea>
    <c:legend>
      <c:legendPos val="b"/>
      <c:layout>
        <c:manualLayout>
          <c:xMode val="edge"/>
          <c:yMode val="edge"/>
          <c:x val="0.40779258361935528"/>
          <c:y val="0.93278152517624713"/>
          <c:w val="0.18441483276128945"/>
          <c:h val="6.721847482375283E-2"/>
        </c:manualLayout>
      </c:layout>
      <c:overlay val="0"/>
      <c:txPr>
        <a:bodyPr/>
        <a:lstStyle/>
        <a:p>
          <a:pPr>
            <a:defRPr b="1"/>
          </a:pPr>
          <a:endParaRPr lang="en-US"/>
        </a:p>
      </c:txPr>
    </c:legend>
    <c:plotVisOnly val="1"/>
    <c:dispBlanksAs val="gap"/>
    <c:showDLblsOverMax val="0"/>
  </c:chart>
  <c:spPr>
    <a:ln>
      <a:solidFill>
        <a:sysClr val="window" lastClr="FFFFFF">
          <a:lumMod val="50000"/>
        </a:sysClr>
      </a:solidFill>
    </a:ln>
  </c:spPr>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861183581437627E-2"/>
          <c:y val="0.15486679638486298"/>
          <c:w val="0.97747787523561058"/>
          <c:h val="0.70551908494117221"/>
        </c:manualLayout>
      </c:layout>
      <c:lineChart>
        <c:grouping val="standard"/>
        <c:varyColors val="0"/>
        <c:ser>
          <c:idx val="0"/>
          <c:order val="0"/>
          <c:tx>
            <c:strRef>
              <c:f>'Taksat grafiket'!$B$44</c:f>
              <c:strCache>
                <c:ptCount val="1"/>
                <c:pt idx="0">
                  <c:v>Fakt</c:v>
                </c:pt>
              </c:strCache>
            </c:strRef>
          </c:tx>
          <c:dLbls>
            <c:dLbl>
              <c:idx val="0"/>
              <c:layout>
                <c:manualLayout>
                  <c:x val="-2.564102564102563E-2"/>
                  <c:y val="8.63950202945943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713540615115418E-2"/>
                  <c:y val="-7.884973394719106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512113870381583E-2"/>
                  <c:y val="9.316237109705549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376775018507302E-2"/>
                  <c:y val="8.58763965979662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626926441887072E-2"/>
                  <c:y val="-8.58763965979662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05982905982906E-2"/>
                  <c:y val="7.28597449908925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grafiket'!$A$45:$A$50</c:f>
              <c:numCache>
                <c:formatCode>General</c:formatCode>
                <c:ptCount val="6"/>
                <c:pt idx="0">
                  <c:v>2012</c:v>
                </c:pt>
                <c:pt idx="1">
                  <c:v>2013</c:v>
                </c:pt>
                <c:pt idx="2">
                  <c:v>2014</c:v>
                </c:pt>
                <c:pt idx="3">
                  <c:v>2015</c:v>
                </c:pt>
                <c:pt idx="4">
                  <c:v>2016</c:v>
                </c:pt>
                <c:pt idx="5">
                  <c:v>2017</c:v>
                </c:pt>
              </c:numCache>
            </c:numRef>
          </c:cat>
          <c:val>
            <c:numRef>
              <c:f>'Taksat grafiket'!$B$45:$B$50</c:f>
              <c:numCache>
                <c:formatCode>_(* #,##0_);_(* \(#,##0\);_(* "-"??_);_(@_)</c:formatCode>
                <c:ptCount val="6"/>
                <c:pt idx="0">
                  <c:v>10976</c:v>
                </c:pt>
                <c:pt idx="1">
                  <c:v>11988</c:v>
                </c:pt>
                <c:pt idx="2">
                  <c:v>10902</c:v>
                </c:pt>
                <c:pt idx="3">
                  <c:v>11252</c:v>
                </c:pt>
                <c:pt idx="4">
                  <c:v>13429</c:v>
                </c:pt>
                <c:pt idx="5" formatCode="#,##0">
                  <c:v>12914</c:v>
                </c:pt>
              </c:numCache>
            </c:numRef>
          </c:val>
          <c:smooth val="0"/>
        </c:ser>
        <c:ser>
          <c:idx val="1"/>
          <c:order val="1"/>
          <c:tx>
            <c:strRef>
              <c:f>'Taksat grafiket'!$C$44</c:f>
              <c:strCache>
                <c:ptCount val="1"/>
                <c:pt idx="0">
                  <c:v>Plan</c:v>
                </c:pt>
              </c:strCache>
            </c:strRef>
          </c:tx>
          <c:dLbls>
            <c:dLbl>
              <c:idx val="0"/>
              <c:layout>
                <c:manualLayout>
                  <c:x val="-4.0988458173497541E-2"/>
                  <c:y val="-9.30826269667111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693014334746621E-2"/>
                  <c:y val="8.785278889319163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10327074500303E-2"/>
                  <c:y val="-6.75318044260860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422673127397539E-2"/>
                  <c:y val="-7.533640262180342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283902012248468E-2"/>
                  <c:y val="6.050514177531087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461538461538464E-2"/>
                  <c:y val="-6.55737704918032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grafiket'!$A$45:$A$50</c:f>
              <c:numCache>
                <c:formatCode>General</c:formatCode>
                <c:ptCount val="6"/>
                <c:pt idx="0">
                  <c:v>2012</c:v>
                </c:pt>
                <c:pt idx="1">
                  <c:v>2013</c:v>
                </c:pt>
                <c:pt idx="2">
                  <c:v>2014</c:v>
                </c:pt>
                <c:pt idx="3">
                  <c:v>2015</c:v>
                </c:pt>
                <c:pt idx="4">
                  <c:v>2016</c:v>
                </c:pt>
                <c:pt idx="5">
                  <c:v>2017</c:v>
                </c:pt>
              </c:numCache>
            </c:numRef>
          </c:cat>
          <c:val>
            <c:numRef>
              <c:f>'Taksat grafiket'!$C$45:$C$50</c:f>
              <c:numCache>
                <c:formatCode>_(* #,##0_);_(* \(#,##0\);_(* "-"??_);_(@_)</c:formatCode>
                <c:ptCount val="6"/>
                <c:pt idx="0">
                  <c:v>11620</c:v>
                </c:pt>
                <c:pt idx="1">
                  <c:v>11600</c:v>
                </c:pt>
                <c:pt idx="2">
                  <c:v>11200</c:v>
                </c:pt>
                <c:pt idx="3">
                  <c:v>14455</c:v>
                </c:pt>
                <c:pt idx="4">
                  <c:v>13255</c:v>
                </c:pt>
                <c:pt idx="5" formatCode="#,##0">
                  <c:v>14141</c:v>
                </c:pt>
              </c:numCache>
            </c:numRef>
          </c:val>
          <c:smooth val="0"/>
        </c:ser>
        <c:dLbls>
          <c:showLegendKey val="0"/>
          <c:showVal val="1"/>
          <c:showCatName val="0"/>
          <c:showSerName val="0"/>
          <c:showPercent val="0"/>
          <c:showBubbleSize val="0"/>
        </c:dLbls>
        <c:marker val="1"/>
        <c:smooth val="0"/>
        <c:axId val="-331352192"/>
        <c:axId val="-331345120"/>
      </c:lineChart>
      <c:catAx>
        <c:axId val="-331352192"/>
        <c:scaling>
          <c:orientation val="minMax"/>
        </c:scaling>
        <c:delete val="0"/>
        <c:axPos val="b"/>
        <c:numFmt formatCode="General" sourceLinked="1"/>
        <c:majorTickMark val="none"/>
        <c:minorTickMark val="none"/>
        <c:tickLblPos val="nextTo"/>
        <c:txPr>
          <a:bodyPr/>
          <a:lstStyle/>
          <a:p>
            <a:pPr>
              <a:defRPr b="1"/>
            </a:pPr>
            <a:endParaRPr lang="en-US"/>
          </a:p>
        </c:txPr>
        <c:crossAx val="-331345120"/>
        <c:crosses val="autoZero"/>
        <c:auto val="1"/>
        <c:lblAlgn val="ctr"/>
        <c:lblOffset val="100"/>
        <c:noMultiLvlLbl val="0"/>
      </c:catAx>
      <c:valAx>
        <c:axId val="-331345120"/>
        <c:scaling>
          <c:orientation val="minMax"/>
        </c:scaling>
        <c:delete val="1"/>
        <c:axPos val="l"/>
        <c:numFmt formatCode="_(* #,##0_);_(* \(#,##0\);_(* &quot;-&quot;??_);_(@_)" sourceLinked="1"/>
        <c:majorTickMark val="out"/>
        <c:minorTickMark val="none"/>
        <c:tickLblPos val="nextTo"/>
        <c:crossAx val="-331352192"/>
        <c:crosses val="autoZero"/>
        <c:crossBetween val="between"/>
      </c:valAx>
    </c:plotArea>
    <c:legend>
      <c:legendPos val="t"/>
      <c:layout>
        <c:manualLayout>
          <c:xMode val="edge"/>
          <c:yMode val="edge"/>
          <c:x val="0.31291173508971759"/>
          <c:y val="2.2508382624420752E-2"/>
          <c:w val="0.33294673071526443"/>
          <c:h val="0.1251649524670660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171276079573023E-2"/>
          <c:y val="0.16516328711123499"/>
          <c:w val="0.95730228044638521"/>
          <c:h val="0.65909402364527447"/>
        </c:manualLayout>
      </c:layout>
      <c:lineChart>
        <c:grouping val="standard"/>
        <c:varyColors val="0"/>
        <c:ser>
          <c:idx val="0"/>
          <c:order val="0"/>
          <c:tx>
            <c:strRef>
              <c:f>'Taksat grafiket'!$B$54</c:f>
              <c:strCache>
                <c:ptCount val="1"/>
                <c:pt idx="0">
                  <c:v>Fakt</c:v>
                </c:pt>
              </c:strCache>
            </c:strRef>
          </c:tx>
          <c:dLbls>
            <c:dLbl>
              <c:idx val="0"/>
              <c:layout>
                <c:manualLayout>
                  <c:x val="-4.4871794871794872E-2"/>
                  <c:y val="-0.1006289308176100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697719553614753E-2"/>
                  <c:y val="4.8048041555880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34497816593885E-2"/>
                  <c:y val="3.77520326510493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875303250849104E-2"/>
                  <c:y val="4.461603858760376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112081513828238E-2"/>
                  <c:y val="3.088802671449491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7008547008547008E-2"/>
                  <c:y val="-7.5471698113207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grafiket'!$A$55:$A$60</c:f>
              <c:numCache>
                <c:formatCode>General</c:formatCode>
                <c:ptCount val="6"/>
                <c:pt idx="0">
                  <c:v>2012</c:v>
                </c:pt>
                <c:pt idx="1">
                  <c:v>2013</c:v>
                </c:pt>
                <c:pt idx="2">
                  <c:v>2014</c:v>
                </c:pt>
                <c:pt idx="3">
                  <c:v>2015</c:v>
                </c:pt>
                <c:pt idx="4">
                  <c:v>2016</c:v>
                </c:pt>
                <c:pt idx="5">
                  <c:v>2017</c:v>
                </c:pt>
              </c:numCache>
            </c:numRef>
          </c:cat>
          <c:val>
            <c:numRef>
              <c:f>'Taksat grafiket'!$B$55:$B$60</c:f>
              <c:numCache>
                <c:formatCode>_(* #,##0_);_(* \(#,##0\);_(* "-"??_);_(@_)</c:formatCode>
                <c:ptCount val="6"/>
                <c:pt idx="0">
                  <c:v>8921</c:v>
                </c:pt>
                <c:pt idx="1">
                  <c:v>7410</c:v>
                </c:pt>
                <c:pt idx="2">
                  <c:v>9419</c:v>
                </c:pt>
                <c:pt idx="3">
                  <c:v>10505</c:v>
                </c:pt>
                <c:pt idx="4">
                  <c:v>12384</c:v>
                </c:pt>
                <c:pt idx="5" formatCode="#,##0">
                  <c:v>16407</c:v>
                </c:pt>
              </c:numCache>
            </c:numRef>
          </c:val>
          <c:smooth val="0"/>
        </c:ser>
        <c:ser>
          <c:idx val="1"/>
          <c:order val="1"/>
          <c:tx>
            <c:strRef>
              <c:f>'Taksat grafiket'!$C$54</c:f>
              <c:strCache>
                <c:ptCount val="1"/>
                <c:pt idx="0">
                  <c:v>Plan</c:v>
                </c:pt>
              </c:strCache>
            </c:strRef>
          </c:tx>
          <c:dLbls>
            <c:dLbl>
              <c:idx val="0"/>
              <c:layout>
                <c:manualLayout>
                  <c:x val="-3.5130392354801795E-2"/>
                  <c:y val="7.205566285346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733658292713411E-2"/>
                  <c:y val="-9.19535945580766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9609798775153113E-2"/>
                  <c:y val="-7.51488608302660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5728283964504437E-2"/>
                  <c:y val="-9.195359455807669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7040953214181562E-2"/>
                  <c:y val="-7.51488608302660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583510394534018E-2"/>
                  <c:y val="0.152767087546009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grafiket'!$A$55:$A$60</c:f>
              <c:numCache>
                <c:formatCode>General</c:formatCode>
                <c:ptCount val="6"/>
                <c:pt idx="0">
                  <c:v>2012</c:v>
                </c:pt>
                <c:pt idx="1">
                  <c:v>2013</c:v>
                </c:pt>
                <c:pt idx="2">
                  <c:v>2014</c:v>
                </c:pt>
                <c:pt idx="3">
                  <c:v>2015</c:v>
                </c:pt>
                <c:pt idx="4">
                  <c:v>2016</c:v>
                </c:pt>
                <c:pt idx="5">
                  <c:v>2017</c:v>
                </c:pt>
              </c:numCache>
            </c:numRef>
          </c:cat>
          <c:val>
            <c:numRef>
              <c:f>'Taksat grafiket'!$C$55:$C$60</c:f>
              <c:numCache>
                <c:formatCode>_(* #,##0_);_(* \(#,##0\);_(* "-"??_);_(@_)</c:formatCode>
                <c:ptCount val="6"/>
                <c:pt idx="0">
                  <c:v>7250</c:v>
                </c:pt>
                <c:pt idx="1">
                  <c:v>8950</c:v>
                </c:pt>
                <c:pt idx="2">
                  <c:v>10500</c:v>
                </c:pt>
                <c:pt idx="3">
                  <c:v>12259</c:v>
                </c:pt>
                <c:pt idx="4">
                  <c:v>13405</c:v>
                </c:pt>
                <c:pt idx="5" formatCode="#,##0">
                  <c:v>12600</c:v>
                </c:pt>
              </c:numCache>
            </c:numRef>
          </c:val>
          <c:smooth val="0"/>
        </c:ser>
        <c:dLbls>
          <c:showLegendKey val="0"/>
          <c:showVal val="1"/>
          <c:showCatName val="0"/>
          <c:showSerName val="0"/>
          <c:showPercent val="0"/>
          <c:showBubbleSize val="0"/>
        </c:dLbls>
        <c:marker val="1"/>
        <c:smooth val="0"/>
        <c:axId val="-331338048"/>
        <c:axId val="-331344576"/>
      </c:lineChart>
      <c:catAx>
        <c:axId val="-331338048"/>
        <c:scaling>
          <c:orientation val="minMax"/>
        </c:scaling>
        <c:delete val="0"/>
        <c:axPos val="b"/>
        <c:numFmt formatCode="General" sourceLinked="1"/>
        <c:majorTickMark val="none"/>
        <c:minorTickMark val="none"/>
        <c:tickLblPos val="nextTo"/>
        <c:txPr>
          <a:bodyPr/>
          <a:lstStyle/>
          <a:p>
            <a:pPr>
              <a:defRPr sz="800" b="1"/>
            </a:pPr>
            <a:endParaRPr lang="en-US"/>
          </a:p>
        </c:txPr>
        <c:crossAx val="-331344576"/>
        <c:crosses val="autoZero"/>
        <c:auto val="1"/>
        <c:lblAlgn val="ctr"/>
        <c:lblOffset val="100"/>
        <c:noMultiLvlLbl val="0"/>
      </c:catAx>
      <c:valAx>
        <c:axId val="-331344576"/>
        <c:scaling>
          <c:orientation val="minMax"/>
        </c:scaling>
        <c:delete val="1"/>
        <c:axPos val="l"/>
        <c:numFmt formatCode="_(* #,##0_);_(* \(#,##0\);_(* &quot;-&quot;??_);_(@_)" sourceLinked="1"/>
        <c:majorTickMark val="out"/>
        <c:minorTickMark val="none"/>
        <c:tickLblPos val="nextTo"/>
        <c:crossAx val="-331338048"/>
        <c:crosses val="autoZero"/>
        <c:crossBetween val="between"/>
      </c:valAx>
    </c:plotArea>
    <c:legend>
      <c:legendPos val="t"/>
      <c:overlay val="0"/>
      <c:txPr>
        <a:bodyPr/>
        <a:lstStyle/>
        <a:p>
          <a:pPr>
            <a:defRPr b="1"/>
          </a:pPr>
          <a:endParaRPr lang="en-US"/>
        </a:p>
      </c:tx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739018087855296E-2"/>
          <c:y val="8.5721501028587666E-2"/>
          <c:w val="0.95452196382428944"/>
          <c:h val="0.6808909697098674"/>
        </c:manualLayout>
      </c:layout>
      <c:lineChart>
        <c:grouping val="standard"/>
        <c:varyColors val="0"/>
        <c:ser>
          <c:idx val="0"/>
          <c:order val="0"/>
          <c:tx>
            <c:strRef>
              <c:f>Sheet1!$B$1</c:f>
              <c:strCache>
                <c:ptCount val="1"/>
                <c:pt idx="0">
                  <c:v>Realizimi 2016</c:v>
                </c:pt>
              </c:strCache>
            </c:strRef>
          </c:tx>
          <c:marker>
            <c:symbol val="none"/>
          </c:marker>
          <c:cat>
            <c:strRef>
              <c:f>Sheet1!$A$2:$A$13</c:f>
              <c:strCache>
                <c:ptCount val="12"/>
                <c:pt idx="0">
                  <c:v>Janar</c:v>
                </c:pt>
                <c:pt idx="1">
                  <c:v>Shkurt</c:v>
                </c:pt>
                <c:pt idx="2">
                  <c:v>Mars </c:v>
                </c:pt>
                <c:pt idx="3">
                  <c:v>Prill</c:v>
                </c:pt>
                <c:pt idx="4">
                  <c:v>Maj </c:v>
                </c:pt>
                <c:pt idx="5">
                  <c:v>Qershor </c:v>
                </c:pt>
                <c:pt idx="6">
                  <c:v>Korrik</c:v>
                </c:pt>
                <c:pt idx="7">
                  <c:v>Gusht</c:v>
                </c:pt>
                <c:pt idx="8">
                  <c:v>Shtator</c:v>
                </c:pt>
                <c:pt idx="9">
                  <c:v>Tetor</c:v>
                </c:pt>
                <c:pt idx="10">
                  <c:v>Nentor</c:v>
                </c:pt>
                <c:pt idx="11">
                  <c:v>Dhjetor</c:v>
                </c:pt>
              </c:strCache>
            </c:strRef>
          </c:cat>
          <c:val>
            <c:numRef>
              <c:f>Sheet1!$B$2:$B$13</c:f>
              <c:numCache>
                <c:formatCode>_(* #,##0_);_(* \(#,##0\);_(* "-"??_);_(@_)</c:formatCode>
                <c:ptCount val="12"/>
                <c:pt idx="0">
                  <c:v>28429</c:v>
                </c:pt>
                <c:pt idx="1">
                  <c:v>25173</c:v>
                </c:pt>
                <c:pt idx="2">
                  <c:v>30962</c:v>
                </c:pt>
                <c:pt idx="3">
                  <c:v>29023</c:v>
                </c:pt>
                <c:pt idx="4">
                  <c:v>27615</c:v>
                </c:pt>
                <c:pt idx="5">
                  <c:v>28927</c:v>
                </c:pt>
                <c:pt idx="6">
                  <c:v>31242</c:v>
                </c:pt>
                <c:pt idx="7">
                  <c:v>29834</c:v>
                </c:pt>
                <c:pt idx="8">
                  <c:v>28043</c:v>
                </c:pt>
                <c:pt idx="9">
                  <c:v>30178</c:v>
                </c:pt>
                <c:pt idx="10">
                  <c:v>28905</c:v>
                </c:pt>
                <c:pt idx="11">
                  <c:v>31283</c:v>
                </c:pt>
              </c:numCache>
            </c:numRef>
          </c:val>
          <c:smooth val="0"/>
        </c:ser>
        <c:ser>
          <c:idx val="1"/>
          <c:order val="1"/>
          <c:tx>
            <c:strRef>
              <c:f>Sheet1!$C$1</c:f>
              <c:strCache>
                <c:ptCount val="1"/>
                <c:pt idx="0">
                  <c:v>Realizimi 2017</c:v>
                </c:pt>
              </c:strCache>
            </c:strRef>
          </c:tx>
          <c:marker>
            <c:symbol val="none"/>
          </c:marker>
          <c:dLbls>
            <c:dLbl>
              <c:idx val="0"/>
              <c:layout>
                <c:manualLayout>
                  <c:x val="-7.9092514491097582E-2"/>
                  <c:y val="-8.10810810810810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2036579200686979E-2"/>
                  <c:y val="-5.7380719301979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01238928247426E-2"/>
                  <c:y val="-8.413024047669716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916167664670656E-2"/>
                  <c:y val="-7.692307692307692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952095808383235E-2"/>
                  <c:y val="-6.15384615384615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Janar</c:v>
                </c:pt>
                <c:pt idx="1">
                  <c:v>Shkurt</c:v>
                </c:pt>
                <c:pt idx="2">
                  <c:v>Mars </c:v>
                </c:pt>
                <c:pt idx="3">
                  <c:v>Prill</c:v>
                </c:pt>
                <c:pt idx="4">
                  <c:v>Maj </c:v>
                </c:pt>
                <c:pt idx="5">
                  <c:v>Qershor </c:v>
                </c:pt>
                <c:pt idx="6">
                  <c:v>Korrik</c:v>
                </c:pt>
                <c:pt idx="7">
                  <c:v>Gusht</c:v>
                </c:pt>
                <c:pt idx="8">
                  <c:v>Shtator</c:v>
                </c:pt>
                <c:pt idx="9">
                  <c:v>Tetor</c:v>
                </c:pt>
                <c:pt idx="10">
                  <c:v>Nentor</c:v>
                </c:pt>
                <c:pt idx="11">
                  <c:v>Dhjetor</c:v>
                </c:pt>
              </c:strCache>
            </c:strRef>
          </c:cat>
          <c:val>
            <c:numRef>
              <c:f>Sheet1!$C$2:$C$13</c:f>
              <c:numCache>
                <c:formatCode>_(* #,##0_);_(* \(#,##0\);_(* "-"??_);_(@_)</c:formatCode>
                <c:ptCount val="12"/>
                <c:pt idx="0">
                  <c:v>29583</c:v>
                </c:pt>
                <c:pt idx="1">
                  <c:v>26894</c:v>
                </c:pt>
                <c:pt idx="2">
                  <c:v>33120</c:v>
                </c:pt>
                <c:pt idx="3">
                  <c:v>30976</c:v>
                </c:pt>
                <c:pt idx="4">
                  <c:v>31696</c:v>
                </c:pt>
              </c:numCache>
            </c:numRef>
          </c:val>
          <c:smooth val="0"/>
        </c:ser>
        <c:ser>
          <c:idx val="2"/>
          <c:order val="2"/>
          <c:tx>
            <c:strRef>
              <c:f>Sheet1!$D$1</c:f>
              <c:strCache>
                <c:ptCount val="1"/>
                <c:pt idx="0">
                  <c:v>Plan 2017</c:v>
                </c:pt>
              </c:strCache>
            </c:strRef>
          </c:tx>
          <c:marker>
            <c:symbol val="none"/>
          </c:marker>
          <c:cat>
            <c:strRef>
              <c:f>Sheet1!$A$2:$A$13</c:f>
              <c:strCache>
                <c:ptCount val="12"/>
                <c:pt idx="0">
                  <c:v>Janar</c:v>
                </c:pt>
                <c:pt idx="1">
                  <c:v>Shkurt</c:v>
                </c:pt>
                <c:pt idx="2">
                  <c:v>Mars </c:v>
                </c:pt>
                <c:pt idx="3">
                  <c:v>Prill</c:v>
                </c:pt>
                <c:pt idx="4">
                  <c:v>Maj </c:v>
                </c:pt>
                <c:pt idx="5">
                  <c:v>Qershor </c:v>
                </c:pt>
                <c:pt idx="6">
                  <c:v>Korrik</c:v>
                </c:pt>
                <c:pt idx="7">
                  <c:v>Gusht</c:v>
                </c:pt>
                <c:pt idx="8">
                  <c:v>Shtator</c:v>
                </c:pt>
                <c:pt idx="9">
                  <c:v>Tetor</c:v>
                </c:pt>
                <c:pt idx="10">
                  <c:v>Nentor</c:v>
                </c:pt>
                <c:pt idx="11">
                  <c:v>Dhjetor</c:v>
                </c:pt>
              </c:strCache>
            </c:strRef>
          </c:cat>
          <c:val>
            <c:numRef>
              <c:f>Sheet1!$D$2:$D$13</c:f>
              <c:numCache>
                <c:formatCode>0</c:formatCode>
                <c:ptCount val="12"/>
                <c:pt idx="0">
                  <c:v>27365.72411426004</c:v>
                </c:pt>
                <c:pt idx="1">
                  <c:v>25798.516881247608</c:v>
                </c:pt>
                <c:pt idx="2">
                  <c:v>31072.25995815076</c:v>
                </c:pt>
                <c:pt idx="3">
                  <c:v>29639.573910753847</c:v>
                </c:pt>
                <c:pt idx="4">
                  <c:v>28456.023216264093</c:v>
                </c:pt>
                <c:pt idx="5">
                  <c:v>32169.237100224404</c:v>
                </c:pt>
                <c:pt idx="6">
                  <c:v>34699.02797117085</c:v>
                </c:pt>
                <c:pt idx="7">
                  <c:v>31790.706537901191</c:v>
                </c:pt>
                <c:pt idx="8">
                  <c:v>32123.129563321512</c:v>
                </c:pt>
                <c:pt idx="9">
                  <c:v>34594.079448102988</c:v>
                </c:pt>
                <c:pt idx="10">
                  <c:v>33172.744338021599</c:v>
                </c:pt>
                <c:pt idx="11">
                  <c:v>36768.976960581116</c:v>
                </c:pt>
              </c:numCache>
            </c:numRef>
          </c:val>
          <c:smooth val="0"/>
        </c:ser>
        <c:dLbls>
          <c:showLegendKey val="0"/>
          <c:showVal val="0"/>
          <c:showCatName val="0"/>
          <c:showSerName val="0"/>
          <c:showPercent val="0"/>
          <c:showBubbleSize val="0"/>
        </c:dLbls>
        <c:smooth val="0"/>
        <c:axId val="-327972416"/>
        <c:axId val="-327969152"/>
      </c:lineChart>
      <c:catAx>
        <c:axId val="-327972416"/>
        <c:scaling>
          <c:orientation val="minMax"/>
        </c:scaling>
        <c:delete val="0"/>
        <c:axPos val="b"/>
        <c:numFmt formatCode="General" sourceLinked="0"/>
        <c:majorTickMark val="none"/>
        <c:minorTickMark val="none"/>
        <c:tickLblPos val="nextTo"/>
        <c:crossAx val="-327969152"/>
        <c:crosses val="autoZero"/>
        <c:auto val="1"/>
        <c:lblAlgn val="ctr"/>
        <c:lblOffset val="100"/>
        <c:noMultiLvlLbl val="0"/>
      </c:catAx>
      <c:valAx>
        <c:axId val="-327969152"/>
        <c:scaling>
          <c:orientation val="minMax"/>
        </c:scaling>
        <c:delete val="1"/>
        <c:axPos val="l"/>
        <c:majorGridlines>
          <c:spPr>
            <a:ln>
              <a:noFill/>
            </a:ln>
          </c:spPr>
        </c:majorGridlines>
        <c:numFmt formatCode="_(* #,##0_);_(* \(#,##0\);_(* &quot;-&quot;??_);_(@_)" sourceLinked="1"/>
        <c:majorTickMark val="none"/>
        <c:minorTickMark val="none"/>
        <c:tickLblPos val="nextTo"/>
        <c:crossAx val="-327972416"/>
        <c:crosses val="autoZero"/>
        <c:crossBetween val="between"/>
      </c:valAx>
      <c:spPr>
        <a:ln>
          <a:noFill/>
        </a:ln>
      </c:spPr>
    </c:plotArea>
    <c:legend>
      <c:legendPos val="b"/>
      <c:layout>
        <c:manualLayout>
          <c:xMode val="edge"/>
          <c:yMode val="edge"/>
          <c:x val="7.7754001066489359E-2"/>
          <c:y val="0.59881069553805777"/>
          <c:w val="0.75900636431000212"/>
          <c:h val="0.14582166418386888"/>
        </c:manualLayout>
      </c:layout>
      <c:overlay val="0"/>
      <c:txPr>
        <a:bodyPr/>
        <a:lstStyle/>
        <a:p>
          <a:pPr>
            <a:defRPr sz="700"/>
          </a:pPr>
          <a:endParaRPr lang="en-US"/>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5172845581802274"/>
          <c:w val="0.98109965635738827"/>
          <c:h val="0.71782597090617917"/>
        </c:manualLayout>
      </c:layout>
      <c:lineChart>
        <c:grouping val="standard"/>
        <c:varyColors val="0"/>
        <c:ser>
          <c:idx val="0"/>
          <c:order val="0"/>
          <c:tx>
            <c:strRef>
              <c:f>'Taksat grafiket'!$B$65</c:f>
              <c:strCache>
                <c:ptCount val="1"/>
                <c:pt idx="0">
                  <c:v>Fakt</c:v>
                </c:pt>
              </c:strCache>
            </c:strRef>
          </c:tx>
          <c:dLbls>
            <c:dLbl>
              <c:idx val="0"/>
              <c:layout>
                <c:manualLayout>
                  <c:x val="-3.2707954774883911E-2"/>
                  <c:y val="6.84397783610382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263611279359313E-2"/>
                  <c:y val="5.95247594050744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480045763510329E-2"/>
                  <c:y val="-5.30435695538057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795982232990107E-2"/>
                  <c:y val="-6.163522892971711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176054916212399E-2"/>
                  <c:y val="-6.55038786818314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1136348341072752E-2"/>
                  <c:y val="-7.47711869349664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grafiket'!$A$66:$A$71</c:f>
              <c:numCache>
                <c:formatCode>General</c:formatCode>
                <c:ptCount val="6"/>
                <c:pt idx="0">
                  <c:v>2012</c:v>
                </c:pt>
                <c:pt idx="1">
                  <c:v>2013</c:v>
                </c:pt>
                <c:pt idx="2">
                  <c:v>2014</c:v>
                </c:pt>
                <c:pt idx="3">
                  <c:v>2015</c:v>
                </c:pt>
                <c:pt idx="4">
                  <c:v>2016</c:v>
                </c:pt>
                <c:pt idx="5">
                  <c:v>2017</c:v>
                </c:pt>
              </c:numCache>
            </c:numRef>
          </c:cat>
          <c:val>
            <c:numRef>
              <c:f>'Taksat grafiket'!$B$66:$B$71</c:f>
              <c:numCache>
                <c:formatCode>_(* #,##0_);_(* \(#,##0\);_(* "-"??_);_(@_)</c:formatCode>
                <c:ptCount val="6"/>
                <c:pt idx="0">
                  <c:v>22395</c:v>
                </c:pt>
                <c:pt idx="1">
                  <c:v>22977</c:v>
                </c:pt>
                <c:pt idx="2">
                  <c:v>25000</c:v>
                </c:pt>
                <c:pt idx="3">
                  <c:v>27398</c:v>
                </c:pt>
                <c:pt idx="4">
                  <c:v>31168</c:v>
                </c:pt>
                <c:pt idx="5">
                  <c:v>33544</c:v>
                </c:pt>
              </c:numCache>
            </c:numRef>
          </c:val>
          <c:smooth val="0"/>
        </c:ser>
        <c:ser>
          <c:idx val="1"/>
          <c:order val="1"/>
          <c:tx>
            <c:strRef>
              <c:f>'Taksat grafiket'!$C$65</c:f>
              <c:strCache>
                <c:ptCount val="1"/>
                <c:pt idx="0">
                  <c:v>Plan</c:v>
                </c:pt>
              </c:strCache>
            </c:strRef>
          </c:tx>
          <c:dLbls>
            <c:dLbl>
              <c:idx val="0"/>
              <c:layout>
                <c:manualLayout>
                  <c:x val="-5.1309812235009085E-2"/>
                  <c:y val="-7.735573053368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789588801399828E-2"/>
                  <c:y val="-6.859982502187227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099973080288044E-2"/>
                  <c:y val="7.467553222513852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844706911636047E-2"/>
                  <c:y val="7.408153980752406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859950198532876E-2"/>
                  <c:y val="7.618221055701371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4536980954303786E-2"/>
                  <c:y val="6.52057159521726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'Taksat grafiket'!$A$66:$A$71</c:f>
              <c:numCache>
                <c:formatCode>General</c:formatCode>
                <c:ptCount val="6"/>
                <c:pt idx="0">
                  <c:v>2012</c:v>
                </c:pt>
                <c:pt idx="1">
                  <c:v>2013</c:v>
                </c:pt>
                <c:pt idx="2">
                  <c:v>2014</c:v>
                </c:pt>
                <c:pt idx="3">
                  <c:v>2015</c:v>
                </c:pt>
                <c:pt idx="4">
                  <c:v>2016</c:v>
                </c:pt>
                <c:pt idx="5">
                  <c:v>2017</c:v>
                </c:pt>
              </c:numCache>
            </c:numRef>
          </c:cat>
          <c:val>
            <c:numRef>
              <c:f>'Taksat grafiket'!$C$66:$C$71</c:f>
              <c:numCache>
                <c:formatCode>_(* #,##0_);_(* \(#,##0\);_(* "-"??_);_(@_)</c:formatCode>
                <c:ptCount val="6"/>
                <c:pt idx="0">
                  <c:v>22680</c:v>
                </c:pt>
                <c:pt idx="1">
                  <c:v>23500</c:v>
                </c:pt>
                <c:pt idx="2">
                  <c:v>24900</c:v>
                </c:pt>
                <c:pt idx="3">
                  <c:v>26628</c:v>
                </c:pt>
                <c:pt idx="4">
                  <c:v>30370</c:v>
                </c:pt>
                <c:pt idx="5">
                  <c:v>32072</c:v>
                </c:pt>
              </c:numCache>
            </c:numRef>
          </c:val>
          <c:smooth val="0"/>
        </c:ser>
        <c:dLbls>
          <c:showLegendKey val="0"/>
          <c:showVal val="1"/>
          <c:showCatName val="0"/>
          <c:showSerName val="0"/>
          <c:showPercent val="0"/>
          <c:showBubbleSize val="0"/>
        </c:dLbls>
        <c:marker val="1"/>
        <c:smooth val="0"/>
        <c:axId val="-331359264"/>
        <c:axId val="-331344032"/>
      </c:lineChart>
      <c:catAx>
        <c:axId val="-331359264"/>
        <c:scaling>
          <c:orientation val="minMax"/>
        </c:scaling>
        <c:delete val="0"/>
        <c:axPos val="b"/>
        <c:numFmt formatCode="General" sourceLinked="1"/>
        <c:majorTickMark val="none"/>
        <c:minorTickMark val="none"/>
        <c:tickLblPos val="nextTo"/>
        <c:txPr>
          <a:bodyPr/>
          <a:lstStyle/>
          <a:p>
            <a:pPr>
              <a:defRPr b="1"/>
            </a:pPr>
            <a:endParaRPr lang="en-US"/>
          </a:p>
        </c:txPr>
        <c:crossAx val="-331344032"/>
        <c:crosses val="autoZero"/>
        <c:auto val="1"/>
        <c:lblAlgn val="ctr"/>
        <c:lblOffset val="100"/>
        <c:noMultiLvlLbl val="0"/>
      </c:catAx>
      <c:valAx>
        <c:axId val="-331344032"/>
        <c:scaling>
          <c:orientation val="minMax"/>
        </c:scaling>
        <c:delete val="1"/>
        <c:axPos val="l"/>
        <c:numFmt formatCode="_(* #,##0_);_(* \(#,##0\);_(* &quot;-&quot;??_);_(@_)" sourceLinked="1"/>
        <c:majorTickMark val="out"/>
        <c:minorTickMark val="none"/>
        <c:tickLblPos val="nextTo"/>
        <c:crossAx val="-331359264"/>
        <c:crosses val="autoZero"/>
        <c:crossBetween val="between"/>
      </c:valAx>
    </c:plotArea>
    <c:legend>
      <c:legendPos val="t"/>
      <c:layout>
        <c:manualLayout>
          <c:xMode val="edge"/>
          <c:yMode val="edge"/>
          <c:x val="0.40626051551248404"/>
          <c:y val="3.3898305084745763E-2"/>
          <c:w val="0.19602580927384078"/>
          <c:h val="8.3453445437964319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8963864235797"/>
          <c:y val="5.2293796054195388E-2"/>
          <c:w val="0.83127883770029964"/>
          <c:h val="0.70985066134620034"/>
        </c:manualLayout>
      </c:layout>
      <c:bar3DChart>
        <c:barDir val="col"/>
        <c:grouping val="clustered"/>
        <c:varyColors val="0"/>
        <c:ser>
          <c:idx val="0"/>
          <c:order val="0"/>
          <c:tx>
            <c:strRef>
              <c:f>'Stoku i Borxhit'!$A$17</c:f>
              <c:strCache>
                <c:ptCount val="1"/>
                <c:pt idx="0">
                  <c:v>Borxhi i Brendshëm/Borxhit të Qeverisjes Qendrore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'Stoku i Borxhit'!$B$16:$G$16</c:f>
              <c:numCache>
                <c:formatCode>General</c:formatCode>
                <c:ptCount val="6"/>
                <c:pt idx="0">
                  <c:v>2012</c:v>
                </c:pt>
                <c:pt idx="1">
                  <c:v>2013</c:v>
                </c:pt>
                <c:pt idx="2">
                  <c:v>2014</c:v>
                </c:pt>
                <c:pt idx="3">
                  <c:v>2015</c:v>
                </c:pt>
                <c:pt idx="4">
                  <c:v>2016</c:v>
                </c:pt>
                <c:pt idx="5" formatCode="mmm\-yy">
                  <c:v>42826</c:v>
                </c:pt>
              </c:numCache>
            </c:numRef>
          </c:cat>
          <c:val>
            <c:numRef>
              <c:f>'Stoku i Borxhit'!$B$17:$G$17</c:f>
              <c:numCache>
                <c:formatCode>0.00%</c:formatCode>
                <c:ptCount val="6"/>
                <c:pt idx="0">
                  <c:v>0.56807896121663704</c:v>
                </c:pt>
                <c:pt idx="1">
                  <c:v>0.58866384232794733</c:v>
                </c:pt>
                <c:pt idx="2">
                  <c:v>0.57790615179690363</c:v>
                </c:pt>
                <c:pt idx="3">
                  <c:v>0.52901197613846362</c:v>
                </c:pt>
                <c:pt idx="4">
                  <c:v>0.52652262745704848</c:v>
                </c:pt>
                <c:pt idx="5">
                  <c:v>0.52993386880881532</c:v>
                </c:pt>
              </c:numCache>
            </c:numRef>
          </c:val>
        </c:ser>
        <c:ser>
          <c:idx val="1"/>
          <c:order val="1"/>
          <c:tx>
            <c:strRef>
              <c:f>'Stoku i Borxhit'!$A$18</c:f>
              <c:strCache>
                <c:ptCount val="1"/>
                <c:pt idx="0">
                  <c:v>Borxhi i Jashtëm/Borxhit të Qeverisjes Qendrore</c:v>
                </c:pt>
              </c:strCache>
            </c:strRef>
          </c:tx>
          <c:spPr>
            <a:pattFill prst="ltDnDiag">
              <a:fgClr>
                <a:srgbClr val="C00000"/>
              </a:fgClr>
              <a:bgClr>
                <a:sysClr val="window" lastClr="FFFFFF"/>
              </a:bgClr>
            </a:pattFill>
            <a:ln>
              <a:noFill/>
            </a:ln>
            <a:effectLst/>
            <a:sp3d/>
          </c:spPr>
          <c:invertIfNegative val="0"/>
          <c:dLbls>
            <c:dLbl>
              <c:idx val="0"/>
              <c:layout>
                <c:manualLayout>
                  <c:x val="3.1283056005656472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15471684645074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505390219046179E-2"/>
                  <c:y val="4.629629629629629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838620624081074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864100497431764E-2"/>
                  <c:y val="9.259063611523697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3303760673761647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overflow" horzOverflow="overflow" vert="horz" wrap="square" lIns="1440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'Stoku i Borxhit'!$B$16:$G$16</c:f>
              <c:numCache>
                <c:formatCode>General</c:formatCode>
                <c:ptCount val="6"/>
                <c:pt idx="0">
                  <c:v>2012</c:v>
                </c:pt>
                <c:pt idx="1">
                  <c:v>2013</c:v>
                </c:pt>
                <c:pt idx="2">
                  <c:v>2014</c:v>
                </c:pt>
                <c:pt idx="3">
                  <c:v>2015</c:v>
                </c:pt>
                <c:pt idx="4">
                  <c:v>2016</c:v>
                </c:pt>
                <c:pt idx="5" formatCode="mmm\-yy">
                  <c:v>42826</c:v>
                </c:pt>
              </c:numCache>
            </c:numRef>
          </c:cat>
          <c:val>
            <c:numRef>
              <c:f>'Stoku i Borxhit'!$B$18:$G$18</c:f>
              <c:numCache>
                <c:formatCode>0.00%</c:formatCode>
                <c:ptCount val="6"/>
                <c:pt idx="0">
                  <c:v>0.4319210387833628</c:v>
                </c:pt>
                <c:pt idx="1">
                  <c:v>0.4113361576720525</c:v>
                </c:pt>
                <c:pt idx="2">
                  <c:v>0.42209384820309642</c:v>
                </c:pt>
                <c:pt idx="3">
                  <c:v>0.47098802386153638</c:v>
                </c:pt>
                <c:pt idx="4">
                  <c:v>0.47347737254295147</c:v>
                </c:pt>
                <c:pt idx="5">
                  <c:v>0.47006613119118473</c:v>
                </c:pt>
              </c:numCache>
            </c:numRef>
          </c:val>
        </c:ser>
        <c:dLbls>
          <c:showLegendKey val="0"/>
          <c:showVal val="0"/>
          <c:showCatName val="0"/>
          <c:showSerName val="0"/>
          <c:showPercent val="0"/>
          <c:showBubbleSize val="0"/>
        </c:dLbls>
        <c:gapWidth val="150"/>
        <c:shape val="box"/>
        <c:axId val="-331336416"/>
        <c:axId val="-331341856"/>
        <c:axId val="0"/>
      </c:bar3DChart>
      <c:catAx>
        <c:axId val="-331336416"/>
        <c:scaling>
          <c:orientation val="minMax"/>
        </c:scaling>
        <c:delete val="0"/>
        <c:axPos val="b"/>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41856"/>
        <c:crosses val="autoZero"/>
        <c:auto val="1"/>
        <c:lblAlgn val="ctr"/>
        <c:lblOffset val="100"/>
        <c:noMultiLvlLbl val="0"/>
      </c:catAx>
      <c:valAx>
        <c:axId val="-331341856"/>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36416"/>
        <c:crosses val="autoZero"/>
        <c:crossBetween val="between"/>
      </c:valAx>
      <c:spPr>
        <a:noFill/>
        <a:ln>
          <a:noFill/>
        </a:ln>
        <a:effectLst/>
      </c:spPr>
    </c:plotArea>
    <c:legend>
      <c:legendPos val="b"/>
      <c:layout>
        <c:manualLayout>
          <c:xMode val="edge"/>
          <c:yMode val="edge"/>
          <c:x val="0"/>
          <c:y val="0.85341266617879108"/>
          <c:w val="1"/>
          <c:h val="0.120602328023914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'Stoku i Borxhit'!$A$13</c:f>
              <c:strCache>
                <c:ptCount val="1"/>
                <c:pt idx="0">
                  <c:v>Borxhi Shtetëror/PBB</c:v>
                </c:pt>
              </c:strCache>
            </c:strRef>
          </c:tx>
          <c:spPr>
            <a:pattFill prst="ltDnDiag">
              <a:fgClr>
                <a:srgbClr val="4472C4">
                  <a:lumMod val="50000"/>
                </a:srgbClr>
              </a:fgClr>
              <a:bgClr>
                <a:sysClr val="window" lastClr="FFFFFF"/>
              </a:bgClr>
            </a:pattFill>
            <a:ln>
              <a:noFill/>
            </a:ln>
            <a:effectLs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'Stoku i Borxhit'!$B$3:$G$3</c:f>
              <c:numCache>
                <c:formatCode>General</c:formatCode>
                <c:ptCount val="6"/>
                <c:pt idx="0">
                  <c:v>2012</c:v>
                </c:pt>
                <c:pt idx="1">
                  <c:v>2013</c:v>
                </c:pt>
                <c:pt idx="2">
                  <c:v>2014</c:v>
                </c:pt>
                <c:pt idx="3">
                  <c:v>2015</c:v>
                </c:pt>
                <c:pt idx="4">
                  <c:v>2016</c:v>
                </c:pt>
                <c:pt idx="5" formatCode="mmm\-yy">
                  <c:v>42826</c:v>
                </c:pt>
              </c:numCache>
            </c:numRef>
          </c:cat>
          <c:val>
            <c:numRef>
              <c:f>'Stoku i Borxhit'!$B$13:$G$13</c:f>
              <c:numCache>
                <c:formatCode>0.00%</c:formatCode>
                <c:ptCount val="6"/>
                <c:pt idx="0">
                  <c:v>0.58112357096982947</c:v>
                </c:pt>
                <c:pt idx="1">
                  <c:v>0.61728562117941688</c:v>
                </c:pt>
                <c:pt idx="2">
                  <c:v>0.66161026825149705</c:v>
                </c:pt>
                <c:pt idx="3">
                  <c:v>0.68740101802905251</c:v>
                </c:pt>
                <c:pt idx="4">
                  <c:v>0.67397798331292402</c:v>
                </c:pt>
                <c:pt idx="5">
                  <c:v>0.64443347519578642</c:v>
                </c:pt>
              </c:numCache>
            </c:numRef>
          </c:val>
        </c:ser>
        <c:ser>
          <c:idx val="1"/>
          <c:order val="1"/>
          <c:tx>
            <c:strRef>
              <c:f>'Stoku i Borxhit'!$A$14</c:f>
              <c:strCache>
                <c:ptCount val="1"/>
                <c:pt idx="0">
                  <c:v>Borxhi i Garantuar/PBB</c:v>
                </c:pt>
              </c:strCache>
            </c:strRef>
          </c:tx>
          <c:spPr>
            <a:solidFill>
              <a:schemeClr val="accent2"/>
            </a:solidFill>
            <a:ln>
              <a:noFill/>
            </a:ln>
            <a:effectLst/>
            <a:sp3d/>
          </c:spPr>
          <c:invertIfNegative val="0"/>
          <c:dLbls>
            <c:dLbl>
              <c:idx val="0"/>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925337632079971E-17"/>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32E-3"/>
                  <c:y val="2.777777777777775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185067526415994E-16"/>
                  <c:y val="4.166666666666662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5741E-3"/>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'Stoku i Borxhit'!$B$3:$G$3</c:f>
              <c:numCache>
                <c:formatCode>General</c:formatCode>
                <c:ptCount val="6"/>
                <c:pt idx="0">
                  <c:v>2012</c:v>
                </c:pt>
                <c:pt idx="1">
                  <c:v>2013</c:v>
                </c:pt>
                <c:pt idx="2">
                  <c:v>2014</c:v>
                </c:pt>
                <c:pt idx="3">
                  <c:v>2015</c:v>
                </c:pt>
                <c:pt idx="4">
                  <c:v>2016</c:v>
                </c:pt>
                <c:pt idx="5" formatCode="mmm\-yy">
                  <c:v>42826</c:v>
                </c:pt>
              </c:numCache>
            </c:numRef>
          </c:cat>
          <c:val>
            <c:numRef>
              <c:f>'Stoku i Borxhit'!$B$14:$G$14</c:f>
              <c:numCache>
                <c:formatCode>0.00%</c:formatCode>
                <c:ptCount val="6"/>
                <c:pt idx="0">
                  <c:v>4.0105390208969811E-2</c:v>
                </c:pt>
                <c:pt idx="1">
                  <c:v>3.8016445162031967E-2</c:v>
                </c:pt>
                <c:pt idx="2">
                  <c:v>3.9113070173365454E-2</c:v>
                </c:pt>
                <c:pt idx="3">
                  <c:v>3.9052428438769389E-2</c:v>
                </c:pt>
                <c:pt idx="4">
                  <c:v>3.5600305097346595E-2</c:v>
                </c:pt>
                <c:pt idx="5">
                  <c:v>3.2743416049542028E-2</c:v>
                </c:pt>
              </c:numCache>
            </c:numRef>
          </c:val>
        </c:ser>
        <c:dLbls>
          <c:showLegendKey val="0"/>
          <c:showVal val="0"/>
          <c:showCatName val="0"/>
          <c:showSerName val="0"/>
          <c:showPercent val="0"/>
          <c:showBubbleSize val="0"/>
        </c:dLbls>
        <c:gapWidth val="150"/>
        <c:shape val="box"/>
        <c:axId val="-331334240"/>
        <c:axId val="-331343488"/>
        <c:axId val="0"/>
      </c:bar3DChart>
      <c:catAx>
        <c:axId val="-331334240"/>
        <c:scaling>
          <c:orientation val="minMax"/>
        </c:scaling>
        <c:delete val="0"/>
        <c:axPos val="b"/>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43488"/>
        <c:crosses val="autoZero"/>
        <c:auto val="1"/>
        <c:lblAlgn val="ctr"/>
        <c:lblOffset val="100"/>
        <c:noMultiLvlLbl val="0"/>
      </c:catAx>
      <c:valAx>
        <c:axId val="-331343488"/>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3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99642090193272"/>
          <c:y val="5.8902275769745646E-2"/>
          <c:w val="0.76738453147901964"/>
          <c:h val="0.68367664885262835"/>
        </c:manualLayout>
      </c:layout>
      <c:barChart>
        <c:barDir val="col"/>
        <c:grouping val="clustered"/>
        <c:varyColors val="0"/>
        <c:ser>
          <c:idx val="0"/>
          <c:order val="0"/>
          <c:tx>
            <c:strRef>
              <c:f>'BB sipas titujve'!$I$21</c:f>
              <c:strCache>
                <c:ptCount val="1"/>
                <c:pt idx="0">
                  <c:v>Bono Thesari</c:v>
                </c:pt>
              </c:strCache>
            </c:strRef>
          </c:tx>
          <c:spPr>
            <a:solidFill>
              <a:schemeClr val="accent1"/>
            </a:solidFill>
            <a:ln>
              <a:noFill/>
            </a:ln>
            <a:effectLst/>
          </c:spPr>
          <c:invertIfNegative val="0"/>
          <c:dLbls>
            <c:dLbl>
              <c:idx val="1"/>
              <c:layout>
                <c:manualLayout>
                  <c:x val="0"/>
                  <c:y val="2.6773761713520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606425702811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731843575419E-2"/>
                  <c:y val="2.67737617135207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4487895716945996E-3"/>
                  <c:y val="5.354752342704149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655956459999099E-16"/>
                  <c:y val="1.60642570281124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'BB sipas titujve'!$J$20:$O$20</c:f>
              <c:numCache>
                <c:formatCode>General</c:formatCode>
                <c:ptCount val="6"/>
                <c:pt idx="0">
                  <c:v>2012</c:v>
                </c:pt>
                <c:pt idx="1">
                  <c:v>2013</c:v>
                </c:pt>
                <c:pt idx="2">
                  <c:v>2014</c:v>
                </c:pt>
                <c:pt idx="3">
                  <c:v>2015</c:v>
                </c:pt>
                <c:pt idx="4">
                  <c:v>2016</c:v>
                </c:pt>
                <c:pt idx="5" formatCode="mmm\-yy">
                  <c:v>42826</c:v>
                </c:pt>
              </c:numCache>
            </c:numRef>
          </c:cat>
          <c:val>
            <c:numRef>
              <c:f>'BB sipas titujve'!$J$21:$O$21</c:f>
              <c:numCache>
                <c:formatCode>0</c:formatCode>
                <c:ptCount val="6"/>
                <c:pt idx="0">
                  <c:v>250.35229599999997</c:v>
                </c:pt>
                <c:pt idx="1">
                  <c:v>245.78210300000001</c:v>
                </c:pt>
                <c:pt idx="2">
                  <c:v>260.598905</c:v>
                </c:pt>
                <c:pt idx="3">
                  <c:v>223.82058799999999</c:v>
                </c:pt>
                <c:pt idx="4">
                  <c:v>209.40881099999999</c:v>
                </c:pt>
                <c:pt idx="5">
                  <c:v>204.85499999999999</c:v>
                </c:pt>
              </c:numCache>
            </c:numRef>
          </c:val>
        </c:ser>
        <c:ser>
          <c:idx val="1"/>
          <c:order val="1"/>
          <c:tx>
            <c:strRef>
              <c:f>'BB sipas titujve'!$I$22</c:f>
              <c:strCache>
                <c:ptCount val="1"/>
                <c:pt idx="0">
                  <c:v>Obligacione</c:v>
                </c:pt>
              </c:strCache>
            </c:strRef>
          </c:tx>
          <c:spPr>
            <a:solidFill>
              <a:srgbClr val="C00000"/>
            </a:solidFill>
            <a:ln>
              <a:noFill/>
            </a:ln>
            <a:effectLst/>
          </c:spPr>
          <c:invertIfNegative val="0"/>
          <c:dLbls>
            <c:dLbl>
              <c:idx val="1"/>
              <c:layout>
                <c:manualLayout>
                  <c:x val="1.8621973929236431E-2"/>
                  <c:y val="5.354752342704149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73184357541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'BB sipas titujve'!$J$20:$O$20</c:f>
              <c:numCache>
                <c:formatCode>General</c:formatCode>
                <c:ptCount val="6"/>
                <c:pt idx="0">
                  <c:v>2012</c:v>
                </c:pt>
                <c:pt idx="1">
                  <c:v>2013</c:v>
                </c:pt>
                <c:pt idx="2">
                  <c:v>2014</c:v>
                </c:pt>
                <c:pt idx="3">
                  <c:v>2015</c:v>
                </c:pt>
                <c:pt idx="4">
                  <c:v>2016</c:v>
                </c:pt>
                <c:pt idx="5" formatCode="mmm\-yy">
                  <c:v>42826</c:v>
                </c:pt>
              </c:numCache>
            </c:numRef>
          </c:cat>
          <c:val>
            <c:numRef>
              <c:f>'BB sipas titujve'!$J$22:$O$22</c:f>
              <c:numCache>
                <c:formatCode>0</c:formatCode>
                <c:ptCount val="6"/>
                <c:pt idx="0">
                  <c:v>204.34287</c:v>
                </c:pt>
                <c:pt idx="1">
                  <c:v>255.08624000000003</c:v>
                </c:pt>
                <c:pt idx="2">
                  <c:v>278.04168400000003</c:v>
                </c:pt>
                <c:pt idx="3">
                  <c:v>297.11114100000009</c:v>
                </c:pt>
                <c:pt idx="4">
                  <c:v>321.42553999999996</c:v>
                </c:pt>
                <c:pt idx="5">
                  <c:v>337.75</c:v>
                </c:pt>
              </c:numCache>
            </c:numRef>
          </c:val>
        </c:ser>
        <c:dLbls>
          <c:showLegendKey val="0"/>
          <c:showVal val="0"/>
          <c:showCatName val="0"/>
          <c:showSerName val="0"/>
          <c:showPercent val="0"/>
          <c:showBubbleSize val="0"/>
        </c:dLbls>
        <c:gapWidth val="219"/>
        <c:overlap val="-27"/>
        <c:axId val="-331333152"/>
        <c:axId val="-331357088"/>
      </c:barChart>
      <c:catAx>
        <c:axId val="-3313331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57088"/>
        <c:crosses val="autoZero"/>
        <c:auto val="1"/>
        <c:lblAlgn val="ctr"/>
        <c:lblOffset val="100"/>
        <c:noMultiLvlLbl val="0"/>
      </c:catAx>
      <c:valAx>
        <c:axId val="-33135708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sq-AL" b="1">
                    <a:solidFill>
                      <a:sysClr val="windowText" lastClr="000000"/>
                    </a:solidFill>
                  </a:rPr>
                  <a:t>në m</a:t>
                </a:r>
                <a:r>
                  <a:rPr lang="en-US" b="1">
                    <a:solidFill>
                      <a:sysClr val="windowText" lastClr="000000"/>
                    </a:solidFill>
                  </a:rPr>
                  <a:t>iliard Lek</a:t>
                </a:r>
              </a:p>
            </c:rich>
          </c:tx>
          <c:layout>
            <c:manualLayout>
              <c:xMode val="edge"/>
              <c:yMode val="edge"/>
              <c:x val="1.6342161775232643E-2"/>
              <c:y val="0.245818329054601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33152"/>
        <c:crosses val="autoZero"/>
        <c:crossBetween val="between"/>
      </c:valAx>
      <c:spPr>
        <a:noFill/>
        <a:ln>
          <a:noFill/>
        </a:ln>
        <a:effectLst/>
      </c:spPr>
    </c:plotArea>
    <c:legend>
      <c:legendPos val="b"/>
      <c:layout>
        <c:manualLayout>
          <c:xMode val="edge"/>
          <c:yMode val="edge"/>
          <c:x val="0.30466986319447498"/>
          <c:y val="0.84002614131064934"/>
          <c:w val="0.49494303435534243"/>
          <c:h val="9.03620782341966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54874881477512"/>
          <c:y val="7.3924731182795703E-2"/>
          <c:w val="0.79945823198801724"/>
          <c:h val="0.68504307425281519"/>
        </c:manualLayout>
      </c:layout>
      <c:barChart>
        <c:barDir val="col"/>
        <c:grouping val="stacked"/>
        <c:varyColors val="0"/>
        <c:ser>
          <c:idx val="0"/>
          <c:order val="0"/>
          <c:tx>
            <c:strRef>
              <c:f>'BB sipas titujve'!$A$21</c:f>
              <c:strCache>
                <c:ptCount val="1"/>
                <c:pt idx="0">
                  <c:v>Deri në 1 vit</c:v>
                </c:pt>
              </c:strCache>
            </c:strRef>
          </c:tx>
          <c:spPr>
            <a:solidFill>
              <a:schemeClr val="accent1"/>
            </a:solidFill>
            <a:ln>
              <a:noFill/>
            </a:ln>
            <a:effectLst/>
          </c:spPr>
          <c:invertIfNegative val="0"/>
          <c:dLbls>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'BB sipas titujve'!$B$20:$G$20</c:f>
              <c:numCache>
                <c:formatCode>General</c:formatCode>
                <c:ptCount val="6"/>
                <c:pt idx="0">
                  <c:v>2012</c:v>
                </c:pt>
                <c:pt idx="1">
                  <c:v>2013</c:v>
                </c:pt>
                <c:pt idx="2">
                  <c:v>2014</c:v>
                </c:pt>
                <c:pt idx="3">
                  <c:v>2015</c:v>
                </c:pt>
                <c:pt idx="4">
                  <c:v>2016</c:v>
                </c:pt>
                <c:pt idx="5" formatCode="mmm\-yy">
                  <c:v>42826</c:v>
                </c:pt>
              </c:numCache>
            </c:numRef>
          </c:cat>
          <c:val>
            <c:numRef>
              <c:f>'BB sipas titujve'!$B$21:$G$21</c:f>
              <c:numCache>
                <c:formatCode>0.00%</c:formatCode>
                <c:ptCount val="6"/>
                <c:pt idx="0">
                  <c:v>0.5505937047943017</c:v>
                </c:pt>
                <c:pt idx="1">
                  <c:v>0.49071199335111504</c:v>
                </c:pt>
                <c:pt idx="2">
                  <c:v>0.48380851781669204</c:v>
                </c:pt>
                <c:pt idx="3">
                  <c:v>0.42965435879602559</c:v>
                </c:pt>
                <c:pt idx="4">
                  <c:v>0.39448993948019762</c:v>
                </c:pt>
                <c:pt idx="5">
                  <c:v>0.37753983100045152</c:v>
                </c:pt>
              </c:numCache>
            </c:numRef>
          </c:val>
        </c:ser>
        <c:ser>
          <c:idx val="1"/>
          <c:order val="1"/>
          <c:tx>
            <c:strRef>
              <c:f>'BB sipas titujve'!$A$22</c:f>
              <c:strCache>
                <c:ptCount val="1"/>
                <c:pt idx="0">
                  <c:v>1 deri në 3 vite</c:v>
                </c:pt>
              </c:strCache>
            </c:strRef>
          </c:tx>
          <c:spPr>
            <a:solidFill>
              <a:srgbClr val="C00000"/>
            </a:solidFill>
            <a:ln>
              <a:noFill/>
            </a:ln>
            <a:effectLst/>
          </c:spPr>
          <c:invertIfNegative val="0"/>
          <c:dLbls>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'BB sipas titujve'!$B$20:$G$20</c:f>
              <c:numCache>
                <c:formatCode>General</c:formatCode>
                <c:ptCount val="6"/>
                <c:pt idx="0">
                  <c:v>2012</c:v>
                </c:pt>
                <c:pt idx="1">
                  <c:v>2013</c:v>
                </c:pt>
                <c:pt idx="2">
                  <c:v>2014</c:v>
                </c:pt>
                <c:pt idx="3">
                  <c:v>2015</c:v>
                </c:pt>
                <c:pt idx="4">
                  <c:v>2016</c:v>
                </c:pt>
                <c:pt idx="5" formatCode="mmm\-yy">
                  <c:v>42826</c:v>
                </c:pt>
              </c:numCache>
            </c:numRef>
          </c:cat>
          <c:val>
            <c:numRef>
              <c:f>'BB sipas titujve'!$B$22:$G$22</c:f>
              <c:numCache>
                <c:formatCode>0.00%</c:formatCode>
                <c:ptCount val="6"/>
                <c:pt idx="0">
                  <c:v>0.21853513613118114</c:v>
                </c:pt>
                <c:pt idx="1">
                  <c:v>0.22837446526341956</c:v>
                </c:pt>
                <c:pt idx="2">
                  <c:v>0.22210762880329465</c:v>
                </c:pt>
                <c:pt idx="3">
                  <c:v>0.22586441648671396</c:v>
                </c:pt>
                <c:pt idx="4">
                  <c:v>0.21210635631980793</c:v>
                </c:pt>
                <c:pt idx="5">
                  <c:v>0.22082730531417882</c:v>
                </c:pt>
              </c:numCache>
            </c:numRef>
          </c:val>
        </c:ser>
        <c:ser>
          <c:idx val="2"/>
          <c:order val="2"/>
          <c:tx>
            <c:strRef>
              <c:f>'BB sipas titujve'!$A$23</c:f>
              <c:strCache>
                <c:ptCount val="1"/>
                <c:pt idx="0">
                  <c:v>3 deri në 5 vite</c:v>
                </c:pt>
              </c:strCache>
            </c:strRef>
          </c:tx>
          <c:spPr>
            <a:solidFill>
              <a:schemeClr val="bg1">
                <a:lumMod val="75000"/>
              </a:schemeClr>
            </a:solidFill>
            <a:ln>
              <a:noFill/>
            </a:ln>
            <a:effectLst/>
          </c:spPr>
          <c:invertIfNegative val="0"/>
          <c:dLbls>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'BB sipas titujve'!$B$20:$G$20</c:f>
              <c:numCache>
                <c:formatCode>General</c:formatCode>
                <c:ptCount val="6"/>
                <c:pt idx="0">
                  <c:v>2012</c:v>
                </c:pt>
                <c:pt idx="1">
                  <c:v>2013</c:v>
                </c:pt>
                <c:pt idx="2">
                  <c:v>2014</c:v>
                </c:pt>
                <c:pt idx="3">
                  <c:v>2015</c:v>
                </c:pt>
                <c:pt idx="4">
                  <c:v>2016</c:v>
                </c:pt>
                <c:pt idx="5" formatCode="mmm\-yy">
                  <c:v>42826</c:v>
                </c:pt>
              </c:numCache>
            </c:numRef>
          </c:cat>
          <c:val>
            <c:numRef>
              <c:f>'BB sipas titujve'!$B$23:$G$23</c:f>
              <c:numCache>
                <c:formatCode>0.00%</c:formatCode>
                <c:ptCount val="6"/>
                <c:pt idx="0">
                  <c:v>0.1935228403109964</c:v>
                </c:pt>
                <c:pt idx="1">
                  <c:v>0.18749338286688244</c:v>
                </c:pt>
                <c:pt idx="2">
                  <c:v>0.17406764717465431</c:v>
                </c:pt>
                <c:pt idx="3">
                  <c:v>0.17440154811533853</c:v>
                </c:pt>
                <c:pt idx="4">
                  <c:v>0.18542036666349801</c:v>
                </c:pt>
                <c:pt idx="5">
                  <c:v>0.18145796666083061</c:v>
                </c:pt>
              </c:numCache>
            </c:numRef>
          </c:val>
        </c:ser>
        <c:ser>
          <c:idx val="3"/>
          <c:order val="3"/>
          <c:tx>
            <c:strRef>
              <c:f>'BB sipas titujve'!$A$24</c:f>
              <c:strCache>
                <c:ptCount val="1"/>
                <c:pt idx="0">
                  <c:v>Mbi 5 vite</c:v>
                </c:pt>
              </c:strCache>
            </c:strRef>
          </c:tx>
          <c:spPr>
            <a:solidFill>
              <a:schemeClr val="accent6">
                <a:lumMod val="75000"/>
              </a:schemeClr>
            </a:solidFill>
            <a:ln>
              <a:noFill/>
            </a:ln>
            <a:effectLst/>
          </c:spPr>
          <c:invertIfNegative val="0"/>
          <c:dLbls>
            <c:dLbl>
              <c:idx val="0"/>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1"/>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2"/>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'BB sipas titujve'!$B$20:$G$20</c:f>
              <c:numCache>
                <c:formatCode>General</c:formatCode>
                <c:ptCount val="6"/>
                <c:pt idx="0">
                  <c:v>2012</c:v>
                </c:pt>
                <c:pt idx="1">
                  <c:v>2013</c:v>
                </c:pt>
                <c:pt idx="2">
                  <c:v>2014</c:v>
                </c:pt>
                <c:pt idx="3">
                  <c:v>2015</c:v>
                </c:pt>
                <c:pt idx="4">
                  <c:v>2016</c:v>
                </c:pt>
                <c:pt idx="5" formatCode="mmm\-yy">
                  <c:v>42826</c:v>
                </c:pt>
              </c:numCache>
            </c:numRef>
          </c:cat>
          <c:val>
            <c:numRef>
              <c:f>'BB sipas titujve'!$B$24:$G$24</c:f>
              <c:numCache>
                <c:formatCode>0.00%</c:formatCode>
                <c:ptCount val="6"/>
                <c:pt idx="0">
                  <c:v>3.7348318763520787E-2</c:v>
                </c:pt>
                <c:pt idx="1">
                  <c:v>9.3420158518583013E-2</c:v>
                </c:pt>
                <c:pt idx="2">
                  <c:v>0.12001620620535895</c:v>
                </c:pt>
                <c:pt idx="3">
                  <c:v>0.17007967660192183</c:v>
                </c:pt>
                <c:pt idx="4">
                  <c:v>0.20798333753649637</c:v>
                </c:pt>
                <c:pt idx="5">
                  <c:v>0.22017489702453902</c:v>
                </c:pt>
              </c:numCache>
            </c:numRef>
          </c:val>
        </c:ser>
        <c:dLbls>
          <c:showLegendKey val="0"/>
          <c:showVal val="0"/>
          <c:showCatName val="0"/>
          <c:showSerName val="0"/>
          <c:showPercent val="0"/>
          <c:showBubbleSize val="0"/>
        </c:dLbls>
        <c:gapWidth val="150"/>
        <c:overlap val="100"/>
        <c:axId val="-331331520"/>
        <c:axId val="-331330432"/>
      </c:barChart>
      <c:catAx>
        <c:axId val="-3313315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30432"/>
        <c:crosses val="autoZero"/>
        <c:auto val="1"/>
        <c:lblAlgn val="ctr"/>
        <c:lblOffset val="100"/>
        <c:noMultiLvlLbl val="0"/>
      </c:catAx>
      <c:valAx>
        <c:axId val="-331330432"/>
        <c:scaling>
          <c:orientation val="minMax"/>
          <c:max val="1"/>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31520"/>
        <c:crosses val="autoZero"/>
        <c:crossBetween val="between"/>
      </c:valAx>
      <c:spPr>
        <a:noFill/>
        <a:ln>
          <a:noFill/>
        </a:ln>
        <a:effectLst/>
      </c:spPr>
    </c:plotArea>
    <c:legend>
      <c:legendPos val="b"/>
      <c:layout>
        <c:manualLayout>
          <c:xMode val="edge"/>
          <c:yMode val="edge"/>
          <c:x val="9.8404927106883922E-2"/>
          <c:y val="0.87301219700478616"/>
          <c:w val="0.89999982675432899"/>
          <c:h val="8.777211672070403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'B.Jashtem sipas instr'!$B$11</c:f>
              <c:strCache>
                <c:ptCount val="1"/>
                <c:pt idx="0">
                  <c:v>Kredi</c:v>
                </c:pt>
              </c:strCache>
            </c:strRef>
          </c:tx>
          <c:spPr>
            <a:solidFill>
              <a:schemeClr val="accent1"/>
            </a:solidFill>
            <a:ln>
              <a:noFill/>
            </a:ln>
            <a:effectLst/>
          </c:spPr>
          <c:invertIfNegative val="0"/>
          <c:dLbls>
            <c:dLbl>
              <c:idx val="0"/>
              <c:layout>
                <c:manualLayout>
                  <c:x val="4.5506257110352463E-3"/>
                  <c:y val="0"/>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'B.Jashtem sipas instr'!$C$10:$H$10</c:f>
              <c:numCache>
                <c:formatCode>General</c:formatCode>
                <c:ptCount val="6"/>
                <c:pt idx="0">
                  <c:v>2012</c:v>
                </c:pt>
                <c:pt idx="1">
                  <c:v>2013</c:v>
                </c:pt>
                <c:pt idx="2">
                  <c:v>2014</c:v>
                </c:pt>
                <c:pt idx="3">
                  <c:v>2015</c:v>
                </c:pt>
                <c:pt idx="4">
                  <c:v>2016</c:v>
                </c:pt>
                <c:pt idx="5" formatCode="mmm\-yy">
                  <c:v>42826</c:v>
                </c:pt>
              </c:numCache>
            </c:numRef>
          </c:cat>
          <c:val>
            <c:numRef>
              <c:f>'B.Jashtem sipas instr'!$C$11:$H$11</c:f>
              <c:numCache>
                <c:formatCode>0%</c:formatCode>
                <c:ptCount val="6"/>
                <c:pt idx="0">
                  <c:v>0.77500000000000002</c:v>
                </c:pt>
                <c:pt idx="1">
                  <c:v>0.78700000000000003</c:v>
                </c:pt>
                <c:pt idx="2">
                  <c:v>0.73099999999999998</c:v>
                </c:pt>
                <c:pt idx="3">
                  <c:v>0.63100000000000001</c:v>
                </c:pt>
                <c:pt idx="4">
                  <c:v>0.60899999999999999</c:v>
                </c:pt>
                <c:pt idx="5" formatCode="0.00%">
                  <c:v>0.61558886094011067</c:v>
                </c:pt>
              </c:numCache>
            </c:numRef>
          </c:val>
        </c:ser>
        <c:ser>
          <c:idx val="1"/>
          <c:order val="1"/>
          <c:tx>
            <c:strRef>
              <c:f>'B.Jashtem sipas instr'!$B$12</c:f>
              <c:strCache>
                <c:ptCount val="1"/>
                <c:pt idx="0">
                  <c:v>Mbështetje Buxhetore</c:v>
                </c:pt>
              </c:strCache>
            </c:strRef>
          </c:tx>
          <c:spPr>
            <a:solidFill>
              <a:srgbClr val="C00000"/>
            </a:solidFill>
            <a:ln>
              <a:noFill/>
            </a:ln>
            <a:effectLst/>
          </c:spPr>
          <c:invertIfNegative val="0"/>
          <c:dLbls>
            <c:dLbl>
              <c:idx val="0"/>
              <c:layout>
                <c:manualLayout>
                  <c:x val="-6.9388939039072284E-18"/>
                  <c:y val="5.8888888888888463E-3"/>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01366979298236"/>
                      <c:h val="5.2080209973753275E-2"/>
                    </c:manualLayout>
                  </c15:layout>
                </c:ext>
              </c:extLst>
            </c:dLbl>
            <c:dLbl>
              <c:idx val="1"/>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2"/>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5"/>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'B.Jashtem sipas instr'!$C$10:$H$10</c:f>
              <c:numCache>
                <c:formatCode>General</c:formatCode>
                <c:ptCount val="6"/>
                <c:pt idx="0">
                  <c:v>2012</c:v>
                </c:pt>
                <c:pt idx="1">
                  <c:v>2013</c:v>
                </c:pt>
                <c:pt idx="2">
                  <c:v>2014</c:v>
                </c:pt>
                <c:pt idx="3">
                  <c:v>2015</c:v>
                </c:pt>
                <c:pt idx="4">
                  <c:v>2016</c:v>
                </c:pt>
                <c:pt idx="5" formatCode="mmm\-yy">
                  <c:v>42826</c:v>
                </c:pt>
              </c:numCache>
            </c:numRef>
          </c:cat>
          <c:val>
            <c:numRef>
              <c:f>'B.Jashtem sipas instr'!$C$12:$H$12</c:f>
              <c:numCache>
                <c:formatCode>0.00%</c:formatCode>
                <c:ptCount val="6"/>
                <c:pt idx="0">
                  <c:v>9.5000000000000001E-2</c:v>
                </c:pt>
                <c:pt idx="1">
                  <c:v>8.6999999999999994E-2</c:v>
                </c:pt>
                <c:pt idx="2">
                  <c:v>0.159</c:v>
                </c:pt>
                <c:pt idx="3">
                  <c:v>0.16200000000000001</c:v>
                </c:pt>
                <c:pt idx="4">
                  <c:v>0.19500000000000001</c:v>
                </c:pt>
                <c:pt idx="5">
                  <c:v>0.20080602644438209</c:v>
                </c:pt>
              </c:numCache>
            </c:numRef>
          </c:val>
        </c:ser>
        <c:ser>
          <c:idx val="2"/>
          <c:order val="2"/>
          <c:tx>
            <c:strRef>
              <c:f>'B.Jashtem sipas instr'!$B$13</c:f>
              <c:strCache>
                <c:ptCount val="1"/>
                <c:pt idx="0">
                  <c:v>Eurobond</c:v>
                </c:pt>
              </c:strCache>
            </c:strRef>
          </c:tx>
          <c:spPr>
            <a:solidFill>
              <a:schemeClr val="bg1">
                <a:lumMod val="65000"/>
              </a:schemeClr>
            </a:solidFill>
            <a:ln>
              <a:noFill/>
            </a:ln>
            <a:effectLst/>
          </c:spPr>
          <c:invertIfNegative val="0"/>
          <c:dLbls>
            <c:dLbl>
              <c:idx val="0"/>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1"/>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2"/>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numFmt formatCode="0.0%" sourceLinked="0"/>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layout>
                <c:manualLayout>
                  <c:x val="-6.9388939039072284E-18"/>
                  <c:y val="1.1222222222222224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1858930602957905"/>
                      <c:h val="6.2746876640419946E-2"/>
                    </c:manualLayout>
                  </c15:layout>
                </c:ext>
              </c:extLst>
            </c:dLbl>
            <c:dLbl>
              <c:idx val="5"/>
              <c:layout>
                <c:manualLayout>
                  <c:x val="-1.0049298445202947E-3"/>
                  <c:y val="1.3185185185185189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769055745164959"/>
                      <c:h val="5.7413543307086617E-2"/>
                    </c:manualLayout>
                  </c15:layout>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'B.Jashtem sipas instr'!$C$10:$H$10</c:f>
              <c:numCache>
                <c:formatCode>General</c:formatCode>
                <c:ptCount val="6"/>
                <c:pt idx="0">
                  <c:v>2012</c:v>
                </c:pt>
                <c:pt idx="1">
                  <c:v>2013</c:v>
                </c:pt>
                <c:pt idx="2">
                  <c:v>2014</c:v>
                </c:pt>
                <c:pt idx="3">
                  <c:v>2015</c:v>
                </c:pt>
                <c:pt idx="4">
                  <c:v>2016</c:v>
                </c:pt>
                <c:pt idx="5" formatCode="mmm\-yy">
                  <c:v>42826</c:v>
                </c:pt>
              </c:numCache>
            </c:numRef>
          </c:cat>
          <c:val>
            <c:numRef>
              <c:f>'B.Jashtem sipas instr'!$C$13:$H$13</c:f>
              <c:numCache>
                <c:formatCode>0.00%</c:formatCode>
                <c:ptCount val="6"/>
                <c:pt idx="0" formatCode="0%">
                  <c:v>0.13</c:v>
                </c:pt>
                <c:pt idx="1">
                  <c:v>0.126</c:v>
                </c:pt>
                <c:pt idx="2">
                  <c:v>0.11</c:v>
                </c:pt>
                <c:pt idx="3">
                  <c:v>0.13300000000000001</c:v>
                </c:pt>
                <c:pt idx="4">
                  <c:v>0.126</c:v>
                </c:pt>
                <c:pt idx="5">
                  <c:v>0.11803185810996898</c:v>
                </c:pt>
              </c:numCache>
            </c:numRef>
          </c:val>
        </c:ser>
        <c:ser>
          <c:idx val="3"/>
          <c:order val="3"/>
          <c:tx>
            <c:strRef>
              <c:f>'B.Jashtem sipas instr'!$B$14</c:f>
              <c:strCache>
                <c:ptCount val="1"/>
                <c:pt idx="0">
                  <c:v>PBG</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'B.Jashtem sipas instr'!$C$10:$H$10</c:f>
              <c:numCache>
                <c:formatCode>General</c:formatCode>
                <c:ptCount val="6"/>
                <c:pt idx="0">
                  <c:v>2012</c:v>
                </c:pt>
                <c:pt idx="1">
                  <c:v>2013</c:v>
                </c:pt>
                <c:pt idx="2">
                  <c:v>2014</c:v>
                </c:pt>
                <c:pt idx="3">
                  <c:v>2015</c:v>
                </c:pt>
                <c:pt idx="4">
                  <c:v>2016</c:v>
                </c:pt>
                <c:pt idx="5" formatCode="mmm\-yy">
                  <c:v>42826</c:v>
                </c:pt>
              </c:numCache>
            </c:numRef>
          </c:cat>
          <c:val>
            <c:numRef>
              <c:f>'B.Jashtem sipas instr'!$C$14:$H$14</c:f>
              <c:numCache>
                <c:formatCode>General</c:formatCode>
                <c:ptCount val="6"/>
                <c:pt idx="0">
                  <c:v>0</c:v>
                </c:pt>
                <c:pt idx="1">
                  <c:v>0</c:v>
                </c:pt>
                <c:pt idx="2">
                  <c:v>0</c:v>
                </c:pt>
                <c:pt idx="3" formatCode="0.00%">
                  <c:v>7.3999999999999996E-2</c:v>
                </c:pt>
                <c:pt idx="4" formatCode="0.00%">
                  <c:v>7.0000000000000007E-2</c:v>
                </c:pt>
                <c:pt idx="5" formatCode="0.00%">
                  <c:v>6.5573254505538317E-2</c:v>
                </c:pt>
              </c:numCache>
            </c:numRef>
          </c:val>
        </c:ser>
        <c:dLbls>
          <c:showLegendKey val="0"/>
          <c:showVal val="0"/>
          <c:showCatName val="0"/>
          <c:showSerName val="0"/>
          <c:showPercent val="0"/>
          <c:showBubbleSize val="0"/>
        </c:dLbls>
        <c:gapWidth val="150"/>
        <c:overlap val="100"/>
        <c:axId val="-331361984"/>
        <c:axId val="-554710768"/>
      </c:barChart>
      <c:catAx>
        <c:axId val="-3313619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10768"/>
        <c:crosses val="autoZero"/>
        <c:auto val="1"/>
        <c:lblAlgn val="ctr"/>
        <c:lblOffset val="100"/>
        <c:noMultiLvlLbl val="0"/>
      </c:catAx>
      <c:valAx>
        <c:axId val="-554710768"/>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136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95435772309857"/>
          <c:y val="5.8902275769745646E-2"/>
          <c:w val="0.77568933035052445"/>
          <c:h val="0.69236441830313378"/>
        </c:manualLayout>
      </c:layout>
      <c:areaChart>
        <c:grouping val="stacked"/>
        <c:varyColors val="0"/>
        <c:ser>
          <c:idx val="0"/>
          <c:order val="0"/>
          <c:tx>
            <c:strRef>
              <c:f>'BJ sipas koncesionalitetit'!$A$4</c:f>
              <c:strCache>
                <c:ptCount val="1"/>
                <c:pt idx="0">
                  <c:v>Koncesionale</c:v>
                </c:pt>
              </c:strCache>
            </c:strRef>
          </c:tx>
          <c:spPr>
            <a:pattFill prst="pct40">
              <a:fgClr>
                <a:srgbClr val="4472C4">
                  <a:lumMod val="50000"/>
                </a:srgbClr>
              </a:fgClr>
              <a:bgClr>
                <a:sysClr val="window" lastClr="FFFFFF"/>
              </a:bgClr>
            </a:pattFill>
            <a:ln>
              <a:noFill/>
            </a:ln>
            <a:effectLst/>
          </c:spPr>
          <c:dLbls>
            <c:dLbl>
              <c:idx val="0"/>
              <c:layout>
                <c:manualLayout>
                  <c:x val="5.0701942441931949E-2"/>
                  <c:y val="-6.526051713415341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828143155736498E-2"/>
                  <c:y val="3.458242418492869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106743392285992E-2"/>
                  <c:y val="-2.878158302501353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66652235877605E-2"/>
                  <c:y val="-4.473452866584447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111029336639719E-2"/>
                  <c:y val="-6.470311692966089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1854558426513098E-2"/>
                  <c:y val="-8.66799481390128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'BJ sipas koncesionalitetit'!$B$3:$G$3</c:f>
              <c:numCache>
                <c:formatCode>General</c:formatCode>
                <c:ptCount val="6"/>
                <c:pt idx="0">
                  <c:v>2012</c:v>
                </c:pt>
                <c:pt idx="1">
                  <c:v>2013</c:v>
                </c:pt>
                <c:pt idx="2">
                  <c:v>2014</c:v>
                </c:pt>
                <c:pt idx="3">
                  <c:v>2015</c:v>
                </c:pt>
                <c:pt idx="4">
                  <c:v>2016</c:v>
                </c:pt>
                <c:pt idx="5" formatCode="mmm\-yy">
                  <c:v>42826</c:v>
                </c:pt>
              </c:numCache>
            </c:numRef>
          </c:cat>
          <c:val>
            <c:numRef>
              <c:f>'BJ sipas koncesionalitetit'!$B$4:$G$4</c:f>
              <c:numCache>
                <c:formatCode>#,##0.00</c:formatCode>
                <c:ptCount val="6"/>
                <c:pt idx="0">
                  <c:v>1.2375999999999998</c:v>
                </c:pt>
                <c:pt idx="1">
                  <c:v>1.21333</c:v>
                </c:pt>
                <c:pt idx="2">
                  <c:v>1.5192099999999999</c:v>
                </c:pt>
                <c:pt idx="3">
                  <c:v>1.7181062999999999</c:v>
                </c:pt>
                <c:pt idx="4">
                  <c:v>1.8653914999999999</c:v>
                </c:pt>
                <c:pt idx="5">
                  <c:v>1.8477999999999999</c:v>
                </c:pt>
              </c:numCache>
            </c:numRef>
          </c:val>
        </c:ser>
        <c:ser>
          <c:idx val="1"/>
          <c:order val="1"/>
          <c:tx>
            <c:strRef>
              <c:f>'BJ sipas koncesionalitetit'!$A$5</c:f>
              <c:strCache>
                <c:ptCount val="1"/>
                <c:pt idx="0">
                  <c:v>Jo-koncesionale</c:v>
                </c:pt>
              </c:strCache>
            </c:strRef>
          </c:tx>
          <c:spPr>
            <a:pattFill prst="ltDnDiag">
              <a:fgClr>
                <a:srgbClr val="C00000"/>
              </a:fgClr>
              <a:bgClr>
                <a:sysClr val="window" lastClr="FFFFFF"/>
              </a:bgClr>
            </a:pattFill>
            <a:ln>
              <a:noFill/>
            </a:ln>
            <a:effectLst/>
          </c:spPr>
          <c:dLbls>
            <c:dLbl>
              <c:idx val="0"/>
              <c:layout>
                <c:manualLayout>
                  <c:x val="5.2782054101605455E-2"/>
                  <c:y val="5.890227576974564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992522542335607E-2"/>
                  <c:y val="-2.14190093708165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582386240646684E-2"/>
                  <c:y val="-3.558001033003399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37191779991653E-2"/>
                  <c:y val="2.1593144230465169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'BJ sipas koncesionalitetit'!$B$3:$G$3</c:f>
              <c:numCache>
                <c:formatCode>General</c:formatCode>
                <c:ptCount val="6"/>
                <c:pt idx="0">
                  <c:v>2012</c:v>
                </c:pt>
                <c:pt idx="1">
                  <c:v>2013</c:v>
                </c:pt>
                <c:pt idx="2">
                  <c:v>2014</c:v>
                </c:pt>
                <c:pt idx="3">
                  <c:v>2015</c:v>
                </c:pt>
                <c:pt idx="4">
                  <c:v>2016</c:v>
                </c:pt>
                <c:pt idx="5" formatCode="mmm\-yy">
                  <c:v>42826</c:v>
                </c:pt>
              </c:numCache>
            </c:numRef>
          </c:cat>
          <c:val>
            <c:numRef>
              <c:f>'BJ sipas koncesionalitetit'!$B$5:$G$5</c:f>
              <c:numCache>
                <c:formatCode>#,##0.00</c:formatCode>
                <c:ptCount val="6"/>
                <c:pt idx="0">
                  <c:v>1.3243499999999999</c:v>
                </c:pt>
                <c:pt idx="1">
                  <c:v>1.38229</c:v>
                </c:pt>
                <c:pt idx="2" formatCode="_(* #.##000_);_(* \(#.##000\);_(* &quot;-&quot;??_);_(@_)">
                  <c:v>1.42377</c:v>
                </c:pt>
                <c:pt idx="3" formatCode="_(* #.##000_);_(* \(#.##000\);_(* &quot;-&quot;??_);_(@_)">
                  <c:v>1.8577790000000001</c:v>
                </c:pt>
                <c:pt idx="4" formatCode="_(* #.##000_);_(* \(#.##000\);_(* &quot;-&quot;??_);_(@_)">
                  <c:v>1.8659490000000001</c:v>
                </c:pt>
                <c:pt idx="5" formatCode="_(* #.##000_);_(* \(#.##000\);_(* &quot;-&quot;??_);_(@_)">
                  <c:v>1.75257</c:v>
                </c:pt>
              </c:numCache>
            </c:numRef>
          </c:val>
        </c:ser>
        <c:dLbls>
          <c:showLegendKey val="0"/>
          <c:showVal val="0"/>
          <c:showCatName val="0"/>
          <c:showSerName val="0"/>
          <c:showPercent val="0"/>
          <c:showBubbleSize val="0"/>
        </c:dLbls>
        <c:axId val="-554720016"/>
        <c:axId val="-554717296"/>
      </c:areaChart>
      <c:catAx>
        <c:axId val="-554720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0"/>
          <a:lstStyle/>
          <a:p>
            <a:pPr>
              <a:defRPr sz="900" b="0" i="0" u="none" strike="noStrike" kern="1200" baseline="0">
                <a:solidFill>
                  <a:sysClr val="windowText" lastClr="000000"/>
                </a:solidFill>
                <a:latin typeface="+mn-lt"/>
                <a:ea typeface="+mn-ea"/>
                <a:cs typeface="+mn-cs"/>
              </a:defRPr>
            </a:pPr>
            <a:endParaRPr lang="en-US"/>
          </a:p>
        </c:txPr>
        <c:crossAx val="-554717296"/>
        <c:crosses val="autoZero"/>
        <c:auto val="1"/>
        <c:lblAlgn val="ctr"/>
        <c:lblOffset val="100"/>
        <c:noMultiLvlLbl val="0"/>
      </c:catAx>
      <c:valAx>
        <c:axId val="-55471729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sq-AL" b="1">
                    <a:solidFill>
                      <a:sysClr val="windowText" lastClr="000000"/>
                    </a:solidFill>
                  </a:rPr>
                  <a:t>miliard</a:t>
                </a:r>
                <a:r>
                  <a:rPr lang="sq-AL" b="1" baseline="0">
                    <a:solidFill>
                      <a:sysClr val="windowText" lastClr="000000"/>
                    </a:solidFill>
                  </a:rPr>
                  <a:t> Euro</a:t>
                </a:r>
                <a:endParaRPr lang="sq-AL"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200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72644649925063"/>
          <c:y val="5.7029256143222407E-2"/>
          <c:w val="0.82796360559608539"/>
          <c:h val="0.73482276653134626"/>
        </c:manualLayout>
      </c:layout>
      <c:barChart>
        <c:barDir val="col"/>
        <c:grouping val="stacked"/>
        <c:varyColors val="0"/>
        <c:ser>
          <c:idx val="0"/>
          <c:order val="2"/>
          <c:tx>
            <c:strRef>
              <c:f>'H.Huaj sipas koncensionalitetit'!$C$23</c:f>
              <c:strCache>
                <c:ptCount val="1"/>
                <c:pt idx="0">
                  <c:v>Terma Koncesionale</c:v>
                </c:pt>
              </c:strCache>
            </c:strRef>
          </c:tx>
          <c:spPr>
            <a:solidFill>
              <a:schemeClr val="accent1">
                <a:lumMod val="75000"/>
              </a:schemeClr>
            </a:solidFill>
            <a:ln>
              <a:noFill/>
            </a:ln>
            <a:effectLst/>
          </c:spPr>
          <c:invertIfNegative val="0"/>
          <c:dLbls>
            <c:dLbl>
              <c:idx val="0"/>
              <c:spPr>
                <a:no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1"/>
              <c:spPr>
                <a:no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2"/>
              <c:spPr>
                <a:no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spPr>
                <a:no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spPr>
                <a:noFill/>
                <a:ln>
                  <a:noFill/>
                </a:ln>
                <a:effectLst/>
              </c:spPr>
              <c:txPr>
                <a:bodyPr rot="0" spcFirstLastPara="1" vertOverflow="overflow" horzOverflow="overflow"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5"/>
              <c:spPr>
                <a:noFill/>
                <a:ln>
                  <a:noFill/>
                </a:ln>
                <a:effectLst/>
              </c:spPr>
              <c:txPr>
                <a:bodyPr rot="0" spcFirstLastPara="1" vertOverflow="overflow" horzOverflow="overflow"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6"/>
              <c:spPr>
                <a:noFill/>
                <a:ln>
                  <a:noFill/>
                </a:ln>
                <a:effectLst/>
              </c:spPr>
              <c:txPr>
                <a:bodyPr rot="0" spcFirstLastPara="1" vertOverflow="overflow" horzOverflow="overflow"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overflow" horzOverflow="overflow"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'H.Huaj sipas koncensionalitetit'!$D$21:$K$21</c:f>
              <c:strCache>
                <c:ptCount val="8"/>
                <c:pt idx="0">
                  <c:v>2010</c:v>
                </c:pt>
                <c:pt idx="1">
                  <c:v>2011</c:v>
                </c:pt>
                <c:pt idx="2">
                  <c:v>2012</c:v>
                </c:pt>
                <c:pt idx="3">
                  <c:v>2013</c:v>
                </c:pt>
                <c:pt idx="4">
                  <c:v>2014</c:v>
                </c:pt>
                <c:pt idx="5">
                  <c:v>2015</c:v>
                </c:pt>
                <c:pt idx="6">
                  <c:v>2016</c:v>
                </c:pt>
                <c:pt idx="7">
                  <c:v>Pri-17</c:v>
                </c:pt>
              </c:strCache>
            </c:strRef>
          </c:cat>
          <c:val>
            <c:numRef>
              <c:f>'H.Huaj sipas koncensionalitetit'!$D$23:$K$23</c:f>
              <c:numCache>
                <c:formatCode>#,##0</c:formatCode>
                <c:ptCount val="8"/>
                <c:pt idx="0">
                  <c:v>84.097999999999999</c:v>
                </c:pt>
                <c:pt idx="1">
                  <c:v>66.350999999999999</c:v>
                </c:pt>
                <c:pt idx="2">
                  <c:v>69.183999999999997</c:v>
                </c:pt>
                <c:pt idx="3">
                  <c:v>50.468000000000004</c:v>
                </c:pt>
                <c:pt idx="4">
                  <c:v>288.19900000000001</c:v>
                </c:pt>
                <c:pt idx="5">
                  <c:v>439.21000000000004</c:v>
                </c:pt>
                <c:pt idx="6">
                  <c:v>212.256</c:v>
                </c:pt>
                <c:pt idx="7">
                  <c:v>97.14</c:v>
                </c:pt>
              </c:numCache>
            </c:numRef>
          </c:val>
        </c:ser>
        <c:ser>
          <c:idx val="1"/>
          <c:order val="3"/>
          <c:tx>
            <c:strRef>
              <c:f>'H.Huaj sipas koncensionalitetit'!$C$24</c:f>
              <c:strCache>
                <c:ptCount val="1"/>
                <c:pt idx="0">
                  <c:v>Terma Tregtare</c:v>
                </c:pt>
              </c:strCache>
            </c:strRef>
          </c:tx>
          <c:spPr>
            <a:solidFill>
              <a:srgbClr val="C00000"/>
            </a:solidFill>
            <a:ln>
              <a:noFill/>
            </a:ln>
            <a:effectLst/>
          </c:spPr>
          <c:invertIfNegative val="0"/>
          <c:dLbls>
            <c:dLbl>
              <c:idx val="0"/>
              <c:layout>
                <c:manualLayout>
                  <c:x val="0"/>
                  <c:y val="2.9173364575102851E-2"/>
                </c:manualLayout>
              </c:layout>
              <c:spPr>
                <a:solidFill>
                  <a:schemeClr val="bg1"/>
                </a:solid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1"/>
              <c:spPr>
                <a:solidFill>
                  <a:schemeClr val="bg1"/>
                </a:solid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2"/>
              <c:spPr>
                <a:solidFill>
                  <a:schemeClr val="bg1"/>
                </a:solid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3"/>
              <c:spPr>
                <a:solidFill>
                  <a:schemeClr val="bg1"/>
                </a:solid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spPr>
                <a:solidFill>
                  <a:schemeClr val="bg1"/>
                </a:solid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5"/>
              <c:layout>
                <c:manualLayout>
                  <c:x val="8.5451826532792069E-3"/>
                  <c:y val="-4.3101635073583618E-2"/>
                </c:manualLayout>
              </c:layout>
              <c:spPr>
                <a:solidFill>
                  <a:schemeClr val="bg1"/>
                </a:solid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9.4702154967223826E-2"/>
                      <c:h val="5.2658692520749409E-2"/>
                    </c:manualLayout>
                  </c15:layout>
                </c:ext>
              </c:extLst>
            </c:dLbl>
            <c:dLbl>
              <c:idx val="6"/>
              <c:spPr>
                <a:solidFill>
                  <a:schemeClr val="bg1"/>
                </a:solidFill>
                <a:ln>
                  <a:noFill/>
                </a:ln>
                <a:effectLst/>
              </c:spPr>
              <c:txPr>
                <a:bodyPr rot="0" spcFirstLastPara="1" vertOverflow="ellipsis" horzOverflow="clip"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7"/>
              <c:spPr>
                <a:solidFill>
                  <a:schemeClr val="bg1"/>
                </a:solidFill>
                <a:ln>
                  <a:noFill/>
                </a:ln>
                <a:effectLst/>
              </c:spPr>
              <c:txPr>
                <a:bodyPr rot="0" spcFirstLastPara="1" vertOverflow="overflow" horzOverflow="overflow" vert="horz" wrap="square" lIns="38100" tIns="19050" rIns="38100" bIns="19050" anchor="ctr" anchorCtr="1">
                  <a:noAutofit/>
                </a:bodyPr>
                <a:lstStyle/>
                <a:p>
                  <a:pPr>
                    <a:defRPr sz="800" b="1" i="0" u="none" strike="noStrike" kern="1200" baseline="0">
                      <a:solidFill>
                        <a:srgbClr val="C00000"/>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solidFill>
                <a:schemeClr val="bg1"/>
              </a:solidFill>
              <a:ln>
                <a:noFill/>
              </a:ln>
              <a:effectLst/>
            </c:spPr>
            <c:txPr>
              <a:bodyPr rot="0" spcFirstLastPara="1" vertOverflow="overflow" horzOverflow="overflow"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'H.Huaj sipas koncensionalitetit'!$D$21:$K$21</c:f>
              <c:strCache>
                <c:ptCount val="8"/>
                <c:pt idx="0">
                  <c:v>2010</c:v>
                </c:pt>
                <c:pt idx="1">
                  <c:v>2011</c:v>
                </c:pt>
                <c:pt idx="2">
                  <c:v>2012</c:v>
                </c:pt>
                <c:pt idx="3">
                  <c:v>2013</c:v>
                </c:pt>
                <c:pt idx="4">
                  <c:v>2014</c:v>
                </c:pt>
                <c:pt idx="5">
                  <c:v>2015</c:v>
                </c:pt>
                <c:pt idx="6">
                  <c:v>2016</c:v>
                </c:pt>
                <c:pt idx="7">
                  <c:v>Pri-17</c:v>
                </c:pt>
              </c:strCache>
            </c:strRef>
          </c:cat>
          <c:val>
            <c:numRef>
              <c:f>'H.Huaj sipas koncensionalitetit'!$D$24:$K$24</c:f>
              <c:numCache>
                <c:formatCode>#,##0</c:formatCode>
                <c:ptCount val="8"/>
                <c:pt idx="0">
                  <c:v>378.53700000000003</c:v>
                </c:pt>
                <c:pt idx="1">
                  <c:v>146.054</c:v>
                </c:pt>
                <c:pt idx="2">
                  <c:v>210.47</c:v>
                </c:pt>
                <c:pt idx="3">
                  <c:v>129.21899999999999</c:v>
                </c:pt>
                <c:pt idx="4">
                  <c:v>96.361000000000004</c:v>
                </c:pt>
                <c:pt idx="5">
                  <c:v>535.52499999999998</c:v>
                </c:pt>
                <c:pt idx="6">
                  <c:v>78.534999999999997</c:v>
                </c:pt>
                <c:pt idx="7">
                  <c:v>34.78</c:v>
                </c:pt>
              </c:numCache>
            </c:numRef>
          </c:val>
        </c:ser>
        <c:dLbls>
          <c:showLegendKey val="0"/>
          <c:showVal val="0"/>
          <c:showCatName val="0"/>
          <c:showSerName val="0"/>
          <c:showPercent val="0"/>
          <c:showBubbleSize val="0"/>
        </c:dLbls>
        <c:gapWidth val="100"/>
        <c:overlap val="100"/>
        <c:axId val="-554721648"/>
        <c:axId val="-554711856"/>
        <c:extLst>
          <c:ext xmlns:c15="http://schemas.microsoft.com/office/drawing/2012/chart" uri="{02D57815-91ED-43cb-92C2-25804820EDAC}">
            <c15:filteredBarSeries>
              <c15:ser>
                <c:idx val="2"/>
                <c:order val="0"/>
                <c:tx>
                  <c:strRef>
                    <c:extLst>
                      <c:ext uri="{02D57815-91ED-43cb-92C2-25804820EDAC}">
                        <c15:formulaRef>
                          <c15:sqref>'H.Huaj sipas koncensionalitetit'!$C$23</c15:sqref>
                        </c15:formulaRef>
                      </c:ext>
                    </c:extLst>
                    <c:strCache>
                      <c:ptCount val="1"/>
                      <c:pt idx="0">
                        <c:v>Terma Koncesionale</c:v>
                      </c:pt>
                    </c:strCache>
                  </c:strRef>
                </c:tx>
                <c:spPr>
                  <a:solidFill>
                    <a:schemeClr val="accent1">
                      <a:lumMod val="75000"/>
                    </a:schemeClr>
                  </a:solidFill>
                  <a:ln>
                    <a:noFill/>
                  </a:ln>
                  <a:effectLst/>
                </c:spPr>
                <c:invertIfNegative val="0"/>
                <c:cat>
                  <c:strRef>
                    <c:extLst>
                      <c:ext uri="{02D57815-91ED-43cb-92C2-25804820EDAC}">
                        <c15:formulaRef>
                          <c15:sqref>'H.Huaj sipas koncensionalitetit'!$D$21:$K$21</c15:sqref>
                        </c15:formulaRef>
                      </c:ext>
                    </c:extLst>
                    <c:strCache>
                      <c:ptCount val="8"/>
                      <c:pt idx="0">
                        <c:v>2010</c:v>
                      </c:pt>
                      <c:pt idx="1">
                        <c:v>2011</c:v>
                      </c:pt>
                      <c:pt idx="2">
                        <c:v>2012</c:v>
                      </c:pt>
                      <c:pt idx="3">
                        <c:v>2013</c:v>
                      </c:pt>
                      <c:pt idx="4">
                        <c:v>2014</c:v>
                      </c:pt>
                      <c:pt idx="5">
                        <c:v>2015</c:v>
                      </c:pt>
                      <c:pt idx="6">
                        <c:v>2016</c:v>
                      </c:pt>
                      <c:pt idx="7">
                        <c:v>Pri-17</c:v>
                      </c:pt>
                    </c:strCache>
                  </c:strRef>
                </c:cat>
                <c:val>
                  <c:numRef>
                    <c:extLst>
                      <c:ext uri="{02D57815-91ED-43cb-92C2-25804820EDAC}">
                        <c15:formulaRef>
                          <c15:sqref>'H.Huaj sipas koncensionalitetit'!$D$23:$J$23</c15:sqref>
                        </c15:formulaRef>
                      </c:ext>
                    </c:extLst>
                    <c:numCache>
                      <c:formatCode>#,##0</c:formatCode>
                      <c:ptCount val="7"/>
                      <c:pt idx="0">
                        <c:v>84.097999999999999</c:v>
                      </c:pt>
                      <c:pt idx="1">
                        <c:v>66.350999999999999</c:v>
                      </c:pt>
                      <c:pt idx="2">
                        <c:v>69.183999999999997</c:v>
                      </c:pt>
                      <c:pt idx="3">
                        <c:v>50.468000000000004</c:v>
                      </c:pt>
                      <c:pt idx="4">
                        <c:v>288.19900000000001</c:v>
                      </c:pt>
                      <c:pt idx="5">
                        <c:v>439.21000000000004</c:v>
                      </c:pt>
                      <c:pt idx="6">
                        <c:v>212.256</c:v>
                      </c:pt>
                    </c:numCache>
                  </c:numRef>
                </c:val>
              </c15:ser>
            </c15:filteredBarSeries>
            <c15:filteredBarSeries>
              <c15:ser>
                <c:idx val="3"/>
                <c:order val="1"/>
                <c:tx>
                  <c:strRef>
                    <c:extLst xmlns:c15="http://schemas.microsoft.com/office/drawing/2012/chart">
                      <c:ext xmlns:c15="http://schemas.microsoft.com/office/drawing/2012/chart" uri="{02D57815-91ED-43cb-92C2-25804820EDAC}">
                        <c15:formulaRef>
                          <c15:sqref>'H.Huaj sipas koncensionalitetit'!$C$24</c15:sqref>
                        </c15:formulaRef>
                      </c:ext>
                    </c:extLst>
                    <c:strCache>
                      <c:ptCount val="1"/>
                      <c:pt idx="0">
                        <c:v>Terma Tregtare</c:v>
                      </c:pt>
                    </c:strCache>
                  </c:strRef>
                </c:tx>
                <c:spPr>
                  <a:solidFill>
                    <a:srgbClr val="C00000"/>
                  </a:solidFill>
                  <a:ln>
                    <a:noFill/>
                  </a:ln>
                  <a:effectLst/>
                </c:spPr>
                <c:invertIfNegative val="0"/>
                <c:cat>
                  <c:strRef>
                    <c:extLst xmlns:c15="http://schemas.microsoft.com/office/drawing/2012/chart">
                      <c:ext xmlns:c15="http://schemas.microsoft.com/office/drawing/2012/chart" uri="{02D57815-91ED-43cb-92C2-25804820EDAC}">
                        <c15:formulaRef>
                          <c15:sqref>'H.Huaj sipas koncensionalitetit'!$D$21:$K$21</c15:sqref>
                        </c15:formulaRef>
                      </c:ext>
                    </c:extLst>
                    <c:strCache>
                      <c:ptCount val="8"/>
                      <c:pt idx="0">
                        <c:v>2010</c:v>
                      </c:pt>
                      <c:pt idx="1">
                        <c:v>2011</c:v>
                      </c:pt>
                      <c:pt idx="2">
                        <c:v>2012</c:v>
                      </c:pt>
                      <c:pt idx="3">
                        <c:v>2013</c:v>
                      </c:pt>
                      <c:pt idx="4">
                        <c:v>2014</c:v>
                      </c:pt>
                      <c:pt idx="5">
                        <c:v>2015</c:v>
                      </c:pt>
                      <c:pt idx="6">
                        <c:v>2016</c:v>
                      </c:pt>
                      <c:pt idx="7">
                        <c:v>Pri-17</c:v>
                      </c:pt>
                    </c:strCache>
                  </c:strRef>
                </c:cat>
                <c:val>
                  <c:numRef>
                    <c:extLst xmlns:c15="http://schemas.microsoft.com/office/drawing/2012/chart">
                      <c:ext xmlns:c15="http://schemas.microsoft.com/office/drawing/2012/chart" uri="{02D57815-91ED-43cb-92C2-25804820EDAC}">
                        <c15:formulaRef>
                          <c15:sqref>'H.Huaj sipas koncensionalitetit'!$D$24:$J$24</c15:sqref>
                        </c15:formulaRef>
                      </c:ext>
                    </c:extLst>
                    <c:numCache>
                      <c:formatCode>#,##0</c:formatCode>
                      <c:ptCount val="7"/>
                      <c:pt idx="0">
                        <c:v>378.53700000000003</c:v>
                      </c:pt>
                      <c:pt idx="1">
                        <c:v>146.054</c:v>
                      </c:pt>
                      <c:pt idx="2">
                        <c:v>210.47</c:v>
                      </c:pt>
                      <c:pt idx="3">
                        <c:v>129.21899999999999</c:v>
                      </c:pt>
                      <c:pt idx="4">
                        <c:v>96.361000000000004</c:v>
                      </c:pt>
                      <c:pt idx="5">
                        <c:v>535.52499999999998</c:v>
                      </c:pt>
                      <c:pt idx="6">
                        <c:v>78.534999999999997</c:v>
                      </c:pt>
                    </c:numCache>
                  </c:numRef>
                </c:val>
              </c15:ser>
            </c15:filteredBarSeries>
          </c:ext>
        </c:extLst>
      </c:barChart>
      <c:catAx>
        <c:axId val="-55472164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11856"/>
        <c:crosses val="autoZero"/>
        <c:auto val="1"/>
        <c:lblAlgn val="ctr"/>
        <c:lblOffset val="100"/>
        <c:noMultiLvlLbl val="0"/>
      </c:catAx>
      <c:valAx>
        <c:axId val="-554711856"/>
        <c:scaling>
          <c:orientation val="minMax"/>
          <c:max val="1000"/>
        </c:scaling>
        <c:delete val="0"/>
        <c:axPos val="l"/>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21648"/>
        <c:crosses val="autoZero"/>
        <c:crossBetween val="between"/>
      </c:valAx>
      <c:spPr>
        <a:noFill/>
        <a:ln>
          <a:noFill/>
        </a:ln>
        <a:effectLst/>
      </c:spPr>
    </c:plotArea>
    <c:legend>
      <c:legendPos val="b"/>
      <c:layout>
        <c:manualLayout>
          <c:xMode val="edge"/>
          <c:yMode val="edge"/>
          <c:x val="0.15303749282995255"/>
          <c:y val="0.8943964161283684"/>
          <c:w val="0.75170840741681488"/>
          <c:h val="8.33339165937591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34177409851418"/>
          <c:y val="7.9165167326376393E-2"/>
          <c:w val="0.8333808504351703"/>
          <c:h val="0.71159851869901658"/>
        </c:manualLayout>
      </c:layout>
      <c:barChart>
        <c:barDir val="col"/>
        <c:grouping val="stacked"/>
        <c:varyColors val="0"/>
        <c:ser>
          <c:idx val="0"/>
          <c:order val="0"/>
          <c:tx>
            <c:strRef>
              <c:f>'H.Huaj sipas koncensionalitetit'!$C$25</c:f>
              <c:strCache>
                <c:ptCount val="1"/>
                <c:pt idx="0">
                  <c:v>Terma Koncesionale</c:v>
                </c:pt>
              </c:strCache>
            </c:strRef>
          </c:tx>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'H.Huaj sipas koncensionalitetit'!$D$21:$K$21</c:f>
              <c:strCache>
                <c:ptCount val="8"/>
                <c:pt idx="0">
                  <c:v>2010</c:v>
                </c:pt>
                <c:pt idx="1">
                  <c:v>2011</c:v>
                </c:pt>
                <c:pt idx="2">
                  <c:v>2012</c:v>
                </c:pt>
                <c:pt idx="3">
                  <c:v>2013</c:v>
                </c:pt>
                <c:pt idx="4">
                  <c:v>2014</c:v>
                </c:pt>
                <c:pt idx="5">
                  <c:v>2015⁵</c:v>
                </c:pt>
                <c:pt idx="6">
                  <c:v>2016</c:v>
                </c:pt>
                <c:pt idx="7">
                  <c:v>Pri-17</c:v>
                </c:pt>
              </c:strCache>
            </c:strRef>
          </c:cat>
          <c:val>
            <c:numRef>
              <c:f>'H.Huaj sipas koncensionalitetit'!$D$25:$K$25</c:f>
              <c:numCache>
                <c:formatCode>#,#00%</c:formatCode>
                <c:ptCount val="8"/>
                <c:pt idx="0">
                  <c:v>0.18178045327309864</c:v>
                </c:pt>
                <c:pt idx="1">
                  <c:v>0.31237965207975332</c:v>
                </c:pt>
                <c:pt idx="2">
                  <c:v>0.24739141939682607</c:v>
                </c:pt>
                <c:pt idx="3">
                  <c:v>0.2808661728450027</c:v>
                </c:pt>
                <c:pt idx="4">
                  <c:v>0.7494253172456834</c:v>
                </c:pt>
                <c:pt idx="5">
                  <c:v>0.45059426408203257</c:v>
                </c:pt>
                <c:pt idx="6">
                  <c:v>0.72992630445921647</c:v>
                </c:pt>
                <c:pt idx="7">
                  <c:v>0.73635536688902359</c:v>
                </c:pt>
              </c:numCache>
            </c:numRef>
          </c:val>
        </c:ser>
        <c:ser>
          <c:idx val="1"/>
          <c:order val="1"/>
          <c:tx>
            <c:strRef>
              <c:f>'H.Huaj sipas koncensionalitetit'!$C$26</c:f>
              <c:strCache>
                <c:ptCount val="1"/>
                <c:pt idx="0">
                  <c:v>Terma Tregtare</c:v>
                </c:pt>
              </c:strCache>
            </c:strRef>
          </c:tx>
          <c:spPr>
            <a:solidFill>
              <a:srgbClr val="C00000"/>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'H.Huaj sipas koncensionalitetit'!$D$21:$K$21</c:f>
              <c:strCache>
                <c:ptCount val="8"/>
                <c:pt idx="0">
                  <c:v>2010</c:v>
                </c:pt>
                <c:pt idx="1">
                  <c:v>2011</c:v>
                </c:pt>
                <c:pt idx="2">
                  <c:v>2012</c:v>
                </c:pt>
                <c:pt idx="3">
                  <c:v>2013</c:v>
                </c:pt>
                <c:pt idx="4">
                  <c:v>2014</c:v>
                </c:pt>
                <c:pt idx="5">
                  <c:v>2015⁵</c:v>
                </c:pt>
                <c:pt idx="6">
                  <c:v>2016</c:v>
                </c:pt>
                <c:pt idx="7">
                  <c:v>Pri-17</c:v>
                </c:pt>
              </c:strCache>
            </c:strRef>
          </c:cat>
          <c:val>
            <c:numRef>
              <c:f>'H.Huaj sipas koncensionalitetit'!$D$26:$K$26</c:f>
              <c:numCache>
                <c:formatCode>#,#00%</c:formatCode>
                <c:ptCount val="8"/>
                <c:pt idx="0">
                  <c:v>0.81821954672690134</c:v>
                </c:pt>
                <c:pt idx="1">
                  <c:v>0.68762034792024673</c:v>
                </c:pt>
                <c:pt idx="2">
                  <c:v>0.75260858060317393</c:v>
                </c:pt>
                <c:pt idx="3">
                  <c:v>0.71913382715499719</c:v>
                </c:pt>
                <c:pt idx="4">
                  <c:v>0.25057468275431666</c:v>
                </c:pt>
                <c:pt idx="5">
                  <c:v>0.54940573591796737</c:v>
                </c:pt>
                <c:pt idx="6">
                  <c:v>0.27007369554078359</c:v>
                </c:pt>
                <c:pt idx="7">
                  <c:v>0.2636446331109763</c:v>
                </c:pt>
              </c:numCache>
            </c:numRef>
          </c:val>
        </c:ser>
        <c:dLbls>
          <c:showLegendKey val="0"/>
          <c:showVal val="0"/>
          <c:showCatName val="0"/>
          <c:showSerName val="0"/>
          <c:showPercent val="0"/>
          <c:showBubbleSize val="0"/>
        </c:dLbls>
        <c:gapWidth val="150"/>
        <c:overlap val="100"/>
        <c:axId val="-554715664"/>
        <c:axId val="-554710224"/>
      </c:barChart>
      <c:catAx>
        <c:axId val="-55471566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54710224"/>
        <c:crosses val="autoZero"/>
        <c:auto val="1"/>
        <c:lblAlgn val="ctr"/>
        <c:lblOffset val="100"/>
        <c:noMultiLvlLbl val="0"/>
      </c:catAx>
      <c:valAx>
        <c:axId val="-554710224"/>
        <c:scaling>
          <c:orientation val="minMax"/>
          <c:max val="1"/>
        </c:scaling>
        <c:delete val="0"/>
        <c:axPos val="l"/>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54715664"/>
        <c:crosses val="autoZero"/>
        <c:crossBetween val="between"/>
      </c:valAx>
      <c:spPr>
        <a:noFill/>
        <a:ln>
          <a:noFill/>
        </a:ln>
        <a:effectLst/>
      </c:spPr>
    </c:plotArea>
    <c:legend>
      <c:legendPos val="b"/>
      <c:layout>
        <c:manualLayout>
          <c:xMode val="edge"/>
          <c:yMode val="edge"/>
          <c:x val="9.9591007345279994E-2"/>
          <c:y val="0.87855258646825318"/>
          <c:w val="0.79203993510027837"/>
          <c:h val="0.121447413531746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5697189745809"/>
          <c:y val="5.0925925925925923E-2"/>
          <c:w val="0.7949571753342487"/>
          <c:h val="0.68106661038267358"/>
        </c:manualLayout>
      </c:layout>
      <c:barChart>
        <c:barDir val="col"/>
        <c:grouping val="clustered"/>
        <c:varyColors val="0"/>
        <c:ser>
          <c:idx val="0"/>
          <c:order val="0"/>
          <c:tx>
            <c:strRef>
              <c:f>'Sherbimi Total me tremujore (2'!$A$29</c:f>
              <c:strCache>
                <c:ptCount val="1"/>
                <c:pt idx="0">
                  <c:v>Borxhi Shtetëror</c:v>
                </c:pt>
              </c:strCache>
            </c:strRef>
          </c:tx>
          <c:spPr>
            <a:solidFill>
              <a:schemeClr val="accent1"/>
            </a:solidFill>
            <a:ln>
              <a:noFill/>
            </a:ln>
            <a:effectLst/>
          </c:spPr>
          <c:invertIfNegative val="0"/>
          <c:cat>
            <c:strRef>
              <c:f>'Sherbimi Total me tremujore (2'!$B$28:$G$28</c:f>
              <c:strCache>
                <c:ptCount val="6"/>
                <c:pt idx="0">
                  <c:v>2012</c:v>
                </c:pt>
                <c:pt idx="1">
                  <c:v>2013</c:v>
                </c:pt>
                <c:pt idx="2">
                  <c:v>2014</c:v>
                </c:pt>
                <c:pt idx="3">
                  <c:v>2015</c:v>
                </c:pt>
                <c:pt idx="4">
                  <c:v>2016</c:v>
                </c:pt>
                <c:pt idx="5">
                  <c:v>4M 2017</c:v>
                </c:pt>
              </c:strCache>
            </c:strRef>
          </c:cat>
          <c:val>
            <c:numRef>
              <c:f>'Sherbimi Total me tremujore (2'!$B$29:$G$29</c:f>
              <c:numCache>
                <c:formatCode>#,##0</c:formatCode>
                <c:ptCount val="6"/>
                <c:pt idx="0">
                  <c:v>774.52788152000005</c:v>
                </c:pt>
                <c:pt idx="1">
                  <c:v>833.36808000000008</c:v>
                </c:pt>
                <c:pt idx="2">
                  <c:v>922.56210797999984</c:v>
                </c:pt>
                <c:pt idx="3">
                  <c:v>986.24173660700285</c:v>
                </c:pt>
                <c:pt idx="4" formatCode="_-* #.##0_L_e_k_-;\-* #.##0_L_e_k_-;_-* &quot;-&quot;??_L_e_k_-;_-@_-">
                  <c:v>1012.241442321544</c:v>
                </c:pt>
                <c:pt idx="5">
                  <c:v>1028.7619999999999</c:v>
                </c:pt>
              </c:numCache>
            </c:numRef>
          </c:val>
        </c:ser>
        <c:ser>
          <c:idx val="1"/>
          <c:order val="1"/>
          <c:tx>
            <c:strRef>
              <c:f>'Sherbimi Total me tremujore (2'!$A$30</c:f>
              <c:strCache>
                <c:ptCount val="1"/>
                <c:pt idx="0">
                  <c:v>Shpenzimet per Interesa</c:v>
                </c:pt>
              </c:strCache>
            </c:strRef>
          </c:tx>
          <c:spPr>
            <a:solidFill>
              <a:srgbClr val="C000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'Sherbimi Total me tremujore (2'!$B$28:$G$28</c:f>
              <c:strCache>
                <c:ptCount val="6"/>
                <c:pt idx="0">
                  <c:v>2012</c:v>
                </c:pt>
                <c:pt idx="1">
                  <c:v>2013</c:v>
                </c:pt>
                <c:pt idx="2">
                  <c:v>2014</c:v>
                </c:pt>
                <c:pt idx="3">
                  <c:v>2015</c:v>
                </c:pt>
                <c:pt idx="4">
                  <c:v>2016</c:v>
                </c:pt>
                <c:pt idx="5">
                  <c:v>4M 2017</c:v>
                </c:pt>
              </c:strCache>
            </c:strRef>
          </c:cat>
          <c:val>
            <c:numRef>
              <c:f>'Sherbimi Total me tremujore (2'!$B$30:$G$30</c:f>
              <c:numCache>
                <c:formatCode>#,#00</c:formatCode>
                <c:ptCount val="6"/>
                <c:pt idx="0">
                  <c:v>41.497184999999995</c:v>
                </c:pt>
                <c:pt idx="1">
                  <c:v>43.335000000000001</c:v>
                </c:pt>
                <c:pt idx="2">
                  <c:v>39.936999999999998</c:v>
                </c:pt>
                <c:pt idx="3">
                  <c:v>38.642352000000002</c:v>
                </c:pt>
                <c:pt idx="4" formatCode="#.##00">
                  <c:v>36.259</c:v>
                </c:pt>
                <c:pt idx="5" formatCode="0.00">
                  <c:v>9.7950789999999994</c:v>
                </c:pt>
              </c:numCache>
            </c:numRef>
          </c:val>
        </c:ser>
        <c:dLbls>
          <c:showLegendKey val="0"/>
          <c:showVal val="0"/>
          <c:showCatName val="0"/>
          <c:showSerName val="0"/>
          <c:showPercent val="0"/>
          <c:showBubbleSize val="0"/>
        </c:dLbls>
        <c:gapWidth val="219"/>
        <c:axId val="-554714576"/>
        <c:axId val="-554709136"/>
      </c:barChart>
      <c:lineChart>
        <c:grouping val="stacked"/>
        <c:varyColors val="0"/>
        <c:ser>
          <c:idx val="2"/>
          <c:order val="2"/>
          <c:tx>
            <c:strRef>
              <c:f>'Sherbimi Total me tremujore (2'!$A$31</c:f>
              <c:strCache>
                <c:ptCount val="1"/>
                <c:pt idx="0">
                  <c:v>Interesa/PBB</c:v>
                </c:pt>
              </c:strCache>
            </c:strRef>
          </c:tx>
          <c:spPr>
            <a:ln w="28575" cap="rnd">
              <a:solidFill>
                <a:srgbClr val="C00000"/>
              </a:solidFill>
              <a:round/>
            </a:ln>
            <a:effectLst/>
          </c:spPr>
          <c:marker>
            <c:symbol val="diamond"/>
            <c:size val="5"/>
            <c:spPr>
              <a:solidFill>
                <a:srgbClr val="C00000"/>
              </a:solidFill>
              <a:ln w="9525">
                <a:solidFill>
                  <a:schemeClr val="accent3"/>
                </a:solidFill>
              </a:ln>
              <a:effectLst/>
            </c:spPr>
          </c:marker>
          <c:dLbls>
            <c:dLbl>
              <c:idx val="2"/>
              <c:layout>
                <c:manualLayout>
                  <c:x val="-1.8982781151912847E-3"/>
                  <c:y val="-3.38259618532366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452137394857632E-3"/>
                  <c:y val="-3.68596977894174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3600255430069911E-3"/>
                  <c:y val="-1.70002067575251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1.2988824715715018E-2"/>
                  <c:y val="-5.5708003054802099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'Sherbimi Total me tremujore (2'!$B$28:$G$28</c:f>
              <c:strCache>
                <c:ptCount val="6"/>
                <c:pt idx="0">
                  <c:v>2012</c:v>
                </c:pt>
                <c:pt idx="1">
                  <c:v>2013</c:v>
                </c:pt>
                <c:pt idx="2">
                  <c:v>2014</c:v>
                </c:pt>
                <c:pt idx="3">
                  <c:v>2015</c:v>
                </c:pt>
                <c:pt idx="4">
                  <c:v>2016</c:v>
                </c:pt>
                <c:pt idx="5">
                  <c:v>4M 2017</c:v>
                </c:pt>
              </c:strCache>
            </c:strRef>
          </c:cat>
          <c:val>
            <c:numRef>
              <c:f>'Sherbimi Total me tremujore (2'!$B$31:$G$31</c:f>
              <c:numCache>
                <c:formatCode>0.00%</c:formatCode>
                <c:ptCount val="6"/>
                <c:pt idx="0">
                  <c:v>3.113508617026195E-2</c:v>
                </c:pt>
                <c:pt idx="1">
                  <c:v>3.2098748483155283E-2</c:v>
                </c:pt>
                <c:pt idx="2">
                  <c:v>2.8640596719297355E-2</c:v>
                </c:pt>
                <c:pt idx="3">
                  <c:v>2.6933348202461772E-2</c:v>
                </c:pt>
                <c:pt idx="4">
                  <c:v>2.4142231956929223E-2</c:v>
                </c:pt>
                <c:pt idx="5">
                  <c:v>6.1357989503765384E-3</c:v>
                </c:pt>
              </c:numCache>
            </c:numRef>
          </c:val>
          <c:smooth val="1"/>
        </c:ser>
        <c:dLbls>
          <c:showLegendKey val="0"/>
          <c:showVal val="0"/>
          <c:showCatName val="0"/>
          <c:showSerName val="0"/>
          <c:showPercent val="0"/>
          <c:showBubbleSize val="0"/>
        </c:dLbls>
        <c:marker val="1"/>
        <c:smooth val="0"/>
        <c:axId val="-554716208"/>
        <c:axId val="-554713488"/>
      </c:lineChart>
      <c:catAx>
        <c:axId val="-55471457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09136"/>
        <c:crosses val="autoZero"/>
        <c:auto val="1"/>
        <c:lblAlgn val="ctr"/>
        <c:lblOffset val="100"/>
        <c:noMultiLvlLbl val="0"/>
      </c:catAx>
      <c:valAx>
        <c:axId val="-55470913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sq-AL" b="1">
                    <a:solidFill>
                      <a:sysClr val="windowText" lastClr="000000"/>
                    </a:solidFill>
                  </a:rPr>
                  <a:t> në m</a:t>
                </a:r>
                <a:r>
                  <a:rPr lang="en-US" b="1">
                    <a:solidFill>
                      <a:sysClr val="windowText" lastClr="000000"/>
                    </a:solidFill>
                  </a:rPr>
                  <a:t>iliard Lek</a:t>
                </a:r>
              </a:p>
            </c:rich>
          </c:tx>
          <c:layout>
            <c:manualLayout>
              <c:xMode val="edge"/>
              <c:yMode val="edge"/>
              <c:x val="1.827162475508199E-2"/>
              <c:y val="0.2802783473181825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14576"/>
        <c:crosses val="autoZero"/>
        <c:crossBetween val="between"/>
      </c:valAx>
      <c:valAx>
        <c:axId val="-554713488"/>
        <c:scaling>
          <c:orientation val="minMax"/>
        </c:scaling>
        <c:delete val="0"/>
        <c:axPos val="r"/>
        <c:numFmt formatCode="0.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16208"/>
        <c:crosses val="max"/>
        <c:crossBetween val="between"/>
        <c:majorUnit val="1.0000000000000002E-2"/>
      </c:valAx>
      <c:catAx>
        <c:axId val="-554716208"/>
        <c:scaling>
          <c:orientation val="minMax"/>
        </c:scaling>
        <c:delete val="1"/>
        <c:axPos val="b"/>
        <c:numFmt formatCode="General" sourceLinked="1"/>
        <c:majorTickMark val="out"/>
        <c:minorTickMark val="none"/>
        <c:tickLblPos val="nextTo"/>
        <c:crossAx val="-554713488"/>
        <c:crosses val="autoZero"/>
        <c:auto val="1"/>
        <c:lblAlgn val="ctr"/>
        <c:lblOffset val="100"/>
        <c:noMultiLvlLbl val="0"/>
      </c:catAx>
      <c:spPr>
        <a:noFill/>
        <a:ln>
          <a:noFill/>
        </a:ln>
        <a:effectLst/>
      </c:spPr>
    </c:plotArea>
    <c:legend>
      <c:legendPos val="b"/>
      <c:layout>
        <c:manualLayout>
          <c:xMode val="edge"/>
          <c:yMode val="edge"/>
          <c:x val="0.17685479044789243"/>
          <c:y val="0.87486259239476916"/>
          <c:w val="0.7171966898775366"/>
          <c:h val="9.23146504936335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
          <c:y val="9.375E-2"/>
          <c:w val="0.99990459221794359"/>
          <c:h val="0.77577263779527561"/>
        </c:manualLayout>
      </c:layout>
      <c:bar3DChart>
        <c:barDir val="col"/>
        <c:grouping val="clustered"/>
        <c:varyColors val="0"/>
        <c:ser>
          <c:idx val="0"/>
          <c:order val="0"/>
          <c:invertIfNegative val="0"/>
          <c:dPt>
            <c:idx val="1"/>
            <c:invertIfNegative val="0"/>
            <c:bubble3D val="0"/>
            <c:spPr>
              <a:solidFill>
                <a:srgbClr val="C00000"/>
              </a:solidFill>
            </c:spPr>
          </c:dPt>
          <c:dPt>
            <c:idx val="2"/>
            <c:invertIfNegative val="0"/>
            <c:bubble3D val="0"/>
            <c:spPr>
              <a:solidFill>
                <a:srgbClr val="92D050"/>
              </a:solidFill>
            </c:spPr>
          </c:dPt>
          <c:dLbls>
            <c:dLbl>
              <c:idx val="0"/>
              <c:layout>
                <c:manualLayout>
                  <c:x val="8.3333333333333332E-3"/>
                  <c:y val="0.12037037037037036"/>
                </c:manualLayout>
              </c:layout>
              <c:tx>
                <c:rich>
                  <a:bodyPr/>
                  <a:lstStyle/>
                  <a:p>
                    <a:r>
                      <a:rPr lang="en-US"/>
                      <a:t>141,483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88888888888889"/>
                </c:manualLayout>
              </c:layout>
              <c:tx>
                <c:rich>
                  <a:bodyPr/>
                  <a:lstStyle/>
                  <a:p>
                    <a:r>
                      <a:rPr lang="en-US"/>
                      <a:t>142,331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0.2361111111111111"/>
                </c:manualLayout>
              </c:layout>
              <c:tx>
                <c:rich>
                  <a:bodyPr/>
                  <a:lstStyle/>
                  <a:p>
                    <a:r>
                      <a:rPr lang="en-US"/>
                      <a:t>152,269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Sheet5!$D$34:$D$36</c:f>
              <c:strCache>
                <c:ptCount val="3"/>
                <c:pt idx="0">
                  <c:v>Fakt 5 M - 2016</c:v>
                </c:pt>
                <c:pt idx="1">
                  <c:v>Plan 5 M - 2017</c:v>
                </c:pt>
                <c:pt idx="2">
                  <c:v>Fakt 5 M - 2017</c:v>
                </c:pt>
              </c:strCache>
            </c:strRef>
          </c:cat>
          <c:val>
            <c:numRef>
              <c:f>Sheet5!$E$34:$E$36</c:f>
              <c:numCache>
                <c:formatCode>_(* #,##0_);_(* \(#,##0\);_(* "-"??_);_(@_)</c:formatCode>
                <c:ptCount val="3"/>
                <c:pt idx="0">
                  <c:v>85818</c:v>
                </c:pt>
                <c:pt idx="1">
                  <c:v>86421</c:v>
                </c:pt>
                <c:pt idx="2">
                  <c:v>92911</c:v>
                </c:pt>
              </c:numCache>
            </c:numRef>
          </c:val>
        </c:ser>
        <c:dLbls>
          <c:showLegendKey val="0"/>
          <c:showVal val="1"/>
          <c:showCatName val="0"/>
          <c:showSerName val="0"/>
          <c:showPercent val="0"/>
          <c:showBubbleSize val="0"/>
        </c:dLbls>
        <c:gapWidth val="75"/>
        <c:shape val="box"/>
        <c:axId val="-327961536"/>
        <c:axId val="-327952832"/>
        <c:axId val="0"/>
      </c:bar3DChart>
      <c:catAx>
        <c:axId val="-327961536"/>
        <c:scaling>
          <c:orientation val="minMax"/>
        </c:scaling>
        <c:delete val="0"/>
        <c:axPos val="b"/>
        <c:numFmt formatCode="General" sourceLinked="0"/>
        <c:majorTickMark val="none"/>
        <c:minorTickMark val="none"/>
        <c:tickLblPos val="nextTo"/>
        <c:txPr>
          <a:bodyPr/>
          <a:lstStyle/>
          <a:p>
            <a:pPr>
              <a:defRPr sz="700" b="1"/>
            </a:pPr>
            <a:endParaRPr lang="en-US"/>
          </a:p>
        </c:txPr>
        <c:crossAx val="-327952832"/>
        <c:crosses val="autoZero"/>
        <c:auto val="1"/>
        <c:lblAlgn val="ctr"/>
        <c:lblOffset val="100"/>
        <c:noMultiLvlLbl val="0"/>
      </c:catAx>
      <c:valAx>
        <c:axId val="-327952832"/>
        <c:scaling>
          <c:orientation val="minMax"/>
        </c:scaling>
        <c:delete val="1"/>
        <c:axPos val="l"/>
        <c:numFmt formatCode="_(* #,##0_);_(* \(#,##0\);_(* &quot;-&quot;??_);_(@_)" sourceLinked="1"/>
        <c:majorTickMark val="none"/>
        <c:minorTickMark val="none"/>
        <c:tickLblPos val="nextTo"/>
        <c:crossAx val="-327961536"/>
        <c:crosses val="autoZero"/>
        <c:crossBetween val="between"/>
      </c:valAx>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413659301761588E-2"/>
          <c:y val="5.9912854030501089E-2"/>
          <c:w val="0.90955838089046204"/>
          <c:h val="0.68377764054003054"/>
        </c:manualLayout>
      </c:layout>
      <c:bar3DChart>
        <c:barDir val="col"/>
        <c:grouping val="clustered"/>
        <c:varyColors val="0"/>
        <c:ser>
          <c:idx val="1"/>
          <c:order val="0"/>
          <c:tx>
            <c:strRef>
              <c:f>'Mat, Emet, Kerkuar  '!$C$36</c:f>
              <c:strCache>
                <c:ptCount val="1"/>
                <c:pt idx="0">
                  <c:v>2016</c:v>
                </c:pt>
              </c:strCache>
            </c:strRef>
          </c:tx>
          <c:spPr>
            <a:solidFill>
              <a:srgbClr val="C00000"/>
            </a:solidFill>
            <a:ln>
              <a:noFill/>
            </a:ln>
            <a:effectLst/>
            <a:sp3d/>
          </c:spPr>
          <c:invertIfNegative val="0"/>
          <c:dLbls>
            <c:dLbl>
              <c:idx val="0"/>
              <c:layout>
                <c:manualLayout>
                  <c:x val="2.2119815668202765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288546657953489E-3"/>
                  <c:y val="-4.393993860172053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24911324174379E-2"/>
                  <c:y val="-9.2592176130649011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119815668202765E-2"/>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589861751152075E-2"/>
                  <c:y val="-3.51519508813763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 Emet, Kerkuar  '!$A$37:$A$41</c:f>
              <c:strCache>
                <c:ptCount val="5"/>
                <c:pt idx="0">
                  <c:v>BSH</c:v>
                </c:pt>
                <c:pt idx="1">
                  <c:v>Sektori Bankar</c:v>
                </c:pt>
                <c:pt idx="2">
                  <c:v>Institucione Financiare</c:v>
                </c:pt>
                <c:pt idx="3">
                  <c:v>Institucione jo Financiare</c:v>
                </c:pt>
                <c:pt idx="4">
                  <c:v>Individ</c:v>
                </c:pt>
              </c:strCache>
            </c:strRef>
          </c:cat>
          <c:val>
            <c:numRef>
              <c:f>'Mat, Emet, Kerkuar  '!$C$37:$C$41</c:f>
              <c:numCache>
                <c:formatCode>0.00%</c:formatCode>
                <c:ptCount val="5"/>
                <c:pt idx="0">
                  <c:v>0.16695404252952589</c:v>
                </c:pt>
                <c:pt idx="1">
                  <c:v>0.54621145295418805</c:v>
                </c:pt>
                <c:pt idx="2">
                  <c:v>9.1201509465704336E-2</c:v>
                </c:pt>
                <c:pt idx="3">
                  <c:v>5.4533558080551818E-3</c:v>
                </c:pt>
                <c:pt idx="4">
                  <c:v>0.18849671996101866</c:v>
                </c:pt>
              </c:numCache>
            </c:numRef>
          </c:val>
        </c:ser>
        <c:ser>
          <c:idx val="0"/>
          <c:order val="1"/>
          <c:tx>
            <c:strRef>
              <c:f>'Mat, Emet, Kerkuar  '!$B$36</c:f>
              <c:strCache>
                <c:ptCount val="1"/>
                <c:pt idx="0">
                  <c:v>4M 2017</c:v>
                </c:pt>
              </c:strCache>
            </c:strRef>
          </c:tx>
          <c:spPr>
            <a:pattFill prst="wdDnDiag">
              <a:fgClr>
                <a:srgbClr val="5B9BD5">
                  <a:lumMod val="75000"/>
                </a:srgbClr>
              </a:fgClr>
              <a:bgClr>
                <a:sysClr val="window" lastClr="FFFFFF"/>
              </a:bgClr>
            </a:pattFill>
            <a:ln>
              <a:noFill/>
            </a:ln>
            <a:effectLst/>
            <a:sp3d/>
          </c:spPr>
          <c:invertIfNegative val="0"/>
          <c:dLbls>
            <c:dLbl>
              <c:idx val="0"/>
              <c:layout>
                <c:manualLayout>
                  <c:x val="3.6559145975640667E-2"/>
                  <c:y val="-8.78798772034408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05379985670904E-2"/>
                  <c:y val="-8.787987720344097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39920346726016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8709683974207765E-2"/>
                  <c:y val="-1.31819815805161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809517197445958E-2"/>
                  <c:y val="-3.07579570212043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 Emet, Kerkuar  '!$A$37:$A$41</c:f>
              <c:strCache>
                <c:ptCount val="5"/>
                <c:pt idx="0">
                  <c:v>BSH</c:v>
                </c:pt>
                <c:pt idx="1">
                  <c:v>Sektori Bankar</c:v>
                </c:pt>
                <c:pt idx="2">
                  <c:v>Institucione Financiare</c:v>
                </c:pt>
                <c:pt idx="3">
                  <c:v>Institucione jo Financiare</c:v>
                </c:pt>
                <c:pt idx="4">
                  <c:v>Individ</c:v>
                </c:pt>
              </c:strCache>
            </c:strRef>
          </c:cat>
          <c:val>
            <c:numRef>
              <c:f>'Mat, Emet, Kerkuar  '!$B$37:$B$41</c:f>
              <c:numCache>
                <c:formatCode>0.00%</c:formatCode>
                <c:ptCount val="5"/>
                <c:pt idx="0">
                  <c:v>0.13663039544714245</c:v>
                </c:pt>
                <c:pt idx="1">
                  <c:v>0.56379894756347926</c:v>
                </c:pt>
                <c:pt idx="2">
                  <c:v>0.11444450753677178</c:v>
                </c:pt>
                <c:pt idx="3">
                  <c:v>2.5410310204699816E-3</c:v>
                </c:pt>
                <c:pt idx="4">
                  <c:v>0.18258511843213651</c:v>
                </c:pt>
              </c:numCache>
            </c:numRef>
          </c:val>
        </c:ser>
        <c:dLbls>
          <c:showLegendKey val="0"/>
          <c:showVal val="0"/>
          <c:showCatName val="0"/>
          <c:showSerName val="0"/>
          <c:showPercent val="0"/>
          <c:showBubbleSize val="0"/>
        </c:dLbls>
        <c:gapWidth val="150"/>
        <c:shape val="box"/>
        <c:axId val="-554708592"/>
        <c:axId val="-554712400"/>
        <c:axId val="0"/>
      </c:bar3DChart>
      <c:catAx>
        <c:axId val="-554708592"/>
        <c:scaling>
          <c:orientation val="minMax"/>
        </c:scaling>
        <c:delete val="0"/>
        <c:axPos val="b"/>
        <c:numFmt formatCode="General" sourceLinked="1"/>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12400"/>
        <c:crosses val="autoZero"/>
        <c:auto val="1"/>
        <c:lblAlgn val="ctr"/>
        <c:lblOffset val="100"/>
        <c:noMultiLvlLbl val="0"/>
      </c:catAx>
      <c:valAx>
        <c:axId val="-554712400"/>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708592"/>
        <c:crosses val="autoZero"/>
        <c:crossBetween val="between"/>
      </c:valAx>
      <c:spPr>
        <a:noFill/>
        <a:ln>
          <a:noFill/>
        </a:ln>
        <a:effectLst/>
      </c:spPr>
    </c:plotArea>
    <c:legend>
      <c:legendPos val="b"/>
      <c:layout>
        <c:manualLayout>
          <c:xMode val="edge"/>
          <c:yMode val="edge"/>
          <c:x val="0.37259522605545864"/>
          <c:y val="0.90264096889849577"/>
          <c:w val="0.25480937589223368"/>
          <c:h val="6.467929253941295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23232281753569"/>
          <c:y val="7.477906186267845E-2"/>
          <c:w val="0.8088650261611694"/>
          <c:h val="0.6246214209627603"/>
        </c:manualLayout>
      </c:layout>
      <c:lineChart>
        <c:grouping val="standard"/>
        <c:varyColors val="0"/>
        <c:ser>
          <c:idx val="0"/>
          <c:order val="0"/>
          <c:tx>
            <c:strRef>
              <c:f>Sheet7!$F$3</c:f>
              <c:strCache>
                <c:ptCount val="1"/>
                <c:pt idx="0">
                  <c:v>Dhj-16</c:v>
                </c:pt>
              </c:strCache>
            </c:strRef>
          </c:tx>
          <c:spPr>
            <a:ln w="25400"/>
          </c:spPr>
          <c:marker>
            <c:symbol val="diamond"/>
            <c:size val="5"/>
          </c:marker>
          <c:cat>
            <c:strRef>
              <c:f>Sheet7!$A$4:$A$11</c:f>
              <c:strCache>
                <c:ptCount val="8"/>
                <c:pt idx="0">
                  <c:v>BTH 3-m</c:v>
                </c:pt>
                <c:pt idx="1">
                  <c:v>BTH 6-m</c:v>
                </c:pt>
                <c:pt idx="2">
                  <c:v>BTH 12-m</c:v>
                </c:pt>
                <c:pt idx="3">
                  <c:v> Obl. 2-vj</c:v>
                </c:pt>
                <c:pt idx="4">
                  <c:v>  Obl. 3-vj</c:v>
                </c:pt>
                <c:pt idx="5">
                  <c:v>  Obl. 5-vj</c:v>
                </c:pt>
                <c:pt idx="6">
                  <c:v> Obl. 7-vj</c:v>
                </c:pt>
                <c:pt idx="7">
                  <c:v> Obl. 10-vj</c:v>
                </c:pt>
              </c:strCache>
            </c:strRef>
          </c:cat>
          <c:val>
            <c:numRef>
              <c:f>Sheet7!$F$4:$F$11</c:f>
              <c:numCache>
                <c:formatCode>#,##0.00</c:formatCode>
                <c:ptCount val="8"/>
                <c:pt idx="0">
                  <c:v>1.22</c:v>
                </c:pt>
                <c:pt idx="1">
                  <c:v>2</c:v>
                </c:pt>
                <c:pt idx="2">
                  <c:v>3.0169999999999999</c:v>
                </c:pt>
                <c:pt idx="3">
                  <c:v>3.6</c:v>
                </c:pt>
                <c:pt idx="4">
                  <c:v>2.15</c:v>
                </c:pt>
                <c:pt idx="5">
                  <c:v>5.25</c:v>
                </c:pt>
                <c:pt idx="6">
                  <c:v>5.98</c:v>
                </c:pt>
                <c:pt idx="7">
                  <c:v>6.7</c:v>
                </c:pt>
              </c:numCache>
            </c:numRef>
          </c:val>
          <c:smooth val="1"/>
        </c:ser>
        <c:ser>
          <c:idx val="4"/>
          <c:order val="1"/>
          <c:tx>
            <c:strRef>
              <c:f>Sheet7!$B$3</c:f>
              <c:strCache>
                <c:ptCount val="1"/>
                <c:pt idx="0">
                  <c:v>Prill 2017</c:v>
                </c:pt>
              </c:strCache>
            </c:strRef>
          </c:tx>
          <c:spPr>
            <a:ln w="25400">
              <a:solidFill>
                <a:srgbClr val="ED7D31">
                  <a:lumMod val="75000"/>
                </a:srgbClr>
              </a:solidFill>
              <a:prstDash val="sysDash"/>
            </a:ln>
          </c:spPr>
          <c:marker>
            <c:symbol val="diamond"/>
            <c:size val="5"/>
            <c:spPr>
              <a:solidFill>
                <a:schemeClr val="accent6">
                  <a:lumMod val="75000"/>
                </a:schemeClr>
              </a:solidFill>
              <a:ln>
                <a:solidFill>
                  <a:schemeClr val="accent6">
                    <a:lumMod val="75000"/>
                  </a:schemeClr>
                </a:solidFill>
              </a:ln>
            </c:spPr>
          </c:marker>
          <c:cat>
            <c:strRef>
              <c:f>Sheet7!$A$4:$A$11</c:f>
              <c:strCache>
                <c:ptCount val="8"/>
                <c:pt idx="0">
                  <c:v>BTH 3-m</c:v>
                </c:pt>
                <c:pt idx="1">
                  <c:v>BTH 6-m</c:v>
                </c:pt>
                <c:pt idx="2">
                  <c:v>BTH 12-m</c:v>
                </c:pt>
                <c:pt idx="3">
                  <c:v> Obl. 2-vj</c:v>
                </c:pt>
                <c:pt idx="4">
                  <c:v>  Obl. 3-vj</c:v>
                </c:pt>
                <c:pt idx="5">
                  <c:v>  Obl. 5-vj</c:v>
                </c:pt>
                <c:pt idx="6">
                  <c:v> Obl. 7-vj</c:v>
                </c:pt>
                <c:pt idx="7">
                  <c:v> Obl. 10-vj</c:v>
                </c:pt>
              </c:strCache>
            </c:strRef>
          </c:cat>
          <c:val>
            <c:numRef>
              <c:f>Sheet7!$B$4:$B$11</c:f>
              <c:numCache>
                <c:formatCode>#,##0.00</c:formatCode>
                <c:ptCount val="8"/>
                <c:pt idx="0">
                  <c:v>1.22</c:v>
                </c:pt>
                <c:pt idx="1">
                  <c:v>1.5149999999999999</c:v>
                </c:pt>
                <c:pt idx="2">
                  <c:v>1.79</c:v>
                </c:pt>
                <c:pt idx="3">
                  <c:v>2.25</c:v>
                </c:pt>
                <c:pt idx="4">
                  <c:v>2.7</c:v>
                </c:pt>
                <c:pt idx="5">
                  <c:v>5.15</c:v>
                </c:pt>
                <c:pt idx="6">
                  <c:v>5.24</c:v>
                </c:pt>
                <c:pt idx="7">
                  <c:v>6.45</c:v>
                </c:pt>
              </c:numCache>
            </c:numRef>
          </c:val>
          <c:smooth val="1"/>
        </c:ser>
        <c:dLbls>
          <c:showLegendKey val="0"/>
          <c:showVal val="0"/>
          <c:showCatName val="0"/>
          <c:showSerName val="0"/>
          <c:showPercent val="0"/>
          <c:showBubbleSize val="0"/>
        </c:dLbls>
        <c:marker val="1"/>
        <c:smooth val="0"/>
        <c:axId val="-554720560"/>
        <c:axId val="-554717840"/>
      </c:lineChart>
      <c:catAx>
        <c:axId val="-554720560"/>
        <c:scaling>
          <c:orientation val="minMax"/>
        </c:scaling>
        <c:delete val="0"/>
        <c:axPos val="b"/>
        <c:numFmt formatCode="General" sourceLinked="0"/>
        <c:majorTickMark val="none"/>
        <c:minorTickMark val="none"/>
        <c:tickLblPos val="nextTo"/>
        <c:crossAx val="-554717840"/>
        <c:crosses val="autoZero"/>
        <c:auto val="1"/>
        <c:lblAlgn val="ctr"/>
        <c:lblOffset val="100"/>
        <c:noMultiLvlLbl val="0"/>
      </c:catAx>
      <c:valAx>
        <c:axId val="-554717840"/>
        <c:scaling>
          <c:orientation val="minMax"/>
          <c:min val="0"/>
        </c:scaling>
        <c:delete val="0"/>
        <c:axPos val="l"/>
        <c:title>
          <c:tx>
            <c:rich>
              <a:bodyPr/>
              <a:lstStyle/>
              <a:p>
                <a:pPr>
                  <a:defRPr/>
                </a:pPr>
                <a:r>
                  <a:rPr lang="sq-AL"/>
                  <a:t>Yield-i</a:t>
                </a:r>
              </a:p>
            </c:rich>
          </c:tx>
          <c:layout>
            <c:manualLayout>
              <c:xMode val="edge"/>
              <c:yMode val="edge"/>
              <c:x val="5.9116200761736598E-2"/>
              <c:y val="0.28006070111392434"/>
            </c:manualLayout>
          </c:layout>
          <c:overlay val="0"/>
        </c:title>
        <c:numFmt formatCode="#,##0.00" sourceLinked="1"/>
        <c:majorTickMark val="none"/>
        <c:minorTickMark val="none"/>
        <c:tickLblPos val="nextTo"/>
        <c:txPr>
          <a:bodyPr/>
          <a:lstStyle/>
          <a:p>
            <a:pPr>
              <a:defRPr sz="800"/>
            </a:pPr>
            <a:endParaRPr lang="en-US"/>
          </a:p>
        </c:txPr>
        <c:crossAx val="-554720560"/>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Import i taksuar</a:t>
            </a:r>
            <a:r>
              <a:rPr lang="en-US" baseline="0"/>
              <a:t> sipas vendeve </a:t>
            </a:r>
            <a:endParaRPr lang="en-US"/>
          </a:p>
        </c:rich>
      </c:tx>
      <c:overlay val="0"/>
    </c:title>
    <c:autoTitleDeleted val="0"/>
    <c:plotArea>
      <c:layout>
        <c:manualLayout>
          <c:layoutTarget val="inner"/>
          <c:xMode val="edge"/>
          <c:yMode val="edge"/>
          <c:x val="8.6109639138709559E-2"/>
          <c:y val="0.23672748223545229"/>
          <c:w val="0.70771753056934239"/>
          <c:h val="0.7284312143908841"/>
        </c:manualLayout>
      </c:layout>
      <c:pieChart>
        <c:varyColors val="1"/>
        <c:ser>
          <c:idx val="0"/>
          <c:order val="0"/>
          <c:dLbls>
            <c:dLbl>
              <c:idx val="5"/>
              <c:tx>
                <c:rich>
                  <a:bodyPr/>
                  <a:lstStyle/>
                  <a:p>
                    <a:r>
                      <a:rPr lang="en-US"/>
                      <a:t>Serbi
6%</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'Im sipas origjines'!$N$4:$N$9</c:f>
              <c:strCache>
                <c:ptCount val="6"/>
                <c:pt idx="0">
                  <c:v>Itali</c:v>
                </c:pt>
                <c:pt idx="1">
                  <c:v>Turqi</c:v>
                </c:pt>
                <c:pt idx="2">
                  <c:v>Gjermani</c:v>
                </c:pt>
                <c:pt idx="3">
                  <c:v>Greqi</c:v>
                </c:pt>
                <c:pt idx="4">
                  <c:v>Kinë</c:v>
                </c:pt>
                <c:pt idx="5">
                  <c:v>Serbia</c:v>
                </c:pt>
              </c:strCache>
            </c:strRef>
          </c:cat>
          <c:val>
            <c:numRef>
              <c:f>'Im sipas origjines'!$O$4:$O$9</c:f>
              <c:numCache>
                <c:formatCode>0%</c:formatCode>
                <c:ptCount val="6"/>
                <c:pt idx="0">
                  <c:v>0.44953152954583853</c:v>
                </c:pt>
                <c:pt idx="1">
                  <c:v>0.12829939329734616</c:v>
                </c:pt>
                <c:pt idx="2">
                  <c:v>0.1280706551510698</c:v>
                </c:pt>
                <c:pt idx="3">
                  <c:v>0.12048808923779332</c:v>
                </c:pt>
                <c:pt idx="4">
                  <c:v>0.11638534598912605</c:v>
                </c:pt>
                <c:pt idx="5">
                  <c:v>5.7224986778826134E-2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Eksport Total sipas vendeve</a:t>
            </a:r>
          </a:p>
        </c:rich>
      </c:tx>
      <c:overlay val="0"/>
    </c:title>
    <c:autoTitleDeleted val="0"/>
    <c:plotArea>
      <c:layout>
        <c:manualLayout>
          <c:layoutTarget val="inner"/>
          <c:xMode val="edge"/>
          <c:yMode val="edge"/>
          <c:x val="8.7542087542087546E-2"/>
          <c:y val="0.34682738117450956"/>
          <c:w val="0.69605768975847715"/>
          <c:h val="0.65317261882549038"/>
        </c:manualLayout>
      </c:layout>
      <c:pieChart>
        <c:varyColors val="1"/>
        <c:ser>
          <c:idx val="0"/>
          <c:order val="0"/>
          <c:dLbls>
            <c:spPr>
              <a:noFill/>
              <a:ln>
                <a:noFill/>
              </a:ln>
              <a:effectLst/>
            </c:spPr>
            <c:txPr>
              <a:bodyPr/>
              <a:lstStyle/>
              <a:p>
                <a:pPr>
                  <a:defRPr sz="7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'ex sipas destinacionit'!$M$4:$M$10</c:f>
              <c:strCache>
                <c:ptCount val="7"/>
                <c:pt idx="0">
                  <c:v>Itali</c:v>
                </c:pt>
                <c:pt idx="1">
                  <c:v>Kosovë</c:v>
                </c:pt>
                <c:pt idx="2">
                  <c:v>Spanjë</c:v>
                </c:pt>
                <c:pt idx="3">
                  <c:v>Greqi</c:v>
                </c:pt>
                <c:pt idx="4">
                  <c:v>Gjermani</c:v>
                </c:pt>
                <c:pt idx="5">
                  <c:v>Kinë</c:v>
                </c:pt>
                <c:pt idx="6">
                  <c:v>Maqedoni</c:v>
                </c:pt>
              </c:strCache>
            </c:strRef>
          </c:cat>
          <c:val>
            <c:numRef>
              <c:f>'ex sipas destinacionit'!$N$4:$N$10</c:f>
              <c:numCache>
                <c:formatCode>0%</c:formatCode>
                <c:ptCount val="7"/>
                <c:pt idx="0">
                  <c:v>0.66527917667855607</c:v>
                </c:pt>
                <c:pt idx="1">
                  <c:v>8.9743532228816134E-2</c:v>
                </c:pt>
                <c:pt idx="2">
                  <c:v>5.8822296218292394E-2</c:v>
                </c:pt>
                <c:pt idx="3">
                  <c:v>5.4328329293606696E-2</c:v>
                </c:pt>
                <c:pt idx="4">
                  <c:v>4.9752788230222035E-2</c:v>
                </c:pt>
                <c:pt idx="5">
                  <c:v>4.6408198804573961E-2</c:v>
                </c:pt>
                <c:pt idx="6">
                  <c:v>3.5665678545932743E-2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9.4623655913978491E-2"/>
          <c:w val="1"/>
          <c:h val="0.57769875539751081"/>
        </c:manualLayout>
      </c:layout>
      <c:barChart>
        <c:barDir val="col"/>
        <c:grouping val="clustered"/>
        <c:varyColors val="0"/>
        <c:ser>
          <c:idx val="0"/>
          <c:order val="0"/>
          <c:tx>
            <c:strRef>
              <c:f>Sheet1!$N$12</c:f>
              <c:strCache>
                <c:ptCount val="1"/>
                <c:pt idx="0">
                  <c:v>2016</c:v>
                </c:pt>
              </c:strCache>
            </c:strRef>
          </c:tx>
          <c:spPr>
            <a:solidFill>
              <a:schemeClr val="accent2">
                <a:lumMod val="20000"/>
                <a:lumOff val="80000"/>
              </a:schemeClr>
            </a:solidFill>
          </c:spPr>
          <c:invertIfNegative val="0"/>
          <c:dPt>
            <c:idx val="0"/>
            <c:invertIfNegative val="0"/>
            <c:bubble3D val="0"/>
          </c:dPt>
          <c:dPt>
            <c:idx val="1"/>
            <c:invertIfNegative val="0"/>
            <c:bubble3D val="0"/>
          </c:dPt>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Sheet1!$O$11:$P$11</c:f>
              <c:strCache>
                <c:ptCount val="2"/>
                <c:pt idx="0">
                  <c:v>Import I Taksuar</c:v>
                </c:pt>
                <c:pt idx="1">
                  <c:v>Eksport Total </c:v>
                </c:pt>
              </c:strCache>
            </c:strRef>
          </c:cat>
          <c:val>
            <c:numRef>
              <c:f>Sheet1!$O$12:$P$12</c:f>
              <c:numCache>
                <c:formatCode>_-* #,##0_-;\-* #,##0_-;_-* "-"??_-;_-@_-</c:formatCode>
                <c:ptCount val="2"/>
                <c:pt idx="0">
                  <c:v>181366</c:v>
                </c:pt>
                <c:pt idx="1">
                  <c:v>95037</c:v>
                </c:pt>
              </c:numCache>
            </c:numRef>
          </c:val>
        </c:ser>
        <c:ser>
          <c:idx val="1"/>
          <c:order val="1"/>
          <c:tx>
            <c:strRef>
              <c:f>Sheet1!$N$13</c:f>
              <c:strCache>
                <c:ptCount val="1"/>
                <c:pt idx="0">
                  <c:v>2017</c:v>
                </c:pt>
              </c:strCache>
            </c:strRef>
          </c:tx>
          <c:spPr>
            <a:solidFill>
              <a:schemeClr val="accent2">
                <a:lumMod val="60000"/>
                <a:lumOff val="40000"/>
              </a:schemeClr>
            </a:solidFill>
          </c:spPr>
          <c:invertIfNegative val="0"/>
          <c:dPt>
            <c:idx val="0"/>
            <c:invertIfNegative val="0"/>
            <c:bubble3D val="0"/>
          </c:dPt>
          <c:dPt>
            <c:idx val="1"/>
            <c:invertIfNegative val="0"/>
            <c:bubble3D val="0"/>
          </c:dPt>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Sheet1!$O$11:$P$11</c:f>
              <c:strCache>
                <c:ptCount val="2"/>
                <c:pt idx="0">
                  <c:v>Import I Taksuar</c:v>
                </c:pt>
                <c:pt idx="1">
                  <c:v>Eksport Total </c:v>
                </c:pt>
              </c:strCache>
            </c:strRef>
          </c:cat>
          <c:val>
            <c:numRef>
              <c:f>Sheet1!$O$13:$P$13</c:f>
              <c:numCache>
                <c:formatCode>_-* #,##0_-;\-* #,##0_-;_-* "-"??_-;_-@_-</c:formatCode>
                <c:ptCount val="2"/>
                <c:pt idx="0">
                  <c:v>187301</c:v>
                </c:pt>
                <c:pt idx="1">
                  <c:v>110880</c:v>
                </c:pt>
              </c:numCache>
            </c:numRef>
          </c:val>
        </c:ser>
        <c:dLbls>
          <c:showLegendKey val="0"/>
          <c:showVal val="1"/>
          <c:showCatName val="0"/>
          <c:showSerName val="0"/>
          <c:showPercent val="0"/>
          <c:showBubbleSize val="0"/>
        </c:dLbls>
        <c:gapWidth val="75"/>
        <c:axId val="-327957184"/>
        <c:axId val="-327983296"/>
      </c:barChart>
      <c:catAx>
        <c:axId val="-327957184"/>
        <c:scaling>
          <c:orientation val="minMax"/>
        </c:scaling>
        <c:delete val="0"/>
        <c:axPos val="b"/>
        <c:numFmt formatCode="General" sourceLinked="0"/>
        <c:majorTickMark val="none"/>
        <c:minorTickMark val="none"/>
        <c:tickLblPos val="nextTo"/>
        <c:txPr>
          <a:bodyPr/>
          <a:lstStyle/>
          <a:p>
            <a:pPr>
              <a:defRPr b="1"/>
            </a:pPr>
            <a:endParaRPr lang="en-US"/>
          </a:p>
        </c:txPr>
        <c:crossAx val="-327983296"/>
        <c:crosses val="autoZero"/>
        <c:auto val="1"/>
        <c:lblAlgn val="ctr"/>
        <c:lblOffset val="100"/>
        <c:noMultiLvlLbl val="0"/>
      </c:catAx>
      <c:valAx>
        <c:axId val="-327983296"/>
        <c:scaling>
          <c:orientation val="minMax"/>
        </c:scaling>
        <c:delete val="1"/>
        <c:axPos val="l"/>
        <c:numFmt formatCode="_-* #,##0_-;\-* #,##0_-;_-* &quot;-&quot;??_-;_-@_-" sourceLinked="1"/>
        <c:majorTickMark val="none"/>
        <c:minorTickMark val="none"/>
        <c:tickLblPos val="nextTo"/>
        <c:crossAx val="-327957184"/>
        <c:crosses val="autoZero"/>
        <c:crossBetween val="between"/>
      </c:valAx>
    </c:plotArea>
    <c:legend>
      <c:legendPos val="b"/>
      <c:overlay val="0"/>
      <c:txPr>
        <a:bodyPr/>
        <a:lstStyle/>
        <a:p>
          <a:pPr>
            <a:defRPr b="1"/>
          </a:pPr>
          <a:endParaRPr lang="en-US"/>
        </a:p>
      </c:txPr>
    </c:legend>
    <c:plotVisOnly val="1"/>
    <c:dispBlanksAs val="gap"/>
    <c:showDLblsOverMax val="0"/>
  </c:chart>
  <c:spPr>
    <a:ln>
      <a:noFill/>
    </a:ln>
  </c:spPr>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manualLayout>
          <c:layoutTarget val="inner"/>
          <c:xMode val="edge"/>
          <c:yMode val="edge"/>
          <c:x val="1.1479550971621505E-2"/>
          <c:y val="9.0315540667913738E-2"/>
          <c:w val="0.98249545729860688"/>
          <c:h val="0.78621467206102003"/>
        </c:manualLayout>
      </c:layout>
      <c:lineChart>
        <c:grouping val="standard"/>
        <c:varyColors val="0"/>
        <c:ser>
          <c:idx val="0"/>
          <c:order val="0"/>
          <c:tx>
            <c:strRef>
              <c:f>Sheet1!$B$1</c:f>
              <c:strCache>
                <c:ptCount val="1"/>
                <c:pt idx="0">
                  <c:v>Realizim 2016</c:v>
                </c:pt>
              </c:strCache>
            </c:strRef>
          </c:tx>
          <c:spPr>
            <a:ln w="22225">
              <a:solidFill>
                <a:srgbClr val="0070C0"/>
              </a:solidFill>
            </a:ln>
            <a:effectLst>
              <a:outerShdw blurRad="50800" dist="38100" dir="2700000" algn="tl" rotWithShape="0">
                <a:schemeClr val="tx2">
                  <a:lumMod val="40000"/>
                  <a:lumOff val="60000"/>
                  <a:alpha val="40000"/>
                </a:schemeClr>
              </a:outerShdw>
            </a:effectLst>
          </c:spPr>
          <c:marker>
            <c:symbol val="none"/>
          </c:marker>
          <c:cat>
            <c:strRef>
              <c:f>Sheet1!$A$2:$A$14</c:f>
              <c:strCache>
                <c:ptCount val="12"/>
                <c:pt idx="0">
                  <c:v>Janar</c:v>
                </c:pt>
                <c:pt idx="1">
                  <c:v>Shkurt</c:v>
                </c:pt>
                <c:pt idx="2">
                  <c:v>Mars</c:v>
                </c:pt>
                <c:pt idx="3">
                  <c:v>Prill</c:v>
                </c:pt>
                <c:pt idx="4">
                  <c:v>Maj</c:v>
                </c:pt>
                <c:pt idx="5">
                  <c:v>Qershor</c:v>
                </c:pt>
                <c:pt idx="6">
                  <c:v>Korrik</c:v>
                </c:pt>
                <c:pt idx="7">
                  <c:v>Gusht</c:v>
                </c:pt>
                <c:pt idx="8">
                  <c:v>Shtator</c:v>
                </c:pt>
                <c:pt idx="9">
                  <c:v>Tetor</c:v>
                </c:pt>
                <c:pt idx="10">
                  <c:v>Nëntor</c:v>
                </c:pt>
                <c:pt idx="11">
                  <c:v>Dhjetor</c:v>
                </c:pt>
              </c:strCache>
            </c:strRef>
          </c:cat>
          <c:val>
            <c:numRef>
              <c:f>Sheet1!$B$2:$B$14</c:f>
              <c:numCache>
                <c:formatCode>_(* #,##0_);_(* \(#,##0\);_(* "-"??_);_(@_)</c:formatCode>
                <c:ptCount val="13"/>
                <c:pt idx="0">
                  <c:v>9386</c:v>
                </c:pt>
                <c:pt idx="1">
                  <c:v>10360</c:v>
                </c:pt>
                <c:pt idx="2">
                  <c:v>11726</c:v>
                </c:pt>
                <c:pt idx="3">
                  <c:v>11948</c:v>
                </c:pt>
                <c:pt idx="4">
                  <c:v>12245</c:v>
                </c:pt>
                <c:pt idx="5">
                  <c:v>13385</c:v>
                </c:pt>
                <c:pt idx="6">
                  <c:v>13763</c:v>
                </c:pt>
                <c:pt idx="7">
                  <c:v>13924</c:v>
                </c:pt>
                <c:pt idx="8">
                  <c:v>12034</c:v>
                </c:pt>
                <c:pt idx="9">
                  <c:v>12841</c:v>
                </c:pt>
                <c:pt idx="10">
                  <c:v>12832</c:v>
                </c:pt>
                <c:pt idx="11">
                  <c:v>13895</c:v>
                </c:pt>
              </c:numCache>
            </c:numRef>
          </c:val>
          <c:smooth val="0"/>
        </c:ser>
        <c:ser>
          <c:idx val="1"/>
          <c:order val="1"/>
          <c:tx>
            <c:strRef>
              <c:f>Sheet1!$C$1</c:f>
              <c:strCache>
                <c:ptCount val="1"/>
                <c:pt idx="0">
                  <c:v>Plan 2017</c:v>
                </c:pt>
              </c:strCache>
            </c:strRef>
          </c:tx>
          <c:spPr>
            <a:ln w="22225">
              <a:solidFill>
                <a:schemeClr val="accent2"/>
              </a:solidFill>
            </a:ln>
            <a:effectLst>
              <a:outerShdw blurRad="50800" dist="38100" dir="2700000" algn="tl" rotWithShape="0">
                <a:schemeClr val="accent2">
                  <a:alpha val="40000"/>
                </a:schemeClr>
              </a:outerShdw>
            </a:effectLst>
          </c:spPr>
          <c:marker>
            <c:symbol val="none"/>
          </c:marker>
          <c:dPt>
            <c:idx val="8"/>
            <c:bubble3D val="0"/>
          </c:dPt>
          <c:cat>
            <c:strRef>
              <c:f>Sheet1!$A$2:$A$14</c:f>
              <c:strCache>
                <c:ptCount val="12"/>
                <c:pt idx="0">
                  <c:v>Janar</c:v>
                </c:pt>
                <c:pt idx="1">
                  <c:v>Shkurt</c:v>
                </c:pt>
                <c:pt idx="2">
                  <c:v>Mars</c:v>
                </c:pt>
                <c:pt idx="3">
                  <c:v>Prill</c:v>
                </c:pt>
                <c:pt idx="4">
                  <c:v>Maj</c:v>
                </c:pt>
                <c:pt idx="5">
                  <c:v>Qershor</c:v>
                </c:pt>
                <c:pt idx="6">
                  <c:v>Korrik</c:v>
                </c:pt>
                <c:pt idx="7">
                  <c:v>Gusht</c:v>
                </c:pt>
                <c:pt idx="8">
                  <c:v>Shtator</c:v>
                </c:pt>
                <c:pt idx="9">
                  <c:v>Tetor</c:v>
                </c:pt>
                <c:pt idx="10">
                  <c:v>Nëntor</c:v>
                </c:pt>
                <c:pt idx="11">
                  <c:v>Dhjetor</c:v>
                </c:pt>
              </c:strCache>
            </c:strRef>
          </c:cat>
          <c:val>
            <c:numRef>
              <c:f>Sheet1!$C$2:$C$14</c:f>
              <c:numCache>
                <c:formatCode>_(* #,##0_);_(* \(#,##0\);_(* "-"??_);_(@_)</c:formatCode>
                <c:ptCount val="13"/>
                <c:pt idx="0">
                  <c:v>8618.4407090325421</c:v>
                </c:pt>
                <c:pt idx="1">
                  <c:v>10189.092872036166</c:v>
                </c:pt>
                <c:pt idx="2">
                  <c:v>12848.322512184965</c:v>
                </c:pt>
                <c:pt idx="3">
                  <c:v>11854</c:v>
                </c:pt>
                <c:pt idx="4">
                  <c:v>12400.794318008146</c:v>
                </c:pt>
                <c:pt idx="5">
                  <c:v>15500.317185868127</c:v>
                </c:pt>
                <c:pt idx="6">
                  <c:v>15799.189464133531</c:v>
                </c:pt>
                <c:pt idx="7">
                  <c:v>14844.519533604556</c:v>
                </c:pt>
                <c:pt idx="8">
                  <c:v>12673.808112022693</c:v>
                </c:pt>
                <c:pt idx="9">
                  <c:v>13482.780714920518</c:v>
                </c:pt>
                <c:pt idx="10">
                  <c:v>13567.718425589315</c:v>
                </c:pt>
                <c:pt idx="11">
                  <c:v>14938.039439840601</c:v>
                </c:pt>
              </c:numCache>
            </c:numRef>
          </c:val>
          <c:smooth val="0"/>
        </c:ser>
        <c:ser>
          <c:idx val="2"/>
          <c:order val="2"/>
          <c:tx>
            <c:strRef>
              <c:f>Sheet1!$D$1</c:f>
              <c:strCache>
                <c:ptCount val="1"/>
                <c:pt idx="0">
                  <c:v>Realizim 2017</c:v>
                </c:pt>
              </c:strCache>
            </c:strRef>
          </c:tx>
          <c:spPr>
            <a:ln w="22225">
              <a:solidFill>
                <a:srgbClr val="00B050"/>
              </a:solidFill>
            </a:ln>
            <a:effectLst>
              <a:outerShdw blurRad="50800" dist="38100" dir="2700000" algn="tl" rotWithShape="0">
                <a:srgbClr val="33CC33">
                  <a:alpha val="40000"/>
                </a:srgbClr>
              </a:outerShdw>
            </a:effectLst>
          </c:spPr>
          <c:marker>
            <c:symbol val="none"/>
          </c:marker>
          <c:dPt>
            <c:idx val="4"/>
            <c:bubble3D val="0"/>
            <c:spPr>
              <a:ln w="22225">
                <a:solidFill>
                  <a:srgbClr val="00B050"/>
                </a:solidFill>
              </a:ln>
              <a:effectLst>
                <a:glow rad="127000">
                  <a:schemeClr val="bg1"/>
                </a:glow>
                <a:outerShdw blurRad="50800" dist="38100" dir="2700000" algn="tl" rotWithShape="0">
                  <a:srgbClr val="33CC33">
                    <a:alpha val="40000"/>
                  </a:srgbClr>
                </a:outerShdw>
              </a:effectLst>
            </c:spPr>
          </c:dPt>
          <c:dLbls>
            <c:dLbl>
              <c:idx val="0"/>
              <c:layout>
                <c:manualLayout>
                  <c:x val="-6.0088639154847426E-2"/>
                  <c:y val="-4.12371134020618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2130684644811554"/>
                  <c:y val="-6.70019146157454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9704595749060779E-2"/>
                  <c:y val="-7.51700964915617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1542037637452181E-2"/>
                  <c:y val="-5.67091432411528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8654726982656575E-2"/>
                  <c:y val="-9.44932608061673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2"/>
                <c:pt idx="0">
                  <c:v>Janar</c:v>
                </c:pt>
                <c:pt idx="1">
                  <c:v>Shkurt</c:v>
                </c:pt>
                <c:pt idx="2">
                  <c:v>Mars</c:v>
                </c:pt>
                <c:pt idx="3">
                  <c:v>Prill</c:v>
                </c:pt>
                <c:pt idx="4">
                  <c:v>Maj</c:v>
                </c:pt>
                <c:pt idx="5">
                  <c:v>Qershor</c:v>
                </c:pt>
                <c:pt idx="6">
                  <c:v>Korrik</c:v>
                </c:pt>
                <c:pt idx="7">
                  <c:v>Gusht</c:v>
                </c:pt>
                <c:pt idx="8">
                  <c:v>Shtator</c:v>
                </c:pt>
                <c:pt idx="9">
                  <c:v>Tetor</c:v>
                </c:pt>
                <c:pt idx="10">
                  <c:v>Nëntor</c:v>
                </c:pt>
                <c:pt idx="11">
                  <c:v>Dhjetor</c:v>
                </c:pt>
              </c:strCache>
            </c:strRef>
          </c:cat>
          <c:val>
            <c:numRef>
              <c:f>Sheet1!$D$2:$D$14</c:f>
              <c:numCache>
                <c:formatCode>_(* #,##0_);_(* \(#,##0\);_(* "-"??_);_(@_)</c:formatCode>
                <c:ptCount val="13"/>
                <c:pt idx="0">
                  <c:v>9166</c:v>
                </c:pt>
                <c:pt idx="1">
                  <c:v>10951</c:v>
                </c:pt>
                <c:pt idx="2">
                  <c:v>13138</c:v>
                </c:pt>
                <c:pt idx="3">
                  <c:v>12660</c:v>
                </c:pt>
                <c:pt idx="4">
                  <c:v>13443</c:v>
                </c:pt>
              </c:numCache>
            </c:numRef>
          </c:val>
          <c:smooth val="0"/>
        </c:ser>
        <c:dLbls>
          <c:showLegendKey val="0"/>
          <c:showVal val="0"/>
          <c:showCatName val="0"/>
          <c:showSerName val="0"/>
          <c:showPercent val="0"/>
          <c:showBubbleSize val="0"/>
        </c:dLbls>
        <c:smooth val="0"/>
        <c:axId val="-327980032"/>
        <c:axId val="-327962080"/>
      </c:lineChart>
      <c:catAx>
        <c:axId val="-327980032"/>
        <c:scaling>
          <c:orientation val="minMax"/>
        </c:scaling>
        <c:delete val="0"/>
        <c:axPos val="b"/>
        <c:numFmt formatCode="General" sourceLinked="0"/>
        <c:majorTickMark val="none"/>
        <c:minorTickMark val="none"/>
        <c:tickLblPos val="nextTo"/>
        <c:crossAx val="-327962080"/>
        <c:crosses val="autoZero"/>
        <c:auto val="1"/>
        <c:lblAlgn val="ctr"/>
        <c:lblOffset val="100"/>
        <c:noMultiLvlLbl val="0"/>
      </c:catAx>
      <c:valAx>
        <c:axId val="-327962080"/>
        <c:scaling>
          <c:orientation val="minMax"/>
          <c:max val="16000"/>
        </c:scaling>
        <c:delete val="1"/>
        <c:axPos val="l"/>
        <c:numFmt formatCode="#,##0" sourceLinked="0"/>
        <c:majorTickMark val="none"/>
        <c:minorTickMark val="none"/>
        <c:tickLblPos val="nextTo"/>
        <c:crossAx val="-327980032"/>
        <c:crosses val="autoZero"/>
        <c:crossBetween val="between"/>
      </c:valAx>
      <c:spPr>
        <a:noFill/>
        <a:ln w="25400">
          <a:noFill/>
        </a:ln>
      </c:spPr>
    </c:plotArea>
    <c:legend>
      <c:legendPos val="b"/>
      <c:layout>
        <c:manualLayout>
          <c:xMode val="edge"/>
          <c:yMode val="edge"/>
          <c:x val="0"/>
          <c:y val="0.630912195455122"/>
          <c:w val="0.97506595989226841"/>
          <c:h val="0.10152068620288443"/>
        </c:manualLayout>
      </c:layout>
      <c:overlay val="0"/>
    </c:legend>
    <c:plotVisOnly val="1"/>
    <c:dispBlanksAs val="gap"/>
    <c:showDLblsOverMax val="0"/>
  </c:chart>
  <c:spPr>
    <a:solidFill>
      <a:schemeClr val="bg1"/>
    </a:solidFill>
  </c:spPr>
  <c:txPr>
    <a:bodyPr/>
    <a:lstStyle/>
    <a:p>
      <a:pPr>
        <a:defRPr sz="700">
          <a:solidFill>
            <a:sysClr val="windowText" lastClr="000000"/>
          </a:solidFill>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
          <c:y val="0.13097307281034315"/>
          <c:w val="0.98185446955649314"/>
          <c:h val="0.77148821350602204"/>
        </c:manualLayout>
      </c:layout>
      <c:bar3DChart>
        <c:barDir val="col"/>
        <c:grouping val="clustered"/>
        <c:varyColors val="0"/>
        <c:ser>
          <c:idx val="0"/>
          <c:order val="0"/>
          <c:invertIfNegative val="0"/>
          <c:dPt>
            <c:idx val="1"/>
            <c:invertIfNegative val="0"/>
            <c:bubble3D val="0"/>
            <c:spPr>
              <a:solidFill>
                <a:srgbClr val="C00000"/>
              </a:solidFill>
            </c:spPr>
          </c:dPt>
          <c:dPt>
            <c:idx val="2"/>
            <c:invertIfNegative val="0"/>
            <c:bubble3D val="0"/>
            <c:spPr>
              <a:solidFill>
                <a:srgbClr val="92D050"/>
              </a:solidFill>
            </c:spPr>
          </c:dPt>
          <c:dLbls>
            <c:dLbl>
              <c:idx val="0"/>
              <c:layout>
                <c:manualLayout>
                  <c:x val="8.3333333333333072E-3"/>
                  <c:y val="0.1481481481481481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2829E-3"/>
                  <c:y val="0.1805555555555555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2175925925925925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Sheet5!$D$49:$D$51</c:f>
              <c:strCache>
                <c:ptCount val="3"/>
                <c:pt idx="0">
                  <c:v>Fakt 5 M - 2016</c:v>
                </c:pt>
                <c:pt idx="1">
                  <c:v>Plan 5 M - 2017</c:v>
                </c:pt>
                <c:pt idx="2">
                  <c:v>Fakt 5 M - 2017</c:v>
                </c:pt>
              </c:strCache>
            </c:strRef>
          </c:cat>
          <c:val>
            <c:numRef>
              <c:f>Sheet5!$E$49:$E$51</c:f>
              <c:numCache>
                <c:formatCode>_(* #,##0_);_(* \(#,##0\);_(* "-"??_);_(@_)</c:formatCode>
                <c:ptCount val="3"/>
                <c:pt idx="0">
                  <c:v>55665</c:v>
                </c:pt>
                <c:pt idx="1">
                  <c:v>55910</c:v>
                </c:pt>
                <c:pt idx="2">
                  <c:v>59358</c:v>
                </c:pt>
              </c:numCache>
            </c:numRef>
          </c:val>
        </c:ser>
        <c:dLbls>
          <c:showLegendKey val="0"/>
          <c:showVal val="1"/>
          <c:showCatName val="0"/>
          <c:showSerName val="0"/>
          <c:showPercent val="0"/>
          <c:showBubbleSize val="0"/>
        </c:dLbls>
        <c:gapWidth val="75"/>
        <c:shape val="box"/>
        <c:axId val="-327958816"/>
        <c:axId val="-327978944"/>
        <c:axId val="0"/>
      </c:bar3DChart>
      <c:catAx>
        <c:axId val="-327958816"/>
        <c:scaling>
          <c:orientation val="minMax"/>
        </c:scaling>
        <c:delete val="0"/>
        <c:axPos val="b"/>
        <c:numFmt formatCode="General" sourceLinked="0"/>
        <c:majorTickMark val="none"/>
        <c:minorTickMark val="none"/>
        <c:tickLblPos val="nextTo"/>
        <c:txPr>
          <a:bodyPr/>
          <a:lstStyle/>
          <a:p>
            <a:pPr>
              <a:defRPr b="1">
                <a:solidFill>
                  <a:sysClr val="windowText" lastClr="000000"/>
                </a:solidFill>
              </a:defRPr>
            </a:pPr>
            <a:endParaRPr lang="en-US"/>
          </a:p>
        </c:txPr>
        <c:crossAx val="-327978944"/>
        <c:crosses val="autoZero"/>
        <c:auto val="1"/>
        <c:lblAlgn val="ctr"/>
        <c:lblOffset val="100"/>
        <c:noMultiLvlLbl val="0"/>
      </c:catAx>
      <c:valAx>
        <c:axId val="-327978944"/>
        <c:scaling>
          <c:orientation val="minMax"/>
        </c:scaling>
        <c:delete val="1"/>
        <c:axPos val="l"/>
        <c:numFmt formatCode="_(* #,##0_);_(* \(#,##0\);_(* &quot;-&quot;??_);_(@_)" sourceLinked="1"/>
        <c:majorTickMark val="none"/>
        <c:minorTickMark val="none"/>
        <c:tickLblPos val="nextTo"/>
        <c:crossAx val="-327958816"/>
        <c:crosses val="autoZero"/>
        <c:crossBetween val="between"/>
      </c:valAx>
    </c:plotArea>
    <c:plotVisOnly val="1"/>
    <c:dispBlanksAs val="gap"/>
    <c:showDLblsOverMax val="0"/>
  </c:chart>
  <c:spPr>
    <a:ln>
      <a:noFill/>
    </a:ln>
  </c:spPr>
  <c:txPr>
    <a:bodyPr/>
    <a:lstStyle/>
    <a:p>
      <a:pPr>
        <a:defRPr sz="700">
          <a:latin typeface="Times New Roman" pitchFamily="18" charset="0"/>
          <a:cs typeface="Times New Roman" pitchFamily="18"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29542066072915"/>
          <c:y val="5.9964200588000706E-2"/>
          <c:w val="0.79070457933927085"/>
          <c:h val="0.89743635402465149"/>
        </c:manualLayout>
      </c:layout>
      <c:barChart>
        <c:barDir val="bar"/>
        <c:grouping val="clustered"/>
        <c:varyColors val="0"/>
        <c:ser>
          <c:idx val="0"/>
          <c:order val="0"/>
          <c:spPr>
            <a:solidFill>
              <a:srgbClr val="963836"/>
            </a:solidFill>
          </c:spPr>
          <c:invertIfNegative val="0"/>
          <c:dPt>
            <c:idx val="5"/>
            <c:invertIfNegative val="0"/>
            <c:bubble3D val="0"/>
            <c:spPr>
              <a:solidFill>
                <a:srgbClr val="C0504D"/>
              </a:solidFill>
            </c:spPr>
          </c:dPt>
          <c:dPt>
            <c:idx val="6"/>
            <c:invertIfNegative val="0"/>
            <c:bubble3D val="0"/>
            <c:spPr>
              <a:solidFill>
                <a:srgbClr val="1F497D"/>
              </a:solidFill>
            </c:spPr>
          </c:dPt>
          <c:dPt>
            <c:idx val="7"/>
            <c:invertIfNegative val="0"/>
            <c:bubble3D val="0"/>
            <c:spPr>
              <a:solidFill>
                <a:srgbClr val="1F497D"/>
              </a:solidFill>
            </c:spPr>
          </c:dPt>
          <c:dPt>
            <c:idx val="8"/>
            <c:invertIfNegative val="0"/>
            <c:bubble3D val="0"/>
            <c:spPr>
              <a:solidFill>
                <a:srgbClr val="1F497D"/>
              </a:solidFill>
            </c:spPr>
          </c:dPt>
          <c:dPt>
            <c:idx val="9"/>
            <c:invertIfNegative val="0"/>
            <c:bubble3D val="0"/>
            <c:spPr>
              <a:solidFill>
                <a:srgbClr val="1F497D"/>
              </a:solidFill>
            </c:spPr>
          </c:dPt>
          <c:dPt>
            <c:idx val="10"/>
            <c:invertIfNegative val="0"/>
            <c:bubble3D val="0"/>
            <c:spPr>
              <a:solidFill>
                <a:srgbClr val="1F497D"/>
              </a:solidFill>
            </c:spPr>
          </c:dPt>
          <c:dPt>
            <c:idx val="11"/>
            <c:invertIfNegative val="0"/>
            <c:bubble3D val="0"/>
            <c:spPr>
              <a:solidFill>
                <a:srgbClr val="1F497D"/>
              </a:solidFill>
            </c:spPr>
          </c:dPt>
          <c:dPt>
            <c:idx val="12"/>
            <c:invertIfNegative val="0"/>
            <c:bubble3D val="0"/>
            <c:spPr>
              <a:solidFill>
                <a:srgbClr val="1F497D"/>
              </a:solidFill>
            </c:spPr>
          </c:dPt>
          <c:dPt>
            <c:idx val="13"/>
            <c:invertIfNegative val="0"/>
            <c:bubble3D val="0"/>
            <c:spPr>
              <a:solidFill>
                <a:srgbClr val="1F497D"/>
              </a:solidFill>
            </c:spPr>
          </c:dPt>
          <c:dPt>
            <c:idx val="14"/>
            <c:invertIfNegative val="0"/>
            <c:bubble3D val="0"/>
            <c:spPr>
              <a:solidFill>
                <a:srgbClr val="1F497D"/>
              </a:solidFill>
            </c:spPr>
          </c:dPt>
          <c:dLbls>
            <c:dLbl>
              <c:idx val="0"/>
              <c:layout>
                <c:manualLayout>
                  <c:x val="-5.0181243468564354E-2"/>
                  <c:y val="-2.77274032152230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772126111973229E-7"/>
                  <c:y val="2.3191179317120203E-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8.1103000811030002E-3"/>
                  <c:y val="4.6382358634240407E-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'Kontribuesit Kryesore (TR)'!$G$4:$G$18</c:f>
              <c:strCache>
                <c:ptCount val="15"/>
                <c:pt idx="0">
                  <c:v>Karburante importi</c:v>
                </c:pt>
                <c:pt idx="1">
                  <c:v>Plehëruesit</c:v>
                </c:pt>
                <c:pt idx="2">
                  <c:v>PC, kompjuter, printer, fotokopje</c:v>
                </c:pt>
                <c:pt idx="3">
                  <c:v>Rente minerare Nafte Bruto</c:v>
                </c:pt>
                <c:pt idx="4">
                  <c:v>Mishi</c:v>
                </c:pt>
                <c:pt idx="5">
                  <c:v>Elektroshtëpiake</c:v>
                </c:pt>
                <c:pt idx="6">
                  <c:v>Plastika dhe Artikujt</c:v>
                </c:pt>
                <c:pt idx="7">
                  <c:v>Automjete te reja</c:v>
                </c:pt>
                <c:pt idx="8">
                  <c:v>Veshje tekstile</c:v>
                </c:pt>
                <c:pt idx="9">
                  <c:v>Rentë minerare minerale të tjera</c:v>
                </c:pt>
                <c:pt idx="10">
                  <c:v>Cigare</c:v>
                </c:pt>
                <c:pt idx="11">
                  <c:v>Automjete te perdoruara</c:v>
                </c:pt>
                <c:pt idx="12">
                  <c:v>Gaz i Lëngët</c:v>
                </c:pt>
                <c:pt idx="13">
                  <c:v>Metalet bazë dhe artikujt prej tyre</c:v>
                </c:pt>
                <c:pt idx="14">
                  <c:v>Karburante prodhim vendi</c:v>
                </c:pt>
              </c:strCache>
            </c:strRef>
          </c:cat>
          <c:val>
            <c:numRef>
              <c:f>'Kontribuesit Kryesore (TR)'!$H$4:$H$18</c:f>
              <c:numCache>
                <c:formatCode>_(* #,##0_);_(* \(#,##0\);_(* "-"??_);_(@_)</c:formatCode>
                <c:ptCount val="15"/>
                <c:pt idx="0">
                  <c:v>-3593.3110000000001</c:v>
                </c:pt>
                <c:pt idx="1">
                  <c:v>-155.75800000000001</c:v>
                </c:pt>
                <c:pt idx="2">
                  <c:v>-98.206000000000003</c:v>
                </c:pt>
                <c:pt idx="3">
                  <c:v>-68.356999999999999</c:v>
                </c:pt>
                <c:pt idx="4">
                  <c:v>-64.88</c:v>
                </c:pt>
                <c:pt idx="5">
                  <c:v>-59.499000000000002</c:v>
                </c:pt>
                <c:pt idx="6">
                  <c:v>135.661</c:v>
                </c:pt>
                <c:pt idx="7">
                  <c:v>155.83099999999999</c:v>
                </c:pt>
                <c:pt idx="8">
                  <c:v>195.822</c:v>
                </c:pt>
                <c:pt idx="9">
                  <c:v>244.965</c:v>
                </c:pt>
                <c:pt idx="10">
                  <c:v>335.98</c:v>
                </c:pt>
                <c:pt idx="11">
                  <c:v>405.56</c:v>
                </c:pt>
                <c:pt idx="12">
                  <c:v>561.93399999999997</c:v>
                </c:pt>
                <c:pt idx="13">
                  <c:v>699.9</c:v>
                </c:pt>
                <c:pt idx="14">
                  <c:v>3043.27</c:v>
                </c:pt>
              </c:numCache>
            </c:numRef>
          </c:val>
        </c:ser>
        <c:dLbls>
          <c:showLegendKey val="0"/>
          <c:showVal val="1"/>
          <c:showCatName val="0"/>
          <c:showSerName val="0"/>
          <c:showPercent val="0"/>
          <c:showBubbleSize val="0"/>
        </c:dLbls>
        <c:gapWidth val="150"/>
        <c:overlap val="-25"/>
        <c:axId val="-327965344"/>
        <c:axId val="-327976768"/>
      </c:barChart>
      <c:catAx>
        <c:axId val="-327965344"/>
        <c:scaling>
          <c:orientation val="minMax"/>
        </c:scaling>
        <c:delete val="0"/>
        <c:axPos val="l"/>
        <c:numFmt formatCode="General" sourceLinked="0"/>
        <c:majorTickMark val="none"/>
        <c:minorTickMark val="none"/>
        <c:tickLblPos val="low"/>
        <c:txPr>
          <a:bodyPr/>
          <a:lstStyle/>
          <a:p>
            <a:pPr>
              <a:defRPr i="1"/>
            </a:pPr>
            <a:endParaRPr lang="en-US"/>
          </a:p>
        </c:txPr>
        <c:crossAx val="-327976768"/>
        <c:crosses val="autoZero"/>
        <c:auto val="1"/>
        <c:lblAlgn val="ctr"/>
        <c:lblOffset val="100"/>
        <c:noMultiLvlLbl val="0"/>
      </c:catAx>
      <c:valAx>
        <c:axId val="-327976768"/>
        <c:scaling>
          <c:orientation val="minMax"/>
        </c:scaling>
        <c:delete val="1"/>
        <c:axPos val="b"/>
        <c:numFmt formatCode="_(* #,##0_);_(* \(#,##0\);_(* &quot;-&quot;??_);_(@_)" sourceLinked="1"/>
        <c:majorTickMark val="none"/>
        <c:minorTickMark val="none"/>
        <c:tickLblPos val="nextTo"/>
        <c:crossAx val="-327965344"/>
        <c:crosses val="autoZero"/>
        <c:crossBetween val="between"/>
      </c:valAx>
      <c:spPr>
        <a:noFill/>
        <a:ln>
          <a:noFill/>
        </a:ln>
      </c:spPr>
    </c:plotArea>
    <c:plotVisOnly val="1"/>
    <c:dispBlanksAs val="gap"/>
    <c:showDLblsOverMax val="0"/>
  </c:chart>
  <c:spPr>
    <a:noFill/>
    <a:ln>
      <a:noFill/>
    </a:ln>
  </c:spPr>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0.21719</cdr:x>
      <cdr:y>0.125</cdr:y>
    </cdr:from>
    <cdr:to>
      <cdr:x>0.21719</cdr:x>
      <cdr:y>0.53125</cdr:y>
    </cdr:to>
    <cdr:cxnSp macro="">
      <cdr:nvCxnSpPr>
        <cdr:cNvPr id="9" name="Straight Connector 8"/>
        <cdr:cNvCxnSpPr/>
      </cdr:nvCxnSpPr>
      <cdr:spPr>
        <a:xfrm xmlns:a="http://schemas.openxmlformats.org/drawingml/2006/main">
          <a:off x="914400" y="304799"/>
          <a:ext cx="0" cy="9906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0.21719</cdr:x>
      <cdr:y>0.125</cdr:y>
    </cdr:from>
    <cdr:to>
      <cdr:x>0.68778</cdr:x>
      <cdr:y>0.125</cdr:y>
    </cdr:to>
    <cdr:cxnSp macro="">
      <cdr:nvCxnSpPr>
        <cdr:cNvPr id="11" name="Straight Connector 10"/>
        <cdr:cNvCxnSpPr/>
      </cdr:nvCxnSpPr>
      <cdr:spPr>
        <a:xfrm xmlns:a="http://schemas.openxmlformats.org/drawingml/2006/main">
          <a:off x="914400" y="304799"/>
          <a:ext cx="19812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0.68778</cdr:x>
      <cdr:y>0.125</cdr:y>
    </cdr:from>
    <cdr:to>
      <cdr:x>0.68778</cdr:x>
      <cdr:y>0.1875</cdr:y>
    </cdr:to>
    <cdr:cxnSp macro="">
      <cdr:nvCxnSpPr>
        <cdr:cNvPr id="17" name="Straight Arrow Connector 16"/>
        <cdr:cNvCxnSpPr/>
      </cdr:nvCxnSpPr>
      <cdr:spPr>
        <a:xfrm xmlns:a="http://schemas.openxmlformats.org/drawingml/2006/main">
          <a:off x="2895600" y="304799"/>
          <a:ext cx="0" cy="1524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0.28228</cdr:x>
      <cdr:y>0.05127</cdr:y>
    </cdr:from>
    <cdr:to>
      <cdr:x>0.28228</cdr:x>
      <cdr:y>0.45154</cdr:y>
    </cdr:to>
    <cdr:cxnSp macro="">
      <cdr:nvCxnSpPr>
        <cdr:cNvPr id="2" name="Straight Connector 1"/>
        <cdr:cNvCxnSpPr/>
      </cdr:nvCxnSpPr>
      <cdr:spPr>
        <a:xfrm xmlns:a="http://schemas.openxmlformats.org/drawingml/2006/main">
          <a:off x="1347044" y="99616"/>
          <a:ext cx="0" cy="7777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0.28028</cdr:x>
      <cdr:y>0.05617</cdr:y>
    </cdr:from>
    <cdr:to>
      <cdr:x>0.67855</cdr:x>
      <cdr:y>0.05617</cdr:y>
    </cdr:to>
    <cdr:cxnSp macro="">
      <cdr:nvCxnSpPr>
        <cdr:cNvPr id="3" name="Straight Connector 2"/>
        <cdr:cNvCxnSpPr/>
      </cdr:nvCxnSpPr>
      <cdr:spPr>
        <a:xfrm xmlns:a="http://schemas.openxmlformats.org/drawingml/2006/main">
          <a:off x="1337519" y="109141"/>
          <a:ext cx="1900524"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0.67655</cdr:x>
      <cdr:y>0.05617</cdr:y>
    </cdr:from>
    <cdr:to>
      <cdr:x>0.67864</cdr:x>
      <cdr:y>0.18137</cdr:y>
    </cdr:to>
    <cdr:cxnSp macro="">
      <cdr:nvCxnSpPr>
        <cdr:cNvPr id="4" name="Straight Arrow Connector 3"/>
        <cdr:cNvCxnSpPr/>
      </cdr:nvCxnSpPr>
      <cdr:spPr>
        <a:xfrm xmlns:a="http://schemas.openxmlformats.org/drawingml/2006/main">
          <a:off x="3228518" y="109141"/>
          <a:ext cx="9982" cy="24328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0.21719</cdr:x>
      <cdr:y>0.125</cdr:y>
    </cdr:from>
    <cdr:to>
      <cdr:x>0.21719</cdr:x>
      <cdr:y>0.53125</cdr:y>
    </cdr:to>
    <cdr:cxnSp macro="">
      <cdr:nvCxnSpPr>
        <cdr:cNvPr id="9" name="Straight Connector 8"/>
        <cdr:cNvCxnSpPr/>
      </cdr:nvCxnSpPr>
      <cdr:spPr>
        <a:xfrm xmlns:a="http://schemas.openxmlformats.org/drawingml/2006/main">
          <a:off x="914400" y="304799"/>
          <a:ext cx="0" cy="9906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0.21719</cdr:x>
      <cdr:y>0.125</cdr:y>
    </cdr:from>
    <cdr:to>
      <cdr:x>0.68778</cdr:x>
      <cdr:y>0.125</cdr:y>
    </cdr:to>
    <cdr:cxnSp macro="">
      <cdr:nvCxnSpPr>
        <cdr:cNvPr id="11" name="Straight Connector 10"/>
        <cdr:cNvCxnSpPr/>
      </cdr:nvCxnSpPr>
      <cdr:spPr>
        <a:xfrm xmlns:a="http://schemas.openxmlformats.org/drawingml/2006/main">
          <a:off x="914400" y="304799"/>
          <a:ext cx="19812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0.68778</cdr:x>
      <cdr:y>0.125</cdr:y>
    </cdr:from>
    <cdr:to>
      <cdr:x>0.68778</cdr:x>
      <cdr:y>0.1875</cdr:y>
    </cdr:to>
    <cdr:cxnSp macro="">
      <cdr:nvCxnSpPr>
        <cdr:cNvPr id="17" name="Straight Arrow Connector 16"/>
        <cdr:cNvCxnSpPr/>
      </cdr:nvCxnSpPr>
      <cdr:spPr>
        <a:xfrm xmlns:a="http://schemas.openxmlformats.org/drawingml/2006/main">
          <a:off x="2895600" y="304799"/>
          <a:ext cx="0" cy="1524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cdr:x>
      <cdr:y>0.10489</cdr:y>
    </cdr:from>
    <cdr:to>
      <cdr:x>0.05618</cdr:x>
      <cdr:y>0.5498</cdr:y>
    </cdr:to>
    <cdr:sp macro="" textlink="">
      <cdr:nvSpPr>
        <cdr:cNvPr id="3" name="TextBox 1"/>
        <cdr:cNvSpPr txBox="1"/>
      </cdr:nvSpPr>
      <cdr:spPr>
        <a:xfrm xmlns:a="http://schemas.openxmlformats.org/drawingml/2006/main" rot="16200000">
          <a:off x="-386755" y="608484"/>
          <a:ext cx="940501" cy="1669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latin typeface="Cambria" panose="02040503050406030204" pitchFamily="18" charset="0"/>
            </a:rPr>
            <a:t>në milion Eur </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F37819AA65E4E53B4DFC7EC5F75C8DD"/>
        <w:category>
          <w:name w:val="General"/>
          <w:gallery w:val="placeholder"/>
        </w:category>
        <w:types>
          <w:type w:val="bbPlcHdr"/>
        </w:types>
        <w:behaviors>
          <w:behavior w:val="content"/>
        </w:behaviors>
        <w:guid w:val="{E69DC97D-B0AE-45AF-ADB6-0DF13139D3BE}"/>
      </w:docPartPr>
      <w:docPartBody>
        <w:p w:rsidR="00DC7599" w:rsidRDefault="001635E4" w:rsidP="001635E4">
          <w:pPr>
            <w:pStyle w:val="CF37819AA65E4E53B4DFC7EC5F75C8DD"/>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5E4"/>
    <w:rsid w:val="000A402A"/>
    <w:rsid w:val="001635E4"/>
    <w:rsid w:val="001C169D"/>
    <w:rsid w:val="002A389D"/>
    <w:rsid w:val="002D1257"/>
    <w:rsid w:val="002E448D"/>
    <w:rsid w:val="004747E5"/>
    <w:rsid w:val="0049116F"/>
    <w:rsid w:val="005E765C"/>
    <w:rsid w:val="007A0106"/>
    <w:rsid w:val="008C5244"/>
    <w:rsid w:val="00A01557"/>
    <w:rsid w:val="00A41E44"/>
    <w:rsid w:val="00B021E0"/>
    <w:rsid w:val="00B636B7"/>
    <w:rsid w:val="00C04F9B"/>
    <w:rsid w:val="00C552E9"/>
    <w:rsid w:val="00CB4C6C"/>
    <w:rsid w:val="00D02F13"/>
    <w:rsid w:val="00DC7599"/>
    <w:rsid w:val="00E27F83"/>
    <w:rsid w:val="00EB60C3"/>
    <w:rsid w:val="00ED2AB6"/>
    <w:rsid w:val="00F31606"/>
    <w:rsid w:val="00F35981"/>
    <w:rsid w:val="00F62199"/>
    <w:rsid w:val="00F852B4"/>
    <w:rsid w:val="00FC6D01"/>
    <w:rsid w:val="00FF5E7B"/>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q-AL" w:eastAsia="sq-A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37819AA65E4E53B4DFC7EC5F75C8DD">
    <w:name w:val="CF37819AA65E4E53B4DFC7EC5F75C8DD"/>
    <w:rsid w:val="001635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D2498-0315-4E9F-95AE-387101114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13112</Words>
  <Characters>74744</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Raporti i Mes-Vitit i Buxhetit</vt:lpstr>
    </vt:vector>
  </TitlesOfParts>
  <Company/>
  <LinksUpToDate>false</LinksUpToDate>
  <CharactersWithSpaces>87681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i Mes-Vitit i Buxhetit</dc:title>
  <dc:subject/>
  <dc:creator>Marjus.Borokoci</dc:creator>
  <cp:keywords/>
  <dc:description/>
  <cp:lastModifiedBy>Xhoana Agolli</cp:lastModifiedBy>
  <cp:revision>5</cp:revision>
  <cp:lastPrinted>2017-07-03T10:02:00Z</cp:lastPrinted>
  <dcterms:created xsi:type="dcterms:W3CDTF">2017-07-05T11:55:00Z</dcterms:created>
  <dcterms:modified xsi:type="dcterms:W3CDTF">2017-07-05T11:57:00Z</dcterms:modified>
</cp:coreProperties>
</file>