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2.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3.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21D" w:rsidRPr="00D73F43" w:rsidRDefault="00B0121D" w:rsidP="00B0121D">
      <w:pPr>
        <w:rPr>
          <w:lang w:val="sq-AL"/>
        </w:rPr>
      </w:pPr>
      <w:bookmarkStart w:id="0" w:name="_GoBack"/>
      <w:bookmarkEnd w:id="0"/>
    </w:p>
    <w:p w:rsidR="00B0121D" w:rsidRPr="00D73F43" w:rsidRDefault="00B0121D" w:rsidP="00B0121D">
      <w:pPr>
        <w:autoSpaceDE w:val="0"/>
        <w:autoSpaceDN w:val="0"/>
        <w:adjustRightInd w:val="0"/>
        <w:spacing w:line="276" w:lineRule="auto"/>
        <w:jc w:val="center"/>
        <w:rPr>
          <w:b/>
          <w:bCs/>
          <w:sz w:val="70"/>
          <w:szCs w:val="48"/>
          <w:lang w:val="sq-AL"/>
        </w:rPr>
      </w:pPr>
    </w:p>
    <w:p w:rsidR="00B0121D" w:rsidRPr="00D73F43" w:rsidRDefault="00B0121D" w:rsidP="00B0121D">
      <w:pPr>
        <w:autoSpaceDE w:val="0"/>
        <w:autoSpaceDN w:val="0"/>
        <w:adjustRightInd w:val="0"/>
        <w:spacing w:line="276" w:lineRule="auto"/>
        <w:jc w:val="center"/>
        <w:rPr>
          <w:b/>
          <w:bCs/>
          <w:sz w:val="70"/>
          <w:szCs w:val="48"/>
          <w:lang w:val="sq-AL"/>
        </w:rPr>
      </w:pPr>
    </w:p>
    <w:p w:rsidR="00B0121D" w:rsidRPr="00D73F43" w:rsidRDefault="00B0121D" w:rsidP="00B0121D">
      <w:pPr>
        <w:autoSpaceDE w:val="0"/>
        <w:autoSpaceDN w:val="0"/>
        <w:adjustRightInd w:val="0"/>
        <w:spacing w:line="276" w:lineRule="auto"/>
        <w:jc w:val="center"/>
        <w:rPr>
          <w:b/>
          <w:bCs/>
          <w:sz w:val="70"/>
          <w:szCs w:val="48"/>
          <w:lang w:val="sq-AL"/>
        </w:rPr>
      </w:pPr>
    </w:p>
    <w:p w:rsidR="00B0121D" w:rsidRPr="00D73F43" w:rsidRDefault="00B0121D" w:rsidP="00B0121D">
      <w:pPr>
        <w:autoSpaceDE w:val="0"/>
        <w:autoSpaceDN w:val="0"/>
        <w:adjustRightInd w:val="0"/>
        <w:spacing w:line="276" w:lineRule="auto"/>
        <w:jc w:val="center"/>
        <w:rPr>
          <w:b/>
          <w:bCs/>
          <w:sz w:val="70"/>
          <w:szCs w:val="48"/>
          <w:lang w:val="sq-AL"/>
        </w:rPr>
      </w:pPr>
    </w:p>
    <w:p w:rsidR="00B0121D" w:rsidRPr="00D73F43" w:rsidRDefault="00B0121D" w:rsidP="00B0121D">
      <w:pPr>
        <w:autoSpaceDE w:val="0"/>
        <w:autoSpaceDN w:val="0"/>
        <w:adjustRightInd w:val="0"/>
        <w:spacing w:line="276" w:lineRule="auto"/>
        <w:jc w:val="center"/>
        <w:rPr>
          <w:b/>
          <w:bCs/>
          <w:sz w:val="70"/>
          <w:szCs w:val="48"/>
          <w:lang w:val="sq-AL"/>
        </w:rPr>
      </w:pPr>
      <w:r w:rsidRPr="00D73F43">
        <w:rPr>
          <w:b/>
          <w:bCs/>
          <w:sz w:val="70"/>
          <w:szCs w:val="48"/>
          <w:lang w:val="sq-AL"/>
        </w:rPr>
        <w:t xml:space="preserve">R E L A C I O N </w:t>
      </w:r>
    </w:p>
    <w:p w:rsidR="00B0121D" w:rsidRPr="00D73F43" w:rsidRDefault="00B0121D" w:rsidP="00B0121D">
      <w:pPr>
        <w:autoSpaceDE w:val="0"/>
        <w:autoSpaceDN w:val="0"/>
        <w:adjustRightInd w:val="0"/>
        <w:spacing w:line="276" w:lineRule="auto"/>
        <w:jc w:val="center"/>
        <w:rPr>
          <w:b/>
          <w:bCs/>
          <w:sz w:val="70"/>
          <w:szCs w:val="48"/>
          <w:lang w:val="sq-AL"/>
        </w:rPr>
      </w:pPr>
    </w:p>
    <w:p w:rsidR="00B0121D" w:rsidRPr="00D73F43" w:rsidRDefault="00B0121D" w:rsidP="00B0121D">
      <w:pPr>
        <w:autoSpaceDE w:val="0"/>
        <w:autoSpaceDN w:val="0"/>
        <w:adjustRightInd w:val="0"/>
        <w:spacing w:line="276" w:lineRule="auto"/>
        <w:jc w:val="center"/>
        <w:rPr>
          <w:b/>
          <w:bCs/>
          <w:sz w:val="52"/>
          <w:szCs w:val="52"/>
          <w:lang w:val="sq-AL"/>
        </w:rPr>
      </w:pPr>
      <w:r w:rsidRPr="00D73F43">
        <w:rPr>
          <w:b/>
          <w:bCs/>
          <w:sz w:val="52"/>
          <w:szCs w:val="52"/>
          <w:lang w:val="sq-AL"/>
        </w:rPr>
        <w:t>mbi</w:t>
      </w:r>
    </w:p>
    <w:p w:rsidR="00B0121D" w:rsidRPr="00D73F43" w:rsidRDefault="00B0121D" w:rsidP="00B0121D">
      <w:pPr>
        <w:autoSpaceDE w:val="0"/>
        <w:autoSpaceDN w:val="0"/>
        <w:adjustRightInd w:val="0"/>
        <w:spacing w:line="276" w:lineRule="auto"/>
        <w:jc w:val="center"/>
        <w:rPr>
          <w:b/>
          <w:bCs/>
          <w:sz w:val="52"/>
          <w:szCs w:val="52"/>
          <w:lang w:val="sq-AL"/>
        </w:rPr>
      </w:pPr>
    </w:p>
    <w:p w:rsidR="00B0121D" w:rsidRPr="00D73F43" w:rsidRDefault="00B0121D" w:rsidP="00B0121D">
      <w:pPr>
        <w:autoSpaceDE w:val="0"/>
        <w:autoSpaceDN w:val="0"/>
        <w:adjustRightInd w:val="0"/>
        <w:spacing w:line="276" w:lineRule="auto"/>
        <w:jc w:val="center"/>
        <w:rPr>
          <w:b/>
          <w:bCs/>
          <w:sz w:val="52"/>
          <w:szCs w:val="52"/>
          <w:lang w:val="sq-AL"/>
        </w:rPr>
      </w:pPr>
      <w:r w:rsidRPr="00D73F43">
        <w:rPr>
          <w:b/>
          <w:bCs/>
          <w:sz w:val="52"/>
          <w:szCs w:val="52"/>
          <w:lang w:val="sq-AL"/>
        </w:rPr>
        <w:t>PROJEKTLIGJIN</w:t>
      </w:r>
    </w:p>
    <w:p w:rsidR="00B0121D" w:rsidRPr="00D73F43" w:rsidRDefault="00B0121D" w:rsidP="00B0121D">
      <w:pPr>
        <w:autoSpaceDE w:val="0"/>
        <w:autoSpaceDN w:val="0"/>
        <w:adjustRightInd w:val="0"/>
        <w:spacing w:line="276" w:lineRule="auto"/>
        <w:jc w:val="center"/>
        <w:rPr>
          <w:b/>
          <w:bCs/>
          <w:sz w:val="52"/>
          <w:szCs w:val="52"/>
          <w:lang w:val="sq-AL"/>
        </w:rPr>
      </w:pPr>
      <w:r w:rsidRPr="00D73F43">
        <w:rPr>
          <w:b/>
          <w:bCs/>
          <w:sz w:val="52"/>
          <w:szCs w:val="52"/>
          <w:lang w:val="sq-AL"/>
        </w:rPr>
        <w:t xml:space="preserve"> </w:t>
      </w:r>
    </w:p>
    <w:p w:rsidR="00B0121D" w:rsidRPr="00D73F43" w:rsidRDefault="00B0121D" w:rsidP="00B0121D">
      <w:pPr>
        <w:autoSpaceDE w:val="0"/>
        <w:autoSpaceDN w:val="0"/>
        <w:adjustRightInd w:val="0"/>
        <w:spacing w:line="276" w:lineRule="auto"/>
        <w:jc w:val="center"/>
        <w:rPr>
          <w:b/>
          <w:bCs/>
          <w:sz w:val="52"/>
          <w:szCs w:val="52"/>
          <w:lang w:val="sq-AL"/>
        </w:rPr>
      </w:pPr>
      <w:r w:rsidRPr="00D73F43">
        <w:rPr>
          <w:b/>
          <w:bCs/>
          <w:sz w:val="52"/>
          <w:szCs w:val="52"/>
          <w:lang w:val="sq-AL"/>
        </w:rPr>
        <w:t>“PËR BUXHETIN E VITIT 2017”</w:t>
      </w:r>
      <w:bookmarkStart w:id="1" w:name="_Toc368565532"/>
    </w:p>
    <w:p w:rsidR="00B0121D" w:rsidRPr="00D73F43" w:rsidRDefault="00B0121D" w:rsidP="00B0121D">
      <w:pPr>
        <w:autoSpaceDE w:val="0"/>
        <w:autoSpaceDN w:val="0"/>
        <w:adjustRightInd w:val="0"/>
        <w:spacing w:line="276" w:lineRule="auto"/>
        <w:jc w:val="center"/>
        <w:rPr>
          <w:b/>
          <w:bCs/>
          <w:sz w:val="52"/>
          <w:szCs w:val="52"/>
          <w:lang w:val="sq-AL"/>
        </w:rPr>
      </w:pPr>
    </w:p>
    <w:p w:rsidR="00B0121D" w:rsidRPr="00D73F43" w:rsidRDefault="00B0121D" w:rsidP="00B0121D">
      <w:pPr>
        <w:pStyle w:val="Heading1"/>
        <w:spacing w:line="276" w:lineRule="auto"/>
        <w:jc w:val="left"/>
        <w:rPr>
          <w:bCs/>
          <w:iCs/>
          <w:caps w:val="0"/>
          <w:lang w:val="sq-AL"/>
        </w:rPr>
      </w:pPr>
    </w:p>
    <w:p w:rsidR="00B0121D" w:rsidRPr="00D73F43" w:rsidRDefault="00B0121D" w:rsidP="00B0121D">
      <w:pPr>
        <w:pStyle w:val="Heading1"/>
        <w:spacing w:line="276" w:lineRule="auto"/>
        <w:jc w:val="left"/>
        <w:rPr>
          <w:bCs/>
          <w:iCs/>
          <w:caps w:val="0"/>
          <w:lang w:val="sq-AL"/>
        </w:rPr>
      </w:pPr>
    </w:p>
    <w:p w:rsidR="00B0121D" w:rsidRPr="00D73F43" w:rsidRDefault="00B0121D" w:rsidP="00B0121D">
      <w:pPr>
        <w:pStyle w:val="Heading1"/>
        <w:spacing w:line="276" w:lineRule="auto"/>
        <w:jc w:val="left"/>
        <w:rPr>
          <w:bCs/>
          <w:iCs/>
          <w:caps w:val="0"/>
          <w:lang w:val="sq-AL"/>
        </w:rPr>
      </w:pPr>
    </w:p>
    <w:p w:rsidR="00B0121D" w:rsidRPr="00D73F43" w:rsidRDefault="00B0121D" w:rsidP="00B0121D">
      <w:pPr>
        <w:rPr>
          <w:lang w:val="sq-AL"/>
        </w:rPr>
      </w:pPr>
    </w:p>
    <w:p w:rsidR="00B0121D" w:rsidRPr="00D73F43" w:rsidRDefault="00B0121D" w:rsidP="00B0121D">
      <w:pPr>
        <w:rPr>
          <w:lang w:val="sq-AL"/>
        </w:rPr>
      </w:pPr>
    </w:p>
    <w:p w:rsidR="00B0121D" w:rsidRPr="00D73F43" w:rsidRDefault="00B0121D" w:rsidP="00B0121D">
      <w:pPr>
        <w:rPr>
          <w:lang w:val="sq-AL"/>
        </w:rPr>
      </w:pPr>
    </w:p>
    <w:p w:rsidR="00B0121D" w:rsidRPr="00D73F43" w:rsidRDefault="00B0121D" w:rsidP="00B0121D">
      <w:pPr>
        <w:rPr>
          <w:lang w:val="sq-AL"/>
        </w:rPr>
      </w:pPr>
    </w:p>
    <w:p w:rsidR="00B0121D" w:rsidRPr="00D73F43" w:rsidRDefault="00B0121D" w:rsidP="00B0121D">
      <w:pPr>
        <w:rPr>
          <w:lang w:val="sq-AL"/>
        </w:rPr>
      </w:pPr>
    </w:p>
    <w:p w:rsidR="00B0121D" w:rsidRPr="00D73F43" w:rsidRDefault="00B0121D" w:rsidP="00B0121D">
      <w:pPr>
        <w:pStyle w:val="Heading1"/>
        <w:spacing w:line="276" w:lineRule="auto"/>
        <w:jc w:val="left"/>
        <w:rPr>
          <w:bCs/>
          <w:iCs/>
          <w:caps w:val="0"/>
          <w:lang w:val="sq-AL"/>
        </w:rPr>
      </w:pPr>
    </w:p>
    <w:p w:rsidR="00B0121D" w:rsidRPr="00D73F43" w:rsidRDefault="00B0121D" w:rsidP="00B0121D">
      <w:pPr>
        <w:pStyle w:val="Heading1"/>
        <w:spacing w:line="276" w:lineRule="auto"/>
        <w:jc w:val="left"/>
        <w:rPr>
          <w:bCs/>
          <w:iCs/>
          <w:caps w:val="0"/>
          <w:lang w:val="sq-AL"/>
        </w:rPr>
      </w:pPr>
    </w:p>
    <w:p w:rsidR="00B0121D" w:rsidRPr="00D73F43" w:rsidRDefault="00B0121D" w:rsidP="00B0121D">
      <w:pPr>
        <w:pStyle w:val="Heading1"/>
        <w:spacing w:line="276" w:lineRule="auto"/>
        <w:jc w:val="center"/>
        <w:rPr>
          <w:bCs/>
          <w:iCs/>
          <w:caps w:val="0"/>
          <w:lang w:val="sq-AL"/>
        </w:rPr>
      </w:pPr>
      <w:bookmarkStart w:id="2" w:name="_Toc466295629"/>
      <w:bookmarkStart w:id="3" w:name="_Toc466445427"/>
      <w:r w:rsidRPr="00D73F43">
        <w:rPr>
          <w:rFonts w:eastAsia="Calibri"/>
          <w:b w:val="0"/>
          <w:caps w:val="0"/>
          <w:noProof/>
          <w:sz w:val="22"/>
          <w:szCs w:val="22"/>
          <w:lang w:val="sq-AL" w:eastAsia="sq-AL"/>
        </w:rPr>
        <w:drawing>
          <wp:inline distT="0" distB="0" distL="0" distR="0" wp14:anchorId="6493D799" wp14:editId="16C307D0">
            <wp:extent cx="2028825" cy="14192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grayscl/>
                      <a:biLevel thresh="50000"/>
                      <a:extLst>
                        <a:ext uri="{28A0092B-C50C-407E-A947-70E740481C1C}">
                          <a14:useLocalDpi xmlns:a14="http://schemas.microsoft.com/office/drawing/2010/main" val="0"/>
                        </a:ext>
                      </a:extLst>
                    </a:blip>
                    <a:srcRect l="26591" t="30280" r="25534" b="35254"/>
                    <a:stretch>
                      <a:fillRect/>
                    </a:stretch>
                  </pic:blipFill>
                  <pic:spPr bwMode="auto">
                    <a:xfrm>
                      <a:off x="0" y="0"/>
                      <a:ext cx="2028825" cy="1419225"/>
                    </a:xfrm>
                    <a:prstGeom prst="rect">
                      <a:avLst/>
                    </a:prstGeom>
                    <a:noFill/>
                    <a:ln>
                      <a:noFill/>
                    </a:ln>
                  </pic:spPr>
                </pic:pic>
              </a:graphicData>
            </a:graphic>
          </wp:inline>
        </w:drawing>
      </w:r>
      <w:bookmarkEnd w:id="2"/>
      <w:bookmarkEnd w:id="3"/>
    </w:p>
    <w:p w:rsidR="00B0121D" w:rsidRPr="00D73F43" w:rsidRDefault="00B0121D" w:rsidP="00B0121D">
      <w:pPr>
        <w:spacing w:line="276" w:lineRule="auto"/>
        <w:rPr>
          <w:lang w:val="sq-AL"/>
        </w:rPr>
      </w:pPr>
    </w:p>
    <w:p w:rsidR="00B0121D" w:rsidRPr="00D73F43" w:rsidRDefault="00B0121D" w:rsidP="00B0121D">
      <w:pPr>
        <w:spacing w:line="276" w:lineRule="auto"/>
        <w:rPr>
          <w:lang w:val="sq-AL"/>
        </w:rPr>
      </w:pPr>
    </w:p>
    <w:p w:rsidR="00B0121D" w:rsidRPr="00D73F43" w:rsidRDefault="00B0121D" w:rsidP="00B0121D">
      <w:pPr>
        <w:spacing w:line="276" w:lineRule="auto"/>
        <w:rPr>
          <w:lang w:val="sq-AL"/>
        </w:rPr>
      </w:pPr>
    </w:p>
    <w:p w:rsidR="00B0121D" w:rsidRPr="00D73F43" w:rsidRDefault="00B0121D" w:rsidP="00B0121D">
      <w:pPr>
        <w:autoSpaceDE w:val="0"/>
        <w:autoSpaceDN w:val="0"/>
        <w:adjustRightInd w:val="0"/>
        <w:spacing w:line="276" w:lineRule="auto"/>
        <w:rPr>
          <w:b/>
          <w:bCs/>
          <w:sz w:val="68"/>
          <w:szCs w:val="36"/>
          <w:lang w:val="sq-AL"/>
        </w:rPr>
      </w:pPr>
    </w:p>
    <w:p w:rsidR="00B0121D" w:rsidRPr="00D73F43" w:rsidRDefault="002168F6" w:rsidP="00B0121D">
      <w:pPr>
        <w:autoSpaceDE w:val="0"/>
        <w:autoSpaceDN w:val="0"/>
        <w:adjustRightInd w:val="0"/>
        <w:spacing w:line="276" w:lineRule="auto"/>
        <w:jc w:val="center"/>
        <w:rPr>
          <w:b/>
          <w:bCs/>
          <w:sz w:val="56"/>
          <w:szCs w:val="36"/>
          <w:lang w:val="sq-AL"/>
        </w:rPr>
      </w:pPr>
      <w:r>
        <w:rPr>
          <w:b/>
          <w:bCs/>
          <w:sz w:val="56"/>
          <w:szCs w:val="36"/>
          <w:lang w:val="sq-AL"/>
        </w:rPr>
        <w:t>PROJEKT</w:t>
      </w:r>
      <w:r w:rsidR="00B0121D" w:rsidRPr="00D73F43">
        <w:rPr>
          <w:b/>
          <w:bCs/>
          <w:sz w:val="56"/>
          <w:szCs w:val="36"/>
          <w:lang w:val="sq-AL"/>
        </w:rPr>
        <w:t>BUXHETI 2017</w:t>
      </w:r>
    </w:p>
    <w:p w:rsidR="00B0121D" w:rsidRPr="00D73F43" w:rsidRDefault="00B0121D" w:rsidP="00B0121D">
      <w:pPr>
        <w:autoSpaceDE w:val="0"/>
        <w:autoSpaceDN w:val="0"/>
        <w:adjustRightInd w:val="0"/>
        <w:spacing w:line="276" w:lineRule="auto"/>
        <w:jc w:val="center"/>
        <w:rPr>
          <w:b/>
          <w:bCs/>
          <w:sz w:val="48"/>
          <w:szCs w:val="48"/>
          <w:lang w:val="sq-AL"/>
        </w:rPr>
      </w:pPr>
    </w:p>
    <w:p w:rsidR="00B0121D" w:rsidRPr="00D73F43" w:rsidRDefault="00B0121D" w:rsidP="00B0121D">
      <w:pPr>
        <w:autoSpaceDE w:val="0"/>
        <w:autoSpaceDN w:val="0"/>
        <w:adjustRightInd w:val="0"/>
        <w:spacing w:line="276" w:lineRule="auto"/>
        <w:jc w:val="center"/>
        <w:rPr>
          <w:b/>
          <w:bCs/>
          <w:sz w:val="48"/>
          <w:szCs w:val="48"/>
          <w:lang w:val="sq-AL"/>
        </w:rPr>
      </w:pPr>
    </w:p>
    <w:p w:rsidR="00B0121D" w:rsidRPr="00D73F43" w:rsidRDefault="00B0121D" w:rsidP="00B0121D">
      <w:pPr>
        <w:autoSpaceDE w:val="0"/>
        <w:autoSpaceDN w:val="0"/>
        <w:adjustRightInd w:val="0"/>
        <w:spacing w:line="276" w:lineRule="auto"/>
        <w:jc w:val="center"/>
        <w:rPr>
          <w:b/>
          <w:bCs/>
          <w:i/>
          <w:sz w:val="48"/>
          <w:szCs w:val="48"/>
          <w:lang w:val="sq-AL"/>
        </w:rPr>
      </w:pPr>
      <w:r w:rsidRPr="00D73F43">
        <w:rPr>
          <w:b/>
          <w:bCs/>
          <w:sz w:val="48"/>
          <w:szCs w:val="48"/>
          <w:lang w:val="sq-AL"/>
        </w:rPr>
        <w:t>“</w:t>
      </w:r>
      <w:r w:rsidRPr="00D73F43">
        <w:rPr>
          <w:b/>
          <w:bCs/>
          <w:i/>
          <w:sz w:val="48"/>
          <w:szCs w:val="48"/>
          <w:lang w:val="sq-AL"/>
        </w:rPr>
        <w:t>BUXHETI I REFORMAVE, KONSOLIDIMIT FISKAL DHE RRITJES S</w:t>
      </w:r>
      <w:r w:rsidRPr="00D73F43">
        <w:rPr>
          <w:b/>
          <w:bCs/>
          <w:i/>
          <w:caps/>
          <w:sz w:val="48"/>
          <w:szCs w:val="48"/>
          <w:lang w:val="sq-AL"/>
        </w:rPr>
        <w:t>ë</w:t>
      </w:r>
      <w:r w:rsidRPr="00D73F43">
        <w:rPr>
          <w:b/>
          <w:bCs/>
          <w:i/>
          <w:sz w:val="48"/>
          <w:szCs w:val="48"/>
          <w:lang w:val="sq-AL"/>
        </w:rPr>
        <w:t xml:space="preserve"> PAGAVE</w:t>
      </w:r>
      <w:r w:rsidR="006B779B">
        <w:rPr>
          <w:b/>
          <w:bCs/>
          <w:i/>
          <w:sz w:val="48"/>
          <w:szCs w:val="48"/>
          <w:lang w:val="sq-AL"/>
        </w:rPr>
        <w:t xml:space="preserve"> E PENSIONEVE</w:t>
      </w:r>
      <w:r w:rsidRPr="00D73F43">
        <w:rPr>
          <w:b/>
          <w:bCs/>
          <w:i/>
          <w:sz w:val="48"/>
          <w:szCs w:val="48"/>
          <w:lang w:val="sq-AL"/>
        </w:rPr>
        <w:t>”</w:t>
      </w:r>
    </w:p>
    <w:p w:rsidR="00B0121D" w:rsidRPr="00D73F43" w:rsidRDefault="00B0121D" w:rsidP="00B0121D">
      <w:pPr>
        <w:spacing w:line="276" w:lineRule="auto"/>
        <w:jc w:val="center"/>
        <w:rPr>
          <w:b/>
          <w:bCs/>
          <w:sz w:val="48"/>
          <w:szCs w:val="48"/>
          <w:lang w:val="sq-AL"/>
        </w:rPr>
      </w:pPr>
    </w:p>
    <w:p w:rsidR="00B0121D" w:rsidRPr="00D73F43" w:rsidRDefault="00B0121D" w:rsidP="00B0121D">
      <w:pPr>
        <w:spacing w:line="276" w:lineRule="auto"/>
        <w:jc w:val="center"/>
        <w:rPr>
          <w:b/>
          <w:bCs/>
          <w:sz w:val="48"/>
          <w:szCs w:val="48"/>
          <w:lang w:val="sq-AL"/>
        </w:rPr>
      </w:pPr>
    </w:p>
    <w:p w:rsidR="00B0121D" w:rsidRPr="00D73F43" w:rsidRDefault="00B0121D" w:rsidP="00B0121D">
      <w:pPr>
        <w:spacing w:line="276" w:lineRule="auto"/>
        <w:jc w:val="center"/>
        <w:rPr>
          <w:b/>
          <w:bCs/>
          <w:sz w:val="48"/>
          <w:szCs w:val="48"/>
          <w:lang w:val="sq-AL"/>
        </w:rPr>
      </w:pPr>
    </w:p>
    <w:p w:rsidR="00B0121D" w:rsidRPr="00D73F43" w:rsidRDefault="00B0121D" w:rsidP="00B0121D">
      <w:pPr>
        <w:spacing w:line="276" w:lineRule="auto"/>
        <w:jc w:val="center"/>
        <w:rPr>
          <w:b/>
          <w:bCs/>
          <w:sz w:val="48"/>
          <w:szCs w:val="48"/>
          <w:lang w:val="sq-AL"/>
        </w:rPr>
      </w:pPr>
    </w:p>
    <w:p w:rsidR="00B0121D" w:rsidRPr="00D73F43" w:rsidRDefault="00B0121D" w:rsidP="00B0121D">
      <w:pPr>
        <w:spacing w:line="276" w:lineRule="auto"/>
        <w:rPr>
          <w:b/>
          <w:bCs/>
          <w:sz w:val="48"/>
          <w:szCs w:val="48"/>
          <w:lang w:val="sq-AL"/>
        </w:rPr>
      </w:pPr>
    </w:p>
    <w:p w:rsidR="00B0121D" w:rsidRPr="00D73F43" w:rsidRDefault="00B0121D" w:rsidP="00B0121D">
      <w:pPr>
        <w:spacing w:line="276" w:lineRule="auto"/>
        <w:jc w:val="center"/>
        <w:rPr>
          <w:sz w:val="48"/>
          <w:szCs w:val="48"/>
          <w:lang w:val="sq-AL"/>
        </w:rPr>
      </w:pPr>
      <w:r w:rsidRPr="00D73F43">
        <w:rPr>
          <w:b/>
          <w:bCs/>
          <w:sz w:val="48"/>
          <w:szCs w:val="48"/>
          <w:lang w:val="sq-AL"/>
        </w:rPr>
        <w:t xml:space="preserve">Tiranë, </w:t>
      </w:r>
      <w:r w:rsidR="002168F6">
        <w:rPr>
          <w:b/>
          <w:bCs/>
          <w:sz w:val="48"/>
          <w:szCs w:val="48"/>
          <w:lang w:val="sq-AL"/>
        </w:rPr>
        <w:t>Nën</w:t>
      </w:r>
      <w:r w:rsidRPr="00D73F43">
        <w:rPr>
          <w:b/>
          <w:bCs/>
          <w:sz w:val="48"/>
          <w:szCs w:val="48"/>
          <w:lang w:val="sq-AL"/>
        </w:rPr>
        <w:t>tor 2016</w:t>
      </w:r>
    </w:p>
    <w:p w:rsidR="00B0121D" w:rsidRPr="00D73F43" w:rsidRDefault="00B0121D" w:rsidP="00B0121D">
      <w:pPr>
        <w:rPr>
          <w:lang w:val="sq-AL"/>
        </w:rPr>
      </w:pPr>
    </w:p>
    <w:p w:rsidR="00B0121D" w:rsidRPr="00D73F43" w:rsidRDefault="00B0121D" w:rsidP="00B0121D">
      <w:pPr>
        <w:autoSpaceDE w:val="0"/>
        <w:autoSpaceDN w:val="0"/>
        <w:adjustRightInd w:val="0"/>
        <w:spacing w:line="276" w:lineRule="auto"/>
        <w:rPr>
          <w:b/>
          <w:sz w:val="20"/>
          <w:szCs w:val="22"/>
          <w:lang w:val="sq-AL"/>
        </w:rPr>
      </w:pPr>
    </w:p>
    <w:p w:rsidR="00B0121D" w:rsidRPr="00D73F43" w:rsidRDefault="00B0121D" w:rsidP="00B0121D">
      <w:pPr>
        <w:autoSpaceDE w:val="0"/>
        <w:autoSpaceDN w:val="0"/>
        <w:adjustRightInd w:val="0"/>
        <w:spacing w:line="276" w:lineRule="auto"/>
        <w:rPr>
          <w:b/>
          <w:sz w:val="20"/>
          <w:szCs w:val="22"/>
          <w:lang w:val="sq-AL"/>
        </w:rPr>
      </w:pPr>
    </w:p>
    <w:p w:rsidR="00B0121D" w:rsidRPr="00D73F43" w:rsidRDefault="00B0121D" w:rsidP="00B0121D">
      <w:pPr>
        <w:autoSpaceDE w:val="0"/>
        <w:autoSpaceDN w:val="0"/>
        <w:adjustRightInd w:val="0"/>
        <w:spacing w:line="276" w:lineRule="auto"/>
        <w:rPr>
          <w:b/>
          <w:sz w:val="20"/>
          <w:szCs w:val="22"/>
          <w:lang w:val="sq-AL"/>
        </w:rPr>
      </w:pPr>
    </w:p>
    <w:p w:rsidR="00B0121D" w:rsidRPr="00D73F43" w:rsidRDefault="00B0121D" w:rsidP="00B0121D">
      <w:pPr>
        <w:spacing w:line="276" w:lineRule="auto"/>
        <w:jc w:val="center"/>
        <w:rPr>
          <w:b/>
          <w:sz w:val="56"/>
          <w:szCs w:val="52"/>
          <w:lang w:val="sq-AL"/>
        </w:rPr>
      </w:pPr>
    </w:p>
    <w:p w:rsidR="00B0121D" w:rsidRPr="00D73F43" w:rsidRDefault="00B0121D" w:rsidP="00B0121D">
      <w:pPr>
        <w:tabs>
          <w:tab w:val="left" w:pos="8340"/>
        </w:tabs>
        <w:spacing w:line="276" w:lineRule="auto"/>
        <w:rPr>
          <w:b/>
          <w:sz w:val="56"/>
          <w:szCs w:val="52"/>
          <w:lang w:val="sq-AL"/>
        </w:rPr>
      </w:pPr>
    </w:p>
    <w:p w:rsidR="00B0121D" w:rsidRPr="00D73F43" w:rsidRDefault="00B0121D" w:rsidP="00B0121D">
      <w:pPr>
        <w:spacing w:line="276" w:lineRule="auto"/>
        <w:jc w:val="center"/>
        <w:rPr>
          <w:b/>
          <w:sz w:val="56"/>
          <w:szCs w:val="52"/>
          <w:lang w:val="sq-AL"/>
        </w:rPr>
      </w:pPr>
      <w:r w:rsidRPr="00D73F43">
        <w:rPr>
          <w:b/>
          <w:sz w:val="56"/>
          <w:szCs w:val="52"/>
          <w:lang w:val="sq-AL"/>
        </w:rPr>
        <w:t>PËRMBAJTJA</w:t>
      </w:r>
    </w:p>
    <w:p w:rsidR="00DB43F9" w:rsidRDefault="00B0121D" w:rsidP="00DB43F9">
      <w:pPr>
        <w:pStyle w:val="TOC1"/>
        <w:rPr>
          <w:rFonts w:asciiTheme="minorHAnsi" w:eastAsiaTheme="minorEastAsia" w:hAnsiTheme="minorHAnsi" w:cstheme="minorBidi"/>
          <w:noProof/>
          <w:sz w:val="22"/>
          <w:szCs w:val="22"/>
          <w:lang w:val="sq-AL" w:eastAsia="sq-AL"/>
        </w:rPr>
      </w:pPr>
      <w:r w:rsidRPr="00D73F43">
        <w:rPr>
          <w:lang w:val="sq-AL"/>
        </w:rPr>
        <w:fldChar w:fldCharType="begin"/>
      </w:r>
      <w:r w:rsidRPr="00D73F43">
        <w:rPr>
          <w:lang w:val="sq-AL"/>
        </w:rPr>
        <w:instrText xml:space="preserve"> TOC \o "1-3" \h \z \u </w:instrText>
      </w:r>
      <w:r w:rsidRPr="00D73F43">
        <w:rPr>
          <w:lang w:val="sq-AL"/>
        </w:rPr>
        <w:fldChar w:fldCharType="separate"/>
      </w:r>
    </w:p>
    <w:p w:rsidR="00DB43F9" w:rsidRDefault="00AE124D" w:rsidP="00DB43F9">
      <w:pPr>
        <w:pStyle w:val="TOC1"/>
        <w:rPr>
          <w:rFonts w:asciiTheme="minorHAnsi" w:eastAsiaTheme="minorEastAsia" w:hAnsiTheme="minorHAnsi" w:cstheme="minorBidi"/>
          <w:noProof/>
          <w:sz w:val="22"/>
          <w:szCs w:val="22"/>
          <w:lang w:val="sq-AL" w:eastAsia="sq-AL"/>
        </w:rPr>
      </w:pPr>
      <w:hyperlink w:anchor="_Toc466445428" w:history="1">
        <w:r w:rsidR="00DB43F9" w:rsidRPr="00DD6C2A">
          <w:rPr>
            <w:rStyle w:val="Hyperlink"/>
            <w:iCs/>
            <w:noProof/>
            <w:lang w:val="sq-AL"/>
          </w:rPr>
          <w:t>1.</w:t>
        </w:r>
        <w:r w:rsidR="00DB43F9">
          <w:rPr>
            <w:rFonts w:asciiTheme="minorHAnsi" w:eastAsiaTheme="minorEastAsia" w:hAnsiTheme="minorHAnsi" w:cstheme="minorBidi"/>
            <w:noProof/>
            <w:sz w:val="22"/>
            <w:szCs w:val="22"/>
            <w:lang w:val="sq-AL" w:eastAsia="sq-AL"/>
          </w:rPr>
          <w:tab/>
        </w:r>
        <w:r w:rsidR="00DB43F9" w:rsidRPr="00DD6C2A">
          <w:rPr>
            <w:rStyle w:val="Hyperlink"/>
            <w:iCs/>
            <w:noProof/>
            <w:lang w:val="sq-AL"/>
          </w:rPr>
          <w:t>HYRJE</w:t>
        </w:r>
        <w:r w:rsidR="00DB43F9">
          <w:rPr>
            <w:noProof/>
            <w:webHidden/>
          </w:rPr>
          <w:tab/>
        </w:r>
        <w:r w:rsidR="00DB43F9">
          <w:rPr>
            <w:noProof/>
            <w:webHidden/>
          </w:rPr>
          <w:fldChar w:fldCharType="begin"/>
        </w:r>
        <w:r w:rsidR="00DB43F9">
          <w:rPr>
            <w:noProof/>
            <w:webHidden/>
          </w:rPr>
          <w:instrText xml:space="preserve"> PAGEREF _Toc466445428 \h </w:instrText>
        </w:r>
        <w:r w:rsidR="00DB43F9">
          <w:rPr>
            <w:noProof/>
            <w:webHidden/>
          </w:rPr>
        </w:r>
        <w:r w:rsidR="00DB43F9">
          <w:rPr>
            <w:noProof/>
            <w:webHidden/>
          </w:rPr>
          <w:fldChar w:fldCharType="separate"/>
        </w:r>
        <w:r w:rsidR="00DB43F9">
          <w:rPr>
            <w:noProof/>
            <w:webHidden/>
          </w:rPr>
          <w:t>5</w:t>
        </w:r>
        <w:r w:rsidR="00DB43F9">
          <w:rPr>
            <w:noProof/>
            <w:webHidden/>
          </w:rPr>
          <w:fldChar w:fldCharType="end"/>
        </w:r>
      </w:hyperlink>
    </w:p>
    <w:p w:rsidR="00DB43F9" w:rsidRDefault="00AE124D" w:rsidP="00DB43F9">
      <w:pPr>
        <w:pStyle w:val="TOC1"/>
        <w:rPr>
          <w:rFonts w:asciiTheme="minorHAnsi" w:eastAsiaTheme="minorEastAsia" w:hAnsiTheme="minorHAnsi" w:cstheme="minorBidi"/>
          <w:noProof/>
          <w:sz w:val="22"/>
          <w:szCs w:val="22"/>
          <w:lang w:val="sq-AL" w:eastAsia="sq-AL"/>
        </w:rPr>
      </w:pPr>
      <w:hyperlink w:anchor="_Toc466445429" w:history="1">
        <w:r w:rsidR="00DB43F9" w:rsidRPr="00DD6C2A">
          <w:rPr>
            <w:rStyle w:val="Hyperlink"/>
            <w:iCs/>
            <w:noProof/>
            <w:lang w:val="sq-AL"/>
          </w:rPr>
          <w:t>2.</w:t>
        </w:r>
        <w:r w:rsidR="00DB43F9">
          <w:rPr>
            <w:rFonts w:asciiTheme="minorHAnsi" w:eastAsiaTheme="minorEastAsia" w:hAnsiTheme="minorHAnsi" w:cstheme="minorBidi"/>
            <w:noProof/>
            <w:sz w:val="22"/>
            <w:szCs w:val="22"/>
            <w:lang w:val="sq-AL" w:eastAsia="sq-AL"/>
          </w:rPr>
          <w:tab/>
        </w:r>
        <w:r w:rsidR="00DB43F9" w:rsidRPr="00DD6C2A">
          <w:rPr>
            <w:rStyle w:val="Hyperlink"/>
            <w:iCs/>
            <w:noProof/>
            <w:lang w:val="sq-AL"/>
          </w:rPr>
          <w:t>SITUATA EKONOMIKE</w:t>
        </w:r>
        <w:r w:rsidR="00DB43F9">
          <w:rPr>
            <w:noProof/>
            <w:webHidden/>
          </w:rPr>
          <w:tab/>
        </w:r>
        <w:r w:rsidR="00DB43F9">
          <w:rPr>
            <w:noProof/>
            <w:webHidden/>
          </w:rPr>
          <w:fldChar w:fldCharType="begin"/>
        </w:r>
        <w:r w:rsidR="00DB43F9">
          <w:rPr>
            <w:noProof/>
            <w:webHidden/>
          </w:rPr>
          <w:instrText xml:space="preserve"> PAGEREF _Toc466445429 \h </w:instrText>
        </w:r>
        <w:r w:rsidR="00DB43F9">
          <w:rPr>
            <w:noProof/>
            <w:webHidden/>
          </w:rPr>
        </w:r>
        <w:r w:rsidR="00DB43F9">
          <w:rPr>
            <w:noProof/>
            <w:webHidden/>
          </w:rPr>
          <w:fldChar w:fldCharType="separate"/>
        </w:r>
        <w:r w:rsidR="00DB43F9">
          <w:rPr>
            <w:noProof/>
            <w:webHidden/>
          </w:rPr>
          <w:t>7</w:t>
        </w:r>
        <w:r w:rsidR="00DB43F9">
          <w:rPr>
            <w:noProof/>
            <w:webHidden/>
          </w:rPr>
          <w:fldChar w:fldCharType="end"/>
        </w:r>
      </w:hyperlink>
    </w:p>
    <w:p w:rsidR="00DB43F9" w:rsidRPr="00DB43F9" w:rsidRDefault="00AE124D" w:rsidP="00DB43F9">
      <w:pPr>
        <w:pStyle w:val="TOC1"/>
        <w:rPr>
          <w:rFonts w:asciiTheme="minorHAnsi" w:eastAsiaTheme="minorEastAsia" w:hAnsiTheme="minorHAnsi" w:cstheme="minorBidi"/>
          <w:i/>
          <w:noProof/>
          <w:sz w:val="22"/>
          <w:szCs w:val="22"/>
          <w:lang w:val="sq-AL" w:eastAsia="sq-AL"/>
        </w:rPr>
      </w:pPr>
      <w:hyperlink w:anchor="_Toc466445430" w:history="1">
        <w:r w:rsidR="00DB43F9" w:rsidRPr="00DB43F9">
          <w:rPr>
            <w:rStyle w:val="Hyperlink"/>
            <w:i/>
            <w:iCs/>
            <w:noProof/>
            <w:lang w:val="sq-AL"/>
          </w:rPr>
          <w:t>2.1.</w:t>
        </w:r>
        <w:r w:rsidR="00DB43F9" w:rsidRPr="00DB43F9">
          <w:rPr>
            <w:rFonts w:asciiTheme="minorHAnsi" w:eastAsiaTheme="minorEastAsia" w:hAnsiTheme="minorHAnsi" w:cstheme="minorBidi"/>
            <w:i/>
            <w:noProof/>
            <w:sz w:val="22"/>
            <w:szCs w:val="22"/>
            <w:lang w:val="sq-AL" w:eastAsia="sq-AL"/>
          </w:rPr>
          <w:tab/>
        </w:r>
        <w:r w:rsidR="00DB43F9" w:rsidRPr="00DB43F9">
          <w:rPr>
            <w:rStyle w:val="Hyperlink"/>
            <w:i/>
            <w:iCs/>
            <w:noProof/>
            <w:lang w:val="sq-AL"/>
          </w:rPr>
          <w:t>ZHVILLIMET KRYESORE MAKROEKONOMIKE GJATË VITIT 2016</w:t>
        </w:r>
        <w:r w:rsidR="00DB43F9" w:rsidRPr="00DB43F9">
          <w:rPr>
            <w:i/>
            <w:noProof/>
            <w:webHidden/>
          </w:rPr>
          <w:tab/>
        </w:r>
        <w:r w:rsidR="00DB43F9" w:rsidRPr="00DB43F9">
          <w:rPr>
            <w:i/>
            <w:noProof/>
            <w:webHidden/>
          </w:rPr>
          <w:fldChar w:fldCharType="begin"/>
        </w:r>
        <w:r w:rsidR="00DB43F9" w:rsidRPr="00DB43F9">
          <w:rPr>
            <w:i/>
            <w:noProof/>
            <w:webHidden/>
          </w:rPr>
          <w:instrText xml:space="preserve"> PAGEREF _Toc466445430 \h </w:instrText>
        </w:r>
        <w:r w:rsidR="00DB43F9" w:rsidRPr="00DB43F9">
          <w:rPr>
            <w:i/>
            <w:noProof/>
            <w:webHidden/>
          </w:rPr>
        </w:r>
        <w:r w:rsidR="00DB43F9" w:rsidRPr="00DB43F9">
          <w:rPr>
            <w:i/>
            <w:noProof/>
            <w:webHidden/>
          </w:rPr>
          <w:fldChar w:fldCharType="separate"/>
        </w:r>
        <w:r w:rsidR="00DB43F9">
          <w:rPr>
            <w:i/>
            <w:noProof/>
            <w:webHidden/>
          </w:rPr>
          <w:t>7</w:t>
        </w:r>
        <w:r w:rsidR="00DB43F9" w:rsidRPr="00DB43F9">
          <w:rPr>
            <w:i/>
            <w:noProof/>
            <w:webHidden/>
          </w:rPr>
          <w:fldChar w:fldCharType="end"/>
        </w:r>
      </w:hyperlink>
    </w:p>
    <w:p w:rsidR="00DB43F9" w:rsidRPr="00DB43F9" w:rsidRDefault="00AE124D" w:rsidP="00DB43F9">
      <w:pPr>
        <w:pStyle w:val="TOC1"/>
        <w:rPr>
          <w:rFonts w:asciiTheme="minorHAnsi" w:eastAsiaTheme="minorEastAsia" w:hAnsiTheme="minorHAnsi" w:cstheme="minorBidi"/>
          <w:i/>
          <w:noProof/>
          <w:sz w:val="22"/>
          <w:szCs w:val="22"/>
          <w:lang w:val="sq-AL" w:eastAsia="sq-AL"/>
        </w:rPr>
      </w:pPr>
      <w:hyperlink w:anchor="_Toc466445431" w:history="1">
        <w:r w:rsidR="00DB43F9" w:rsidRPr="00DB43F9">
          <w:rPr>
            <w:rStyle w:val="Hyperlink"/>
            <w:i/>
            <w:iCs/>
            <w:noProof/>
            <w:lang w:val="sq-AL"/>
          </w:rPr>
          <w:t>2.2.</w:t>
        </w:r>
        <w:r w:rsidR="00DB43F9" w:rsidRPr="00DB43F9">
          <w:rPr>
            <w:rFonts w:asciiTheme="minorHAnsi" w:eastAsiaTheme="minorEastAsia" w:hAnsiTheme="minorHAnsi" w:cstheme="minorBidi"/>
            <w:i/>
            <w:noProof/>
            <w:sz w:val="22"/>
            <w:szCs w:val="22"/>
            <w:lang w:val="sq-AL" w:eastAsia="sq-AL"/>
          </w:rPr>
          <w:tab/>
        </w:r>
        <w:r w:rsidR="00DB43F9" w:rsidRPr="00DB43F9">
          <w:rPr>
            <w:rStyle w:val="Hyperlink"/>
            <w:i/>
            <w:iCs/>
            <w:noProof/>
            <w:lang w:val="sq-AL"/>
          </w:rPr>
          <w:t>KRAHASIMI ME VENDET E RAJONIT</w:t>
        </w:r>
        <w:r w:rsidR="00DB43F9" w:rsidRPr="00DB43F9">
          <w:rPr>
            <w:i/>
            <w:noProof/>
            <w:webHidden/>
          </w:rPr>
          <w:tab/>
        </w:r>
        <w:r w:rsidR="00DB43F9" w:rsidRPr="00DB43F9">
          <w:rPr>
            <w:i/>
            <w:noProof/>
            <w:webHidden/>
          </w:rPr>
          <w:fldChar w:fldCharType="begin"/>
        </w:r>
        <w:r w:rsidR="00DB43F9" w:rsidRPr="00DB43F9">
          <w:rPr>
            <w:i/>
            <w:noProof/>
            <w:webHidden/>
          </w:rPr>
          <w:instrText xml:space="preserve"> PAGEREF _Toc466445431 \h </w:instrText>
        </w:r>
        <w:r w:rsidR="00DB43F9" w:rsidRPr="00DB43F9">
          <w:rPr>
            <w:i/>
            <w:noProof/>
            <w:webHidden/>
          </w:rPr>
        </w:r>
        <w:r w:rsidR="00DB43F9" w:rsidRPr="00DB43F9">
          <w:rPr>
            <w:i/>
            <w:noProof/>
            <w:webHidden/>
          </w:rPr>
          <w:fldChar w:fldCharType="separate"/>
        </w:r>
        <w:r w:rsidR="00DB43F9" w:rsidRPr="00DB43F9">
          <w:rPr>
            <w:i/>
            <w:noProof/>
            <w:webHidden/>
          </w:rPr>
          <w:t>9</w:t>
        </w:r>
        <w:r w:rsidR="00DB43F9" w:rsidRPr="00DB43F9">
          <w:rPr>
            <w:i/>
            <w:noProof/>
            <w:webHidden/>
          </w:rPr>
          <w:fldChar w:fldCharType="end"/>
        </w:r>
      </w:hyperlink>
    </w:p>
    <w:p w:rsidR="00DB43F9" w:rsidRPr="00DB43F9" w:rsidRDefault="00AE124D" w:rsidP="00DB43F9">
      <w:pPr>
        <w:pStyle w:val="TOC1"/>
        <w:rPr>
          <w:rFonts w:asciiTheme="minorHAnsi" w:eastAsiaTheme="minorEastAsia" w:hAnsiTheme="minorHAnsi" w:cstheme="minorBidi"/>
          <w:i/>
          <w:noProof/>
          <w:sz w:val="22"/>
          <w:szCs w:val="22"/>
          <w:lang w:val="sq-AL" w:eastAsia="sq-AL"/>
        </w:rPr>
      </w:pPr>
      <w:hyperlink w:anchor="_Toc466445432" w:history="1">
        <w:r w:rsidR="00DB43F9" w:rsidRPr="00DB43F9">
          <w:rPr>
            <w:rStyle w:val="Hyperlink"/>
            <w:i/>
            <w:iCs/>
            <w:noProof/>
            <w:lang w:val="sq-AL"/>
          </w:rPr>
          <w:t>2.3</w:t>
        </w:r>
        <w:r w:rsidR="00DB43F9" w:rsidRPr="00DB43F9">
          <w:rPr>
            <w:rFonts w:asciiTheme="minorHAnsi" w:eastAsiaTheme="minorEastAsia" w:hAnsiTheme="minorHAnsi" w:cstheme="minorBidi"/>
            <w:i/>
            <w:noProof/>
            <w:sz w:val="22"/>
            <w:szCs w:val="22"/>
            <w:lang w:val="sq-AL" w:eastAsia="sq-AL"/>
          </w:rPr>
          <w:tab/>
        </w:r>
        <w:r w:rsidR="00DB43F9" w:rsidRPr="00DB43F9">
          <w:rPr>
            <w:rStyle w:val="Hyperlink"/>
            <w:i/>
            <w:iCs/>
            <w:noProof/>
            <w:lang w:val="sq-AL"/>
          </w:rPr>
          <w:t>PERSPEKTIVA AFATMESME 2017-2019</w:t>
        </w:r>
        <w:r w:rsidR="00DB43F9" w:rsidRPr="00DB43F9">
          <w:rPr>
            <w:i/>
            <w:noProof/>
            <w:webHidden/>
          </w:rPr>
          <w:tab/>
        </w:r>
        <w:r w:rsidR="00DB43F9" w:rsidRPr="00DB43F9">
          <w:rPr>
            <w:i/>
            <w:noProof/>
            <w:webHidden/>
          </w:rPr>
          <w:fldChar w:fldCharType="begin"/>
        </w:r>
        <w:r w:rsidR="00DB43F9" w:rsidRPr="00DB43F9">
          <w:rPr>
            <w:i/>
            <w:noProof/>
            <w:webHidden/>
          </w:rPr>
          <w:instrText xml:space="preserve"> PAGEREF _Toc466445432 \h </w:instrText>
        </w:r>
        <w:r w:rsidR="00DB43F9" w:rsidRPr="00DB43F9">
          <w:rPr>
            <w:i/>
            <w:noProof/>
            <w:webHidden/>
          </w:rPr>
        </w:r>
        <w:r w:rsidR="00DB43F9" w:rsidRPr="00DB43F9">
          <w:rPr>
            <w:i/>
            <w:noProof/>
            <w:webHidden/>
          </w:rPr>
          <w:fldChar w:fldCharType="separate"/>
        </w:r>
        <w:r w:rsidR="00DB43F9" w:rsidRPr="00DB43F9">
          <w:rPr>
            <w:i/>
            <w:noProof/>
            <w:webHidden/>
          </w:rPr>
          <w:t>10</w:t>
        </w:r>
        <w:r w:rsidR="00DB43F9" w:rsidRPr="00DB43F9">
          <w:rPr>
            <w:i/>
            <w:noProof/>
            <w:webHidden/>
          </w:rPr>
          <w:fldChar w:fldCharType="end"/>
        </w:r>
      </w:hyperlink>
    </w:p>
    <w:p w:rsidR="00DB43F9" w:rsidRDefault="00AE124D" w:rsidP="00DB43F9">
      <w:pPr>
        <w:pStyle w:val="TOC1"/>
        <w:rPr>
          <w:rFonts w:asciiTheme="minorHAnsi" w:eastAsiaTheme="minorEastAsia" w:hAnsiTheme="minorHAnsi" w:cstheme="minorBidi"/>
          <w:noProof/>
          <w:sz w:val="22"/>
          <w:szCs w:val="22"/>
          <w:lang w:val="sq-AL" w:eastAsia="sq-AL"/>
        </w:rPr>
      </w:pPr>
      <w:hyperlink w:anchor="_Toc466445433" w:history="1">
        <w:r w:rsidR="00DB43F9" w:rsidRPr="00DD6C2A">
          <w:rPr>
            <w:rStyle w:val="Hyperlink"/>
            <w:iCs/>
            <w:noProof/>
            <w:lang w:val="sq-AL"/>
          </w:rPr>
          <w:t>3.</w:t>
        </w:r>
        <w:r w:rsidR="00DB43F9">
          <w:rPr>
            <w:rFonts w:asciiTheme="minorHAnsi" w:eastAsiaTheme="minorEastAsia" w:hAnsiTheme="minorHAnsi" w:cstheme="minorBidi"/>
            <w:noProof/>
            <w:sz w:val="22"/>
            <w:szCs w:val="22"/>
            <w:lang w:val="sq-AL" w:eastAsia="sq-AL"/>
          </w:rPr>
          <w:tab/>
        </w:r>
        <w:r w:rsidR="00DB43F9" w:rsidRPr="00DD6C2A">
          <w:rPr>
            <w:rStyle w:val="Hyperlink"/>
            <w:iCs/>
            <w:noProof/>
            <w:lang w:val="sq-AL"/>
          </w:rPr>
          <w:t>TREGUESIT KRYESORË TË BUXHETIT PËR VITIN 2017</w:t>
        </w:r>
        <w:r w:rsidR="00DB43F9">
          <w:rPr>
            <w:noProof/>
            <w:webHidden/>
          </w:rPr>
          <w:tab/>
        </w:r>
        <w:r w:rsidR="00DB43F9">
          <w:rPr>
            <w:noProof/>
            <w:webHidden/>
          </w:rPr>
          <w:fldChar w:fldCharType="begin"/>
        </w:r>
        <w:r w:rsidR="00DB43F9">
          <w:rPr>
            <w:noProof/>
            <w:webHidden/>
          </w:rPr>
          <w:instrText xml:space="preserve"> PAGEREF _Toc466445433 \h </w:instrText>
        </w:r>
        <w:r w:rsidR="00DB43F9">
          <w:rPr>
            <w:noProof/>
            <w:webHidden/>
          </w:rPr>
        </w:r>
        <w:r w:rsidR="00DB43F9">
          <w:rPr>
            <w:noProof/>
            <w:webHidden/>
          </w:rPr>
          <w:fldChar w:fldCharType="separate"/>
        </w:r>
        <w:r w:rsidR="00DB43F9">
          <w:rPr>
            <w:noProof/>
            <w:webHidden/>
          </w:rPr>
          <w:t>12</w:t>
        </w:r>
        <w:r w:rsidR="00DB43F9">
          <w:rPr>
            <w:noProof/>
            <w:webHidden/>
          </w:rPr>
          <w:fldChar w:fldCharType="end"/>
        </w:r>
      </w:hyperlink>
    </w:p>
    <w:p w:rsidR="00DB43F9" w:rsidRPr="00DB43F9" w:rsidRDefault="00AE124D" w:rsidP="00DB43F9">
      <w:pPr>
        <w:pStyle w:val="TOC1"/>
        <w:rPr>
          <w:rFonts w:asciiTheme="minorHAnsi" w:eastAsiaTheme="minorEastAsia" w:hAnsiTheme="minorHAnsi" w:cstheme="minorBidi"/>
          <w:i/>
          <w:noProof/>
          <w:sz w:val="22"/>
          <w:szCs w:val="22"/>
          <w:lang w:val="sq-AL" w:eastAsia="sq-AL"/>
        </w:rPr>
      </w:pPr>
      <w:hyperlink w:anchor="_Toc466445434" w:history="1">
        <w:r w:rsidR="00DB43F9" w:rsidRPr="00DB43F9">
          <w:rPr>
            <w:rStyle w:val="Hyperlink"/>
            <w:i/>
            <w:iCs/>
            <w:noProof/>
            <w:lang w:val="sq-AL"/>
          </w:rPr>
          <w:t>3.1 TË ARDHURAT E PRITSHME PËR VITIN 2016</w:t>
        </w:r>
        <w:r w:rsidR="00DB43F9" w:rsidRPr="00DB43F9">
          <w:rPr>
            <w:i/>
            <w:noProof/>
            <w:webHidden/>
          </w:rPr>
          <w:tab/>
        </w:r>
        <w:r w:rsidR="00DB43F9" w:rsidRPr="00DB43F9">
          <w:rPr>
            <w:i/>
            <w:noProof/>
            <w:webHidden/>
          </w:rPr>
          <w:fldChar w:fldCharType="begin"/>
        </w:r>
        <w:r w:rsidR="00DB43F9" w:rsidRPr="00DB43F9">
          <w:rPr>
            <w:i/>
            <w:noProof/>
            <w:webHidden/>
          </w:rPr>
          <w:instrText xml:space="preserve"> PAGEREF _Toc466445434 \h </w:instrText>
        </w:r>
        <w:r w:rsidR="00DB43F9" w:rsidRPr="00DB43F9">
          <w:rPr>
            <w:i/>
            <w:noProof/>
            <w:webHidden/>
          </w:rPr>
        </w:r>
        <w:r w:rsidR="00DB43F9" w:rsidRPr="00DB43F9">
          <w:rPr>
            <w:i/>
            <w:noProof/>
            <w:webHidden/>
          </w:rPr>
          <w:fldChar w:fldCharType="separate"/>
        </w:r>
        <w:r w:rsidR="00DB43F9" w:rsidRPr="00DB43F9">
          <w:rPr>
            <w:i/>
            <w:noProof/>
            <w:webHidden/>
          </w:rPr>
          <w:t>12</w:t>
        </w:r>
        <w:r w:rsidR="00DB43F9" w:rsidRPr="00DB43F9">
          <w:rPr>
            <w:i/>
            <w:noProof/>
            <w:webHidden/>
          </w:rPr>
          <w:fldChar w:fldCharType="end"/>
        </w:r>
      </w:hyperlink>
    </w:p>
    <w:p w:rsidR="00DB43F9" w:rsidRPr="00DB43F9" w:rsidRDefault="00AE124D" w:rsidP="00DB43F9">
      <w:pPr>
        <w:pStyle w:val="TOC1"/>
        <w:rPr>
          <w:rFonts w:asciiTheme="minorHAnsi" w:eastAsiaTheme="minorEastAsia" w:hAnsiTheme="minorHAnsi" w:cstheme="minorBidi"/>
          <w:i/>
          <w:noProof/>
          <w:sz w:val="22"/>
          <w:szCs w:val="22"/>
          <w:lang w:val="sq-AL" w:eastAsia="sq-AL"/>
        </w:rPr>
      </w:pPr>
      <w:hyperlink w:anchor="_Toc466445435" w:history="1">
        <w:r w:rsidR="00DB43F9" w:rsidRPr="00DB43F9">
          <w:rPr>
            <w:rStyle w:val="Hyperlink"/>
            <w:i/>
            <w:iCs/>
            <w:noProof/>
            <w:lang w:val="sq-AL"/>
          </w:rPr>
          <w:t>3.3</w:t>
        </w:r>
        <w:r w:rsidR="00DB43F9" w:rsidRPr="00DB43F9">
          <w:rPr>
            <w:rFonts w:asciiTheme="minorHAnsi" w:eastAsiaTheme="minorEastAsia" w:hAnsiTheme="minorHAnsi" w:cstheme="minorBidi"/>
            <w:i/>
            <w:noProof/>
            <w:sz w:val="22"/>
            <w:szCs w:val="22"/>
            <w:lang w:val="sq-AL" w:eastAsia="sq-AL"/>
          </w:rPr>
          <w:tab/>
        </w:r>
        <w:r w:rsidR="00DB43F9" w:rsidRPr="00DB43F9">
          <w:rPr>
            <w:rStyle w:val="Hyperlink"/>
            <w:i/>
            <w:iCs/>
            <w:noProof/>
            <w:lang w:val="sq-AL"/>
          </w:rPr>
          <w:t>SHPENZIMET PUBLIKE</w:t>
        </w:r>
        <w:r w:rsidR="00DB43F9" w:rsidRPr="00DB43F9">
          <w:rPr>
            <w:i/>
            <w:noProof/>
            <w:webHidden/>
          </w:rPr>
          <w:tab/>
        </w:r>
        <w:r w:rsidR="00DB43F9" w:rsidRPr="00DB43F9">
          <w:rPr>
            <w:i/>
            <w:noProof/>
            <w:webHidden/>
          </w:rPr>
          <w:fldChar w:fldCharType="begin"/>
        </w:r>
        <w:r w:rsidR="00DB43F9" w:rsidRPr="00DB43F9">
          <w:rPr>
            <w:i/>
            <w:noProof/>
            <w:webHidden/>
          </w:rPr>
          <w:instrText xml:space="preserve"> PAGEREF _Toc466445435 \h </w:instrText>
        </w:r>
        <w:r w:rsidR="00DB43F9" w:rsidRPr="00DB43F9">
          <w:rPr>
            <w:i/>
            <w:noProof/>
            <w:webHidden/>
          </w:rPr>
        </w:r>
        <w:r w:rsidR="00DB43F9" w:rsidRPr="00DB43F9">
          <w:rPr>
            <w:i/>
            <w:noProof/>
            <w:webHidden/>
          </w:rPr>
          <w:fldChar w:fldCharType="separate"/>
        </w:r>
        <w:r w:rsidR="00DB43F9" w:rsidRPr="00DB43F9">
          <w:rPr>
            <w:i/>
            <w:noProof/>
            <w:webHidden/>
          </w:rPr>
          <w:t>20</w:t>
        </w:r>
        <w:r w:rsidR="00DB43F9" w:rsidRPr="00DB43F9">
          <w:rPr>
            <w:i/>
            <w:noProof/>
            <w:webHidden/>
          </w:rPr>
          <w:fldChar w:fldCharType="end"/>
        </w:r>
      </w:hyperlink>
    </w:p>
    <w:p w:rsidR="00DB43F9" w:rsidRPr="00DB43F9" w:rsidRDefault="00AE124D" w:rsidP="00DB43F9">
      <w:pPr>
        <w:pStyle w:val="TOC1"/>
        <w:rPr>
          <w:rFonts w:asciiTheme="minorHAnsi" w:eastAsiaTheme="minorEastAsia" w:hAnsiTheme="minorHAnsi" w:cstheme="minorBidi"/>
          <w:i/>
          <w:noProof/>
          <w:sz w:val="22"/>
          <w:szCs w:val="22"/>
          <w:lang w:val="sq-AL" w:eastAsia="sq-AL"/>
        </w:rPr>
      </w:pPr>
      <w:hyperlink w:anchor="_Toc466445436" w:history="1">
        <w:r w:rsidR="00DB43F9" w:rsidRPr="00DB43F9">
          <w:rPr>
            <w:rStyle w:val="Hyperlink"/>
            <w:i/>
            <w:noProof/>
            <w:lang w:val="sq-AL"/>
          </w:rPr>
          <w:t>3.3</w:t>
        </w:r>
        <w:r w:rsidR="00DB43F9" w:rsidRPr="00DB43F9">
          <w:rPr>
            <w:rFonts w:asciiTheme="minorHAnsi" w:eastAsiaTheme="minorEastAsia" w:hAnsiTheme="minorHAnsi" w:cstheme="minorBidi"/>
            <w:i/>
            <w:noProof/>
            <w:sz w:val="22"/>
            <w:szCs w:val="22"/>
            <w:lang w:val="sq-AL" w:eastAsia="sq-AL"/>
          </w:rPr>
          <w:tab/>
        </w:r>
        <w:r w:rsidR="00DB43F9" w:rsidRPr="00DB43F9">
          <w:rPr>
            <w:rStyle w:val="Hyperlink"/>
            <w:i/>
            <w:noProof/>
            <w:lang w:val="sq-AL"/>
          </w:rPr>
          <w:t>DEFICITI BUXHETOR</w:t>
        </w:r>
        <w:r w:rsidR="00DB43F9" w:rsidRPr="00DB43F9">
          <w:rPr>
            <w:i/>
            <w:noProof/>
            <w:webHidden/>
          </w:rPr>
          <w:tab/>
        </w:r>
        <w:r w:rsidR="00DB43F9" w:rsidRPr="00DB43F9">
          <w:rPr>
            <w:i/>
            <w:noProof/>
            <w:webHidden/>
          </w:rPr>
          <w:fldChar w:fldCharType="begin"/>
        </w:r>
        <w:r w:rsidR="00DB43F9" w:rsidRPr="00DB43F9">
          <w:rPr>
            <w:i/>
            <w:noProof/>
            <w:webHidden/>
          </w:rPr>
          <w:instrText xml:space="preserve"> PAGEREF _Toc466445436 \h </w:instrText>
        </w:r>
        <w:r w:rsidR="00DB43F9" w:rsidRPr="00DB43F9">
          <w:rPr>
            <w:i/>
            <w:noProof/>
            <w:webHidden/>
          </w:rPr>
        </w:r>
        <w:r w:rsidR="00DB43F9" w:rsidRPr="00DB43F9">
          <w:rPr>
            <w:i/>
            <w:noProof/>
            <w:webHidden/>
          </w:rPr>
          <w:fldChar w:fldCharType="separate"/>
        </w:r>
        <w:r w:rsidR="00DB43F9" w:rsidRPr="00DB43F9">
          <w:rPr>
            <w:i/>
            <w:noProof/>
            <w:webHidden/>
          </w:rPr>
          <w:t>22</w:t>
        </w:r>
        <w:r w:rsidR="00DB43F9" w:rsidRPr="00DB43F9">
          <w:rPr>
            <w:i/>
            <w:noProof/>
            <w:webHidden/>
          </w:rPr>
          <w:fldChar w:fldCharType="end"/>
        </w:r>
      </w:hyperlink>
    </w:p>
    <w:p w:rsidR="00DB43F9" w:rsidRPr="00DB43F9" w:rsidRDefault="00AE124D" w:rsidP="00DB43F9">
      <w:pPr>
        <w:pStyle w:val="TOC1"/>
        <w:rPr>
          <w:rFonts w:asciiTheme="minorHAnsi" w:eastAsiaTheme="minorEastAsia" w:hAnsiTheme="minorHAnsi" w:cstheme="minorBidi"/>
          <w:i/>
          <w:noProof/>
          <w:sz w:val="22"/>
          <w:szCs w:val="22"/>
          <w:lang w:val="sq-AL" w:eastAsia="sq-AL"/>
        </w:rPr>
      </w:pPr>
      <w:hyperlink w:anchor="_Toc466445437" w:history="1">
        <w:r w:rsidR="00DB43F9" w:rsidRPr="00DB43F9">
          <w:rPr>
            <w:rStyle w:val="Hyperlink"/>
            <w:i/>
            <w:noProof/>
            <w:lang w:val="sq-AL"/>
          </w:rPr>
          <w:t>3.6</w:t>
        </w:r>
        <w:r w:rsidR="00DB43F9" w:rsidRPr="00DB43F9">
          <w:rPr>
            <w:rFonts w:asciiTheme="minorHAnsi" w:eastAsiaTheme="minorEastAsia" w:hAnsiTheme="minorHAnsi" w:cstheme="minorBidi"/>
            <w:i/>
            <w:noProof/>
            <w:sz w:val="22"/>
            <w:szCs w:val="22"/>
            <w:lang w:val="sq-AL" w:eastAsia="sq-AL"/>
          </w:rPr>
          <w:tab/>
        </w:r>
        <w:r w:rsidR="00DB43F9" w:rsidRPr="00DB43F9">
          <w:rPr>
            <w:rStyle w:val="Hyperlink"/>
            <w:i/>
            <w:noProof/>
            <w:lang w:val="sq-AL"/>
          </w:rPr>
          <w:t>VEPRIMTARITË POTHUAJSE FISKALE</w:t>
        </w:r>
        <w:r w:rsidR="00DB43F9" w:rsidRPr="00DB43F9">
          <w:rPr>
            <w:i/>
            <w:noProof/>
            <w:webHidden/>
          </w:rPr>
          <w:tab/>
        </w:r>
        <w:r w:rsidR="00DB43F9" w:rsidRPr="00DB43F9">
          <w:rPr>
            <w:i/>
            <w:noProof/>
            <w:webHidden/>
          </w:rPr>
          <w:fldChar w:fldCharType="begin"/>
        </w:r>
        <w:r w:rsidR="00DB43F9" w:rsidRPr="00DB43F9">
          <w:rPr>
            <w:i/>
            <w:noProof/>
            <w:webHidden/>
          </w:rPr>
          <w:instrText xml:space="preserve"> PAGEREF _Toc466445437 \h </w:instrText>
        </w:r>
        <w:r w:rsidR="00DB43F9" w:rsidRPr="00DB43F9">
          <w:rPr>
            <w:i/>
            <w:noProof/>
            <w:webHidden/>
          </w:rPr>
        </w:r>
        <w:r w:rsidR="00DB43F9" w:rsidRPr="00DB43F9">
          <w:rPr>
            <w:i/>
            <w:noProof/>
            <w:webHidden/>
          </w:rPr>
          <w:fldChar w:fldCharType="separate"/>
        </w:r>
        <w:r w:rsidR="00DB43F9" w:rsidRPr="00DB43F9">
          <w:rPr>
            <w:i/>
            <w:noProof/>
            <w:webHidden/>
          </w:rPr>
          <w:t>24</w:t>
        </w:r>
        <w:r w:rsidR="00DB43F9" w:rsidRPr="00DB43F9">
          <w:rPr>
            <w:i/>
            <w:noProof/>
            <w:webHidden/>
          </w:rPr>
          <w:fldChar w:fldCharType="end"/>
        </w:r>
      </w:hyperlink>
    </w:p>
    <w:p w:rsidR="00DB43F9" w:rsidRPr="00DB43F9" w:rsidRDefault="00AE124D" w:rsidP="00DB43F9">
      <w:pPr>
        <w:pStyle w:val="TOC1"/>
        <w:rPr>
          <w:rFonts w:asciiTheme="minorHAnsi" w:eastAsiaTheme="minorEastAsia" w:hAnsiTheme="minorHAnsi" w:cstheme="minorBidi"/>
          <w:i/>
          <w:noProof/>
          <w:sz w:val="22"/>
          <w:szCs w:val="22"/>
          <w:lang w:val="sq-AL" w:eastAsia="sq-AL"/>
        </w:rPr>
      </w:pPr>
      <w:hyperlink w:anchor="_Toc466445438" w:history="1">
        <w:r w:rsidR="00DB43F9" w:rsidRPr="00DB43F9">
          <w:rPr>
            <w:rStyle w:val="Hyperlink"/>
            <w:i/>
            <w:noProof/>
            <w:lang w:val="sq-AL"/>
          </w:rPr>
          <w:t>3.6</w:t>
        </w:r>
        <w:r w:rsidR="00DB43F9" w:rsidRPr="00DB43F9">
          <w:rPr>
            <w:rFonts w:asciiTheme="minorHAnsi" w:eastAsiaTheme="minorEastAsia" w:hAnsiTheme="minorHAnsi" w:cstheme="minorBidi"/>
            <w:i/>
            <w:noProof/>
            <w:sz w:val="22"/>
            <w:szCs w:val="22"/>
            <w:lang w:val="sq-AL" w:eastAsia="sq-AL"/>
          </w:rPr>
          <w:tab/>
        </w:r>
        <w:r w:rsidR="00DB43F9" w:rsidRPr="00DB43F9">
          <w:rPr>
            <w:rStyle w:val="Hyperlink"/>
            <w:i/>
            <w:noProof/>
            <w:lang w:val="sq-AL"/>
          </w:rPr>
          <w:t>MINIMIZIMI I RISKUT PËR VEPRIMET EKSTRA-BUXHETORE</w:t>
        </w:r>
        <w:r w:rsidR="00DB43F9" w:rsidRPr="00DB43F9">
          <w:rPr>
            <w:i/>
            <w:noProof/>
            <w:webHidden/>
          </w:rPr>
          <w:tab/>
        </w:r>
        <w:r w:rsidR="00DB43F9" w:rsidRPr="00DB43F9">
          <w:rPr>
            <w:i/>
            <w:noProof/>
            <w:webHidden/>
          </w:rPr>
          <w:fldChar w:fldCharType="begin"/>
        </w:r>
        <w:r w:rsidR="00DB43F9" w:rsidRPr="00DB43F9">
          <w:rPr>
            <w:i/>
            <w:noProof/>
            <w:webHidden/>
          </w:rPr>
          <w:instrText xml:space="preserve"> PAGEREF _Toc466445438 \h </w:instrText>
        </w:r>
        <w:r w:rsidR="00DB43F9" w:rsidRPr="00DB43F9">
          <w:rPr>
            <w:i/>
            <w:noProof/>
            <w:webHidden/>
          </w:rPr>
        </w:r>
        <w:r w:rsidR="00DB43F9" w:rsidRPr="00DB43F9">
          <w:rPr>
            <w:i/>
            <w:noProof/>
            <w:webHidden/>
          </w:rPr>
          <w:fldChar w:fldCharType="separate"/>
        </w:r>
        <w:r w:rsidR="00DB43F9" w:rsidRPr="00DB43F9">
          <w:rPr>
            <w:i/>
            <w:noProof/>
            <w:webHidden/>
          </w:rPr>
          <w:t>26</w:t>
        </w:r>
        <w:r w:rsidR="00DB43F9" w:rsidRPr="00DB43F9">
          <w:rPr>
            <w:i/>
            <w:noProof/>
            <w:webHidden/>
          </w:rPr>
          <w:fldChar w:fldCharType="end"/>
        </w:r>
      </w:hyperlink>
    </w:p>
    <w:p w:rsidR="00DB43F9" w:rsidRPr="00DB43F9" w:rsidRDefault="00AE124D" w:rsidP="00DB43F9">
      <w:pPr>
        <w:pStyle w:val="TOC1"/>
        <w:rPr>
          <w:rFonts w:asciiTheme="minorHAnsi" w:eastAsiaTheme="minorEastAsia" w:hAnsiTheme="minorHAnsi" w:cstheme="minorBidi"/>
          <w:i/>
          <w:noProof/>
          <w:sz w:val="22"/>
          <w:szCs w:val="22"/>
          <w:lang w:val="sq-AL" w:eastAsia="sq-AL"/>
        </w:rPr>
      </w:pPr>
      <w:hyperlink w:anchor="_Toc466445439" w:history="1">
        <w:r w:rsidR="00DB43F9" w:rsidRPr="00DB43F9">
          <w:rPr>
            <w:rStyle w:val="Hyperlink"/>
            <w:i/>
            <w:noProof/>
            <w:lang w:val="sq-AL"/>
          </w:rPr>
          <w:t>3.6</w:t>
        </w:r>
        <w:r w:rsidR="00DB43F9" w:rsidRPr="00DB43F9">
          <w:rPr>
            <w:rFonts w:asciiTheme="minorHAnsi" w:eastAsiaTheme="minorEastAsia" w:hAnsiTheme="minorHAnsi" w:cstheme="minorBidi"/>
            <w:i/>
            <w:noProof/>
            <w:sz w:val="22"/>
            <w:szCs w:val="22"/>
            <w:lang w:val="sq-AL" w:eastAsia="sq-AL"/>
          </w:rPr>
          <w:tab/>
        </w:r>
        <w:r w:rsidR="00DB43F9" w:rsidRPr="00DB43F9">
          <w:rPr>
            <w:rStyle w:val="Hyperlink"/>
            <w:i/>
            <w:noProof/>
            <w:lang w:val="sq-AL"/>
          </w:rPr>
          <w:t>BUXHETI VENDOR 2017</w:t>
        </w:r>
        <w:r w:rsidR="00DB43F9" w:rsidRPr="00DB43F9">
          <w:rPr>
            <w:i/>
            <w:noProof/>
            <w:webHidden/>
          </w:rPr>
          <w:tab/>
        </w:r>
        <w:r w:rsidR="00DB43F9" w:rsidRPr="00DB43F9">
          <w:rPr>
            <w:i/>
            <w:noProof/>
            <w:webHidden/>
          </w:rPr>
          <w:fldChar w:fldCharType="begin"/>
        </w:r>
        <w:r w:rsidR="00DB43F9" w:rsidRPr="00DB43F9">
          <w:rPr>
            <w:i/>
            <w:noProof/>
            <w:webHidden/>
          </w:rPr>
          <w:instrText xml:space="preserve"> PAGEREF _Toc466445439 \h </w:instrText>
        </w:r>
        <w:r w:rsidR="00DB43F9" w:rsidRPr="00DB43F9">
          <w:rPr>
            <w:i/>
            <w:noProof/>
            <w:webHidden/>
          </w:rPr>
        </w:r>
        <w:r w:rsidR="00DB43F9" w:rsidRPr="00DB43F9">
          <w:rPr>
            <w:i/>
            <w:noProof/>
            <w:webHidden/>
          </w:rPr>
          <w:fldChar w:fldCharType="separate"/>
        </w:r>
        <w:r w:rsidR="00DB43F9" w:rsidRPr="00DB43F9">
          <w:rPr>
            <w:i/>
            <w:noProof/>
            <w:webHidden/>
          </w:rPr>
          <w:t>27</w:t>
        </w:r>
        <w:r w:rsidR="00DB43F9" w:rsidRPr="00DB43F9">
          <w:rPr>
            <w:i/>
            <w:noProof/>
            <w:webHidden/>
          </w:rPr>
          <w:fldChar w:fldCharType="end"/>
        </w:r>
      </w:hyperlink>
    </w:p>
    <w:p w:rsidR="00DB43F9" w:rsidRPr="00DB43F9" w:rsidRDefault="00AE124D" w:rsidP="00DB43F9">
      <w:pPr>
        <w:pStyle w:val="TOC1"/>
        <w:rPr>
          <w:rStyle w:val="Hyperlink"/>
          <w:noProof/>
        </w:rPr>
      </w:pPr>
      <w:hyperlink w:anchor="_Toc466445445" w:history="1">
        <w:r w:rsidR="00DB43F9" w:rsidRPr="00DB43F9">
          <w:rPr>
            <w:rStyle w:val="Hyperlink"/>
            <w:noProof/>
            <w:lang w:val="sq-AL"/>
          </w:rPr>
          <w:t>4</w:t>
        </w:r>
        <w:r w:rsidR="00DB43F9" w:rsidRPr="00DB43F9">
          <w:rPr>
            <w:rStyle w:val="Hyperlink"/>
            <w:noProof/>
          </w:rPr>
          <w:tab/>
        </w:r>
        <w:r w:rsidR="00DB43F9" w:rsidRPr="00DB43F9">
          <w:rPr>
            <w:rStyle w:val="Hyperlink"/>
            <w:noProof/>
            <w:lang w:val="sq-AL"/>
          </w:rPr>
          <w:t>POLITIKAT SEKTORIALE 2013-2017 DHE PËRFITIMET PËR QYTETARIN</w:t>
        </w:r>
        <w:r w:rsidR="00DB43F9" w:rsidRPr="00DB43F9">
          <w:rPr>
            <w:rStyle w:val="Hyperlink"/>
            <w:noProof/>
            <w:webHidden/>
            <w:lang w:val="sq-AL"/>
          </w:rPr>
          <w:tab/>
        </w:r>
        <w:r w:rsidR="00DB43F9" w:rsidRPr="00DB43F9">
          <w:rPr>
            <w:rStyle w:val="Hyperlink"/>
            <w:noProof/>
            <w:webHidden/>
            <w:lang w:val="sq-AL"/>
          </w:rPr>
          <w:fldChar w:fldCharType="begin"/>
        </w:r>
        <w:r w:rsidR="00DB43F9" w:rsidRPr="00DB43F9">
          <w:rPr>
            <w:rStyle w:val="Hyperlink"/>
            <w:noProof/>
            <w:webHidden/>
            <w:lang w:val="sq-AL"/>
          </w:rPr>
          <w:instrText xml:space="preserve"> PAGEREF _Toc466445445 \h </w:instrText>
        </w:r>
        <w:r w:rsidR="00DB43F9" w:rsidRPr="00DB43F9">
          <w:rPr>
            <w:rStyle w:val="Hyperlink"/>
            <w:noProof/>
            <w:webHidden/>
            <w:lang w:val="sq-AL"/>
          </w:rPr>
        </w:r>
        <w:r w:rsidR="00DB43F9" w:rsidRPr="00DB43F9">
          <w:rPr>
            <w:rStyle w:val="Hyperlink"/>
            <w:noProof/>
            <w:webHidden/>
            <w:lang w:val="sq-AL"/>
          </w:rPr>
          <w:fldChar w:fldCharType="separate"/>
        </w:r>
        <w:r w:rsidR="00DB43F9">
          <w:rPr>
            <w:rStyle w:val="Hyperlink"/>
            <w:noProof/>
            <w:webHidden/>
            <w:lang w:val="sq-AL"/>
          </w:rPr>
          <w:t>34</w:t>
        </w:r>
        <w:r w:rsidR="00DB43F9" w:rsidRPr="00DB43F9">
          <w:rPr>
            <w:rStyle w:val="Hyperlink"/>
            <w:noProof/>
            <w:webHidden/>
            <w:lang w:val="sq-AL"/>
          </w:rPr>
          <w:fldChar w:fldCharType="end"/>
        </w:r>
      </w:hyperlink>
    </w:p>
    <w:p w:rsidR="00DB43F9" w:rsidRPr="00DB43F9" w:rsidRDefault="00AE124D" w:rsidP="00DB43F9">
      <w:pPr>
        <w:pStyle w:val="TOC1"/>
        <w:rPr>
          <w:rStyle w:val="Hyperlink"/>
          <w:i/>
          <w:noProof/>
        </w:rPr>
      </w:pPr>
      <w:hyperlink w:anchor="_Toc466445447" w:history="1">
        <w:r w:rsidR="00DB43F9" w:rsidRPr="00DB43F9">
          <w:rPr>
            <w:rStyle w:val="Hyperlink"/>
            <w:i/>
            <w:noProof/>
            <w:lang w:val="sq-AL"/>
          </w:rPr>
          <w:t>4.1</w:t>
        </w:r>
        <w:r w:rsidR="00DB43F9" w:rsidRPr="00DB43F9">
          <w:rPr>
            <w:rStyle w:val="Hyperlink"/>
            <w:i/>
            <w:noProof/>
          </w:rPr>
          <w:tab/>
        </w:r>
        <w:r w:rsidR="00DB43F9" w:rsidRPr="00DB43F9">
          <w:rPr>
            <w:rStyle w:val="Hyperlink"/>
            <w:i/>
            <w:noProof/>
            <w:lang w:val="sq-AL"/>
          </w:rPr>
          <w:t>ARSIMI</w:t>
        </w:r>
        <w:r w:rsidR="00DB43F9" w:rsidRPr="00DB43F9">
          <w:rPr>
            <w:rStyle w:val="Hyperlink"/>
            <w:i/>
            <w:noProof/>
            <w:webHidden/>
            <w:lang w:val="sq-AL"/>
          </w:rPr>
          <w:tab/>
        </w:r>
        <w:r w:rsidR="00DB43F9" w:rsidRPr="00DB43F9">
          <w:rPr>
            <w:rStyle w:val="Hyperlink"/>
            <w:i/>
            <w:noProof/>
            <w:webHidden/>
            <w:lang w:val="sq-AL"/>
          </w:rPr>
          <w:fldChar w:fldCharType="begin"/>
        </w:r>
        <w:r w:rsidR="00DB43F9" w:rsidRPr="00DB43F9">
          <w:rPr>
            <w:rStyle w:val="Hyperlink"/>
            <w:i/>
            <w:noProof/>
            <w:webHidden/>
            <w:lang w:val="sq-AL"/>
          </w:rPr>
          <w:instrText xml:space="preserve"> PAGEREF _Toc466445447 \h </w:instrText>
        </w:r>
        <w:r w:rsidR="00DB43F9" w:rsidRPr="00DB43F9">
          <w:rPr>
            <w:rStyle w:val="Hyperlink"/>
            <w:i/>
            <w:noProof/>
            <w:webHidden/>
            <w:lang w:val="sq-AL"/>
          </w:rPr>
        </w:r>
        <w:r w:rsidR="00DB43F9" w:rsidRPr="00DB43F9">
          <w:rPr>
            <w:rStyle w:val="Hyperlink"/>
            <w:i/>
            <w:noProof/>
            <w:webHidden/>
            <w:lang w:val="sq-AL"/>
          </w:rPr>
          <w:fldChar w:fldCharType="separate"/>
        </w:r>
        <w:r w:rsidR="00DB43F9">
          <w:rPr>
            <w:rStyle w:val="Hyperlink"/>
            <w:i/>
            <w:noProof/>
            <w:webHidden/>
            <w:lang w:val="sq-AL"/>
          </w:rPr>
          <w:t>34</w:t>
        </w:r>
        <w:r w:rsidR="00DB43F9" w:rsidRPr="00DB43F9">
          <w:rPr>
            <w:rStyle w:val="Hyperlink"/>
            <w:i/>
            <w:noProof/>
            <w:webHidden/>
            <w:lang w:val="sq-AL"/>
          </w:rPr>
          <w:fldChar w:fldCharType="end"/>
        </w:r>
      </w:hyperlink>
    </w:p>
    <w:p w:rsidR="00DB43F9" w:rsidRPr="00DB43F9" w:rsidRDefault="00AE124D" w:rsidP="00DB43F9">
      <w:pPr>
        <w:pStyle w:val="TOC1"/>
        <w:rPr>
          <w:rStyle w:val="Hyperlink"/>
          <w:i/>
          <w:noProof/>
        </w:rPr>
      </w:pPr>
      <w:hyperlink w:anchor="_Toc466445472" w:history="1">
        <w:r w:rsidR="00DB43F9" w:rsidRPr="00DB43F9">
          <w:rPr>
            <w:rStyle w:val="Hyperlink"/>
            <w:i/>
            <w:noProof/>
            <w:lang w:val="sq-AL"/>
          </w:rPr>
          <w:t>4.2</w:t>
        </w:r>
        <w:r w:rsidR="00DB43F9" w:rsidRPr="00DB43F9">
          <w:rPr>
            <w:rStyle w:val="Hyperlink"/>
            <w:i/>
            <w:noProof/>
          </w:rPr>
          <w:tab/>
        </w:r>
        <w:r w:rsidR="00DB43F9" w:rsidRPr="00DB43F9">
          <w:rPr>
            <w:rStyle w:val="Hyperlink"/>
            <w:i/>
            <w:noProof/>
            <w:lang w:val="sq-AL"/>
          </w:rPr>
          <w:t>SHËNDETËSIA</w:t>
        </w:r>
        <w:r w:rsidR="00DB43F9" w:rsidRPr="00DB43F9">
          <w:rPr>
            <w:rStyle w:val="Hyperlink"/>
            <w:i/>
            <w:noProof/>
            <w:webHidden/>
            <w:lang w:val="sq-AL"/>
          </w:rPr>
          <w:tab/>
        </w:r>
        <w:r w:rsidR="00DB43F9" w:rsidRPr="00DB43F9">
          <w:rPr>
            <w:rStyle w:val="Hyperlink"/>
            <w:i/>
            <w:noProof/>
            <w:webHidden/>
            <w:lang w:val="sq-AL"/>
          </w:rPr>
          <w:fldChar w:fldCharType="begin"/>
        </w:r>
        <w:r w:rsidR="00DB43F9" w:rsidRPr="00DB43F9">
          <w:rPr>
            <w:rStyle w:val="Hyperlink"/>
            <w:i/>
            <w:noProof/>
            <w:webHidden/>
            <w:lang w:val="sq-AL"/>
          </w:rPr>
          <w:instrText xml:space="preserve"> PAGEREF _Toc466445472 \h </w:instrText>
        </w:r>
        <w:r w:rsidR="00DB43F9" w:rsidRPr="00DB43F9">
          <w:rPr>
            <w:rStyle w:val="Hyperlink"/>
            <w:i/>
            <w:noProof/>
            <w:webHidden/>
            <w:lang w:val="sq-AL"/>
          </w:rPr>
        </w:r>
        <w:r w:rsidR="00DB43F9" w:rsidRPr="00DB43F9">
          <w:rPr>
            <w:rStyle w:val="Hyperlink"/>
            <w:i/>
            <w:noProof/>
            <w:webHidden/>
            <w:lang w:val="sq-AL"/>
          </w:rPr>
          <w:fldChar w:fldCharType="separate"/>
        </w:r>
        <w:r w:rsidR="00DB43F9">
          <w:rPr>
            <w:rStyle w:val="Hyperlink"/>
            <w:i/>
            <w:noProof/>
            <w:webHidden/>
            <w:lang w:val="sq-AL"/>
          </w:rPr>
          <w:t>40</w:t>
        </w:r>
        <w:r w:rsidR="00DB43F9" w:rsidRPr="00DB43F9">
          <w:rPr>
            <w:rStyle w:val="Hyperlink"/>
            <w:i/>
            <w:noProof/>
            <w:webHidden/>
            <w:lang w:val="sq-AL"/>
          </w:rPr>
          <w:fldChar w:fldCharType="end"/>
        </w:r>
      </w:hyperlink>
    </w:p>
    <w:p w:rsidR="00DB43F9" w:rsidRPr="00DB43F9" w:rsidRDefault="00AE124D" w:rsidP="00DB43F9">
      <w:pPr>
        <w:pStyle w:val="TOC1"/>
        <w:rPr>
          <w:rStyle w:val="Hyperlink"/>
          <w:i/>
          <w:noProof/>
        </w:rPr>
      </w:pPr>
      <w:hyperlink w:anchor="_Toc466445473" w:history="1">
        <w:r w:rsidR="00DB43F9" w:rsidRPr="00DB43F9">
          <w:rPr>
            <w:rStyle w:val="Hyperlink"/>
            <w:i/>
            <w:noProof/>
            <w:lang w:val="sq-AL"/>
          </w:rPr>
          <w:t>4.3</w:t>
        </w:r>
        <w:r w:rsidR="00DB43F9" w:rsidRPr="00DB43F9">
          <w:rPr>
            <w:rStyle w:val="Hyperlink"/>
            <w:i/>
            <w:noProof/>
          </w:rPr>
          <w:tab/>
        </w:r>
        <w:r w:rsidR="00DB43F9" w:rsidRPr="00DB43F9">
          <w:rPr>
            <w:rStyle w:val="Hyperlink"/>
            <w:i/>
            <w:noProof/>
            <w:lang w:val="sq-AL"/>
          </w:rPr>
          <w:t>BUJQËSIA</w:t>
        </w:r>
        <w:r w:rsidR="00DB43F9" w:rsidRPr="00DB43F9">
          <w:rPr>
            <w:rStyle w:val="Hyperlink"/>
            <w:i/>
            <w:noProof/>
            <w:webHidden/>
            <w:lang w:val="sq-AL"/>
          </w:rPr>
          <w:tab/>
        </w:r>
        <w:r w:rsidR="00DB43F9" w:rsidRPr="00DB43F9">
          <w:rPr>
            <w:rStyle w:val="Hyperlink"/>
            <w:i/>
            <w:noProof/>
            <w:webHidden/>
            <w:lang w:val="sq-AL"/>
          </w:rPr>
          <w:fldChar w:fldCharType="begin"/>
        </w:r>
        <w:r w:rsidR="00DB43F9" w:rsidRPr="00DB43F9">
          <w:rPr>
            <w:rStyle w:val="Hyperlink"/>
            <w:i/>
            <w:noProof/>
            <w:webHidden/>
            <w:lang w:val="sq-AL"/>
          </w:rPr>
          <w:instrText xml:space="preserve"> PAGEREF _Toc466445473 \h </w:instrText>
        </w:r>
        <w:r w:rsidR="00DB43F9" w:rsidRPr="00DB43F9">
          <w:rPr>
            <w:rStyle w:val="Hyperlink"/>
            <w:i/>
            <w:noProof/>
            <w:webHidden/>
            <w:lang w:val="sq-AL"/>
          </w:rPr>
        </w:r>
        <w:r w:rsidR="00DB43F9" w:rsidRPr="00DB43F9">
          <w:rPr>
            <w:rStyle w:val="Hyperlink"/>
            <w:i/>
            <w:noProof/>
            <w:webHidden/>
            <w:lang w:val="sq-AL"/>
          </w:rPr>
          <w:fldChar w:fldCharType="separate"/>
        </w:r>
        <w:r w:rsidR="00DB43F9">
          <w:rPr>
            <w:rStyle w:val="Hyperlink"/>
            <w:i/>
            <w:noProof/>
            <w:webHidden/>
            <w:lang w:val="sq-AL"/>
          </w:rPr>
          <w:t>42</w:t>
        </w:r>
        <w:r w:rsidR="00DB43F9" w:rsidRPr="00DB43F9">
          <w:rPr>
            <w:rStyle w:val="Hyperlink"/>
            <w:i/>
            <w:noProof/>
            <w:webHidden/>
            <w:lang w:val="sq-AL"/>
          </w:rPr>
          <w:fldChar w:fldCharType="end"/>
        </w:r>
      </w:hyperlink>
    </w:p>
    <w:p w:rsidR="00DB43F9" w:rsidRPr="00DB43F9" w:rsidRDefault="00AE124D" w:rsidP="00DB43F9">
      <w:pPr>
        <w:pStyle w:val="TOC1"/>
        <w:rPr>
          <w:rStyle w:val="Hyperlink"/>
          <w:i/>
          <w:noProof/>
        </w:rPr>
      </w:pPr>
      <w:hyperlink w:anchor="_Toc466445474" w:history="1">
        <w:r w:rsidR="00DB43F9" w:rsidRPr="00DB43F9">
          <w:rPr>
            <w:rStyle w:val="Hyperlink"/>
            <w:i/>
            <w:noProof/>
            <w:lang w:val="sq-AL"/>
          </w:rPr>
          <w:t>4.4</w:t>
        </w:r>
        <w:r w:rsidR="00DB43F9" w:rsidRPr="00DB43F9">
          <w:rPr>
            <w:rStyle w:val="Hyperlink"/>
            <w:i/>
            <w:noProof/>
          </w:rPr>
          <w:tab/>
        </w:r>
        <w:r w:rsidR="00DB43F9" w:rsidRPr="00DB43F9">
          <w:rPr>
            <w:rStyle w:val="Hyperlink"/>
            <w:i/>
            <w:noProof/>
            <w:lang w:val="sq-AL"/>
          </w:rPr>
          <w:t>TRANSPORTI</w:t>
        </w:r>
        <w:r w:rsidR="00DB43F9" w:rsidRPr="00DB43F9">
          <w:rPr>
            <w:rStyle w:val="Hyperlink"/>
            <w:i/>
            <w:noProof/>
            <w:webHidden/>
            <w:lang w:val="sq-AL"/>
          </w:rPr>
          <w:tab/>
        </w:r>
        <w:r w:rsidR="00DB43F9" w:rsidRPr="00DB43F9">
          <w:rPr>
            <w:rStyle w:val="Hyperlink"/>
            <w:i/>
            <w:noProof/>
            <w:webHidden/>
            <w:lang w:val="sq-AL"/>
          </w:rPr>
          <w:fldChar w:fldCharType="begin"/>
        </w:r>
        <w:r w:rsidR="00DB43F9" w:rsidRPr="00DB43F9">
          <w:rPr>
            <w:rStyle w:val="Hyperlink"/>
            <w:i/>
            <w:noProof/>
            <w:webHidden/>
            <w:lang w:val="sq-AL"/>
          </w:rPr>
          <w:instrText xml:space="preserve"> PAGEREF _Toc466445474 \h </w:instrText>
        </w:r>
        <w:r w:rsidR="00DB43F9" w:rsidRPr="00DB43F9">
          <w:rPr>
            <w:rStyle w:val="Hyperlink"/>
            <w:i/>
            <w:noProof/>
            <w:webHidden/>
            <w:lang w:val="sq-AL"/>
          </w:rPr>
        </w:r>
        <w:r w:rsidR="00DB43F9" w:rsidRPr="00DB43F9">
          <w:rPr>
            <w:rStyle w:val="Hyperlink"/>
            <w:i/>
            <w:noProof/>
            <w:webHidden/>
            <w:lang w:val="sq-AL"/>
          </w:rPr>
          <w:fldChar w:fldCharType="separate"/>
        </w:r>
        <w:r w:rsidR="00DB43F9">
          <w:rPr>
            <w:rStyle w:val="Hyperlink"/>
            <w:i/>
            <w:noProof/>
            <w:webHidden/>
            <w:lang w:val="sq-AL"/>
          </w:rPr>
          <w:t>43</w:t>
        </w:r>
        <w:r w:rsidR="00DB43F9" w:rsidRPr="00DB43F9">
          <w:rPr>
            <w:rStyle w:val="Hyperlink"/>
            <w:i/>
            <w:noProof/>
            <w:webHidden/>
            <w:lang w:val="sq-AL"/>
          </w:rPr>
          <w:fldChar w:fldCharType="end"/>
        </w:r>
      </w:hyperlink>
    </w:p>
    <w:p w:rsidR="00DB43F9" w:rsidRPr="00DB43F9" w:rsidRDefault="00AE124D" w:rsidP="00DB43F9">
      <w:pPr>
        <w:pStyle w:val="TOC1"/>
        <w:rPr>
          <w:rStyle w:val="Hyperlink"/>
          <w:i/>
          <w:noProof/>
        </w:rPr>
      </w:pPr>
      <w:hyperlink w:anchor="_Toc466445475" w:history="1">
        <w:r w:rsidR="00DB43F9" w:rsidRPr="00DB43F9">
          <w:rPr>
            <w:rStyle w:val="Hyperlink"/>
            <w:i/>
            <w:noProof/>
            <w:lang w:val="sq-AL"/>
          </w:rPr>
          <w:t>4.5</w:t>
        </w:r>
        <w:r w:rsidR="00DB43F9" w:rsidRPr="00DB43F9">
          <w:rPr>
            <w:rStyle w:val="Hyperlink"/>
            <w:i/>
            <w:noProof/>
          </w:rPr>
          <w:tab/>
        </w:r>
        <w:r w:rsidR="00DB43F9" w:rsidRPr="00DB43F9">
          <w:rPr>
            <w:rStyle w:val="Hyperlink"/>
            <w:i/>
            <w:noProof/>
            <w:lang w:val="sq-AL"/>
          </w:rPr>
          <w:t>FORMIMI PROFESIONAL DHE PËRKUJDESI SOCIAL</w:t>
        </w:r>
        <w:r w:rsidR="00DB43F9" w:rsidRPr="00DB43F9">
          <w:rPr>
            <w:rStyle w:val="Hyperlink"/>
            <w:i/>
            <w:noProof/>
            <w:webHidden/>
            <w:lang w:val="sq-AL"/>
          </w:rPr>
          <w:tab/>
        </w:r>
        <w:r w:rsidR="00DB43F9" w:rsidRPr="00DB43F9">
          <w:rPr>
            <w:rStyle w:val="Hyperlink"/>
            <w:i/>
            <w:noProof/>
            <w:webHidden/>
            <w:lang w:val="sq-AL"/>
          </w:rPr>
          <w:fldChar w:fldCharType="begin"/>
        </w:r>
        <w:r w:rsidR="00DB43F9" w:rsidRPr="00DB43F9">
          <w:rPr>
            <w:rStyle w:val="Hyperlink"/>
            <w:i/>
            <w:noProof/>
            <w:webHidden/>
            <w:lang w:val="sq-AL"/>
          </w:rPr>
          <w:instrText xml:space="preserve"> PAGEREF _Toc466445475 \h </w:instrText>
        </w:r>
        <w:r w:rsidR="00DB43F9" w:rsidRPr="00DB43F9">
          <w:rPr>
            <w:rStyle w:val="Hyperlink"/>
            <w:i/>
            <w:noProof/>
            <w:webHidden/>
            <w:lang w:val="sq-AL"/>
          </w:rPr>
        </w:r>
        <w:r w:rsidR="00DB43F9" w:rsidRPr="00DB43F9">
          <w:rPr>
            <w:rStyle w:val="Hyperlink"/>
            <w:i/>
            <w:noProof/>
            <w:webHidden/>
            <w:lang w:val="sq-AL"/>
          </w:rPr>
          <w:fldChar w:fldCharType="separate"/>
        </w:r>
        <w:r w:rsidR="00DB43F9">
          <w:rPr>
            <w:rStyle w:val="Hyperlink"/>
            <w:i/>
            <w:noProof/>
            <w:webHidden/>
            <w:lang w:val="sq-AL"/>
          </w:rPr>
          <w:t>47</w:t>
        </w:r>
        <w:r w:rsidR="00DB43F9" w:rsidRPr="00DB43F9">
          <w:rPr>
            <w:rStyle w:val="Hyperlink"/>
            <w:i/>
            <w:noProof/>
            <w:webHidden/>
            <w:lang w:val="sq-AL"/>
          </w:rPr>
          <w:fldChar w:fldCharType="end"/>
        </w:r>
      </w:hyperlink>
    </w:p>
    <w:p w:rsidR="00DB43F9" w:rsidRPr="00DB43F9" w:rsidRDefault="00AE124D" w:rsidP="00DB43F9">
      <w:pPr>
        <w:pStyle w:val="TOC1"/>
        <w:rPr>
          <w:rStyle w:val="Hyperlink"/>
          <w:i/>
          <w:noProof/>
        </w:rPr>
      </w:pPr>
      <w:hyperlink w:anchor="_Toc466445476" w:history="1">
        <w:r w:rsidR="00DB43F9" w:rsidRPr="00DB43F9">
          <w:rPr>
            <w:rStyle w:val="Hyperlink"/>
            <w:i/>
            <w:noProof/>
            <w:lang w:val="sq-AL"/>
          </w:rPr>
          <w:t>4.6</w:t>
        </w:r>
        <w:r w:rsidR="00DB43F9" w:rsidRPr="00DB43F9">
          <w:rPr>
            <w:rStyle w:val="Hyperlink"/>
            <w:i/>
            <w:noProof/>
          </w:rPr>
          <w:tab/>
        </w:r>
        <w:r w:rsidR="00DB43F9" w:rsidRPr="00DB43F9">
          <w:rPr>
            <w:rStyle w:val="Hyperlink"/>
            <w:i/>
            <w:noProof/>
            <w:lang w:val="sq-AL"/>
          </w:rPr>
          <w:t>RENDI DHE SIGURIA PUBLIKE</w:t>
        </w:r>
        <w:r w:rsidR="00DB43F9" w:rsidRPr="00DB43F9">
          <w:rPr>
            <w:rStyle w:val="Hyperlink"/>
            <w:i/>
            <w:noProof/>
            <w:webHidden/>
            <w:lang w:val="sq-AL"/>
          </w:rPr>
          <w:tab/>
        </w:r>
        <w:r w:rsidR="00DB43F9" w:rsidRPr="00DB43F9">
          <w:rPr>
            <w:rStyle w:val="Hyperlink"/>
            <w:i/>
            <w:noProof/>
            <w:webHidden/>
            <w:lang w:val="sq-AL"/>
          </w:rPr>
          <w:fldChar w:fldCharType="begin"/>
        </w:r>
        <w:r w:rsidR="00DB43F9" w:rsidRPr="00DB43F9">
          <w:rPr>
            <w:rStyle w:val="Hyperlink"/>
            <w:i/>
            <w:noProof/>
            <w:webHidden/>
            <w:lang w:val="sq-AL"/>
          </w:rPr>
          <w:instrText xml:space="preserve"> PAGEREF _Toc466445476 \h </w:instrText>
        </w:r>
        <w:r w:rsidR="00DB43F9" w:rsidRPr="00DB43F9">
          <w:rPr>
            <w:rStyle w:val="Hyperlink"/>
            <w:i/>
            <w:noProof/>
            <w:webHidden/>
            <w:lang w:val="sq-AL"/>
          </w:rPr>
        </w:r>
        <w:r w:rsidR="00DB43F9" w:rsidRPr="00DB43F9">
          <w:rPr>
            <w:rStyle w:val="Hyperlink"/>
            <w:i/>
            <w:noProof/>
            <w:webHidden/>
            <w:lang w:val="sq-AL"/>
          </w:rPr>
          <w:fldChar w:fldCharType="separate"/>
        </w:r>
        <w:r w:rsidR="00DB43F9">
          <w:rPr>
            <w:rStyle w:val="Hyperlink"/>
            <w:i/>
            <w:noProof/>
            <w:webHidden/>
            <w:lang w:val="sq-AL"/>
          </w:rPr>
          <w:t>49</w:t>
        </w:r>
        <w:r w:rsidR="00DB43F9" w:rsidRPr="00DB43F9">
          <w:rPr>
            <w:rStyle w:val="Hyperlink"/>
            <w:i/>
            <w:noProof/>
            <w:webHidden/>
            <w:lang w:val="sq-AL"/>
          </w:rPr>
          <w:fldChar w:fldCharType="end"/>
        </w:r>
      </w:hyperlink>
    </w:p>
    <w:p w:rsidR="00DB43F9" w:rsidRPr="00DB43F9" w:rsidRDefault="00AE124D" w:rsidP="00DB43F9">
      <w:pPr>
        <w:pStyle w:val="TOC1"/>
        <w:rPr>
          <w:rStyle w:val="Hyperlink"/>
          <w:i/>
          <w:noProof/>
        </w:rPr>
      </w:pPr>
      <w:hyperlink w:anchor="_Toc466445477" w:history="1">
        <w:r w:rsidR="00DB43F9" w:rsidRPr="00DB43F9">
          <w:rPr>
            <w:rStyle w:val="Hyperlink"/>
            <w:i/>
            <w:noProof/>
            <w:lang w:val="sq-AL"/>
          </w:rPr>
          <w:t>4.7</w:t>
        </w:r>
        <w:r w:rsidR="00DB43F9" w:rsidRPr="00DB43F9">
          <w:rPr>
            <w:rStyle w:val="Hyperlink"/>
            <w:i/>
            <w:noProof/>
          </w:rPr>
          <w:tab/>
        </w:r>
        <w:r w:rsidR="00DB43F9" w:rsidRPr="00DB43F9">
          <w:rPr>
            <w:rStyle w:val="Hyperlink"/>
            <w:i/>
            <w:noProof/>
            <w:lang w:val="sq-AL"/>
          </w:rPr>
          <w:t>MBROJTJA</w:t>
        </w:r>
        <w:r w:rsidR="00DB43F9" w:rsidRPr="00DB43F9">
          <w:rPr>
            <w:rStyle w:val="Hyperlink"/>
            <w:i/>
            <w:noProof/>
            <w:webHidden/>
            <w:lang w:val="sq-AL"/>
          </w:rPr>
          <w:tab/>
        </w:r>
        <w:r w:rsidR="00DB43F9" w:rsidRPr="00DB43F9">
          <w:rPr>
            <w:rStyle w:val="Hyperlink"/>
            <w:i/>
            <w:noProof/>
            <w:webHidden/>
            <w:lang w:val="sq-AL"/>
          </w:rPr>
          <w:fldChar w:fldCharType="begin"/>
        </w:r>
        <w:r w:rsidR="00DB43F9" w:rsidRPr="00DB43F9">
          <w:rPr>
            <w:rStyle w:val="Hyperlink"/>
            <w:i/>
            <w:noProof/>
            <w:webHidden/>
            <w:lang w:val="sq-AL"/>
          </w:rPr>
          <w:instrText xml:space="preserve"> PAGEREF _Toc466445477 \h </w:instrText>
        </w:r>
        <w:r w:rsidR="00DB43F9" w:rsidRPr="00DB43F9">
          <w:rPr>
            <w:rStyle w:val="Hyperlink"/>
            <w:i/>
            <w:noProof/>
            <w:webHidden/>
            <w:lang w:val="sq-AL"/>
          </w:rPr>
        </w:r>
        <w:r w:rsidR="00DB43F9" w:rsidRPr="00DB43F9">
          <w:rPr>
            <w:rStyle w:val="Hyperlink"/>
            <w:i/>
            <w:noProof/>
            <w:webHidden/>
            <w:lang w:val="sq-AL"/>
          </w:rPr>
          <w:fldChar w:fldCharType="separate"/>
        </w:r>
        <w:r w:rsidR="00DB43F9">
          <w:rPr>
            <w:rStyle w:val="Hyperlink"/>
            <w:i/>
            <w:noProof/>
            <w:webHidden/>
            <w:lang w:val="sq-AL"/>
          </w:rPr>
          <w:t>53</w:t>
        </w:r>
        <w:r w:rsidR="00DB43F9" w:rsidRPr="00DB43F9">
          <w:rPr>
            <w:rStyle w:val="Hyperlink"/>
            <w:i/>
            <w:noProof/>
            <w:webHidden/>
            <w:lang w:val="sq-AL"/>
          </w:rPr>
          <w:fldChar w:fldCharType="end"/>
        </w:r>
      </w:hyperlink>
    </w:p>
    <w:p w:rsidR="00DB43F9" w:rsidRPr="00DB43F9" w:rsidRDefault="00AE124D" w:rsidP="00DB43F9">
      <w:pPr>
        <w:pStyle w:val="TOC1"/>
        <w:rPr>
          <w:rStyle w:val="Hyperlink"/>
          <w:i/>
          <w:noProof/>
        </w:rPr>
      </w:pPr>
      <w:hyperlink w:anchor="_Toc466445478" w:history="1">
        <w:r w:rsidR="00DB43F9" w:rsidRPr="00DB43F9">
          <w:rPr>
            <w:rStyle w:val="Hyperlink"/>
            <w:i/>
            <w:noProof/>
            <w:lang w:val="sq-AL"/>
          </w:rPr>
          <w:t>4.8</w:t>
        </w:r>
        <w:r w:rsidR="00DB43F9" w:rsidRPr="00DB43F9">
          <w:rPr>
            <w:rStyle w:val="Hyperlink"/>
            <w:i/>
            <w:noProof/>
          </w:rPr>
          <w:tab/>
        </w:r>
        <w:r w:rsidR="00DB43F9" w:rsidRPr="00DB43F9">
          <w:rPr>
            <w:rStyle w:val="Hyperlink"/>
            <w:i/>
            <w:noProof/>
            <w:lang w:val="sq-AL"/>
          </w:rPr>
          <w:t>ZHVILLIMI EKONOMIK</w:t>
        </w:r>
        <w:r w:rsidR="00DB43F9" w:rsidRPr="00DB43F9">
          <w:rPr>
            <w:rStyle w:val="Hyperlink"/>
            <w:i/>
            <w:noProof/>
            <w:webHidden/>
            <w:lang w:val="sq-AL"/>
          </w:rPr>
          <w:tab/>
        </w:r>
        <w:r w:rsidR="00DB43F9" w:rsidRPr="00DB43F9">
          <w:rPr>
            <w:rStyle w:val="Hyperlink"/>
            <w:i/>
            <w:noProof/>
            <w:webHidden/>
            <w:lang w:val="sq-AL"/>
          </w:rPr>
          <w:fldChar w:fldCharType="begin"/>
        </w:r>
        <w:r w:rsidR="00DB43F9" w:rsidRPr="00DB43F9">
          <w:rPr>
            <w:rStyle w:val="Hyperlink"/>
            <w:i/>
            <w:noProof/>
            <w:webHidden/>
            <w:lang w:val="sq-AL"/>
          </w:rPr>
          <w:instrText xml:space="preserve"> PAGEREF _Toc466445478 \h </w:instrText>
        </w:r>
        <w:r w:rsidR="00DB43F9" w:rsidRPr="00DB43F9">
          <w:rPr>
            <w:rStyle w:val="Hyperlink"/>
            <w:i/>
            <w:noProof/>
            <w:webHidden/>
            <w:lang w:val="sq-AL"/>
          </w:rPr>
        </w:r>
        <w:r w:rsidR="00DB43F9" w:rsidRPr="00DB43F9">
          <w:rPr>
            <w:rStyle w:val="Hyperlink"/>
            <w:i/>
            <w:noProof/>
            <w:webHidden/>
            <w:lang w:val="sq-AL"/>
          </w:rPr>
          <w:fldChar w:fldCharType="separate"/>
        </w:r>
        <w:r w:rsidR="00DB43F9">
          <w:rPr>
            <w:rStyle w:val="Hyperlink"/>
            <w:i/>
            <w:noProof/>
            <w:webHidden/>
            <w:lang w:val="sq-AL"/>
          </w:rPr>
          <w:t>55</w:t>
        </w:r>
        <w:r w:rsidR="00DB43F9" w:rsidRPr="00DB43F9">
          <w:rPr>
            <w:rStyle w:val="Hyperlink"/>
            <w:i/>
            <w:noProof/>
            <w:webHidden/>
            <w:lang w:val="sq-AL"/>
          </w:rPr>
          <w:fldChar w:fldCharType="end"/>
        </w:r>
      </w:hyperlink>
    </w:p>
    <w:p w:rsidR="00DB43F9" w:rsidRPr="00DB43F9" w:rsidRDefault="00AE124D" w:rsidP="00DB43F9">
      <w:pPr>
        <w:pStyle w:val="TOC1"/>
        <w:rPr>
          <w:rStyle w:val="Hyperlink"/>
          <w:i/>
          <w:noProof/>
        </w:rPr>
      </w:pPr>
      <w:hyperlink w:anchor="_Toc466445479" w:history="1">
        <w:r w:rsidR="00DB43F9" w:rsidRPr="00DB43F9">
          <w:rPr>
            <w:rStyle w:val="Hyperlink"/>
            <w:i/>
            <w:noProof/>
            <w:lang w:val="sq-AL"/>
          </w:rPr>
          <w:t>4.9</w:t>
        </w:r>
        <w:r w:rsidR="00DB43F9" w:rsidRPr="00DB43F9">
          <w:rPr>
            <w:rStyle w:val="Hyperlink"/>
            <w:i/>
            <w:noProof/>
          </w:rPr>
          <w:tab/>
        </w:r>
        <w:r w:rsidR="00DB43F9" w:rsidRPr="00DB43F9">
          <w:rPr>
            <w:rStyle w:val="Hyperlink"/>
            <w:i/>
            <w:noProof/>
            <w:lang w:val="sq-AL"/>
          </w:rPr>
          <w:t>ENERGJIA</w:t>
        </w:r>
        <w:r w:rsidR="00DB43F9" w:rsidRPr="00DB43F9">
          <w:rPr>
            <w:rStyle w:val="Hyperlink"/>
            <w:i/>
            <w:noProof/>
            <w:webHidden/>
            <w:lang w:val="sq-AL"/>
          </w:rPr>
          <w:tab/>
        </w:r>
        <w:r w:rsidR="00DB43F9" w:rsidRPr="00DB43F9">
          <w:rPr>
            <w:rStyle w:val="Hyperlink"/>
            <w:i/>
            <w:noProof/>
            <w:webHidden/>
            <w:lang w:val="sq-AL"/>
          </w:rPr>
          <w:fldChar w:fldCharType="begin"/>
        </w:r>
        <w:r w:rsidR="00DB43F9" w:rsidRPr="00DB43F9">
          <w:rPr>
            <w:rStyle w:val="Hyperlink"/>
            <w:i/>
            <w:noProof/>
            <w:webHidden/>
            <w:lang w:val="sq-AL"/>
          </w:rPr>
          <w:instrText xml:space="preserve"> PAGEREF _Toc466445479 \h </w:instrText>
        </w:r>
        <w:r w:rsidR="00DB43F9" w:rsidRPr="00DB43F9">
          <w:rPr>
            <w:rStyle w:val="Hyperlink"/>
            <w:i/>
            <w:noProof/>
            <w:webHidden/>
            <w:lang w:val="sq-AL"/>
          </w:rPr>
        </w:r>
        <w:r w:rsidR="00DB43F9" w:rsidRPr="00DB43F9">
          <w:rPr>
            <w:rStyle w:val="Hyperlink"/>
            <w:i/>
            <w:noProof/>
            <w:webHidden/>
            <w:lang w:val="sq-AL"/>
          </w:rPr>
          <w:fldChar w:fldCharType="separate"/>
        </w:r>
        <w:r w:rsidR="00DB43F9">
          <w:rPr>
            <w:rStyle w:val="Hyperlink"/>
            <w:i/>
            <w:noProof/>
            <w:webHidden/>
            <w:lang w:val="sq-AL"/>
          </w:rPr>
          <w:t>57</w:t>
        </w:r>
        <w:r w:rsidR="00DB43F9" w:rsidRPr="00DB43F9">
          <w:rPr>
            <w:rStyle w:val="Hyperlink"/>
            <w:i/>
            <w:noProof/>
            <w:webHidden/>
            <w:lang w:val="sq-AL"/>
          </w:rPr>
          <w:fldChar w:fldCharType="end"/>
        </w:r>
      </w:hyperlink>
    </w:p>
    <w:p w:rsidR="00DB43F9" w:rsidRPr="00DB43F9" w:rsidRDefault="00AE124D" w:rsidP="00DB43F9">
      <w:pPr>
        <w:pStyle w:val="TOC1"/>
        <w:rPr>
          <w:rStyle w:val="Hyperlink"/>
          <w:i/>
          <w:noProof/>
        </w:rPr>
      </w:pPr>
      <w:hyperlink w:anchor="_Toc466445480" w:history="1">
        <w:r w:rsidR="00DB43F9" w:rsidRPr="00DB43F9">
          <w:rPr>
            <w:rStyle w:val="Hyperlink"/>
            <w:i/>
            <w:noProof/>
            <w:lang w:val="sq-AL"/>
          </w:rPr>
          <w:t>4.10</w:t>
        </w:r>
        <w:r w:rsidR="00DB43F9" w:rsidRPr="00DB43F9">
          <w:rPr>
            <w:rStyle w:val="Hyperlink"/>
            <w:i/>
            <w:noProof/>
          </w:rPr>
          <w:tab/>
        </w:r>
        <w:r w:rsidR="00DB43F9" w:rsidRPr="00DB43F9">
          <w:rPr>
            <w:rStyle w:val="Hyperlink"/>
            <w:i/>
            <w:noProof/>
            <w:lang w:val="sq-AL"/>
          </w:rPr>
          <w:t>DREJTËSIA</w:t>
        </w:r>
        <w:r w:rsidR="00DB43F9" w:rsidRPr="00DB43F9">
          <w:rPr>
            <w:rStyle w:val="Hyperlink"/>
            <w:i/>
            <w:noProof/>
            <w:webHidden/>
            <w:lang w:val="sq-AL"/>
          </w:rPr>
          <w:tab/>
        </w:r>
        <w:r w:rsidR="00DB43F9" w:rsidRPr="00DB43F9">
          <w:rPr>
            <w:rStyle w:val="Hyperlink"/>
            <w:i/>
            <w:noProof/>
            <w:webHidden/>
            <w:lang w:val="sq-AL"/>
          </w:rPr>
          <w:fldChar w:fldCharType="begin"/>
        </w:r>
        <w:r w:rsidR="00DB43F9" w:rsidRPr="00DB43F9">
          <w:rPr>
            <w:rStyle w:val="Hyperlink"/>
            <w:i/>
            <w:noProof/>
            <w:webHidden/>
            <w:lang w:val="sq-AL"/>
          </w:rPr>
          <w:instrText xml:space="preserve"> PAGEREF _Toc466445480 \h </w:instrText>
        </w:r>
        <w:r w:rsidR="00DB43F9" w:rsidRPr="00DB43F9">
          <w:rPr>
            <w:rStyle w:val="Hyperlink"/>
            <w:i/>
            <w:noProof/>
            <w:webHidden/>
            <w:lang w:val="sq-AL"/>
          </w:rPr>
        </w:r>
        <w:r w:rsidR="00DB43F9" w:rsidRPr="00DB43F9">
          <w:rPr>
            <w:rStyle w:val="Hyperlink"/>
            <w:i/>
            <w:noProof/>
            <w:webHidden/>
            <w:lang w:val="sq-AL"/>
          </w:rPr>
          <w:fldChar w:fldCharType="separate"/>
        </w:r>
        <w:r w:rsidR="00DB43F9">
          <w:rPr>
            <w:rStyle w:val="Hyperlink"/>
            <w:i/>
            <w:noProof/>
            <w:webHidden/>
            <w:lang w:val="sq-AL"/>
          </w:rPr>
          <w:t>61</w:t>
        </w:r>
        <w:r w:rsidR="00DB43F9" w:rsidRPr="00DB43F9">
          <w:rPr>
            <w:rStyle w:val="Hyperlink"/>
            <w:i/>
            <w:noProof/>
            <w:webHidden/>
            <w:lang w:val="sq-AL"/>
          </w:rPr>
          <w:fldChar w:fldCharType="end"/>
        </w:r>
      </w:hyperlink>
    </w:p>
    <w:p w:rsidR="00DB43F9" w:rsidRPr="00DB43F9" w:rsidRDefault="00AE124D" w:rsidP="00DB43F9">
      <w:pPr>
        <w:pStyle w:val="TOC1"/>
        <w:rPr>
          <w:rStyle w:val="Hyperlink"/>
          <w:i/>
          <w:noProof/>
        </w:rPr>
      </w:pPr>
      <w:hyperlink w:anchor="_Toc466445481" w:history="1">
        <w:r w:rsidR="00DB43F9" w:rsidRPr="00DB43F9">
          <w:rPr>
            <w:rStyle w:val="Hyperlink"/>
            <w:i/>
            <w:noProof/>
            <w:lang w:val="sq-AL"/>
          </w:rPr>
          <w:t>4.11</w:t>
        </w:r>
        <w:r w:rsidR="00DB43F9" w:rsidRPr="00DB43F9">
          <w:rPr>
            <w:rStyle w:val="Hyperlink"/>
            <w:i/>
            <w:noProof/>
          </w:rPr>
          <w:tab/>
        </w:r>
        <w:r w:rsidR="00DB43F9" w:rsidRPr="00DB43F9">
          <w:rPr>
            <w:rStyle w:val="Hyperlink"/>
            <w:i/>
            <w:noProof/>
            <w:lang w:val="sq-AL"/>
          </w:rPr>
          <w:t>MJEDISI</w:t>
        </w:r>
        <w:r w:rsidR="00DB43F9" w:rsidRPr="00DB43F9">
          <w:rPr>
            <w:rStyle w:val="Hyperlink"/>
            <w:i/>
            <w:noProof/>
            <w:webHidden/>
            <w:lang w:val="sq-AL"/>
          </w:rPr>
          <w:tab/>
        </w:r>
        <w:r w:rsidR="00DB43F9" w:rsidRPr="00DB43F9">
          <w:rPr>
            <w:rStyle w:val="Hyperlink"/>
            <w:i/>
            <w:noProof/>
            <w:webHidden/>
            <w:lang w:val="sq-AL"/>
          </w:rPr>
          <w:fldChar w:fldCharType="begin"/>
        </w:r>
        <w:r w:rsidR="00DB43F9" w:rsidRPr="00DB43F9">
          <w:rPr>
            <w:rStyle w:val="Hyperlink"/>
            <w:i/>
            <w:noProof/>
            <w:webHidden/>
            <w:lang w:val="sq-AL"/>
          </w:rPr>
          <w:instrText xml:space="preserve"> PAGEREF _Toc466445481 \h </w:instrText>
        </w:r>
        <w:r w:rsidR="00DB43F9" w:rsidRPr="00DB43F9">
          <w:rPr>
            <w:rStyle w:val="Hyperlink"/>
            <w:i/>
            <w:noProof/>
            <w:webHidden/>
            <w:lang w:val="sq-AL"/>
          </w:rPr>
        </w:r>
        <w:r w:rsidR="00DB43F9" w:rsidRPr="00DB43F9">
          <w:rPr>
            <w:rStyle w:val="Hyperlink"/>
            <w:i/>
            <w:noProof/>
            <w:webHidden/>
            <w:lang w:val="sq-AL"/>
          </w:rPr>
          <w:fldChar w:fldCharType="separate"/>
        </w:r>
        <w:r w:rsidR="00DB43F9">
          <w:rPr>
            <w:rStyle w:val="Hyperlink"/>
            <w:i/>
            <w:noProof/>
            <w:webHidden/>
            <w:lang w:val="sq-AL"/>
          </w:rPr>
          <w:t>64</w:t>
        </w:r>
        <w:r w:rsidR="00DB43F9" w:rsidRPr="00DB43F9">
          <w:rPr>
            <w:rStyle w:val="Hyperlink"/>
            <w:i/>
            <w:noProof/>
            <w:webHidden/>
            <w:lang w:val="sq-AL"/>
          </w:rPr>
          <w:fldChar w:fldCharType="end"/>
        </w:r>
      </w:hyperlink>
    </w:p>
    <w:p w:rsidR="00DB43F9" w:rsidRPr="00DB43F9" w:rsidRDefault="00AE124D" w:rsidP="00DB43F9">
      <w:pPr>
        <w:pStyle w:val="TOC1"/>
        <w:rPr>
          <w:rStyle w:val="Hyperlink"/>
          <w:i/>
          <w:noProof/>
        </w:rPr>
      </w:pPr>
      <w:hyperlink w:anchor="_Toc466445482" w:history="1">
        <w:r w:rsidR="00DB43F9" w:rsidRPr="00DB43F9">
          <w:rPr>
            <w:rStyle w:val="Hyperlink"/>
            <w:i/>
            <w:noProof/>
            <w:lang w:val="sq-AL"/>
          </w:rPr>
          <w:t>4.12</w:t>
        </w:r>
        <w:r w:rsidR="00DB43F9" w:rsidRPr="00DB43F9">
          <w:rPr>
            <w:rStyle w:val="Hyperlink"/>
            <w:i/>
            <w:noProof/>
          </w:rPr>
          <w:tab/>
        </w:r>
        <w:r w:rsidR="00DB43F9" w:rsidRPr="00DB43F9">
          <w:rPr>
            <w:rStyle w:val="Hyperlink"/>
            <w:i/>
            <w:noProof/>
            <w:lang w:val="sq-AL"/>
          </w:rPr>
          <w:t>ZHVILLIM URBAN DHE STREHIMI</w:t>
        </w:r>
        <w:r w:rsidR="00DB43F9" w:rsidRPr="00DB43F9">
          <w:rPr>
            <w:rStyle w:val="Hyperlink"/>
            <w:i/>
            <w:noProof/>
            <w:webHidden/>
            <w:lang w:val="sq-AL"/>
          </w:rPr>
          <w:tab/>
        </w:r>
        <w:r w:rsidR="00DB43F9" w:rsidRPr="00DB43F9">
          <w:rPr>
            <w:rStyle w:val="Hyperlink"/>
            <w:i/>
            <w:noProof/>
            <w:webHidden/>
            <w:lang w:val="sq-AL"/>
          </w:rPr>
          <w:fldChar w:fldCharType="begin"/>
        </w:r>
        <w:r w:rsidR="00DB43F9" w:rsidRPr="00DB43F9">
          <w:rPr>
            <w:rStyle w:val="Hyperlink"/>
            <w:i/>
            <w:noProof/>
            <w:webHidden/>
            <w:lang w:val="sq-AL"/>
          </w:rPr>
          <w:instrText xml:space="preserve"> PAGEREF _Toc466445482 \h </w:instrText>
        </w:r>
        <w:r w:rsidR="00DB43F9" w:rsidRPr="00DB43F9">
          <w:rPr>
            <w:rStyle w:val="Hyperlink"/>
            <w:i/>
            <w:noProof/>
            <w:webHidden/>
            <w:lang w:val="sq-AL"/>
          </w:rPr>
        </w:r>
        <w:r w:rsidR="00DB43F9" w:rsidRPr="00DB43F9">
          <w:rPr>
            <w:rStyle w:val="Hyperlink"/>
            <w:i/>
            <w:noProof/>
            <w:webHidden/>
            <w:lang w:val="sq-AL"/>
          </w:rPr>
          <w:fldChar w:fldCharType="separate"/>
        </w:r>
        <w:r w:rsidR="00DB43F9">
          <w:rPr>
            <w:rStyle w:val="Hyperlink"/>
            <w:i/>
            <w:noProof/>
            <w:webHidden/>
            <w:lang w:val="sq-AL"/>
          </w:rPr>
          <w:t>66</w:t>
        </w:r>
        <w:r w:rsidR="00DB43F9" w:rsidRPr="00DB43F9">
          <w:rPr>
            <w:rStyle w:val="Hyperlink"/>
            <w:i/>
            <w:noProof/>
            <w:webHidden/>
            <w:lang w:val="sq-AL"/>
          </w:rPr>
          <w:fldChar w:fldCharType="end"/>
        </w:r>
      </w:hyperlink>
    </w:p>
    <w:p w:rsidR="00DB43F9" w:rsidRPr="00DB43F9" w:rsidRDefault="00AE124D" w:rsidP="00DB43F9">
      <w:pPr>
        <w:pStyle w:val="TOC1"/>
        <w:rPr>
          <w:rStyle w:val="Hyperlink"/>
          <w:i/>
          <w:noProof/>
        </w:rPr>
      </w:pPr>
      <w:hyperlink w:anchor="_Toc466445483" w:history="1">
        <w:r w:rsidR="00DB43F9" w:rsidRPr="00DB43F9">
          <w:rPr>
            <w:rStyle w:val="Hyperlink"/>
            <w:i/>
            <w:noProof/>
            <w:lang w:val="sq-AL"/>
          </w:rPr>
          <w:t>4.13</w:t>
        </w:r>
        <w:r w:rsidR="00DB43F9" w:rsidRPr="00DB43F9">
          <w:rPr>
            <w:rStyle w:val="Hyperlink"/>
            <w:i/>
            <w:noProof/>
          </w:rPr>
          <w:tab/>
        </w:r>
        <w:r w:rsidR="00DB43F9" w:rsidRPr="00DB43F9">
          <w:rPr>
            <w:rStyle w:val="Hyperlink"/>
            <w:i/>
            <w:noProof/>
            <w:lang w:val="sq-AL"/>
          </w:rPr>
          <w:t>KULTURA</w:t>
        </w:r>
        <w:r w:rsidR="00DB43F9" w:rsidRPr="00DB43F9">
          <w:rPr>
            <w:rStyle w:val="Hyperlink"/>
            <w:i/>
            <w:noProof/>
            <w:webHidden/>
            <w:lang w:val="sq-AL"/>
          </w:rPr>
          <w:tab/>
        </w:r>
        <w:r w:rsidR="00DB43F9" w:rsidRPr="00DB43F9">
          <w:rPr>
            <w:rStyle w:val="Hyperlink"/>
            <w:i/>
            <w:noProof/>
            <w:webHidden/>
            <w:lang w:val="sq-AL"/>
          </w:rPr>
          <w:fldChar w:fldCharType="begin"/>
        </w:r>
        <w:r w:rsidR="00DB43F9" w:rsidRPr="00DB43F9">
          <w:rPr>
            <w:rStyle w:val="Hyperlink"/>
            <w:i/>
            <w:noProof/>
            <w:webHidden/>
            <w:lang w:val="sq-AL"/>
          </w:rPr>
          <w:instrText xml:space="preserve"> PAGEREF _Toc466445483 \h </w:instrText>
        </w:r>
        <w:r w:rsidR="00DB43F9" w:rsidRPr="00DB43F9">
          <w:rPr>
            <w:rStyle w:val="Hyperlink"/>
            <w:i/>
            <w:noProof/>
            <w:webHidden/>
            <w:lang w:val="sq-AL"/>
          </w:rPr>
        </w:r>
        <w:r w:rsidR="00DB43F9" w:rsidRPr="00DB43F9">
          <w:rPr>
            <w:rStyle w:val="Hyperlink"/>
            <w:i/>
            <w:noProof/>
            <w:webHidden/>
            <w:lang w:val="sq-AL"/>
          </w:rPr>
          <w:fldChar w:fldCharType="separate"/>
        </w:r>
        <w:r w:rsidR="00DB43F9">
          <w:rPr>
            <w:rStyle w:val="Hyperlink"/>
            <w:i/>
            <w:noProof/>
            <w:webHidden/>
            <w:lang w:val="sq-AL"/>
          </w:rPr>
          <w:t>68</w:t>
        </w:r>
        <w:r w:rsidR="00DB43F9" w:rsidRPr="00DB43F9">
          <w:rPr>
            <w:rStyle w:val="Hyperlink"/>
            <w:i/>
            <w:noProof/>
            <w:webHidden/>
            <w:lang w:val="sq-AL"/>
          </w:rPr>
          <w:fldChar w:fldCharType="end"/>
        </w:r>
      </w:hyperlink>
    </w:p>
    <w:p w:rsidR="00DB43F9" w:rsidRPr="00DB43F9" w:rsidRDefault="00AE124D" w:rsidP="00DB43F9">
      <w:pPr>
        <w:pStyle w:val="TOC1"/>
        <w:rPr>
          <w:rStyle w:val="Hyperlink"/>
          <w:i/>
          <w:noProof/>
        </w:rPr>
      </w:pPr>
      <w:hyperlink w:anchor="_Toc466445484" w:history="1">
        <w:r w:rsidR="00DB43F9" w:rsidRPr="00DB43F9">
          <w:rPr>
            <w:rStyle w:val="Hyperlink"/>
            <w:i/>
            <w:noProof/>
            <w:lang w:val="sq-AL"/>
          </w:rPr>
          <w:t>4.14</w:t>
        </w:r>
        <w:r w:rsidR="00DB43F9" w:rsidRPr="00DB43F9">
          <w:rPr>
            <w:rStyle w:val="Hyperlink"/>
            <w:i/>
            <w:noProof/>
          </w:rPr>
          <w:tab/>
        </w:r>
        <w:r w:rsidR="00DB43F9" w:rsidRPr="00DB43F9">
          <w:rPr>
            <w:rStyle w:val="Hyperlink"/>
            <w:i/>
            <w:noProof/>
            <w:lang w:val="sq-AL"/>
          </w:rPr>
          <w:t>POLITIKA E JASHTME</w:t>
        </w:r>
        <w:r w:rsidR="00DB43F9" w:rsidRPr="00DB43F9">
          <w:rPr>
            <w:rStyle w:val="Hyperlink"/>
            <w:i/>
            <w:noProof/>
            <w:webHidden/>
            <w:lang w:val="sq-AL"/>
          </w:rPr>
          <w:tab/>
        </w:r>
        <w:r w:rsidR="00DB43F9" w:rsidRPr="00DB43F9">
          <w:rPr>
            <w:rStyle w:val="Hyperlink"/>
            <w:i/>
            <w:noProof/>
            <w:webHidden/>
            <w:lang w:val="sq-AL"/>
          </w:rPr>
          <w:fldChar w:fldCharType="begin"/>
        </w:r>
        <w:r w:rsidR="00DB43F9" w:rsidRPr="00DB43F9">
          <w:rPr>
            <w:rStyle w:val="Hyperlink"/>
            <w:i/>
            <w:noProof/>
            <w:webHidden/>
            <w:lang w:val="sq-AL"/>
          </w:rPr>
          <w:instrText xml:space="preserve"> PAGEREF _Toc466445484 \h </w:instrText>
        </w:r>
        <w:r w:rsidR="00DB43F9" w:rsidRPr="00DB43F9">
          <w:rPr>
            <w:rStyle w:val="Hyperlink"/>
            <w:i/>
            <w:noProof/>
            <w:webHidden/>
            <w:lang w:val="sq-AL"/>
          </w:rPr>
        </w:r>
        <w:r w:rsidR="00DB43F9" w:rsidRPr="00DB43F9">
          <w:rPr>
            <w:rStyle w:val="Hyperlink"/>
            <w:i/>
            <w:noProof/>
            <w:webHidden/>
            <w:lang w:val="sq-AL"/>
          </w:rPr>
          <w:fldChar w:fldCharType="separate"/>
        </w:r>
        <w:r w:rsidR="00DB43F9">
          <w:rPr>
            <w:rStyle w:val="Hyperlink"/>
            <w:i/>
            <w:noProof/>
            <w:webHidden/>
            <w:lang w:val="sq-AL"/>
          </w:rPr>
          <w:t>70</w:t>
        </w:r>
        <w:r w:rsidR="00DB43F9" w:rsidRPr="00DB43F9">
          <w:rPr>
            <w:rStyle w:val="Hyperlink"/>
            <w:i/>
            <w:noProof/>
            <w:webHidden/>
            <w:lang w:val="sq-AL"/>
          </w:rPr>
          <w:fldChar w:fldCharType="end"/>
        </w:r>
      </w:hyperlink>
    </w:p>
    <w:p w:rsidR="00DB43F9" w:rsidRPr="00DB43F9" w:rsidRDefault="00AE124D" w:rsidP="00DB43F9">
      <w:pPr>
        <w:pStyle w:val="TOC1"/>
        <w:rPr>
          <w:rStyle w:val="Hyperlink"/>
          <w:i/>
          <w:noProof/>
        </w:rPr>
      </w:pPr>
      <w:hyperlink w:anchor="_Toc466445485" w:history="1">
        <w:r w:rsidR="00DB43F9" w:rsidRPr="00DB43F9">
          <w:rPr>
            <w:rStyle w:val="Hyperlink"/>
            <w:i/>
            <w:noProof/>
            <w:lang w:val="sq-AL"/>
          </w:rPr>
          <w:t>4.15</w:t>
        </w:r>
        <w:r w:rsidR="00DB43F9" w:rsidRPr="00DB43F9">
          <w:rPr>
            <w:rStyle w:val="Hyperlink"/>
            <w:i/>
            <w:noProof/>
          </w:rPr>
          <w:tab/>
        </w:r>
        <w:r w:rsidR="00DB43F9" w:rsidRPr="00DB43F9">
          <w:rPr>
            <w:rStyle w:val="Hyperlink"/>
            <w:i/>
            <w:noProof/>
            <w:lang w:val="sq-AL"/>
          </w:rPr>
          <w:t>INTEGRIMI EUROPIAN</w:t>
        </w:r>
        <w:r w:rsidR="00DB43F9" w:rsidRPr="00DB43F9">
          <w:rPr>
            <w:rStyle w:val="Hyperlink"/>
            <w:i/>
            <w:noProof/>
            <w:webHidden/>
            <w:lang w:val="sq-AL"/>
          </w:rPr>
          <w:tab/>
        </w:r>
        <w:r w:rsidR="00DB43F9" w:rsidRPr="00DB43F9">
          <w:rPr>
            <w:rStyle w:val="Hyperlink"/>
            <w:i/>
            <w:noProof/>
            <w:webHidden/>
            <w:lang w:val="sq-AL"/>
          </w:rPr>
          <w:fldChar w:fldCharType="begin"/>
        </w:r>
        <w:r w:rsidR="00DB43F9" w:rsidRPr="00DB43F9">
          <w:rPr>
            <w:rStyle w:val="Hyperlink"/>
            <w:i/>
            <w:noProof/>
            <w:webHidden/>
            <w:lang w:val="sq-AL"/>
          </w:rPr>
          <w:instrText xml:space="preserve"> PAGEREF _Toc466445485 \h </w:instrText>
        </w:r>
        <w:r w:rsidR="00DB43F9" w:rsidRPr="00DB43F9">
          <w:rPr>
            <w:rStyle w:val="Hyperlink"/>
            <w:i/>
            <w:noProof/>
            <w:webHidden/>
            <w:lang w:val="sq-AL"/>
          </w:rPr>
        </w:r>
        <w:r w:rsidR="00DB43F9" w:rsidRPr="00DB43F9">
          <w:rPr>
            <w:rStyle w:val="Hyperlink"/>
            <w:i/>
            <w:noProof/>
            <w:webHidden/>
            <w:lang w:val="sq-AL"/>
          </w:rPr>
          <w:fldChar w:fldCharType="separate"/>
        </w:r>
        <w:r w:rsidR="00DB43F9">
          <w:rPr>
            <w:rStyle w:val="Hyperlink"/>
            <w:i/>
            <w:noProof/>
            <w:webHidden/>
            <w:lang w:val="sq-AL"/>
          </w:rPr>
          <w:t>72</w:t>
        </w:r>
        <w:r w:rsidR="00DB43F9" w:rsidRPr="00DB43F9">
          <w:rPr>
            <w:rStyle w:val="Hyperlink"/>
            <w:i/>
            <w:noProof/>
            <w:webHidden/>
            <w:lang w:val="sq-AL"/>
          </w:rPr>
          <w:fldChar w:fldCharType="end"/>
        </w:r>
      </w:hyperlink>
    </w:p>
    <w:p w:rsidR="00DB43F9" w:rsidRDefault="00AE124D" w:rsidP="00DB43F9">
      <w:pPr>
        <w:pStyle w:val="TOC1"/>
        <w:rPr>
          <w:rFonts w:asciiTheme="minorHAnsi" w:eastAsiaTheme="minorEastAsia" w:hAnsiTheme="minorHAnsi" w:cstheme="minorBidi"/>
          <w:noProof/>
          <w:sz w:val="22"/>
          <w:szCs w:val="22"/>
          <w:lang w:val="sq-AL" w:eastAsia="sq-AL"/>
        </w:rPr>
      </w:pPr>
      <w:hyperlink w:anchor="_Toc466445486" w:history="1">
        <w:r w:rsidR="00DB43F9" w:rsidRPr="00DD6C2A">
          <w:rPr>
            <w:rStyle w:val="Hyperlink"/>
            <w:iCs/>
            <w:noProof/>
            <w:lang w:val="sq-AL"/>
          </w:rPr>
          <w:t>5.</w:t>
        </w:r>
        <w:r w:rsidR="00DB43F9">
          <w:rPr>
            <w:rFonts w:asciiTheme="minorHAnsi" w:eastAsiaTheme="minorEastAsia" w:hAnsiTheme="minorHAnsi" w:cstheme="minorBidi"/>
            <w:noProof/>
            <w:sz w:val="22"/>
            <w:szCs w:val="22"/>
            <w:lang w:val="sq-AL" w:eastAsia="sq-AL"/>
          </w:rPr>
          <w:t xml:space="preserve">  </w:t>
        </w:r>
        <w:r w:rsidR="00DB43F9" w:rsidRPr="00DD6C2A">
          <w:rPr>
            <w:rStyle w:val="Hyperlink"/>
            <w:iCs/>
            <w:noProof/>
            <w:lang w:val="sq-AL"/>
          </w:rPr>
          <w:t>REFORMAT NË BUXHETIN 2017</w:t>
        </w:r>
        <w:r w:rsidR="00DB43F9">
          <w:rPr>
            <w:noProof/>
            <w:webHidden/>
          </w:rPr>
          <w:tab/>
        </w:r>
        <w:r w:rsidR="00DB43F9">
          <w:rPr>
            <w:noProof/>
            <w:webHidden/>
          </w:rPr>
          <w:fldChar w:fldCharType="begin"/>
        </w:r>
        <w:r w:rsidR="00DB43F9">
          <w:rPr>
            <w:noProof/>
            <w:webHidden/>
          </w:rPr>
          <w:instrText xml:space="preserve"> PAGEREF _Toc466445486 \h </w:instrText>
        </w:r>
        <w:r w:rsidR="00DB43F9">
          <w:rPr>
            <w:noProof/>
            <w:webHidden/>
          </w:rPr>
        </w:r>
        <w:r w:rsidR="00DB43F9">
          <w:rPr>
            <w:noProof/>
            <w:webHidden/>
          </w:rPr>
          <w:fldChar w:fldCharType="separate"/>
        </w:r>
        <w:r w:rsidR="00DB43F9">
          <w:rPr>
            <w:noProof/>
            <w:webHidden/>
          </w:rPr>
          <w:t>74</w:t>
        </w:r>
        <w:r w:rsidR="00DB43F9">
          <w:rPr>
            <w:noProof/>
            <w:webHidden/>
          </w:rPr>
          <w:fldChar w:fldCharType="end"/>
        </w:r>
      </w:hyperlink>
    </w:p>
    <w:p w:rsidR="00DB43F9" w:rsidRPr="00DB43F9" w:rsidRDefault="00AE124D" w:rsidP="00DB43F9">
      <w:pPr>
        <w:pStyle w:val="TOC1"/>
        <w:rPr>
          <w:rStyle w:val="Hyperlink"/>
          <w:i/>
          <w:iCs/>
          <w:noProof/>
        </w:rPr>
      </w:pPr>
      <w:hyperlink w:anchor="_Toc466445487" w:history="1">
        <w:r w:rsidR="00DB43F9" w:rsidRPr="00DB43F9">
          <w:rPr>
            <w:rStyle w:val="Hyperlink"/>
            <w:i/>
            <w:iCs/>
            <w:noProof/>
            <w:lang w:val="sq-AL"/>
          </w:rPr>
          <w:t>5.1 REFORMA NË SEKTORIN E UJIT</w:t>
        </w:r>
        <w:r w:rsidR="00DB43F9" w:rsidRPr="00DB43F9">
          <w:rPr>
            <w:rStyle w:val="Hyperlink"/>
            <w:i/>
            <w:iCs/>
            <w:noProof/>
            <w:webHidden/>
            <w:lang w:val="sq-AL"/>
          </w:rPr>
          <w:tab/>
        </w:r>
        <w:r w:rsidR="00DB43F9" w:rsidRPr="00DB43F9">
          <w:rPr>
            <w:rStyle w:val="Hyperlink"/>
            <w:i/>
            <w:iCs/>
            <w:noProof/>
            <w:webHidden/>
            <w:lang w:val="sq-AL"/>
          </w:rPr>
          <w:fldChar w:fldCharType="begin"/>
        </w:r>
        <w:r w:rsidR="00DB43F9" w:rsidRPr="00DB43F9">
          <w:rPr>
            <w:rStyle w:val="Hyperlink"/>
            <w:i/>
            <w:iCs/>
            <w:noProof/>
            <w:webHidden/>
            <w:lang w:val="sq-AL"/>
          </w:rPr>
          <w:instrText xml:space="preserve"> PAGEREF _Toc466445487 \h </w:instrText>
        </w:r>
        <w:r w:rsidR="00DB43F9" w:rsidRPr="00DB43F9">
          <w:rPr>
            <w:rStyle w:val="Hyperlink"/>
            <w:i/>
            <w:iCs/>
            <w:noProof/>
            <w:webHidden/>
            <w:lang w:val="sq-AL"/>
          </w:rPr>
        </w:r>
        <w:r w:rsidR="00DB43F9" w:rsidRPr="00DB43F9">
          <w:rPr>
            <w:rStyle w:val="Hyperlink"/>
            <w:i/>
            <w:iCs/>
            <w:noProof/>
            <w:webHidden/>
            <w:lang w:val="sq-AL"/>
          </w:rPr>
          <w:fldChar w:fldCharType="separate"/>
        </w:r>
        <w:r w:rsidR="00DB43F9">
          <w:rPr>
            <w:rStyle w:val="Hyperlink"/>
            <w:i/>
            <w:iCs/>
            <w:noProof/>
            <w:webHidden/>
            <w:lang w:val="sq-AL"/>
          </w:rPr>
          <w:t>74</w:t>
        </w:r>
        <w:r w:rsidR="00DB43F9" w:rsidRPr="00DB43F9">
          <w:rPr>
            <w:rStyle w:val="Hyperlink"/>
            <w:i/>
            <w:iCs/>
            <w:noProof/>
            <w:webHidden/>
            <w:lang w:val="sq-AL"/>
          </w:rPr>
          <w:fldChar w:fldCharType="end"/>
        </w:r>
      </w:hyperlink>
    </w:p>
    <w:p w:rsidR="00DB43F9" w:rsidRPr="00DB43F9" w:rsidRDefault="00AE124D" w:rsidP="00DB43F9">
      <w:pPr>
        <w:pStyle w:val="TOC1"/>
        <w:rPr>
          <w:rStyle w:val="Hyperlink"/>
          <w:i/>
          <w:iCs/>
          <w:noProof/>
        </w:rPr>
      </w:pPr>
      <w:hyperlink w:anchor="_Toc466445488" w:history="1">
        <w:r w:rsidR="00DB43F9" w:rsidRPr="00DB43F9">
          <w:rPr>
            <w:rStyle w:val="Hyperlink"/>
            <w:i/>
            <w:iCs/>
            <w:noProof/>
            <w:lang w:val="sq-AL"/>
          </w:rPr>
          <w:t>5.2 REFORMA NË DREJTËSI</w:t>
        </w:r>
        <w:r w:rsidR="00DB43F9" w:rsidRPr="00DB43F9">
          <w:rPr>
            <w:rStyle w:val="Hyperlink"/>
            <w:i/>
            <w:iCs/>
            <w:noProof/>
            <w:webHidden/>
            <w:lang w:val="sq-AL"/>
          </w:rPr>
          <w:tab/>
        </w:r>
        <w:r w:rsidR="00DB43F9" w:rsidRPr="00DB43F9">
          <w:rPr>
            <w:rStyle w:val="Hyperlink"/>
            <w:i/>
            <w:iCs/>
            <w:noProof/>
            <w:webHidden/>
            <w:lang w:val="sq-AL"/>
          </w:rPr>
          <w:fldChar w:fldCharType="begin"/>
        </w:r>
        <w:r w:rsidR="00DB43F9" w:rsidRPr="00DB43F9">
          <w:rPr>
            <w:rStyle w:val="Hyperlink"/>
            <w:i/>
            <w:iCs/>
            <w:noProof/>
            <w:webHidden/>
            <w:lang w:val="sq-AL"/>
          </w:rPr>
          <w:instrText xml:space="preserve"> PAGEREF _Toc466445488 \h </w:instrText>
        </w:r>
        <w:r w:rsidR="00DB43F9" w:rsidRPr="00DB43F9">
          <w:rPr>
            <w:rStyle w:val="Hyperlink"/>
            <w:i/>
            <w:iCs/>
            <w:noProof/>
            <w:webHidden/>
            <w:lang w:val="sq-AL"/>
          </w:rPr>
        </w:r>
        <w:r w:rsidR="00DB43F9" w:rsidRPr="00DB43F9">
          <w:rPr>
            <w:rStyle w:val="Hyperlink"/>
            <w:i/>
            <w:iCs/>
            <w:noProof/>
            <w:webHidden/>
            <w:lang w:val="sq-AL"/>
          </w:rPr>
          <w:fldChar w:fldCharType="separate"/>
        </w:r>
        <w:r w:rsidR="00DB43F9">
          <w:rPr>
            <w:rStyle w:val="Hyperlink"/>
            <w:i/>
            <w:iCs/>
            <w:noProof/>
            <w:webHidden/>
            <w:lang w:val="sq-AL"/>
          </w:rPr>
          <w:t>78</w:t>
        </w:r>
        <w:r w:rsidR="00DB43F9" w:rsidRPr="00DB43F9">
          <w:rPr>
            <w:rStyle w:val="Hyperlink"/>
            <w:i/>
            <w:iCs/>
            <w:noProof/>
            <w:webHidden/>
            <w:lang w:val="sq-AL"/>
          </w:rPr>
          <w:fldChar w:fldCharType="end"/>
        </w:r>
      </w:hyperlink>
    </w:p>
    <w:p w:rsidR="00DB43F9" w:rsidRPr="00DB43F9" w:rsidRDefault="00AE124D" w:rsidP="00DB43F9">
      <w:pPr>
        <w:pStyle w:val="TOC1"/>
        <w:rPr>
          <w:rStyle w:val="Hyperlink"/>
          <w:i/>
          <w:iCs/>
          <w:noProof/>
        </w:rPr>
      </w:pPr>
      <w:hyperlink w:anchor="_Toc466445489" w:history="1">
        <w:r w:rsidR="00DB43F9" w:rsidRPr="00DB43F9">
          <w:rPr>
            <w:rStyle w:val="Hyperlink"/>
            <w:i/>
            <w:iCs/>
            <w:noProof/>
            <w:lang w:val="sq-AL"/>
          </w:rPr>
          <w:t>5.3 REFORMA NË ADMINISTRATËN PUBLIKE</w:t>
        </w:r>
        <w:r w:rsidR="00DB43F9" w:rsidRPr="00DB43F9">
          <w:rPr>
            <w:rStyle w:val="Hyperlink"/>
            <w:i/>
            <w:iCs/>
            <w:noProof/>
            <w:webHidden/>
            <w:lang w:val="sq-AL"/>
          </w:rPr>
          <w:tab/>
        </w:r>
        <w:r w:rsidR="00DB43F9" w:rsidRPr="00DB43F9">
          <w:rPr>
            <w:rStyle w:val="Hyperlink"/>
            <w:i/>
            <w:iCs/>
            <w:noProof/>
            <w:webHidden/>
            <w:lang w:val="sq-AL"/>
          </w:rPr>
          <w:fldChar w:fldCharType="begin"/>
        </w:r>
        <w:r w:rsidR="00DB43F9" w:rsidRPr="00DB43F9">
          <w:rPr>
            <w:rStyle w:val="Hyperlink"/>
            <w:i/>
            <w:iCs/>
            <w:noProof/>
            <w:webHidden/>
            <w:lang w:val="sq-AL"/>
          </w:rPr>
          <w:instrText xml:space="preserve"> PAGEREF _Toc466445489 \h </w:instrText>
        </w:r>
        <w:r w:rsidR="00DB43F9" w:rsidRPr="00DB43F9">
          <w:rPr>
            <w:rStyle w:val="Hyperlink"/>
            <w:i/>
            <w:iCs/>
            <w:noProof/>
            <w:webHidden/>
            <w:lang w:val="sq-AL"/>
          </w:rPr>
        </w:r>
        <w:r w:rsidR="00DB43F9" w:rsidRPr="00DB43F9">
          <w:rPr>
            <w:rStyle w:val="Hyperlink"/>
            <w:i/>
            <w:iCs/>
            <w:noProof/>
            <w:webHidden/>
            <w:lang w:val="sq-AL"/>
          </w:rPr>
          <w:fldChar w:fldCharType="separate"/>
        </w:r>
        <w:r w:rsidR="00DB43F9">
          <w:rPr>
            <w:rStyle w:val="Hyperlink"/>
            <w:i/>
            <w:iCs/>
            <w:noProof/>
            <w:webHidden/>
            <w:lang w:val="sq-AL"/>
          </w:rPr>
          <w:t>79</w:t>
        </w:r>
        <w:r w:rsidR="00DB43F9" w:rsidRPr="00DB43F9">
          <w:rPr>
            <w:rStyle w:val="Hyperlink"/>
            <w:i/>
            <w:iCs/>
            <w:noProof/>
            <w:webHidden/>
            <w:lang w:val="sq-AL"/>
          </w:rPr>
          <w:fldChar w:fldCharType="end"/>
        </w:r>
      </w:hyperlink>
    </w:p>
    <w:p w:rsidR="00DB43F9" w:rsidRPr="00DB43F9" w:rsidRDefault="00AE124D" w:rsidP="00DB43F9">
      <w:pPr>
        <w:pStyle w:val="TOC1"/>
        <w:rPr>
          <w:rStyle w:val="Hyperlink"/>
          <w:i/>
          <w:iCs/>
          <w:noProof/>
        </w:rPr>
      </w:pPr>
      <w:hyperlink w:anchor="_Toc466445490" w:history="1">
        <w:r w:rsidR="00DB43F9" w:rsidRPr="00DB43F9">
          <w:rPr>
            <w:rStyle w:val="Hyperlink"/>
            <w:i/>
            <w:iCs/>
            <w:noProof/>
            <w:lang w:val="sq-AL"/>
          </w:rPr>
          <w:t>5.4 REFORMA TERRITORIALE ADMINISTRATIVE</w:t>
        </w:r>
        <w:r w:rsidR="00DB43F9" w:rsidRPr="00DB43F9">
          <w:rPr>
            <w:rStyle w:val="Hyperlink"/>
            <w:i/>
            <w:iCs/>
            <w:noProof/>
            <w:webHidden/>
            <w:lang w:val="sq-AL"/>
          </w:rPr>
          <w:tab/>
        </w:r>
        <w:r w:rsidR="00DB43F9" w:rsidRPr="00DB43F9">
          <w:rPr>
            <w:rStyle w:val="Hyperlink"/>
            <w:i/>
            <w:iCs/>
            <w:noProof/>
            <w:webHidden/>
            <w:lang w:val="sq-AL"/>
          </w:rPr>
          <w:fldChar w:fldCharType="begin"/>
        </w:r>
        <w:r w:rsidR="00DB43F9" w:rsidRPr="00DB43F9">
          <w:rPr>
            <w:rStyle w:val="Hyperlink"/>
            <w:i/>
            <w:iCs/>
            <w:noProof/>
            <w:webHidden/>
            <w:lang w:val="sq-AL"/>
          </w:rPr>
          <w:instrText xml:space="preserve"> PAGEREF _Toc466445490 \h </w:instrText>
        </w:r>
        <w:r w:rsidR="00DB43F9" w:rsidRPr="00DB43F9">
          <w:rPr>
            <w:rStyle w:val="Hyperlink"/>
            <w:i/>
            <w:iCs/>
            <w:noProof/>
            <w:webHidden/>
            <w:lang w:val="sq-AL"/>
          </w:rPr>
        </w:r>
        <w:r w:rsidR="00DB43F9" w:rsidRPr="00DB43F9">
          <w:rPr>
            <w:rStyle w:val="Hyperlink"/>
            <w:i/>
            <w:iCs/>
            <w:noProof/>
            <w:webHidden/>
            <w:lang w:val="sq-AL"/>
          </w:rPr>
          <w:fldChar w:fldCharType="separate"/>
        </w:r>
        <w:r w:rsidR="00DB43F9">
          <w:rPr>
            <w:rStyle w:val="Hyperlink"/>
            <w:i/>
            <w:iCs/>
            <w:noProof/>
            <w:webHidden/>
            <w:lang w:val="sq-AL"/>
          </w:rPr>
          <w:t>80</w:t>
        </w:r>
        <w:r w:rsidR="00DB43F9" w:rsidRPr="00DB43F9">
          <w:rPr>
            <w:rStyle w:val="Hyperlink"/>
            <w:i/>
            <w:iCs/>
            <w:noProof/>
            <w:webHidden/>
            <w:lang w:val="sq-AL"/>
          </w:rPr>
          <w:fldChar w:fldCharType="end"/>
        </w:r>
      </w:hyperlink>
    </w:p>
    <w:p w:rsidR="00DB43F9" w:rsidRDefault="00AE124D" w:rsidP="00DB43F9">
      <w:pPr>
        <w:pStyle w:val="TOC1"/>
        <w:rPr>
          <w:rFonts w:asciiTheme="minorHAnsi" w:eastAsiaTheme="minorEastAsia" w:hAnsiTheme="minorHAnsi" w:cstheme="minorBidi"/>
          <w:noProof/>
          <w:sz w:val="22"/>
          <w:szCs w:val="22"/>
          <w:lang w:val="sq-AL" w:eastAsia="sq-AL"/>
        </w:rPr>
      </w:pPr>
      <w:hyperlink w:anchor="_Toc466445491" w:history="1">
        <w:r w:rsidR="00DB43F9" w:rsidRPr="00DD6C2A">
          <w:rPr>
            <w:rStyle w:val="Hyperlink"/>
            <w:iCs/>
            <w:noProof/>
            <w:lang w:val="sq-AL"/>
          </w:rPr>
          <w:t>6.</w:t>
        </w:r>
        <w:r w:rsidR="00DB43F9">
          <w:rPr>
            <w:rFonts w:asciiTheme="minorHAnsi" w:eastAsiaTheme="minorEastAsia" w:hAnsiTheme="minorHAnsi" w:cstheme="minorBidi"/>
            <w:noProof/>
            <w:sz w:val="22"/>
            <w:szCs w:val="22"/>
            <w:lang w:val="sq-AL" w:eastAsia="sq-AL"/>
          </w:rPr>
          <w:tab/>
        </w:r>
        <w:r w:rsidR="00DB43F9" w:rsidRPr="00DD6C2A">
          <w:rPr>
            <w:rStyle w:val="Hyperlink"/>
            <w:iCs/>
            <w:noProof/>
            <w:lang w:val="sq-AL"/>
          </w:rPr>
          <w:t>POLITIKAT E TAKSAVE PËR VITIN 2017</w:t>
        </w:r>
        <w:r w:rsidR="00DB43F9">
          <w:rPr>
            <w:noProof/>
            <w:webHidden/>
          </w:rPr>
          <w:tab/>
        </w:r>
        <w:r w:rsidR="00DB43F9">
          <w:rPr>
            <w:noProof/>
            <w:webHidden/>
          </w:rPr>
          <w:fldChar w:fldCharType="begin"/>
        </w:r>
        <w:r w:rsidR="00DB43F9">
          <w:rPr>
            <w:noProof/>
            <w:webHidden/>
          </w:rPr>
          <w:instrText xml:space="preserve"> PAGEREF _Toc466445491 \h </w:instrText>
        </w:r>
        <w:r w:rsidR="00DB43F9">
          <w:rPr>
            <w:noProof/>
            <w:webHidden/>
          </w:rPr>
        </w:r>
        <w:r w:rsidR="00DB43F9">
          <w:rPr>
            <w:noProof/>
            <w:webHidden/>
          </w:rPr>
          <w:fldChar w:fldCharType="separate"/>
        </w:r>
        <w:r w:rsidR="00DB43F9">
          <w:rPr>
            <w:noProof/>
            <w:webHidden/>
          </w:rPr>
          <w:t>82</w:t>
        </w:r>
        <w:r w:rsidR="00DB43F9">
          <w:rPr>
            <w:noProof/>
            <w:webHidden/>
          </w:rPr>
          <w:fldChar w:fldCharType="end"/>
        </w:r>
      </w:hyperlink>
    </w:p>
    <w:p w:rsidR="00DB43F9" w:rsidRPr="00DB43F9" w:rsidRDefault="00AE124D" w:rsidP="00DB43F9">
      <w:pPr>
        <w:pStyle w:val="TOC1"/>
        <w:rPr>
          <w:rFonts w:asciiTheme="minorHAnsi" w:eastAsiaTheme="minorEastAsia" w:hAnsiTheme="minorHAnsi" w:cstheme="minorBidi"/>
          <w:i/>
          <w:noProof/>
          <w:sz w:val="22"/>
          <w:szCs w:val="22"/>
          <w:lang w:val="sq-AL" w:eastAsia="sq-AL"/>
        </w:rPr>
      </w:pPr>
      <w:hyperlink w:anchor="_Toc466445492" w:history="1">
        <w:r w:rsidR="00DB43F9" w:rsidRPr="00DB43F9">
          <w:rPr>
            <w:rStyle w:val="Hyperlink"/>
            <w:i/>
            <w:noProof/>
            <w:lang w:val="sq-AL"/>
          </w:rPr>
          <w:t>6.1</w:t>
        </w:r>
        <w:r w:rsidR="00DB43F9" w:rsidRPr="00DB43F9">
          <w:rPr>
            <w:rFonts w:asciiTheme="minorHAnsi" w:eastAsiaTheme="minorEastAsia" w:hAnsiTheme="minorHAnsi" w:cstheme="minorBidi"/>
            <w:i/>
            <w:noProof/>
            <w:sz w:val="22"/>
            <w:szCs w:val="22"/>
            <w:lang w:val="sq-AL" w:eastAsia="sq-AL"/>
          </w:rPr>
          <w:tab/>
        </w:r>
        <w:r w:rsidR="00DB43F9" w:rsidRPr="00DB43F9">
          <w:rPr>
            <w:rStyle w:val="Hyperlink"/>
            <w:i/>
            <w:noProof/>
            <w:lang w:val="sq-AL"/>
          </w:rPr>
          <w:t>PAKETA E RE FISKALE</w:t>
        </w:r>
        <w:r w:rsidR="00DB43F9" w:rsidRPr="00DB43F9">
          <w:rPr>
            <w:i/>
            <w:noProof/>
            <w:webHidden/>
          </w:rPr>
          <w:tab/>
        </w:r>
        <w:r w:rsidR="00DB43F9" w:rsidRPr="00DB43F9">
          <w:rPr>
            <w:i/>
            <w:noProof/>
            <w:webHidden/>
          </w:rPr>
          <w:fldChar w:fldCharType="begin"/>
        </w:r>
        <w:r w:rsidR="00DB43F9" w:rsidRPr="00DB43F9">
          <w:rPr>
            <w:i/>
            <w:noProof/>
            <w:webHidden/>
          </w:rPr>
          <w:instrText xml:space="preserve"> PAGEREF _Toc466445492 \h </w:instrText>
        </w:r>
        <w:r w:rsidR="00DB43F9" w:rsidRPr="00DB43F9">
          <w:rPr>
            <w:i/>
            <w:noProof/>
            <w:webHidden/>
          </w:rPr>
        </w:r>
        <w:r w:rsidR="00DB43F9" w:rsidRPr="00DB43F9">
          <w:rPr>
            <w:i/>
            <w:noProof/>
            <w:webHidden/>
          </w:rPr>
          <w:fldChar w:fldCharType="separate"/>
        </w:r>
        <w:r w:rsidR="00DB43F9" w:rsidRPr="00DB43F9">
          <w:rPr>
            <w:i/>
            <w:noProof/>
            <w:webHidden/>
          </w:rPr>
          <w:t>82</w:t>
        </w:r>
        <w:r w:rsidR="00DB43F9" w:rsidRPr="00DB43F9">
          <w:rPr>
            <w:i/>
            <w:noProof/>
            <w:webHidden/>
          </w:rPr>
          <w:fldChar w:fldCharType="end"/>
        </w:r>
      </w:hyperlink>
    </w:p>
    <w:p w:rsidR="00DB43F9" w:rsidRPr="00DB43F9" w:rsidRDefault="00AE124D" w:rsidP="00DB43F9">
      <w:pPr>
        <w:pStyle w:val="TOC1"/>
        <w:ind w:left="0" w:firstLine="0"/>
        <w:jc w:val="left"/>
        <w:rPr>
          <w:rStyle w:val="Hyperlink"/>
          <w:i/>
          <w:noProof/>
        </w:rPr>
      </w:pPr>
      <w:hyperlink w:anchor="_Toc466445493" w:history="1">
        <w:r w:rsidR="00DB43F9" w:rsidRPr="00DB43F9">
          <w:rPr>
            <w:rStyle w:val="Hyperlink"/>
            <w:i/>
            <w:noProof/>
            <w:lang w:val="sq-AL"/>
          </w:rPr>
          <w:t>6.2  Masa administrative që lidhen me uljen “tax gap” dhe rritjen e efikasitetit fiskal</w:t>
        </w:r>
        <w:r w:rsidR="00DB43F9" w:rsidRPr="00DB43F9">
          <w:rPr>
            <w:rStyle w:val="Hyperlink"/>
            <w:i/>
            <w:noProof/>
            <w:webHidden/>
            <w:lang w:val="sq-AL"/>
          </w:rPr>
          <w:tab/>
        </w:r>
        <w:r w:rsidR="00DB43F9" w:rsidRPr="00DB43F9">
          <w:rPr>
            <w:rStyle w:val="Hyperlink"/>
            <w:i/>
            <w:noProof/>
            <w:webHidden/>
            <w:lang w:val="sq-AL"/>
          </w:rPr>
          <w:fldChar w:fldCharType="begin"/>
        </w:r>
        <w:r w:rsidR="00DB43F9" w:rsidRPr="00DB43F9">
          <w:rPr>
            <w:rStyle w:val="Hyperlink"/>
            <w:i/>
            <w:noProof/>
            <w:webHidden/>
            <w:lang w:val="sq-AL"/>
          </w:rPr>
          <w:instrText xml:space="preserve"> PAGEREF _Toc466445493 \h </w:instrText>
        </w:r>
        <w:r w:rsidR="00DB43F9" w:rsidRPr="00DB43F9">
          <w:rPr>
            <w:rStyle w:val="Hyperlink"/>
            <w:i/>
            <w:noProof/>
            <w:webHidden/>
            <w:lang w:val="sq-AL"/>
          </w:rPr>
        </w:r>
        <w:r w:rsidR="00DB43F9" w:rsidRPr="00DB43F9">
          <w:rPr>
            <w:rStyle w:val="Hyperlink"/>
            <w:i/>
            <w:noProof/>
            <w:webHidden/>
            <w:lang w:val="sq-AL"/>
          </w:rPr>
          <w:fldChar w:fldCharType="separate"/>
        </w:r>
        <w:r w:rsidR="00DB43F9" w:rsidRPr="00DB43F9">
          <w:rPr>
            <w:rStyle w:val="Hyperlink"/>
            <w:i/>
            <w:noProof/>
            <w:webHidden/>
            <w:lang w:val="sq-AL"/>
          </w:rPr>
          <w:t>83</w:t>
        </w:r>
        <w:r w:rsidR="00DB43F9" w:rsidRPr="00DB43F9">
          <w:rPr>
            <w:rStyle w:val="Hyperlink"/>
            <w:i/>
            <w:noProof/>
            <w:webHidden/>
            <w:lang w:val="sq-AL"/>
          </w:rPr>
          <w:fldChar w:fldCharType="end"/>
        </w:r>
      </w:hyperlink>
    </w:p>
    <w:p w:rsidR="00DB43F9" w:rsidRPr="00DB43F9" w:rsidRDefault="00AE124D" w:rsidP="00DB43F9">
      <w:pPr>
        <w:pStyle w:val="TOC1"/>
        <w:rPr>
          <w:rFonts w:asciiTheme="minorHAnsi" w:eastAsiaTheme="minorEastAsia" w:hAnsiTheme="minorHAnsi" w:cstheme="minorBidi"/>
          <w:i/>
          <w:noProof/>
          <w:sz w:val="22"/>
          <w:szCs w:val="22"/>
          <w:lang w:val="sq-AL" w:eastAsia="sq-AL"/>
        </w:rPr>
      </w:pPr>
      <w:hyperlink w:anchor="_Toc466445494" w:history="1">
        <w:r w:rsidR="00DB43F9" w:rsidRPr="00DB43F9">
          <w:rPr>
            <w:rStyle w:val="Hyperlink"/>
            <w:i/>
            <w:noProof/>
            <w:lang w:val="sq-AL"/>
          </w:rPr>
          <w:t>6.3</w:t>
        </w:r>
        <w:r w:rsidR="00DB43F9" w:rsidRPr="00DB43F9">
          <w:rPr>
            <w:rFonts w:asciiTheme="minorHAnsi" w:eastAsiaTheme="minorEastAsia" w:hAnsiTheme="minorHAnsi" w:cstheme="minorBidi"/>
            <w:i/>
            <w:noProof/>
            <w:sz w:val="22"/>
            <w:szCs w:val="22"/>
            <w:lang w:val="sq-AL" w:eastAsia="sq-AL"/>
          </w:rPr>
          <w:tab/>
        </w:r>
        <w:r w:rsidR="00DB43F9" w:rsidRPr="00DB43F9">
          <w:rPr>
            <w:rStyle w:val="Hyperlink"/>
            <w:i/>
            <w:noProof/>
            <w:lang w:val="sq-AL"/>
          </w:rPr>
          <w:t>Përjashtimet nga Taksat (“Tax Expenditures”)</w:t>
        </w:r>
        <w:r w:rsidR="00DB43F9" w:rsidRPr="00DB43F9">
          <w:rPr>
            <w:i/>
            <w:noProof/>
            <w:webHidden/>
          </w:rPr>
          <w:tab/>
        </w:r>
        <w:r w:rsidR="00DB43F9" w:rsidRPr="00DB43F9">
          <w:rPr>
            <w:i/>
            <w:noProof/>
            <w:webHidden/>
          </w:rPr>
          <w:fldChar w:fldCharType="begin"/>
        </w:r>
        <w:r w:rsidR="00DB43F9" w:rsidRPr="00DB43F9">
          <w:rPr>
            <w:i/>
            <w:noProof/>
            <w:webHidden/>
          </w:rPr>
          <w:instrText xml:space="preserve"> PAGEREF _Toc466445494 \h </w:instrText>
        </w:r>
        <w:r w:rsidR="00DB43F9" w:rsidRPr="00DB43F9">
          <w:rPr>
            <w:i/>
            <w:noProof/>
            <w:webHidden/>
          </w:rPr>
        </w:r>
        <w:r w:rsidR="00DB43F9" w:rsidRPr="00DB43F9">
          <w:rPr>
            <w:i/>
            <w:noProof/>
            <w:webHidden/>
          </w:rPr>
          <w:fldChar w:fldCharType="separate"/>
        </w:r>
        <w:r w:rsidR="00DB43F9" w:rsidRPr="00DB43F9">
          <w:rPr>
            <w:i/>
            <w:noProof/>
            <w:webHidden/>
          </w:rPr>
          <w:t>84</w:t>
        </w:r>
        <w:r w:rsidR="00DB43F9" w:rsidRPr="00DB43F9">
          <w:rPr>
            <w:i/>
            <w:noProof/>
            <w:webHidden/>
          </w:rPr>
          <w:fldChar w:fldCharType="end"/>
        </w:r>
      </w:hyperlink>
    </w:p>
    <w:p w:rsidR="00DB43F9" w:rsidRDefault="00AE124D" w:rsidP="00DB43F9">
      <w:pPr>
        <w:pStyle w:val="TOC1"/>
        <w:rPr>
          <w:rFonts w:asciiTheme="minorHAnsi" w:eastAsiaTheme="minorEastAsia" w:hAnsiTheme="minorHAnsi" w:cstheme="minorBidi"/>
          <w:noProof/>
          <w:sz w:val="22"/>
          <w:szCs w:val="22"/>
          <w:lang w:val="sq-AL" w:eastAsia="sq-AL"/>
        </w:rPr>
      </w:pPr>
      <w:hyperlink w:anchor="_Toc466445495" w:history="1">
        <w:r w:rsidR="00DB43F9" w:rsidRPr="00DD6C2A">
          <w:rPr>
            <w:rStyle w:val="Hyperlink"/>
            <w:iCs/>
            <w:noProof/>
            <w:lang w:val="sq-AL"/>
          </w:rPr>
          <w:t>7.</w:t>
        </w:r>
        <w:r w:rsidR="00DB43F9">
          <w:rPr>
            <w:rFonts w:asciiTheme="minorHAnsi" w:eastAsiaTheme="minorEastAsia" w:hAnsiTheme="minorHAnsi" w:cstheme="minorBidi"/>
            <w:noProof/>
            <w:sz w:val="22"/>
            <w:szCs w:val="22"/>
            <w:lang w:val="sq-AL" w:eastAsia="sq-AL"/>
          </w:rPr>
          <w:tab/>
        </w:r>
        <w:r w:rsidR="00DB43F9" w:rsidRPr="00DD6C2A">
          <w:rPr>
            <w:rStyle w:val="Hyperlink"/>
            <w:iCs/>
            <w:noProof/>
            <w:lang w:val="sq-AL"/>
          </w:rPr>
          <w:t>RREZIQET DHE MASAT PËR ZBATIMIN E BUXHETIT 2017</w:t>
        </w:r>
        <w:r w:rsidR="00DB43F9">
          <w:rPr>
            <w:noProof/>
            <w:webHidden/>
          </w:rPr>
          <w:tab/>
        </w:r>
        <w:r w:rsidR="00DB43F9">
          <w:rPr>
            <w:noProof/>
            <w:webHidden/>
          </w:rPr>
          <w:fldChar w:fldCharType="begin"/>
        </w:r>
        <w:r w:rsidR="00DB43F9">
          <w:rPr>
            <w:noProof/>
            <w:webHidden/>
          </w:rPr>
          <w:instrText xml:space="preserve"> PAGEREF _Toc466445495 \h </w:instrText>
        </w:r>
        <w:r w:rsidR="00DB43F9">
          <w:rPr>
            <w:noProof/>
            <w:webHidden/>
          </w:rPr>
        </w:r>
        <w:r w:rsidR="00DB43F9">
          <w:rPr>
            <w:noProof/>
            <w:webHidden/>
          </w:rPr>
          <w:fldChar w:fldCharType="separate"/>
        </w:r>
        <w:r w:rsidR="00DB43F9">
          <w:rPr>
            <w:noProof/>
            <w:webHidden/>
          </w:rPr>
          <w:t>85</w:t>
        </w:r>
        <w:r w:rsidR="00DB43F9">
          <w:rPr>
            <w:noProof/>
            <w:webHidden/>
          </w:rPr>
          <w:fldChar w:fldCharType="end"/>
        </w:r>
      </w:hyperlink>
    </w:p>
    <w:p w:rsidR="00DB43F9" w:rsidRPr="00DB43F9" w:rsidRDefault="00AE124D" w:rsidP="00DB43F9">
      <w:pPr>
        <w:pStyle w:val="TOC1"/>
        <w:rPr>
          <w:rFonts w:asciiTheme="minorHAnsi" w:eastAsiaTheme="minorEastAsia" w:hAnsiTheme="minorHAnsi" w:cstheme="minorBidi"/>
          <w:i/>
          <w:noProof/>
          <w:sz w:val="22"/>
          <w:szCs w:val="22"/>
          <w:lang w:val="sq-AL" w:eastAsia="sq-AL"/>
        </w:rPr>
      </w:pPr>
      <w:hyperlink w:anchor="_Toc466445496" w:history="1">
        <w:r w:rsidR="00DB43F9" w:rsidRPr="00DB43F9">
          <w:rPr>
            <w:rStyle w:val="Hyperlink"/>
            <w:i/>
            <w:noProof/>
            <w:lang w:val="sq-AL"/>
          </w:rPr>
          <w:t>7.1.</w:t>
        </w:r>
        <w:r w:rsidR="00DB43F9" w:rsidRPr="00DB43F9">
          <w:rPr>
            <w:rFonts w:asciiTheme="minorHAnsi" w:eastAsiaTheme="minorEastAsia" w:hAnsiTheme="minorHAnsi" w:cstheme="minorBidi"/>
            <w:i/>
            <w:noProof/>
            <w:sz w:val="22"/>
            <w:szCs w:val="22"/>
            <w:lang w:val="sq-AL" w:eastAsia="sq-AL"/>
          </w:rPr>
          <w:tab/>
        </w:r>
        <w:r w:rsidR="00DB43F9" w:rsidRPr="00DB43F9">
          <w:rPr>
            <w:rStyle w:val="Hyperlink"/>
            <w:i/>
            <w:noProof/>
            <w:lang w:val="sq-AL"/>
          </w:rPr>
          <w:t>RISQET FISKALE DHE MASAT MBROJTËSE.</w:t>
        </w:r>
        <w:r w:rsidR="00DB43F9" w:rsidRPr="00DB43F9">
          <w:rPr>
            <w:i/>
            <w:noProof/>
            <w:webHidden/>
          </w:rPr>
          <w:tab/>
        </w:r>
        <w:r w:rsidR="00DB43F9" w:rsidRPr="00DB43F9">
          <w:rPr>
            <w:i/>
            <w:noProof/>
            <w:webHidden/>
          </w:rPr>
          <w:fldChar w:fldCharType="begin"/>
        </w:r>
        <w:r w:rsidR="00DB43F9" w:rsidRPr="00DB43F9">
          <w:rPr>
            <w:i/>
            <w:noProof/>
            <w:webHidden/>
          </w:rPr>
          <w:instrText xml:space="preserve"> PAGEREF _Toc466445496 \h </w:instrText>
        </w:r>
        <w:r w:rsidR="00DB43F9" w:rsidRPr="00DB43F9">
          <w:rPr>
            <w:i/>
            <w:noProof/>
            <w:webHidden/>
          </w:rPr>
        </w:r>
        <w:r w:rsidR="00DB43F9" w:rsidRPr="00DB43F9">
          <w:rPr>
            <w:i/>
            <w:noProof/>
            <w:webHidden/>
          </w:rPr>
          <w:fldChar w:fldCharType="separate"/>
        </w:r>
        <w:r w:rsidR="00DB43F9" w:rsidRPr="00DB43F9">
          <w:rPr>
            <w:i/>
            <w:noProof/>
            <w:webHidden/>
          </w:rPr>
          <w:t>85</w:t>
        </w:r>
        <w:r w:rsidR="00DB43F9" w:rsidRPr="00DB43F9">
          <w:rPr>
            <w:i/>
            <w:noProof/>
            <w:webHidden/>
          </w:rPr>
          <w:fldChar w:fldCharType="end"/>
        </w:r>
      </w:hyperlink>
    </w:p>
    <w:p w:rsidR="00DB43F9" w:rsidRPr="00DB43F9" w:rsidRDefault="00AE124D" w:rsidP="00DB43F9">
      <w:pPr>
        <w:pStyle w:val="TOC1"/>
        <w:rPr>
          <w:rFonts w:asciiTheme="minorHAnsi" w:eastAsiaTheme="minorEastAsia" w:hAnsiTheme="minorHAnsi" w:cstheme="minorBidi"/>
          <w:i/>
          <w:noProof/>
          <w:sz w:val="22"/>
          <w:szCs w:val="22"/>
          <w:lang w:val="sq-AL" w:eastAsia="sq-AL"/>
        </w:rPr>
      </w:pPr>
      <w:hyperlink w:anchor="_Toc466445497" w:history="1">
        <w:r w:rsidR="00DB43F9" w:rsidRPr="00DB43F9">
          <w:rPr>
            <w:rStyle w:val="Hyperlink"/>
            <w:i/>
            <w:noProof/>
            <w:lang w:val="sq-AL"/>
          </w:rPr>
          <w:t>7.2.</w:t>
        </w:r>
        <w:r w:rsidR="00DB43F9" w:rsidRPr="00DB43F9">
          <w:rPr>
            <w:rFonts w:asciiTheme="minorHAnsi" w:eastAsiaTheme="minorEastAsia" w:hAnsiTheme="minorHAnsi" w:cstheme="minorBidi"/>
            <w:i/>
            <w:noProof/>
            <w:sz w:val="22"/>
            <w:szCs w:val="22"/>
            <w:lang w:val="sq-AL" w:eastAsia="sq-AL"/>
          </w:rPr>
          <w:tab/>
        </w:r>
        <w:r w:rsidR="00DB43F9" w:rsidRPr="00DB43F9">
          <w:rPr>
            <w:rStyle w:val="Hyperlink"/>
            <w:i/>
            <w:noProof/>
            <w:lang w:val="sq-AL"/>
          </w:rPr>
          <w:t>AKUMULIMI I DETYRIMEVE TE REJA</w:t>
        </w:r>
        <w:r w:rsidR="00DB43F9" w:rsidRPr="00DB43F9">
          <w:rPr>
            <w:i/>
            <w:noProof/>
            <w:webHidden/>
          </w:rPr>
          <w:tab/>
        </w:r>
        <w:r w:rsidR="00DB43F9" w:rsidRPr="00DB43F9">
          <w:rPr>
            <w:i/>
            <w:noProof/>
            <w:webHidden/>
          </w:rPr>
          <w:fldChar w:fldCharType="begin"/>
        </w:r>
        <w:r w:rsidR="00DB43F9" w:rsidRPr="00DB43F9">
          <w:rPr>
            <w:i/>
            <w:noProof/>
            <w:webHidden/>
          </w:rPr>
          <w:instrText xml:space="preserve"> PAGEREF _Toc466445497 \h </w:instrText>
        </w:r>
        <w:r w:rsidR="00DB43F9" w:rsidRPr="00DB43F9">
          <w:rPr>
            <w:i/>
            <w:noProof/>
            <w:webHidden/>
          </w:rPr>
        </w:r>
        <w:r w:rsidR="00DB43F9" w:rsidRPr="00DB43F9">
          <w:rPr>
            <w:i/>
            <w:noProof/>
            <w:webHidden/>
          </w:rPr>
          <w:fldChar w:fldCharType="separate"/>
        </w:r>
        <w:r w:rsidR="00DB43F9" w:rsidRPr="00DB43F9">
          <w:rPr>
            <w:i/>
            <w:noProof/>
            <w:webHidden/>
          </w:rPr>
          <w:t>86</w:t>
        </w:r>
        <w:r w:rsidR="00DB43F9" w:rsidRPr="00DB43F9">
          <w:rPr>
            <w:i/>
            <w:noProof/>
            <w:webHidden/>
          </w:rPr>
          <w:fldChar w:fldCharType="end"/>
        </w:r>
      </w:hyperlink>
    </w:p>
    <w:p w:rsidR="00DB43F9" w:rsidRPr="00DB43F9" w:rsidRDefault="00AE124D" w:rsidP="00DB43F9">
      <w:pPr>
        <w:pStyle w:val="TOC1"/>
        <w:rPr>
          <w:rFonts w:asciiTheme="minorHAnsi" w:eastAsiaTheme="minorEastAsia" w:hAnsiTheme="minorHAnsi" w:cstheme="minorBidi"/>
          <w:i/>
          <w:noProof/>
          <w:sz w:val="22"/>
          <w:szCs w:val="22"/>
          <w:lang w:val="sq-AL" w:eastAsia="sq-AL"/>
        </w:rPr>
      </w:pPr>
      <w:hyperlink w:anchor="_Toc466445498" w:history="1">
        <w:r w:rsidR="00DB43F9" w:rsidRPr="00DB43F9">
          <w:rPr>
            <w:rStyle w:val="Hyperlink"/>
            <w:i/>
            <w:noProof/>
            <w:lang w:val="sq-AL"/>
          </w:rPr>
          <w:t>7.3.</w:t>
        </w:r>
        <w:r w:rsidR="00DB43F9" w:rsidRPr="00DB43F9">
          <w:rPr>
            <w:rFonts w:asciiTheme="minorHAnsi" w:eastAsiaTheme="minorEastAsia" w:hAnsiTheme="minorHAnsi" w:cstheme="minorBidi"/>
            <w:i/>
            <w:noProof/>
            <w:sz w:val="22"/>
            <w:szCs w:val="22"/>
            <w:lang w:val="sq-AL" w:eastAsia="sq-AL"/>
          </w:rPr>
          <w:tab/>
        </w:r>
        <w:r w:rsidR="00DB43F9" w:rsidRPr="00DB43F9">
          <w:rPr>
            <w:rStyle w:val="Hyperlink"/>
            <w:i/>
            <w:noProof/>
            <w:lang w:val="sq-AL"/>
          </w:rPr>
          <w:t>MOSREALIZIMI NË KOHË I INVESTIMEVE PUBLIKE</w:t>
        </w:r>
        <w:r w:rsidR="00DB43F9" w:rsidRPr="00DB43F9">
          <w:rPr>
            <w:i/>
            <w:noProof/>
            <w:webHidden/>
          </w:rPr>
          <w:tab/>
        </w:r>
        <w:r w:rsidR="00DB43F9" w:rsidRPr="00DB43F9">
          <w:rPr>
            <w:i/>
            <w:noProof/>
            <w:webHidden/>
          </w:rPr>
          <w:fldChar w:fldCharType="begin"/>
        </w:r>
        <w:r w:rsidR="00DB43F9" w:rsidRPr="00DB43F9">
          <w:rPr>
            <w:i/>
            <w:noProof/>
            <w:webHidden/>
          </w:rPr>
          <w:instrText xml:space="preserve"> PAGEREF _Toc466445498 \h </w:instrText>
        </w:r>
        <w:r w:rsidR="00DB43F9" w:rsidRPr="00DB43F9">
          <w:rPr>
            <w:i/>
            <w:noProof/>
            <w:webHidden/>
          </w:rPr>
        </w:r>
        <w:r w:rsidR="00DB43F9" w:rsidRPr="00DB43F9">
          <w:rPr>
            <w:i/>
            <w:noProof/>
            <w:webHidden/>
          </w:rPr>
          <w:fldChar w:fldCharType="separate"/>
        </w:r>
        <w:r w:rsidR="00DB43F9" w:rsidRPr="00DB43F9">
          <w:rPr>
            <w:i/>
            <w:noProof/>
            <w:webHidden/>
          </w:rPr>
          <w:t>86</w:t>
        </w:r>
        <w:r w:rsidR="00DB43F9" w:rsidRPr="00DB43F9">
          <w:rPr>
            <w:i/>
            <w:noProof/>
            <w:webHidden/>
          </w:rPr>
          <w:fldChar w:fldCharType="end"/>
        </w:r>
      </w:hyperlink>
    </w:p>
    <w:p w:rsidR="00DB43F9" w:rsidRPr="00DB43F9" w:rsidRDefault="00AE124D" w:rsidP="00DB43F9">
      <w:pPr>
        <w:pStyle w:val="TOC1"/>
        <w:rPr>
          <w:rFonts w:asciiTheme="minorHAnsi" w:eastAsiaTheme="minorEastAsia" w:hAnsiTheme="minorHAnsi" w:cstheme="minorBidi"/>
          <w:i/>
          <w:noProof/>
          <w:sz w:val="22"/>
          <w:szCs w:val="22"/>
          <w:lang w:val="sq-AL" w:eastAsia="sq-AL"/>
        </w:rPr>
      </w:pPr>
      <w:hyperlink w:anchor="_Toc466445499" w:history="1">
        <w:r w:rsidR="00DB43F9" w:rsidRPr="00DB43F9">
          <w:rPr>
            <w:rStyle w:val="Hyperlink"/>
            <w:i/>
            <w:noProof/>
            <w:lang w:val="sq-AL"/>
          </w:rPr>
          <w:t>7.4.</w:t>
        </w:r>
        <w:r w:rsidR="00DB43F9" w:rsidRPr="00DB43F9">
          <w:rPr>
            <w:rFonts w:asciiTheme="minorHAnsi" w:eastAsiaTheme="minorEastAsia" w:hAnsiTheme="minorHAnsi" w:cstheme="minorBidi"/>
            <w:i/>
            <w:noProof/>
            <w:sz w:val="22"/>
            <w:szCs w:val="22"/>
            <w:lang w:val="sq-AL" w:eastAsia="sq-AL"/>
          </w:rPr>
          <w:tab/>
        </w:r>
        <w:r w:rsidR="00DB43F9" w:rsidRPr="00DB43F9">
          <w:rPr>
            <w:rStyle w:val="Hyperlink"/>
            <w:i/>
            <w:noProof/>
            <w:lang w:val="sq-AL"/>
          </w:rPr>
          <w:t>MENAXHIMI I BORXHIT PUBLIK</w:t>
        </w:r>
        <w:r w:rsidR="00DB43F9" w:rsidRPr="00DB43F9">
          <w:rPr>
            <w:i/>
            <w:noProof/>
            <w:webHidden/>
          </w:rPr>
          <w:tab/>
        </w:r>
        <w:r w:rsidR="00DB43F9" w:rsidRPr="00DB43F9">
          <w:rPr>
            <w:i/>
            <w:noProof/>
            <w:webHidden/>
          </w:rPr>
          <w:fldChar w:fldCharType="begin"/>
        </w:r>
        <w:r w:rsidR="00DB43F9" w:rsidRPr="00DB43F9">
          <w:rPr>
            <w:i/>
            <w:noProof/>
            <w:webHidden/>
          </w:rPr>
          <w:instrText xml:space="preserve"> PAGEREF _Toc466445499 \h </w:instrText>
        </w:r>
        <w:r w:rsidR="00DB43F9" w:rsidRPr="00DB43F9">
          <w:rPr>
            <w:i/>
            <w:noProof/>
            <w:webHidden/>
          </w:rPr>
        </w:r>
        <w:r w:rsidR="00DB43F9" w:rsidRPr="00DB43F9">
          <w:rPr>
            <w:i/>
            <w:noProof/>
            <w:webHidden/>
          </w:rPr>
          <w:fldChar w:fldCharType="separate"/>
        </w:r>
        <w:r w:rsidR="00DB43F9" w:rsidRPr="00DB43F9">
          <w:rPr>
            <w:i/>
            <w:noProof/>
            <w:webHidden/>
          </w:rPr>
          <w:t>87</w:t>
        </w:r>
        <w:r w:rsidR="00DB43F9" w:rsidRPr="00DB43F9">
          <w:rPr>
            <w:i/>
            <w:noProof/>
            <w:webHidden/>
          </w:rPr>
          <w:fldChar w:fldCharType="end"/>
        </w:r>
      </w:hyperlink>
    </w:p>
    <w:p w:rsidR="00DB43F9" w:rsidRDefault="00AE124D" w:rsidP="00DB43F9">
      <w:pPr>
        <w:pStyle w:val="TOC1"/>
        <w:rPr>
          <w:rFonts w:asciiTheme="minorHAnsi" w:eastAsiaTheme="minorEastAsia" w:hAnsiTheme="minorHAnsi" w:cstheme="minorBidi"/>
          <w:noProof/>
          <w:sz w:val="22"/>
          <w:szCs w:val="22"/>
          <w:lang w:val="sq-AL" w:eastAsia="sq-AL"/>
        </w:rPr>
      </w:pPr>
      <w:hyperlink w:anchor="_Toc466445500" w:history="1">
        <w:r w:rsidR="00DB43F9" w:rsidRPr="00DD6C2A">
          <w:rPr>
            <w:rStyle w:val="Hyperlink"/>
            <w:iCs/>
            <w:noProof/>
            <w:lang w:val="sq-AL"/>
          </w:rPr>
          <w:t>8.</w:t>
        </w:r>
        <w:r w:rsidR="00DB43F9">
          <w:rPr>
            <w:rFonts w:asciiTheme="minorHAnsi" w:eastAsiaTheme="minorEastAsia" w:hAnsiTheme="minorHAnsi" w:cstheme="minorBidi"/>
            <w:noProof/>
            <w:sz w:val="22"/>
            <w:szCs w:val="22"/>
            <w:lang w:val="sq-AL" w:eastAsia="sq-AL"/>
          </w:rPr>
          <w:tab/>
        </w:r>
        <w:r w:rsidR="00DB43F9" w:rsidRPr="00DD6C2A">
          <w:rPr>
            <w:rStyle w:val="Hyperlink"/>
            <w:iCs/>
            <w:noProof/>
            <w:lang w:val="sq-AL"/>
          </w:rPr>
          <w:t>CILËSIA E FINANCAVE PUBLIKE</w:t>
        </w:r>
        <w:r w:rsidR="00DB43F9">
          <w:rPr>
            <w:noProof/>
            <w:webHidden/>
          </w:rPr>
          <w:tab/>
        </w:r>
        <w:r w:rsidR="00DB43F9">
          <w:rPr>
            <w:noProof/>
            <w:webHidden/>
          </w:rPr>
          <w:fldChar w:fldCharType="begin"/>
        </w:r>
        <w:r w:rsidR="00DB43F9">
          <w:rPr>
            <w:noProof/>
            <w:webHidden/>
          </w:rPr>
          <w:instrText xml:space="preserve"> PAGEREF _Toc466445500 \h </w:instrText>
        </w:r>
        <w:r w:rsidR="00DB43F9">
          <w:rPr>
            <w:noProof/>
            <w:webHidden/>
          </w:rPr>
        </w:r>
        <w:r w:rsidR="00DB43F9">
          <w:rPr>
            <w:noProof/>
            <w:webHidden/>
          </w:rPr>
          <w:fldChar w:fldCharType="separate"/>
        </w:r>
        <w:r w:rsidR="00DB43F9">
          <w:rPr>
            <w:noProof/>
            <w:webHidden/>
          </w:rPr>
          <w:t>88</w:t>
        </w:r>
        <w:r w:rsidR="00DB43F9">
          <w:rPr>
            <w:noProof/>
            <w:webHidden/>
          </w:rPr>
          <w:fldChar w:fldCharType="end"/>
        </w:r>
      </w:hyperlink>
    </w:p>
    <w:p w:rsidR="00DB43F9" w:rsidRPr="00DB43F9" w:rsidRDefault="00AE124D" w:rsidP="00DB43F9">
      <w:pPr>
        <w:pStyle w:val="TOC1"/>
        <w:rPr>
          <w:rFonts w:asciiTheme="minorHAnsi" w:eastAsiaTheme="minorEastAsia" w:hAnsiTheme="minorHAnsi" w:cstheme="minorBidi"/>
          <w:i/>
          <w:noProof/>
          <w:sz w:val="22"/>
          <w:szCs w:val="22"/>
          <w:lang w:val="sq-AL" w:eastAsia="sq-AL"/>
        </w:rPr>
      </w:pPr>
      <w:hyperlink w:anchor="_Toc466445501" w:history="1">
        <w:r w:rsidR="00DB43F9" w:rsidRPr="00DB43F9">
          <w:rPr>
            <w:rStyle w:val="Hyperlink"/>
            <w:i/>
            <w:noProof/>
            <w:lang w:val="sq-AL"/>
          </w:rPr>
          <w:t>8.1</w:t>
        </w:r>
        <w:r w:rsidR="00DB43F9" w:rsidRPr="00DB43F9">
          <w:rPr>
            <w:rFonts w:asciiTheme="minorHAnsi" w:eastAsiaTheme="minorEastAsia" w:hAnsiTheme="minorHAnsi" w:cstheme="minorBidi"/>
            <w:i/>
            <w:noProof/>
            <w:sz w:val="22"/>
            <w:szCs w:val="22"/>
            <w:lang w:val="sq-AL" w:eastAsia="sq-AL"/>
          </w:rPr>
          <w:tab/>
        </w:r>
        <w:r w:rsidR="00DB43F9" w:rsidRPr="00DB43F9">
          <w:rPr>
            <w:rStyle w:val="Hyperlink"/>
            <w:i/>
            <w:noProof/>
            <w:lang w:val="sq-AL"/>
          </w:rPr>
          <w:t>PLANIFIKIMI BUXHETOR AFATMESËM, BUXHETIMI MBI BAZË PERFORMANCE</w:t>
        </w:r>
        <w:r w:rsidR="00DB43F9" w:rsidRPr="00DB43F9">
          <w:rPr>
            <w:i/>
            <w:noProof/>
            <w:webHidden/>
          </w:rPr>
          <w:tab/>
        </w:r>
        <w:r w:rsidR="00DB43F9" w:rsidRPr="00DB43F9">
          <w:rPr>
            <w:i/>
            <w:noProof/>
            <w:webHidden/>
          </w:rPr>
          <w:fldChar w:fldCharType="begin"/>
        </w:r>
        <w:r w:rsidR="00DB43F9" w:rsidRPr="00DB43F9">
          <w:rPr>
            <w:i/>
            <w:noProof/>
            <w:webHidden/>
          </w:rPr>
          <w:instrText xml:space="preserve"> PAGEREF _Toc466445501 \h </w:instrText>
        </w:r>
        <w:r w:rsidR="00DB43F9" w:rsidRPr="00DB43F9">
          <w:rPr>
            <w:i/>
            <w:noProof/>
            <w:webHidden/>
          </w:rPr>
        </w:r>
        <w:r w:rsidR="00DB43F9" w:rsidRPr="00DB43F9">
          <w:rPr>
            <w:i/>
            <w:noProof/>
            <w:webHidden/>
          </w:rPr>
          <w:fldChar w:fldCharType="separate"/>
        </w:r>
        <w:r w:rsidR="00DB43F9" w:rsidRPr="00DB43F9">
          <w:rPr>
            <w:i/>
            <w:noProof/>
            <w:webHidden/>
          </w:rPr>
          <w:t>88</w:t>
        </w:r>
        <w:r w:rsidR="00DB43F9" w:rsidRPr="00DB43F9">
          <w:rPr>
            <w:i/>
            <w:noProof/>
            <w:webHidden/>
          </w:rPr>
          <w:fldChar w:fldCharType="end"/>
        </w:r>
      </w:hyperlink>
    </w:p>
    <w:p w:rsidR="00DB43F9" w:rsidRPr="00DB43F9" w:rsidRDefault="00AE124D" w:rsidP="00DB43F9">
      <w:pPr>
        <w:pStyle w:val="TOC1"/>
        <w:rPr>
          <w:rFonts w:asciiTheme="minorHAnsi" w:eastAsiaTheme="minorEastAsia" w:hAnsiTheme="minorHAnsi" w:cstheme="minorBidi"/>
          <w:i/>
          <w:noProof/>
          <w:sz w:val="22"/>
          <w:szCs w:val="22"/>
          <w:lang w:val="sq-AL" w:eastAsia="sq-AL"/>
        </w:rPr>
      </w:pPr>
      <w:hyperlink w:anchor="_Toc466445502" w:history="1">
        <w:r w:rsidR="00DB43F9" w:rsidRPr="00DB43F9">
          <w:rPr>
            <w:rStyle w:val="Hyperlink"/>
            <w:i/>
            <w:noProof/>
            <w:lang w:val="sq-AL"/>
          </w:rPr>
          <w:t>8.2</w:t>
        </w:r>
        <w:r w:rsidR="00DB43F9" w:rsidRPr="00DB43F9">
          <w:rPr>
            <w:rFonts w:asciiTheme="minorHAnsi" w:eastAsiaTheme="minorEastAsia" w:hAnsiTheme="minorHAnsi" w:cstheme="minorBidi"/>
            <w:i/>
            <w:noProof/>
            <w:sz w:val="22"/>
            <w:szCs w:val="22"/>
            <w:lang w:val="sq-AL" w:eastAsia="sq-AL"/>
          </w:rPr>
          <w:tab/>
        </w:r>
        <w:r w:rsidR="00DB43F9" w:rsidRPr="00DB43F9">
          <w:rPr>
            <w:rStyle w:val="Hyperlink"/>
            <w:i/>
            <w:noProof/>
            <w:lang w:val="sq-AL"/>
          </w:rPr>
          <w:t>REFORMA NË MENAXHIMIN E FINANCAVE PUBLIKE</w:t>
        </w:r>
        <w:r w:rsidR="00DB43F9" w:rsidRPr="00DB43F9">
          <w:rPr>
            <w:i/>
            <w:noProof/>
            <w:webHidden/>
          </w:rPr>
          <w:tab/>
        </w:r>
        <w:r w:rsidR="00DB43F9" w:rsidRPr="00DB43F9">
          <w:rPr>
            <w:i/>
            <w:noProof/>
            <w:webHidden/>
          </w:rPr>
          <w:fldChar w:fldCharType="begin"/>
        </w:r>
        <w:r w:rsidR="00DB43F9" w:rsidRPr="00DB43F9">
          <w:rPr>
            <w:i/>
            <w:noProof/>
            <w:webHidden/>
          </w:rPr>
          <w:instrText xml:space="preserve"> PAGEREF _Toc466445502 \h </w:instrText>
        </w:r>
        <w:r w:rsidR="00DB43F9" w:rsidRPr="00DB43F9">
          <w:rPr>
            <w:i/>
            <w:noProof/>
            <w:webHidden/>
          </w:rPr>
        </w:r>
        <w:r w:rsidR="00DB43F9" w:rsidRPr="00DB43F9">
          <w:rPr>
            <w:i/>
            <w:noProof/>
            <w:webHidden/>
          </w:rPr>
          <w:fldChar w:fldCharType="separate"/>
        </w:r>
        <w:r w:rsidR="00DB43F9" w:rsidRPr="00DB43F9">
          <w:rPr>
            <w:i/>
            <w:noProof/>
            <w:webHidden/>
          </w:rPr>
          <w:t>89</w:t>
        </w:r>
        <w:r w:rsidR="00DB43F9" w:rsidRPr="00DB43F9">
          <w:rPr>
            <w:i/>
            <w:noProof/>
            <w:webHidden/>
          </w:rPr>
          <w:fldChar w:fldCharType="end"/>
        </w:r>
      </w:hyperlink>
    </w:p>
    <w:p w:rsidR="00DB43F9" w:rsidRDefault="00AE124D" w:rsidP="00DB43F9">
      <w:pPr>
        <w:pStyle w:val="TOC1"/>
        <w:rPr>
          <w:rFonts w:asciiTheme="minorHAnsi" w:eastAsiaTheme="minorEastAsia" w:hAnsiTheme="minorHAnsi" w:cstheme="minorBidi"/>
          <w:noProof/>
          <w:sz w:val="22"/>
          <w:szCs w:val="22"/>
          <w:lang w:val="sq-AL" w:eastAsia="sq-AL"/>
        </w:rPr>
      </w:pPr>
      <w:hyperlink w:anchor="_Toc466445503" w:history="1">
        <w:r w:rsidR="00DB43F9" w:rsidRPr="00DD6C2A">
          <w:rPr>
            <w:rStyle w:val="Hyperlink"/>
            <w:rFonts w:eastAsia="Calibri"/>
            <w:iCs/>
            <w:noProof/>
            <w:lang w:val="sq-AL"/>
          </w:rPr>
          <w:t>9.</w:t>
        </w:r>
        <w:r w:rsidR="00DB43F9">
          <w:rPr>
            <w:rFonts w:asciiTheme="minorHAnsi" w:eastAsiaTheme="minorEastAsia" w:hAnsiTheme="minorHAnsi" w:cstheme="minorBidi"/>
            <w:noProof/>
            <w:sz w:val="22"/>
            <w:szCs w:val="22"/>
            <w:lang w:val="sq-AL" w:eastAsia="sq-AL"/>
          </w:rPr>
          <w:tab/>
        </w:r>
        <w:r w:rsidR="00DB43F9" w:rsidRPr="00DD6C2A">
          <w:rPr>
            <w:rStyle w:val="Hyperlink"/>
            <w:iCs/>
            <w:noProof/>
            <w:lang w:val="sq-AL"/>
          </w:rPr>
          <w:t>SHTOJCA ILUSTRUESE</w:t>
        </w:r>
        <w:r w:rsidR="00DB43F9">
          <w:rPr>
            <w:noProof/>
            <w:webHidden/>
          </w:rPr>
          <w:tab/>
        </w:r>
        <w:r w:rsidR="00DB43F9">
          <w:rPr>
            <w:noProof/>
            <w:webHidden/>
          </w:rPr>
          <w:fldChar w:fldCharType="begin"/>
        </w:r>
        <w:r w:rsidR="00DB43F9">
          <w:rPr>
            <w:noProof/>
            <w:webHidden/>
          </w:rPr>
          <w:instrText xml:space="preserve"> PAGEREF _Toc466445503 \h </w:instrText>
        </w:r>
        <w:r w:rsidR="00DB43F9">
          <w:rPr>
            <w:noProof/>
            <w:webHidden/>
          </w:rPr>
        </w:r>
        <w:r w:rsidR="00DB43F9">
          <w:rPr>
            <w:noProof/>
            <w:webHidden/>
          </w:rPr>
          <w:fldChar w:fldCharType="separate"/>
        </w:r>
        <w:r w:rsidR="00DB43F9">
          <w:rPr>
            <w:noProof/>
            <w:webHidden/>
          </w:rPr>
          <w:t>91</w:t>
        </w:r>
        <w:r w:rsidR="00DB43F9">
          <w:rPr>
            <w:noProof/>
            <w:webHidden/>
          </w:rPr>
          <w:fldChar w:fldCharType="end"/>
        </w:r>
      </w:hyperlink>
    </w:p>
    <w:p w:rsidR="00DB43F9" w:rsidRPr="00DB43F9" w:rsidRDefault="00AE124D" w:rsidP="00DB43F9">
      <w:pPr>
        <w:pStyle w:val="TOC1"/>
        <w:rPr>
          <w:i/>
          <w:noProof/>
        </w:rPr>
      </w:pPr>
      <w:hyperlink w:anchor="_Toc466445504" w:history="1">
        <w:r w:rsidR="00DB43F9" w:rsidRPr="00DB43F9">
          <w:rPr>
            <w:i/>
            <w:noProof/>
          </w:rPr>
          <w:t>9.1</w:t>
        </w:r>
        <w:r w:rsidR="00DB43F9" w:rsidRPr="00DB43F9">
          <w:rPr>
            <w:i/>
            <w:noProof/>
          </w:rPr>
          <w:tab/>
          <w:t>TREGUESIT E PËRZGJEDHUR MAKROEKONOMIKË DHE FISKALË</w:t>
        </w:r>
        <w:r w:rsidR="00DB43F9" w:rsidRPr="00DB43F9">
          <w:rPr>
            <w:i/>
            <w:noProof/>
            <w:webHidden/>
          </w:rPr>
          <w:tab/>
        </w:r>
        <w:r w:rsidR="00DB43F9" w:rsidRPr="00DB43F9">
          <w:rPr>
            <w:i/>
            <w:noProof/>
            <w:webHidden/>
          </w:rPr>
          <w:fldChar w:fldCharType="begin"/>
        </w:r>
        <w:r w:rsidR="00DB43F9" w:rsidRPr="00DB43F9">
          <w:rPr>
            <w:i/>
            <w:noProof/>
            <w:webHidden/>
          </w:rPr>
          <w:instrText xml:space="preserve"> PAGEREF _Toc466445504 \h </w:instrText>
        </w:r>
        <w:r w:rsidR="00DB43F9" w:rsidRPr="00DB43F9">
          <w:rPr>
            <w:i/>
            <w:noProof/>
            <w:webHidden/>
          </w:rPr>
        </w:r>
        <w:r w:rsidR="00DB43F9" w:rsidRPr="00DB43F9">
          <w:rPr>
            <w:i/>
            <w:noProof/>
            <w:webHidden/>
          </w:rPr>
          <w:fldChar w:fldCharType="separate"/>
        </w:r>
        <w:r w:rsidR="00DB43F9" w:rsidRPr="00DB43F9">
          <w:rPr>
            <w:i/>
            <w:noProof/>
            <w:webHidden/>
          </w:rPr>
          <w:t>91</w:t>
        </w:r>
        <w:r w:rsidR="00DB43F9" w:rsidRPr="00DB43F9">
          <w:rPr>
            <w:i/>
            <w:noProof/>
            <w:webHidden/>
          </w:rPr>
          <w:fldChar w:fldCharType="end"/>
        </w:r>
      </w:hyperlink>
    </w:p>
    <w:p w:rsidR="00DB43F9" w:rsidRPr="00DB43F9" w:rsidRDefault="00AE124D" w:rsidP="00DB43F9">
      <w:pPr>
        <w:pStyle w:val="TOC1"/>
        <w:rPr>
          <w:i/>
          <w:noProof/>
        </w:rPr>
      </w:pPr>
      <w:hyperlink w:anchor="_Toc466445505" w:history="1">
        <w:r w:rsidR="00DB43F9" w:rsidRPr="00DB43F9">
          <w:rPr>
            <w:i/>
            <w:noProof/>
          </w:rPr>
          <w:t>9.2</w:t>
        </w:r>
        <w:r w:rsidR="00DB43F9" w:rsidRPr="00DB43F9">
          <w:rPr>
            <w:i/>
            <w:noProof/>
          </w:rPr>
          <w:tab/>
          <w:t>ZHVILLIMET FISKALE GJATË 9-MUJORIT 2016</w:t>
        </w:r>
        <w:r w:rsidR="00DB43F9" w:rsidRPr="00DB43F9">
          <w:rPr>
            <w:i/>
            <w:noProof/>
            <w:webHidden/>
          </w:rPr>
          <w:tab/>
        </w:r>
        <w:r w:rsidR="00DB43F9" w:rsidRPr="00DB43F9">
          <w:rPr>
            <w:i/>
            <w:noProof/>
            <w:webHidden/>
          </w:rPr>
          <w:fldChar w:fldCharType="begin"/>
        </w:r>
        <w:r w:rsidR="00DB43F9" w:rsidRPr="00DB43F9">
          <w:rPr>
            <w:i/>
            <w:noProof/>
            <w:webHidden/>
          </w:rPr>
          <w:instrText xml:space="preserve"> PAGEREF _Toc466445505 \h </w:instrText>
        </w:r>
        <w:r w:rsidR="00DB43F9" w:rsidRPr="00DB43F9">
          <w:rPr>
            <w:i/>
            <w:noProof/>
            <w:webHidden/>
          </w:rPr>
        </w:r>
        <w:r w:rsidR="00DB43F9" w:rsidRPr="00DB43F9">
          <w:rPr>
            <w:i/>
            <w:noProof/>
            <w:webHidden/>
          </w:rPr>
          <w:fldChar w:fldCharType="separate"/>
        </w:r>
        <w:r w:rsidR="00DB43F9" w:rsidRPr="00DB43F9">
          <w:rPr>
            <w:i/>
            <w:noProof/>
            <w:webHidden/>
          </w:rPr>
          <w:t>93</w:t>
        </w:r>
        <w:r w:rsidR="00DB43F9" w:rsidRPr="00DB43F9">
          <w:rPr>
            <w:i/>
            <w:noProof/>
            <w:webHidden/>
          </w:rPr>
          <w:fldChar w:fldCharType="end"/>
        </w:r>
      </w:hyperlink>
    </w:p>
    <w:p w:rsidR="00DB43F9" w:rsidRPr="00DB43F9" w:rsidRDefault="00AE124D" w:rsidP="00DB43F9">
      <w:pPr>
        <w:pStyle w:val="TOC1"/>
        <w:rPr>
          <w:i/>
          <w:noProof/>
        </w:rPr>
      </w:pPr>
      <w:hyperlink w:anchor="_Toc466445506" w:history="1">
        <w:r w:rsidR="00DB43F9" w:rsidRPr="00DB43F9">
          <w:rPr>
            <w:i/>
            <w:noProof/>
          </w:rPr>
          <w:t>9.3</w:t>
        </w:r>
        <w:r w:rsidR="00DB43F9" w:rsidRPr="00DB43F9">
          <w:rPr>
            <w:i/>
            <w:noProof/>
          </w:rPr>
          <w:tab/>
          <w:t>ANALIZA E SHPENZIMEVE BUXHETORE PËR PERIUDHËN JANAR-SHTATOR 2016</w:t>
        </w:r>
        <w:r w:rsidR="00DB43F9" w:rsidRPr="00DB43F9">
          <w:rPr>
            <w:i/>
            <w:noProof/>
            <w:webHidden/>
          </w:rPr>
          <w:tab/>
        </w:r>
        <w:r w:rsidR="00DB43F9" w:rsidRPr="00DB43F9">
          <w:rPr>
            <w:i/>
            <w:noProof/>
            <w:webHidden/>
          </w:rPr>
          <w:fldChar w:fldCharType="begin"/>
        </w:r>
        <w:r w:rsidR="00DB43F9" w:rsidRPr="00DB43F9">
          <w:rPr>
            <w:i/>
            <w:noProof/>
            <w:webHidden/>
          </w:rPr>
          <w:instrText xml:space="preserve"> PAGEREF _Toc466445506 \h </w:instrText>
        </w:r>
        <w:r w:rsidR="00DB43F9" w:rsidRPr="00DB43F9">
          <w:rPr>
            <w:i/>
            <w:noProof/>
            <w:webHidden/>
          </w:rPr>
        </w:r>
        <w:r w:rsidR="00DB43F9" w:rsidRPr="00DB43F9">
          <w:rPr>
            <w:i/>
            <w:noProof/>
            <w:webHidden/>
          </w:rPr>
          <w:fldChar w:fldCharType="separate"/>
        </w:r>
        <w:r w:rsidR="00DB43F9" w:rsidRPr="00DB43F9">
          <w:rPr>
            <w:i/>
            <w:noProof/>
            <w:webHidden/>
          </w:rPr>
          <w:t>97</w:t>
        </w:r>
        <w:r w:rsidR="00DB43F9" w:rsidRPr="00DB43F9">
          <w:rPr>
            <w:i/>
            <w:noProof/>
            <w:webHidden/>
          </w:rPr>
          <w:fldChar w:fldCharType="end"/>
        </w:r>
      </w:hyperlink>
    </w:p>
    <w:p w:rsidR="00DB43F9" w:rsidRPr="00DB43F9" w:rsidRDefault="00AE124D" w:rsidP="00DB43F9">
      <w:pPr>
        <w:pStyle w:val="TOC1"/>
        <w:rPr>
          <w:i/>
          <w:noProof/>
        </w:rPr>
      </w:pPr>
      <w:hyperlink w:anchor="_Toc466445507" w:history="1">
        <w:r w:rsidR="00DB43F9" w:rsidRPr="00DB43F9">
          <w:rPr>
            <w:i/>
            <w:noProof/>
          </w:rPr>
          <w:t>9.4</w:t>
        </w:r>
        <w:r w:rsidR="00DB43F9" w:rsidRPr="00DB43F9">
          <w:rPr>
            <w:i/>
            <w:noProof/>
          </w:rPr>
          <w:tab/>
          <w:t>ECURIA E BORXHIT PUBLIK PËR PERIUDHËN JANAR-SHTATOR 2016</w:t>
        </w:r>
        <w:r w:rsidR="00DB43F9" w:rsidRPr="00DB43F9">
          <w:rPr>
            <w:i/>
            <w:noProof/>
            <w:webHidden/>
          </w:rPr>
          <w:tab/>
        </w:r>
        <w:r w:rsidR="00DB43F9" w:rsidRPr="00DB43F9">
          <w:rPr>
            <w:i/>
            <w:noProof/>
            <w:webHidden/>
          </w:rPr>
          <w:fldChar w:fldCharType="begin"/>
        </w:r>
        <w:r w:rsidR="00DB43F9" w:rsidRPr="00DB43F9">
          <w:rPr>
            <w:i/>
            <w:noProof/>
            <w:webHidden/>
          </w:rPr>
          <w:instrText xml:space="preserve"> PAGEREF _Toc466445507 \h </w:instrText>
        </w:r>
        <w:r w:rsidR="00DB43F9" w:rsidRPr="00DB43F9">
          <w:rPr>
            <w:i/>
            <w:noProof/>
            <w:webHidden/>
          </w:rPr>
        </w:r>
        <w:r w:rsidR="00DB43F9" w:rsidRPr="00DB43F9">
          <w:rPr>
            <w:i/>
            <w:noProof/>
            <w:webHidden/>
          </w:rPr>
          <w:fldChar w:fldCharType="separate"/>
        </w:r>
        <w:r w:rsidR="00DB43F9" w:rsidRPr="00DB43F9">
          <w:rPr>
            <w:i/>
            <w:noProof/>
            <w:webHidden/>
          </w:rPr>
          <w:t>110</w:t>
        </w:r>
        <w:r w:rsidR="00DB43F9" w:rsidRPr="00DB43F9">
          <w:rPr>
            <w:i/>
            <w:noProof/>
            <w:webHidden/>
          </w:rPr>
          <w:fldChar w:fldCharType="end"/>
        </w:r>
      </w:hyperlink>
    </w:p>
    <w:p w:rsidR="00B0121D" w:rsidRPr="00D73F43" w:rsidRDefault="00B0121D" w:rsidP="00B0121D">
      <w:pPr>
        <w:spacing w:line="276" w:lineRule="auto"/>
        <w:jc w:val="both"/>
        <w:rPr>
          <w:sz w:val="22"/>
          <w:lang w:val="sq-AL"/>
        </w:rPr>
      </w:pPr>
      <w:r w:rsidRPr="00D73F43">
        <w:rPr>
          <w:sz w:val="22"/>
          <w:lang w:val="sq-AL"/>
        </w:rPr>
        <w:fldChar w:fldCharType="end"/>
      </w:r>
    </w:p>
    <w:p w:rsidR="00057989" w:rsidRDefault="00057989">
      <w:pPr>
        <w:spacing w:after="200" w:line="276" w:lineRule="auto"/>
        <w:rPr>
          <w:sz w:val="22"/>
          <w:lang w:val="sq-AL"/>
        </w:rPr>
      </w:pPr>
      <w:r>
        <w:rPr>
          <w:sz w:val="22"/>
          <w:lang w:val="sq-AL"/>
        </w:rPr>
        <w:br w:type="page"/>
      </w:r>
    </w:p>
    <w:p w:rsidR="00B0121D" w:rsidRPr="00D73F43" w:rsidRDefault="00B0121D" w:rsidP="00B0121D">
      <w:pPr>
        <w:spacing w:line="276" w:lineRule="auto"/>
        <w:jc w:val="both"/>
        <w:rPr>
          <w:sz w:val="22"/>
          <w:lang w:val="sq-AL"/>
        </w:rPr>
      </w:pPr>
    </w:p>
    <w:p w:rsidR="00B0121D" w:rsidRPr="00D73F43" w:rsidRDefault="00B0121D" w:rsidP="00B0121D">
      <w:pPr>
        <w:keepNext/>
        <w:numPr>
          <w:ilvl w:val="0"/>
          <w:numId w:val="2"/>
        </w:numPr>
        <w:tabs>
          <w:tab w:val="center" w:pos="709"/>
        </w:tabs>
        <w:spacing w:line="276" w:lineRule="auto"/>
        <w:ind w:right="-1"/>
        <w:jc w:val="both"/>
        <w:outlineLvl w:val="0"/>
        <w:rPr>
          <w:b/>
          <w:bCs/>
          <w:iCs/>
          <w:caps/>
          <w:sz w:val="28"/>
          <w:lang w:val="sq-AL"/>
        </w:rPr>
      </w:pPr>
      <w:bookmarkStart w:id="4" w:name="_Toc466445428"/>
      <w:bookmarkStart w:id="5" w:name="_Toc465509155"/>
      <w:r w:rsidRPr="00D73F43">
        <w:rPr>
          <w:b/>
          <w:bCs/>
          <w:iCs/>
          <w:caps/>
          <w:sz w:val="28"/>
          <w:lang w:val="sq-AL"/>
        </w:rPr>
        <w:t>HYRJE</w:t>
      </w:r>
      <w:bookmarkEnd w:id="4"/>
      <w:r w:rsidRPr="00D73F43">
        <w:rPr>
          <w:b/>
          <w:caps/>
          <w:noProof/>
          <w:lang w:val="sq-AL"/>
        </w:rPr>
        <w:tab/>
      </w:r>
    </w:p>
    <w:p w:rsidR="00B0121D" w:rsidRPr="00D73F43" w:rsidRDefault="00B0121D" w:rsidP="00B0121D">
      <w:pPr>
        <w:spacing w:line="276" w:lineRule="auto"/>
        <w:jc w:val="both"/>
        <w:rPr>
          <w:bCs/>
          <w:iCs/>
          <w:lang w:val="sq-AL"/>
        </w:rPr>
      </w:pPr>
    </w:p>
    <w:p w:rsidR="00B0121D" w:rsidRPr="00D73F43" w:rsidRDefault="00B0121D" w:rsidP="00B0121D">
      <w:pPr>
        <w:spacing w:line="276" w:lineRule="auto"/>
        <w:jc w:val="both"/>
        <w:rPr>
          <w:lang w:val="sq-AL"/>
        </w:rPr>
      </w:pPr>
      <w:r w:rsidRPr="00D73F43">
        <w:rPr>
          <w:lang w:val="sq-AL"/>
        </w:rPr>
        <w:t>Gjatë tre viteve të fundit një sërë reformash janë implementuar në sektorë të ndryshëm publikë, me qëllimin për të përmirësuar performancën sektoriale si edhe atë tërësore të politikave dhe financave publike. Gjatë kësaj periudhë janë regjistruar arritje të rëndë</w:t>
      </w:r>
      <w:r w:rsidR="001C13B4">
        <w:rPr>
          <w:lang w:val="sq-AL"/>
        </w:rPr>
        <w:t>sishme në disa nga sektorët kyç</w:t>
      </w:r>
      <w:r w:rsidRPr="00D73F43">
        <w:rPr>
          <w:lang w:val="sq-AL"/>
        </w:rPr>
        <w:t xml:space="preserve"> të ekonomisë dhe të qeverisjes, mes të cilave sektori i energjisë, pensioneve, financat publike, administrata publike, pushteti vendor, bujqësia dhe uji së bashku me një sërë ndërhyrjesh të tjera, nga të cilat më së fundmi edhe reforma në drejtësi. Për pasojë, </w:t>
      </w:r>
      <w:r w:rsidR="001C13B4">
        <w:rPr>
          <w:lang w:val="sq-AL"/>
        </w:rPr>
        <w:t>p</w:t>
      </w:r>
      <w:r w:rsidR="009E0E6D">
        <w:rPr>
          <w:lang w:val="sq-AL"/>
        </w:rPr>
        <w:t>rojektb</w:t>
      </w:r>
      <w:r w:rsidRPr="00D73F43">
        <w:rPr>
          <w:lang w:val="sq-AL"/>
        </w:rPr>
        <w:t>uxheti 2017, duke patur parasysh kthesën e rëndësishme në rritjen ekonomike e cila po rritet me ritme pozitive nga viti në vit, si edhe nevojën për të ofruar financimin e nevojshëm për vazhdimësinë e reformave dhe të rezultateve të tyre, paraqet një hap të rëndësishëm në vazhdimësinë e rritjes ekonomike pozitive dhe të refomave.</w:t>
      </w:r>
      <w:r w:rsidR="002D40D5">
        <w:rPr>
          <w:lang w:val="sq-AL"/>
        </w:rPr>
        <w:t xml:space="preserve"> </w:t>
      </w:r>
      <w:r w:rsidR="009E0E6D">
        <w:rPr>
          <w:lang w:val="sq-AL"/>
        </w:rPr>
        <w:t>Projektb</w:t>
      </w:r>
      <w:r w:rsidRPr="00D73F43">
        <w:rPr>
          <w:lang w:val="sq-AL"/>
        </w:rPr>
        <w:t xml:space="preserve">uxheti 2017 është buxheti që mbështet rritjen ekonomike, financimin e reformave dhe rritjen e pagave dhe pensioneve. </w:t>
      </w:r>
    </w:p>
    <w:p w:rsidR="00B0121D" w:rsidRPr="00D73F43" w:rsidRDefault="00B0121D" w:rsidP="00B0121D">
      <w:pPr>
        <w:spacing w:line="276" w:lineRule="auto"/>
        <w:jc w:val="both"/>
        <w:rPr>
          <w:lang w:val="sq-AL"/>
        </w:rPr>
      </w:pPr>
    </w:p>
    <w:p w:rsidR="00B0121D" w:rsidRPr="00D73F43" w:rsidRDefault="00B0121D" w:rsidP="00B0121D">
      <w:pPr>
        <w:spacing w:line="276" w:lineRule="auto"/>
        <w:jc w:val="both"/>
        <w:rPr>
          <w:lang w:val="sq-AL"/>
        </w:rPr>
      </w:pPr>
      <w:r w:rsidRPr="00D73F43">
        <w:rPr>
          <w:lang w:val="sq-AL"/>
        </w:rPr>
        <w:t>Ky projektbuxhet siguron vazhdim</w:t>
      </w:r>
      <w:r w:rsidR="00C768AB">
        <w:rPr>
          <w:lang w:val="sq-AL"/>
        </w:rPr>
        <w:t>ë</w:t>
      </w:r>
      <w:r w:rsidRPr="00D73F43">
        <w:rPr>
          <w:lang w:val="sq-AL"/>
        </w:rPr>
        <w:t>sin</w:t>
      </w:r>
      <w:r w:rsidR="00C768AB">
        <w:rPr>
          <w:lang w:val="sq-AL"/>
        </w:rPr>
        <w:t>ë</w:t>
      </w:r>
      <w:r w:rsidRPr="00D73F43">
        <w:rPr>
          <w:lang w:val="sq-AL"/>
        </w:rPr>
        <w:t xml:space="preserve"> e sukseshme t</w:t>
      </w:r>
      <w:r w:rsidR="00C768AB">
        <w:rPr>
          <w:lang w:val="sq-AL"/>
        </w:rPr>
        <w:t>ë</w:t>
      </w:r>
      <w:r w:rsidRPr="00D73F43">
        <w:rPr>
          <w:lang w:val="sq-AL"/>
        </w:rPr>
        <w:t xml:space="preserve">  programit qeverisës gjatë periudhës 2013 -2017.  Nga njëra anë jan</w:t>
      </w:r>
      <w:r w:rsidR="00C768AB">
        <w:rPr>
          <w:lang w:val="sq-AL"/>
        </w:rPr>
        <w:t>ë</w:t>
      </w:r>
      <w:r w:rsidRPr="00D73F43">
        <w:rPr>
          <w:lang w:val="sq-AL"/>
        </w:rPr>
        <w:t xml:space="preserve"> garantuar një kuadër të shëndetshëm fiskal, me dy tregues vecanërisht domethënës si ulja e borxhit publik për herë të parë në 6 vitet e fundit dhe për herë të parë, ndërsa ka vijuar trajektorja rënëse të borxhit, e </w:t>
      </w:r>
      <w:r w:rsidR="00C768AB">
        <w:rPr>
          <w:lang w:val="sq-AL"/>
        </w:rPr>
        <w:t>ë</w:t>
      </w:r>
      <w:r w:rsidRPr="00D73F43">
        <w:rPr>
          <w:lang w:val="sq-AL"/>
        </w:rPr>
        <w:t>sht</w:t>
      </w:r>
      <w:r w:rsidR="00C768AB">
        <w:rPr>
          <w:lang w:val="sq-AL"/>
        </w:rPr>
        <w:t>ë</w:t>
      </w:r>
      <w:r w:rsidRPr="00D73F43">
        <w:rPr>
          <w:lang w:val="sq-AL"/>
        </w:rPr>
        <w:t xml:space="preserve"> siguruar një sufi</w:t>
      </w:r>
      <w:r w:rsidR="009E0E6D">
        <w:rPr>
          <w:lang w:val="sq-AL"/>
        </w:rPr>
        <w:t>ç</w:t>
      </w:r>
      <w:r w:rsidRPr="00D73F43">
        <w:rPr>
          <w:lang w:val="sq-AL"/>
        </w:rPr>
        <w:t>it primar 0.3% e PBB. Nga ana tjetër, ky projektbuxhet krijon hapësirën e nevojshme për akomodimin e të gjithë reformave dhe financon rritjen e pagave e pensioneve.   Edhe në vitin e fundit të mandatit qeverisës 4-vje</w:t>
      </w:r>
      <w:r w:rsidR="002D40D5">
        <w:rPr>
          <w:lang w:val="sq-AL"/>
        </w:rPr>
        <w:t xml:space="preserve">çar, Qeveria do të vijojë </w:t>
      </w:r>
      <w:r w:rsidRPr="00D73F43">
        <w:rPr>
          <w:lang w:val="sq-AL"/>
        </w:rPr>
        <w:t>të ketë një fokus të posa</w:t>
      </w:r>
      <w:r w:rsidR="009E0E6D">
        <w:rPr>
          <w:lang w:val="sq-AL"/>
        </w:rPr>
        <w:t>ç</w:t>
      </w:r>
      <w:r w:rsidRPr="00D73F43">
        <w:rPr>
          <w:lang w:val="sq-AL"/>
        </w:rPr>
        <w:t>ëm tek reformat, në funksion të konsolidimit fiskal, përshpejtimit të rritjes ekonomike të q</w:t>
      </w:r>
      <w:r w:rsidR="002D40D5">
        <w:rPr>
          <w:lang w:val="sq-AL"/>
        </w:rPr>
        <w:t>ë</w:t>
      </w:r>
      <w:r w:rsidRPr="00D73F43">
        <w:rPr>
          <w:lang w:val="sq-AL"/>
        </w:rPr>
        <w:t>ndrueshme dhe afatgjatë, mbështetjes së sektorëve që kontribuojnë në zhvillimin e modelit të ri ekonomik, formalizimit të ekonomisë</w:t>
      </w:r>
      <w:r w:rsidR="002D40D5">
        <w:rPr>
          <w:lang w:val="sq-AL"/>
        </w:rPr>
        <w:t>, thellimit të decentralizimit</w:t>
      </w:r>
      <w:r w:rsidRPr="00D73F43">
        <w:rPr>
          <w:lang w:val="sq-AL"/>
        </w:rPr>
        <w:t xml:space="preserve"> rritjen e punësimit dhe përmirësimin e mëtejshëm të mirëqënies së qytetar</w:t>
      </w:r>
      <w:r w:rsidR="009E0E6D">
        <w:rPr>
          <w:lang w:val="sq-AL"/>
        </w:rPr>
        <w:t>ë</w:t>
      </w:r>
      <w:r w:rsidRPr="00D73F43">
        <w:rPr>
          <w:lang w:val="sq-AL"/>
        </w:rPr>
        <w:t xml:space="preserve">ve. </w:t>
      </w:r>
    </w:p>
    <w:p w:rsidR="00B0121D" w:rsidRPr="00D73F43" w:rsidRDefault="00B0121D" w:rsidP="00B0121D">
      <w:pPr>
        <w:spacing w:line="276" w:lineRule="auto"/>
        <w:jc w:val="both"/>
        <w:rPr>
          <w:lang w:val="sq-AL"/>
        </w:rPr>
      </w:pPr>
    </w:p>
    <w:p w:rsidR="00B0121D" w:rsidRPr="00D73F43" w:rsidRDefault="00B0121D" w:rsidP="00B0121D">
      <w:pPr>
        <w:spacing w:line="276" w:lineRule="auto"/>
        <w:jc w:val="both"/>
        <w:rPr>
          <w:lang w:val="sq-AL"/>
        </w:rPr>
      </w:pPr>
      <w:r w:rsidRPr="00D73F43">
        <w:rPr>
          <w:lang w:val="sq-AL"/>
        </w:rPr>
        <w:t xml:space="preserve">Projektbuxheti 2017 garanton mbështetjen financiare për zbatimin e </w:t>
      </w:r>
      <w:r w:rsidR="002D40D5">
        <w:rPr>
          <w:lang w:val="sq-AL"/>
        </w:rPr>
        <w:t>katër</w:t>
      </w:r>
      <w:r w:rsidRPr="00D73F43">
        <w:rPr>
          <w:lang w:val="sq-AL"/>
        </w:rPr>
        <w:t xml:space="preserve"> reformave të reja në sektorë ky</w:t>
      </w:r>
      <w:r w:rsidR="002D40D5">
        <w:rPr>
          <w:lang w:val="sq-AL"/>
        </w:rPr>
        <w:t>ç</w:t>
      </w:r>
      <w:r w:rsidRPr="00D73F43">
        <w:rPr>
          <w:lang w:val="sq-AL"/>
        </w:rPr>
        <w:t xml:space="preserve"> të ekonomisë</w:t>
      </w:r>
      <w:r w:rsidR="002D40D5">
        <w:rPr>
          <w:lang w:val="sq-AL"/>
        </w:rPr>
        <w:t>:</w:t>
      </w:r>
      <w:r w:rsidRPr="00D73F43">
        <w:rPr>
          <w:lang w:val="sq-AL"/>
        </w:rPr>
        <w:t xml:space="preserve"> </w:t>
      </w:r>
      <w:r w:rsidR="002D40D5">
        <w:rPr>
          <w:lang w:val="sq-AL"/>
        </w:rPr>
        <w:t>r</w:t>
      </w:r>
      <w:r w:rsidRPr="00D73F43">
        <w:rPr>
          <w:lang w:val="sq-AL"/>
        </w:rPr>
        <w:t>eforma e ujit, reforma administrative-ter</w:t>
      </w:r>
      <w:r w:rsidR="002D40D5">
        <w:rPr>
          <w:lang w:val="sq-AL"/>
        </w:rPr>
        <w:t xml:space="preserve">ritoriale, reforma në drejtësi, </w:t>
      </w:r>
      <w:r w:rsidRPr="00D73F43">
        <w:rPr>
          <w:lang w:val="sq-AL"/>
        </w:rPr>
        <w:t>refor</w:t>
      </w:r>
      <w:r w:rsidR="002D40D5">
        <w:rPr>
          <w:lang w:val="sq-AL"/>
        </w:rPr>
        <w:t xml:space="preserve">ma në administratën publike </w:t>
      </w:r>
      <w:r w:rsidR="009E0E6D">
        <w:rPr>
          <w:lang w:val="sq-AL"/>
        </w:rPr>
        <w:t>të cilat</w:t>
      </w:r>
      <w:r w:rsidRPr="00D73F43">
        <w:rPr>
          <w:lang w:val="sq-AL"/>
        </w:rPr>
        <w:t xml:space="preserve">, së bashku me reformat aktuale, </w:t>
      </w:r>
      <w:r w:rsidR="009E0E6D" w:rsidRPr="00D73F43">
        <w:rPr>
          <w:lang w:val="sq-AL"/>
        </w:rPr>
        <w:t xml:space="preserve">do të jenë </w:t>
      </w:r>
      <w:r w:rsidRPr="00D73F43">
        <w:rPr>
          <w:lang w:val="sq-AL"/>
        </w:rPr>
        <w:t xml:space="preserve">instrumente të rëndësishëm të realizimit të prioriteve të programit të </w:t>
      </w:r>
      <w:r w:rsidR="002D40D5">
        <w:rPr>
          <w:lang w:val="sq-AL"/>
        </w:rPr>
        <w:t>Q</w:t>
      </w:r>
      <w:r w:rsidRPr="00D73F43">
        <w:rPr>
          <w:lang w:val="sq-AL"/>
        </w:rPr>
        <w:t>ev</w:t>
      </w:r>
      <w:r w:rsidR="002D40D5">
        <w:rPr>
          <w:lang w:val="sq-AL"/>
        </w:rPr>
        <w:t>e</w:t>
      </w:r>
      <w:r w:rsidRPr="00D73F43">
        <w:rPr>
          <w:lang w:val="sq-AL"/>
        </w:rPr>
        <w:t>risë në përputhje me interesat e qy</w:t>
      </w:r>
      <w:r w:rsidR="009E0E6D">
        <w:rPr>
          <w:lang w:val="sq-AL"/>
        </w:rPr>
        <w:t>t</w:t>
      </w:r>
      <w:r w:rsidRPr="00D73F43">
        <w:rPr>
          <w:lang w:val="sq-AL"/>
        </w:rPr>
        <w:t xml:space="preserve">etarëve për përmirësimin e nivelit të jetesës </w:t>
      </w:r>
      <w:r w:rsidR="009E0E6D">
        <w:rPr>
          <w:lang w:val="sq-AL"/>
        </w:rPr>
        <w:t>së tyre</w:t>
      </w:r>
      <w:r w:rsidRPr="00D73F43">
        <w:rPr>
          <w:lang w:val="sq-AL"/>
        </w:rPr>
        <w:t>. Përgjatë tre viteve, qëndrueshmëria makroekonomike dhe fiskale është rritur. Në vitin 2017, për të dytin vit  rradhazi vijon programimi me balancë primare me sufiçit, në rritje nga 0.</w:t>
      </w:r>
      <w:r w:rsidR="00CB395B">
        <w:rPr>
          <w:lang w:val="sq-AL"/>
        </w:rPr>
        <w:t>5</w:t>
      </w:r>
      <w:r w:rsidRPr="00D73F43">
        <w:rPr>
          <w:lang w:val="sq-AL"/>
        </w:rPr>
        <w:t>% në vitin 2016, në nivelin 0.</w:t>
      </w:r>
      <w:r w:rsidR="00CB395B">
        <w:rPr>
          <w:lang w:val="sq-AL"/>
        </w:rPr>
        <w:t>7</w:t>
      </w:r>
      <w:r w:rsidRPr="00D73F43">
        <w:rPr>
          <w:lang w:val="sq-AL"/>
        </w:rPr>
        <w:t xml:space="preserve"> % të PBB në 2017, tregues i qartë i  përgjegjshmërisë së Qeverisë, që dhe në një vit elektoral, do të vijojë më tej me angazhimin e saj madhor për të garantuar financa publike të shëndosha dhe gjeneruese të rritjes ekono</w:t>
      </w:r>
      <w:r w:rsidR="002D40D5">
        <w:rPr>
          <w:lang w:val="sq-AL"/>
        </w:rPr>
        <w:t>mike në periudhën afatmesme dhe</w:t>
      </w:r>
      <w:r w:rsidRPr="00D73F43">
        <w:rPr>
          <w:lang w:val="sq-AL"/>
        </w:rPr>
        <w:t xml:space="preserve"> afatgjatë.  </w:t>
      </w:r>
    </w:p>
    <w:p w:rsidR="00B0121D" w:rsidRPr="00D73F43" w:rsidRDefault="00B0121D" w:rsidP="00B0121D">
      <w:pPr>
        <w:spacing w:line="276" w:lineRule="auto"/>
        <w:jc w:val="both"/>
        <w:rPr>
          <w:lang w:val="sq-AL"/>
        </w:rPr>
      </w:pPr>
    </w:p>
    <w:p w:rsidR="00B0121D" w:rsidRPr="00D73F43" w:rsidRDefault="00B0121D" w:rsidP="00B0121D">
      <w:pPr>
        <w:spacing w:line="276" w:lineRule="auto"/>
        <w:jc w:val="both"/>
        <w:rPr>
          <w:noProof/>
          <w:lang w:val="sq-AL"/>
        </w:rPr>
      </w:pPr>
      <w:r w:rsidRPr="00D73F43">
        <w:rPr>
          <w:noProof/>
          <w:lang w:val="sq-AL"/>
        </w:rPr>
        <w:t xml:space="preserve">Rritja ekonomike, bazuar në projeksionet tona, do të arrijë nivelin e 3.8% në vitin 2017, duke </w:t>
      </w:r>
      <w:r w:rsidR="009E0E6D">
        <w:rPr>
          <w:noProof/>
          <w:lang w:val="sq-AL"/>
        </w:rPr>
        <w:t>arritur</w:t>
      </w:r>
      <w:r w:rsidRPr="00D73F43">
        <w:rPr>
          <w:noProof/>
          <w:lang w:val="sq-AL"/>
        </w:rPr>
        <w:t xml:space="preserve"> një nivel mesatar mbi 4% për tre vitet e ardhshme. Investimet dhe konsumi privat do të vijojnë të jenë gje</w:t>
      </w:r>
      <w:r w:rsidR="00731955">
        <w:rPr>
          <w:noProof/>
          <w:lang w:val="sq-AL"/>
        </w:rPr>
        <w:t xml:space="preserve">neratorët kryesorë të rritjes. </w:t>
      </w:r>
      <w:r w:rsidRPr="00D73F43">
        <w:rPr>
          <w:noProof/>
          <w:lang w:val="sq-AL"/>
        </w:rPr>
        <w:t xml:space="preserve">Investimet publike do të luajnë gjithashtu një rol të rëndësishëm, ndaj janë planifikuar në një nivel relativisht të lartë në vitin 2017, </w:t>
      </w:r>
      <w:r w:rsidR="00CB395B" w:rsidRPr="00D06B7E">
        <w:rPr>
          <w:noProof/>
          <w:lang w:val="sq-AL"/>
        </w:rPr>
        <w:t>duke q</w:t>
      </w:r>
      <w:r w:rsidR="00CB395B">
        <w:rPr>
          <w:noProof/>
          <w:lang w:val="sq-AL"/>
        </w:rPr>
        <w:t>ë</w:t>
      </w:r>
      <w:r w:rsidR="00CB395B" w:rsidRPr="00D06B7E">
        <w:rPr>
          <w:noProof/>
          <w:lang w:val="sq-AL"/>
        </w:rPr>
        <w:t>ndruar af</w:t>
      </w:r>
      <w:r w:rsidR="00CB395B">
        <w:rPr>
          <w:noProof/>
          <w:lang w:val="sq-AL"/>
        </w:rPr>
        <w:t>ë</w:t>
      </w:r>
      <w:r w:rsidR="00CB395B" w:rsidRPr="00D06B7E">
        <w:rPr>
          <w:noProof/>
          <w:lang w:val="sq-AL"/>
        </w:rPr>
        <w:t xml:space="preserve">r </w:t>
      </w:r>
      <w:r w:rsidR="00CB395B" w:rsidRPr="00424C58">
        <w:rPr>
          <w:noProof/>
          <w:lang w:val="sq-AL"/>
        </w:rPr>
        <w:t>niveli</w:t>
      </w:r>
      <w:r w:rsidR="00CB395B" w:rsidRPr="007570A2">
        <w:rPr>
          <w:noProof/>
          <w:lang w:val="sq-AL"/>
        </w:rPr>
        <w:t>t</w:t>
      </w:r>
      <w:r w:rsidR="00CB395B" w:rsidRPr="000269AB">
        <w:rPr>
          <w:noProof/>
          <w:lang w:val="sq-AL"/>
        </w:rPr>
        <w:t xml:space="preserve"> </w:t>
      </w:r>
      <w:r w:rsidR="00CB395B" w:rsidRPr="001165A6">
        <w:rPr>
          <w:noProof/>
          <w:lang w:val="sq-AL"/>
        </w:rPr>
        <w:t>5% t</w:t>
      </w:r>
      <w:r w:rsidR="00CB395B">
        <w:rPr>
          <w:noProof/>
          <w:lang w:val="sq-AL"/>
        </w:rPr>
        <w:t>ë</w:t>
      </w:r>
      <w:r w:rsidR="00CB395B" w:rsidRPr="001165A6">
        <w:rPr>
          <w:noProof/>
          <w:lang w:val="sq-AL"/>
        </w:rPr>
        <w:t xml:space="preserve"> PBB</w:t>
      </w:r>
      <w:r w:rsidR="00CB395B" w:rsidRPr="00443237">
        <w:rPr>
          <w:noProof/>
          <w:lang w:val="sq-AL"/>
        </w:rPr>
        <w:t>, si p</w:t>
      </w:r>
      <w:r w:rsidR="00CB395B">
        <w:rPr>
          <w:noProof/>
          <w:lang w:val="sq-AL"/>
        </w:rPr>
        <w:t>ë</w:t>
      </w:r>
      <w:r w:rsidR="00CB395B" w:rsidRPr="00443237">
        <w:rPr>
          <w:noProof/>
          <w:lang w:val="sq-AL"/>
        </w:rPr>
        <w:t>r vitin 2017 ashtu edhe n</w:t>
      </w:r>
      <w:r w:rsidR="00CB395B">
        <w:rPr>
          <w:noProof/>
          <w:lang w:val="sq-AL"/>
        </w:rPr>
        <w:t>ë</w:t>
      </w:r>
      <w:r w:rsidR="00CB395B" w:rsidRPr="00443237">
        <w:rPr>
          <w:noProof/>
          <w:lang w:val="sq-AL"/>
        </w:rPr>
        <w:t xml:space="preserve"> horizontin kohor afatmes</w:t>
      </w:r>
      <w:r w:rsidR="00CB395B">
        <w:rPr>
          <w:noProof/>
          <w:lang w:val="sq-AL"/>
        </w:rPr>
        <w:t>ë</w:t>
      </w:r>
      <w:r w:rsidR="00CB395B" w:rsidRPr="00443237">
        <w:rPr>
          <w:noProof/>
          <w:lang w:val="sq-AL"/>
        </w:rPr>
        <w:t>m. Kjo mund të konsiderohet si një a</w:t>
      </w:r>
      <w:r w:rsidR="00CB395B" w:rsidRPr="005C22D5">
        <w:rPr>
          <w:noProof/>
          <w:lang w:val="sq-AL"/>
        </w:rPr>
        <w:t>rritje e Qeverisë në një kohë kur reduktimi i borxhit publik mbetet prioritet</w:t>
      </w:r>
      <w:r w:rsidR="00CB395B" w:rsidRPr="00D06B7E">
        <w:rPr>
          <w:noProof/>
          <w:lang w:val="sq-AL"/>
        </w:rPr>
        <w:t xml:space="preserve"> madhor i politikës fiskale.</w:t>
      </w:r>
    </w:p>
    <w:p w:rsidR="00B0121D" w:rsidRPr="00D73F43" w:rsidRDefault="00B0121D" w:rsidP="00B0121D">
      <w:pPr>
        <w:spacing w:line="276" w:lineRule="auto"/>
        <w:jc w:val="both"/>
        <w:rPr>
          <w:noProof/>
          <w:lang w:val="sq-AL"/>
        </w:rPr>
      </w:pPr>
    </w:p>
    <w:p w:rsidR="00B0121D" w:rsidRPr="00D73F43" w:rsidRDefault="00B0121D" w:rsidP="00B0121D">
      <w:pPr>
        <w:spacing w:line="276" w:lineRule="auto"/>
        <w:jc w:val="both"/>
        <w:rPr>
          <w:noProof/>
          <w:lang w:val="sq-AL"/>
        </w:rPr>
      </w:pPr>
      <w:r w:rsidRPr="00D73F43">
        <w:rPr>
          <w:lang w:val="sq-AL"/>
        </w:rPr>
        <w:t>Ndërkohë, defiçiti i përgjithshëm fiskal i targetuar</w:t>
      </w:r>
      <w:r w:rsidR="002D40D5">
        <w:rPr>
          <w:lang w:val="sq-AL"/>
        </w:rPr>
        <w:t xml:space="preserve"> në buxhetin e vitit 2017 është</w:t>
      </w:r>
      <w:r w:rsidRPr="00D73F43">
        <w:rPr>
          <w:lang w:val="sq-AL"/>
        </w:rPr>
        <w:t xml:space="preserve"> 2%</w:t>
      </w:r>
      <w:r w:rsidR="002D40D5">
        <w:rPr>
          <w:lang w:val="sq-AL"/>
        </w:rPr>
        <w:t>,</w:t>
      </w:r>
      <w:r w:rsidRPr="00D73F43">
        <w:rPr>
          <w:lang w:val="sq-AL"/>
        </w:rPr>
        <w:t xml:space="preserve"> niveli më i ulët historik përgjatë më shumë se dy dekadave të fundit. </w:t>
      </w:r>
    </w:p>
    <w:p w:rsidR="00CB395B" w:rsidRDefault="00CB395B" w:rsidP="00B0121D">
      <w:pPr>
        <w:spacing w:line="276" w:lineRule="auto"/>
        <w:jc w:val="both"/>
        <w:rPr>
          <w:lang w:val="sq-AL"/>
        </w:rPr>
      </w:pPr>
    </w:p>
    <w:p w:rsidR="00CB395B" w:rsidRDefault="00CB395B" w:rsidP="00B0121D">
      <w:pPr>
        <w:spacing w:line="276" w:lineRule="auto"/>
        <w:jc w:val="both"/>
        <w:rPr>
          <w:lang w:val="sq-AL"/>
        </w:rPr>
      </w:pPr>
    </w:p>
    <w:p w:rsidR="00CB395B" w:rsidRDefault="00CB395B" w:rsidP="00B0121D">
      <w:pPr>
        <w:spacing w:line="276" w:lineRule="auto"/>
        <w:jc w:val="both"/>
        <w:rPr>
          <w:lang w:val="sq-AL"/>
        </w:rPr>
      </w:pPr>
      <w:r w:rsidRPr="00443237">
        <w:rPr>
          <w:lang w:val="sq-AL"/>
        </w:rPr>
        <w:lastRenderedPageBreak/>
        <w:t>Në aspektin e finan</w:t>
      </w:r>
      <w:r w:rsidRPr="005C22D5">
        <w:rPr>
          <w:lang w:val="sq-AL"/>
        </w:rPr>
        <w:t>cimit të deficitit buxhetor, ky buxhet programon që mbështetja për financim nga tregu i</w:t>
      </w:r>
      <w:r w:rsidRPr="00D06B7E">
        <w:rPr>
          <w:lang w:val="sq-AL"/>
        </w:rPr>
        <w:t xml:space="preserve"> brendshëm të jetë n</w:t>
      </w:r>
      <w:r>
        <w:rPr>
          <w:lang w:val="sq-AL"/>
        </w:rPr>
        <w:t>ë</w:t>
      </w:r>
      <w:r w:rsidRPr="00D06B7E">
        <w:rPr>
          <w:lang w:val="sq-AL"/>
        </w:rPr>
        <w:t xml:space="preserve"> p</w:t>
      </w:r>
      <w:r>
        <w:rPr>
          <w:lang w:val="sq-AL"/>
        </w:rPr>
        <w:t>ë</w:t>
      </w:r>
      <w:r w:rsidRPr="00D06B7E">
        <w:rPr>
          <w:lang w:val="sq-AL"/>
        </w:rPr>
        <w:t>rmasa optimale</w:t>
      </w:r>
      <w:r w:rsidRPr="00424C58">
        <w:rPr>
          <w:lang w:val="sq-AL"/>
        </w:rPr>
        <w:t>, duke lënë në këtë mënyrë thuajse të gjithë hapësirën për financim të tregut të brendshëm drejt sektori</w:t>
      </w:r>
      <w:r w:rsidRPr="007570A2">
        <w:rPr>
          <w:lang w:val="sq-AL"/>
        </w:rPr>
        <w:t>t</w:t>
      </w:r>
      <w:r w:rsidRPr="000269AB">
        <w:rPr>
          <w:lang w:val="sq-AL"/>
        </w:rPr>
        <w:t xml:space="preserve"> privat. Në</w:t>
      </w:r>
      <w:r w:rsidRPr="00F352F4">
        <w:rPr>
          <w:lang w:val="sq-AL"/>
        </w:rPr>
        <w:t xml:space="preserve"> kontekstin </w:t>
      </w:r>
      <w:r w:rsidRPr="0011425E">
        <w:rPr>
          <w:lang w:val="sq-AL"/>
        </w:rPr>
        <w:t xml:space="preserve">e </w:t>
      </w:r>
      <w:r w:rsidRPr="000C3123">
        <w:rPr>
          <w:lang w:val="sq-AL"/>
        </w:rPr>
        <w:t>reformave të ndërmarra gjatë këtyre viteve, ky projekt</w:t>
      </w:r>
      <w:r w:rsidRPr="00985764">
        <w:rPr>
          <w:lang w:val="sq-AL"/>
        </w:rPr>
        <w:t>-</w:t>
      </w:r>
      <w:r w:rsidRPr="001165A6">
        <w:rPr>
          <w:lang w:val="sq-AL"/>
        </w:rPr>
        <w:t>buxhet mundëson arritjen e objektivit për konsolidim fiskal nëpërmjet uljes graduale të borxhit publik nga 71.8%</w:t>
      </w:r>
      <w:r w:rsidRPr="00443237">
        <w:rPr>
          <w:lang w:val="sq-AL"/>
        </w:rPr>
        <w:t xml:space="preserve"> e PBB-së i </w:t>
      </w:r>
      <w:r w:rsidRPr="005C22D5">
        <w:rPr>
          <w:lang w:val="sq-AL"/>
        </w:rPr>
        <w:t>targetuar</w:t>
      </w:r>
      <w:r w:rsidRPr="00D06B7E">
        <w:rPr>
          <w:lang w:val="sq-AL"/>
        </w:rPr>
        <w:t xml:space="preserve"> për vitin 2016, në </w:t>
      </w:r>
      <w:r w:rsidRPr="001165A6">
        <w:rPr>
          <w:lang w:val="sq-AL"/>
        </w:rPr>
        <w:t>69.1%</w:t>
      </w:r>
      <w:r w:rsidRPr="00443237">
        <w:rPr>
          <w:lang w:val="sq-AL"/>
        </w:rPr>
        <w:t xml:space="preserve"> e PBB-së në vitin 2017.</w:t>
      </w:r>
    </w:p>
    <w:p w:rsidR="002121C6" w:rsidRDefault="002121C6" w:rsidP="00B0121D">
      <w:pPr>
        <w:spacing w:line="276" w:lineRule="auto"/>
        <w:jc w:val="both"/>
        <w:rPr>
          <w:lang w:val="sq-AL"/>
        </w:rPr>
      </w:pPr>
    </w:p>
    <w:p w:rsidR="00B0121D" w:rsidRPr="00D73F43" w:rsidRDefault="009E0E6D" w:rsidP="00B0121D">
      <w:pPr>
        <w:spacing w:line="276" w:lineRule="auto"/>
        <w:jc w:val="both"/>
        <w:rPr>
          <w:lang w:val="sq-AL"/>
        </w:rPr>
      </w:pPr>
      <w:r>
        <w:rPr>
          <w:lang w:val="sq-AL"/>
        </w:rPr>
        <w:t>Projektb</w:t>
      </w:r>
      <w:r w:rsidR="00B0121D" w:rsidRPr="00D73F43">
        <w:rPr>
          <w:lang w:val="sq-AL"/>
        </w:rPr>
        <w:t xml:space="preserve">uxheti i vitit 2017 </w:t>
      </w:r>
      <w:r w:rsidR="00B0121D" w:rsidRPr="00CB395B">
        <w:rPr>
          <w:lang w:val="sq-AL"/>
        </w:rPr>
        <w:t>mbështet reformat në sektorët kyç si:</w:t>
      </w:r>
    </w:p>
    <w:p w:rsidR="00B0121D" w:rsidRPr="00D73F43" w:rsidRDefault="00B0121D" w:rsidP="00B0121D">
      <w:pPr>
        <w:spacing w:line="276" w:lineRule="auto"/>
        <w:jc w:val="both"/>
        <w:rPr>
          <w:lang w:val="sq-AL"/>
        </w:rPr>
      </w:pPr>
    </w:p>
    <w:p w:rsidR="00B0121D" w:rsidRPr="00D73F43" w:rsidRDefault="00B0121D" w:rsidP="00534AA6">
      <w:pPr>
        <w:numPr>
          <w:ilvl w:val="0"/>
          <w:numId w:val="35"/>
        </w:numPr>
        <w:spacing w:line="276" w:lineRule="auto"/>
        <w:jc w:val="both"/>
        <w:rPr>
          <w:b/>
          <w:lang w:val="sq-AL"/>
        </w:rPr>
      </w:pPr>
      <w:r w:rsidRPr="00D73F43">
        <w:rPr>
          <w:b/>
          <w:lang w:val="sq-AL"/>
        </w:rPr>
        <w:t>Reforma e Drejtësisë</w:t>
      </w:r>
    </w:p>
    <w:p w:rsidR="00B0121D" w:rsidRPr="00D73F43" w:rsidRDefault="00B0121D" w:rsidP="00B0121D">
      <w:pPr>
        <w:spacing w:line="276" w:lineRule="auto"/>
        <w:jc w:val="both"/>
        <w:rPr>
          <w:rFonts w:eastAsia="Calibri"/>
          <w:lang w:val="sq-AL"/>
        </w:rPr>
      </w:pPr>
      <w:r w:rsidRPr="00D73F43">
        <w:rPr>
          <w:lang w:val="sq-AL"/>
        </w:rPr>
        <w:t xml:space="preserve">Reforma synon krijimin e një </w:t>
      </w:r>
      <w:r w:rsidRPr="00D73F43">
        <w:rPr>
          <w:rFonts w:eastAsia="Calibri"/>
          <w:lang w:val="sq-AL"/>
        </w:rPr>
        <w:t xml:space="preserve">sistemi ligjor koherent të sistemuar e të harmonizuar së brendshmi dhe me standardet ndërkombëtare e që zbatohet njëtrajtësisht nga institucionet e sistemit të drejtësisë. Reforma në drejtësi do të krijojë kushtet që trupa e gjyqtarëve dhe prokurorëve të përmbushë standardet më të larta të integritetit dhe etikës përmes ngritjes së sistemeve për monitorimin dhe testimin e vazhdueshëm të integritetit moral, etik dhe psikologjik të tyre, si kriter të nevojshëm për qëndrimin në detyrë. </w:t>
      </w:r>
    </w:p>
    <w:p w:rsidR="00B0121D" w:rsidRPr="00D73F43" w:rsidRDefault="00B0121D" w:rsidP="00B0121D">
      <w:pPr>
        <w:spacing w:line="276" w:lineRule="auto"/>
        <w:jc w:val="both"/>
        <w:rPr>
          <w:b/>
          <w:lang w:val="sq-AL"/>
        </w:rPr>
      </w:pPr>
    </w:p>
    <w:p w:rsidR="00B0121D" w:rsidRPr="00D73F43" w:rsidRDefault="00B0121D" w:rsidP="00534AA6">
      <w:pPr>
        <w:numPr>
          <w:ilvl w:val="0"/>
          <w:numId w:val="35"/>
        </w:numPr>
        <w:spacing w:line="276" w:lineRule="auto"/>
        <w:jc w:val="both"/>
        <w:rPr>
          <w:b/>
          <w:lang w:val="sq-AL"/>
        </w:rPr>
      </w:pPr>
      <w:r w:rsidRPr="00D73F43">
        <w:rPr>
          <w:b/>
          <w:lang w:val="sq-AL"/>
        </w:rPr>
        <w:t>Reforma Administrative-Territoriale</w:t>
      </w:r>
    </w:p>
    <w:p w:rsidR="00B0121D" w:rsidRPr="00D73F43" w:rsidRDefault="00B0121D" w:rsidP="00B0121D">
      <w:pPr>
        <w:spacing w:line="276" w:lineRule="auto"/>
        <w:jc w:val="both"/>
        <w:rPr>
          <w:lang w:val="sq-AL"/>
        </w:rPr>
      </w:pPr>
      <w:r w:rsidRPr="00D73F43">
        <w:rPr>
          <w:lang w:val="sq-AL"/>
        </w:rPr>
        <w:t xml:space="preserve">Kjo reformë e shoqëruar me thellimin e procesit të decentralizimit ka filluar të japë efekte që më buxhetin e vitit 2016 të konkretizuar me investimet e rëndësishme që u bënë në sektorin e ujitjes dhe kullimit. Funksionet e transferuara në vitin 2016 në bashkitë si: menaxhimi i ujitjes dhe kullimit, arsimi parashkollor dhe parauniversitar, administrimi i pyjeve dhe kullotave, shërbimi zjarrfikës dhe shërbimet sociale, do të përfitojnë një financim më të lartë në buxhetin e vitit 2017. Vlen për t’u theksuar se shërbimi zjarrëfikës do zgjerohet për herë të parë edhe në 12 bashki të tjera të vendit. </w:t>
      </w:r>
    </w:p>
    <w:p w:rsidR="00B0121D" w:rsidRPr="00D73F43" w:rsidRDefault="00B0121D" w:rsidP="00B0121D">
      <w:pPr>
        <w:spacing w:line="276" w:lineRule="auto"/>
        <w:jc w:val="both"/>
        <w:rPr>
          <w:lang w:val="sq-AL"/>
        </w:rPr>
      </w:pPr>
    </w:p>
    <w:p w:rsidR="00B0121D" w:rsidRPr="00D73F43" w:rsidRDefault="00B0121D" w:rsidP="00534AA6">
      <w:pPr>
        <w:numPr>
          <w:ilvl w:val="0"/>
          <w:numId w:val="35"/>
        </w:numPr>
        <w:spacing w:line="276" w:lineRule="auto"/>
        <w:jc w:val="both"/>
        <w:rPr>
          <w:b/>
          <w:lang w:val="sq-AL"/>
        </w:rPr>
      </w:pPr>
      <w:r w:rsidRPr="00D73F43">
        <w:rPr>
          <w:b/>
          <w:lang w:val="sq-AL"/>
        </w:rPr>
        <w:t>Reforma e Sektorit të Ujit</w:t>
      </w:r>
    </w:p>
    <w:p w:rsidR="00B0121D" w:rsidRPr="00D73F43" w:rsidRDefault="00B0121D" w:rsidP="00B0121D">
      <w:pPr>
        <w:spacing w:line="276" w:lineRule="auto"/>
        <w:jc w:val="both"/>
        <w:rPr>
          <w:lang w:val="sq-AL"/>
        </w:rPr>
      </w:pPr>
      <w:r w:rsidRPr="00D73F43">
        <w:rPr>
          <w:lang w:val="sq-AL"/>
        </w:rPr>
        <w:t>Reforma e këtij sektori synon të rrisë dukshëm aksesin dhe cilësinë e shërbimit të ujit të pijshëm dhe kanalizimeve përmes: (i) një portofoli të mirë-shënjestruar të investimeve publike; dhe (ii) përmirësimit rrënjësor të menaxhimit të shoqërive aksionere të ujësjellës kanalizimeve, duke standartizuar parimet e qeverisjes së sektorit. Qeverisja Qendrore do të mbështesë këtë reformë përmes rritjes së masës së subvencionit për ujësjellës-kanalizimet duke u fokusuar në qasjen e re të mënyrës së subvencionimit e lidhur me subvencionimin e shtresave në nevojë.</w:t>
      </w:r>
    </w:p>
    <w:p w:rsidR="00B0121D" w:rsidRPr="00D73F43" w:rsidRDefault="00B0121D" w:rsidP="00B0121D">
      <w:pPr>
        <w:spacing w:line="276" w:lineRule="auto"/>
        <w:jc w:val="both"/>
        <w:rPr>
          <w:lang w:val="sq-AL"/>
        </w:rPr>
      </w:pPr>
    </w:p>
    <w:p w:rsidR="00B0121D" w:rsidRPr="00D73F43" w:rsidRDefault="00B0121D" w:rsidP="00534AA6">
      <w:pPr>
        <w:numPr>
          <w:ilvl w:val="0"/>
          <w:numId w:val="35"/>
        </w:numPr>
        <w:spacing w:line="276" w:lineRule="auto"/>
        <w:jc w:val="both"/>
        <w:rPr>
          <w:b/>
          <w:lang w:val="sq-AL"/>
        </w:rPr>
      </w:pPr>
      <w:r w:rsidRPr="00D73F43">
        <w:rPr>
          <w:b/>
          <w:lang w:val="sq-AL"/>
        </w:rPr>
        <w:t>Reforma e Administratës Publike</w:t>
      </w:r>
    </w:p>
    <w:p w:rsidR="00B0121D" w:rsidRPr="00D73F43" w:rsidRDefault="00B0121D" w:rsidP="00B0121D">
      <w:pPr>
        <w:spacing w:after="240" w:line="276" w:lineRule="auto"/>
        <w:jc w:val="both"/>
        <w:rPr>
          <w:rFonts w:eastAsia="Times New Roman"/>
          <w:lang w:val="sq-AL"/>
        </w:rPr>
      </w:pPr>
      <w:r w:rsidRPr="00D73F43">
        <w:rPr>
          <w:lang w:val="sq-AL"/>
        </w:rPr>
        <w:t>Reforma në Administratën Publike do të vijojë punën në fushat e shërbimeve publike, qeverisjes elektronike dhe administratës publike. Në fushën e shërbimeve publike do të vijojë transformimi rrënjësor i më</w:t>
      </w:r>
      <w:r w:rsidR="00731955">
        <w:rPr>
          <w:lang w:val="sq-AL"/>
        </w:rPr>
        <w:t xml:space="preserve">nyrës së ofrimit të shërbimeve </w:t>
      </w:r>
      <w:r w:rsidRPr="00D73F43">
        <w:rPr>
          <w:lang w:val="sq-AL"/>
        </w:rPr>
        <w:t>përmes qasjes me në qendër qytetarin.</w:t>
      </w:r>
      <w:r w:rsidRPr="00D73F43">
        <w:rPr>
          <w:rFonts w:eastAsia="Times New Roman"/>
          <w:lang w:val="sq-AL"/>
        </w:rPr>
        <w:t xml:space="preserve"> Në fushën e qeverisjes elektronike, për vitin 2017 është parashikuar që investimet publike të përqendrohen në konsolidimin e shërbimeve elektronike dhe online si dhe në konsolidimin dhe rritjen e sigurisë së infrastrukturës dixhitale dhe të dhënave shtetërore. Në fushën e administratës publike, do të vijojë puna për reformimin e sistemit të pagave. Në këtë kontekst, do të realizohet një politikë për rritjen e pagave e cila bëhet e diferencuar, duke i dhënë prioritet kryesisht pagës minimale, pagës në sistemin arsimor dhe shëndetësor, pagës së administratës publike si dhe pagës së punonjësve në sistemin e Policisë së Shtetit.</w:t>
      </w:r>
    </w:p>
    <w:p w:rsidR="00057989" w:rsidRDefault="00057989">
      <w:pPr>
        <w:spacing w:after="200" w:line="276" w:lineRule="auto"/>
        <w:rPr>
          <w:lang w:val="sq-AL"/>
        </w:rPr>
      </w:pPr>
      <w:r>
        <w:rPr>
          <w:lang w:val="sq-AL"/>
        </w:rPr>
        <w:br w:type="page"/>
      </w:r>
    </w:p>
    <w:p w:rsidR="00B0121D" w:rsidRPr="00D73F43" w:rsidRDefault="00B0121D" w:rsidP="00B0121D">
      <w:pPr>
        <w:pStyle w:val="Heading1"/>
        <w:numPr>
          <w:ilvl w:val="0"/>
          <w:numId w:val="2"/>
        </w:numPr>
        <w:tabs>
          <w:tab w:val="clear" w:pos="5954"/>
          <w:tab w:val="center" w:pos="709"/>
        </w:tabs>
        <w:spacing w:line="276" w:lineRule="auto"/>
        <w:jc w:val="both"/>
        <w:rPr>
          <w:bCs/>
          <w:iCs/>
          <w:caps w:val="0"/>
          <w:sz w:val="28"/>
          <w:lang w:val="sq-AL"/>
        </w:rPr>
      </w:pPr>
      <w:bookmarkStart w:id="6" w:name="_Toc400699613"/>
      <w:bookmarkStart w:id="7" w:name="_Toc400699691"/>
      <w:bookmarkStart w:id="8" w:name="_Toc466445429"/>
      <w:bookmarkStart w:id="9" w:name="_Toc368565533"/>
      <w:bookmarkStart w:id="10" w:name="_Toc374018867"/>
      <w:bookmarkEnd w:id="1"/>
      <w:bookmarkEnd w:id="5"/>
      <w:r w:rsidRPr="00D73F43">
        <w:rPr>
          <w:bCs/>
          <w:iCs/>
          <w:caps w:val="0"/>
          <w:sz w:val="28"/>
          <w:lang w:val="sq-AL"/>
        </w:rPr>
        <w:lastRenderedPageBreak/>
        <w:t>SITUATA EKONOMIKE</w:t>
      </w:r>
      <w:bookmarkEnd w:id="6"/>
      <w:bookmarkEnd w:id="7"/>
      <w:bookmarkEnd w:id="8"/>
      <w:r w:rsidRPr="00D73F43">
        <w:rPr>
          <w:bCs/>
          <w:iCs/>
          <w:caps w:val="0"/>
          <w:sz w:val="28"/>
          <w:lang w:val="sq-AL"/>
        </w:rPr>
        <w:t xml:space="preserve">    </w:t>
      </w:r>
    </w:p>
    <w:p w:rsidR="00B0121D" w:rsidRPr="00D73F43" w:rsidRDefault="00B0121D" w:rsidP="00B0121D">
      <w:pPr>
        <w:rPr>
          <w:lang w:val="sq-AL"/>
        </w:rPr>
      </w:pPr>
    </w:p>
    <w:p w:rsidR="00B0121D" w:rsidRPr="00D73F43" w:rsidRDefault="00B0121D" w:rsidP="00B0121D">
      <w:pPr>
        <w:pStyle w:val="Heading1"/>
        <w:numPr>
          <w:ilvl w:val="1"/>
          <w:numId w:val="2"/>
        </w:numPr>
        <w:tabs>
          <w:tab w:val="clear" w:pos="5954"/>
          <w:tab w:val="center" w:pos="709"/>
        </w:tabs>
        <w:spacing w:line="276" w:lineRule="auto"/>
        <w:jc w:val="both"/>
        <w:rPr>
          <w:bCs/>
          <w:iCs/>
          <w:caps w:val="0"/>
          <w:sz w:val="28"/>
          <w:lang w:val="sq-AL"/>
        </w:rPr>
      </w:pPr>
      <w:bookmarkStart w:id="11" w:name="_Toc466445430"/>
      <w:r w:rsidRPr="00D73F43">
        <w:rPr>
          <w:bCs/>
          <w:iCs/>
          <w:caps w:val="0"/>
          <w:noProof/>
          <w:sz w:val="26"/>
          <w:szCs w:val="26"/>
          <w:lang w:val="sq-AL"/>
        </w:rPr>
        <w:t>ZHVILLIMET KRYESORE MAKROEKONOMIKE GJATË VITIT 2016</w:t>
      </w:r>
      <w:bookmarkEnd w:id="11"/>
      <w:r w:rsidRPr="00D73F43">
        <w:rPr>
          <w:bCs/>
          <w:iCs/>
          <w:caps w:val="0"/>
          <w:noProof/>
          <w:sz w:val="26"/>
          <w:szCs w:val="26"/>
          <w:lang w:val="sq-AL"/>
        </w:rPr>
        <w:t xml:space="preserve"> </w:t>
      </w:r>
    </w:p>
    <w:p w:rsidR="00653DFF" w:rsidRDefault="00653DFF" w:rsidP="008F3E78">
      <w:pPr>
        <w:spacing w:before="120" w:after="120" w:line="276" w:lineRule="auto"/>
        <w:jc w:val="both"/>
        <w:rPr>
          <w:lang w:val="sq-AL"/>
        </w:rPr>
      </w:pPr>
      <w:bookmarkStart w:id="12" w:name="_Toc465089720"/>
      <w:bookmarkStart w:id="13" w:name="_Toc465507364"/>
      <w:bookmarkStart w:id="14" w:name="_Toc465509158"/>
      <w:bookmarkStart w:id="15" w:name="_Toc401685482"/>
      <w:bookmarkEnd w:id="12"/>
      <w:bookmarkEnd w:id="13"/>
      <w:bookmarkEnd w:id="14"/>
      <w:r w:rsidRPr="008F4A20">
        <w:rPr>
          <w:lang w:val="sq-AL"/>
        </w:rPr>
        <w:t>Nga tërësia e statistikave dhe informacioneve të disponueshme, duket se ekonomia ka hyrë tashmë në një trajektore përshpejtuese të rritjes.</w:t>
      </w:r>
      <w:r>
        <w:rPr>
          <w:lang w:val="sq-AL"/>
        </w:rPr>
        <w:t xml:space="preserve"> Referuar statistikave të llogarive kombëtare tremujore, rezulton një përshpejtim i rritjes ekonomike për gjashtëmujorin e parë të vitit 2016 në nivelin 3.14% nga 2.69% në po të njëjtën periudhë të 2015, apo nga 2.8% për 2015 në tërësi. Edhe midis tremujorëve të parë e të dytë të 2016 rezulton një përshpejtim i rritjes ekonomike me norma rritje përkatësisht 3.06% dhe 3.21%. </w:t>
      </w:r>
    </w:p>
    <w:p w:rsidR="00653DFF" w:rsidRDefault="00653DFF" w:rsidP="00653DFF">
      <w:pPr>
        <w:spacing w:before="120" w:after="120" w:line="276" w:lineRule="auto"/>
        <w:jc w:val="both"/>
        <w:rPr>
          <w:lang w:val="sq-AL"/>
        </w:rPr>
      </w:pPr>
      <w:r>
        <w:rPr>
          <w:lang w:val="sq-AL"/>
        </w:rPr>
        <w:t>Nga optika e kërkesës, rritja në gjysmën e parë të vitit 2016 është gjeneruar nga kërkesa e brendshme, edhe pse kërkesa e huaj dha një kontribut negativ. Sinjal të rëndësishëm përbën shfaqja e trendit pozitiv të konsumit për të katërtin tremujor rradhazi, që prej tremujorit të tretë të vitit 2015. Në gjysmën e parë të vitit 2016 konsumi regjistroi një rritje reale prej 3.1% nga një kontraktim i lehtë vjetor prej 0.7% për vitin 2015. Gjithashtu edhe investimet kanë vijuar të regjistrojnë ritme relativisht të larta, të vëna re që prej tremujorit të parë të vitit 2015, ndonëse në gjysmën e parë të 2016, këto ritme të rritjes u ngadalësuan disi, përgjithësisht rrjedhojë e uljes së investimeve në industrinë nxjerrëse e lidhur kjo me konjukturat e çmimeve të karburanteve. Investimet për gjysmën e parë të 2016 u rritën me 6.2% në terma real</w:t>
      </w:r>
      <w:r w:rsidR="00D241FC">
        <w:rPr>
          <w:lang w:val="sq-AL"/>
        </w:rPr>
        <w:t>ë</w:t>
      </w:r>
      <w:r>
        <w:rPr>
          <w:lang w:val="sq-AL"/>
        </w:rPr>
        <w:t xml:space="preserve"> nga një rritje prej 12.5% regjistruar në vitin 2015 në tërësi.</w:t>
      </w:r>
    </w:p>
    <w:p w:rsidR="00653DFF" w:rsidRDefault="00653DFF" w:rsidP="00653DFF">
      <w:pPr>
        <w:spacing w:before="120" w:after="120" w:line="276" w:lineRule="auto"/>
        <w:jc w:val="both"/>
        <w:rPr>
          <w:lang w:val="sq-AL"/>
        </w:rPr>
      </w:pPr>
      <w:r>
        <w:rPr>
          <w:lang w:val="sq-AL"/>
        </w:rPr>
        <w:t xml:space="preserve">Ndërkohë në kontributin negativ që dha kërkesa e huaj luajtën rol si rritja negative e eksporteve të mallrave e shkaktuar tërësisht nga eksportet e naftës bruto, ndonëse kjo u kompesua krejtësisht nga rritja e eksporteve të shërbimeve (shërbimet turistike, etj), ashtu edhe një rritje e fortë e importeve të mallrave dhe shërbimeve.  </w:t>
      </w:r>
    </w:p>
    <w:p w:rsidR="00653DFF" w:rsidRDefault="00653DFF" w:rsidP="00653DFF">
      <w:pPr>
        <w:spacing w:before="120" w:after="120" w:line="276" w:lineRule="auto"/>
        <w:jc w:val="both"/>
        <w:rPr>
          <w:lang w:val="sq-AL"/>
        </w:rPr>
      </w:pPr>
      <w:r>
        <w:rPr>
          <w:lang w:val="sq-AL"/>
        </w:rPr>
        <w:t xml:space="preserve">Nga optika e ofertës, kontributin kryesor në rritjen e gjysmës së parë të vitit 2016 e dhanë degët: Tregti, Hotele dhe Restorante, si dhe Transporti me rritje reale 5.4% dhe kontribut 0.8 pikë përqindje, Industria përpunuese me rritje 6.8% dhe kontribut 0.4 pikë përqindje, Ndërtimi me rritje 4.4% dhe kontribut 0.4 pikë përqindje, si dhe Informacioni dhe Komunikacioni me rritje 12.1% dhe kontribut 0.3 pikë përqindje. Ndërkohë, rritje dhe kontribut negativ për gjysmën e parë të 2016 kishin degët e Bujqësi, Pyjet dhe Peshkimi, si dhe Industria nxjerrëse. </w:t>
      </w:r>
    </w:p>
    <w:p w:rsidR="00653DFF" w:rsidRDefault="00653DFF" w:rsidP="00653DFF">
      <w:pPr>
        <w:spacing w:before="120" w:after="120" w:line="276" w:lineRule="auto"/>
        <w:jc w:val="both"/>
        <w:rPr>
          <w:lang w:val="sq-AL"/>
        </w:rPr>
      </w:pPr>
      <w:r>
        <w:rPr>
          <w:lang w:val="sq-AL"/>
        </w:rPr>
        <w:t xml:space="preserve">Përgjithësisht në linjë me përshpejtimin e vënë re në aktivitetin ekonomik rezulton edhe dinamika në tregun e punës. Sipas Anketës së forcave të punës, punësimi në gjysmën e parë të vitit 2016 u rrit me rreth 6.8%, kundrejt gjysmës së parë të vitit 2015, ndërkohë  shkalla e papunësisë ka vijuar trendin e saj rënës që prej T1-2014 ku shënoi pikun prej 18.0%, duke zbritur gradualisht në rreth 15.9% në T2-2016. Në harkun kohor të një viti, pra krahasuar me tremujorin e dytë të vitit 2015 ku shkalla e papunësisë regjistronte nivelin 17.3%, rezulton një reduktim prej 1.4 pikë përqindje, i cili përbën gjithashtu një sinjal të rëndësishëm pozitiv sa i takon situatës ekonomike dhe pritshmërive në vijimësi. </w:t>
      </w:r>
    </w:p>
    <w:p w:rsidR="00B0121D" w:rsidRPr="00D73F43" w:rsidRDefault="00653DFF" w:rsidP="00653DFF">
      <w:pPr>
        <w:pStyle w:val="ListParagraph"/>
        <w:spacing w:before="120" w:after="120" w:line="276" w:lineRule="auto"/>
        <w:ind w:left="0"/>
        <w:jc w:val="both"/>
        <w:rPr>
          <w:lang w:val="sq-AL" w:eastAsia="ja-JP"/>
        </w:rPr>
      </w:pPr>
      <w:r>
        <w:rPr>
          <w:lang w:val="sq-AL"/>
        </w:rPr>
        <w:t>Edhe treguesit e tjerë indirekt, në tërësi sinjalizojnë për një trend përshpejtues të ekonomisë. Ndër më kryesorët e treguesve indirekt, të cilët kanë njohur përmirësim konstant përfshirë edhe tremujorin e tretë të këtij viti, vlen të përmenden</w:t>
      </w:r>
      <w:r w:rsidR="00B0121D" w:rsidRPr="00D73F43">
        <w:rPr>
          <w:lang w:val="sq-AL"/>
        </w:rPr>
        <w:t xml:space="preserve">: </w:t>
      </w:r>
    </w:p>
    <w:p w:rsidR="00B0121D" w:rsidRPr="00D73F43" w:rsidRDefault="00B0121D" w:rsidP="00534AA6">
      <w:pPr>
        <w:pStyle w:val="ListParagraph"/>
        <w:numPr>
          <w:ilvl w:val="0"/>
          <w:numId w:val="39"/>
        </w:numPr>
        <w:spacing w:before="120" w:after="120" w:line="276" w:lineRule="auto"/>
        <w:jc w:val="both"/>
        <w:rPr>
          <w:lang w:val="sq-AL"/>
        </w:rPr>
      </w:pPr>
      <w:r w:rsidRPr="00D73F43">
        <w:rPr>
          <w:lang w:val="sq-AL" w:eastAsia="ja-JP"/>
        </w:rPr>
        <w:t xml:space="preserve">Treguesi i Ndjesisë Ekonomike (TNE), rezultoi me një rritje të konsiderueshme gjatë tremujorit të dytë të 2016 dhe veçanërisht atij të tretë. Përkatësisht në tremujorin e dytë ky indeks regjistroi një rritje prej 6.2 pikë përqindje kundrejt tremujorit të parë të 2016, ndërsa në tremujorin e tretë u rrit me  8.5 pikë përqindje  kundrejt tremujorit të dytë të 2016. </w:t>
      </w:r>
      <w:r w:rsidRPr="00D73F43">
        <w:rPr>
          <w:lang w:val="sq-AL"/>
        </w:rPr>
        <w:t xml:space="preserve"> Në harkun kohor të një viti, pra në krahasim me T3-2015, indeksi ka shënuar një rritje prej 9.8 pikë përqindje duke qëndruar tashmë </w:t>
      </w:r>
      <w:r w:rsidRPr="00D73F43">
        <w:rPr>
          <w:lang w:val="sq-AL"/>
        </w:rPr>
        <w:lastRenderedPageBreak/>
        <w:t>9.2 pikë mbi mesataren afatgjatë (në nivelin 100) dhe rreth 14.0 pikë përqindje mbi mesataren e 6 viteve të fundit (2010-2016)</w:t>
      </w:r>
      <w:r w:rsidRPr="00D73F43">
        <w:rPr>
          <w:lang w:val="sq-AL" w:eastAsia="ja-JP"/>
        </w:rPr>
        <w:t xml:space="preserve">. </w:t>
      </w:r>
    </w:p>
    <w:p w:rsidR="00B0121D" w:rsidRPr="00D73F43" w:rsidRDefault="00B0121D" w:rsidP="00534AA6">
      <w:pPr>
        <w:pStyle w:val="Default"/>
        <w:numPr>
          <w:ilvl w:val="0"/>
          <w:numId w:val="39"/>
        </w:numPr>
        <w:spacing w:before="120" w:after="120" w:line="276" w:lineRule="auto"/>
        <w:ind w:left="714" w:hanging="357"/>
        <w:jc w:val="both"/>
        <w:rPr>
          <w:color w:val="auto"/>
          <w:lang w:eastAsia="en-US"/>
        </w:rPr>
      </w:pPr>
      <w:r w:rsidRPr="00D73F43">
        <w:rPr>
          <w:color w:val="auto"/>
        </w:rPr>
        <w:t>Kreditimi i sektorit privat të ekonomisë ka njohur gjithashtu  përmirësim veçanërisht gjatë gjysmës së parë të këtij viti. E zhveshur nga efekti i  fshirjes së kredive të humbura nga bilancet e bankave, një prej masave të ndërmarra në kuadër të strategjisë së qeverisë për uljen e kredive të këqija në ekonomi  rezulton se rritja e stokut të kredisë për ekonominë deri në Gusht  2016 ishte rreth 3% në terma vjetorë.  Po ashtu edhe pritshmëritë e sektorit bankar, sa i takon standardeve për kreditimin, si të biznesit, ashtu edhe të individëve, rezultojnë të jenë më pozitive për pjesën e mbetur të vitit. Ndërkohë që sektori financiar përgjithësisht duket mjaft stabël, likuid dhe me parametra të mirë të mjaftueshmërisë së kapitalit dhe rentabilitetit,  bankat presin</w:t>
      </w:r>
      <w:r w:rsidRPr="00D73F43">
        <w:rPr>
          <w:b/>
          <w:bCs/>
          <w:color w:val="auto"/>
        </w:rPr>
        <w:t xml:space="preserve"> </w:t>
      </w:r>
      <w:r w:rsidRPr="00D73F43">
        <w:rPr>
          <w:color w:val="auto"/>
        </w:rPr>
        <w:t xml:space="preserve">që për tremujorin e katërt të 2016 standardet e kredisë për biznese të mbeten thuajse të pandryshuara, ndërkohë që ato për individë pritet të lehtësohen më tej. Kërkesa për kredi gjatë tremujorit të katërt 2016 pritet të shënojë rritje, si për bizneset, ashtu edhe për individët. </w:t>
      </w:r>
    </w:p>
    <w:p w:rsidR="00B0121D" w:rsidRPr="00D73F43" w:rsidRDefault="00B0121D" w:rsidP="00534AA6">
      <w:pPr>
        <w:pStyle w:val="ListParagraph"/>
        <w:numPr>
          <w:ilvl w:val="0"/>
          <w:numId w:val="39"/>
        </w:numPr>
        <w:spacing w:before="120" w:after="120" w:line="276" w:lineRule="auto"/>
        <w:jc w:val="both"/>
        <w:rPr>
          <w:lang w:val="sq-AL"/>
        </w:rPr>
      </w:pPr>
      <w:r w:rsidRPr="00D73F43">
        <w:rPr>
          <w:lang w:val="sq-AL"/>
        </w:rPr>
        <w:t xml:space="preserve">Në të njëjtën kohë tendenca në rritje e inflacionit gjatë tre muajve të fundit me një mesatare prej 1.9%, pas një periudhe  të inflacionit të ulët mesatar prej  0.7% përgjatë gjashtë muajve, implikon gjithashtu për një rimarrje të kërkesës agregate në tërësi dhe konsumit në mënyrë më të drejtpërdrejtë. </w:t>
      </w:r>
    </w:p>
    <w:p w:rsidR="00C610A8" w:rsidRDefault="00B0121D" w:rsidP="00B0121D">
      <w:pPr>
        <w:pStyle w:val="ListParagraph"/>
        <w:spacing w:before="120" w:after="120" w:line="276" w:lineRule="auto"/>
        <w:ind w:left="0"/>
        <w:jc w:val="both"/>
        <w:rPr>
          <w:lang w:val="sq-AL"/>
        </w:rPr>
      </w:pPr>
      <w:r w:rsidRPr="00D73F43">
        <w:rPr>
          <w:lang w:val="sq-AL"/>
        </w:rPr>
        <w:t>Një sinjal domethënës sa i takon trendit të aktivitetit ekonomik vjen edhe nga performanca e zërave kryesorë të të ardhurave fiskale.  Gjatë  9-mujorit 2016 (Janar-Shtator) të ardhurat nga tatimet e doganat kanë njohur një rritje prej rreth 7.5% kundrejt një viti më parë, ndërsa të ardhurat nga kontributet e Sigurimeve shoqërore janë rritur me rreth 13% kundrejt një viti më parë, duke reflektuar kryesisht përshpejtimin e aktivitetit ekonomik në vend dhe së dyti, përmirësimin e administrimit në mbledhjen e e të ardhurave.</w:t>
      </w:r>
      <w:r w:rsidR="00C610A8">
        <w:rPr>
          <w:lang w:val="sq-AL"/>
        </w:rPr>
        <w:t xml:space="preserve"> </w:t>
      </w:r>
    </w:p>
    <w:p w:rsidR="00B0121D" w:rsidRPr="00D73F43" w:rsidRDefault="00D241FC" w:rsidP="00B0121D">
      <w:pPr>
        <w:pStyle w:val="ListParagraph"/>
        <w:spacing w:before="120" w:after="120" w:line="276" w:lineRule="auto"/>
        <w:ind w:left="0"/>
        <w:jc w:val="both"/>
        <w:rPr>
          <w:lang w:val="sq-AL"/>
        </w:rPr>
      </w:pPr>
      <w:r>
        <w:rPr>
          <w:lang w:val="sq-AL"/>
        </w:rPr>
        <w:t>Të njëjtën  ecuri pozitive</w:t>
      </w:r>
      <w:r w:rsidR="00B0121D" w:rsidRPr="00D73F43">
        <w:rPr>
          <w:lang w:val="sq-AL"/>
        </w:rPr>
        <w:t xml:space="preserve"> paraqesin edhe statistikat e se</w:t>
      </w:r>
      <w:r w:rsidR="00C610A8">
        <w:rPr>
          <w:lang w:val="sq-AL"/>
        </w:rPr>
        <w:t xml:space="preserve">ktorit të jashtëm të ekonomisë. </w:t>
      </w:r>
      <w:r w:rsidR="00B0121D" w:rsidRPr="00D73F43">
        <w:rPr>
          <w:lang w:val="sq-AL"/>
        </w:rPr>
        <w:t>Sipas statistikave të tregtisë së jashtme, eksportet e mallrave gjatë 9-mujorit 2016, duke përjashtuar efektin e konjukturës ndërkombëtare të cmimeve të naftës bruto, e cila zë një peshë të rëndësishme në ek</w:t>
      </w:r>
      <w:r w:rsidR="004C19BB">
        <w:rPr>
          <w:lang w:val="sq-AL"/>
        </w:rPr>
        <w:t>sportet totale të vendit, rezul</w:t>
      </w:r>
      <w:r w:rsidR="00B0121D" w:rsidRPr="00D73F43">
        <w:rPr>
          <w:lang w:val="sq-AL"/>
        </w:rPr>
        <w:t>tojnë me një rritje prej rreth 6%. Në të njëjtën kohë importet totale të mallrave kanë rezultuar me një rritje prej 7.8% gjatë nëntë muajve të parë të vitit. Tek importi i mallrave, një indikacion i rëndësishëm vjen prej importit të mallrave kapitale (Makineri, materiali ndërtimi, etj.), të cilat janë rritur me rreth 15% gjatë kësaj pjese të vitit, përfshirë edhe tremujorin e tretë, duke konfirmuar  përshpjetimin e investimeve në ekonomi gjatë gjysmës së dytë të vitit.</w:t>
      </w:r>
    </w:p>
    <w:p w:rsidR="00B0121D" w:rsidRPr="00D73F43" w:rsidRDefault="00B0121D" w:rsidP="00B0121D">
      <w:pPr>
        <w:pStyle w:val="ListParagraph"/>
        <w:spacing w:before="120" w:after="120" w:line="276" w:lineRule="auto"/>
        <w:ind w:left="0"/>
        <w:jc w:val="both"/>
        <w:rPr>
          <w:lang w:val="sq-AL"/>
        </w:rPr>
      </w:pPr>
      <w:r w:rsidRPr="00D73F43">
        <w:rPr>
          <w:lang w:val="sq-AL"/>
        </w:rPr>
        <w:t>Referuar statistikave të bilancit të pagesave balanca tregtare gjatë gjysmës së parë të vitit,</w:t>
      </w:r>
      <w:r w:rsidR="008B2A81">
        <w:rPr>
          <w:lang w:val="sq-AL"/>
        </w:rPr>
        <w:t xml:space="preserve"> njohu një thellim të deficitit,</w:t>
      </w:r>
      <w:r w:rsidRPr="00D73F43">
        <w:rPr>
          <w:lang w:val="sq-AL"/>
        </w:rPr>
        <w:t xml:space="preserve"> por në të njëjtën kohë kjo u kompensua në një masë të konsiderueshme nga përmirësimi i balancës së shërbimeve, si rrjedhojë e rritjes së eksportit të shërbimeve. Kategoria me kontributin kryesor ishin shërbimet e lidhura përgjithësisht me sektorin e turizmit, të cilat gjatë gjysmës së parë të 2016 (pra pa përfshirë ende tremujorin e tretë, i cili shënon pikun e sezonit turistik) u rritën me rreth 9% kundrejt gjysmës së parë të 2015.  Në të njëjtën kohë, rreth 80% e deficitit të llogarisë korente gjatë gjysmës së parë të 2016 u financua nga flukset hyrëse të investimeve të huaja direkte, të cilat janë flukse jo borxh-krijuese për ekonominë. Në tremujorin e parë të vitit, flukset hyrëse të IHD ishin më pak se tremujori i parë i 2015 duke reflektuar kryesisht rënien e investimeve në industrinë nxjerrëse, si rrjedhojë e goditjes së fortë të çmimeve të karburanteve, por kjo thuajse u kompensua gjatë tremujorit të dytë të vitit ku IHD shënuan një rritje prej 20% kundrejt të njëjtit tremujor të 2015. Në tërësi Bilanci i Pagesave për gjysmën e parë të vitit ishte thuajse në balancë (me një deficit të lehtë prej rreth 50 milionë Euro) duke mbajtur thuajse të pandryshuar stokun e rezervave valutore të vendit. Ky stabilitet i sektorit të </w:t>
      </w:r>
      <w:r w:rsidRPr="00D73F43">
        <w:rPr>
          <w:lang w:val="sq-AL"/>
        </w:rPr>
        <w:lastRenderedPageBreak/>
        <w:t xml:space="preserve">jashtëm të ekonomisë është reflektuar përgjithësisht edhe në një stabilitet sa i takon ecurisë së monedhës vendase (Lekut) kundrejt valutave kryesore. </w:t>
      </w:r>
    </w:p>
    <w:p w:rsidR="00B0121D" w:rsidRPr="00D73F43" w:rsidRDefault="00B0121D" w:rsidP="00B0121D">
      <w:pPr>
        <w:pStyle w:val="ListParagraph"/>
        <w:spacing w:before="120" w:after="120" w:line="276" w:lineRule="auto"/>
        <w:ind w:left="0"/>
        <w:jc w:val="both"/>
        <w:rPr>
          <w:lang w:val="sq-AL"/>
        </w:rPr>
      </w:pPr>
      <w:r w:rsidRPr="00D73F43">
        <w:rPr>
          <w:lang w:val="sq-AL"/>
        </w:rPr>
        <w:t>Zhvillimet e fundit makroekonomike dhe analizat tona statistikore sinjlalizojnë   se rritja reale për këtë vit do të jetë në linjë me parashikimet tona aktuale prej rreth 3.4%.</w:t>
      </w:r>
    </w:p>
    <w:p w:rsidR="00B0121D" w:rsidRPr="00D73F43" w:rsidRDefault="00B0121D" w:rsidP="00B0121D">
      <w:pPr>
        <w:pStyle w:val="ListParagraph"/>
        <w:spacing w:before="120" w:after="120" w:line="276" w:lineRule="auto"/>
        <w:ind w:left="0"/>
        <w:jc w:val="both"/>
        <w:rPr>
          <w:lang w:val="sq-AL"/>
        </w:rPr>
      </w:pPr>
    </w:p>
    <w:p w:rsidR="00B0121D" w:rsidRPr="00D73F43" w:rsidRDefault="00B0121D" w:rsidP="00B0121D">
      <w:pPr>
        <w:pStyle w:val="Heading1"/>
        <w:numPr>
          <w:ilvl w:val="1"/>
          <w:numId w:val="2"/>
        </w:numPr>
        <w:tabs>
          <w:tab w:val="clear" w:pos="5954"/>
          <w:tab w:val="center" w:pos="709"/>
        </w:tabs>
        <w:spacing w:line="276" w:lineRule="auto"/>
        <w:jc w:val="both"/>
        <w:rPr>
          <w:bCs/>
          <w:iCs/>
          <w:caps w:val="0"/>
          <w:lang w:val="sq-AL"/>
        </w:rPr>
      </w:pPr>
      <w:bookmarkStart w:id="16" w:name="_Toc466445431"/>
      <w:r w:rsidRPr="00D73F43">
        <w:rPr>
          <w:bCs/>
          <w:iCs/>
          <w:caps w:val="0"/>
          <w:noProof/>
          <w:sz w:val="26"/>
          <w:szCs w:val="26"/>
          <w:lang w:val="sq-AL"/>
        </w:rPr>
        <w:t>K</w:t>
      </w:r>
      <w:r w:rsidRPr="00D73F43">
        <w:rPr>
          <w:bCs/>
          <w:iCs/>
          <w:caps w:val="0"/>
          <w:lang w:val="sq-AL"/>
        </w:rPr>
        <w:t>RAHASIMI ME VENDET E RAJONIT</w:t>
      </w:r>
      <w:bookmarkEnd w:id="16"/>
    </w:p>
    <w:p w:rsidR="00B0121D" w:rsidRPr="00D73F43" w:rsidRDefault="00B0121D" w:rsidP="00B0121D">
      <w:pPr>
        <w:rPr>
          <w:lang w:val="sq-AL"/>
        </w:rPr>
      </w:pPr>
    </w:p>
    <w:p w:rsidR="00B0121D" w:rsidRPr="00D73F43" w:rsidRDefault="00B0121D" w:rsidP="00C610A8">
      <w:pPr>
        <w:spacing w:line="276" w:lineRule="auto"/>
        <w:jc w:val="both"/>
        <w:rPr>
          <w:noProof/>
          <w:lang w:val="sq-AL"/>
        </w:rPr>
      </w:pPr>
      <w:r w:rsidRPr="00D73F43">
        <w:rPr>
          <w:noProof/>
          <w:lang w:val="sq-AL"/>
        </w:rPr>
        <w:t>B</w:t>
      </w:r>
      <w:r w:rsidR="004C19BB">
        <w:rPr>
          <w:noProof/>
          <w:lang w:val="sq-AL"/>
        </w:rPr>
        <w:t xml:space="preserve">azuar në raportet dhe analizat </w:t>
      </w:r>
      <w:r w:rsidRPr="00D73F43">
        <w:rPr>
          <w:noProof/>
          <w:lang w:val="sq-AL"/>
        </w:rPr>
        <w:t xml:space="preserve">e institucioneve ndërkombëtare, perspektiva afatmesme për vendet e Europës Juglindore dhe Ballkanit, parashikohet të jetë pozitive dhe rajoni pritet të rritet deri në 3,6% në vitin 2018, kryesisht si rezultat i forcimit të kërkesës së brendshme dhe përmirësimit të eksporteve. </w:t>
      </w:r>
    </w:p>
    <w:p w:rsidR="00C610A8" w:rsidRDefault="00C610A8" w:rsidP="00C610A8">
      <w:pPr>
        <w:spacing w:line="276" w:lineRule="auto"/>
        <w:jc w:val="both"/>
        <w:rPr>
          <w:noProof/>
          <w:lang w:val="sq-AL"/>
        </w:rPr>
      </w:pPr>
    </w:p>
    <w:p w:rsidR="00B0121D" w:rsidRPr="00D73F43" w:rsidRDefault="00B0121D" w:rsidP="00C610A8">
      <w:pPr>
        <w:spacing w:line="276" w:lineRule="auto"/>
        <w:jc w:val="both"/>
        <w:rPr>
          <w:noProof/>
          <w:lang w:val="sq-AL"/>
        </w:rPr>
      </w:pPr>
      <w:r w:rsidRPr="00D73F43">
        <w:rPr>
          <w:noProof/>
          <w:lang w:val="sq-AL"/>
        </w:rPr>
        <w:t>Edhe pse  mjedisi i jashtëm paraqitet jo shumë i favorshëm (situata jo favorizuese në BE, pasiguria nga BREXIT apo tensionet në Turqi), vendet e Rajonit po përmirësojnë treguesit e tyre të rritjes. Investimet do të jenë gjeneratori i rritjes sidomos në Shqipëri, Mal të Zi dhe Serbi. Pas disa viteve me rritje të moderuar, konsumi tashmë do të përshpejtojë rritjen, furnizuar kryesisht nga përmirësimi në tregjet e punës në Shqipëri, Kosovë dhe Serbi, si dhe nga niveli i pagave më të larta në Shqipëri, Maqedoni, Mal të Zi .</w:t>
      </w:r>
    </w:p>
    <w:p w:rsidR="00B0121D" w:rsidRPr="00D73F43" w:rsidRDefault="00B0121D" w:rsidP="00B0121D">
      <w:pPr>
        <w:jc w:val="both"/>
        <w:rPr>
          <w:noProof/>
          <w:lang w:val="sq-AL"/>
        </w:rPr>
      </w:pPr>
    </w:p>
    <w:p w:rsidR="00B0121D" w:rsidRPr="00D73F43" w:rsidRDefault="00B0121D" w:rsidP="00B0121D">
      <w:pPr>
        <w:jc w:val="both"/>
        <w:rPr>
          <w:b/>
          <w:noProof/>
          <w:sz w:val="22"/>
          <w:szCs w:val="22"/>
          <w:lang w:val="sq-AL"/>
        </w:rPr>
      </w:pPr>
      <w:r w:rsidRPr="00D73F43">
        <w:rPr>
          <w:b/>
          <w:noProof/>
          <w:sz w:val="22"/>
          <w:szCs w:val="22"/>
          <w:lang w:val="sq-AL"/>
        </w:rPr>
        <w:t>Tabela</w:t>
      </w:r>
      <w:r w:rsidR="00C610A8">
        <w:rPr>
          <w:b/>
          <w:noProof/>
          <w:sz w:val="22"/>
          <w:szCs w:val="22"/>
          <w:lang w:val="sq-AL"/>
        </w:rPr>
        <w:t xml:space="preserve"> 1</w:t>
      </w:r>
      <w:r w:rsidRPr="00D73F43">
        <w:rPr>
          <w:b/>
          <w:noProof/>
          <w:sz w:val="22"/>
          <w:szCs w:val="22"/>
          <w:lang w:val="sq-AL"/>
        </w:rPr>
        <w:t>: Rritja e Produktit të Brendshëm Bruto (në %)</w:t>
      </w:r>
    </w:p>
    <w:tbl>
      <w:tblPr>
        <w:tblW w:w="7579" w:type="dxa"/>
        <w:tblBorders>
          <w:top w:val="single" w:sz="12" w:space="0" w:color="000000"/>
          <w:bottom w:val="single" w:sz="12" w:space="0" w:color="000000"/>
        </w:tblBorders>
        <w:tblLook w:val="04A0" w:firstRow="1" w:lastRow="0" w:firstColumn="1" w:lastColumn="0" w:noHBand="0" w:noVBand="1"/>
      </w:tblPr>
      <w:tblGrid>
        <w:gridCol w:w="2915"/>
        <w:gridCol w:w="1166"/>
        <w:gridCol w:w="1166"/>
        <w:gridCol w:w="1166"/>
        <w:gridCol w:w="1166"/>
      </w:tblGrid>
      <w:tr w:rsidR="00B0121D" w:rsidRPr="00D73F43" w:rsidTr="00AD09A8">
        <w:trPr>
          <w:trHeight w:val="318"/>
        </w:trPr>
        <w:tc>
          <w:tcPr>
            <w:tcW w:w="2915" w:type="dxa"/>
            <w:tcBorders>
              <w:bottom w:val="single" w:sz="6" w:space="0" w:color="000000"/>
              <w:right w:val="single" w:sz="6" w:space="0" w:color="000000"/>
            </w:tcBorders>
            <w:shd w:val="clear" w:color="auto" w:fill="auto"/>
            <w:hideMark/>
          </w:tcPr>
          <w:p w:rsidR="00B0121D" w:rsidRPr="00D73F43" w:rsidRDefault="00B0121D" w:rsidP="00AD09A8">
            <w:pPr>
              <w:jc w:val="both"/>
              <w:rPr>
                <w:rFonts w:eastAsia="Times New Roman"/>
                <w:i/>
                <w:iCs/>
                <w:noProof/>
                <w:sz w:val="22"/>
                <w:szCs w:val="22"/>
                <w:lang w:val="sq-AL"/>
              </w:rPr>
            </w:pPr>
            <w:r w:rsidRPr="00D73F43">
              <w:rPr>
                <w:rFonts w:eastAsia="Times New Roman"/>
                <w:i/>
                <w:iCs/>
                <w:noProof/>
                <w:sz w:val="22"/>
                <w:szCs w:val="22"/>
                <w:lang w:val="sq-AL"/>
              </w:rPr>
              <w:t> </w:t>
            </w:r>
          </w:p>
        </w:tc>
        <w:tc>
          <w:tcPr>
            <w:tcW w:w="1166" w:type="dxa"/>
            <w:tcBorders>
              <w:bottom w:val="single" w:sz="6" w:space="0" w:color="000000"/>
            </w:tcBorders>
            <w:shd w:val="clear" w:color="auto" w:fill="auto"/>
            <w:noWrap/>
            <w:hideMark/>
          </w:tcPr>
          <w:p w:rsidR="00B0121D" w:rsidRPr="00D73F43" w:rsidRDefault="00B0121D" w:rsidP="00AD09A8">
            <w:pPr>
              <w:jc w:val="center"/>
              <w:rPr>
                <w:rFonts w:eastAsia="Times New Roman"/>
                <w:b/>
                <w:bCs/>
                <w:i/>
                <w:iCs/>
                <w:noProof/>
                <w:sz w:val="22"/>
                <w:szCs w:val="22"/>
                <w:lang w:val="sq-AL"/>
              </w:rPr>
            </w:pPr>
            <w:r w:rsidRPr="00D73F43">
              <w:rPr>
                <w:rFonts w:eastAsia="Times New Roman"/>
                <w:b/>
                <w:bCs/>
                <w:i/>
                <w:iCs/>
                <w:noProof/>
                <w:sz w:val="22"/>
                <w:szCs w:val="22"/>
                <w:lang w:val="sq-AL"/>
              </w:rPr>
              <w:t>2015</w:t>
            </w:r>
          </w:p>
        </w:tc>
        <w:tc>
          <w:tcPr>
            <w:tcW w:w="1166" w:type="dxa"/>
            <w:tcBorders>
              <w:bottom w:val="single" w:sz="6" w:space="0" w:color="000000"/>
            </w:tcBorders>
            <w:shd w:val="clear" w:color="auto" w:fill="auto"/>
            <w:noWrap/>
            <w:hideMark/>
          </w:tcPr>
          <w:p w:rsidR="00B0121D" w:rsidRPr="00D73F43" w:rsidRDefault="00B0121D" w:rsidP="00AD09A8">
            <w:pPr>
              <w:jc w:val="center"/>
              <w:rPr>
                <w:rFonts w:eastAsia="Times New Roman"/>
                <w:b/>
                <w:bCs/>
                <w:i/>
                <w:iCs/>
                <w:noProof/>
                <w:sz w:val="22"/>
                <w:szCs w:val="22"/>
                <w:lang w:val="sq-AL"/>
              </w:rPr>
            </w:pPr>
            <w:r w:rsidRPr="00D73F43">
              <w:rPr>
                <w:rFonts w:eastAsia="Times New Roman"/>
                <w:b/>
                <w:bCs/>
                <w:i/>
                <w:iCs/>
                <w:noProof/>
                <w:sz w:val="22"/>
                <w:szCs w:val="22"/>
                <w:lang w:val="sq-AL"/>
              </w:rPr>
              <w:t>2016</w:t>
            </w:r>
          </w:p>
        </w:tc>
        <w:tc>
          <w:tcPr>
            <w:tcW w:w="1166" w:type="dxa"/>
            <w:tcBorders>
              <w:bottom w:val="single" w:sz="6" w:space="0" w:color="000000"/>
            </w:tcBorders>
            <w:shd w:val="clear" w:color="auto" w:fill="auto"/>
            <w:noWrap/>
            <w:hideMark/>
          </w:tcPr>
          <w:p w:rsidR="00B0121D" w:rsidRPr="00D73F43" w:rsidRDefault="00B0121D" w:rsidP="00AD09A8">
            <w:pPr>
              <w:jc w:val="center"/>
              <w:rPr>
                <w:rFonts w:eastAsia="Times New Roman"/>
                <w:b/>
                <w:bCs/>
                <w:i/>
                <w:iCs/>
                <w:noProof/>
                <w:sz w:val="22"/>
                <w:szCs w:val="22"/>
                <w:lang w:val="sq-AL"/>
              </w:rPr>
            </w:pPr>
            <w:r w:rsidRPr="00D73F43">
              <w:rPr>
                <w:rFonts w:eastAsia="Times New Roman"/>
                <w:b/>
                <w:bCs/>
                <w:i/>
                <w:iCs/>
                <w:noProof/>
                <w:sz w:val="22"/>
                <w:szCs w:val="22"/>
                <w:lang w:val="sq-AL"/>
              </w:rPr>
              <w:t>2017</w:t>
            </w:r>
          </w:p>
        </w:tc>
        <w:tc>
          <w:tcPr>
            <w:tcW w:w="1166" w:type="dxa"/>
            <w:tcBorders>
              <w:bottom w:val="single" w:sz="6" w:space="0" w:color="000000"/>
            </w:tcBorders>
            <w:shd w:val="clear" w:color="auto" w:fill="auto"/>
            <w:noWrap/>
            <w:hideMark/>
          </w:tcPr>
          <w:p w:rsidR="00B0121D" w:rsidRPr="00D73F43" w:rsidRDefault="00B0121D" w:rsidP="00AD09A8">
            <w:pPr>
              <w:jc w:val="center"/>
              <w:rPr>
                <w:rFonts w:eastAsia="Times New Roman"/>
                <w:b/>
                <w:bCs/>
                <w:i/>
                <w:iCs/>
                <w:noProof/>
                <w:sz w:val="22"/>
                <w:szCs w:val="22"/>
                <w:lang w:val="sq-AL"/>
              </w:rPr>
            </w:pPr>
            <w:r w:rsidRPr="00D73F43">
              <w:rPr>
                <w:rFonts w:eastAsia="Times New Roman"/>
                <w:b/>
                <w:bCs/>
                <w:i/>
                <w:iCs/>
                <w:noProof/>
                <w:sz w:val="22"/>
                <w:szCs w:val="22"/>
                <w:lang w:val="sq-AL"/>
              </w:rPr>
              <w:t>2018</w:t>
            </w:r>
          </w:p>
        </w:tc>
      </w:tr>
      <w:tr w:rsidR="00B0121D" w:rsidRPr="00D73F43" w:rsidTr="00AD09A8">
        <w:trPr>
          <w:trHeight w:val="303"/>
        </w:trPr>
        <w:tc>
          <w:tcPr>
            <w:tcW w:w="2915" w:type="dxa"/>
            <w:tcBorders>
              <w:right w:val="single" w:sz="6" w:space="0" w:color="000000"/>
            </w:tcBorders>
            <w:shd w:val="clear" w:color="auto" w:fill="auto"/>
            <w:hideMark/>
          </w:tcPr>
          <w:p w:rsidR="00B0121D" w:rsidRPr="00D73F43" w:rsidRDefault="00B0121D" w:rsidP="00AD09A8">
            <w:pPr>
              <w:ind w:firstLineChars="100" w:firstLine="220"/>
              <w:jc w:val="both"/>
              <w:rPr>
                <w:rFonts w:eastAsia="Times New Roman"/>
                <w:noProof/>
                <w:sz w:val="22"/>
                <w:szCs w:val="22"/>
                <w:lang w:val="sq-AL"/>
              </w:rPr>
            </w:pPr>
            <w:r w:rsidRPr="00D73F43">
              <w:rPr>
                <w:rFonts w:eastAsia="Times New Roman"/>
                <w:noProof/>
                <w:sz w:val="22"/>
                <w:szCs w:val="22"/>
                <w:lang w:val="sq-AL"/>
              </w:rPr>
              <w:t>Albania</w:t>
            </w:r>
          </w:p>
        </w:tc>
        <w:tc>
          <w:tcPr>
            <w:tcW w:w="1166" w:type="dxa"/>
            <w:shd w:val="clear" w:color="auto" w:fill="auto"/>
            <w:noWrap/>
            <w:hideMark/>
          </w:tcPr>
          <w:p w:rsidR="00B0121D" w:rsidRPr="00D73F43" w:rsidRDefault="00B0121D" w:rsidP="00AD09A8">
            <w:pPr>
              <w:jc w:val="center"/>
              <w:rPr>
                <w:rFonts w:eastAsia="Times New Roman"/>
                <w:noProof/>
                <w:sz w:val="22"/>
                <w:szCs w:val="22"/>
                <w:lang w:val="sq-AL"/>
              </w:rPr>
            </w:pPr>
            <w:r w:rsidRPr="00D73F43">
              <w:rPr>
                <w:rFonts w:eastAsia="Times New Roman"/>
                <w:noProof/>
                <w:sz w:val="22"/>
                <w:szCs w:val="22"/>
                <w:lang w:val="sq-AL"/>
              </w:rPr>
              <w:t>2.8</w:t>
            </w:r>
          </w:p>
        </w:tc>
        <w:tc>
          <w:tcPr>
            <w:tcW w:w="1166" w:type="dxa"/>
            <w:shd w:val="clear" w:color="auto" w:fill="auto"/>
            <w:noWrap/>
            <w:hideMark/>
          </w:tcPr>
          <w:p w:rsidR="00B0121D" w:rsidRPr="00D73F43" w:rsidRDefault="00B0121D" w:rsidP="00AD09A8">
            <w:pPr>
              <w:jc w:val="center"/>
              <w:rPr>
                <w:rFonts w:eastAsia="Times New Roman"/>
                <w:noProof/>
                <w:sz w:val="22"/>
                <w:szCs w:val="22"/>
                <w:lang w:val="sq-AL"/>
              </w:rPr>
            </w:pPr>
            <w:r w:rsidRPr="00D73F43">
              <w:rPr>
                <w:rFonts w:eastAsia="Times New Roman"/>
                <w:noProof/>
                <w:sz w:val="22"/>
                <w:szCs w:val="22"/>
                <w:lang w:val="sq-AL"/>
              </w:rPr>
              <w:t>3.4</w:t>
            </w:r>
          </w:p>
        </w:tc>
        <w:tc>
          <w:tcPr>
            <w:tcW w:w="1166" w:type="dxa"/>
            <w:shd w:val="clear" w:color="auto" w:fill="auto"/>
            <w:noWrap/>
            <w:hideMark/>
          </w:tcPr>
          <w:p w:rsidR="00B0121D" w:rsidRPr="00D73F43" w:rsidRDefault="00B0121D" w:rsidP="00AD09A8">
            <w:pPr>
              <w:jc w:val="center"/>
              <w:rPr>
                <w:rFonts w:eastAsia="Times New Roman"/>
                <w:noProof/>
                <w:sz w:val="22"/>
                <w:szCs w:val="22"/>
                <w:lang w:val="sq-AL"/>
              </w:rPr>
            </w:pPr>
            <w:r w:rsidRPr="00D73F43">
              <w:rPr>
                <w:rFonts w:eastAsia="Times New Roman"/>
                <w:noProof/>
                <w:sz w:val="22"/>
                <w:szCs w:val="22"/>
                <w:lang w:val="sq-AL"/>
              </w:rPr>
              <w:t>3.8</w:t>
            </w:r>
          </w:p>
        </w:tc>
        <w:tc>
          <w:tcPr>
            <w:tcW w:w="1166" w:type="dxa"/>
            <w:shd w:val="clear" w:color="auto" w:fill="auto"/>
            <w:hideMark/>
          </w:tcPr>
          <w:p w:rsidR="00B0121D" w:rsidRPr="00D73F43" w:rsidRDefault="00B0121D" w:rsidP="00AD09A8">
            <w:pPr>
              <w:jc w:val="center"/>
              <w:rPr>
                <w:rFonts w:eastAsia="Times New Roman"/>
                <w:noProof/>
                <w:sz w:val="22"/>
                <w:szCs w:val="22"/>
                <w:lang w:val="sq-AL"/>
              </w:rPr>
            </w:pPr>
            <w:r w:rsidRPr="00D73F43">
              <w:rPr>
                <w:rFonts w:eastAsia="Times New Roman"/>
                <w:noProof/>
                <w:sz w:val="22"/>
                <w:szCs w:val="22"/>
                <w:lang w:val="sq-AL"/>
              </w:rPr>
              <w:t>4.1</w:t>
            </w:r>
          </w:p>
        </w:tc>
      </w:tr>
      <w:tr w:rsidR="00B0121D" w:rsidRPr="00D73F43" w:rsidTr="00AD09A8">
        <w:trPr>
          <w:trHeight w:val="303"/>
        </w:trPr>
        <w:tc>
          <w:tcPr>
            <w:tcW w:w="2915" w:type="dxa"/>
            <w:tcBorders>
              <w:right w:val="single" w:sz="6" w:space="0" w:color="000000"/>
            </w:tcBorders>
            <w:shd w:val="clear" w:color="auto" w:fill="auto"/>
            <w:hideMark/>
          </w:tcPr>
          <w:p w:rsidR="00B0121D" w:rsidRPr="00D73F43" w:rsidRDefault="00B0121D" w:rsidP="00AD09A8">
            <w:pPr>
              <w:ind w:firstLineChars="100" w:firstLine="220"/>
              <w:jc w:val="both"/>
              <w:rPr>
                <w:rFonts w:eastAsia="Times New Roman"/>
                <w:noProof/>
                <w:sz w:val="22"/>
                <w:szCs w:val="22"/>
                <w:lang w:val="sq-AL"/>
              </w:rPr>
            </w:pPr>
            <w:r w:rsidRPr="00D73F43">
              <w:rPr>
                <w:rFonts w:eastAsia="Times New Roman"/>
                <w:noProof/>
                <w:sz w:val="22"/>
                <w:szCs w:val="22"/>
                <w:lang w:val="sq-AL"/>
              </w:rPr>
              <w:t>Bosnia and Herzegovina</w:t>
            </w:r>
          </w:p>
        </w:tc>
        <w:tc>
          <w:tcPr>
            <w:tcW w:w="1166" w:type="dxa"/>
            <w:shd w:val="clear" w:color="auto" w:fill="auto"/>
            <w:noWrap/>
            <w:hideMark/>
          </w:tcPr>
          <w:p w:rsidR="00B0121D" w:rsidRPr="00D73F43" w:rsidRDefault="00B0121D" w:rsidP="00AD09A8">
            <w:pPr>
              <w:jc w:val="center"/>
              <w:rPr>
                <w:rFonts w:eastAsia="Times New Roman"/>
                <w:noProof/>
                <w:sz w:val="22"/>
                <w:szCs w:val="22"/>
                <w:lang w:val="sq-AL"/>
              </w:rPr>
            </w:pPr>
            <w:r w:rsidRPr="00D73F43">
              <w:rPr>
                <w:rFonts w:eastAsia="Times New Roman"/>
                <w:noProof/>
                <w:sz w:val="22"/>
                <w:szCs w:val="22"/>
                <w:lang w:val="sq-AL"/>
              </w:rPr>
              <w:t>3.0</w:t>
            </w:r>
          </w:p>
        </w:tc>
        <w:tc>
          <w:tcPr>
            <w:tcW w:w="1166" w:type="dxa"/>
            <w:shd w:val="clear" w:color="auto" w:fill="auto"/>
            <w:noWrap/>
            <w:hideMark/>
          </w:tcPr>
          <w:p w:rsidR="00B0121D" w:rsidRPr="00D73F43" w:rsidRDefault="00B0121D" w:rsidP="00AD09A8">
            <w:pPr>
              <w:jc w:val="center"/>
              <w:rPr>
                <w:rFonts w:eastAsia="Times New Roman"/>
                <w:noProof/>
                <w:sz w:val="22"/>
                <w:szCs w:val="22"/>
                <w:lang w:val="sq-AL"/>
              </w:rPr>
            </w:pPr>
            <w:r w:rsidRPr="00D73F43">
              <w:rPr>
                <w:rFonts w:eastAsia="Times New Roman"/>
                <w:noProof/>
                <w:sz w:val="22"/>
                <w:szCs w:val="22"/>
                <w:lang w:val="sq-AL"/>
              </w:rPr>
              <w:t>2.8</w:t>
            </w:r>
          </w:p>
        </w:tc>
        <w:tc>
          <w:tcPr>
            <w:tcW w:w="1166" w:type="dxa"/>
            <w:shd w:val="clear" w:color="auto" w:fill="auto"/>
            <w:noWrap/>
            <w:hideMark/>
          </w:tcPr>
          <w:p w:rsidR="00B0121D" w:rsidRPr="00D73F43" w:rsidRDefault="00B0121D" w:rsidP="00AD09A8">
            <w:pPr>
              <w:jc w:val="center"/>
              <w:rPr>
                <w:rFonts w:eastAsia="Times New Roman"/>
                <w:noProof/>
                <w:sz w:val="22"/>
                <w:szCs w:val="22"/>
                <w:lang w:val="sq-AL"/>
              </w:rPr>
            </w:pPr>
            <w:r w:rsidRPr="00D73F43">
              <w:rPr>
                <w:rFonts w:eastAsia="Times New Roman"/>
                <w:noProof/>
                <w:sz w:val="22"/>
                <w:szCs w:val="22"/>
                <w:lang w:val="sq-AL"/>
              </w:rPr>
              <w:t>3.2</w:t>
            </w:r>
          </w:p>
        </w:tc>
        <w:tc>
          <w:tcPr>
            <w:tcW w:w="1166" w:type="dxa"/>
            <w:shd w:val="clear" w:color="auto" w:fill="auto"/>
            <w:hideMark/>
          </w:tcPr>
          <w:p w:rsidR="00B0121D" w:rsidRPr="00D73F43" w:rsidRDefault="00B0121D" w:rsidP="00AD09A8">
            <w:pPr>
              <w:jc w:val="center"/>
              <w:rPr>
                <w:rFonts w:eastAsia="Times New Roman"/>
                <w:noProof/>
                <w:sz w:val="22"/>
                <w:szCs w:val="22"/>
                <w:lang w:val="sq-AL"/>
              </w:rPr>
            </w:pPr>
            <w:r w:rsidRPr="00D73F43">
              <w:rPr>
                <w:rFonts w:eastAsia="Times New Roman"/>
                <w:noProof/>
                <w:sz w:val="22"/>
                <w:szCs w:val="22"/>
                <w:lang w:val="sq-AL"/>
              </w:rPr>
              <w:t>3.7</w:t>
            </w:r>
          </w:p>
        </w:tc>
      </w:tr>
      <w:tr w:rsidR="00B0121D" w:rsidRPr="00D73F43" w:rsidTr="00AD09A8">
        <w:trPr>
          <w:trHeight w:val="303"/>
        </w:trPr>
        <w:tc>
          <w:tcPr>
            <w:tcW w:w="2915" w:type="dxa"/>
            <w:tcBorders>
              <w:right w:val="single" w:sz="6" w:space="0" w:color="000000"/>
            </w:tcBorders>
            <w:shd w:val="clear" w:color="auto" w:fill="auto"/>
            <w:hideMark/>
          </w:tcPr>
          <w:p w:rsidR="00B0121D" w:rsidRPr="00D73F43" w:rsidRDefault="00B0121D" w:rsidP="00AD09A8">
            <w:pPr>
              <w:ind w:firstLineChars="100" w:firstLine="220"/>
              <w:jc w:val="both"/>
              <w:rPr>
                <w:rFonts w:eastAsia="Times New Roman"/>
                <w:noProof/>
                <w:sz w:val="22"/>
                <w:szCs w:val="22"/>
                <w:lang w:val="sq-AL"/>
              </w:rPr>
            </w:pPr>
            <w:r w:rsidRPr="00D73F43">
              <w:rPr>
                <w:rFonts w:eastAsia="Times New Roman"/>
                <w:noProof/>
                <w:sz w:val="22"/>
                <w:szCs w:val="22"/>
                <w:lang w:val="sq-AL"/>
              </w:rPr>
              <w:t>Kosovo</w:t>
            </w:r>
          </w:p>
        </w:tc>
        <w:tc>
          <w:tcPr>
            <w:tcW w:w="1166" w:type="dxa"/>
            <w:shd w:val="clear" w:color="auto" w:fill="auto"/>
            <w:noWrap/>
            <w:hideMark/>
          </w:tcPr>
          <w:p w:rsidR="00B0121D" w:rsidRPr="00D73F43" w:rsidRDefault="00B0121D" w:rsidP="00AD09A8">
            <w:pPr>
              <w:jc w:val="center"/>
              <w:rPr>
                <w:rFonts w:eastAsia="Times New Roman"/>
                <w:noProof/>
                <w:sz w:val="22"/>
                <w:szCs w:val="22"/>
                <w:lang w:val="sq-AL"/>
              </w:rPr>
            </w:pPr>
            <w:r w:rsidRPr="00D73F43">
              <w:rPr>
                <w:rFonts w:eastAsia="Times New Roman"/>
                <w:noProof/>
                <w:sz w:val="22"/>
                <w:szCs w:val="22"/>
                <w:lang w:val="sq-AL"/>
              </w:rPr>
              <w:t>3.9</w:t>
            </w:r>
          </w:p>
        </w:tc>
        <w:tc>
          <w:tcPr>
            <w:tcW w:w="1166" w:type="dxa"/>
            <w:shd w:val="clear" w:color="auto" w:fill="auto"/>
            <w:noWrap/>
            <w:hideMark/>
          </w:tcPr>
          <w:p w:rsidR="00B0121D" w:rsidRPr="00D73F43" w:rsidRDefault="00B0121D" w:rsidP="00AD09A8">
            <w:pPr>
              <w:jc w:val="center"/>
              <w:rPr>
                <w:rFonts w:eastAsia="Times New Roman"/>
                <w:noProof/>
                <w:sz w:val="22"/>
                <w:szCs w:val="22"/>
                <w:lang w:val="sq-AL"/>
              </w:rPr>
            </w:pPr>
            <w:r w:rsidRPr="00D73F43">
              <w:rPr>
                <w:rFonts w:eastAsia="Times New Roman"/>
                <w:noProof/>
                <w:sz w:val="22"/>
                <w:szCs w:val="22"/>
                <w:lang w:val="sq-AL"/>
              </w:rPr>
              <w:t>3.6</w:t>
            </w:r>
          </w:p>
        </w:tc>
        <w:tc>
          <w:tcPr>
            <w:tcW w:w="1166" w:type="dxa"/>
            <w:shd w:val="clear" w:color="auto" w:fill="auto"/>
            <w:noWrap/>
            <w:hideMark/>
          </w:tcPr>
          <w:p w:rsidR="00B0121D" w:rsidRPr="00D73F43" w:rsidRDefault="00B0121D" w:rsidP="00AD09A8">
            <w:pPr>
              <w:jc w:val="center"/>
              <w:rPr>
                <w:rFonts w:eastAsia="Times New Roman"/>
                <w:noProof/>
                <w:sz w:val="22"/>
                <w:szCs w:val="22"/>
                <w:lang w:val="sq-AL"/>
              </w:rPr>
            </w:pPr>
            <w:r w:rsidRPr="00D73F43">
              <w:rPr>
                <w:rFonts w:eastAsia="Times New Roman"/>
                <w:noProof/>
                <w:sz w:val="22"/>
                <w:szCs w:val="22"/>
                <w:lang w:val="sq-AL"/>
              </w:rPr>
              <w:t>3.9</w:t>
            </w:r>
          </w:p>
        </w:tc>
        <w:tc>
          <w:tcPr>
            <w:tcW w:w="1166" w:type="dxa"/>
            <w:shd w:val="clear" w:color="auto" w:fill="auto"/>
            <w:hideMark/>
          </w:tcPr>
          <w:p w:rsidR="00B0121D" w:rsidRPr="00D73F43" w:rsidRDefault="00B0121D" w:rsidP="00AD09A8">
            <w:pPr>
              <w:jc w:val="center"/>
              <w:rPr>
                <w:rFonts w:eastAsia="Times New Roman"/>
                <w:noProof/>
                <w:sz w:val="22"/>
                <w:szCs w:val="22"/>
                <w:lang w:val="sq-AL"/>
              </w:rPr>
            </w:pPr>
            <w:r w:rsidRPr="00D73F43">
              <w:rPr>
                <w:rFonts w:eastAsia="Times New Roman"/>
                <w:noProof/>
                <w:sz w:val="22"/>
                <w:szCs w:val="22"/>
                <w:lang w:val="sq-AL"/>
              </w:rPr>
              <w:t>3.7</w:t>
            </w:r>
          </w:p>
        </w:tc>
      </w:tr>
      <w:tr w:rsidR="00B0121D" w:rsidRPr="00D73F43" w:rsidTr="00AD09A8">
        <w:trPr>
          <w:trHeight w:val="303"/>
        </w:trPr>
        <w:tc>
          <w:tcPr>
            <w:tcW w:w="2915" w:type="dxa"/>
            <w:tcBorders>
              <w:right w:val="single" w:sz="6" w:space="0" w:color="000000"/>
            </w:tcBorders>
            <w:shd w:val="clear" w:color="auto" w:fill="auto"/>
            <w:hideMark/>
          </w:tcPr>
          <w:p w:rsidR="00B0121D" w:rsidRPr="00D73F43" w:rsidRDefault="00B0121D" w:rsidP="00AD09A8">
            <w:pPr>
              <w:ind w:firstLineChars="100" w:firstLine="220"/>
              <w:jc w:val="both"/>
              <w:rPr>
                <w:rFonts w:eastAsia="Times New Roman"/>
                <w:noProof/>
                <w:sz w:val="22"/>
                <w:szCs w:val="22"/>
                <w:lang w:val="sq-AL"/>
              </w:rPr>
            </w:pPr>
            <w:r w:rsidRPr="00D73F43">
              <w:rPr>
                <w:rFonts w:eastAsia="Times New Roman"/>
                <w:noProof/>
                <w:sz w:val="22"/>
                <w:szCs w:val="22"/>
                <w:lang w:val="sq-AL"/>
              </w:rPr>
              <w:t>Macedonia, FYR</w:t>
            </w:r>
          </w:p>
        </w:tc>
        <w:tc>
          <w:tcPr>
            <w:tcW w:w="1166" w:type="dxa"/>
            <w:shd w:val="clear" w:color="auto" w:fill="auto"/>
            <w:noWrap/>
            <w:hideMark/>
          </w:tcPr>
          <w:p w:rsidR="00B0121D" w:rsidRPr="00D73F43" w:rsidRDefault="00B0121D" w:rsidP="00AD09A8">
            <w:pPr>
              <w:jc w:val="center"/>
              <w:rPr>
                <w:rFonts w:eastAsia="Times New Roman"/>
                <w:noProof/>
                <w:sz w:val="22"/>
                <w:szCs w:val="22"/>
                <w:lang w:val="sq-AL"/>
              </w:rPr>
            </w:pPr>
            <w:r w:rsidRPr="00D73F43">
              <w:rPr>
                <w:rFonts w:eastAsia="Times New Roman"/>
                <w:noProof/>
                <w:sz w:val="22"/>
                <w:szCs w:val="22"/>
                <w:lang w:val="sq-AL"/>
              </w:rPr>
              <w:t>3.7</w:t>
            </w:r>
          </w:p>
        </w:tc>
        <w:tc>
          <w:tcPr>
            <w:tcW w:w="1166" w:type="dxa"/>
            <w:shd w:val="clear" w:color="auto" w:fill="auto"/>
            <w:noWrap/>
            <w:hideMark/>
          </w:tcPr>
          <w:p w:rsidR="00B0121D" w:rsidRPr="00D73F43" w:rsidRDefault="00B0121D" w:rsidP="00AD09A8">
            <w:pPr>
              <w:jc w:val="center"/>
              <w:rPr>
                <w:rFonts w:eastAsia="Times New Roman"/>
                <w:noProof/>
                <w:sz w:val="22"/>
                <w:szCs w:val="22"/>
                <w:lang w:val="sq-AL"/>
              </w:rPr>
            </w:pPr>
            <w:r w:rsidRPr="00D73F43">
              <w:rPr>
                <w:rFonts w:eastAsia="Times New Roman"/>
                <w:noProof/>
                <w:sz w:val="22"/>
                <w:szCs w:val="22"/>
                <w:lang w:val="sq-AL"/>
              </w:rPr>
              <w:t>2.0</w:t>
            </w:r>
          </w:p>
        </w:tc>
        <w:tc>
          <w:tcPr>
            <w:tcW w:w="1166" w:type="dxa"/>
            <w:shd w:val="clear" w:color="auto" w:fill="auto"/>
            <w:noWrap/>
            <w:hideMark/>
          </w:tcPr>
          <w:p w:rsidR="00B0121D" w:rsidRPr="00D73F43" w:rsidRDefault="00B0121D" w:rsidP="00AD09A8">
            <w:pPr>
              <w:jc w:val="center"/>
              <w:rPr>
                <w:rFonts w:eastAsia="Times New Roman"/>
                <w:noProof/>
                <w:sz w:val="22"/>
                <w:szCs w:val="22"/>
                <w:lang w:val="sq-AL"/>
              </w:rPr>
            </w:pPr>
            <w:r w:rsidRPr="00D73F43">
              <w:rPr>
                <w:rFonts w:eastAsia="Times New Roman"/>
                <w:noProof/>
                <w:sz w:val="22"/>
                <w:szCs w:val="22"/>
                <w:lang w:val="sq-AL"/>
              </w:rPr>
              <w:t>3.3</w:t>
            </w:r>
          </w:p>
        </w:tc>
        <w:tc>
          <w:tcPr>
            <w:tcW w:w="1166" w:type="dxa"/>
            <w:shd w:val="clear" w:color="auto" w:fill="auto"/>
            <w:hideMark/>
          </w:tcPr>
          <w:p w:rsidR="00B0121D" w:rsidRPr="00D73F43" w:rsidRDefault="00B0121D" w:rsidP="00AD09A8">
            <w:pPr>
              <w:jc w:val="center"/>
              <w:rPr>
                <w:rFonts w:eastAsia="Times New Roman"/>
                <w:noProof/>
                <w:sz w:val="22"/>
                <w:szCs w:val="22"/>
                <w:lang w:val="sq-AL"/>
              </w:rPr>
            </w:pPr>
            <w:r w:rsidRPr="00D73F43">
              <w:rPr>
                <w:rFonts w:eastAsia="Times New Roman"/>
                <w:noProof/>
                <w:sz w:val="22"/>
                <w:szCs w:val="22"/>
                <w:lang w:val="sq-AL"/>
              </w:rPr>
              <w:t>3.7</w:t>
            </w:r>
          </w:p>
        </w:tc>
      </w:tr>
      <w:tr w:rsidR="00B0121D" w:rsidRPr="00D73F43" w:rsidTr="00AD09A8">
        <w:trPr>
          <w:trHeight w:val="303"/>
        </w:trPr>
        <w:tc>
          <w:tcPr>
            <w:tcW w:w="2915" w:type="dxa"/>
            <w:tcBorders>
              <w:right w:val="single" w:sz="6" w:space="0" w:color="000000"/>
            </w:tcBorders>
            <w:shd w:val="clear" w:color="auto" w:fill="auto"/>
            <w:hideMark/>
          </w:tcPr>
          <w:p w:rsidR="00B0121D" w:rsidRPr="00D73F43" w:rsidRDefault="00B0121D" w:rsidP="00AD09A8">
            <w:pPr>
              <w:ind w:firstLineChars="100" w:firstLine="220"/>
              <w:jc w:val="both"/>
              <w:rPr>
                <w:rFonts w:eastAsia="Times New Roman"/>
                <w:noProof/>
                <w:sz w:val="22"/>
                <w:szCs w:val="22"/>
                <w:lang w:val="sq-AL"/>
              </w:rPr>
            </w:pPr>
            <w:r w:rsidRPr="00D73F43">
              <w:rPr>
                <w:rFonts w:eastAsia="Times New Roman"/>
                <w:noProof/>
                <w:sz w:val="22"/>
                <w:szCs w:val="22"/>
                <w:lang w:val="sq-AL"/>
              </w:rPr>
              <w:t>Montenegro</w:t>
            </w:r>
          </w:p>
        </w:tc>
        <w:tc>
          <w:tcPr>
            <w:tcW w:w="1166" w:type="dxa"/>
            <w:shd w:val="clear" w:color="auto" w:fill="auto"/>
            <w:noWrap/>
            <w:hideMark/>
          </w:tcPr>
          <w:p w:rsidR="00B0121D" w:rsidRPr="00D73F43" w:rsidRDefault="00B0121D" w:rsidP="00AD09A8">
            <w:pPr>
              <w:jc w:val="center"/>
              <w:rPr>
                <w:rFonts w:eastAsia="Times New Roman"/>
                <w:noProof/>
                <w:sz w:val="22"/>
                <w:szCs w:val="22"/>
                <w:lang w:val="sq-AL"/>
              </w:rPr>
            </w:pPr>
            <w:r w:rsidRPr="00D73F43">
              <w:rPr>
                <w:rFonts w:eastAsia="Times New Roman"/>
                <w:noProof/>
                <w:sz w:val="22"/>
                <w:szCs w:val="22"/>
                <w:lang w:val="sq-AL"/>
              </w:rPr>
              <w:t>3.2</w:t>
            </w:r>
          </w:p>
        </w:tc>
        <w:tc>
          <w:tcPr>
            <w:tcW w:w="1166" w:type="dxa"/>
            <w:shd w:val="clear" w:color="auto" w:fill="auto"/>
            <w:noWrap/>
            <w:hideMark/>
          </w:tcPr>
          <w:p w:rsidR="00B0121D" w:rsidRPr="00D73F43" w:rsidRDefault="00B0121D" w:rsidP="00AD09A8">
            <w:pPr>
              <w:jc w:val="center"/>
              <w:rPr>
                <w:rFonts w:eastAsia="Times New Roman"/>
                <w:noProof/>
                <w:sz w:val="22"/>
                <w:szCs w:val="22"/>
                <w:lang w:val="sq-AL"/>
              </w:rPr>
            </w:pPr>
            <w:r w:rsidRPr="00D73F43">
              <w:rPr>
                <w:rFonts w:eastAsia="Times New Roman"/>
                <w:noProof/>
                <w:sz w:val="22"/>
                <w:szCs w:val="22"/>
                <w:lang w:val="sq-AL"/>
              </w:rPr>
              <w:t>3.2</w:t>
            </w:r>
          </w:p>
        </w:tc>
        <w:tc>
          <w:tcPr>
            <w:tcW w:w="1166" w:type="dxa"/>
            <w:shd w:val="clear" w:color="auto" w:fill="auto"/>
            <w:noWrap/>
            <w:hideMark/>
          </w:tcPr>
          <w:p w:rsidR="00B0121D" w:rsidRPr="00D73F43" w:rsidRDefault="00B0121D" w:rsidP="00AD09A8">
            <w:pPr>
              <w:jc w:val="center"/>
              <w:rPr>
                <w:rFonts w:eastAsia="Times New Roman"/>
                <w:noProof/>
                <w:sz w:val="22"/>
                <w:szCs w:val="22"/>
                <w:lang w:val="sq-AL"/>
              </w:rPr>
            </w:pPr>
            <w:r w:rsidRPr="00D73F43">
              <w:rPr>
                <w:rFonts w:eastAsia="Times New Roman"/>
                <w:noProof/>
                <w:sz w:val="22"/>
                <w:szCs w:val="22"/>
                <w:lang w:val="sq-AL"/>
              </w:rPr>
              <w:t>3.6</w:t>
            </w:r>
          </w:p>
        </w:tc>
        <w:tc>
          <w:tcPr>
            <w:tcW w:w="1166" w:type="dxa"/>
            <w:shd w:val="clear" w:color="auto" w:fill="auto"/>
            <w:hideMark/>
          </w:tcPr>
          <w:p w:rsidR="00B0121D" w:rsidRPr="00D73F43" w:rsidRDefault="00B0121D" w:rsidP="00AD09A8">
            <w:pPr>
              <w:jc w:val="center"/>
              <w:rPr>
                <w:rFonts w:eastAsia="Times New Roman"/>
                <w:noProof/>
                <w:sz w:val="22"/>
                <w:szCs w:val="22"/>
                <w:lang w:val="sq-AL"/>
              </w:rPr>
            </w:pPr>
            <w:r w:rsidRPr="00D73F43">
              <w:rPr>
                <w:rFonts w:eastAsia="Times New Roman"/>
                <w:noProof/>
                <w:sz w:val="22"/>
                <w:szCs w:val="22"/>
                <w:lang w:val="sq-AL"/>
              </w:rPr>
              <w:t>3.0</w:t>
            </w:r>
          </w:p>
        </w:tc>
      </w:tr>
      <w:tr w:rsidR="00B0121D" w:rsidRPr="00D73F43" w:rsidTr="00AD09A8">
        <w:trPr>
          <w:trHeight w:val="303"/>
        </w:trPr>
        <w:tc>
          <w:tcPr>
            <w:tcW w:w="2915" w:type="dxa"/>
            <w:tcBorders>
              <w:right w:val="single" w:sz="6" w:space="0" w:color="000000"/>
            </w:tcBorders>
            <w:shd w:val="clear" w:color="auto" w:fill="auto"/>
            <w:hideMark/>
          </w:tcPr>
          <w:p w:rsidR="00B0121D" w:rsidRPr="00D73F43" w:rsidRDefault="00B0121D" w:rsidP="00AD09A8">
            <w:pPr>
              <w:ind w:firstLineChars="100" w:firstLine="220"/>
              <w:jc w:val="both"/>
              <w:rPr>
                <w:rFonts w:eastAsia="Times New Roman"/>
                <w:noProof/>
                <w:sz w:val="22"/>
                <w:szCs w:val="22"/>
                <w:lang w:val="sq-AL"/>
              </w:rPr>
            </w:pPr>
            <w:r w:rsidRPr="00D73F43">
              <w:rPr>
                <w:rFonts w:eastAsia="Times New Roman"/>
                <w:noProof/>
                <w:sz w:val="22"/>
                <w:szCs w:val="22"/>
                <w:lang w:val="sq-AL"/>
              </w:rPr>
              <w:t>Serbia</w:t>
            </w:r>
          </w:p>
        </w:tc>
        <w:tc>
          <w:tcPr>
            <w:tcW w:w="1166" w:type="dxa"/>
            <w:shd w:val="clear" w:color="auto" w:fill="auto"/>
            <w:noWrap/>
            <w:hideMark/>
          </w:tcPr>
          <w:p w:rsidR="00B0121D" w:rsidRPr="00D73F43" w:rsidRDefault="00B0121D" w:rsidP="00AD09A8">
            <w:pPr>
              <w:jc w:val="center"/>
              <w:rPr>
                <w:rFonts w:eastAsia="Times New Roman"/>
                <w:noProof/>
                <w:sz w:val="22"/>
                <w:szCs w:val="22"/>
                <w:lang w:val="sq-AL"/>
              </w:rPr>
            </w:pPr>
            <w:r w:rsidRPr="00D73F43">
              <w:rPr>
                <w:rFonts w:eastAsia="Times New Roman"/>
                <w:noProof/>
                <w:sz w:val="22"/>
                <w:szCs w:val="22"/>
                <w:lang w:val="sq-AL"/>
              </w:rPr>
              <w:t>0.7</w:t>
            </w:r>
          </w:p>
        </w:tc>
        <w:tc>
          <w:tcPr>
            <w:tcW w:w="1166" w:type="dxa"/>
            <w:shd w:val="clear" w:color="auto" w:fill="auto"/>
            <w:noWrap/>
            <w:hideMark/>
          </w:tcPr>
          <w:p w:rsidR="00B0121D" w:rsidRPr="00D73F43" w:rsidRDefault="00B0121D" w:rsidP="00AD09A8">
            <w:pPr>
              <w:jc w:val="center"/>
              <w:rPr>
                <w:rFonts w:eastAsia="Times New Roman"/>
                <w:noProof/>
                <w:sz w:val="22"/>
                <w:szCs w:val="22"/>
                <w:lang w:val="sq-AL"/>
              </w:rPr>
            </w:pPr>
            <w:r w:rsidRPr="00D73F43">
              <w:rPr>
                <w:rFonts w:eastAsia="Times New Roman"/>
                <w:noProof/>
                <w:sz w:val="22"/>
                <w:szCs w:val="22"/>
                <w:lang w:val="sq-AL"/>
              </w:rPr>
              <w:t>2.5</w:t>
            </w:r>
          </w:p>
        </w:tc>
        <w:tc>
          <w:tcPr>
            <w:tcW w:w="1166" w:type="dxa"/>
            <w:shd w:val="clear" w:color="auto" w:fill="auto"/>
            <w:noWrap/>
            <w:hideMark/>
          </w:tcPr>
          <w:p w:rsidR="00B0121D" w:rsidRPr="00D73F43" w:rsidRDefault="00B0121D" w:rsidP="00AD09A8">
            <w:pPr>
              <w:jc w:val="center"/>
              <w:rPr>
                <w:rFonts w:eastAsia="Times New Roman"/>
                <w:noProof/>
                <w:sz w:val="22"/>
                <w:szCs w:val="22"/>
                <w:lang w:val="sq-AL"/>
              </w:rPr>
            </w:pPr>
            <w:r w:rsidRPr="00D73F43">
              <w:rPr>
                <w:rFonts w:eastAsia="Times New Roman"/>
                <w:noProof/>
                <w:sz w:val="22"/>
                <w:szCs w:val="22"/>
                <w:lang w:val="sq-AL"/>
              </w:rPr>
              <w:t>2.8</w:t>
            </w:r>
          </w:p>
        </w:tc>
        <w:tc>
          <w:tcPr>
            <w:tcW w:w="1166" w:type="dxa"/>
            <w:shd w:val="clear" w:color="auto" w:fill="auto"/>
            <w:hideMark/>
          </w:tcPr>
          <w:p w:rsidR="00B0121D" w:rsidRPr="00D73F43" w:rsidRDefault="00B0121D" w:rsidP="00AD09A8">
            <w:pPr>
              <w:jc w:val="center"/>
              <w:rPr>
                <w:rFonts w:eastAsia="Times New Roman"/>
                <w:noProof/>
                <w:sz w:val="22"/>
                <w:szCs w:val="22"/>
                <w:lang w:val="sq-AL"/>
              </w:rPr>
            </w:pPr>
            <w:r w:rsidRPr="00D73F43">
              <w:rPr>
                <w:rFonts w:eastAsia="Times New Roman"/>
                <w:noProof/>
                <w:sz w:val="22"/>
                <w:szCs w:val="22"/>
                <w:lang w:val="sq-AL"/>
              </w:rPr>
              <w:t>3.5</w:t>
            </w:r>
          </w:p>
        </w:tc>
      </w:tr>
      <w:tr w:rsidR="00B0121D" w:rsidRPr="00D73F43" w:rsidTr="00AD09A8">
        <w:trPr>
          <w:trHeight w:val="318"/>
        </w:trPr>
        <w:tc>
          <w:tcPr>
            <w:tcW w:w="2915" w:type="dxa"/>
            <w:tcBorders>
              <w:right w:val="single" w:sz="6" w:space="0" w:color="000000"/>
            </w:tcBorders>
            <w:shd w:val="clear" w:color="auto" w:fill="auto"/>
            <w:hideMark/>
          </w:tcPr>
          <w:p w:rsidR="00B0121D" w:rsidRPr="00D73F43" w:rsidRDefault="00B0121D" w:rsidP="00AD09A8">
            <w:pPr>
              <w:ind w:firstLineChars="100" w:firstLine="220"/>
              <w:jc w:val="both"/>
              <w:rPr>
                <w:rFonts w:eastAsia="Times New Roman"/>
                <w:i/>
                <w:iCs/>
                <w:noProof/>
                <w:sz w:val="22"/>
                <w:szCs w:val="22"/>
                <w:lang w:val="sq-AL"/>
              </w:rPr>
            </w:pPr>
            <w:r w:rsidRPr="00D73F43">
              <w:rPr>
                <w:rFonts w:eastAsia="Times New Roman"/>
                <w:i/>
                <w:iCs/>
                <w:noProof/>
                <w:sz w:val="22"/>
                <w:szCs w:val="22"/>
                <w:lang w:val="sq-AL"/>
              </w:rPr>
              <w:t>SEE6</w:t>
            </w:r>
          </w:p>
        </w:tc>
        <w:tc>
          <w:tcPr>
            <w:tcW w:w="1166" w:type="dxa"/>
            <w:shd w:val="clear" w:color="auto" w:fill="auto"/>
            <w:noWrap/>
            <w:hideMark/>
          </w:tcPr>
          <w:p w:rsidR="00B0121D" w:rsidRPr="00D73F43" w:rsidRDefault="00B0121D" w:rsidP="00AD09A8">
            <w:pPr>
              <w:jc w:val="center"/>
              <w:rPr>
                <w:rFonts w:eastAsia="Times New Roman"/>
                <w:i/>
                <w:iCs/>
                <w:noProof/>
                <w:sz w:val="22"/>
                <w:szCs w:val="22"/>
                <w:lang w:val="sq-AL"/>
              </w:rPr>
            </w:pPr>
            <w:r w:rsidRPr="00D73F43">
              <w:rPr>
                <w:rFonts w:eastAsia="Times New Roman"/>
                <w:i/>
                <w:iCs/>
                <w:noProof/>
                <w:sz w:val="22"/>
                <w:szCs w:val="22"/>
                <w:lang w:val="sq-AL"/>
              </w:rPr>
              <w:t>2.2</w:t>
            </w:r>
          </w:p>
        </w:tc>
        <w:tc>
          <w:tcPr>
            <w:tcW w:w="1166" w:type="dxa"/>
            <w:shd w:val="clear" w:color="auto" w:fill="auto"/>
            <w:noWrap/>
            <w:hideMark/>
          </w:tcPr>
          <w:p w:rsidR="00B0121D" w:rsidRPr="00D73F43" w:rsidRDefault="00B0121D" w:rsidP="00AD09A8">
            <w:pPr>
              <w:jc w:val="center"/>
              <w:rPr>
                <w:rFonts w:eastAsia="Times New Roman"/>
                <w:i/>
                <w:iCs/>
                <w:noProof/>
                <w:sz w:val="22"/>
                <w:szCs w:val="22"/>
                <w:lang w:val="sq-AL"/>
              </w:rPr>
            </w:pPr>
            <w:r w:rsidRPr="00D73F43">
              <w:rPr>
                <w:rFonts w:eastAsia="Times New Roman"/>
                <w:i/>
                <w:iCs/>
                <w:noProof/>
                <w:sz w:val="22"/>
                <w:szCs w:val="22"/>
                <w:lang w:val="sq-AL"/>
              </w:rPr>
              <w:t>2.7</w:t>
            </w:r>
          </w:p>
        </w:tc>
        <w:tc>
          <w:tcPr>
            <w:tcW w:w="1166" w:type="dxa"/>
            <w:shd w:val="clear" w:color="auto" w:fill="auto"/>
            <w:noWrap/>
            <w:hideMark/>
          </w:tcPr>
          <w:p w:rsidR="00B0121D" w:rsidRPr="00D73F43" w:rsidRDefault="00B0121D" w:rsidP="00AD09A8">
            <w:pPr>
              <w:jc w:val="center"/>
              <w:rPr>
                <w:rFonts w:eastAsia="Times New Roman"/>
                <w:i/>
                <w:iCs/>
                <w:noProof/>
                <w:sz w:val="22"/>
                <w:szCs w:val="22"/>
                <w:lang w:val="sq-AL"/>
              </w:rPr>
            </w:pPr>
            <w:r w:rsidRPr="00D73F43">
              <w:rPr>
                <w:rFonts w:eastAsia="Times New Roman"/>
                <w:i/>
                <w:iCs/>
                <w:noProof/>
                <w:sz w:val="22"/>
                <w:szCs w:val="22"/>
                <w:lang w:val="sq-AL"/>
              </w:rPr>
              <w:t>3.2</w:t>
            </w:r>
          </w:p>
        </w:tc>
        <w:tc>
          <w:tcPr>
            <w:tcW w:w="1166" w:type="dxa"/>
            <w:shd w:val="clear" w:color="auto" w:fill="auto"/>
            <w:hideMark/>
          </w:tcPr>
          <w:p w:rsidR="00B0121D" w:rsidRPr="00D73F43" w:rsidRDefault="00B0121D" w:rsidP="00AD09A8">
            <w:pPr>
              <w:jc w:val="center"/>
              <w:rPr>
                <w:rFonts w:eastAsia="Times New Roman"/>
                <w:i/>
                <w:iCs/>
                <w:noProof/>
                <w:sz w:val="22"/>
                <w:szCs w:val="22"/>
                <w:lang w:val="sq-AL"/>
              </w:rPr>
            </w:pPr>
            <w:r w:rsidRPr="00D73F43">
              <w:rPr>
                <w:rFonts w:eastAsia="Times New Roman"/>
                <w:i/>
                <w:iCs/>
                <w:noProof/>
                <w:sz w:val="22"/>
                <w:szCs w:val="22"/>
                <w:lang w:val="sq-AL"/>
              </w:rPr>
              <w:t>3.6</w:t>
            </w:r>
          </w:p>
        </w:tc>
      </w:tr>
      <w:tr w:rsidR="00B0121D" w:rsidRPr="00D73F43" w:rsidTr="00AD09A8">
        <w:trPr>
          <w:trHeight w:val="394"/>
        </w:trPr>
        <w:tc>
          <w:tcPr>
            <w:tcW w:w="5247" w:type="dxa"/>
            <w:gridSpan w:val="3"/>
            <w:tcBorders>
              <w:right w:val="single" w:sz="6" w:space="0" w:color="000000"/>
            </w:tcBorders>
            <w:shd w:val="clear" w:color="auto" w:fill="auto"/>
            <w:noWrap/>
            <w:hideMark/>
          </w:tcPr>
          <w:p w:rsidR="00B0121D" w:rsidRPr="00D73F43" w:rsidRDefault="00B0121D" w:rsidP="00AD09A8">
            <w:pPr>
              <w:jc w:val="both"/>
              <w:rPr>
                <w:rFonts w:eastAsia="Times New Roman"/>
                <w:i/>
                <w:iCs/>
                <w:noProof/>
                <w:sz w:val="18"/>
                <w:szCs w:val="18"/>
                <w:lang w:val="sq-AL"/>
              </w:rPr>
            </w:pPr>
          </w:p>
        </w:tc>
        <w:tc>
          <w:tcPr>
            <w:tcW w:w="1166" w:type="dxa"/>
            <w:shd w:val="clear" w:color="auto" w:fill="auto"/>
            <w:noWrap/>
            <w:hideMark/>
          </w:tcPr>
          <w:p w:rsidR="00B0121D" w:rsidRPr="00D73F43" w:rsidRDefault="00B0121D" w:rsidP="00AD09A8">
            <w:pPr>
              <w:jc w:val="both"/>
              <w:rPr>
                <w:rFonts w:eastAsia="Times New Roman"/>
                <w:i/>
                <w:iCs/>
                <w:noProof/>
                <w:sz w:val="18"/>
                <w:szCs w:val="18"/>
                <w:lang w:val="sq-AL"/>
              </w:rPr>
            </w:pPr>
            <w:r w:rsidRPr="00D73F43">
              <w:rPr>
                <w:rFonts w:eastAsia="Times New Roman"/>
                <w:i/>
                <w:iCs/>
                <w:noProof/>
                <w:sz w:val="18"/>
                <w:szCs w:val="18"/>
                <w:lang w:val="sq-AL"/>
              </w:rPr>
              <w:t> </w:t>
            </w:r>
          </w:p>
        </w:tc>
        <w:tc>
          <w:tcPr>
            <w:tcW w:w="1166" w:type="dxa"/>
            <w:shd w:val="clear" w:color="auto" w:fill="auto"/>
            <w:noWrap/>
            <w:hideMark/>
          </w:tcPr>
          <w:p w:rsidR="00B0121D" w:rsidRPr="00D73F43" w:rsidRDefault="00B0121D" w:rsidP="00AD09A8">
            <w:pPr>
              <w:jc w:val="both"/>
              <w:rPr>
                <w:rFonts w:eastAsia="Times New Roman"/>
                <w:i/>
                <w:iCs/>
                <w:noProof/>
                <w:sz w:val="18"/>
                <w:szCs w:val="18"/>
                <w:lang w:val="sq-AL"/>
              </w:rPr>
            </w:pPr>
            <w:r w:rsidRPr="00D73F43">
              <w:rPr>
                <w:rFonts w:eastAsia="Times New Roman"/>
                <w:i/>
                <w:iCs/>
                <w:noProof/>
                <w:sz w:val="18"/>
                <w:szCs w:val="18"/>
                <w:lang w:val="sq-AL"/>
              </w:rPr>
              <w:t> </w:t>
            </w:r>
          </w:p>
        </w:tc>
      </w:tr>
    </w:tbl>
    <w:p w:rsidR="004C19BB" w:rsidRDefault="004C19BB" w:rsidP="00B0121D">
      <w:pPr>
        <w:jc w:val="both"/>
        <w:rPr>
          <w:noProof/>
          <w:lang w:val="sq-AL"/>
        </w:rPr>
      </w:pPr>
    </w:p>
    <w:p w:rsidR="00B0121D" w:rsidRPr="00D73F43" w:rsidRDefault="00B0121D" w:rsidP="00C610A8">
      <w:pPr>
        <w:spacing w:line="276" w:lineRule="auto"/>
        <w:jc w:val="both"/>
        <w:rPr>
          <w:noProof/>
          <w:lang w:val="sq-AL"/>
        </w:rPr>
      </w:pPr>
      <w:r w:rsidRPr="00D73F43">
        <w:rPr>
          <w:noProof/>
          <w:vanish/>
          <w:lang w:val="sq-AL"/>
        </w:rPr>
        <w:cr/>
        <w:t>(situata jo favorizuese nw BE, pasiguria nga BREXIT apo tensionet nw Turqi)w me njw rritje prej rreth 6%.  tw partnerwve tanw n</w:t>
      </w:r>
      <w:r w:rsidRPr="00D73F43">
        <w:rPr>
          <w:noProof/>
          <w:lang w:val="sq-AL"/>
        </w:rPr>
        <w:t>Rritja ekonomike, reformat strukturore dhe zhvillimet në tregun e punës po vazhdojnë të mbështesin rritjen e punësimit në sektorin privat, edhe pse  norma e mesatare e papunësisë në Rajon vijonë të jetë e  lartë, prej mesatarisht  20%.</w:t>
      </w:r>
    </w:p>
    <w:p w:rsidR="00B0121D" w:rsidRPr="00D73F43" w:rsidRDefault="00B0121D" w:rsidP="00C610A8">
      <w:pPr>
        <w:spacing w:line="276" w:lineRule="auto"/>
        <w:jc w:val="both"/>
        <w:rPr>
          <w:noProof/>
          <w:lang w:val="sq-AL"/>
        </w:rPr>
      </w:pPr>
    </w:p>
    <w:p w:rsidR="00B0121D" w:rsidRPr="00D73F43" w:rsidRDefault="00B0121D" w:rsidP="00B0121D">
      <w:pPr>
        <w:jc w:val="both"/>
        <w:rPr>
          <w:b/>
          <w:noProof/>
          <w:sz w:val="22"/>
          <w:szCs w:val="22"/>
          <w:lang w:val="sq-AL"/>
        </w:rPr>
      </w:pPr>
      <w:r w:rsidRPr="00D73F43">
        <w:rPr>
          <w:b/>
          <w:noProof/>
          <w:sz w:val="22"/>
          <w:szCs w:val="22"/>
          <w:lang w:val="sq-AL"/>
        </w:rPr>
        <w:t>Tabela</w:t>
      </w:r>
      <w:r w:rsidR="00C610A8">
        <w:rPr>
          <w:b/>
          <w:noProof/>
          <w:sz w:val="22"/>
          <w:szCs w:val="22"/>
          <w:lang w:val="sq-AL"/>
        </w:rPr>
        <w:t xml:space="preserve"> 2</w:t>
      </w:r>
      <w:r w:rsidRPr="00D73F43">
        <w:rPr>
          <w:b/>
          <w:noProof/>
          <w:sz w:val="22"/>
          <w:szCs w:val="22"/>
          <w:lang w:val="sq-AL"/>
        </w:rPr>
        <w:t>: Norma e papunësisë (në %)</w:t>
      </w:r>
    </w:p>
    <w:tbl>
      <w:tblPr>
        <w:tblW w:w="9860" w:type="dxa"/>
        <w:tblBorders>
          <w:top w:val="single" w:sz="12" w:space="0" w:color="008000"/>
          <w:bottom w:val="single" w:sz="12" w:space="0" w:color="008000"/>
        </w:tblBorders>
        <w:tblLook w:val="04A0" w:firstRow="1" w:lastRow="0" w:firstColumn="1" w:lastColumn="0" w:noHBand="0" w:noVBand="1"/>
      </w:tblPr>
      <w:tblGrid>
        <w:gridCol w:w="3260"/>
        <w:gridCol w:w="1000"/>
        <w:gridCol w:w="880"/>
        <w:gridCol w:w="880"/>
        <w:gridCol w:w="960"/>
        <w:gridCol w:w="960"/>
        <w:gridCol w:w="960"/>
        <w:gridCol w:w="960"/>
      </w:tblGrid>
      <w:tr w:rsidR="00B0121D" w:rsidRPr="00D73F43" w:rsidTr="00AD09A8">
        <w:trPr>
          <w:trHeight w:val="300"/>
        </w:trPr>
        <w:tc>
          <w:tcPr>
            <w:tcW w:w="3260" w:type="dxa"/>
            <w:tcBorders>
              <w:top w:val="single" w:sz="12" w:space="0" w:color="008000"/>
              <w:bottom w:val="single" w:sz="6" w:space="0" w:color="008000"/>
            </w:tcBorders>
            <w:shd w:val="clear" w:color="auto" w:fill="auto"/>
            <w:hideMark/>
          </w:tcPr>
          <w:p w:rsidR="00B0121D" w:rsidRPr="00D73F43" w:rsidRDefault="00B0121D" w:rsidP="00AD09A8">
            <w:pPr>
              <w:jc w:val="both"/>
              <w:rPr>
                <w:rFonts w:eastAsia="Times New Roman"/>
                <w:b/>
                <w:bCs/>
                <w:noProof/>
                <w:sz w:val="22"/>
                <w:szCs w:val="22"/>
                <w:lang w:val="sq-AL"/>
              </w:rPr>
            </w:pPr>
          </w:p>
        </w:tc>
        <w:tc>
          <w:tcPr>
            <w:tcW w:w="1000" w:type="dxa"/>
            <w:tcBorders>
              <w:top w:val="single" w:sz="12" w:space="0" w:color="008000"/>
              <w:bottom w:val="single" w:sz="6" w:space="0" w:color="008000"/>
            </w:tcBorders>
            <w:shd w:val="clear" w:color="auto" w:fill="auto"/>
            <w:noWrap/>
            <w:hideMark/>
          </w:tcPr>
          <w:p w:rsidR="00B0121D" w:rsidRPr="00D73F43" w:rsidRDefault="00B0121D" w:rsidP="00AD09A8">
            <w:pPr>
              <w:jc w:val="both"/>
              <w:rPr>
                <w:rFonts w:eastAsia="Times New Roman"/>
                <w:b/>
                <w:bCs/>
                <w:noProof/>
                <w:sz w:val="22"/>
                <w:szCs w:val="22"/>
                <w:lang w:val="sq-AL"/>
              </w:rPr>
            </w:pPr>
            <w:r w:rsidRPr="00D73F43">
              <w:rPr>
                <w:rFonts w:eastAsia="Times New Roman"/>
                <w:b/>
                <w:bCs/>
                <w:noProof/>
                <w:sz w:val="22"/>
                <w:szCs w:val="22"/>
                <w:lang w:val="sq-AL"/>
              </w:rPr>
              <w:t>2012</w:t>
            </w:r>
          </w:p>
        </w:tc>
        <w:tc>
          <w:tcPr>
            <w:tcW w:w="880" w:type="dxa"/>
            <w:tcBorders>
              <w:top w:val="single" w:sz="12" w:space="0" w:color="008000"/>
              <w:bottom w:val="single" w:sz="6" w:space="0" w:color="008000"/>
            </w:tcBorders>
            <w:shd w:val="clear" w:color="auto" w:fill="auto"/>
            <w:noWrap/>
            <w:hideMark/>
          </w:tcPr>
          <w:p w:rsidR="00B0121D" w:rsidRPr="00D73F43" w:rsidRDefault="00B0121D" w:rsidP="00AD09A8">
            <w:pPr>
              <w:jc w:val="both"/>
              <w:rPr>
                <w:rFonts w:eastAsia="Times New Roman"/>
                <w:b/>
                <w:bCs/>
                <w:noProof/>
                <w:sz w:val="22"/>
                <w:szCs w:val="22"/>
                <w:lang w:val="sq-AL"/>
              </w:rPr>
            </w:pPr>
            <w:r w:rsidRPr="00D73F43">
              <w:rPr>
                <w:rFonts w:eastAsia="Times New Roman"/>
                <w:b/>
                <w:bCs/>
                <w:noProof/>
                <w:sz w:val="22"/>
                <w:szCs w:val="22"/>
                <w:lang w:val="sq-AL"/>
              </w:rPr>
              <w:t>2013</w:t>
            </w:r>
          </w:p>
        </w:tc>
        <w:tc>
          <w:tcPr>
            <w:tcW w:w="880" w:type="dxa"/>
            <w:tcBorders>
              <w:top w:val="single" w:sz="12" w:space="0" w:color="008000"/>
              <w:bottom w:val="single" w:sz="6" w:space="0" w:color="008000"/>
            </w:tcBorders>
            <w:shd w:val="clear" w:color="auto" w:fill="auto"/>
            <w:noWrap/>
            <w:hideMark/>
          </w:tcPr>
          <w:p w:rsidR="00B0121D" w:rsidRPr="00D73F43" w:rsidRDefault="00B0121D" w:rsidP="00AD09A8">
            <w:pPr>
              <w:jc w:val="both"/>
              <w:rPr>
                <w:rFonts w:eastAsia="Times New Roman"/>
                <w:b/>
                <w:bCs/>
                <w:noProof/>
                <w:sz w:val="22"/>
                <w:szCs w:val="22"/>
                <w:lang w:val="sq-AL"/>
              </w:rPr>
            </w:pPr>
            <w:r w:rsidRPr="00D73F43">
              <w:rPr>
                <w:rFonts w:eastAsia="Times New Roman"/>
                <w:b/>
                <w:bCs/>
                <w:noProof/>
                <w:sz w:val="22"/>
                <w:szCs w:val="22"/>
                <w:lang w:val="sq-AL"/>
              </w:rPr>
              <w:t>2014</w:t>
            </w:r>
          </w:p>
        </w:tc>
        <w:tc>
          <w:tcPr>
            <w:tcW w:w="960" w:type="dxa"/>
            <w:tcBorders>
              <w:top w:val="single" w:sz="12" w:space="0" w:color="008000"/>
              <w:bottom w:val="single" w:sz="6" w:space="0" w:color="008000"/>
            </w:tcBorders>
            <w:shd w:val="clear" w:color="auto" w:fill="auto"/>
            <w:noWrap/>
            <w:hideMark/>
          </w:tcPr>
          <w:p w:rsidR="00B0121D" w:rsidRPr="00D73F43" w:rsidRDefault="00B0121D" w:rsidP="00AD09A8">
            <w:pPr>
              <w:jc w:val="both"/>
              <w:rPr>
                <w:rFonts w:eastAsia="Times New Roman"/>
                <w:b/>
                <w:bCs/>
                <w:noProof/>
                <w:sz w:val="22"/>
                <w:szCs w:val="22"/>
                <w:lang w:val="sq-AL"/>
              </w:rPr>
            </w:pPr>
            <w:r w:rsidRPr="00D73F43">
              <w:rPr>
                <w:rFonts w:eastAsia="Times New Roman"/>
                <w:b/>
                <w:bCs/>
                <w:noProof/>
                <w:sz w:val="22"/>
                <w:szCs w:val="22"/>
                <w:lang w:val="sq-AL"/>
              </w:rPr>
              <w:t>2015</w:t>
            </w:r>
          </w:p>
        </w:tc>
        <w:tc>
          <w:tcPr>
            <w:tcW w:w="960" w:type="dxa"/>
            <w:tcBorders>
              <w:top w:val="single" w:sz="12" w:space="0" w:color="008000"/>
              <w:bottom w:val="single" w:sz="6" w:space="0" w:color="008000"/>
            </w:tcBorders>
            <w:shd w:val="clear" w:color="auto" w:fill="auto"/>
            <w:noWrap/>
            <w:hideMark/>
          </w:tcPr>
          <w:p w:rsidR="00B0121D" w:rsidRPr="00D73F43" w:rsidRDefault="00B0121D" w:rsidP="00AD09A8">
            <w:pPr>
              <w:jc w:val="both"/>
              <w:rPr>
                <w:rFonts w:eastAsia="Times New Roman"/>
                <w:b/>
                <w:bCs/>
                <w:noProof/>
                <w:sz w:val="22"/>
                <w:szCs w:val="22"/>
                <w:lang w:val="sq-AL"/>
              </w:rPr>
            </w:pPr>
            <w:r w:rsidRPr="00D73F43">
              <w:rPr>
                <w:rFonts w:eastAsia="Times New Roman"/>
                <w:b/>
                <w:bCs/>
                <w:noProof/>
                <w:sz w:val="22"/>
                <w:szCs w:val="22"/>
                <w:lang w:val="sq-AL"/>
              </w:rPr>
              <w:t>2016</w:t>
            </w:r>
          </w:p>
        </w:tc>
        <w:tc>
          <w:tcPr>
            <w:tcW w:w="960" w:type="dxa"/>
            <w:tcBorders>
              <w:top w:val="single" w:sz="12" w:space="0" w:color="008000"/>
              <w:bottom w:val="single" w:sz="6" w:space="0" w:color="008000"/>
            </w:tcBorders>
            <w:shd w:val="clear" w:color="auto" w:fill="auto"/>
            <w:noWrap/>
            <w:hideMark/>
          </w:tcPr>
          <w:p w:rsidR="00B0121D" w:rsidRPr="00D73F43" w:rsidRDefault="00B0121D" w:rsidP="00AD09A8">
            <w:pPr>
              <w:jc w:val="both"/>
              <w:rPr>
                <w:rFonts w:eastAsia="Times New Roman"/>
                <w:b/>
                <w:bCs/>
                <w:noProof/>
                <w:sz w:val="22"/>
                <w:szCs w:val="22"/>
                <w:lang w:val="sq-AL"/>
              </w:rPr>
            </w:pPr>
            <w:r w:rsidRPr="00D73F43">
              <w:rPr>
                <w:rFonts w:eastAsia="Times New Roman"/>
                <w:b/>
                <w:bCs/>
                <w:noProof/>
                <w:sz w:val="22"/>
                <w:szCs w:val="22"/>
                <w:lang w:val="sq-AL"/>
              </w:rPr>
              <w:t>2017</w:t>
            </w:r>
          </w:p>
        </w:tc>
        <w:tc>
          <w:tcPr>
            <w:tcW w:w="960" w:type="dxa"/>
            <w:tcBorders>
              <w:top w:val="single" w:sz="12" w:space="0" w:color="008000"/>
              <w:bottom w:val="single" w:sz="6" w:space="0" w:color="008000"/>
            </w:tcBorders>
            <w:shd w:val="clear" w:color="auto" w:fill="auto"/>
            <w:noWrap/>
            <w:hideMark/>
          </w:tcPr>
          <w:p w:rsidR="00B0121D" w:rsidRPr="00D73F43" w:rsidRDefault="00B0121D" w:rsidP="00AD09A8">
            <w:pPr>
              <w:jc w:val="both"/>
              <w:rPr>
                <w:rFonts w:eastAsia="Times New Roman"/>
                <w:b/>
                <w:bCs/>
                <w:noProof/>
                <w:sz w:val="22"/>
                <w:szCs w:val="22"/>
                <w:lang w:val="sq-AL"/>
              </w:rPr>
            </w:pPr>
            <w:r w:rsidRPr="00D73F43">
              <w:rPr>
                <w:rFonts w:eastAsia="Times New Roman"/>
                <w:b/>
                <w:bCs/>
                <w:noProof/>
                <w:sz w:val="22"/>
                <w:szCs w:val="22"/>
                <w:lang w:val="sq-AL"/>
              </w:rPr>
              <w:t>2018</w:t>
            </w:r>
          </w:p>
        </w:tc>
      </w:tr>
      <w:tr w:rsidR="00B0121D" w:rsidRPr="00D73F43" w:rsidTr="00AD09A8">
        <w:trPr>
          <w:trHeight w:val="300"/>
        </w:trPr>
        <w:tc>
          <w:tcPr>
            <w:tcW w:w="3260" w:type="dxa"/>
            <w:shd w:val="clear" w:color="auto" w:fill="auto"/>
            <w:hideMark/>
          </w:tcPr>
          <w:p w:rsidR="00B0121D" w:rsidRPr="00D73F43" w:rsidRDefault="00B0121D" w:rsidP="00AD09A8">
            <w:pPr>
              <w:ind w:firstLineChars="100" w:firstLine="220"/>
              <w:jc w:val="both"/>
              <w:rPr>
                <w:rFonts w:eastAsia="Times New Roman"/>
                <w:noProof/>
                <w:sz w:val="22"/>
                <w:szCs w:val="22"/>
                <w:lang w:val="sq-AL"/>
              </w:rPr>
            </w:pPr>
            <w:r w:rsidRPr="00D73F43">
              <w:rPr>
                <w:rFonts w:eastAsia="Times New Roman"/>
                <w:noProof/>
                <w:sz w:val="22"/>
                <w:szCs w:val="22"/>
                <w:lang w:val="sq-AL"/>
              </w:rPr>
              <w:t>Shqipëria</w:t>
            </w:r>
          </w:p>
        </w:tc>
        <w:tc>
          <w:tcPr>
            <w:tcW w:w="100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13.8</w:t>
            </w:r>
          </w:p>
        </w:tc>
        <w:tc>
          <w:tcPr>
            <w:tcW w:w="88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16.4</w:t>
            </w:r>
          </w:p>
        </w:tc>
        <w:tc>
          <w:tcPr>
            <w:tcW w:w="88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17.9</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17.5</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16.2</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14.8</w:t>
            </w:r>
          </w:p>
        </w:tc>
        <w:tc>
          <w:tcPr>
            <w:tcW w:w="96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13.3</w:t>
            </w:r>
          </w:p>
        </w:tc>
      </w:tr>
      <w:tr w:rsidR="00B0121D" w:rsidRPr="00D73F43" w:rsidTr="00AD09A8">
        <w:trPr>
          <w:trHeight w:val="300"/>
        </w:trPr>
        <w:tc>
          <w:tcPr>
            <w:tcW w:w="3260" w:type="dxa"/>
            <w:shd w:val="clear" w:color="auto" w:fill="auto"/>
            <w:hideMark/>
          </w:tcPr>
          <w:p w:rsidR="00B0121D" w:rsidRPr="00D73F43" w:rsidRDefault="00B0121D" w:rsidP="00AD09A8">
            <w:pPr>
              <w:ind w:firstLineChars="100" w:firstLine="220"/>
              <w:jc w:val="both"/>
              <w:rPr>
                <w:rFonts w:eastAsia="Times New Roman"/>
                <w:noProof/>
                <w:sz w:val="22"/>
                <w:szCs w:val="22"/>
                <w:lang w:val="sq-AL"/>
              </w:rPr>
            </w:pPr>
            <w:r w:rsidRPr="00D73F43">
              <w:rPr>
                <w:rFonts w:eastAsia="Times New Roman"/>
                <w:noProof/>
                <w:sz w:val="22"/>
                <w:szCs w:val="22"/>
                <w:lang w:val="sq-AL"/>
              </w:rPr>
              <w:t>Bosnia dhe Herzegovina</w:t>
            </w:r>
          </w:p>
        </w:tc>
        <w:tc>
          <w:tcPr>
            <w:tcW w:w="100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28.1</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27.5</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27.5</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27.7</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25.4</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p>
        </w:tc>
        <w:tc>
          <w:tcPr>
            <w:tcW w:w="960" w:type="dxa"/>
            <w:shd w:val="clear" w:color="auto" w:fill="auto"/>
            <w:hideMark/>
          </w:tcPr>
          <w:p w:rsidR="00B0121D" w:rsidRPr="00D73F43" w:rsidRDefault="00B0121D" w:rsidP="00AD09A8">
            <w:pPr>
              <w:jc w:val="both"/>
              <w:rPr>
                <w:rFonts w:eastAsia="Times New Roman"/>
                <w:noProof/>
                <w:sz w:val="22"/>
                <w:szCs w:val="22"/>
                <w:lang w:val="sq-AL"/>
              </w:rPr>
            </w:pPr>
          </w:p>
        </w:tc>
      </w:tr>
      <w:tr w:rsidR="00B0121D" w:rsidRPr="00D73F43" w:rsidTr="00AD09A8">
        <w:trPr>
          <w:trHeight w:val="300"/>
        </w:trPr>
        <w:tc>
          <w:tcPr>
            <w:tcW w:w="3260" w:type="dxa"/>
            <w:shd w:val="clear" w:color="auto" w:fill="auto"/>
            <w:hideMark/>
          </w:tcPr>
          <w:p w:rsidR="00B0121D" w:rsidRPr="00D73F43" w:rsidRDefault="00B0121D" w:rsidP="00AD09A8">
            <w:pPr>
              <w:ind w:firstLineChars="100" w:firstLine="220"/>
              <w:jc w:val="both"/>
              <w:rPr>
                <w:rFonts w:eastAsia="Times New Roman"/>
                <w:noProof/>
                <w:sz w:val="22"/>
                <w:szCs w:val="22"/>
                <w:lang w:val="sq-AL"/>
              </w:rPr>
            </w:pPr>
            <w:r w:rsidRPr="00D73F43">
              <w:rPr>
                <w:rFonts w:eastAsia="Times New Roman"/>
                <w:noProof/>
                <w:sz w:val="22"/>
                <w:szCs w:val="22"/>
                <w:lang w:val="sq-AL"/>
              </w:rPr>
              <w:t>Kosovo</w:t>
            </w:r>
          </w:p>
        </w:tc>
        <w:tc>
          <w:tcPr>
            <w:tcW w:w="100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30.9</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30.0</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35.3</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32.9</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 </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 </w:t>
            </w:r>
          </w:p>
        </w:tc>
        <w:tc>
          <w:tcPr>
            <w:tcW w:w="96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 </w:t>
            </w:r>
          </w:p>
        </w:tc>
      </w:tr>
      <w:tr w:rsidR="00B0121D" w:rsidRPr="00D73F43" w:rsidTr="00AD09A8">
        <w:trPr>
          <w:trHeight w:val="300"/>
        </w:trPr>
        <w:tc>
          <w:tcPr>
            <w:tcW w:w="3260" w:type="dxa"/>
            <w:shd w:val="clear" w:color="auto" w:fill="auto"/>
            <w:hideMark/>
          </w:tcPr>
          <w:p w:rsidR="00B0121D" w:rsidRPr="00D73F43" w:rsidRDefault="00B0121D" w:rsidP="00AD09A8">
            <w:pPr>
              <w:ind w:firstLineChars="100" w:firstLine="220"/>
              <w:jc w:val="both"/>
              <w:rPr>
                <w:rFonts w:eastAsia="Times New Roman"/>
                <w:noProof/>
                <w:sz w:val="22"/>
                <w:szCs w:val="22"/>
                <w:lang w:val="sq-AL"/>
              </w:rPr>
            </w:pPr>
            <w:r w:rsidRPr="00D73F43">
              <w:rPr>
                <w:rFonts w:eastAsia="Times New Roman"/>
                <w:noProof/>
                <w:sz w:val="22"/>
                <w:szCs w:val="22"/>
                <w:lang w:val="sq-AL"/>
              </w:rPr>
              <w:t>Macedonia, FYR</w:t>
            </w:r>
          </w:p>
        </w:tc>
        <w:tc>
          <w:tcPr>
            <w:tcW w:w="100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31.0</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29.0</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28.0</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26.1</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24.8</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23.9</w:t>
            </w:r>
          </w:p>
        </w:tc>
        <w:tc>
          <w:tcPr>
            <w:tcW w:w="96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22.7</w:t>
            </w:r>
          </w:p>
        </w:tc>
      </w:tr>
      <w:tr w:rsidR="00B0121D" w:rsidRPr="00D73F43" w:rsidTr="00AD09A8">
        <w:trPr>
          <w:trHeight w:val="300"/>
        </w:trPr>
        <w:tc>
          <w:tcPr>
            <w:tcW w:w="3260" w:type="dxa"/>
            <w:shd w:val="clear" w:color="auto" w:fill="auto"/>
            <w:hideMark/>
          </w:tcPr>
          <w:p w:rsidR="00B0121D" w:rsidRPr="00D73F43" w:rsidRDefault="00B0121D" w:rsidP="00AD09A8">
            <w:pPr>
              <w:ind w:firstLineChars="100" w:firstLine="220"/>
              <w:jc w:val="both"/>
              <w:rPr>
                <w:rFonts w:eastAsia="Times New Roman"/>
                <w:noProof/>
                <w:sz w:val="22"/>
                <w:szCs w:val="22"/>
                <w:lang w:val="sq-AL"/>
              </w:rPr>
            </w:pPr>
            <w:r w:rsidRPr="00D73F43">
              <w:rPr>
                <w:rFonts w:eastAsia="Times New Roman"/>
                <w:noProof/>
                <w:sz w:val="22"/>
                <w:szCs w:val="22"/>
                <w:lang w:val="sq-AL"/>
              </w:rPr>
              <w:t>Montenegro</w:t>
            </w:r>
          </w:p>
        </w:tc>
        <w:tc>
          <w:tcPr>
            <w:tcW w:w="100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19.8</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19.5</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18.0</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17.6</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17.8</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17.8</w:t>
            </w:r>
          </w:p>
        </w:tc>
        <w:tc>
          <w:tcPr>
            <w:tcW w:w="96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 </w:t>
            </w:r>
          </w:p>
        </w:tc>
      </w:tr>
      <w:tr w:rsidR="00B0121D" w:rsidRPr="00D73F43" w:rsidTr="00AD09A8">
        <w:trPr>
          <w:trHeight w:val="300"/>
        </w:trPr>
        <w:tc>
          <w:tcPr>
            <w:tcW w:w="3260" w:type="dxa"/>
            <w:tcBorders>
              <w:bottom w:val="single" w:sz="12" w:space="0" w:color="008000"/>
            </w:tcBorders>
            <w:shd w:val="clear" w:color="auto" w:fill="auto"/>
            <w:hideMark/>
          </w:tcPr>
          <w:p w:rsidR="00B0121D" w:rsidRPr="00D73F43" w:rsidRDefault="00B0121D" w:rsidP="00AD09A8">
            <w:pPr>
              <w:ind w:firstLineChars="100" w:firstLine="220"/>
              <w:jc w:val="both"/>
              <w:rPr>
                <w:rFonts w:eastAsia="Times New Roman"/>
                <w:noProof/>
                <w:sz w:val="22"/>
                <w:szCs w:val="22"/>
                <w:lang w:val="sq-AL"/>
              </w:rPr>
            </w:pPr>
            <w:r w:rsidRPr="00D73F43">
              <w:rPr>
                <w:rFonts w:eastAsia="Times New Roman"/>
                <w:noProof/>
                <w:sz w:val="22"/>
                <w:szCs w:val="22"/>
                <w:lang w:val="sq-AL"/>
              </w:rPr>
              <w:t>Serbia</w:t>
            </w:r>
          </w:p>
        </w:tc>
        <w:tc>
          <w:tcPr>
            <w:tcW w:w="1000" w:type="dxa"/>
            <w:tcBorders>
              <w:bottom w:val="single" w:sz="12" w:space="0" w:color="008000"/>
            </w:tcBorders>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24.0</w:t>
            </w:r>
          </w:p>
        </w:tc>
        <w:tc>
          <w:tcPr>
            <w:tcW w:w="880" w:type="dxa"/>
            <w:tcBorders>
              <w:bottom w:val="single" w:sz="12" w:space="0" w:color="008000"/>
            </w:tcBorders>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22.1</w:t>
            </w:r>
          </w:p>
        </w:tc>
        <w:tc>
          <w:tcPr>
            <w:tcW w:w="880" w:type="dxa"/>
            <w:tcBorders>
              <w:bottom w:val="single" w:sz="12" w:space="0" w:color="008000"/>
            </w:tcBorders>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19.2</w:t>
            </w:r>
          </w:p>
        </w:tc>
        <w:tc>
          <w:tcPr>
            <w:tcW w:w="960" w:type="dxa"/>
            <w:tcBorders>
              <w:bottom w:val="single" w:sz="12" w:space="0" w:color="008000"/>
            </w:tcBorders>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17.7</w:t>
            </w:r>
          </w:p>
        </w:tc>
        <w:tc>
          <w:tcPr>
            <w:tcW w:w="960" w:type="dxa"/>
            <w:tcBorders>
              <w:bottom w:val="single" w:sz="12" w:space="0" w:color="008000"/>
            </w:tcBorders>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16.8</w:t>
            </w:r>
          </w:p>
        </w:tc>
        <w:tc>
          <w:tcPr>
            <w:tcW w:w="960" w:type="dxa"/>
            <w:tcBorders>
              <w:bottom w:val="single" w:sz="12" w:space="0" w:color="008000"/>
            </w:tcBorders>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15.9</w:t>
            </w:r>
          </w:p>
        </w:tc>
        <w:tc>
          <w:tcPr>
            <w:tcW w:w="960" w:type="dxa"/>
            <w:tcBorders>
              <w:bottom w:val="single" w:sz="12" w:space="0" w:color="008000"/>
            </w:tcBorders>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16.9</w:t>
            </w:r>
          </w:p>
        </w:tc>
      </w:tr>
    </w:tbl>
    <w:p w:rsidR="00B0121D" w:rsidRPr="00D73F43" w:rsidRDefault="00B0121D" w:rsidP="00B0121D">
      <w:pPr>
        <w:jc w:val="both"/>
        <w:rPr>
          <w:noProof/>
          <w:lang w:val="sq-AL"/>
        </w:rPr>
      </w:pPr>
    </w:p>
    <w:p w:rsidR="00B0121D" w:rsidRPr="00D73F43" w:rsidRDefault="00B0121D" w:rsidP="00B0121D">
      <w:pPr>
        <w:jc w:val="both"/>
        <w:rPr>
          <w:noProof/>
          <w:lang w:val="sq-AL"/>
        </w:rPr>
      </w:pPr>
      <w:r w:rsidRPr="00D73F43">
        <w:rPr>
          <w:noProof/>
          <w:lang w:val="sq-AL"/>
        </w:rPr>
        <w:t xml:space="preserve">Sektori jashtëm i Rajonit mbetet  i ndjeshëm ndaj zhvillimeve  në mjedisin e jashtëm. Deficiti i llogarisë korrente do të mbetet në nivelet e 6.4% të PBB. . Zgjerimi i deficiteve tregtare, rënia e remitancave apo dhe pagesat e dividentëve për investitorët jo-rezidentë, janë shkaktarët kryesorë të këtyre dinamikave për disa vende të rajonit . Eksportet e mallrave janë ulur në Shqipëri, Kosovë dhe Mal të Zi, kryesisht si </w:t>
      </w:r>
      <w:r w:rsidRPr="00D73F43">
        <w:rPr>
          <w:noProof/>
          <w:lang w:val="sq-AL"/>
        </w:rPr>
        <w:lastRenderedPageBreak/>
        <w:t xml:space="preserve">rezultat i çmimeve të ulëta të naftës bruto në tregjet ndërkombëtare. Nga ana tjetër, importet e lidhura me investimet dhe konsumin kanë njohur përmirësim. </w:t>
      </w:r>
    </w:p>
    <w:p w:rsidR="00B0121D" w:rsidRPr="00D73F43" w:rsidRDefault="00B0121D" w:rsidP="00B0121D">
      <w:pPr>
        <w:jc w:val="both"/>
        <w:rPr>
          <w:noProof/>
          <w:lang w:val="sq-AL"/>
        </w:rPr>
      </w:pPr>
    </w:p>
    <w:p w:rsidR="00B0121D" w:rsidRPr="00D73F43" w:rsidRDefault="00B0121D" w:rsidP="00B0121D">
      <w:pPr>
        <w:jc w:val="both"/>
        <w:rPr>
          <w:b/>
          <w:noProof/>
          <w:sz w:val="22"/>
          <w:szCs w:val="22"/>
          <w:lang w:val="sq-AL"/>
        </w:rPr>
      </w:pPr>
      <w:r w:rsidRPr="00D73F43">
        <w:rPr>
          <w:b/>
          <w:noProof/>
          <w:sz w:val="22"/>
          <w:szCs w:val="22"/>
          <w:lang w:val="sq-AL"/>
        </w:rPr>
        <w:t>Tabela</w:t>
      </w:r>
      <w:r w:rsidR="00C610A8">
        <w:rPr>
          <w:b/>
          <w:noProof/>
          <w:sz w:val="22"/>
          <w:szCs w:val="22"/>
          <w:lang w:val="sq-AL"/>
        </w:rPr>
        <w:t xml:space="preserve"> 3</w:t>
      </w:r>
      <w:r w:rsidRPr="00D73F43">
        <w:rPr>
          <w:b/>
          <w:noProof/>
          <w:sz w:val="22"/>
          <w:szCs w:val="22"/>
          <w:lang w:val="sq-AL"/>
        </w:rPr>
        <w:t>: Bilanci Tregtar i mallrave dhe shërbimeve (% të PBB)</w:t>
      </w:r>
    </w:p>
    <w:tbl>
      <w:tblPr>
        <w:tblW w:w="9860" w:type="dxa"/>
        <w:tblBorders>
          <w:top w:val="single" w:sz="12" w:space="0" w:color="008000"/>
          <w:bottom w:val="single" w:sz="12" w:space="0" w:color="008000"/>
        </w:tblBorders>
        <w:tblLook w:val="04A0" w:firstRow="1" w:lastRow="0" w:firstColumn="1" w:lastColumn="0" w:noHBand="0" w:noVBand="1"/>
      </w:tblPr>
      <w:tblGrid>
        <w:gridCol w:w="3260"/>
        <w:gridCol w:w="1000"/>
        <w:gridCol w:w="880"/>
        <w:gridCol w:w="880"/>
        <w:gridCol w:w="960"/>
        <w:gridCol w:w="960"/>
        <w:gridCol w:w="960"/>
        <w:gridCol w:w="960"/>
      </w:tblGrid>
      <w:tr w:rsidR="00B0121D" w:rsidRPr="00D73F43" w:rsidTr="00AD09A8">
        <w:trPr>
          <w:trHeight w:val="300"/>
        </w:trPr>
        <w:tc>
          <w:tcPr>
            <w:tcW w:w="3260" w:type="dxa"/>
            <w:tcBorders>
              <w:bottom w:val="single" w:sz="6" w:space="0" w:color="008000"/>
            </w:tcBorders>
            <w:shd w:val="clear" w:color="auto" w:fill="auto"/>
          </w:tcPr>
          <w:p w:rsidR="00B0121D" w:rsidRPr="00D73F43" w:rsidRDefault="00B0121D" w:rsidP="00AD09A8">
            <w:pPr>
              <w:jc w:val="both"/>
              <w:rPr>
                <w:rFonts w:eastAsia="Times New Roman"/>
                <w:b/>
                <w:bCs/>
                <w:noProof/>
                <w:sz w:val="22"/>
                <w:szCs w:val="22"/>
                <w:lang w:val="sq-AL"/>
              </w:rPr>
            </w:pPr>
          </w:p>
        </w:tc>
        <w:tc>
          <w:tcPr>
            <w:tcW w:w="1000" w:type="dxa"/>
            <w:tcBorders>
              <w:bottom w:val="single" w:sz="6" w:space="0" w:color="008000"/>
            </w:tcBorders>
            <w:shd w:val="clear" w:color="auto" w:fill="auto"/>
            <w:noWrap/>
            <w:hideMark/>
          </w:tcPr>
          <w:p w:rsidR="00B0121D" w:rsidRPr="00D73F43" w:rsidRDefault="00B0121D" w:rsidP="00AD09A8">
            <w:pPr>
              <w:jc w:val="both"/>
              <w:rPr>
                <w:rFonts w:eastAsia="Times New Roman"/>
                <w:b/>
                <w:bCs/>
                <w:noProof/>
                <w:sz w:val="22"/>
                <w:szCs w:val="22"/>
                <w:lang w:val="sq-AL"/>
              </w:rPr>
            </w:pPr>
            <w:r w:rsidRPr="00D73F43">
              <w:rPr>
                <w:rFonts w:eastAsia="Times New Roman"/>
                <w:b/>
                <w:bCs/>
                <w:noProof/>
                <w:sz w:val="22"/>
                <w:szCs w:val="22"/>
                <w:lang w:val="sq-AL"/>
              </w:rPr>
              <w:t>2012</w:t>
            </w:r>
          </w:p>
        </w:tc>
        <w:tc>
          <w:tcPr>
            <w:tcW w:w="880" w:type="dxa"/>
            <w:tcBorders>
              <w:bottom w:val="single" w:sz="6" w:space="0" w:color="008000"/>
            </w:tcBorders>
            <w:shd w:val="clear" w:color="auto" w:fill="auto"/>
            <w:noWrap/>
            <w:hideMark/>
          </w:tcPr>
          <w:p w:rsidR="00B0121D" w:rsidRPr="00D73F43" w:rsidRDefault="00B0121D" w:rsidP="00AD09A8">
            <w:pPr>
              <w:jc w:val="both"/>
              <w:rPr>
                <w:rFonts w:eastAsia="Times New Roman"/>
                <w:b/>
                <w:bCs/>
                <w:noProof/>
                <w:sz w:val="22"/>
                <w:szCs w:val="22"/>
                <w:lang w:val="sq-AL"/>
              </w:rPr>
            </w:pPr>
            <w:r w:rsidRPr="00D73F43">
              <w:rPr>
                <w:rFonts w:eastAsia="Times New Roman"/>
                <w:b/>
                <w:bCs/>
                <w:noProof/>
                <w:sz w:val="22"/>
                <w:szCs w:val="22"/>
                <w:lang w:val="sq-AL"/>
              </w:rPr>
              <w:t>2013</w:t>
            </w:r>
          </w:p>
        </w:tc>
        <w:tc>
          <w:tcPr>
            <w:tcW w:w="880" w:type="dxa"/>
            <w:tcBorders>
              <w:bottom w:val="single" w:sz="6" w:space="0" w:color="008000"/>
            </w:tcBorders>
            <w:shd w:val="clear" w:color="auto" w:fill="auto"/>
            <w:noWrap/>
            <w:hideMark/>
          </w:tcPr>
          <w:p w:rsidR="00B0121D" w:rsidRPr="00D73F43" w:rsidRDefault="00B0121D" w:rsidP="00AD09A8">
            <w:pPr>
              <w:jc w:val="both"/>
              <w:rPr>
                <w:rFonts w:eastAsia="Times New Roman"/>
                <w:b/>
                <w:bCs/>
                <w:noProof/>
                <w:sz w:val="22"/>
                <w:szCs w:val="22"/>
                <w:lang w:val="sq-AL"/>
              </w:rPr>
            </w:pPr>
            <w:r w:rsidRPr="00D73F43">
              <w:rPr>
                <w:rFonts w:eastAsia="Times New Roman"/>
                <w:b/>
                <w:bCs/>
                <w:noProof/>
                <w:sz w:val="22"/>
                <w:szCs w:val="22"/>
                <w:lang w:val="sq-AL"/>
              </w:rPr>
              <w:t>2014</w:t>
            </w:r>
          </w:p>
        </w:tc>
        <w:tc>
          <w:tcPr>
            <w:tcW w:w="960" w:type="dxa"/>
            <w:tcBorders>
              <w:bottom w:val="single" w:sz="6" w:space="0" w:color="008000"/>
            </w:tcBorders>
            <w:shd w:val="clear" w:color="auto" w:fill="auto"/>
            <w:noWrap/>
            <w:hideMark/>
          </w:tcPr>
          <w:p w:rsidR="00B0121D" w:rsidRPr="00D73F43" w:rsidRDefault="00B0121D" w:rsidP="00AD09A8">
            <w:pPr>
              <w:jc w:val="both"/>
              <w:rPr>
                <w:rFonts w:eastAsia="Times New Roman"/>
                <w:b/>
                <w:bCs/>
                <w:noProof/>
                <w:sz w:val="22"/>
                <w:szCs w:val="22"/>
                <w:lang w:val="sq-AL"/>
              </w:rPr>
            </w:pPr>
            <w:r w:rsidRPr="00D73F43">
              <w:rPr>
                <w:rFonts w:eastAsia="Times New Roman"/>
                <w:b/>
                <w:bCs/>
                <w:noProof/>
                <w:sz w:val="22"/>
                <w:szCs w:val="22"/>
                <w:lang w:val="sq-AL"/>
              </w:rPr>
              <w:t>2015</w:t>
            </w:r>
          </w:p>
        </w:tc>
        <w:tc>
          <w:tcPr>
            <w:tcW w:w="960" w:type="dxa"/>
            <w:tcBorders>
              <w:bottom w:val="single" w:sz="6" w:space="0" w:color="008000"/>
            </w:tcBorders>
            <w:shd w:val="clear" w:color="auto" w:fill="auto"/>
            <w:noWrap/>
            <w:hideMark/>
          </w:tcPr>
          <w:p w:rsidR="00B0121D" w:rsidRPr="00D73F43" w:rsidRDefault="00B0121D" w:rsidP="00AD09A8">
            <w:pPr>
              <w:jc w:val="both"/>
              <w:rPr>
                <w:rFonts w:eastAsia="Times New Roman"/>
                <w:b/>
                <w:bCs/>
                <w:noProof/>
                <w:sz w:val="22"/>
                <w:szCs w:val="22"/>
                <w:lang w:val="sq-AL"/>
              </w:rPr>
            </w:pPr>
            <w:r w:rsidRPr="00D73F43">
              <w:rPr>
                <w:rFonts w:eastAsia="Times New Roman"/>
                <w:b/>
                <w:bCs/>
                <w:noProof/>
                <w:sz w:val="22"/>
                <w:szCs w:val="22"/>
                <w:lang w:val="sq-AL"/>
              </w:rPr>
              <w:t>2016</w:t>
            </w:r>
          </w:p>
        </w:tc>
        <w:tc>
          <w:tcPr>
            <w:tcW w:w="960" w:type="dxa"/>
            <w:tcBorders>
              <w:bottom w:val="single" w:sz="6" w:space="0" w:color="008000"/>
            </w:tcBorders>
            <w:shd w:val="clear" w:color="auto" w:fill="auto"/>
            <w:noWrap/>
            <w:hideMark/>
          </w:tcPr>
          <w:p w:rsidR="00B0121D" w:rsidRPr="00D73F43" w:rsidRDefault="00B0121D" w:rsidP="00AD09A8">
            <w:pPr>
              <w:jc w:val="both"/>
              <w:rPr>
                <w:rFonts w:eastAsia="Times New Roman"/>
                <w:b/>
                <w:bCs/>
                <w:noProof/>
                <w:sz w:val="22"/>
                <w:szCs w:val="22"/>
                <w:lang w:val="sq-AL"/>
              </w:rPr>
            </w:pPr>
            <w:r w:rsidRPr="00D73F43">
              <w:rPr>
                <w:rFonts w:eastAsia="Times New Roman"/>
                <w:b/>
                <w:bCs/>
                <w:noProof/>
                <w:sz w:val="22"/>
                <w:szCs w:val="22"/>
                <w:lang w:val="sq-AL"/>
              </w:rPr>
              <w:t>2017</w:t>
            </w:r>
          </w:p>
        </w:tc>
        <w:tc>
          <w:tcPr>
            <w:tcW w:w="960" w:type="dxa"/>
            <w:tcBorders>
              <w:bottom w:val="single" w:sz="6" w:space="0" w:color="008000"/>
            </w:tcBorders>
            <w:shd w:val="clear" w:color="auto" w:fill="auto"/>
            <w:noWrap/>
            <w:hideMark/>
          </w:tcPr>
          <w:p w:rsidR="00B0121D" w:rsidRPr="00D73F43" w:rsidRDefault="00B0121D" w:rsidP="00AD09A8">
            <w:pPr>
              <w:jc w:val="both"/>
              <w:rPr>
                <w:rFonts w:eastAsia="Times New Roman"/>
                <w:b/>
                <w:bCs/>
                <w:noProof/>
                <w:sz w:val="22"/>
                <w:szCs w:val="22"/>
                <w:lang w:val="sq-AL"/>
              </w:rPr>
            </w:pPr>
            <w:r w:rsidRPr="00D73F43">
              <w:rPr>
                <w:rFonts w:eastAsia="Times New Roman"/>
                <w:b/>
                <w:bCs/>
                <w:noProof/>
                <w:sz w:val="22"/>
                <w:szCs w:val="22"/>
                <w:lang w:val="sq-AL"/>
              </w:rPr>
              <w:t>2018</w:t>
            </w:r>
          </w:p>
        </w:tc>
      </w:tr>
      <w:tr w:rsidR="00B0121D" w:rsidRPr="00D73F43" w:rsidTr="00AD09A8">
        <w:trPr>
          <w:trHeight w:val="300"/>
        </w:trPr>
        <w:tc>
          <w:tcPr>
            <w:tcW w:w="3260" w:type="dxa"/>
            <w:shd w:val="clear" w:color="auto" w:fill="auto"/>
            <w:hideMark/>
          </w:tcPr>
          <w:p w:rsidR="00B0121D" w:rsidRPr="00D73F43" w:rsidRDefault="00B0121D" w:rsidP="00AD09A8">
            <w:pPr>
              <w:ind w:firstLineChars="100" w:firstLine="220"/>
              <w:jc w:val="both"/>
              <w:rPr>
                <w:rFonts w:eastAsia="Times New Roman"/>
                <w:noProof/>
                <w:sz w:val="22"/>
                <w:szCs w:val="22"/>
                <w:lang w:val="sq-AL"/>
              </w:rPr>
            </w:pPr>
            <w:r w:rsidRPr="00D73F43">
              <w:rPr>
                <w:rFonts w:eastAsia="Times New Roman"/>
                <w:noProof/>
                <w:sz w:val="22"/>
                <w:szCs w:val="22"/>
                <w:lang w:val="sq-AL"/>
              </w:rPr>
              <w:t>Shqipëria</w:t>
            </w:r>
          </w:p>
        </w:tc>
        <w:tc>
          <w:tcPr>
            <w:tcW w:w="100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-18.6</w:t>
            </w:r>
          </w:p>
        </w:tc>
        <w:tc>
          <w:tcPr>
            <w:tcW w:w="88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-18.2</w:t>
            </w:r>
          </w:p>
        </w:tc>
        <w:tc>
          <w:tcPr>
            <w:tcW w:w="88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-19.0</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-17.3</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-18.2</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-17.8</w:t>
            </w:r>
          </w:p>
        </w:tc>
        <w:tc>
          <w:tcPr>
            <w:tcW w:w="96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-16.8</w:t>
            </w:r>
          </w:p>
        </w:tc>
      </w:tr>
      <w:tr w:rsidR="00B0121D" w:rsidRPr="00D73F43" w:rsidTr="00AD09A8">
        <w:trPr>
          <w:trHeight w:val="300"/>
        </w:trPr>
        <w:tc>
          <w:tcPr>
            <w:tcW w:w="3260" w:type="dxa"/>
            <w:shd w:val="clear" w:color="auto" w:fill="auto"/>
            <w:hideMark/>
          </w:tcPr>
          <w:p w:rsidR="00B0121D" w:rsidRPr="00D73F43" w:rsidRDefault="00B0121D" w:rsidP="00AD09A8">
            <w:pPr>
              <w:ind w:firstLineChars="100" w:firstLine="220"/>
              <w:jc w:val="both"/>
              <w:rPr>
                <w:rFonts w:eastAsia="Times New Roman"/>
                <w:noProof/>
                <w:sz w:val="22"/>
                <w:szCs w:val="22"/>
                <w:lang w:val="sq-AL"/>
              </w:rPr>
            </w:pPr>
            <w:r w:rsidRPr="00D73F43">
              <w:rPr>
                <w:rFonts w:eastAsia="Times New Roman"/>
                <w:noProof/>
                <w:sz w:val="22"/>
                <w:szCs w:val="22"/>
                <w:lang w:val="sq-AL"/>
              </w:rPr>
              <w:t>Bosnia dhe Herzegovina</w:t>
            </w:r>
          </w:p>
        </w:tc>
        <w:tc>
          <w:tcPr>
            <w:tcW w:w="100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-24</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-20.8</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-22.7</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-19.0</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-17.3</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-17.2</w:t>
            </w:r>
          </w:p>
        </w:tc>
        <w:tc>
          <w:tcPr>
            <w:tcW w:w="96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-17.7</w:t>
            </w:r>
          </w:p>
        </w:tc>
      </w:tr>
      <w:tr w:rsidR="00B0121D" w:rsidRPr="00D73F43" w:rsidTr="00AD09A8">
        <w:trPr>
          <w:trHeight w:val="300"/>
        </w:trPr>
        <w:tc>
          <w:tcPr>
            <w:tcW w:w="3260" w:type="dxa"/>
            <w:shd w:val="clear" w:color="auto" w:fill="auto"/>
            <w:hideMark/>
          </w:tcPr>
          <w:p w:rsidR="00B0121D" w:rsidRPr="00D73F43" w:rsidRDefault="00B0121D" w:rsidP="00AD09A8">
            <w:pPr>
              <w:ind w:firstLineChars="100" w:firstLine="220"/>
              <w:jc w:val="both"/>
              <w:rPr>
                <w:rFonts w:eastAsia="Times New Roman"/>
                <w:noProof/>
                <w:sz w:val="22"/>
                <w:szCs w:val="22"/>
                <w:lang w:val="sq-AL"/>
              </w:rPr>
            </w:pPr>
            <w:r w:rsidRPr="00D73F43">
              <w:rPr>
                <w:rFonts w:eastAsia="Times New Roman"/>
                <w:noProof/>
                <w:sz w:val="22"/>
                <w:szCs w:val="22"/>
                <w:lang w:val="sq-AL"/>
              </w:rPr>
              <w:t>Kosovo</w:t>
            </w:r>
          </w:p>
        </w:tc>
        <w:tc>
          <w:tcPr>
            <w:tcW w:w="100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-34.3</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-31.6</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-31</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-30.3</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-31.6</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-32.1</w:t>
            </w:r>
          </w:p>
        </w:tc>
        <w:tc>
          <w:tcPr>
            <w:tcW w:w="96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-33.0</w:t>
            </w:r>
          </w:p>
        </w:tc>
      </w:tr>
      <w:tr w:rsidR="00B0121D" w:rsidRPr="00D73F43" w:rsidTr="00AD09A8">
        <w:trPr>
          <w:trHeight w:val="300"/>
        </w:trPr>
        <w:tc>
          <w:tcPr>
            <w:tcW w:w="3260" w:type="dxa"/>
            <w:shd w:val="clear" w:color="auto" w:fill="auto"/>
            <w:hideMark/>
          </w:tcPr>
          <w:p w:rsidR="00B0121D" w:rsidRPr="00D73F43" w:rsidRDefault="00B0121D" w:rsidP="00AD09A8">
            <w:pPr>
              <w:ind w:firstLineChars="100" w:firstLine="220"/>
              <w:jc w:val="both"/>
              <w:rPr>
                <w:rFonts w:eastAsia="Times New Roman"/>
                <w:noProof/>
                <w:sz w:val="22"/>
                <w:szCs w:val="22"/>
                <w:lang w:val="sq-AL"/>
              </w:rPr>
            </w:pPr>
            <w:r w:rsidRPr="00D73F43">
              <w:rPr>
                <w:rFonts w:eastAsia="Times New Roman"/>
                <w:noProof/>
                <w:sz w:val="22"/>
                <w:szCs w:val="22"/>
                <w:lang w:val="sq-AL"/>
              </w:rPr>
              <w:t>Macedonia, FYR</w:t>
            </w:r>
          </w:p>
        </w:tc>
        <w:tc>
          <w:tcPr>
            <w:tcW w:w="100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-22.4</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-18.2</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-17.5</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-16.3</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-16.4</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-16.3</w:t>
            </w:r>
          </w:p>
        </w:tc>
        <w:tc>
          <w:tcPr>
            <w:tcW w:w="96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-15.9</w:t>
            </w:r>
          </w:p>
        </w:tc>
      </w:tr>
      <w:tr w:rsidR="00B0121D" w:rsidRPr="00D73F43" w:rsidTr="00AD09A8">
        <w:trPr>
          <w:trHeight w:val="300"/>
        </w:trPr>
        <w:tc>
          <w:tcPr>
            <w:tcW w:w="3260" w:type="dxa"/>
            <w:shd w:val="clear" w:color="auto" w:fill="auto"/>
            <w:hideMark/>
          </w:tcPr>
          <w:p w:rsidR="00B0121D" w:rsidRPr="00D73F43" w:rsidRDefault="00B0121D" w:rsidP="00AD09A8">
            <w:pPr>
              <w:ind w:firstLineChars="100" w:firstLine="220"/>
              <w:jc w:val="both"/>
              <w:rPr>
                <w:rFonts w:eastAsia="Times New Roman"/>
                <w:noProof/>
                <w:sz w:val="22"/>
                <w:szCs w:val="22"/>
                <w:lang w:val="sq-AL"/>
              </w:rPr>
            </w:pPr>
            <w:r w:rsidRPr="00D73F43">
              <w:rPr>
                <w:rFonts w:eastAsia="Times New Roman"/>
                <w:noProof/>
                <w:sz w:val="22"/>
                <w:szCs w:val="22"/>
                <w:lang w:val="sq-AL"/>
              </w:rPr>
              <w:t>Montenegro</w:t>
            </w:r>
          </w:p>
        </w:tc>
        <w:tc>
          <w:tcPr>
            <w:tcW w:w="100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-24.4</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-20.1</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-19.8</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-18.7</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-19.2</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-19.5</w:t>
            </w:r>
          </w:p>
        </w:tc>
        <w:tc>
          <w:tcPr>
            <w:tcW w:w="96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-19.5</w:t>
            </w:r>
          </w:p>
        </w:tc>
      </w:tr>
      <w:tr w:rsidR="00B0121D" w:rsidRPr="00D73F43" w:rsidTr="00AD09A8">
        <w:trPr>
          <w:trHeight w:val="300"/>
        </w:trPr>
        <w:tc>
          <w:tcPr>
            <w:tcW w:w="3260" w:type="dxa"/>
            <w:shd w:val="clear" w:color="auto" w:fill="auto"/>
            <w:hideMark/>
          </w:tcPr>
          <w:p w:rsidR="00B0121D" w:rsidRPr="00D73F43" w:rsidRDefault="00B0121D" w:rsidP="00AD09A8">
            <w:pPr>
              <w:ind w:firstLineChars="100" w:firstLine="220"/>
              <w:jc w:val="both"/>
              <w:rPr>
                <w:rFonts w:eastAsia="Times New Roman"/>
                <w:noProof/>
                <w:sz w:val="22"/>
                <w:szCs w:val="22"/>
                <w:lang w:val="sq-AL"/>
              </w:rPr>
            </w:pPr>
            <w:r w:rsidRPr="00D73F43">
              <w:rPr>
                <w:rFonts w:eastAsia="Times New Roman"/>
                <w:noProof/>
                <w:sz w:val="22"/>
                <w:szCs w:val="22"/>
                <w:lang w:val="sq-AL"/>
              </w:rPr>
              <w:t>Serbia</w:t>
            </w:r>
          </w:p>
        </w:tc>
        <w:tc>
          <w:tcPr>
            <w:tcW w:w="100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-17.5</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-11.2</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-10.9</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-9.9</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-8.2</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-7.7</w:t>
            </w:r>
          </w:p>
        </w:tc>
        <w:tc>
          <w:tcPr>
            <w:tcW w:w="96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-7.2</w:t>
            </w:r>
          </w:p>
        </w:tc>
      </w:tr>
    </w:tbl>
    <w:p w:rsidR="00B0121D" w:rsidRPr="00D73F43" w:rsidRDefault="00B0121D" w:rsidP="00B0121D">
      <w:pPr>
        <w:jc w:val="both"/>
        <w:rPr>
          <w:noProof/>
          <w:lang w:val="sq-AL"/>
        </w:rPr>
      </w:pPr>
    </w:p>
    <w:p w:rsidR="00B0121D" w:rsidRPr="00D73F43" w:rsidRDefault="00B0121D" w:rsidP="00B0121D">
      <w:pPr>
        <w:jc w:val="both"/>
        <w:rPr>
          <w:noProof/>
          <w:lang w:val="sq-AL"/>
        </w:rPr>
      </w:pPr>
      <w:r w:rsidRPr="00D73F43">
        <w:rPr>
          <w:noProof/>
          <w:lang w:val="sq-AL"/>
        </w:rPr>
        <w:t xml:space="preserve">Vazhdimi i konsolidimit fiskal,  në disa nga vendet e Rajonit, ka ndihmuar në uljen e deficitit fiskal në Rajon. Deficiti mesatar fiskal pritet të arrijë ne 3.4% nga 3.6% që ishte në vitin 2015. Shqipëria, Bosnjë-Hercegovina dhe Serbia vazhdojnë përpjekjet për konsolidim fiskal të cilat priten të sjellin uljen e mëtejshme të deficitit të këtyre vendeve. </w:t>
      </w:r>
    </w:p>
    <w:p w:rsidR="00B0121D" w:rsidRPr="00D73F43" w:rsidRDefault="00B0121D" w:rsidP="00B0121D">
      <w:pPr>
        <w:jc w:val="both"/>
        <w:rPr>
          <w:noProof/>
          <w:lang w:val="sq-AL"/>
        </w:rPr>
      </w:pPr>
    </w:p>
    <w:p w:rsidR="00B0121D" w:rsidRPr="00D73F43" w:rsidRDefault="00B0121D" w:rsidP="00B0121D">
      <w:pPr>
        <w:jc w:val="both"/>
        <w:rPr>
          <w:b/>
          <w:noProof/>
          <w:sz w:val="22"/>
          <w:szCs w:val="22"/>
          <w:lang w:val="sq-AL"/>
        </w:rPr>
      </w:pPr>
      <w:r w:rsidRPr="00D73F43">
        <w:rPr>
          <w:b/>
          <w:noProof/>
          <w:sz w:val="22"/>
          <w:szCs w:val="22"/>
          <w:lang w:val="sq-AL"/>
        </w:rPr>
        <w:t>Tabela</w:t>
      </w:r>
      <w:r w:rsidR="00C610A8">
        <w:rPr>
          <w:b/>
          <w:noProof/>
          <w:sz w:val="22"/>
          <w:szCs w:val="22"/>
          <w:lang w:val="sq-AL"/>
        </w:rPr>
        <w:t xml:space="preserve"> 4</w:t>
      </w:r>
      <w:r w:rsidRPr="00D73F43">
        <w:rPr>
          <w:b/>
          <w:noProof/>
          <w:sz w:val="22"/>
          <w:szCs w:val="22"/>
          <w:lang w:val="sq-AL"/>
        </w:rPr>
        <w:t xml:space="preserve">: Bilanci Fiskal (Deficiti </w:t>
      </w:r>
      <w:r w:rsidR="004C19BB">
        <w:rPr>
          <w:b/>
          <w:noProof/>
          <w:sz w:val="22"/>
          <w:szCs w:val="22"/>
          <w:lang w:val="sq-AL"/>
        </w:rPr>
        <w:t xml:space="preserve">i </w:t>
      </w:r>
      <w:r w:rsidRPr="00D73F43">
        <w:rPr>
          <w:b/>
          <w:noProof/>
          <w:sz w:val="22"/>
          <w:szCs w:val="22"/>
          <w:lang w:val="sq-AL"/>
        </w:rPr>
        <w:t xml:space="preserve">përgjithshëm në % të PBB) </w:t>
      </w:r>
    </w:p>
    <w:tbl>
      <w:tblPr>
        <w:tblW w:w="9860" w:type="dxa"/>
        <w:tblBorders>
          <w:top w:val="single" w:sz="12" w:space="0" w:color="008000"/>
          <w:bottom w:val="single" w:sz="12" w:space="0" w:color="008000"/>
        </w:tblBorders>
        <w:tblLook w:val="04A0" w:firstRow="1" w:lastRow="0" w:firstColumn="1" w:lastColumn="0" w:noHBand="0" w:noVBand="1"/>
      </w:tblPr>
      <w:tblGrid>
        <w:gridCol w:w="3260"/>
        <w:gridCol w:w="1000"/>
        <w:gridCol w:w="880"/>
        <w:gridCol w:w="880"/>
        <w:gridCol w:w="960"/>
        <w:gridCol w:w="960"/>
        <w:gridCol w:w="960"/>
        <w:gridCol w:w="960"/>
      </w:tblGrid>
      <w:tr w:rsidR="00B0121D" w:rsidRPr="00D73F43" w:rsidTr="00AD09A8">
        <w:trPr>
          <w:trHeight w:val="300"/>
        </w:trPr>
        <w:tc>
          <w:tcPr>
            <w:tcW w:w="3260" w:type="dxa"/>
            <w:tcBorders>
              <w:bottom w:val="single" w:sz="6" w:space="0" w:color="008000"/>
            </w:tcBorders>
            <w:shd w:val="clear" w:color="auto" w:fill="auto"/>
            <w:hideMark/>
          </w:tcPr>
          <w:p w:rsidR="00B0121D" w:rsidRPr="00D73F43" w:rsidRDefault="00B0121D" w:rsidP="00AD09A8">
            <w:pPr>
              <w:jc w:val="both"/>
              <w:rPr>
                <w:rFonts w:eastAsia="Times New Roman"/>
                <w:b/>
                <w:bCs/>
                <w:noProof/>
                <w:sz w:val="22"/>
                <w:szCs w:val="22"/>
                <w:lang w:val="sq-AL"/>
              </w:rPr>
            </w:pPr>
          </w:p>
        </w:tc>
        <w:tc>
          <w:tcPr>
            <w:tcW w:w="1000" w:type="dxa"/>
            <w:tcBorders>
              <w:bottom w:val="single" w:sz="6" w:space="0" w:color="008000"/>
            </w:tcBorders>
            <w:shd w:val="clear" w:color="auto" w:fill="auto"/>
            <w:noWrap/>
            <w:hideMark/>
          </w:tcPr>
          <w:p w:rsidR="00B0121D" w:rsidRPr="00D73F43" w:rsidRDefault="00B0121D" w:rsidP="00AD09A8">
            <w:pPr>
              <w:jc w:val="both"/>
              <w:rPr>
                <w:rFonts w:eastAsia="Times New Roman"/>
                <w:b/>
                <w:bCs/>
                <w:noProof/>
                <w:sz w:val="22"/>
                <w:szCs w:val="22"/>
                <w:lang w:val="sq-AL"/>
              </w:rPr>
            </w:pPr>
            <w:r w:rsidRPr="00D73F43">
              <w:rPr>
                <w:rFonts w:eastAsia="Times New Roman"/>
                <w:b/>
                <w:bCs/>
                <w:noProof/>
                <w:sz w:val="22"/>
                <w:szCs w:val="22"/>
                <w:lang w:val="sq-AL"/>
              </w:rPr>
              <w:t>2012</w:t>
            </w:r>
          </w:p>
        </w:tc>
        <w:tc>
          <w:tcPr>
            <w:tcW w:w="880" w:type="dxa"/>
            <w:tcBorders>
              <w:bottom w:val="single" w:sz="6" w:space="0" w:color="008000"/>
            </w:tcBorders>
            <w:shd w:val="clear" w:color="auto" w:fill="auto"/>
            <w:noWrap/>
            <w:hideMark/>
          </w:tcPr>
          <w:p w:rsidR="00B0121D" w:rsidRPr="00D73F43" w:rsidRDefault="00B0121D" w:rsidP="00AD09A8">
            <w:pPr>
              <w:jc w:val="both"/>
              <w:rPr>
                <w:rFonts w:eastAsia="Times New Roman"/>
                <w:b/>
                <w:bCs/>
                <w:noProof/>
                <w:sz w:val="22"/>
                <w:szCs w:val="22"/>
                <w:lang w:val="sq-AL"/>
              </w:rPr>
            </w:pPr>
            <w:r w:rsidRPr="00D73F43">
              <w:rPr>
                <w:rFonts w:eastAsia="Times New Roman"/>
                <w:b/>
                <w:bCs/>
                <w:noProof/>
                <w:sz w:val="22"/>
                <w:szCs w:val="22"/>
                <w:lang w:val="sq-AL"/>
              </w:rPr>
              <w:t>2013</w:t>
            </w:r>
          </w:p>
        </w:tc>
        <w:tc>
          <w:tcPr>
            <w:tcW w:w="880" w:type="dxa"/>
            <w:tcBorders>
              <w:bottom w:val="single" w:sz="6" w:space="0" w:color="008000"/>
            </w:tcBorders>
            <w:shd w:val="clear" w:color="auto" w:fill="auto"/>
            <w:noWrap/>
            <w:hideMark/>
          </w:tcPr>
          <w:p w:rsidR="00B0121D" w:rsidRPr="00D73F43" w:rsidRDefault="00B0121D" w:rsidP="00AD09A8">
            <w:pPr>
              <w:jc w:val="both"/>
              <w:rPr>
                <w:rFonts w:eastAsia="Times New Roman"/>
                <w:b/>
                <w:bCs/>
                <w:noProof/>
                <w:sz w:val="22"/>
                <w:szCs w:val="22"/>
                <w:lang w:val="sq-AL"/>
              </w:rPr>
            </w:pPr>
            <w:r w:rsidRPr="00D73F43">
              <w:rPr>
                <w:rFonts w:eastAsia="Times New Roman"/>
                <w:b/>
                <w:bCs/>
                <w:noProof/>
                <w:sz w:val="22"/>
                <w:szCs w:val="22"/>
                <w:lang w:val="sq-AL"/>
              </w:rPr>
              <w:t>2014</w:t>
            </w:r>
          </w:p>
        </w:tc>
        <w:tc>
          <w:tcPr>
            <w:tcW w:w="960" w:type="dxa"/>
            <w:tcBorders>
              <w:bottom w:val="single" w:sz="6" w:space="0" w:color="008000"/>
            </w:tcBorders>
            <w:shd w:val="clear" w:color="auto" w:fill="auto"/>
            <w:noWrap/>
            <w:hideMark/>
          </w:tcPr>
          <w:p w:rsidR="00B0121D" w:rsidRPr="00D73F43" w:rsidRDefault="00B0121D" w:rsidP="00AD09A8">
            <w:pPr>
              <w:jc w:val="both"/>
              <w:rPr>
                <w:rFonts w:eastAsia="Times New Roman"/>
                <w:b/>
                <w:bCs/>
                <w:noProof/>
                <w:sz w:val="22"/>
                <w:szCs w:val="22"/>
                <w:lang w:val="sq-AL"/>
              </w:rPr>
            </w:pPr>
            <w:r w:rsidRPr="00D73F43">
              <w:rPr>
                <w:rFonts w:eastAsia="Times New Roman"/>
                <w:b/>
                <w:bCs/>
                <w:noProof/>
                <w:sz w:val="22"/>
                <w:szCs w:val="22"/>
                <w:lang w:val="sq-AL"/>
              </w:rPr>
              <w:t>2015</w:t>
            </w:r>
          </w:p>
        </w:tc>
        <w:tc>
          <w:tcPr>
            <w:tcW w:w="960" w:type="dxa"/>
            <w:tcBorders>
              <w:bottom w:val="single" w:sz="6" w:space="0" w:color="008000"/>
            </w:tcBorders>
            <w:shd w:val="clear" w:color="auto" w:fill="auto"/>
            <w:noWrap/>
            <w:hideMark/>
          </w:tcPr>
          <w:p w:rsidR="00B0121D" w:rsidRPr="00D73F43" w:rsidRDefault="00B0121D" w:rsidP="00AD09A8">
            <w:pPr>
              <w:jc w:val="both"/>
              <w:rPr>
                <w:rFonts w:eastAsia="Times New Roman"/>
                <w:b/>
                <w:bCs/>
                <w:noProof/>
                <w:sz w:val="22"/>
                <w:szCs w:val="22"/>
                <w:lang w:val="sq-AL"/>
              </w:rPr>
            </w:pPr>
            <w:r w:rsidRPr="00D73F43">
              <w:rPr>
                <w:rFonts w:eastAsia="Times New Roman"/>
                <w:b/>
                <w:bCs/>
                <w:noProof/>
                <w:sz w:val="22"/>
                <w:szCs w:val="22"/>
                <w:lang w:val="sq-AL"/>
              </w:rPr>
              <w:t>2016</w:t>
            </w:r>
          </w:p>
        </w:tc>
        <w:tc>
          <w:tcPr>
            <w:tcW w:w="960" w:type="dxa"/>
            <w:tcBorders>
              <w:bottom w:val="single" w:sz="6" w:space="0" w:color="008000"/>
            </w:tcBorders>
            <w:shd w:val="clear" w:color="auto" w:fill="auto"/>
            <w:noWrap/>
            <w:hideMark/>
          </w:tcPr>
          <w:p w:rsidR="00B0121D" w:rsidRPr="00D73F43" w:rsidRDefault="00B0121D" w:rsidP="00AD09A8">
            <w:pPr>
              <w:jc w:val="both"/>
              <w:rPr>
                <w:rFonts w:eastAsia="Times New Roman"/>
                <w:b/>
                <w:bCs/>
                <w:noProof/>
                <w:sz w:val="22"/>
                <w:szCs w:val="22"/>
                <w:lang w:val="sq-AL"/>
              </w:rPr>
            </w:pPr>
            <w:r w:rsidRPr="00D73F43">
              <w:rPr>
                <w:rFonts w:eastAsia="Times New Roman"/>
                <w:b/>
                <w:bCs/>
                <w:noProof/>
                <w:sz w:val="22"/>
                <w:szCs w:val="22"/>
                <w:lang w:val="sq-AL"/>
              </w:rPr>
              <w:t>2017</w:t>
            </w:r>
          </w:p>
        </w:tc>
        <w:tc>
          <w:tcPr>
            <w:tcW w:w="960" w:type="dxa"/>
            <w:tcBorders>
              <w:bottom w:val="single" w:sz="6" w:space="0" w:color="008000"/>
            </w:tcBorders>
            <w:shd w:val="clear" w:color="auto" w:fill="auto"/>
            <w:noWrap/>
            <w:hideMark/>
          </w:tcPr>
          <w:p w:rsidR="00B0121D" w:rsidRPr="00D73F43" w:rsidRDefault="00B0121D" w:rsidP="00AD09A8">
            <w:pPr>
              <w:jc w:val="both"/>
              <w:rPr>
                <w:rFonts w:eastAsia="Times New Roman"/>
                <w:b/>
                <w:bCs/>
                <w:noProof/>
                <w:sz w:val="22"/>
                <w:szCs w:val="22"/>
                <w:lang w:val="sq-AL"/>
              </w:rPr>
            </w:pPr>
            <w:r w:rsidRPr="00D73F43">
              <w:rPr>
                <w:rFonts w:eastAsia="Times New Roman"/>
                <w:b/>
                <w:bCs/>
                <w:noProof/>
                <w:sz w:val="22"/>
                <w:szCs w:val="22"/>
                <w:lang w:val="sq-AL"/>
              </w:rPr>
              <w:t>2018</w:t>
            </w:r>
          </w:p>
        </w:tc>
      </w:tr>
      <w:tr w:rsidR="00B0121D" w:rsidRPr="00D73F43" w:rsidTr="00AD09A8">
        <w:trPr>
          <w:trHeight w:val="300"/>
        </w:trPr>
        <w:tc>
          <w:tcPr>
            <w:tcW w:w="3260" w:type="dxa"/>
            <w:shd w:val="clear" w:color="auto" w:fill="auto"/>
            <w:hideMark/>
          </w:tcPr>
          <w:p w:rsidR="00B0121D" w:rsidRPr="00D73F43" w:rsidRDefault="00B0121D" w:rsidP="00AD09A8">
            <w:pPr>
              <w:ind w:firstLineChars="100" w:firstLine="220"/>
              <w:jc w:val="both"/>
              <w:rPr>
                <w:rFonts w:eastAsia="Times New Roman"/>
                <w:noProof/>
                <w:sz w:val="22"/>
                <w:szCs w:val="22"/>
                <w:lang w:val="sq-AL"/>
              </w:rPr>
            </w:pPr>
            <w:r w:rsidRPr="00D73F43">
              <w:rPr>
                <w:rFonts w:eastAsia="Times New Roman"/>
                <w:noProof/>
                <w:sz w:val="22"/>
                <w:szCs w:val="22"/>
                <w:lang w:val="sq-AL"/>
              </w:rPr>
              <w:t>Shqipëria</w:t>
            </w:r>
          </w:p>
        </w:tc>
        <w:tc>
          <w:tcPr>
            <w:tcW w:w="100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-3.4</w:t>
            </w:r>
          </w:p>
        </w:tc>
        <w:tc>
          <w:tcPr>
            <w:tcW w:w="88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-5.0</w:t>
            </w:r>
          </w:p>
        </w:tc>
        <w:tc>
          <w:tcPr>
            <w:tcW w:w="88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-5.2</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-4.1</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-2.4</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-2.0</w:t>
            </w:r>
          </w:p>
        </w:tc>
        <w:tc>
          <w:tcPr>
            <w:tcW w:w="96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-1.8</w:t>
            </w:r>
          </w:p>
        </w:tc>
      </w:tr>
      <w:tr w:rsidR="00B0121D" w:rsidRPr="00D73F43" w:rsidTr="00AD09A8">
        <w:trPr>
          <w:trHeight w:val="300"/>
        </w:trPr>
        <w:tc>
          <w:tcPr>
            <w:tcW w:w="3260" w:type="dxa"/>
            <w:shd w:val="clear" w:color="auto" w:fill="auto"/>
            <w:hideMark/>
          </w:tcPr>
          <w:p w:rsidR="00B0121D" w:rsidRPr="00D73F43" w:rsidRDefault="00B0121D" w:rsidP="00AD09A8">
            <w:pPr>
              <w:ind w:firstLineChars="100" w:firstLine="220"/>
              <w:jc w:val="both"/>
              <w:rPr>
                <w:rFonts w:eastAsia="Times New Roman"/>
                <w:noProof/>
                <w:sz w:val="22"/>
                <w:szCs w:val="22"/>
                <w:lang w:val="sq-AL"/>
              </w:rPr>
            </w:pPr>
            <w:r w:rsidRPr="00D73F43">
              <w:rPr>
                <w:rFonts w:eastAsia="Times New Roman"/>
                <w:noProof/>
                <w:sz w:val="22"/>
                <w:szCs w:val="22"/>
                <w:lang w:val="sq-AL"/>
              </w:rPr>
              <w:t>Bosnia dhe Herzegovina</w:t>
            </w:r>
          </w:p>
        </w:tc>
        <w:tc>
          <w:tcPr>
            <w:tcW w:w="100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-2.0</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-2.1</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-2.0</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0.7</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-0.6</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-0.6</w:t>
            </w:r>
          </w:p>
        </w:tc>
        <w:tc>
          <w:tcPr>
            <w:tcW w:w="96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-0.3</w:t>
            </w:r>
          </w:p>
        </w:tc>
      </w:tr>
      <w:tr w:rsidR="00B0121D" w:rsidRPr="00D73F43" w:rsidTr="00AD09A8">
        <w:trPr>
          <w:trHeight w:val="300"/>
        </w:trPr>
        <w:tc>
          <w:tcPr>
            <w:tcW w:w="3260" w:type="dxa"/>
            <w:shd w:val="clear" w:color="auto" w:fill="auto"/>
            <w:hideMark/>
          </w:tcPr>
          <w:p w:rsidR="00B0121D" w:rsidRPr="00D73F43" w:rsidRDefault="00B0121D" w:rsidP="00AD09A8">
            <w:pPr>
              <w:ind w:firstLineChars="100" w:firstLine="220"/>
              <w:jc w:val="both"/>
              <w:rPr>
                <w:rFonts w:eastAsia="Times New Roman"/>
                <w:noProof/>
                <w:sz w:val="22"/>
                <w:szCs w:val="22"/>
                <w:lang w:val="sq-AL"/>
              </w:rPr>
            </w:pPr>
            <w:r w:rsidRPr="00D73F43">
              <w:rPr>
                <w:rFonts w:eastAsia="Times New Roman"/>
                <w:noProof/>
                <w:sz w:val="22"/>
                <w:szCs w:val="22"/>
                <w:lang w:val="sq-AL"/>
              </w:rPr>
              <w:t>Kosovo</w:t>
            </w:r>
          </w:p>
        </w:tc>
        <w:tc>
          <w:tcPr>
            <w:tcW w:w="100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-2.6</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-2.9</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-2.6</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-2.1</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-2.5</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-1.7</w:t>
            </w:r>
          </w:p>
        </w:tc>
        <w:tc>
          <w:tcPr>
            <w:tcW w:w="96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-1.4</w:t>
            </w:r>
          </w:p>
        </w:tc>
      </w:tr>
      <w:tr w:rsidR="00B0121D" w:rsidRPr="00D73F43" w:rsidTr="00AD09A8">
        <w:trPr>
          <w:trHeight w:val="300"/>
        </w:trPr>
        <w:tc>
          <w:tcPr>
            <w:tcW w:w="3260" w:type="dxa"/>
            <w:shd w:val="clear" w:color="auto" w:fill="auto"/>
            <w:hideMark/>
          </w:tcPr>
          <w:p w:rsidR="00B0121D" w:rsidRPr="00D73F43" w:rsidRDefault="00B0121D" w:rsidP="00AD09A8">
            <w:pPr>
              <w:ind w:firstLineChars="100" w:firstLine="220"/>
              <w:jc w:val="both"/>
              <w:rPr>
                <w:rFonts w:eastAsia="Times New Roman"/>
                <w:noProof/>
                <w:sz w:val="22"/>
                <w:szCs w:val="22"/>
                <w:lang w:val="sq-AL"/>
              </w:rPr>
            </w:pPr>
            <w:r w:rsidRPr="00D73F43">
              <w:rPr>
                <w:rFonts w:eastAsia="Times New Roman"/>
                <w:noProof/>
                <w:sz w:val="22"/>
                <w:szCs w:val="22"/>
                <w:lang w:val="sq-AL"/>
              </w:rPr>
              <w:t>Macedonia, FYR</w:t>
            </w:r>
          </w:p>
        </w:tc>
        <w:tc>
          <w:tcPr>
            <w:tcW w:w="100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-3.8</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-3.9</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-4.2</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-3.6</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-4.1</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-3.4</w:t>
            </w:r>
          </w:p>
        </w:tc>
        <w:tc>
          <w:tcPr>
            <w:tcW w:w="96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-3.0</w:t>
            </w:r>
          </w:p>
        </w:tc>
      </w:tr>
      <w:tr w:rsidR="00B0121D" w:rsidRPr="00D73F43" w:rsidTr="00AD09A8">
        <w:trPr>
          <w:trHeight w:val="300"/>
        </w:trPr>
        <w:tc>
          <w:tcPr>
            <w:tcW w:w="3260" w:type="dxa"/>
            <w:shd w:val="clear" w:color="auto" w:fill="auto"/>
            <w:hideMark/>
          </w:tcPr>
          <w:p w:rsidR="00B0121D" w:rsidRPr="00D73F43" w:rsidRDefault="00B0121D" w:rsidP="00AD09A8">
            <w:pPr>
              <w:ind w:firstLineChars="100" w:firstLine="220"/>
              <w:jc w:val="both"/>
              <w:rPr>
                <w:rFonts w:eastAsia="Times New Roman"/>
                <w:noProof/>
                <w:sz w:val="22"/>
                <w:szCs w:val="22"/>
                <w:lang w:val="sq-AL"/>
              </w:rPr>
            </w:pPr>
            <w:r w:rsidRPr="00D73F43">
              <w:rPr>
                <w:rFonts w:eastAsia="Times New Roman"/>
                <w:noProof/>
                <w:sz w:val="22"/>
                <w:szCs w:val="22"/>
                <w:lang w:val="sq-AL"/>
              </w:rPr>
              <w:t>Montenegro</w:t>
            </w:r>
          </w:p>
        </w:tc>
        <w:tc>
          <w:tcPr>
            <w:tcW w:w="100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-5.8</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-4.6</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-3.1</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-8.0</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-8.1</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-8.1</w:t>
            </w:r>
          </w:p>
        </w:tc>
        <w:tc>
          <w:tcPr>
            <w:tcW w:w="96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-7.3</w:t>
            </w:r>
          </w:p>
        </w:tc>
      </w:tr>
      <w:tr w:rsidR="00B0121D" w:rsidRPr="00D73F43" w:rsidTr="00AD09A8">
        <w:trPr>
          <w:trHeight w:val="300"/>
        </w:trPr>
        <w:tc>
          <w:tcPr>
            <w:tcW w:w="3260" w:type="dxa"/>
            <w:shd w:val="clear" w:color="auto" w:fill="auto"/>
            <w:hideMark/>
          </w:tcPr>
          <w:p w:rsidR="00B0121D" w:rsidRPr="00D73F43" w:rsidRDefault="00B0121D" w:rsidP="00AD09A8">
            <w:pPr>
              <w:ind w:firstLineChars="100" w:firstLine="220"/>
              <w:jc w:val="both"/>
              <w:rPr>
                <w:rFonts w:eastAsia="Times New Roman"/>
                <w:noProof/>
                <w:sz w:val="22"/>
                <w:szCs w:val="22"/>
                <w:lang w:val="sq-AL"/>
              </w:rPr>
            </w:pPr>
            <w:r w:rsidRPr="00D73F43">
              <w:rPr>
                <w:rFonts w:eastAsia="Times New Roman"/>
                <w:noProof/>
                <w:sz w:val="22"/>
                <w:szCs w:val="22"/>
                <w:lang w:val="sq-AL"/>
              </w:rPr>
              <w:t>Serbia</w:t>
            </w:r>
          </w:p>
        </w:tc>
        <w:tc>
          <w:tcPr>
            <w:tcW w:w="100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-7.2</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-5.6</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-6.6</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-3.7</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-2.5</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-2.2</w:t>
            </w:r>
          </w:p>
        </w:tc>
        <w:tc>
          <w:tcPr>
            <w:tcW w:w="96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-1.7</w:t>
            </w:r>
          </w:p>
        </w:tc>
      </w:tr>
    </w:tbl>
    <w:p w:rsidR="00B0121D" w:rsidRPr="00D73F43" w:rsidRDefault="00B0121D" w:rsidP="00B0121D">
      <w:pPr>
        <w:jc w:val="both"/>
        <w:rPr>
          <w:noProof/>
          <w:lang w:val="sq-AL"/>
        </w:rPr>
      </w:pPr>
    </w:p>
    <w:p w:rsidR="00B0121D" w:rsidRPr="00D73F43" w:rsidRDefault="00B0121D" w:rsidP="00B0121D">
      <w:pPr>
        <w:jc w:val="both"/>
        <w:rPr>
          <w:noProof/>
          <w:lang w:val="sq-AL"/>
        </w:rPr>
      </w:pPr>
      <w:r w:rsidRPr="00D73F43">
        <w:rPr>
          <w:noProof/>
          <w:lang w:val="sq-AL"/>
        </w:rPr>
        <w:t>Masat e marra në kuadër të konsolidimit fiskal, kanë ndikuar edhe në stabilizimin e  borxhit publik, si në rastin e Shqipërisë. Në kontrast me këtë, pozicionet fiskale të Kosovës, Maqedonisë dhe Malit të Zi, priten të përkeqësohen duke sjellë norma të rritura të borxhit publik.</w:t>
      </w:r>
      <w:r w:rsidRPr="00D73F43">
        <w:rPr>
          <w:noProof/>
          <w:lang w:val="sq-AL"/>
        </w:rPr>
        <w:cr/>
      </w:r>
    </w:p>
    <w:p w:rsidR="00B0121D" w:rsidRPr="00D73F43" w:rsidRDefault="00B0121D" w:rsidP="00B0121D">
      <w:pPr>
        <w:jc w:val="both"/>
        <w:rPr>
          <w:b/>
          <w:noProof/>
          <w:sz w:val="22"/>
          <w:szCs w:val="22"/>
          <w:lang w:val="sq-AL"/>
        </w:rPr>
      </w:pPr>
      <w:r w:rsidRPr="00D73F43">
        <w:rPr>
          <w:b/>
          <w:noProof/>
          <w:sz w:val="22"/>
          <w:szCs w:val="22"/>
          <w:lang w:val="sq-AL"/>
        </w:rPr>
        <w:t>Tabela</w:t>
      </w:r>
      <w:r w:rsidR="00C610A8">
        <w:rPr>
          <w:b/>
          <w:noProof/>
          <w:sz w:val="22"/>
          <w:szCs w:val="22"/>
          <w:lang w:val="sq-AL"/>
        </w:rPr>
        <w:t xml:space="preserve"> 5</w:t>
      </w:r>
      <w:r w:rsidRPr="00D73F43">
        <w:rPr>
          <w:b/>
          <w:noProof/>
          <w:sz w:val="22"/>
          <w:szCs w:val="22"/>
          <w:lang w:val="sq-AL"/>
        </w:rPr>
        <w:t>: Borxhi publik (% të PBB)</w:t>
      </w:r>
    </w:p>
    <w:tbl>
      <w:tblPr>
        <w:tblW w:w="9860" w:type="dxa"/>
        <w:tblBorders>
          <w:top w:val="single" w:sz="12" w:space="0" w:color="008000"/>
          <w:bottom w:val="single" w:sz="12" w:space="0" w:color="008000"/>
        </w:tblBorders>
        <w:tblLook w:val="04A0" w:firstRow="1" w:lastRow="0" w:firstColumn="1" w:lastColumn="0" w:noHBand="0" w:noVBand="1"/>
      </w:tblPr>
      <w:tblGrid>
        <w:gridCol w:w="3260"/>
        <w:gridCol w:w="1000"/>
        <w:gridCol w:w="880"/>
        <w:gridCol w:w="880"/>
        <w:gridCol w:w="960"/>
        <w:gridCol w:w="960"/>
        <w:gridCol w:w="960"/>
        <w:gridCol w:w="960"/>
      </w:tblGrid>
      <w:tr w:rsidR="00B0121D" w:rsidRPr="00D73F43" w:rsidTr="00AD09A8">
        <w:trPr>
          <w:trHeight w:val="300"/>
        </w:trPr>
        <w:tc>
          <w:tcPr>
            <w:tcW w:w="3260" w:type="dxa"/>
            <w:tcBorders>
              <w:bottom w:val="single" w:sz="6" w:space="0" w:color="008000"/>
            </w:tcBorders>
            <w:shd w:val="clear" w:color="auto" w:fill="auto"/>
          </w:tcPr>
          <w:p w:rsidR="00B0121D" w:rsidRPr="00D73F43" w:rsidRDefault="00B0121D" w:rsidP="00AD09A8">
            <w:pPr>
              <w:jc w:val="both"/>
              <w:rPr>
                <w:rFonts w:eastAsia="Times New Roman"/>
                <w:b/>
                <w:bCs/>
                <w:noProof/>
                <w:sz w:val="22"/>
                <w:szCs w:val="22"/>
                <w:lang w:val="sq-AL"/>
              </w:rPr>
            </w:pPr>
          </w:p>
        </w:tc>
        <w:tc>
          <w:tcPr>
            <w:tcW w:w="1000" w:type="dxa"/>
            <w:tcBorders>
              <w:bottom w:val="single" w:sz="6" w:space="0" w:color="008000"/>
            </w:tcBorders>
            <w:shd w:val="clear" w:color="auto" w:fill="auto"/>
            <w:noWrap/>
            <w:hideMark/>
          </w:tcPr>
          <w:p w:rsidR="00B0121D" w:rsidRPr="00D73F43" w:rsidRDefault="00B0121D" w:rsidP="00AD09A8">
            <w:pPr>
              <w:jc w:val="both"/>
              <w:rPr>
                <w:rFonts w:eastAsia="Times New Roman"/>
                <w:b/>
                <w:bCs/>
                <w:noProof/>
                <w:sz w:val="22"/>
                <w:szCs w:val="22"/>
                <w:lang w:val="sq-AL"/>
              </w:rPr>
            </w:pPr>
            <w:r w:rsidRPr="00D73F43">
              <w:rPr>
                <w:rFonts w:eastAsia="Times New Roman"/>
                <w:b/>
                <w:bCs/>
                <w:noProof/>
                <w:sz w:val="22"/>
                <w:szCs w:val="22"/>
                <w:lang w:val="sq-AL"/>
              </w:rPr>
              <w:t>2012</w:t>
            </w:r>
          </w:p>
        </w:tc>
        <w:tc>
          <w:tcPr>
            <w:tcW w:w="880" w:type="dxa"/>
            <w:tcBorders>
              <w:bottom w:val="single" w:sz="6" w:space="0" w:color="008000"/>
            </w:tcBorders>
            <w:shd w:val="clear" w:color="auto" w:fill="auto"/>
            <w:noWrap/>
            <w:hideMark/>
          </w:tcPr>
          <w:p w:rsidR="00B0121D" w:rsidRPr="00D73F43" w:rsidRDefault="00B0121D" w:rsidP="00AD09A8">
            <w:pPr>
              <w:jc w:val="both"/>
              <w:rPr>
                <w:rFonts w:eastAsia="Times New Roman"/>
                <w:b/>
                <w:bCs/>
                <w:noProof/>
                <w:sz w:val="22"/>
                <w:szCs w:val="22"/>
                <w:lang w:val="sq-AL"/>
              </w:rPr>
            </w:pPr>
            <w:r w:rsidRPr="00D73F43">
              <w:rPr>
                <w:rFonts w:eastAsia="Times New Roman"/>
                <w:b/>
                <w:bCs/>
                <w:noProof/>
                <w:sz w:val="22"/>
                <w:szCs w:val="22"/>
                <w:lang w:val="sq-AL"/>
              </w:rPr>
              <w:t>2013</w:t>
            </w:r>
          </w:p>
        </w:tc>
        <w:tc>
          <w:tcPr>
            <w:tcW w:w="880" w:type="dxa"/>
            <w:tcBorders>
              <w:bottom w:val="single" w:sz="6" w:space="0" w:color="008000"/>
            </w:tcBorders>
            <w:shd w:val="clear" w:color="auto" w:fill="auto"/>
            <w:noWrap/>
            <w:hideMark/>
          </w:tcPr>
          <w:p w:rsidR="00B0121D" w:rsidRPr="00D73F43" w:rsidRDefault="00B0121D" w:rsidP="00AD09A8">
            <w:pPr>
              <w:jc w:val="both"/>
              <w:rPr>
                <w:rFonts w:eastAsia="Times New Roman"/>
                <w:b/>
                <w:bCs/>
                <w:noProof/>
                <w:sz w:val="22"/>
                <w:szCs w:val="22"/>
                <w:lang w:val="sq-AL"/>
              </w:rPr>
            </w:pPr>
            <w:r w:rsidRPr="00D73F43">
              <w:rPr>
                <w:rFonts w:eastAsia="Times New Roman"/>
                <w:b/>
                <w:bCs/>
                <w:noProof/>
                <w:sz w:val="22"/>
                <w:szCs w:val="22"/>
                <w:lang w:val="sq-AL"/>
              </w:rPr>
              <w:t>2014</w:t>
            </w:r>
          </w:p>
        </w:tc>
        <w:tc>
          <w:tcPr>
            <w:tcW w:w="960" w:type="dxa"/>
            <w:tcBorders>
              <w:bottom w:val="single" w:sz="6" w:space="0" w:color="008000"/>
            </w:tcBorders>
            <w:shd w:val="clear" w:color="auto" w:fill="auto"/>
            <w:noWrap/>
            <w:hideMark/>
          </w:tcPr>
          <w:p w:rsidR="00B0121D" w:rsidRPr="00D73F43" w:rsidRDefault="00B0121D" w:rsidP="00AD09A8">
            <w:pPr>
              <w:jc w:val="both"/>
              <w:rPr>
                <w:rFonts w:eastAsia="Times New Roman"/>
                <w:b/>
                <w:bCs/>
                <w:noProof/>
                <w:sz w:val="22"/>
                <w:szCs w:val="22"/>
                <w:lang w:val="sq-AL"/>
              </w:rPr>
            </w:pPr>
            <w:r w:rsidRPr="00D73F43">
              <w:rPr>
                <w:rFonts w:eastAsia="Times New Roman"/>
                <w:b/>
                <w:bCs/>
                <w:noProof/>
                <w:sz w:val="22"/>
                <w:szCs w:val="22"/>
                <w:lang w:val="sq-AL"/>
              </w:rPr>
              <w:t>2015</w:t>
            </w:r>
          </w:p>
        </w:tc>
        <w:tc>
          <w:tcPr>
            <w:tcW w:w="960" w:type="dxa"/>
            <w:tcBorders>
              <w:bottom w:val="single" w:sz="6" w:space="0" w:color="008000"/>
            </w:tcBorders>
            <w:shd w:val="clear" w:color="auto" w:fill="auto"/>
            <w:noWrap/>
            <w:hideMark/>
          </w:tcPr>
          <w:p w:rsidR="00B0121D" w:rsidRPr="00D73F43" w:rsidRDefault="00B0121D" w:rsidP="00AD09A8">
            <w:pPr>
              <w:jc w:val="both"/>
              <w:rPr>
                <w:rFonts w:eastAsia="Times New Roman"/>
                <w:b/>
                <w:bCs/>
                <w:noProof/>
                <w:sz w:val="22"/>
                <w:szCs w:val="22"/>
                <w:lang w:val="sq-AL"/>
              </w:rPr>
            </w:pPr>
            <w:r w:rsidRPr="00D73F43">
              <w:rPr>
                <w:rFonts w:eastAsia="Times New Roman"/>
                <w:b/>
                <w:bCs/>
                <w:noProof/>
                <w:sz w:val="22"/>
                <w:szCs w:val="22"/>
                <w:lang w:val="sq-AL"/>
              </w:rPr>
              <w:t>2016</w:t>
            </w:r>
          </w:p>
        </w:tc>
        <w:tc>
          <w:tcPr>
            <w:tcW w:w="960" w:type="dxa"/>
            <w:tcBorders>
              <w:bottom w:val="single" w:sz="6" w:space="0" w:color="008000"/>
            </w:tcBorders>
            <w:shd w:val="clear" w:color="auto" w:fill="auto"/>
            <w:noWrap/>
            <w:hideMark/>
          </w:tcPr>
          <w:p w:rsidR="00B0121D" w:rsidRPr="00D73F43" w:rsidRDefault="00B0121D" w:rsidP="00AD09A8">
            <w:pPr>
              <w:jc w:val="both"/>
              <w:rPr>
                <w:rFonts w:eastAsia="Times New Roman"/>
                <w:b/>
                <w:bCs/>
                <w:noProof/>
                <w:sz w:val="22"/>
                <w:szCs w:val="22"/>
                <w:lang w:val="sq-AL"/>
              </w:rPr>
            </w:pPr>
            <w:r w:rsidRPr="00D73F43">
              <w:rPr>
                <w:rFonts w:eastAsia="Times New Roman"/>
                <w:b/>
                <w:bCs/>
                <w:noProof/>
                <w:sz w:val="22"/>
                <w:szCs w:val="22"/>
                <w:lang w:val="sq-AL"/>
              </w:rPr>
              <w:t>2017</w:t>
            </w:r>
          </w:p>
        </w:tc>
        <w:tc>
          <w:tcPr>
            <w:tcW w:w="960" w:type="dxa"/>
            <w:tcBorders>
              <w:bottom w:val="single" w:sz="6" w:space="0" w:color="008000"/>
            </w:tcBorders>
            <w:shd w:val="clear" w:color="auto" w:fill="auto"/>
            <w:noWrap/>
            <w:hideMark/>
          </w:tcPr>
          <w:p w:rsidR="00B0121D" w:rsidRPr="00D73F43" w:rsidRDefault="00B0121D" w:rsidP="00AD09A8">
            <w:pPr>
              <w:jc w:val="both"/>
              <w:rPr>
                <w:rFonts w:eastAsia="Times New Roman"/>
                <w:b/>
                <w:bCs/>
                <w:noProof/>
                <w:sz w:val="22"/>
                <w:szCs w:val="22"/>
                <w:lang w:val="sq-AL"/>
              </w:rPr>
            </w:pPr>
            <w:r w:rsidRPr="00D73F43">
              <w:rPr>
                <w:rFonts w:eastAsia="Times New Roman"/>
                <w:b/>
                <w:bCs/>
                <w:noProof/>
                <w:sz w:val="22"/>
                <w:szCs w:val="22"/>
                <w:lang w:val="sq-AL"/>
              </w:rPr>
              <w:t>2018</w:t>
            </w:r>
          </w:p>
        </w:tc>
      </w:tr>
      <w:tr w:rsidR="00B0121D" w:rsidRPr="00D73F43" w:rsidTr="00AD09A8">
        <w:trPr>
          <w:trHeight w:val="300"/>
        </w:trPr>
        <w:tc>
          <w:tcPr>
            <w:tcW w:w="3260" w:type="dxa"/>
            <w:shd w:val="clear" w:color="auto" w:fill="auto"/>
            <w:hideMark/>
          </w:tcPr>
          <w:p w:rsidR="00B0121D" w:rsidRPr="00D73F43" w:rsidRDefault="00B0121D" w:rsidP="00AD09A8">
            <w:pPr>
              <w:ind w:firstLineChars="100" w:firstLine="220"/>
              <w:jc w:val="both"/>
              <w:rPr>
                <w:rFonts w:eastAsia="Times New Roman"/>
                <w:noProof/>
                <w:sz w:val="22"/>
                <w:szCs w:val="22"/>
                <w:lang w:val="sq-AL"/>
              </w:rPr>
            </w:pPr>
            <w:r w:rsidRPr="00D73F43">
              <w:rPr>
                <w:rFonts w:eastAsia="Times New Roman"/>
                <w:noProof/>
                <w:sz w:val="22"/>
                <w:szCs w:val="22"/>
                <w:lang w:val="sq-AL"/>
              </w:rPr>
              <w:t>Shqipëria</w:t>
            </w:r>
          </w:p>
        </w:tc>
        <w:tc>
          <w:tcPr>
            <w:tcW w:w="100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62.2</w:t>
            </w:r>
          </w:p>
        </w:tc>
        <w:tc>
          <w:tcPr>
            <w:tcW w:w="88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70.4</w:t>
            </w:r>
          </w:p>
        </w:tc>
        <w:tc>
          <w:tcPr>
            <w:tcW w:w="88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72.1</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72.7</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71.8</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69.1</w:t>
            </w:r>
          </w:p>
        </w:tc>
        <w:tc>
          <w:tcPr>
            <w:tcW w:w="96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66.5</w:t>
            </w:r>
          </w:p>
        </w:tc>
      </w:tr>
      <w:tr w:rsidR="00B0121D" w:rsidRPr="00D73F43" w:rsidTr="00AD09A8">
        <w:trPr>
          <w:trHeight w:val="300"/>
        </w:trPr>
        <w:tc>
          <w:tcPr>
            <w:tcW w:w="3260" w:type="dxa"/>
            <w:shd w:val="clear" w:color="auto" w:fill="auto"/>
            <w:hideMark/>
          </w:tcPr>
          <w:p w:rsidR="00B0121D" w:rsidRPr="00D73F43" w:rsidRDefault="00B0121D" w:rsidP="00AD09A8">
            <w:pPr>
              <w:ind w:firstLineChars="100" w:firstLine="220"/>
              <w:jc w:val="both"/>
              <w:rPr>
                <w:rFonts w:eastAsia="Times New Roman"/>
                <w:noProof/>
                <w:sz w:val="22"/>
                <w:szCs w:val="22"/>
                <w:lang w:val="sq-AL"/>
              </w:rPr>
            </w:pPr>
            <w:r w:rsidRPr="00D73F43">
              <w:rPr>
                <w:rFonts w:eastAsia="Times New Roman"/>
                <w:noProof/>
                <w:sz w:val="22"/>
                <w:szCs w:val="22"/>
                <w:lang w:val="sq-AL"/>
              </w:rPr>
              <w:t>Bosnia dhe Herzegovina</w:t>
            </w:r>
          </w:p>
        </w:tc>
        <w:tc>
          <w:tcPr>
            <w:tcW w:w="100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36.6</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37.7</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41.8</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41.9</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41.5</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39.7</w:t>
            </w:r>
          </w:p>
        </w:tc>
        <w:tc>
          <w:tcPr>
            <w:tcW w:w="96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37.4</w:t>
            </w:r>
          </w:p>
        </w:tc>
      </w:tr>
      <w:tr w:rsidR="00B0121D" w:rsidRPr="00D73F43" w:rsidTr="00AD09A8">
        <w:trPr>
          <w:trHeight w:val="300"/>
        </w:trPr>
        <w:tc>
          <w:tcPr>
            <w:tcW w:w="3260" w:type="dxa"/>
            <w:shd w:val="clear" w:color="auto" w:fill="auto"/>
            <w:hideMark/>
          </w:tcPr>
          <w:p w:rsidR="00B0121D" w:rsidRPr="00D73F43" w:rsidRDefault="00B0121D" w:rsidP="00AD09A8">
            <w:pPr>
              <w:ind w:firstLineChars="100" w:firstLine="220"/>
              <w:jc w:val="both"/>
              <w:rPr>
                <w:rFonts w:eastAsia="Times New Roman"/>
                <w:noProof/>
                <w:sz w:val="22"/>
                <w:szCs w:val="22"/>
                <w:lang w:val="sq-AL"/>
              </w:rPr>
            </w:pPr>
            <w:r w:rsidRPr="00D73F43">
              <w:rPr>
                <w:rFonts w:eastAsia="Times New Roman"/>
                <w:noProof/>
                <w:sz w:val="22"/>
                <w:szCs w:val="22"/>
                <w:lang w:val="sq-AL"/>
              </w:rPr>
              <w:t>Kosovo</w:t>
            </w:r>
          </w:p>
        </w:tc>
        <w:tc>
          <w:tcPr>
            <w:tcW w:w="100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8.2</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9</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10.6</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13.1</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14.3</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15.9</w:t>
            </w:r>
          </w:p>
        </w:tc>
        <w:tc>
          <w:tcPr>
            <w:tcW w:w="96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17.3</w:t>
            </w:r>
          </w:p>
        </w:tc>
      </w:tr>
      <w:tr w:rsidR="00B0121D" w:rsidRPr="00D73F43" w:rsidTr="00AD09A8">
        <w:trPr>
          <w:trHeight w:val="300"/>
        </w:trPr>
        <w:tc>
          <w:tcPr>
            <w:tcW w:w="3260" w:type="dxa"/>
            <w:shd w:val="clear" w:color="auto" w:fill="auto"/>
            <w:hideMark/>
          </w:tcPr>
          <w:p w:rsidR="00B0121D" w:rsidRPr="00D73F43" w:rsidRDefault="00B0121D" w:rsidP="00AD09A8">
            <w:pPr>
              <w:ind w:firstLineChars="100" w:firstLine="220"/>
              <w:jc w:val="both"/>
              <w:rPr>
                <w:rFonts w:eastAsia="Times New Roman"/>
                <w:noProof/>
                <w:sz w:val="22"/>
                <w:szCs w:val="22"/>
                <w:lang w:val="sq-AL"/>
              </w:rPr>
            </w:pPr>
            <w:r w:rsidRPr="00D73F43">
              <w:rPr>
                <w:rFonts w:eastAsia="Times New Roman"/>
                <w:noProof/>
                <w:sz w:val="22"/>
                <w:szCs w:val="22"/>
                <w:lang w:val="sq-AL"/>
              </w:rPr>
              <w:t>Macedonia, FYR</w:t>
            </w:r>
          </w:p>
        </w:tc>
        <w:tc>
          <w:tcPr>
            <w:tcW w:w="100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33.7</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34.2</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38.2</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37.9</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40.8</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42.7</w:t>
            </w:r>
          </w:p>
        </w:tc>
        <w:tc>
          <w:tcPr>
            <w:tcW w:w="96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43.9</w:t>
            </w:r>
          </w:p>
        </w:tc>
      </w:tr>
      <w:tr w:rsidR="00B0121D" w:rsidRPr="00D73F43" w:rsidTr="00AD09A8">
        <w:trPr>
          <w:trHeight w:val="300"/>
        </w:trPr>
        <w:tc>
          <w:tcPr>
            <w:tcW w:w="3260" w:type="dxa"/>
            <w:shd w:val="clear" w:color="auto" w:fill="auto"/>
            <w:hideMark/>
          </w:tcPr>
          <w:p w:rsidR="00B0121D" w:rsidRPr="00D73F43" w:rsidRDefault="00B0121D" w:rsidP="00AD09A8">
            <w:pPr>
              <w:ind w:firstLineChars="100" w:firstLine="220"/>
              <w:jc w:val="both"/>
              <w:rPr>
                <w:rFonts w:eastAsia="Times New Roman"/>
                <w:noProof/>
                <w:sz w:val="22"/>
                <w:szCs w:val="22"/>
                <w:lang w:val="sq-AL"/>
              </w:rPr>
            </w:pPr>
            <w:r w:rsidRPr="00D73F43">
              <w:rPr>
                <w:rFonts w:eastAsia="Times New Roman"/>
                <w:noProof/>
                <w:sz w:val="22"/>
                <w:szCs w:val="22"/>
                <w:lang w:val="sq-AL"/>
              </w:rPr>
              <w:t>Montenegro</w:t>
            </w:r>
          </w:p>
        </w:tc>
        <w:tc>
          <w:tcPr>
            <w:tcW w:w="100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53.4</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57.5</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59.9</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57.3</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62.0</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66.5</w:t>
            </w:r>
          </w:p>
        </w:tc>
        <w:tc>
          <w:tcPr>
            <w:tcW w:w="96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69.2</w:t>
            </w:r>
          </w:p>
        </w:tc>
      </w:tr>
      <w:tr w:rsidR="00B0121D" w:rsidRPr="00D73F43" w:rsidTr="00AD09A8">
        <w:trPr>
          <w:trHeight w:val="300"/>
        </w:trPr>
        <w:tc>
          <w:tcPr>
            <w:tcW w:w="3260" w:type="dxa"/>
            <w:shd w:val="clear" w:color="auto" w:fill="auto"/>
            <w:hideMark/>
          </w:tcPr>
          <w:p w:rsidR="00B0121D" w:rsidRPr="00D73F43" w:rsidRDefault="00B0121D" w:rsidP="00AD09A8">
            <w:pPr>
              <w:ind w:firstLineChars="100" w:firstLine="220"/>
              <w:jc w:val="both"/>
              <w:rPr>
                <w:rFonts w:eastAsia="Times New Roman"/>
                <w:noProof/>
                <w:sz w:val="22"/>
                <w:szCs w:val="22"/>
                <w:lang w:val="sq-AL"/>
              </w:rPr>
            </w:pPr>
            <w:r w:rsidRPr="00D73F43">
              <w:rPr>
                <w:rFonts w:eastAsia="Times New Roman"/>
                <w:noProof/>
                <w:sz w:val="22"/>
                <w:szCs w:val="22"/>
                <w:lang w:val="sq-AL"/>
              </w:rPr>
              <w:t>Serbia</w:t>
            </w:r>
          </w:p>
        </w:tc>
        <w:tc>
          <w:tcPr>
            <w:tcW w:w="100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49.2</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52.6</w:t>
            </w:r>
          </w:p>
        </w:tc>
        <w:tc>
          <w:tcPr>
            <w:tcW w:w="88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64.1</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69.9</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71.4</w:t>
            </w:r>
          </w:p>
        </w:tc>
        <w:tc>
          <w:tcPr>
            <w:tcW w:w="960" w:type="dxa"/>
            <w:shd w:val="clear" w:color="auto" w:fill="auto"/>
            <w:noWrap/>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70.9</w:t>
            </w:r>
          </w:p>
        </w:tc>
        <w:tc>
          <w:tcPr>
            <w:tcW w:w="960" w:type="dxa"/>
            <w:shd w:val="clear" w:color="auto" w:fill="auto"/>
            <w:hideMark/>
          </w:tcPr>
          <w:p w:rsidR="00B0121D" w:rsidRPr="00D73F43" w:rsidRDefault="00B0121D" w:rsidP="00AD09A8">
            <w:pPr>
              <w:jc w:val="both"/>
              <w:rPr>
                <w:rFonts w:eastAsia="Times New Roman"/>
                <w:noProof/>
                <w:sz w:val="22"/>
                <w:szCs w:val="22"/>
                <w:lang w:val="sq-AL"/>
              </w:rPr>
            </w:pPr>
            <w:r w:rsidRPr="00D73F43">
              <w:rPr>
                <w:rFonts w:eastAsia="Times New Roman"/>
                <w:noProof/>
                <w:sz w:val="22"/>
                <w:szCs w:val="22"/>
                <w:lang w:val="sq-AL"/>
              </w:rPr>
              <w:t>72.7</w:t>
            </w:r>
          </w:p>
        </w:tc>
      </w:tr>
    </w:tbl>
    <w:p w:rsidR="00B0121D" w:rsidRPr="00D73F43" w:rsidRDefault="00B0121D" w:rsidP="00B0121D">
      <w:pPr>
        <w:jc w:val="both"/>
        <w:rPr>
          <w:noProof/>
          <w:lang w:val="sq-AL"/>
        </w:rPr>
      </w:pPr>
    </w:p>
    <w:p w:rsidR="00B0121D" w:rsidRPr="00D73F43" w:rsidRDefault="00B0121D" w:rsidP="00B0121D">
      <w:pPr>
        <w:jc w:val="both"/>
        <w:rPr>
          <w:noProof/>
          <w:lang w:val="sq-AL"/>
        </w:rPr>
      </w:pPr>
      <w:r w:rsidRPr="00D73F43">
        <w:rPr>
          <w:noProof/>
          <w:lang w:val="sq-AL"/>
        </w:rPr>
        <w:t>Në shumicën e vendeve të Rajonit është vënë re përmirësim në kreditimin e sektorit privat. Përgjithësisht, sistemi bankar në Rajon është fitimprurës, likuid dhe i mirë-kapitalizuar, por kreditë e këqija janë ende në nivele të larta, duke vijuar të mbetën një nga sfidat për t’u adresuar në nivel rajonal.</w:t>
      </w:r>
    </w:p>
    <w:p w:rsidR="00B0121D" w:rsidRPr="00D73F43" w:rsidRDefault="00B0121D" w:rsidP="00B0121D">
      <w:pPr>
        <w:jc w:val="both"/>
        <w:rPr>
          <w:noProof/>
          <w:lang w:val="sq-AL"/>
        </w:rPr>
      </w:pPr>
    </w:p>
    <w:p w:rsidR="00B0121D" w:rsidRPr="00D73F43" w:rsidRDefault="00B0121D" w:rsidP="00B0121D">
      <w:pPr>
        <w:jc w:val="both"/>
        <w:rPr>
          <w:noProof/>
          <w:lang w:val="sq-AL"/>
        </w:rPr>
      </w:pPr>
    </w:p>
    <w:p w:rsidR="00B0121D" w:rsidRPr="00D73F43" w:rsidRDefault="00B0121D" w:rsidP="00534AA6">
      <w:pPr>
        <w:pStyle w:val="Heading1"/>
        <w:numPr>
          <w:ilvl w:val="1"/>
          <w:numId w:val="92"/>
        </w:numPr>
        <w:tabs>
          <w:tab w:val="clear" w:pos="5954"/>
          <w:tab w:val="left" w:pos="426"/>
          <w:tab w:val="left" w:pos="993"/>
          <w:tab w:val="center" w:pos="1276"/>
        </w:tabs>
        <w:spacing w:after="120" w:line="276" w:lineRule="auto"/>
        <w:ind w:right="0"/>
        <w:jc w:val="both"/>
        <w:rPr>
          <w:bCs/>
          <w:iCs/>
          <w:caps w:val="0"/>
          <w:noProof/>
          <w:sz w:val="26"/>
          <w:szCs w:val="26"/>
          <w:lang w:val="sq-AL"/>
        </w:rPr>
      </w:pPr>
      <w:bookmarkStart w:id="17" w:name="_Toc462665199"/>
      <w:bookmarkStart w:id="18" w:name="_Toc466445432"/>
      <w:r w:rsidRPr="00D73F43">
        <w:rPr>
          <w:bCs/>
          <w:iCs/>
          <w:caps w:val="0"/>
          <w:noProof/>
          <w:sz w:val="26"/>
          <w:szCs w:val="26"/>
          <w:lang w:val="sq-AL"/>
        </w:rPr>
        <w:t>PERSPEKTIVA AFATMESME</w:t>
      </w:r>
      <w:bookmarkEnd w:id="15"/>
      <w:r w:rsidRPr="00D73F43">
        <w:rPr>
          <w:bCs/>
          <w:iCs/>
          <w:caps w:val="0"/>
          <w:noProof/>
          <w:sz w:val="26"/>
          <w:szCs w:val="26"/>
          <w:lang w:val="sq-AL"/>
        </w:rPr>
        <w:t xml:space="preserve"> 2017-2019</w:t>
      </w:r>
      <w:bookmarkEnd w:id="17"/>
      <w:bookmarkEnd w:id="18"/>
      <w:r w:rsidRPr="00D73F43">
        <w:rPr>
          <w:bCs/>
          <w:iCs/>
          <w:caps w:val="0"/>
          <w:noProof/>
          <w:sz w:val="26"/>
          <w:szCs w:val="26"/>
          <w:lang w:val="sq-AL"/>
        </w:rPr>
        <w:t xml:space="preserve"> </w:t>
      </w:r>
    </w:p>
    <w:p w:rsidR="00B0121D" w:rsidRPr="00D73F43" w:rsidRDefault="00B0121D" w:rsidP="00B0121D">
      <w:pPr>
        <w:spacing w:line="276" w:lineRule="auto"/>
        <w:jc w:val="both"/>
        <w:rPr>
          <w:noProof/>
          <w:lang w:val="sq-AL"/>
        </w:rPr>
      </w:pPr>
      <w:r w:rsidRPr="00D73F43">
        <w:rPr>
          <w:noProof/>
          <w:lang w:val="sq-AL"/>
        </w:rPr>
        <w:t xml:space="preserve">Perspektiva ekonomike vijon të përmirësohet në periudhën afatmesme. Rritja ekonomike pritet  të përshpejtohet në mënyrë të qëndrueshme duke arritur 3.8% në vitin 2017, e më tej, duke kaluar mbi nivelin  4% për tre vitet e ardhshme, përkatësisht 3.8% në 2017, 4.1% në 2018 dhe 4.2% 2019. </w:t>
      </w:r>
    </w:p>
    <w:p w:rsidR="00B0121D" w:rsidRPr="00D73F43" w:rsidRDefault="00B0121D" w:rsidP="00B0121D">
      <w:pPr>
        <w:spacing w:line="276" w:lineRule="auto"/>
        <w:jc w:val="both"/>
        <w:rPr>
          <w:noProof/>
          <w:lang w:val="sq-AL"/>
        </w:rPr>
      </w:pPr>
      <w:r w:rsidRPr="00D73F43">
        <w:rPr>
          <w:noProof/>
          <w:lang w:val="sq-AL"/>
        </w:rPr>
        <w:lastRenderedPageBreak/>
        <w:t>Investimet, ve</w:t>
      </w:r>
      <w:r w:rsidR="004C19BB">
        <w:rPr>
          <w:noProof/>
          <w:lang w:val="sq-AL"/>
        </w:rPr>
        <w:t>ç</w:t>
      </w:r>
      <w:r w:rsidRPr="00D73F43">
        <w:rPr>
          <w:noProof/>
          <w:lang w:val="sq-AL"/>
        </w:rPr>
        <w:t>anërisht ato të Huaja Direkte dhe konsumi, pritet të jenë gjeneratorët kryesorë të rritjes. Eksporti i shërbimeve, veçanërisht shërbimet turistike, pritet të kenë një performancë të mirë në afat të mesëm, duke u rritur me një normë vjetore p</w:t>
      </w:r>
      <w:r w:rsidR="004C19BB">
        <w:rPr>
          <w:noProof/>
          <w:lang w:val="sq-AL"/>
        </w:rPr>
        <w:t>rej 8.8% gjatë vitit 2017.</w:t>
      </w:r>
      <w:r w:rsidRPr="00D73F43">
        <w:rPr>
          <w:noProof/>
          <w:lang w:val="sq-AL"/>
        </w:rPr>
        <w:t xml:space="preserve"> Nga ana tjetër, kërkesa e huaj neto pritet të vazhdojë të ketë një kontribut negativ edhe në vitin 2017 për shkak të importeve të pritshme të larta të mallrave kapitale, që  planifikohet të materializohen në dy projektet kryesore të energjisë, respektivisht TAP dhe Statkraft-Devoll Hydropo</w:t>
      </w:r>
      <w:r w:rsidR="004C19BB">
        <w:rPr>
          <w:noProof/>
          <w:lang w:val="sq-AL"/>
        </w:rPr>
        <w:t>w</w:t>
      </w:r>
      <w:r w:rsidRPr="00D73F43">
        <w:rPr>
          <w:noProof/>
          <w:lang w:val="sq-AL"/>
        </w:rPr>
        <w:t xml:space="preserve">er. Ndërkohë për vitet 2018 dhe 2019  kontributi i kërkesës së huaj neto parashikohet të rikthehet në terren pozitiv. </w:t>
      </w:r>
    </w:p>
    <w:p w:rsidR="00B0121D" w:rsidRPr="00D73F43" w:rsidRDefault="00B0121D" w:rsidP="00B0121D">
      <w:pPr>
        <w:spacing w:line="276" w:lineRule="auto"/>
        <w:jc w:val="both"/>
        <w:rPr>
          <w:noProof/>
          <w:lang w:val="sq-AL"/>
        </w:rPr>
      </w:pPr>
    </w:p>
    <w:p w:rsidR="00B0121D" w:rsidRPr="00D73F43" w:rsidRDefault="00B0121D" w:rsidP="00B0121D">
      <w:pPr>
        <w:spacing w:line="276" w:lineRule="auto"/>
        <w:jc w:val="both"/>
        <w:rPr>
          <w:noProof/>
          <w:lang w:val="sq-AL"/>
        </w:rPr>
      </w:pPr>
      <w:r w:rsidRPr="00D73F43">
        <w:rPr>
          <w:noProof/>
          <w:lang w:val="sq-AL"/>
        </w:rPr>
        <w:t>Ndërsa politika fiskale  do të vazhdojë të  orientohet  drejt konsolidimit në horizontin afatmesëm dhe atë afatgjatë,  politika buxhetore e qeverisë për të ruajtur një nivel të investimeve publike afër 5% të PBB-së për vitin 2017, do të  mbështesë krijimin e konsiderueshëm të kapitalit fiks bruto në ekonomi, e cila është e rëndësishme për të mbajtur nivele relativisht të larta rritjeje, si në afatin e shkurtër,</w:t>
      </w:r>
      <w:r w:rsidR="004C19BB">
        <w:rPr>
          <w:noProof/>
          <w:lang w:val="sq-AL"/>
        </w:rPr>
        <w:t xml:space="preserve"> ashtu edhe në afatin e gjatë. </w:t>
      </w:r>
      <w:r w:rsidRPr="00D73F43">
        <w:rPr>
          <w:noProof/>
          <w:lang w:val="sq-AL"/>
        </w:rPr>
        <w:t>Rritja e konsumit privat pritet të vazhdojë të jetë me vlera përshpejtuese pozitive, duke reflektuar besimin e përmirësuar të konsumatorëve. Në të njëjtën kohë, qëndrimi akomodues i parashikuar i politikës monetare për periudhën afatmesme, për sa kohë që presionet  inflacioniste  të mbeten në kahun e poshtëm, do të mbështesë gjithashtu konsumin privat dhe investimet.</w:t>
      </w:r>
    </w:p>
    <w:p w:rsidR="00B0121D" w:rsidRPr="00D73F43" w:rsidRDefault="00B0121D" w:rsidP="00B0121D">
      <w:pPr>
        <w:spacing w:line="276" w:lineRule="auto"/>
        <w:jc w:val="both"/>
        <w:rPr>
          <w:noProof/>
          <w:lang w:val="sq-AL"/>
        </w:rPr>
      </w:pPr>
    </w:p>
    <w:p w:rsidR="00B0121D" w:rsidRPr="00D73F43" w:rsidRDefault="00B0121D" w:rsidP="00B0121D">
      <w:pPr>
        <w:spacing w:line="276" w:lineRule="auto"/>
        <w:jc w:val="both"/>
        <w:rPr>
          <w:noProof/>
          <w:lang w:val="sq-AL"/>
        </w:rPr>
      </w:pPr>
      <w:r w:rsidRPr="00D73F43">
        <w:rPr>
          <w:noProof/>
          <w:lang w:val="sq-AL"/>
        </w:rPr>
        <w:t xml:space="preserve">Rritja e konsumit privat përgjatë horizontit të parashikuar pritet të mbështetet edhe nga përmirësimet në tregun e punës, si rrjedhojë e rritjes së qendrueshme të punësimit dhe politikës së rritjes së pagave. Kjo do të stimulojë rritjen reale të të ardhurave të individëve. Në të njëjtën kohë, edhe rritja e huadhënies për konsum parashikohet në rritje, duke reflektuar si përmirësimin e financave të individëve, ashtu edhe lehtësimin e standardeve të kredidhënies nga sistemi bankar. </w:t>
      </w:r>
    </w:p>
    <w:p w:rsidR="00B0121D" w:rsidRPr="00D73F43" w:rsidRDefault="00B0121D" w:rsidP="00B0121D">
      <w:pPr>
        <w:spacing w:line="276" w:lineRule="auto"/>
        <w:jc w:val="both"/>
        <w:rPr>
          <w:noProof/>
          <w:lang w:val="sq-AL"/>
        </w:rPr>
      </w:pPr>
    </w:p>
    <w:p w:rsidR="00B0121D" w:rsidRPr="00D73F43" w:rsidRDefault="00B0121D" w:rsidP="00B0121D">
      <w:pPr>
        <w:spacing w:line="276" w:lineRule="auto"/>
        <w:jc w:val="both"/>
        <w:rPr>
          <w:noProof/>
          <w:lang w:val="sq-AL"/>
        </w:rPr>
      </w:pPr>
      <w:r w:rsidRPr="00D73F43">
        <w:rPr>
          <w:noProof/>
          <w:lang w:val="sq-AL"/>
        </w:rPr>
        <w:t xml:space="preserve">Rifillimi gradual i kërkesës për investime pritet të mbështetet nga përmirësimi i normave të shfrytëzimit të kapaciteteve dhe nga  vazhdimi i rimëkëmbjes  ekonomike gjatë periudhës së projektuar, si në Shqipëri, ashtu edhe në mjedisin e jashtëm. </w:t>
      </w:r>
    </w:p>
    <w:p w:rsidR="00B0121D" w:rsidRPr="00D73F43" w:rsidRDefault="00B0121D" w:rsidP="00B0121D">
      <w:pPr>
        <w:spacing w:line="276" w:lineRule="auto"/>
        <w:jc w:val="both"/>
        <w:rPr>
          <w:noProof/>
          <w:lang w:val="sq-AL"/>
        </w:rPr>
      </w:pPr>
    </w:p>
    <w:p w:rsidR="00B0121D" w:rsidRPr="00D73F43" w:rsidRDefault="00B0121D" w:rsidP="00B0121D">
      <w:pPr>
        <w:spacing w:line="276" w:lineRule="auto"/>
        <w:jc w:val="both"/>
        <w:rPr>
          <w:noProof/>
          <w:lang w:val="sq-AL"/>
        </w:rPr>
      </w:pPr>
      <w:r w:rsidRPr="00D73F43">
        <w:rPr>
          <w:noProof/>
          <w:lang w:val="sq-AL"/>
        </w:rPr>
        <w:t xml:space="preserve">Kërkesa totale e sektorit publik do të vijojë të jetë </w:t>
      </w:r>
      <w:r w:rsidR="004C19BB">
        <w:rPr>
          <w:noProof/>
          <w:lang w:val="sq-AL"/>
        </w:rPr>
        <w:t>disi e kufizuar</w:t>
      </w:r>
      <w:r w:rsidRPr="00D73F43">
        <w:rPr>
          <w:noProof/>
          <w:lang w:val="sq-AL"/>
        </w:rPr>
        <w:t xml:space="preserve"> si rezultat i konsolidimit fiskal. Sidoqoftë, konsolidimi fiskal do të reduktojë ndjeshëm primet e risqeve në periudhën afatmesme dhe do të  krijojë më shumë hapësira për  zgjerimin dhe përforcimin e sektorit privat. </w:t>
      </w:r>
    </w:p>
    <w:p w:rsidR="00B0121D" w:rsidRPr="00D73F43" w:rsidRDefault="00B0121D" w:rsidP="00B0121D">
      <w:pPr>
        <w:spacing w:line="276" w:lineRule="auto"/>
        <w:jc w:val="both"/>
        <w:rPr>
          <w:noProof/>
          <w:lang w:val="sq-AL"/>
        </w:rPr>
      </w:pPr>
    </w:p>
    <w:p w:rsidR="00B0121D" w:rsidRPr="00D73F43" w:rsidRDefault="00B0121D" w:rsidP="00B0121D">
      <w:pPr>
        <w:spacing w:line="276" w:lineRule="auto"/>
        <w:jc w:val="both"/>
        <w:rPr>
          <w:noProof/>
          <w:lang w:val="sq-AL"/>
        </w:rPr>
      </w:pPr>
      <w:r w:rsidRPr="00D73F43">
        <w:rPr>
          <w:noProof/>
          <w:lang w:val="sq-AL"/>
        </w:rPr>
        <w:t>Në të njëjtën kohë, përbërja e politikave buxhetore të planifikuara n</w:t>
      </w:r>
      <w:r w:rsidR="004C19BB">
        <w:rPr>
          <w:noProof/>
          <w:lang w:val="sq-AL"/>
        </w:rPr>
        <w:t xml:space="preserve">ë mbështetje të rritjes, pritet </w:t>
      </w:r>
      <w:r w:rsidRPr="00D73F43">
        <w:rPr>
          <w:noProof/>
          <w:lang w:val="sq-AL"/>
        </w:rPr>
        <w:t>të më</w:t>
      </w:r>
      <w:r w:rsidR="004C19BB">
        <w:rPr>
          <w:noProof/>
          <w:lang w:val="sq-AL"/>
        </w:rPr>
        <w:t>njanojnë në një masë të caktuar</w:t>
      </w:r>
      <w:r w:rsidRPr="00D73F43">
        <w:rPr>
          <w:noProof/>
          <w:lang w:val="sq-AL"/>
        </w:rPr>
        <w:t xml:space="preserve"> efektet shtrënguese të konsolidimit fiskal. Më konkretisht, investimet publike afatshkurtër dhe afatmesëm janë ruajtur në nivelin  rreth 5% të PBB-së për vitin 2017, të cilat kanë një shumëfishim relativisht të lartë në drejtim të kërkesës agregate afatshkurtër dhe janë të rëndësishme për rritjen potenciale në afatmesëm dhe afatgjatë. Gjithashtu edhe rritja e ndjeshme e pagave dhe pensioneve pritet të ketë një impakt të drejtpërdrejtë pozitiv në rritjen e mëtejshme të konsumit.</w:t>
      </w:r>
    </w:p>
    <w:p w:rsidR="00B0121D" w:rsidRPr="00D73F43" w:rsidRDefault="00B0121D" w:rsidP="00B0121D">
      <w:pPr>
        <w:spacing w:line="276" w:lineRule="auto"/>
        <w:jc w:val="both"/>
        <w:rPr>
          <w:noProof/>
          <w:lang w:val="sq-AL"/>
        </w:rPr>
      </w:pPr>
    </w:p>
    <w:p w:rsidR="00B0121D" w:rsidRPr="00D73F43" w:rsidRDefault="00B0121D" w:rsidP="00B0121D">
      <w:pPr>
        <w:spacing w:line="276" w:lineRule="auto"/>
        <w:jc w:val="both"/>
        <w:rPr>
          <w:noProof/>
          <w:lang w:val="sq-AL"/>
        </w:rPr>
      </w:pPr>
      <w:r w:rsidRPr="00D73F43">
        <w:rPr>
          <w:noProof/>
          <w:lang w:val="sq-AL"/>
        </w:rPr>
        <w:t xml:space="preserve">Rritja në periudhën afatmesme në vijim do të jetë e orientuar drejt krijimit të vendeve të punës krahasuar me historikun, pasi sektorët e prodhimit më intensiv të forcës së punës pritet të performojnë më mirë se të tjerët. Për këtë arsye, rritja e punësimit total pritet të </w:t>
      </w:r>
      <w:r w:rsidR="004C19BB">
        <w:rPr>
          <w:noProof/>
          <w:lang w:val="sq-AL"/>
        </w:rPr>
        <w:t>përshpejtohet gjatë viteve 2017-</w:t>
      </w:r>
      <w:r w:rsidRPr="00D73F43">
        <w:rPr>
          <w:noProof/>
          <w:lang w:val="sq-AL"/>
        </w:rPr>
        <w:t xml:space="preserve">2019. Ndërkohë shkalla e papunësisë  përllogaritet të zbresë në 14.8% për vitin 2017 dhe të vijojë gradualisht rënien në vitin 2018 dhe 2019,  respektivisht në 13.3% dhe 12.1%. </w:t>
      </w:r>
    </w:p>
    <w:p w:rsidR="00B0121D" w:rsidRPr="00D73F43" w:rsidRDefault="00B0121D" w:rsidP="00B0121D">
      <w:pPr>
        <w:spacing w:line="276" w:lineRule="auto"/>
        <w:jc w:val="both"/>
        <w:rPr>
          <w:noProof/>
          <w:lang w:val="sq-AL"/>
        </w:rPr>
      </w:pPr>
    </w:p>
    <w:p w:rsidR="00B0121D" w:rsidRPr="00D73F43" w:rsidRDefault="00B0121D" w:rsidP="00B0121D">
      <w:pPr>
        <w:spacing w:line="276" w:lineRule="auto"/>
        <w:jc w:val="both"/>
        <w:rPr>
          <w:noProof/>
          <w:lang w:val="sq-AL"/>
        </w:rPr>
      </w:pPr>
      <w:r w:rsidRPr="00D73F43">
        <w:rPr>
          <w:noProof/>
          <w:lang w:val="sq-AL"/>
        </w:rPr>
        <w:t xml:space="preserve">Presionet inflacioniste parashikohet të forcohen në periudhën afatmesme. Inflacioni pritet të rritet gradualisht dhe  të rikthehet në objektivin e  Bankës së Shqipërisë, brenda fundit të vitit 2018. Presionet e </w:t>
      </w:r>
      <w:r w:rsidRPr="00D73F43">
        <w:rPr>
          <w:noProof/>
          <w:lang w:val="sq-AL"/>
        </w:rPr>
        <w:lastRenderedPageBreak/>
        <w:t>brendshme inflacioniste priten të përshpejtohen,  si rezultat i rritjes së konsumit privat dhe investimeve, që do të mbështesin një ritëm më të shpejtë të rritjes ekonomike. Për më tepër, kërkesa agregate dhe inflacioni në mjedisin ndërkombëtar pritet të kenë një efekt dis-inflacionist në një masë më të vogël duke pasur parasysh opinionin pozitiv për Zonën e Euros dhe zhvillimet e pritshme në çmimet e mallrave.</w:t>
      </w:r>
    </w:p>
    <w:p w:rsidR="00B0121D" w:rsidRPr="00D73F43" w:rsidRDefault="00B0121D" w:rsidP="00B0121D">
      <w:pPr>
        <w:spacing w:line="276" w:lineRule="auto"/>
        <w:jc w:val="both"/>
        <w:rPr>
          <w:noProof/>
          <w:lang w:val="sq-AL"/>
        </w:rPr>
      </w:pPr>
    </w:p>
    <w:p w:rsidR="00B0121D" w:rsidRPr="00D73F43" w:rsidRDefault="00B0121D" w:rsidP="00B0121D">
      <w:pPr>
        <w:tabs>
          <w:tab w:val="left" w:pos="709"/>
        </w:tabs>
        <w:spacing w:line="276" w:lineRule="auto"/>
        <w:jc w:val="both"/>
        <w:rPr>
          <w:noProof/>
          <w:lang w:val="sq-AL"/>
        </w:rPr>
      </w:pPr>
    </w:p>
    <w:p w:rsidR="00B0121D" w:rsidRPr="00D73F43" w:rsidRDefault="00B0121D" w:rsidP="00B0121D">
      <w:pPr>
        <w:pStyle w:val="Heading1"/>
        <w:numPr>
          <w:ilvl w:val="0"/>
          <w:numId w:val="2"/>
        </w:numPr>
        <w:tabs>
          <w:tab w:val="clear" w:pos="5954"/>
          <w:tab w:val="center" w:pos="709"/>
        </w:tabs>
        <w:spacing w:line="276" w:lineRule="auto"/>
        <w:jc w:val="both"/>
        <w:rPr>
          <w:bCs/>
          <w:iCs/>
          <w:caps w:val="0"/>
          <w:sz w:val="28"/>
          <w:lang w:val="sq-AL"/>
        </w:rPr>
      </w:pPr>
      <w:bookmarkStart w:id="19" w:name="_Toc466445433"/>
      <w:r w:rsidRPr="00D73F43">
        <w:rPr>
          <w:bCs/>
          <w:iCs/>
          <w:caps w:val="0"/>
          <w:sz w:val="28"/>
          <w:lang w:val="sq-AL"/>
        </w:rPr>
        <w:t>TREGUESIT KRYESORË TË BUXHETIT PËR VITIN 2017</w:t>
      </w:r>
      <w:bookmarkEnd w:id="19"/>
    </w:p>
    <w:p w:rsidR="00B0121D" w:rsidRPr="00D73F43" w:rsidRDefault="00B0121D" w:rsidP="00B0121D">
      <w:pPr>
        <w:pStyle w:val="Heading1"/>
        <w:tabs>
          <w:tab w:val="clear" w:pos="5954"/>
          <w:tab w:val="center" w:pos="709"/>
        </w:tabs>
        <w:spacing w:line="276" w:lineRule="auto"/>
        <w:ind w:left="450"/>
        <w:jc w:val="both"/>
        <w:rPr>
          <w:bCs/>
          <w:iCs/>
          <w:caps w:val="0"/>
          <w:sz w:val="28"/>
          <w:lang w:val="sq-AL"/>
        </w:rPr>
      </w:pPr>
    </w:p>
    <w:p w:rsidR="00B0121D" w:rsidRPr="00D73F43" w:rsidRDefault="00C610A8" w:rsidP="00C610A8">
      <w:pPr>
        <w:pStyle w:val="Heading1"/>
        <w:tabs>
          <w:tab w:val="clear" w:pos="5954"/>
          <w:tab w:val="center" w:pos="709"/>
        </w:tabs>
        <w:spacing w:line="276" w:lineRule="auto"/>
        <w:jc w:val="both"/>
        <w:rPr>
          <w:bCs/>
          <w:iCs/>
          <w:caps w:val="0"/>
          <w:lang w:val="sq-AL"/>
        </w:rPr>
      </w:pPr>
      <w:bookmarkStart w:id="20" w:name="_Toc466445434"/>
      <w:r>
        <w:rPr>
          <w:bCs/>
          <w:iCs/>
          <w:sz w:val="28"/>
          <w:lang w:val="sq-AL"/>
        </w:rPr>
        <w:t xml:space="preserve">3.1 </w:t>
      </w:r>
      <w:r w:rsidR="00B0121D" w:rsidRPr="00D73F43">
        <w:rPr>
          <w:bCs/>
          <w:iCs/>
          <w:sz w:val="26"/>
          <w:szCs w:val="26"/>
          <w:lang w:val="sq-AL"/>
        </w:rPr>
        <w:t xml:space="preserve">TË ARDHURAT </w:t>
      </w:r>
      <w:bookmarkStart w:id="21" w:name="_Toc433976690"/>
      <w:r w:rsidR="00B0121D" w:rsidRPr="00D73F43">
        <w:rPr>
          <w:bCs/>
          <w:iCs/>
          <w:caps w:val="0"/>
          <w:lang w:val="sq-AL"/>
        </w:rPr>
        <w:t>E PRITSHME PËR VITIN 2016</w:t>
      </w:r>
      <w:bookmarkEnd w:id="20"/>
    </w:p>
    <w:p w:rsidR="00B0121D" w:rsidRPr="00D73F43" w:rsidRDefault="00B0121D" w:rsidP="00B0121D">
      <w:pPr>
        <w:rPr>
          <w:lang w:val="sq-AL"/>
        </w:rPr>
      </w:pPr>
    </w:p>
    <w:bookmarkEnd w:id="21"/>
    <w:p w:rsidR="00B0121D" w:rsidRPr="00D73F43" w:rsidRDefault="00B0121D" w:rsidP="00B0121D">
      <w:pPr>
        <w:spacing w:line="276" w:lineRule="auto"/>
        <w:jc w:val="both"/>
        <w:rPr>
          <w:b/>
          <w:lang w:val="sq-AL"/>
        </w:rPr>
      </w:pPr>
    </w:p>
    <w:p w:rsidR="004C19BB" w:rsidRPr="004C19BB" w:rsidRDefault="004C19BB" w:rsidP="004C19BB">
      <w:pPr>
        <w:spacing w:line="276" w:lineRule="auto"/>
        <w:jc w:val="both"/>
        <w:rPr>
          <w:b/>
          <w:lang w:val="sq-AL"/>
        </w:rPr>
      </w:pPr>
      <w:r w:rsidRPr="004C19BB">
        <w:rPr>
          <w:b/>
          <w:lang w:val="sq-AL"/>
        </w:rPr>
        <w:t>Viti 2016 shënoi një performancë të përmirësuar të të ardhurave në buxhetin e shtetit.</w:t>
      </w:r>
    </w:p>
    <w:p w:rsidR="004C19BB" w:rsidRPr="004C19BB" w:rsidRDefault="004C19BB" w:rsidP="004C19BB">
      <w:pPr>
        <w:spacing w:line="276" w:lineRule="auto"/>
        <w:jc w:val="both"/>
        <w:rPr>
          <w:b/>
          <w:lang w:val="sq-AL"/>
        </w:rPr>
      </w:pPr>
    </w:p>
    <w:p w:rsidR="004C19BB" w:rsidRPr="004C19BB" w:rsidRDefault="004C19BB" w:rsidP="002427B9">
      <w:pPr>
        <w:spacing w:line="276" w:lineRule="auto"/>
        <w:jc w:val="both"/>
        <w:rPr>
          <w:lang w:val="sq-AL"/>
        </w:rPr>
      </w:pPr>
      <w:r w:rsidRPr="004C19BB">
        <w:rPr>
          <w:b/>
          <w:lang w:val="sq-AL"/>
        </w:rPr>
        <w:t>Të ardhurat e buxhetit të shtetit</w:t>
      </w:r>
      <w:r w:rsidRPr="004C19BB">
        <w:rPr>
          <w:lang w:val="sq-AL"/>
        </w:rPr>
        <w:t xml:space="preserve"> në fund të vitit 2016, pritet të jenë 408 miliardë lekë. Krahasuar me vitin 2015, parashikohet një rritje prej 7.6%, ose 29 miliardë lekë duke përfaqësuar 27.2% të PBB-së nga 26.4% që ishin në vitin 2015. Rritja me 0.8% e kontributit të të ardhurave të buxhetit të shtetit në raport me Produktin e Brendshëm Bruto për vitin 2016, është tregues i rëndësishëm i përmirësimit të përformancës së mbledhjes së të ardhurave në kuadër të reformës së konsolidimit të financave publike. </w:t>
      </w:r>
      <w:r w:rsidRPr="004C19BB">
        <w:t xml:space="preserve">Kjo rritje vjen kryesisht nga  impakti i rritjes ekonomike dhe nga përmirësimi në administrimin e taksave, ndërkohë që në vitin 2016 nuk ka pasur rritje të tarifave tatimore, përkundrazi, ulje apo heqje të tyre si në rastin e tatimit të thjeshtuar të fitimit për biznesin e vogël. </w:t>
      </w:r>
    </w:p>
    <w:p w:rsidR="004C19BB" w:rsidRPr="004C19BB" w:rsidRDefault="004C19BB" w:rsidP="002427B9">
      <w:pPr>
        <w:spacing w:line="276" w:lineRule="auto"/>
        <w:jc w:val="both"/>
      </w:pPr>
    </w:p>
    <w:p w:rsidR="004C19BB" w:rsidRPr="004C19BB" w:rsidRDefault="004C19BB" w:rsidP="004C19BB">
      <w:pPr>
        <w:jc w:val="both"/>
        <w:rPr>
          <w:lang w:val="sq-AL"/>
        </w:rPr>
      </w:pPr>
      <w:r w:rsidRPr="004C19BB">
        <w:rPr>
          <w:b/>
        </w:rPr>
        <w:t>Të ardhurat tatimore</w:t>
      </w:r>
      <w:r w:rsidRPr="004C19BB">
        <w:t xml:space="preserve"> </w:t>
      </w:r>
      <w:r w:rsidRPr="004C19BB">
        <w:rPr>
          <w:lang w:val="sq-AL"/>
        </w:rPr>
        <w:t xml:space="preserve">në vitin 2016, pritet të shënojnë një realizim në nivelin 99%, duke arkëtuar 371.3 miliardë lekë (nga 375.8 të planifikuara) ose 24.7% e PBB-së, me një përmirësim prej 0.9 % e PBB-së krahasuar me vitin 2015. </w:t>
      </w:r>
    </w:p>
    <w:p w:rsidR="004C19BB" w:rsidRPr="004C19BB" w:rsidRDefault="004C19BB" w:rsidP="004C19BB">
      <w:pPr>
        <w:jc w:val="both"/>
        <w:rPr>
          <w:noProof/>
          <w:lang w:val="sq-AL"/>
        </w:rPr>
      </w:pPr>
      <w:r w:rsidRPr="004C19BB">
        <w:rPr>
          <w:lang w:val="sq-AL"/>
        </w:rPr>
        <w:t>Të ardhurat që administrohen nga D</w:t>
      </w:r>
      <w:r w:rsidR="002427B9">
        <w:rPr>
          <w:lang w:val="sq-AL"/>
        </w:rPr>
        <w:t xml:space="preserve">rejtoria e </w:t>
      </w:r>
      <w:r w:rsidRPr="004C19BB">
        <w:rPr>
          <w:lang w:val="sq-AL"/>
        </w:rPr>
        <w:t>P</w:t>
      </w:r>
      <w:r w:rsidR="002427B9">
        <w:rPr>
          <w:lang w:val="sq-AL"/>
        </w:rPr>
        <w:t xml:space="preserve">ërgjithshme e </w:t>
      </w:r>
      <w:r w:rsidRPr="004C19BB">
        <w:rPr>
          <w:lang w:val="sq-AL"/>
        </w:rPr>
        <w:t>T</w:t>
      </w:r>
      <w:r w:rsidR="002427B9">
        <w:rPr>
          <w:lang w:val="sq-AL"/>
        </w:rPr>
        <w:t>atimeve (DPT)</w:t>
      </w:r>
      <w:r w:rsidRPr="004C19BB">
        <w:rPr>
          <w:lang w:val="sq-AL"/>
        </w:rPr>
        <w:t xml:space="preserve"> dhe D</w:t>
      </w:r>
      <w:r w:rsidR="002427B9">
        <w:rPr>
          <w:lang w:val="sq-AL"/>
        </w:rPr>
        <w:t xml:space="preserve">rejtoria e </w:t>
      </w:r>
      <w:r w:rsidRPr="004C19BB">
        <w:rPr>
          <w:lang w:val="sq-AL"/>
        </w:rPr>
        <w:t>P</w:t>
      </w:r>
      <w:r w:rsidR="002427B9">
        <w:rPr>
          <w:lang w:val="sq-AL"/>
        </w:rPr>
        <w:t xml:space="preserve">ërgjithshme e </w:t>
      </w:r>
      <w:r w:rsidRPr="004C19BB">
        <w:rPr>
          <w:lang w:val="sq-AL"/>
        </w:rPr>
        <w:t>D</w:t>
      </w:r>
      <w:r w:rsidR="002427B9">
        <w:rPr>
          <w:lang w:val="sq-AL"/>
        </w:rPr>
        <w:t>oganave (DPD)</w:t>
      </w:r>
      <w:r w:rsidRPr="004C19BB">
        <w:rPr>
          <w:lang w:val="sq-AL"/>
        </w:rPr>
        <w:t>, p</w:t>
      </w:r>
      <w:r w:rsidRPr="004C19BB">
        <w:rPr>
          <w:noProof/>
          <w:lang w:val="sq-AL"/>
        </w:rPr>
        <w:t xml:space="preserve">ërfshirë kontributet e sigurimeve shoqërore dhe shëndetësore, do të realizohen në nivelin 98.76%, duke shënuar një përmirësim të ndjeshëm të përformancës së të ardhurave krahasuar me periudhat e mëparshme. Këto të ardhura, përbëjnë 23.4% të PBB-së me një përmirësim 0.7% e PBB-së krahasuar me vitin 2015. Ky rezultat është efekt i drejtpërdrejtë i miradministrimit në tatime dhe dogana gjatë vitit 2016, përpjekjeve intensive për uljen e informalitetit në ekonomi si edhe e rritjes së nivelit të pajtueshmërisë së tatimpaguesve me ligjin, përmes parimit të vetëkorrigjimit. </w:t>
      </w:r>
    </w:p>
    <w:p w:rsidR="004C19BB" w:rsidRPr="004C19BB" w:rsidRDefault="004C19BB" w:rsidP="004C19BB">
      <w:pPr>
        <w:jc w:val="both"/>
        <w:rPr>
          <w:lang w:val="sq-AL"/>
        </w:rPr>
      </w:pPr>
    </w:p>
    <w:p w:rsidR="004C19BB" w:rsidRPr="004C19BB" w:rsidRDefault="004C19BB" w:rsidP="004C19BB">
      <w:pPr>
        <w:tabs>
          <w:tab w:val="left" w:pos="709"/>
        </w:tabs>
        <w:jc w:val="both"/>
        <w:rPr>
          <w:noProof/>
          <w:lang w:val="sq-AL"/>
        </w:rPr>
      </w:pPr>
      <w:r w:rsidRPr="004C19BB">
        <w:rPr>
          <w:noProof/>
          <w:lang w:val="sq-AL"/>
        </w:rPr>
        <w:t xml:space="preserve">Arritja e këtij rezultati bëhet domethënës në kushtet kur këto rezultate pasqyrojnë të ardhurat e planifikuara në buxhet, pa asnjë korrektim krahasuar me planin fillestar për të Ardhurat Tatimore. </w:t>
      </w:r>
    </w:p>
    <w:p w:rsidR="004C19BB" w:rsidRPr="004C19BB" w:rsidRDefault="004C19BB" w:rsidP="004C19BB">
      <w:pPr>
        <w:tabs>
          <w:tab w:val="left" w:pos="709"/>
        </w:tabs>
        <w:jc w:val="both"/>
        <w:rPr>
          <w:sz w:val="20"/>
          <w:szCs w:val="20"/>
          <w:lang w:val="sq-AL"/>
        </w:rPr>
      </w:pPr>
      <w:r w:rsidRPr="004C19BB">
        <w:rPr>
          <w:lang w:val="sq-AL"/>
        </w:rPr>
        <w:t xml:space="preserve"> </w:t>
      </w:r>
      <w:r w:rsidRPr="004C19BB">
        <w:rPr>
          <w:lang w:val="sq-AL"/>
        </w:rPr>
        <w:tab/>
      </w:r>
      <w:r w:rsidRPr="004C19BB">
        <w:rPr>
          <w:lang w:val="sq-AL"/>
        </w:rPr>
        <w:tab/>
      </w:r>
      <w:r w:rsidRPr="004C19BB">
        <w:rPr>
          <w:lang w:val="sq-AL"/>
        </w:rPr>
        <w:tab/>
      </w:r>
      <w:r w:rsidRPr="004C19BB">
        <w:rPr>
          <w:lang w:val="sq-AL"/>
        </w:rPr>
        <w:tab/>
      </w:r>
      <w:r w:rsidRPr="004C19BB">
        <w:rPr>
          <w:lang w:val="sq-AL"/>
        </w:rPr>
        <w:tab/>
      </w:r>
      <w:r w:rsidRPr="004C19BB">
        <w:rPr>
          <w:lang w:val="sq-AL"/>
        </w:rPr>
        <w:tab/>
      </w:r>
      <w:r w:rsidRPr="004C19BB">
        <w:rPr>
          <w:lang w:val="sq-AL"/>
        </w:rPr>
        <w:tab/>
      </w:r>
      <w:r w:rsidRPr="004C19BB">
        <w:rPr>
          <w:lang w:val="sq-AL"/>
        </w:rPr>
        <w:tab/>
      </w:r>
      <w:r w:rsidRPr="004C19BB">
        <w:rPr>
          <w:lang w:val="sq-AL"/>
        </w:rPr>
        <w:tab/>
      </w:r>
      <w:r w:rsidRPr="004C19BB">
        <w:rPr>
          <w:lang w:val="sq-AL"/>
        </w:rPr>
        <w:tab/>
      </w:r>
      <w:r w:rsidRPr="004C19BB">
        <w:rPr>
          <w:lang w:val="sq-AL"/>
        </w:rPr>
        <w:tab/>
      </w:r>
      <w:r w:rsidRPr="004C19BB">
        <w:rPr>
          <w:lang w:val="sq-AL"/>
        </w:rPr>
        <w:tab/>
        <w:t xml:space="preserve"> </w:t>
      </w:r>
      <w:r w:rsidRPr="004C19BB">
        <w:rPr>
          <w:rFonts w:eastAsia="Calibri"/>
          <w:i/>
          <w:sz w:val="20"/>
          <w:szCs w:val="20"/>
          <w:lang w:val="sq-AL"/>
        </w:rPr>
        <w:t>(në milion lekë)</w:t>
      </w:r>
      <w:r w:rsidRPr="004C19BB">
        <w:rPr>
          <w:sz w:val="20"/>
          <w:szCs w:val="20"/>
          <w:lang w:val="sq-AL"/>
        </w:rPr>
        <w:t xml:space="preserve"> </w:t>
      </w:r>
    </w:p>
    <w:tbl>
      <w:tblPr>
        <w:tblW w:w="9913" w:type="dxa"/>
        <w:jc w:val="center"/>
        <w:tblLook w:val="04A0" w:firstRow="1" w:lastRow="0" w:firstColumn="1" w:lastColumn="0" w:noHBand="0" w:noVBand="1"/>
      </w:tblPr>
      <w:tblGrid>
        <w:gridCol w:w="4079"/>
        <w:gridCol w:w="1398"/>
        <w:gridCol w:w="1455"/>
        <w:gridCol w:w="1536"/>
        <w:gridCol w:w="1445"/>
      </w:tblGrid>
      <w:tr w:rsidR="004C19BB" w:rsidRPr="004C19BB" w:rsidTr="002427B9">
        <w:trPr>
          <w:trHeight w:val="651"/>
          <w:jc w:val="center"/>
        </w:trPr>
        <w:tc>
          <w:tcPr>
            <w:tcW w:w="4079" w:type="dxa"/>
            <w:tcBorders>
              <w:top w:val="single" w:sz="8" w:space="0" w:color="auto"/>
              <w:left w:val="nil"/>
              <w:bottom w:val="double" w:sz="6" w:space="0" w:color="auto"/>
              <w:right w:val="nil"/>
            </w:tcBorders>
            <w:shd w:val="clear" w:color="auto" w:fill="FFFFFF"/>
            <w:noWrap/>
            <w:vAlign w:val="center"/>
            <w:hideMark/>
          </w:tcPr>
          <w:p w:rsidR="004C19BB" w:rsidRPr="004C19BB" w:rsidRDefault="004C19BB" w:rsidP="004C19BB">
            <w:pPr>
              <w:rPr>
                <w:rFonts w:eastAsia="Times New Roman"/>
                <w:b/>
                <w:bCs/>
                <w:color w:val="000000"/>
                <w:sz w:val="20"/>
                <w:szCs w:val="20"/>
              </w:rPr>
            </w:pPr>
            <w:r w:rsidRPr="004C19BB">
              <w:rPr>
                <w:rFonts w:eastAsia="Times New Roman"/>
                <w:b/>
                <w:bCs/>
                <w:color w:val="000000"/>
                <w:sz w:val="20"/>
                <w:szCs w:val="20"/>
                <w:lang w:val="sq-AL"/>
              </w:rPr>
              <w:t>Tatime dhe dogana</w:t>
            </w:r>
          </w:p>
        </w:tc>
        <w:tc>
          <w:tcPr>
            <w:tcW w:w="1398" w:type="dxa"/>
            <w:tcBorders>
              <w:top w:val="single" w:sz="8" w:space="0" w:color="auto"/>
              <w:left w:val="nil"/>
              <w:bottom w:val="double" w:sz="6" w:space="0" w:color="auto"/>
              <w:right w:val="nil"/>
            </w:tcBorders>
            <w:shd w:val="clear" w:color="auto" w:fill="FFFFFF"/>
            <w:vAlign w:val="center"/>
            <w:hideMark/>
          </w:tcPr>
          <w:p w:rsidR="004C19BB" w:rsidRPr="004C19BB" w:rsidRDefault="004C19BB" w:rsidP="004C19BB">
            <w:pPr>
              <w:jc w:val="center"/>
              <w:rPr>
                <w:rFonts w:eastAsia="Times New Roman"/>
                <w:b/>
                <w:bCs/>
                <w:color w:val="000000"/>
                <w:sz w:val="20"/>
                <w:szCs w:val="20"/>
              </w:rPr>
            </w:pPr>
            <w:r w:rsidRPr="004C19BB">
              <w:rPr>
                <w:rFonts w:eastAsia="Times New Roman"/>
                <w:b/>
                <w:bCs/>
                <w:color w:val="000000"/>
                <w:sz w:val="20"/>
                <w:szCs w:val="20"/>
                <w:lang w:val="sq-AL"/>
              </w:rPr>
              <w:t>Buxheti zyrtar 2016</w:t>
            </w:r>
          </w:p>
        </w:tc>
        <w:tc>
          <w:tcPr>
            <w:tcW w:w="1455" w:type="dxa"/>
            <w:tcBorders>
              <w:top w:val="single" w:sz="8" w:space="0" w:color="auto"/>
              <w:left w:val="nil"/>
              <w:bottom w:val="double" w:sz="6" w:space="0" w:color="auto"/>
              <w:right w:val="nil"/>
            </w:tcBorders>
            <w:shd w:val="clear" w:color="auto" w:fill="FFFFFF"/>
            <w:vAlign w:val="center"/>
            <w:hideMark/>
          </w:tcPr>
          <w:p w:rsidR="004C19BB" w:rsidRPr="004C19BB" w:rsidRDefault="004C19BB" w:rsidP="004C19BB">
            <w:pPr>
              <w:jc w:val="center"/>
              <w:rPr>
                <w:rFonts w:eastAsia="Times New Roman"/>
                <w:b/>
                <w:bCs/>
                <w:color w:val="000000"/>
                <w:sz w:val="20"/>
                <w:szCs w:val="20"/>
              </w:rPr>
            </w:pPr>
            <w:r w:rsidRPr="004C19BB">
              <w:rPr>
                <w:rFonts w:eastAsia="Times New Roman"/>
                <w:b/>
                <w:bCs/>
                <w:color w:val="000000"/>
                <w:sz w:val="20"/>
                <w:szCs w:val="20"/>
                <w:lang w:val="sq-AL"/>
              </w:rPr>
              <w:t>Vlerësim Buxheti 2016</w:t>
            </w:r>
          </w:p>
        </w:tc>
        <w:tc>
          <w:tcPr>
            <w:tcW w:w="1536" w:type="dxa"/>
            <w:tcBorders>
              <w:top w:val="single" w:sz="8" w:space="0" w:color="auto"/>
              <w:left w:val="nil"/>
              <w:bottom w:val="double" w:sz="6" w:space="0" w:color="auto"/>
              <w:right w:val="nil"/>
            </w:tcBorders>
            <w:shd w:val="clear" w:color="auto" w:fill="FFFFFF"/>
            <w:vAlign w:val="center"/>
            <w:hideMark/>
          </w:tcPr>
          <w:p w:rsidR="004C19BB" w:rsidRPr="004C19BB" w:rsidRDefault="004C19BB" w:rsidP="004C19BB">
            <w:pPr>
              <w:rPr>
                <w:rFonts w:eastAsia="Times New Roman"/>
                <w:b/>
                <w:bCs/>
                <w:color w:val="000000"/>
                <w:sz w:val="20"/>
                <w:szCs w:val="20"/>
              </w:rPr>
            </w:pPr>
            <w:r w:rsidRPr="004C19BB">
              <w:rPr>
                <w:rFonts w:eastAsia="Times New Roman"/>
                <w:b/>
                <w:bCs/>
                <w:color w:val="000000"/>
                <w:sz w:val="20"/>
                <w:szCs w:val="20"/>
                <w:lang w:val="sq-AL"/>
              </w:rPr>
              <w:t xml:space="preserve">          Diferencë</w:t>
            </w:r>
          </w:p>
        </w:tc>
        <w:tc>
          <w:tcPr>
            <w:tcW w:w="1445" w:type="dxa"/>
            <w:tcBorders>
              <w:top w:val="single" w:sz="8" w:space="0" w:color="auto"/>
              <w:left w:val="nil"/>
              <w:bottom w:val="double" w:sz="6" w:space="0" w:color="auto"/>
              <w:right w:val="nil"/>
            </w:tcBorders>
            <w:shd w:val="clear" w:color="auto" w:fill="FFFFFF"/>
            <w:noWrap/>
            <w:vAlign w:val="center"/>
            <w:hideMark/>
          </w:tcPr>
          <w:p w:rsidR="004C19BB" w:rsidRPr="004C19BB" w:rsidRDefault="004C19BB" w:rsidP="004C19BB">
            <w:pPr>
              <w:jc w:val="center"/>
              <w:rPr>
                <w:rFonts w:eastAsia="Times New Roman"/>
                <w:b/>
                <w:bCs/>
                <w:color w:val="000000"/>
                <w:sz w:val="20"/>
                <w:szCs w:val="20"/>
              </w:rPr>
            </w:pPr>
            <w:r w:rsidRPr="004C19BB">
              <w:rPr>
                <w:rFonts w:eastAsia="Times New Roman"/>
                <w:b/>
                <w:bCs/>
                <w:color w:val="000000"/>
                <w:sz w:val="20"/>
                <w:szCs w:val="20"/>
                <w:lang w:val="sq-AL"/>
              </w:rPr>
              <w:t xml:space="preserve">       Në %</w:t>
            </w:r>
          </w:p>
        </w:tc>
      </w:tr>
      <w:tr w:rsidR="004C19BB" w:rsidRPr="004C19BB" w:rsidTr="002427B9">
        <w:trPr>
          <w:trHeight w:val="226"/>
          <w:jc w:val="center"/>
        </w:trPr>
        <w:tc>
          <w:tcPr>
            <w:tcW w:w="4079" w:type="dxa"/>
            <w:noWrap/>
            <w:vAlign w:val="center"/>
            <w:hideMark/>
          </w:tcPr>
          <w:p w:rsidR="004C19BB" w:rsidRPr="004C19BB" w:rsidRDefault="004C19BB" w:rsidP="004C19BB">
            <w:pPr>
              <w:rPr>
                <w:rFonts w:eastAsia="Times New Roman"/>
                <w:color w:val="000000"/>
                <w:sz w:val="20"/>
                <w:szCs w:val="20"/>
              </w:rPr>
            </w:pPr>
            <w:r w:rsidRPr="004C19BB">
              <w:rPr>
                <w:rFonts w:eastAsia="Times New Roman"/>
                <w:color w:val="000000"/>
                <w:sz w:val="20"/>
                <w:szCs w:val="20"/>
                <w:lang w:val="sq-AL"/>
              </w:rPr>
              <w:t>Tatimi mbi vlerën e shtuar</w:t>
            </w:r>
          </w:p>
        </w:tc>
        <w:tc>
          <w:tcPr>
            <w:tcW w:w="1398"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lang w:val="sq-AL"/>
              </w:rPr>
              <w:t>137,916</w:t>
            </w:r>
          </w:p>
        </w:tc>
        <w:tc>
          <w:tcPr>
            <w:tcW w:w="1455"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lang w:val="sq-AL"/>
              </w:rPr>
              <w:t>132,663</w:t>
            </w:r>
          </w:p>
        </w:tc>
        <w:tc>
          <w:tcPr>
            <w:tcW w:w="1536"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lang w:val="sq-AL"/>
              </w:rPr>
              <w:t>-5,253</w:t>
            </w:r>
          </w:p>
        </w:tc>
        <w:tc>
          <w:tcPr>
            <w:tcW w:w="1445"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lang w:val="sq-AL"/>
              </w:rPr>
              <w:t>-3.81%</w:t>
            </w:r>
          </w:p>
        </w:tc>
      </w:tr>
      <w:tr w:rsidR="004C19BB" w:rsidRPr="004C19BB" w:rsidTr="002427B9">
        <w:trPr>
          <w:trHeight w:val="213"/>
          <w:jc w:val="center"/>
        </w:trPr>
        <w:tc>
          <w:tcPr>
            <w:tcW w:w="4079" w:type="dxa"/>
            <w:noWrap/>
            <w:vAlign w:val="center"/>
            <w:hideMark/>
          </w:tcPr>
          <w:p w:rsidR="004C19BB" w:rsidRPr="004C19BB" w:rsidRDefault="004C19BB" w:rsidP="004C19BB">
            <w:pPr>
              <w:rPr>
                <w:rFonts w:eastAsia="Times New Roman"/>
                <w:color w:val="000000"/>
                <w:sz w:val="20"/>
                <w:szCs w:val="20"/>
              </w:rPr>
            </w:pPr>
            <w:r w:rsidRPr="004C19BB">
              <w:rPr>
                <w:rFonts w:eastAsia="Times New Roman"/>
                <w:color w:val="000000"/>
                <w:sz w:val="20"/>
                <w:szCs w:val="20"/>
                <w:lang w:val="sq-AL"/>
              </w:rPr>
              <w:t>Tatimi mbi fitimin</w:t>
            </w:r>
          </w:p>
        </w:tc>
        <w:tc>
          <w:tcPr>
            <w:tcW w:w="1398"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lang w:val="sq-AL"/>
              </w:rPr>
              <w:t>24,314</w:t>
            </w:r>
          </w:p>
        </w:tc>
        <w:tc>
          <w:tcPr>
            <w:tcW w:w="1455"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lang w:val="sq-AL"/>
              </w:rPr>
              <w:t>27,100</w:t>
            </w:r>
          </w:p>
        </w:tc>
        <w:tc>
          <w:tcPr>
            <w:tcW w:w="1536"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lang w:val="sq-AL"/>
              </w:rPr>
              <w:t>2,786</w:t>
            </w:r>
          </w:p>
        </w:tc>
        <w:tc>
          <w:tcPr>
            <w:tcW w:w="1445"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lang w:val="sq-AL"/>
              </w:rPr>
              <w:t>11.46%</w:t>
            </w:r>
          </w:p>
        </w:tc>
      </w:tr>
      <w:tr w:rsidR="004C19BB" w:rsidRPr="004C19BB" w:rsidTr="002427B9">
        <w:trPr>
          <w:trHeight w:val="213"/>
          <w:jc w:val="center"/>
        </w:trPr>
        <w:tc>
          <w:tcPr>
            <w:tcW w:w="4079" w:type="dxa"/>
            <w:noWrap/>
            <w:vAlign w:val="center"/>
            <w:hideMark/>
          </w:tcPr>
          <w:p w:rsidR="004C19BB" w:rsidRPr="004C19BB" w:rsidRDefault="004C19BB" w:rsidP="004C19BB">
            <w:pPr>
              <w:rPr>
                <w:rFonts w:eastAsia="Times New Roman"/>
                <w:color w:val="000000"/>
                <w:sz w:val="20"/>
                <w:szCs w:val="20"/>
              </w:rPr>
            </w:pPr>
            <w:r w:rsidRPr="004C19BB">
              <w:rPr>
                <w:rFonts w:eastAsia="Times New Roman"/>
                <w:color w:val="000000"/>
                <w:sz w:val="20"/>
                <w:szCs w:val="20"/>
                <w:lang w:val="sq-AL"/>
              </w:rPr>
              <w:t>Akciza</w:t>
            </w:r>
          </w:p>
        </w:tc>
        <w:tc>
          <w:tcPr>
            <w:tcW w:w="1398"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lang w:val="sq-AL"/>
              </w:rPr>
              <w:t>44,653</w:t>
            </w:r>
          </w:p>
        </w:tc>
        <w:tc>
          <w:tcPr>
            <w:tcW w:w="1455"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lang w:val="sq-AL"/>
              </w:rPr>
              <w:t>43,039</w:t>
            </w:r>
          </w:p>
        </w:tc>
        <w:tc>
          <w:tcPr>
            <w:tcW w:w="1536"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lang w:val="sq-AL"/>
              </w:rPr>
              <w:t>-1,614</w:t>
            </w:r>
          </w:p>
        </w:tc>
        <w:tc>
          <w:tcPr>
            <w:tcW w:w="1445"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lang w:val="sq-AL"/>
              </w:rPr>
              <w:t>-3.61%</w:t>
            </w:r>
          </w:p>
        </w:tc>
      </w:tr>
      <w:tr w:rsidR="004C19BB" w:rsidRPr="004C19BB" w:rsidTr="002427B9">
        <w:trPr>
          <w:trHeight w:val="213"/>
          <w:jc w:val="center"/>
        </w:trPr>
        <w:tc>
          <w:tcPr>
            <w:tcW w:w="4079" w:type="dxa"/>
            <w:noWrap/>
            <w:vAlign w:val="center"/>
            <w:hideMark/>
          </w:tcPr>
          <w:p w:rsidR="004C19BB" w:rsidRPr="004C19BB" w:rsidRDefault="004C19BB" w:rsidP="004C19BB">
            <w:pPr>
              <w:rPr>
                <w:rFonts w:eastAsia="Times New Roman"/>
                <w:color w:val="000000"/>
                <w:sz w:val="20"/>
                <w:szCs w:val="20"/>
              </w:rPr>
            </w:pPr>
            <w:r w:rsidRPr="004C19BB">
              <w:rPr>
                <w:rFonts w:eastAsia="Times New Roman"/>
                <w:color w:val="000000"/>
                <w:sz w:val="20"/>
                <w:szCs w:val="20"/>
                <w:lang w:val="sq-AL"/>
              </w:rPr>
              <w:t>Tatimi mbi të ardhurat personale</w:t>
            </w:r>
          </w:p>
        </w:tc>
        <w:tc>
          <w:tcPr>
            <w:tcW w:w="1398"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lang w:val="sq-AL"/>
              </w:rPr>
              <w:t>32,073</w:t>
            </w:r>
          </w:p>
        </w:tc>
        <w:tc>
          <w:tcPr>
            <w:tcW w:w="1455"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lang w:val="sq-AL"/>
              </w:rPr>
              <w:t>32,700</w:t>
            </w:r>
          </w:p>
        </w:tc>
        <w:tc>
          <w:tcPr>
            <w:tcW w:w="1536"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lang w:val="sq-AL"/>
              </w:rPr>
              <w:t>627</w:t>
            </w:r>
          </w:p>
        </w:tc>
        <w:tc>
          <w:tcPr>
            <w:tcW w:w="1445"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lang w:val="sq-AL"/>
              </w:rPr>
              <w:t>1.95%</w:t>
            </w:r>
          </w:p>
        </w:tc>
      </w:tr>
      <w:tr w:rsidR="004C19BB" w:rsidRPr="004C19BB" w:rsidTr="002427B9">
        <w:trPr>
          <w:trHeight w:val="213"/>
          <w:jc w:val="center"/>
        </w:trPr>
        <w:tc>
          <w:tcPr>
            <w:tcW w:w="4079" w:type="dxa"/>
            <w:noWrap/>
            <w:vAlign w:val="center"/>
            <w:hideMark/>
          </w:tcPr>
          <w:p w:rsidR="004C19BB" w:rsidRPr="004C19BB" w:rsidRDefault="004C19BB" w:rsidP="004C19BB">
            <w:pPr>
              <w:rPr>
                <w:rFonts w:eastAsia="Times New Roman"/>
                <w:color w:val="000000"/>
                <w:sz w:val="20"/>
                <w:szCs w:val="20"/>
              </w:rPr>
            </w:pPr>
            <w:r w:rsidRPr="004C19BB">
              <w:rPr>
                <w:rFonts w:eastAsia="Times New Roman"/>
                <w:color w:val="000000"/>
                <w:sz w:val="20"/>
                <w:szCs w:val="20"/>
                <w:lang w:val="sq-AL"/>
              </w:rPr>
              <w:t>Taksa Nacionale dhe të tjera</w:t>
            </w:r>
          </w:p>
        </w:tc>
        <w:tc>
          <w:tcPr>
            <w:tcW w:w="1398"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lang w:val="sq-AL"/>
              </w:rPr>
              <w:t>37,219</w:t>
            </w:r>
          </w:p>
        </w:tc>
        <w:tc>
          <w:tcPr>
            <w:tcW w:w="1455"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lang w:val="sq-AL"/>
              </w:rPr>
              <w:t>35,972</w:t>
            </w:r>
          </w:p>
        </w:tc>
        <w:tc>
          <w:tcPr>
            <w:tcW w:w="1536"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lang w:val="sq-AL"/>
              </w:rPr>
              <w:t>-1,247</w:t>
            </w:r>
          </w:p>
        </w:tc>
        <w:tc>
          <w:tcPr>
            <w:tcW w:w="1445"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lang w:val="sq-AL"/>
              </w:rPr>
              <w:t>-3.35%</w:t>
            </w:r>
          </w:p>
        </w:tc>
      </w:tr>
      <w:tr w:rsidR="004C19BB" w:rsidRPr="004C19BB" w:rsidTr="002427B9">
        <w:trPr>
          <w:trHeight w:val="213"/>
          <w:jc w:val="center"/>
        </w:trPr>
        <w:tc>
          <w:tcPr>
            <w:tcW w:w="4079" w:type="dxa"/>
            <w:noWrap/>
            <w:vAlign w:val="center"/>
            <w:hideMark/>
          </w:tcPr>
          <w:p w:rsidR="004C19BB" w:rsidRPr="004C19BB" w:rsidRDefault="004C19BB" w:rsidP="004C19BB">
            <w:pPr>
              <w:rPr>
                <w:rFonts w:eastAsia="Times New Roman"/>
                <w:color w:val="000000"/>
                <w:sz w:val="20"/>
                <w:szCs w:val="20"/>
              </w:rPr>
            </w:pPr>
            <w:r w:rsidRPr="004C19BB">
              <w:rPr>
                <w:rFonts w:eastAsia="Times New Roman"/>
                <w:color w:val="000000"/>
                <w:sz w:val="20"/>
                <w:szCs w:val="20"/>
                <w:lang w:val="sq-AL"/>
              </w:rPr>
              <w:t>Taksa Doganore</w:t>
            </w:r>
          </w:p>
        </w:tc>
        <w:tc>
          <w:tcPr>
            <w:tcW w:w="1398"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lang w:val="sq-AL"/>
              </w:rPr>
              <w:t>6,036</w:t>
            </w:r>
          </w:p>
        </w:tc>
        <w:tc>
          <w:tcPr>
            <w:tcW w:w="1455"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lang w:val="sq-AL"/>
              </w:rPr>
              <w:t>6,253</w:t>
            </w:r>
          </w:p>
        </w:tc>
        <w:tc>
          <w:tcPr>
            <w:tcW w:w="1536"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lang w:val="sq-AL"/>
              </w:rPr>
              <w:t>217</w:t>
            </w:r>
          </w:p>
        </w:tc>
        <w:tc>
          <w:tcPr>
            <w:tcW w:w="1445"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lang w:val="sq-AL"/>
              </w:rPr>
              <w:t>3.60%</w:t>
            </w:r>
          </w:p>
        </w:tc>
      </w:tr>
      <w:tr w:rsidR="004C19BB" w:rsidRPr="004C19BB" w:rsidTr="002427B9">
        <w:trPr>
          <w:trHeight w:val="213"/>
          <w:jc w:val="center"/>
        </w:trPr>
        <w:tc>
          <w:tcPr>
            <w:tcW w:w="4079" w:type="dxa"/>
            <w:noWrap/>
            <w:vAlign w:val="center"/>
            <w:hideMark/>
          </w:tcPr>
          <w:p w:rsidR="004C19BB" w:rsidRPr="004C19BB" w:rsidRDefault="004C19BB" w:rsidP="004C19BB">
            <w:pPr>
              <w:rPr>
                <w:rFonts w:eastAsia="Times New Roman"/>
                <w:b/>
                <w:bCs/>
                <w:color w:val="000000"/>
                <w:sz w:val="20"/>
                <w:szCs w:val="20"/>
              </w:rPr>
            </w:pPr>
            <w:r w:rsidRPr="004C19BB">
              <w:rPr>
                <w:rFonts w:eastAsia="Times New Roman"/>
                <w:b/>
                <w:bCs/>
                <w:color w:val="000000"/>
                <w:sz w:val="20"/>
                <w:szCs w:val="20"/>
                <w:lang w:val="sq-AL"/>
              </w:rPr>
              <w:t>Totali "Tatime dhe Dogana"</w:t>
            </w:r>
          </w:p>
        </w:tc>
        <w:tc>
          <w:tcPr>
            <w:tcW w:w="1398" w:type="dxa"/>
            <w:noWrap/>
            <w:vAlign w:val="center"/>
            <w:hideMark/>
          </w:tcPr>
          <w:p w:rsidR="004C19BB" w:rsidRPr="004C19BB" w:rsidRDefault="004C19BB" w:rsidP="004C19BB">
            <w:pPr>
              <w:jc w:val="right"/>
              <w:rPr>
                <w:rFonts w:eastAsia="Times New Roman"/>
                <w:b/>
                <w:bCs/>
                <w:color w:val="000000"/>
                <w:sz w:val="20"/>
                <w:szCs w:val="20"/>
              </w:rPr>
            </w:pPr>
            <w:r w:rsidRPr="004C19BB">
              <w:rPr>
                <w:rFonts w:eastAsia="Times New Roman"/>
                <w:b/>
                <w:bCs/>
                <w:color w:val="000000"/>
                <w:sz w:val="20"/>
                <w:szCs w:val="20"/>
                <w:lang w:val="sq-AL"/>
              </w:rPr>
              <w:t>282,211</w:t>
            </w:r>
          </w:p>
        </w:tc>
        <w:tc>
          <w:tcPr>
            <w:tcW w:w="1455" w:type="dxa"/>
            <w:noWrap/>
            <w:vAlign w:val="center"/>
            <w:hideMark/>
          </w:tcPr>
          <w:p w:rsidR="004C19BB" w:rsidRPr="004C19BB" w:rsidRDefault="004C19BB" w:rsidP="004C19BB">
            <w:pPr>
              <w:jc w:val="right"/>
              <w:rPr>
                <w:rFonts w:eastAsia="Times New Roman"/>
                <w:b/>
                <w:bCs/>
                <w:color w:val="000000"/>
                <w:sz w:val="20"/>
                <w:szCs w:val="20"/>
              </w:rPr>
            </w:pPr>
            <w:r w:rsidRPr="004C19BB">
              <w:rPr>
                <w:rFonts w:eastAsia="Times New Roman"/>
                <w:b/>
                <w:bCs/>
                <w:color w:val="000000"/>
                <w:sz w:val="20"/>
                <w:szCs w:val="20"/>
                <w:lang w:val="sq-AL"/>
              </w:rPr>
              <w:t>277,727</w:t>
            </w:r>
          </w:p>
        </w:tc>
        <w:tc>
          <w:tcPr>
            <w:tcW w:w="1536" w:type="dxa"/>
            <w:noWrap/>
            <w:vAlign w:val="center"/>
            <w:hideMark/>
          </w:tcPr>
          <w:p w:rsidR="004C19BB" w:rsidRPr="004C19BB" w:rsidRDefault="004C19BB" w:rsidP="004C19BB">
            <w:pPr>
              <w:jc w:val="right"/>
              <w:rPr>
                <w:rFonts w:eastAsia="Times New Roman"/>
                <w:b/>
                <w:bCs/>
                <w:color w:val="000000"/>
                <w:sz w:val="20"/>
                <w:szCs w:val="20"/>
              </w:rPr>
            </w:pPr>
            <w:r w:rsidRPr="004C19BB">
              <w:rPr>
                <w:rFonts w:eastAsia="Times New Roman"/>
                <w:b/>
                <w:bCs/>
                <w:color w:val="000000"/>
                <w:sz w:val="20"/>
                <w:szCs w:val="20"/>
                <w:lang w:val="sq-AL"/>
              </w:rPr>
              <w:t>-4,484</w:t>
            </w:r>
          </w:p>
        </w:tc>
        <w:tc>
          <w:tcPr>
            <w:tcW w:w="1445" w:type="dxa"/>
            <w:noWrap/>
            <w:vAlign w:val="center"/>
            <w:hideMark/>
          </w:tcPr>
          <w:p w:rsidR="004C19BB" w:rsidRPr="004C19BB" w:rsidRDefault="004C19BB" w:rsidP="004C19BB">
            <w:pPr>
              <w:jc w:val="right"/>
              <w:rPr>
                <w:rFonts w:eastAsia="Times New Roman"/>
                <w:b/>
                <w:bCs/>
                <w:color w:val="000000"/>
                <w:sz w:val="20"/>
                <w:szCs w:val="20"/>
              </w:rPr>
            </w:pPr>
            <w:r w:rsidRPr="004C19BB">
              <w:rPr>
                <w:rFonts w:eastAsia="Times New Roman"/>
                <w:b/>
                <w:bCs/>
                <w:color w:val="000000"/>
                <w:sz w:val="20"/>
                <w:szCs w:val="20"/>
                <w:lang w:val="sq-AL"/>
              </w:rPr>
              <w:t>-1.60%</w:t>
            </w:r>
          </w:p>
        </w:tc>
      </w:tr>
      <w:tr w:rsidR="004C19BB" w:rsidRPr="004C19BB" w:rsidTr="002427B9">
        <w:trPr>
          <w:trHeight w:val="226"/>
          <w:jc w:val="center"/>
        </w:trPr>
        <w:tc>
          <w:tcPr>
            <w:tcW w:w="4079" w:type="dxa"/>
            <w:noWrap/>
            <w:vAlign w:val="center"/>
            <w:hideMark/>
          </w:tcPr>
          <w:p w:rsidR="004C19BB" w:rsidRPr="004C19BB" w:rsidRDefault="004C19BB" w:rsidP="004C19BB">
            <w:pPr>
              <w:rPr>
                <w:rFonts w:eastAsia="Times New Roman"/>
                <w:color w:val="000000"/>
                <w:sz w:val="20"/>
                <w:szCs w:val="20"/>
              </w:rPr>
            </w:pPr>
            <w:r w:rsidRPr="004C19BB">
              <w:rPr>
                <w:rFonts w:eastAsia="Times New Roman"/>
                <w:color w:val="000000"/>
                <w:sz w:val="20"/>
                <w:szCs w:val="20"/>
                <w:lang w:val="sq-AL"/>
              </w:rPr>
              <w:t>Kontribute nga DPT</w:t>
            </w:r>
          </w:p>
        </w:tc>
        <w:tc>
          <w:tcPr>
            <w:tcW w:w="1398"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lang w:val="sq-AL"/>
              </w:rPr>
              <w:t>74,454</w:t>
            </w:r>
          </w:p>
        </w:tc>
        <w:tc>
          <w:tcPr>
            <w:tcW w:w="1455"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lang w:val="sq-AL"/>
              </w:rPr>
              <w:t>74,500</w:t>
            </w:r>
          </w:p>
        </w:tc>
        <w:tc>
          <w:tcPr>
            <w:tcW w:w="1536"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lang w:val="sq-AL"/>
              </w:rPr>
              <w:t>46</w:t>
            </w:r>
          </w:p>
        </w:tc>
        <w:tc>
          <w:tcPr>
            <w:tcW w:w="1445"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lang w:val="sq-AL"/>
              </w:rPr>
              <w:t>0.06%</w:t>
            </w:r>
          </w:p>
        </w:tc>
      </w:tr>
      <w:tr w:rsidR="004C19BB" w:rsidRPr="004C19BB" w:rsidTr="002427B9">
        <w:trPr>
          <w:trHeight w:val="226"/>
          <w:jc w:val="center"/>
        </w:trPr>
        <w:tc>
          <w:tcPr>
            <w:tcW w:w="4079" w:type="dxa"/>
            <w:tcBorders>
              <w:top w:val="single" w:sz="8" w:space="0" w:color="auto"/>
              <w:left w:val="nil"/>
              <w:bottom w:val="double" w:sz="6" w:space="0" w:color="auto"/>
              <w:right w:val="nil"/>
            </w:tcBorders>
            <w:shd w:val="clear" w:color="auto" w:fill="FFFFFF"/>
            <w:noWrap/>
            <w:vAlign w:val="center"/>
            <w:hideMark/>
          </w:tcPr>
          <w:p w:rsidR="004C19BB" w:rsidRPr="004C19BB" w:rsidRDefault="004C19BB" w:rsidP="004C19BB">
            <w:pPr>
              <w:rPr>
                <w:rFonts w:eastAsia="Times New Roman"/>
                <w:b/>
                <w:bCs/>
                <w:color w:val="000000"/>
                <w:sz w:val="20"/>
                <w:szCs w:val="20"/>
              </w:rPr>
            </w:pPr>
            <w:r w:rsidRPr="004C19BB">
              <w:rPr>
                <w:rFonts w:eastAsia="Times New Roman"/>
                <w:b/>
                <w:bCs/>
                <w:color w:val="000000"/>
                <w:sz w:val="20"/>
                <w:szCs w:val="20"/>
                <w:lang w:val="sq-AL"/>
              </w:rPr>
              <w:t>Totali</w:t>
            </w:r>
          </w:p>
        </w:tc>
        <w:tc>
          <w:tcPr>
            <w:tcW w:w="1398" w:type="dxa"/>
            <w:tcBorders>
              <w:top w:val="single" w:sz="8" w:space="0" w:color="auto"/>
              <w:left w:val="nil"/>
              <w:bottom w:val="double" w:sz="6" w:space="0" w:color="auto"/>
              <w:right w:val="nil"/>
            </w:tcBorders>
            <w:shd w:val="clear" w:color="auto" w:fill="FFFFFF"/>
            <w:noWrap/>
            <w:vAlign w:val="center"/>
            <w:hideMark/>
          </w:tcPr>
          <w:p w:rsidR="004C19BB" w:rsidRPr="004C19BB" w:rsidRDefault="004C19BB" w:rsidP="004C19BB">
            <w:pPr>
              <w:jc w:val="right"/>
              <w:rPr>
                <w:rFonts w:eastAsia="Times New Roman"/>
                <w:b/>
                <w:bCs/>
                <w:color w:val="000000"/>
                <w:sz w:val="20"/>
                <w:szCs w:val="20"/>
              </w:rPr>
            </w:pPr>
            <w:r w:rsidRPr="004C19BB">
              <w:rPr>
                <w:rFonts w:eastAsia="Times New Roman"/>
                <w:b/>
                <w:bCs/>
                <w:color w:val="000000"/>
                <w:sz w:val="20"/>
                <w:szCs w:val="20"/>
                <w:lang w:val="sq-AL"/>
              </w:rPr>
              <w:t>356,665</w:t>
            </w:r>
          </w:p>
        </w:tc>
        <w:tc>
          <w:tcPr>
            <w:tcW w:w="1455" w:type="dxa"/>
            <w:tcBorders>
              <w:top w:val="single" w:sz="8" w:space="0" w:color="auto"/>
              <w:left w:val="nil"/>
              <w:bottom w:val="double" w:sz="6" w:space="0" w:color="auto"/>
              <w:right w:val="nil"/>
            </w:tcBorders>
            <w:shd w:val="clear" w:color="auto" w:fill="FFFFFF"/>
            <w:noWrap/>
            <w:vAlign w:val="center"/>
            <w:hideMark/>
          </w:tcPr>
          <w:p w:rsidR="004C19BB" w:rsidRPr="004C19BB" w:rsidRDefault="004C19BB" w:rsidP="004C19BB">
            <w:pPr>
              <w:jc w:val="right"/>
              <w:rPr>
                <w:rFonts w:eastAsia="Times New Roman"/>
                <w:b/>
                <w:bCs/>
                <w:color w:val="000000"/>
                <w:sz w:val="20"/>
                <w:szCs w:val="20"/>
              </w:rPr>
            </w:pPr>
            <w:r w:rsidRPr="004C19BB">
              <w:rPr>
                <w:rFonts w:eastAsia="Times New Roman"/>
                <w:b/>
                <w:bCs/>
                <w:color w:val="000000"/>
                <w:sz w:val="20"/>
                <w:szCs w:val="20"/>
                <w:lang w:val="sq-AL"/>
              </w:rPr>
              <w:t>352,227</w:t>
            </w:r>
          </w:p>
        </w:tc>
        <w:tc>
          <w:tcPr>
            <w:tcW w:w="1536" w:type="dxa"/>
            <w:tcBorders>
              <w:top w:val="single" w:sz="8" w:space="0" w:color="auto"/>
              <w:left w:val="nil"/>
              <w:bottom w:val="double" w:sz="6" w:space="0" w:color="auto"/>
              <w:right w:val="nil"/>
            </w:tcBorders>
            <w:shd w:val="clear" w:color="auto" w:fill="FFFFFF"/>
            <w:noWrap/>
            <w:vAlign w:val="center"/>
            <w:hideMark/>
          </w:tcPr>
          <w:p w:rsidR="004C19BB" w:rsidRPr="004C19BB" w:rsidRDefault="004C19BB" w:rsidP="004C19BB">
            <w:pPr>
              <w:jc w:val="right"/>
              <w:rPr>
                <w:rFonts w:eastAsia="Times New Roman"/>
                <w:b/>
                <w:bCs/>
                <w:color w:val="000000"/>
                <w:sz w:val="20"/>
                <w:szCs w:val="20"/>
              </w:rPr>
            </w:pPr>
            <w:r w:rsidRPr="004C19BB">
              <w:rPr>
                <w:rFonts w:eastAsia="Times New Roman"/>
                <w:b/>
                <w:bCs/>
                <w:color w:val="000000"/>
                <w:sz w:val="20"/>
                <w:szCs w:val="20"/>
                <w:lang w:val="sq-AL"/>
              </w:rPr>
              <w:t>-4,438</w:t>
            </w:r>
          </w:p>
        </w:tc>
        <w:tc>
          <w:tcPr>
            <w:tcW w:w="1445" w:type="dxa"/>
            <w:tcBorders>
              <w:top w:val="single" w:sz="8" w:space="0" w:color="auto"/>
              <w:left w:val="nil"/>
              <w:bottom w:val="double" w:sz="6" w:space="0" w:color="auto"/>
              <w:right w:val="nil"/>
            </w:tcBorders>
            <w:shd w:val="clear" w:color="auto" w:fill="FFFFFF"/>
            <w:noWrap/>
            <w:vAlign w:val="center"/>
            <w:hideMark/>
          </w:tcPr>
          <w:p w:rsidR="004C19BB" w:rsidRPr="004C19BB" w:rsidRDefault="004C19BB" w:rsidP="004C19BB">
            <w:pPr>
              <w:jc w:val="right"/>
              <w:rPr>
                <w:rFonts w:eastAsia="Times New Roman"/>
                <w:b/>
                <w:bCs/>
                <w:color w:val="000000"/>
                <w:sz w:val="20"/>
                <w:szCs w:val="20"/>
              </w:rPr>
            </w:pPr>
            <w:r w:rsidRPr="004C19BB">
              <w:rPr>
                <w:rFonts w:eastAsia="Times New Roman"/>
                <w:b/>
                <w:bCs/>
                <w:color w:val="000000"/>
                <w:sz w:val="20"/>
                <w:szCs w:val="20"/>
                <w:lang w:val="sq-AL"/>
              </w:rPr>
              <w:t>-1.24%</w:t>
            </w:r>
          </w:p>
        </w:tc>
      </w:tr>
    </w:tbl>
    <w:p w:rsidR="004C19BB" w:rsidRPr="004C19BB" w:rsidRDefault="004C19BB" w:rsidP="004C19BB">
      <w:pPr>
        <w:tabs>
          <w:tab w:val="left" w:pos="709"/>
        </w:tabs>
        <w:jc w:val="both"/>
        <w:rPr>
          <w:sz w:val="20"/>
          <w:szCs w:val="20"/>
          <w:lang w:val="sq-AL"/>
        </w:rPr>
      </w:pPr>
      <w:r w:rsidRPr="004C19BB">
        <w:rPr>
          <w:lang w:val="sq-AL"/>
        </w:rPr>
        <w:tab/>
      </w:r>
      <w:r w:rsidRPr="004C19BB">
        <w:rPr>
          <w:sz w:val="20"/>
          <w:szCs w:val="20"/>
          <w:lang w:val="sq-AL"/>
        </w:rPr>
        <w:t xml:space="preserve"> </w:t>
      </w:r>
    </w:p>
    <w:p w:rsidR="004C19BB" w:rsidRPr="004C19BB" w:rsidRDefault="004C19BB" w:rsidP="004C19BB">
      <w:pPr>
        <w:rPr>
          <w:lang w:val="sq-AL"/>
        </w:rPr>
      </w:pPr>
      <w:r w:rsidRPr="004C19BB">
        <w:rPr>
          <w:b/>
          <w:sz w:val="20"/>
          <w:szCs w:val="20"/>
          <w:lang w:val="sq-AL"/>
        </w:rPr>
        <w:t>Burimi:</w:t>
      </w:r>
      <w:r w:rsidRPr="004C19BB">
        <w:rPr>
          <w:b/>
          <w:i/>
          <w:sz w:val="20"/>
          <w:szCs w:val="20"/>
          <w:lang w:val="sq-AL"/>
        </w:rPr>
        <w:t xml:space="preserve"> </w:t>
      </w:r>
      <w:r w:rsidRPr="004C19BB">
        <w:rPr>
          <w:i/>
          <w:sz w:val="20"/>
          <w:szCs w:val="20"/>
          <w:lang w:val="sq-AL"/>
        </w:rPr>
        <w:t>Ministria e Financave (2016)</w:t>
      </w:r>
    </w:p>
    <w:p w:rsidR="004C19BB" w:rsidRPr="004C19BB" w:rsidRDefault="004C19BB" w:rsidP="004C19BB">
      <w:pPr>
        <w:tabs>
          <w:tab w:val="left" w:pos="709"/>
        </w:tabs>
        <w:jc w:val="both"/>
        <w:rPr>
          <w:sz w:val="20"/>
          <w:szCs w:val="20"/>
          <w:lang w:val="sq-AL"/>
        </w:rPr>
      </w:pPr>
    </w:p>
    <w:p w:rsidR="004C19BB" w:rsidRPr="004C19BB" w:rsidRDefault="004C19BB" w:rsidP="004C19BB">
      <w:pPr>
        <w:tabs>
          <w:tab w:val="left" w:pos="709"/>
        </w:tabs>
        <w:jc w:val="both"/>
        <w:rPr>
          <w:sz w:val="20"/>
          <w:szCs w:val="20"/>
          <w:lang w:val="sq-AL"/>
        </w:rPr>
      </w:pPr>
    </w:p>
    <w:p w:rsidR="004C19BB" w:rsidRPr="004C19BB" w:rsidRDefault="004C19BB" w:rsidP="004C19BB">
      <w:pPr>
        <w:jc w:val="both"/>
        <w:rPr>
          <w:lang w:val="sq-AL"/>
        </w:rPr>
      </w:pPr>
      <w:r w:rsidRPr="004C19BB">
        <w:rPr>
          <w:lang w:val="sq-AL"/>
        </w:rPr>
        <w:lastRenderedPageBreak/>
        <w:t xml:space="preserve">Niveli aktual i realizimit të të ardhurave, reflekton edhe ndikimin e një sërë faktorësh të jashtëm, si më poshtë: </w:t>
      </w:r>
    </w:p>
    <w:p w:rsidR="004C19BB" w:rsidRPr="004C19BB" w:rsidRDefault="004C19BB" w:rsidP="004C19BB">
      <w:pPr>
        <w:jc w:val="both"/>
        <w:rPr>
          <w:sz w:val="6"/>
          <w:lang w:val="sq-AL"/>
        </w:rPr>
      </w:pPr>
    </w:p>
    <w:p w:rsidR="004C19BB" w:rsidRPr="004C19BB" w:rsidRDefault="004C19BB" w:rsidP="00534AA6">
      <w:pPr>
        <w:numPr>
          <w:ilvl w:val="0"/>
          <w:numId w:val="45"/>
        </w:numPr>
        <w:jc w:val="both"/>
        <w:rPr>
          <w:lang w:val="sq-AL"/>
        </w:rPr>
      </w:pPr>
      <w:r w:rsidRPr="004C19BB">
        <w:rPr>
          <w:lang w:val="sq-AL"/>
        </w:rPr>
        <w:t>Çmimi i naftës, sipas indeksit europian Brent, shënoi një rënie me 26% në terma vjetor, çka është reflektuar edhe në uljen e çmimit të karburantit në tregun e brendshëm. Kjo rënie ka ndikuar në ulje të nivelit të të ardhurave tatimore dhe doganore, krahasuar me projeksionet e TVSH-së dhe Rentës Minerare.</w:t>
      </w:r>
    </w:p>
    <w:p w:rsidR="004C19BB" w:rsidRPr="004C19BB" w:rsidRDefault="004C19BB" w:rsidP="00534AA6">
      <w:pPr>
        <w:numPr>
          <w:ilvl w:val="0"/>
          <w:numId w:val="45"/>
        </w:numPr>
        <w:jc w:val="both"/>
        <w:rPr>
          <w:lang w:val="sq-AL"/>
        </w:rPr>
      </w:pPr>
      <w:r w:rsidRPr="004C19BB">
        <w:rPr>
          <w:lang w:val="sq-AL"/>
        </w:rPr>
        <w:t xml:space="preserve">Konjuktura në rënie e çmimeve të mineraleve të tjera si kromi dhe bakri, kanë prodhuar një tjetër goditje në të ardhura, si rezultat i uljes me 10% të sasive të eksportuara krahasuar me vitin 2015, masë e cila është reflektuar në realizimin e të ardhurave nga renta. </w:t>
      </w:r>
    </w:p>
    <w:p w:rsidR="004C19BB" w:rsidRPr="004C19BB" w:rsidRDefault="004C19BB" w:rsidP="00534AA6">
      <w:pPr>
        <w:numPr>
          <w:ilvl w:val="0"/>
          <w:numId w:val="45"/>
        </w:numPr>
        <w:jc w:val="both"/>
        <w:rPr>
          <w:lang w:val="sq-AL"/>
        </w:rPr>
      </w:pPr>
      <w:r w:rsidRPr="004C19BB">
        <w:rPr>
          <w:lang w:val="sq-AL"/>
        </w:rPr>
        <w:t>Stimuli monetar i aplikuar nga Banka e Shqipërisë, përmes uljes së normës bazë të interesit në kufijtë minimalë, është reflektuar në një ulje të të ardhurave nga interesat dhe tatimit të lidhur me to.</w:t>
      </w:r>
    </w:p>
    <w:p w:rsidR="004C19BB" w:rsidRPr="004C19BB" w:rsidRDefault="004C19BB" w:rsidP="004C19BB">
      <w:pPr>
        <w:jc w:val="both"/>
        <w:rPr>
          <w:lang w:val="sq-AL"/>
        </w:rPr>
      </w:pPr>
    </w:p>
    <w:p w:rsidR="004C19BB" w:rsidRPr="004C19BB" w:rsidRDefault="004C19BB" w:rsidP="00534AA6">
      <w:pPr>
        <w:numPr>
          <w:ilvl w:val="0"/>
          <w:numId w:val="147"/>
        </w:numPr>
        <w:spacing w:line="276" w:lineRule="auto"/>
        <w:contextualSpacing/>
        <w:jc w:val="both"/>
        <w:rPr>
          <w:b/>
          <w:lang w:val="it-IT"/>
        </w:rPr>
      </w:pPr>
      <w:r w:rsidRPr="004C19BB">
        <w:rPr>
          <w:b/>
          <w:lang w:val="it-IT"/>
        </w:rPr>
        <w:t>Pritshmëria e të ardhurave nga Administrata Doganore</w:t>
      </w:r>
    </w:p>
    <w:p w:rsidR="004C19BB" w:rsidRPr="004C19BB" w:rsidRDefault="004C19BB" w:rsidP="004C19BB">
      <w:pPr>
        <w:spacing w:before="100"/>
        <w:jc w:val="both"/>
        <w:rPr>
          <w:lang w:val="it-IT"/>
        </w:rPr>
      </w:pPr>
      <w:r w:rsidRPr="004C19BB">
        <w:rPr>
          <w:lang w:val="it-IT"/>
        </w:rPr>
        <w:t>Të ardhurat e pritshme për vitin 2016, janë vlerësuar mbi bazën e përformancës së të ardhurave në periudhën Janar-Shtator 2016. Në 9-mujorin 2016, të ardhurat nga Administrata Doganore janë realizuar në masën 108.7 miliard lekë.</w:t>
      </w:r>
    </w:p>
    <w:p w:rsidR="004C19BB" w:rsidRPr="004C19BB" w:rsidRDefault="004C19BB" w:rsidP="004C19BB">
      <w:r w:rsidRPr="004C19BB">
        <w:rPr>
          <w:sz w:val="20"/>
          <w:szCs w:val="20"/>
        </w:rPr>
        <w:t xml:space="preserve">                                                                                                     </w:t>
      </w:r>
      <w:r w:rsidRPr="004C19BB">
        <w:rPr>
          <w:sz w:val="20"/>
          <w:szCs w:val="20"/>
        </w:rPr>
        <w:tab/>
      </w:r>
      <w:r w:rsidRPr="004C19BB">
        <w:rPr>
          <w:sz w:val="20"/>
          <w:szCs w:val="20"/>
        </w:rPr>
        <w:tab/>
      </w:r>
      <w:r w:rsidRPr="004C19BB">
        <w:rPr>
          <w:sz w:val="20"/>
          <w:szCs w:val="20"/>
        </w:rPr>
        <w:tab/>
      </w:r>
      <w:r w:rsidRPr="004C19BB">
        <w:rPr>
          <w:sz w:val="20"/>
          <w:szCs w:val="20"/>
        </w:rPr>
        <w:tab/>
      </w:r>
      <w:r w:rsidRPr="004C19BB">
        <w:rPr>
          <w:rFonts w:eastAsia="Calibri"/>
          <w:i/>
          <w:sz w:val="20"/>
          <w:szCs w:val="20"/>
          <w:lang w:val="sq-AL"/>
        </w:rPr>
        <w:t>(në milion lekë)</w:t>
      </w:r>
      <w:r w:rsidRPr="004C19BB" w:rsidDel="0069571F">
        <w:t xml:space="preserve"> </w:t>
      </w:r>
    </w:p>
    <w:tbl>
      <w:tblPr>
        <w:tblW w:w="9402" w:type="dxa"/>
        <w:jc w:val="center"/>
        <w:tblLook w:val="04A0" w:firstRow="1" w:lastRow="0" w:firstColumn="1" w:lastColumn="0" w:noHBand="0" w:noVBand="1"/>
      </w:tblPr>
      <w:tblGrid>
        <w:gridCol w:w="3759"/>
        <w:gridCol w:w="1317"/>
        <w:gridCol w:w="1453"/>
        <w:gridCol w:w="1556"/>
        <w:gridCol w:w="1317"/>
      </w:tblGrid>
      <w:tr w:rsidR="004C19BB" w:rsidRPr="004C19BB" w:rsidTr="004C19BB">
        <w:trPr>
          <w:trHeight w:val="660"/>
          <w:jc w:val="center"/>
        </w:trPr>
        <w:tc>
          <w:tcPr>
            <w:tcW w:w="3759" w:type="dxa"/>
            <w:vMerge w:val="restart"/>
            <w:tcBorders>
              <w:top w:val="single" w:sz="8" w:space="0" w:color="auto"/>
              <w:left w:val="nil"/>
              <w:bottom w:val="double" w:sz="6" w:space="0" w:color="000000"/>
              <w:right w:val="nil"/>
            </w:tcBorders>
            <w:noWrap/>
            <w:vAlign w:val="center"/>
            <w:hideMark/>
          </w:tcPr>
          <w:p w:rsidR="004C19BB" w:rsidRPr="004C19BB" w:rsidRDefault="004C19BB" w:rsidP="004C19BB">
            <w:pPr>
              <w:rPr>
                <w:rFonts w:eastAsia="Times New Roman"/>
                <w:b/>
                <w:bCs/>
                <w:color w:val="000000"/>
                <w:sz w:val="20"/>
                <w:szCs w:val="20"/>
              </w:rPr>
            </w:pPr>
            <w:r w:rsidRPr="004C19BB">
              <w:rPr>
                <w:rFonts w:eastAsia="Times New Roman"/>
                <w:b/>
                <w:bCs/>
                <w:color w:val="000000"/>
                <w:sz w:val="20"/>
                <w:szCs w:val="20"/>
              </w:rPr>
              <w:t>Administrata Doganore</w:t>
            </w:r>
          </w:p>
        </w:tc>
        <w:tc>
          <w:tcPr>
            <w:tcW w:w="1317" w:type="dxa"/>
            <w:vMerge w:val="restart"/>
            <w:tcBorders>
              <w:top w:val="single" w:sz="8" w:space="0" w:color="auto"/>
              <w:left w:val="nil"/>
              <w:bottom w:val="double" w:sz="6" w:space="0" w:color="000000"/>
              <w:right w:val="nil"/>
            </w:tcBorders>
            <w:vAlign w:val="center"/>
            <w:hideMark/>
          </w:tcPr>
          <w:p w:rsidR="004C19BB" w:rsidRPr="004C19BB" w:rsidRDefault="004C19BB" w:rsidP="004C19BB">
            <w:pPr>
              <w:jc w:val="center"/>
              <w:rPr>
                <w:rFonts w:eastAsia="Times New Roman"/>
                <w:b/>
                <w:bCs/>
                <w:color w:val="000000"/>
                <w:sz w:val="20"/>
                <w:szCs w:val="20"/>
              </w:rPr>
            </w:pPr>
            <w:r w:rsidRPr="004C19BB">
              <w:rPr>
                <w:rFonts w:eastAsia="Times New Roman"/>
                <w:b/>
                <w:bCs/>
                <w:color w:val="000000"/>
                <w:sz w:val="20"/>
                <w:szCs w:val="20"/>
              </w:rPr>
              <w:t>Buxheti zyrtar 2016</w:t>
            </w:r>
          </w:p>
        </w:tc>
        <w:tc>
          <w:tcPr>
            <w:tcW w:w="1453" w:type="dxa"/>
            <w:tcBorders>
              <w:top w:val="single" w:sz="8" w:space="0" w:color="auto"/>
              <w:left w:val="nil"/>
              <w:bottom w:val="nil"/>
              <w:right w:val="nil"/>
            </w:tcBorders>
            <w:vAlign w:val="center"/>
            <w:hideMark/>
          </w:tcPr>
          <w:p w:rsidR="004C19BB" w:rsidRPr="004C19BB" w:rsidRDefault="004C19BB" w:rsidP="004C19BB">
            <w:pPr>
              <w:jc w:val="center"/>
              <w:rPr>
                <w:rFonts w:eastAsia="Times New Roman"/>
                <w:b/>
                <w:bCs/>
                <w:color w:val="000000"/>
                <w:sz w:val="20"/>
                <w:szCs w:val="20"/>
              </w:rPr>
            </w:pPr>
            <w:r w:rsidRPr="004C19BB">
              <w:rPr>
                <w:rFonts w:eastAsia="Times New Roman"/>
                <w:b/>
                <w:bCs/>
                <w:color w:val="000000"/>
                <w:sz w:val="20"/>
                <w:szCs w:val="20"/>
              </w:rPr>
              <w:t>Vlerësim Buxheti 2016</w:t>
            </w:r>
          </w:p>
        </w:tc>
        <w:tc>
          <w:tcPr>
            <w:tcW w:w="1556" w:type="dxa"/>
            <w:vMerge w:val="restart"/>
            <w:tcBorders>
              <w:top w:val="single" w:sz="8" w:space="0" w:color="auto"/>
              <w:left w:val="nil"/>
              <w:bottom w:val="double" w:sz="6" w:space="0" w:color="000000"/>
              <w:right w:val="nil"/>
            </w:tcBorders>
            <w:noWrap/>
            <w:vAlign w:val="center"/>
            <w:hideMark/>
          </w:tcPr>
          <w:p w:rsidR="004C19BB" w:rsidRPr="004C19BB" w:rsidRDefault="004C19BB" w:rsidP="004C19BB">
            <w:pPr>
              <w:jc w:val="center"/>
              <w:rPr>
                <w:rFonts w:eastAsia="Times New Roman"/>
                <w:b/>
                <w:bCs/>
                <w:color w:val="000000"/>
                <w:sz w:val="20"/>
                <w:szCs w:val="20"/>
              </w:rPr>
            </w:pPr>
            <w:r w:rsidRPr="004C19BB">
              <w:rPr>
                <w:rFonts w:eastAsia="Times New Roman"/>
                <w:b/>
                <w:bCs/>
                <w:color w:val="000000"/>
                <w:sz w:val="20"/>
                <w:szCs w:val="20"/>
              </w:rPr>
              <w:t>Diferenca</w:t>
            </w:r>
          </w:p>
        </w:tc>
        <w:tc>
          <w:tcPr>
            <w:tcW w:w="1317" w:type="dxa"/>
            <w:vMerge w:val="restart"/>
            <w:tcBorders>
              <w:top w:val="single" w:sz="8" w:space="0" w:color="auto"/>
              <w:left w:val="nil"/>
              <w:bottom w:val="double" w:sz="6" w:space="0" w:color="000000"/>
              <w:right w:val="nil"/>
            </w:tcBorders>
            <w:noWrap/>
            <w:vAlign w:val="center"/>
            <w:hideMark/>
          </w:tcPr>
          <w:p w:rsidR="004C19BB" w:rsidRPr="004C19BB" w:rsidRDefault="004C19BB" w:rsidP="004C19BB">
            <w:pPr>
              <w:jc w:val="center"/>
              <w:rPr>
                <w:rFonts w:eastAsia="Times New Roman"/>
                <w:b/>
                <w:bCs/>
                <w:color w:val="000000"/>
                <w:sz w:val="20"/>
                <w:szCs w:val="20"/>
              </w:rPr>
            </w:pPr>
            <w:r w:rsidRPr="004C19BB">
              <w:rPr>
                <w:rFonts w:eastAsia="Times New Roman"/>
                <w:b/>
                <w:bCs/>
                <w:color w:val="000000"/>
                <w:sz w:val="20"/>
                <w:szCs w:val="20"/>
              </w:rPr>
              <w:t>Në %</w:t>
            </w:r>
          </w:p>
        </w:tc>
      </w:tr>
      <w:tr w:rsidR="004C19BB" w:rsidRPr="004C19BB" w:rsidTr="004C19BB">
        <w:trPr>
          <w:trHeight w:val="27"/>
          <w:jc w:val="center"/>
        </w:trPr>
        <w:tc>
          <w:tcPr>
            <w:tcW w:w="0" w:type="auto"/>
            <w:vMerge/>
            <w:tcBorders>
              <w:top w:val="single" w:sz="8" w:space="0" w:color="auto"/>
              <w:left w:val="nil"/>
              <w:bottom w:val="double" w:sz="6" w:space="0" w:color="000000"/>
              <w:right w:val="nil"/>
            </w:tcBorders>
            <w:vAlign w:val="center"/>
            <w:hideMark/>
          </w:tcPr>
          <w:p w:rsidR="004C19BB" w:rsidRPr="004C19BB" w:rsidRDefault="004C19BB" w:rsidP="004C19BB">
            <w:pPr>
              <w:rPr>
                <w:rFonts w:eastAsia="Times New Roman"/>
                <w:b/>
                <w:bCs/>
                <w:color w:val="000000"/>
              </w:rPr>
            </w:pPr>
          </w:p>
        </w:tc>
        <w:tc>
          <w:tcPr>
            <w:tcW w:w="0" w:type="auto"/>
            <w:vMerge/>
            <w:tcBorders>
              <w:top w:val="single" w:sz="8" w:space="0" w:color="auto"/>
              <w:left w:val="nil"/>
              <w:bottom w:val="double" w:sz="6" w:space="0" w:color="000000"/>
              <w:right w:val="nil"/>
            </w:tcBorders>
            <w:vAlign w:val="center"/>
            <w:hideMark/>
          </w:tcPr>
          <w:p w:rsidR="004C19BB" w:rsidRPr="004C19BB" w:rsidRDefault="004C19BB" w:rsidP="004C19BB">
            <w:pPr>
              <w:rPr>
                <w:rFonts w:eastAsia="Times New Roman"/>
                <w:b/>
                <w:bCs/>
                <w:color w:val="000000"/>
              </w:rPr>
            </w:pPr>
          </w:p>
        </w:tc>
        <w:tc>
          <w:tcPr>
            <w:tcW w:w="1453" w:type="dxa"/>
            <w:tcBorders>
              <w:top w:val="nil"/>
              <w:left w:val="nil"/>
              <w:bottom w:val="double" w:sz="6" w:space="0" w:color="auto"/>
              <w:right w:val="nil"/>
            </w:tcBorders>
            <w:vAlign w:val="center"/>
            <w:hideMark/>
          </w:tcPr>
          <w:p w:rsidR="004C19BB" w:rsidRPr="004C19BB" w:rsidRDefault="004C19BB" w:rsidP="004C19BB">
            <w:pPr>
              <w:rPr>
                <w:rFonts w:ascii="Calibri" w:eastAsia="Times New Roman" w:hAnsi="Calibri" w:cs="Calibri"/>
                <w:color w:val="000000"/>
                <w:sz w:val="20"/>
                <w:szCs w:val="20"/>
              </w:rPr>
            </w:pPr>
            <w:r w:rsidRPr="004C19BB">
              <w:rPr>
                <w:rFonts w:ascii="Calibri" w:eastAsia="Times New Roman" w:hAnsi="Calibri" w:cs="Calibri"/>
                <w:color w:val="000000"/>
                <w:sz w:val="20"/>
                <w:szCs w:val="20"/>
              </w:rPr>
              <w:t> </w:t>
            </w:r>
          </w:p>
        </w:tc>
        <w:tc>
          <w:tcPr>
            <w:tcW w:w="0" w:type="auto"/>
            <w:vMerge/>
            <w:tcBorders>
              <w:top w:val="single" w:sz="8" w:space="0" w:color="auto"/>
              <w:left w:val="nil"/>
              <w:bottom w:val="double" w:sz="6" w:space="0" w:color="000000"/>
              <w:right w:val="nil"/>
            </w:tcBorders>
            <w:vAlign w:val="center"/>
            <w:hideMark/>
          </w:tcPr>
          <w:p w:rsidR="004C19BB" w:rsidRPr="004C19BB" w:rsidRDefault="004C19BB" w:rsidP="004C19BB">
            <w:pPr>
              <w:rPr>
                <w:rFonts w:eastAsia="Times New Roman"/>
                <w:b/>
                <w:bCs/>
                <w:color w:val="000000"/>
              </w:rPr>
            </w:pPr>
          </w:p>
        </w:tc>
        <w:tc>
          <w:tcPr>
            <w:tcW w:w="0" w:type="auto"/>
            <w:vMerge/>
            <w:tcBorders>
              <w:top w:val="single" w:sz="8" w:space="0" w:color="auto"/>
              <w:left w:val="nil"/>
              <w:bottom w:val="double" w:sz="6" w:space="0" w:color="000000"/>
              <w:right w:val="nil"/>
            </w:tcBorders>
            <w:vAlign w:val="center"/>
            <w:hideMark/>
          </w:tcPr>
          <w:p w:rsidR="004C19BB" w:rsidRPr="004C19BB" w:rsidRDefault="004C19BB" w:rsidP="004C19BB">
            <w:pPr>
              <w:rPr>
                <w:rFonts w:eastAsia="Times New Roman"/>
                <w:b/>
                <w:bCs/>
                <w:color w:val="000000"/>
              </w:rPr>
            </w:pPr>
          </w:p>
        </w:tc>
      </w:tr>
      <w:tr w:rsidR="004C19BB" w:rsidRPr="004C19BB" w:rsidTr="004C19BB">
        <w:trPr>
          <w:trHeight w:val="271"/>
          <w:jc w:val="center"/>
        </w:trPr>
        <w:tc>
          <w:tcPr>
            <w:tcW w:w="3759" w:type="dxa"/>
            <w:noWrap/>
            <w:vAlign w:val="center"/>
            <w:hideMark/>
          </w:tcPr>
          <w:p w:rsidR="004C19BB" w:rsidRPr="004C19BB" w:rsidRDefault="004C19BB" w:rsidP="004C19BB">
            <w:pPr>
              <w:rPr>
                <w:rFonts w:eastAsia="Times New Roman"/>
                <w:color w:val="000000"/>
                <w:sz w:val="20"/>
                <w:szCs w:val="20"/>
              </w:rPr>
            </w:pPr>
            <w:r w:rsidRPr="004C19BB">
              <w:rPr>
                <w:rFonts w:eastAsia="Times New Roman"/>
                <w:color w:val="000000"/>
                <w:sz w:val="20"/>
                <w:szCs w:val="20"/>
              </w:rPr>
              <w:t>Taksa doganore</w:t>
            </w:r>
          </w:p>
        </w:tc>
        <w:tc>
          <w:tcPr>
            <w:tcW w:w="1317"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rPr>
              <w:t>6,036</w:t>
            </w:r>
          </w:p>
        </w:tc>
        <w:tc>
          <w:tcPr>
            <w:tcW w:w="1453"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rPr>
              <w:t>6,253</w:t>
            </w:r>
          </w:p>
        </w:tc>
        <w:tc>
          <w:tcPr>
            <w:tcW w:w="1556"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rPr>
              <w:t>217</w:t>
            </w:r>
          </w:p>
        </w:tc>
        <w:tc>
          <w:tcPr>
            <w:tcW w:w="1317"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rPr>
              <w:t>3.60%</w:t>
            </w:r>
          </w:p>
        </w:tc>
      </w:tr>
      <w:tr w:rsidR="004C19BB" w:rsidRPr="004C19BB" w:rsidTr="004C19BB">
        <w:trPr>
          <w:trHeight w:val="258"/>
          <w:jc w:val="center"/>
        </w:trPr>
        <w:tc>
          <w:tcPr>
            <w:tcW w:w="3759" w:type="dxa"/>
            <w:noWrap/>
            <w:vAlign w:val="center"/>
            <w:hideMark/>
          </w:tcPr>
          <w:p w:rsidR="004C19BB" w:rsidRPr="004C19BB" w:rsidRDefault="004C19BB" w:rsidP="004C19BB">
            <w:pPr>
              <w:rPr>
                <w:rFonts w:eastAsia="Times New Roman"/>
                <w:color w:val="000000"/>
                <w:sz w:val="20"/>
                <w:szCs w:val="20"/>
              </w:rPr>
            </w:pPr>
            <w:r w:rsidRPr="004C19BB">
              <w:rPr>
                <w:rFonts w:eastAsia="Times New Roman"/>
                <w:color w:val="000000"/>
                <w:sz w:val="20"/>
                <w:szCs w:val="20"/>
              </w:rPr>
              <w:t>Tatimi mbi vlerën e shtuar</w:t>
            </w:r>
          </w:p>
        </w:tc>
        <w:tc>
          <w:tcPr>
            <w:tcW w:w="1317"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rPr>
              <w:t>100,300</w:t>
            </w:r>
          </w:p>
        </w:tc>
        <w:tc>
          <w:tcPr>
            <w:tcW w:w="1453"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rPr>
              <w:t>98,504</w:t>
            </w:r>
          </w:p>
        </w:tc>
        <w:tc>
          <w:tcPr>
            <w:tcW w:w="1556"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rPr>
              <w:t>-1,796</w:t>
            </w:r>
          </w:p>
        </w:tc>
        <w:tc>
          <w:tcPr>
            <w:tcW w:w="1317"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rPr>
              <w:t>-1.79%</w:t>
            </w:r>
          </w:p>
        </w:tc>
      </w:tr>
      <w:tr w:rsidR="004C19BB" w:rsidRPr="004C19BB" w:rsidTr="004C19BB">
        <w:trPr>
          <w:trHeight w:val="258"/>
          <w:jc w:val="center"/>
        </w:trPr>
        <w:tc>
          <w:tcPr>
            <w:tcW w:w="3759" w:type="dxa"/>
            <w:noWrap/>
            <w:vAlign w:val="center"/>
            <w:hideMark/>
          </w:tcPr>
          <w:p w:rsidR="004C19BB" w:rsidRPr="004C19BB" w:rsidRDefault="004C19BB" w:rsidP="004C19BB">
            <w:pPr>
              <w:rPr>
                <w:rFonts w:eastAsia="Times New Roman"/>
                <w:color w:val="000000"/>
                <w:sz w:val="20"/>
                <w:szCs w:val="20"/>
              </w:rPr>
            </w:pPr>
            <w:r w:rsidRPr="004C19BB">
              <w:rPr>
                <w:rFonts w:eastAsia="Times New Roman"/>
                <w:color w:val="000000"/>
                <w:sz w:val="20"/>
                <w:szCs w:val="20"/>
              </w:rPr>
              <w:t>Akciza</w:t>
            </w:r>
          </w:p>
        </w:tc>
        <w:tc>
          <w:tcPr>
            <w:tcW w:w="1317"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rPr>
              <w:t>44,653</w:t>
            </w:r>
          </w:p>
        </w:tc>
        <w:tc>
          <w:tcPr>
            <w:tcW w:w="1453"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rPr>
              <w:t>43,039</w:t>
            </w:r>
          </w:p>
        </w:tc>
        <w:tc>
          <w:tcPr>
            <w:tcW w:w="1556"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rPr>
              <w:t>-1,614</w:t>
            </w:r>
          </w:p>
        </w:tc>
        <w:tc>
          <w:tcPr>
            <w:tcW w:w="1317"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rPr>
              <w:t>-3.61%</w:t>
            </w:r>
          </w:p>
        </w:tc>
      </w:tr>
      <w:tr w:rsidR="004C19BB" w:rsidRPr="004C19BB" w:rsidTr="004C19BB">
        <w:trPr>
          <w:trHeight w:val="271"/>
          <w:jc w:val="center"/>
        </w:trPr>
        <w:tc>
          <w:tcPr>
            <w:tcW w:w="3759" w:type="dxa"/>
            <w:noWrap/>
            <w:vAlign w:val="center"/>
            <w:hideMark/>
          </w:tcPr>
          <w:p w:rsidR="004C19BB" w:rsidRPr="004C19BB" w:rsidRDefault="004C19BB" w:rsidP="004C19BB">
            <w:pPr>
              <w:rPr>
                <w:rFonts w:eastAsia="Times New Roman"/>
                <w:color w:val="000000"/>
                <w:sz w:val="20"/>
                <w:szCs w:val="20"/>
              </w:rPr>
            </w:pPr>
            <w:r w:rsidRPr="004C19BB">
              <w:rPr>
                <w:rFonts w:eastAsia="Times New Roman"/>
                <w:color w:val="000000"/>
                <w:sz w:val="20"/>
                <w:szCs w:val="20"/>
              </w:rPr>
              <w:t>Renta minerare</w:t>
            </w:r>
          </w:p>
        </w:tc>
        <w:tc>
          <w:tcPr>
            <w:tcW w:w="1317"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rPr>
              <w:t>4,101</w:t>
            </w:r>
          </w:p>
        </w:tc>
        <w:tc>
          <w:tcPr>
            <w:tcW w:w="1453"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rPr>
              <w:t>2,866</w:t>
            </w:r>
          </w:p>
        </w:tc>
        <w:tc>
          <w:tcPr>
            <w:tcW w:w="1556"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rPr>
              <w:t>-1,235</w:t>
            </w:r>
          </w:p>
        </w:tc>
        <w:tc>
          <w:tcPr>
            <w:tcW w:w="1317" w:type="dxa"/>
            <w:noWrap/>
            <w:vAlign w:val="center"/>
            <w:hideMark/>
          </w:tcPr>
          <w:p w:rsidR="004C19BB" w:rsidRPr="004C19BB" w:rsidRDefault="004C19BB" w:rsidP="004C19BB">
            <w:pPr>
              <w:jc w:val="right"/>
              <w:rPr>
                <w:rFonts w:eastAsia="Times New Roman"/>
                <w:color w:val="000000"/>
                <w:sz w:val="20"/>
                <w:szCs w:val="20"/>
              </w:rPr>
            </w:pPr>
            <w:r w:rsidRPr="004C19BB">
              <w:rPr>
                <w:rFonts w:eastAsia="Times New Roman"/>
                <w:color w:val="000000"/>
                <w:sz w:val="20"/>
                <w:szCs w:val="20"/>
              </w:rPr>
              <w:t>-30.11%</w:t>
            </w:r>
          </w:p>
        </w:tc>
      </w:tr>
      <w:tr w:rsidR="004C19BB" w:rsidRPr="004C19BB" w:rsidTr="004C19BB">
        <w:trPr>
          <w:trHeight w:val="271"/>
          <w:jc w:val="center"/>
        </w:trPr>
        <w:tc>
          <w:tcPr>
            <w:tcW w:w="3759" w:type="dxa"/>
            <w:tcBorders>
              <w:top w:val="single" w:sz="8" w:space="0" w:color="auto"/>
              <w:left w:val="nil"/>
              <w:bottom w:val="double" w:sz="6" w:space="0" w:color="auto"/>
              <w:right w:val="nil"/>
            </w:tcBorders>
            <w:noWrap/>
            <w:vAlign w:val="center"/>
            <w:hideMark/>
          </w:tcPr>
          <w:p w:rsidR="004C19BB" w:rsidRPr="004C19BB" w:rsidRDefault="004C19BB" w:rsidP="004C19BB">
            <w:pPr>
              <w:rPr>
                <w:rFonts w:eastAsia="Times New Roman"/>
                <w:b/>
                <w:bCs/>
                <w:color w:val="000000"/>
                <w:sz w:val="20"/>
                <w:szCs w:val="20"/>
              </w:rPr>
            </w:pPr>
            <w:r w:rsidRPr="004C19BB">
              <w:rPr>
                <w:rFonts w:eastAsia="Times New Roman"/>
                <w:b/>
                <w:bCs/>
                <w:color w:val="000000"/>
                <w:sz w:val="20"/>
                <w:szCs w:val="20"/>
              </w:rPr>
              <w:t>Totali</w:t>
            </w:r>
          </w:p>
        </w:tc>
        <w:tc>
          <w:tcPr>
            <w:tcW w:w="1317" w:type="dxa"/>
            <w:tcBorders>
              <w:top w:val="single" w:sz="8" w:space="0" w:color="auto"/>
              <w:left w:val="nil"/>
              <w:bottom w:val="double" w:sz="6" w:space="0" w:color="auto"/>
              <w:right w:val="nil"/>
            </w:tcBorders>
            <w:noWrap/>
            <w:vAlign w:val="center"/>
            <w:hideMark/>
          </w:tcPr>
          <w:p w:rsidR="004C19BB" w:rsidRPr="004C19BB" w:rsidRDefault="004C19BB" w:rsidP="004C19BB">
            <w:pPr>
              <w:jc w:val="right"/>
              <w:rPr>
                <w:rFonts w:eastAsia="Times New Roman"/>
                <w:b/>
                <w:bCs/>
                <w:color w:val="000000"/>
                <w:sz w:val="20"/>
                <w:szCs w:val="20"/>
              </w:rPr>
            </w:pPr>
            <w:r w:rsidRPr="004C19BB">
              <w:rPr>
                <w:rFonts w:eastAsia="Times New Roman"/>
                <w:b/>
                <w:bCs/>
                <w:color w:val="000000"/>
                <w:sz w:val="20"/>
                <w:szCs w:val="20"/>
              </w:rPr>
              <w:t>155,090</w:t>
            </w:r>
          </w:p>
        </w:tc>
        <w:tc>
          <w:tcPr>
            <w:tcW w:w="1453" w:type="dxa"/>
            <w:tcBorders>
              <w:top w:val="single" w:sz="8" w:space="0" w:color="auto"/>
              <w:left w:val="nil"/>
              <w:bottom w:val="double" w:sz="6" w:space="0" w:color="auto"/>
              <w:right w:val="nil"/>
            </w:tcBorders>
            <w:noWrap/>
            <w:vAlign w:val="center"/>
            <w:hideMark/>
          </w:tcPr>
          <w:p w:rsidR="004C19BB" w:rsidRPr="004C19BB" w:rsidRDefault="004C19BB" w:rsidP="004C19BB">
            <w:pPr>
              <w:jc w:val="right"/>
              <w:rPr>
                <w:rFonts w:eastAsia="Times New Roman"/>
                <w:b/>
                <w:bCs/>
                <w:color w:val="000000"/>
                <w:sz w:val="20"/>
                <w:szCs w:val="20"/>
              </w:rPr>
            </w:pPr>
            <w:r w:rsidRPr="004C19BB">
              <w:rPr>
                <w:rFonts w:eastAsia="Times New Roman"/>
                <w:b/>
                <w:bCs/>
                <w:color w:val="000000"/>
                <w:sz w:val="20"/>
                <w:szCs w:val="20"/>
              </w:rPr>
              <w:t>150,662</w:t>
            </w:r>
          </w:p>
        </w:tc>
        <w:tc>
          <w:tcPr>
            <w:tcW w:w="1556" w:type="dxa"/>
            <w:tcBorders>
              <w:top w:val="single" w:sz="8" w:space="0" w:color="auto"/>
              <w:left w:val="nil"/>
              <w:bottom w:val="double" w:sz="6" w:space="0" w:color="auto"/>
              <w:right w:val="nil"/>
            </w:tcBorders>
            <w:noWrap/>
            <w:vAlign w:val="center"/>
            <w:hideMark/>
          </w:tcPr>
          <w:p w:rsidR="004C19BB" w:rsidRPr="004C19BB" w:rsidRDefault="004C19BB" w:rsidP="004C19BB">
            <w:pPr>
              <w:jc w:val="right"/>
              <w:rPr>
                <w:rFonts w:eastAsia="Times New Roman"/>
                <w:b/>
                <w:bCs/>
                <w:color w:val="000000"/>
                <w:sz w:val="20"/>
                <w:szCs w:val="20"/>
              </w:rPr>
            </w:pPr>
            <w:r w:rsidRPr="004C19BB">
              <w:rPr>
                <w:rFonts w:eastAsia="Times New Roman"/>
                <w:b/>
                <w:bCs/>
                <w:color w:val="000000"/>
                <w:sz w:val="20"/>
                <w:szCs w:val="20"/>
              </w:rPr>
              <w:t>-4,428</w:t>
            </w:r>
          </w:p>
        </w:tc>
        <w:tc>
          <w:tcPr>
            <w:tcW w:w="1317" w:type="dxa"/>
            <w:tcBorders>
              <w:top w:val="single" w:sz="8" w:space="0" w:color="auto"/>
              <w:left w:val="nil"/>
              <w:bottom w:val="double" w:sz="6" w:space="0" w:color="auto"/>
              <w:right w:val="nil"/>
            </w:tcBorders>
            <w:noWrap/>
            <w:vAlign w:val="center"/>
            <w:hideMark/>
          </w:tcPr>
          <w:p w:rsidR="004C19BB" w:rsidRPr="004C19BB" w:rsidRDefault="004C19BB" w:rsidP="004C19BB">
            <w:pPr>
              <w:jc w:val="right"/>
              <w:rPr>
                <w:rFonts w:eastAsia="Times New Roman"/>
                <w:b/>
                <w:bCs/>
                <w:color w:val="000000"/>
                <w:sz w:val="20"/>
                <w:szCs w:val="20"/>
              </w:rPr>
            </w:pPr>
            <w:r w:rsidRPr="004C19BB">
              <w:rPr>
                <w:rFonts w:eastAsia="Times New Roman"/>
                <w:b/>
                <w:bCs/>
                <w:color w:val="000000"/>
                <w:sz w:val="20"/>
                <w:szCs w:val="20"/>
              </w:rPr>
              <w:t>-2.86%</w:t>
            </w:r>
          </w:p>
        </w:tc>
      </w:tr>
    </w:tbl>
    <w:p w:rsidR="004C19BB" w:rsidRPr="004C19BB" w:rsidRDefault="004C19BB" w:rsidP="004C19BB">
      <w:pPr>
        <w:ind w:firstLine="720"/>
        <w:rPr>
          <w:lang w:val="sq-AL"/>
        </w:rPr>
      </w:pPr>
      <w:r w:rsidRPr="004C19BB">
        <w:rPr>
          <w:b/>
          <w:sz w:val="20"/>
          <w:szCs w:val="20"/>
          <w:lang w:val="sq-AL"/>
        </w:rPr>
        <w:t>Burimi:</w:t>
      </w:r>
      <w:r w:rsidRPr="004C19BB">
        <w:rPr>
          <w:b/>
          <w:i/>
          <w:sz w:val="20"/>
          <w:szCs w:val="20"/>
          <w:lang w:val="sq-AL"/>
        </w:rPr>
        <w:t xml:space="preserve"> </w:t>
      </w:r>
      <w:r w:rsidRPr="004C19BB">
        <w:rPr>
          <w:i/>
          <w:sz w:val="20"/>
          <w:szCs w:val="20"/>
          <w:lang w:val="sq-AL"/>
        </w:rPr>
        <w:t>Ministria e Financave (2016)</w:t>
      </w:r>
    </w:p>
    <w:p w:rsidR="004C19BB" w:rsidRPr="004C19BB" w:rsidRDefault="004C19BB" w:rsidP="004C19BB">
      <w:pPr>
        <w:jc w:val="both"/>
        <w:rPr>
          <w:b/>
          <w:i/>
        </w:rPr>
      </w:pPr>
    </w:p>
    <w:p w:rsidR="004C19BB" w:rsidRPr="004C19BB" w:rsidRDefault="004C19BB" w:rsidP="004C19BB">
      <w:pPr>
        <w:jc w:val="both"/>
        <w:rPr>
          <w:b/>
          <w:i/>
        </w:rPr>
      </w:pPr>
      <w:r w:rsidRPr="004C19BB">
        <w:rPr>
          <w:b/>
          <w:i/>
        </w:rPr>
        <w:t>Të ardhurat nga TVSH në import</w:t>
      </w:r>
    </w:p>
    <w:p w:rsidR="004C19BB" w:rsidRPr="004C19BB" w:rsidRDefault="004C19BB" w:rsidP="004C19BB">
      <w:pPr>
        <w:spacing w:before="100"/>
        <w:jc w:val="both"/>
      </w:pPr>
      <w:r w:rsidRPr="004C19BB">
        <w:t>Performanca e të ardhurave nga TVSH në import është ndikuar në një masë të rëndësishme nga disa faktorë:</w:t>
      </w:r>
    </w:p>
    <w:p w:rsidR="004C19BB" w:rsidRPr="004C19BB" w:rsidRDefault="004C19BB" w:rsidP="004C19BB">
      <w:pPr>
        <w:jc w:val="both"/>
        <w:rPr>
          <w:sz w:val="6"/>
        </w:rPr>
      </w:pPr>
    </w:p>
    <w:p w:rsidR="004C19BB" w:rsidRPr="004C19BB" w:rsidRDefault="004C19BB" w:rsidP="00534AA6">
      <w:pPr>
        <w:numPr>
          <w:ilvl w:val="0"/>
          <w:numId w:val="46"/>
        </w:numPr>
        <w:jc w:val="both"/>
      </w:pPr>
      <w:r w:rsidRPr="004C19BB">
        <w:t>Rënia e çmimit të karburantitit në bursat ndërkombëtare ku kuotohen këto produkte.</w:t>
      </w:r>
    </w:p>
    <w:p w:rsidR="004C19BB" w:rsidRPr="004C19BB" w:rsidRDefault="004C19BB" w:rsidP="00534AA6">
      <w:pPr>
        <w:numPr>
          <w:ilvl w:val="0"/>
          <w:numId w:val="46"/>
        </w:numPr>
        <w:jc w:val="both"/>
      </w:pPr>
      <w:r w:rsidRPr="004C19BB">
        <w:t>Rënia e importit të energjisë elektrike si rezultat i rritjes se prodhimit vendas dhe disiplinimit të konsumit.</w:t>
      </w:r>
    </w:p>
    <w:p w:rsidR="004C19BB" w:rsidRPr="004C19BB" w:rsidRDefault="004C19BB" w:rsidP="00534AA6">
      <w:pPr>
        <w:numPr>
          <w:ilvl w:val="0"/>
          <w:numId w:val="46"/>
        </w:numPr>
        <w:jc w:val="both"/>
      </w:pPr>
      <w:r w:rsidRPr="004C19BB">
        <w:t>Rritja e importit të makinerive dhe pajisjeve të përjashtuar nga TVSH me 165.4% krahasuar me një vit më parë, si rezultat i intensifikimit të investimeve, përfshirë projektin TAP të përjashtuara nga TVSH.</w:t>
      </w:r>
    </w:p>
    <w:p w:rsidR="004C19BB" w:rsidRPr="004C19BB" w:rsidRDefault="004C19BB" w:rsidP="004C19BB">
      <w:pPr>
        <w:rPr>
          <w:sz w:val="20"/>
          <w:szCs w:val="20"/>
        </w:rPr>
      </w:pPr>
      <w:r w:rsidRPr="004C19BB">
        <w:rPr>
          <w:sz w:val="20"/>
          <w:szCs w:val="20"/>
          <w:lang w:val="sq-AL"/>
        </w:rPr>
        <w:t xml:space="preserve">                                                                                                                                                  </w:t>
      </w:r>
      <w:r w:rsidRPr="004C19BB">
        <w:rPr>
          <w:sz w:val="20"/>
          <w:szCs w:val="20"/>
          <w:lang w:val="sq-AL"/>
        </w:rPr>
        <w:tab/>
      </w:r>
      <w:r w:rsidRPr="004C19BB">
        <w:rPr>
          <w:sz w:val="20"/>
          <w:szCs w:val="20"/>
          <w:lang w:val="sq-AL"/>
        </w:rPr>
        <w:tab/>
      </w:r>
      <w:r w:rsidRPr="004C19BB">
        <w:rPr>
          <w:sz w:val="20"/>
          <w:szCs w:val="20"/>
          <w:lang w:val="sq-AL"/>
        </w:rPr>
        <w:tab/>
      </w:r>
      <w:r w:rsidRPr="004C19BB">
        <w:rPr>
          <w:sz w:val="20"/>
          <w:szCs w:val="20"/>
          <w:lang w:val="sq-AL"/>
        </w:rPr>
        <w:tab/>
      </w:r>
    </w:p>
    <w:p w:rsidR="004C19BB" w:rsidRPr="004C19BB" w:rsidRDefault="004C19BB" w:rsidP="004C19BB">
      <w:pPr>
        <w:ind w:left="1440" w:firstLine="720"/>
        <w:rPr>
          <w:i/>
        </w:rPr>
      </w:pPr>
      <w:r w:rsidRPr="004C19BB">
        <w:rPr>
          <w:i/>
        </w:rPr>
        <w:t>Janar – Shtator 2016</w:t>
      </w:r>
      <w:r w:rsidRPr="004C19BB">
        <w:rPr>
          <w:sz w:val="20"/>
          <w:szCs w:val="20"/>
          <w:lang w:val="sq-AL"/>
        </w:rPr>
        <w:t xml:space="preserve"> </w:t>
      </w:r>
      <w:r w:rsidRPr="004C19BB">
        <w:rPr>
          <w:sz w:val="20"/>
          <w:szCs w:val="20"/>
          <w:lang w:val="sq-AL"/>
        </w:rPr>
        <w:tab/>
      </w:r>
      <w:r w:rsidRPr="004C19BB">
        <w:rPr>
          <w:sz w:val="20"/>
          <w:szCs w:val="20"/>
          <w:lang w:val="sq-AL"/>
        </w:rPr>
        <w:tab/>
      </w:r>
      <w:r w:rsidRPr="004C19BB">
        <w:rPr>
          <w:sz w:val="20"/>
          <w:szCs w:val="20"/>
          <w:lang w:val="sq-AL"/>
        </w:rPr>
        <w:tab/>
      </w:r>
      <w:r w:rsidRPr="004C19BB">
        <w:rPr>
          <w:sz w:val="20"/>
          <w:szCs w:val="20"/>
          <w:lang w:val="sq-AL"/>
        </w:rPr>
        <w:tab/>
      </w:r>
      <w:r w:rsidRPr="004C19BB">
        <w:rPr>
          <w:sz w:val="20"/>
          <w:szCs w:val="20"/>
          <w:lang w:val="sq-AL"/>
        </w:rPr>
        <w:tab/>
      </w:r>
      <w:r w:rsidRPr="004C19BB">
        <w:rPr>
          <w:sz w:val="20"/>
          <w:szCs w:val="20"/>
          <w:lang w:val="sq-AL"/>
        </w:rPr>
        <w:tab/>
        <w:t>(</w:t>
      </w:r>
      <w:r w:rsidRPr="004C19BB">
        <w:rPr>
          <w:sz w:val="20"/>
          <w:szCs w:val="20"/>
        </w:rPr>
        <w:t>në mijë lekë</w:t>
      </w:r>
      <w:r w:rsidRPr="004C19BB">
        <w:rPr>
          <w:sz w:val="20"/>
          <w:szCs w:val="20"/>
          <w:lang w:val="sq-AL"/>
        </w:rPr>
        <w:t>)</w:t>
      </w:r>
    </w:p>
    <w:tbl>
      <w:tblPr>
        <w:tblW w:w="9031" w:type="dxa"/>
        <w:jc w:val="center"/>
        <w:tblBorders>
          <w:top w:val="single" w:sz="12" w:space="0" w:color="000000"/>
          <w:bottom w:val="single" w:sz="12" w:space="0" w:color="000000"/>
        </w:tblBorders>
        <w:tblLook w:val="04A0" w:firstRow="1" w:lastRow="0" w:firstColumn="1" w:lastColumn="0" w:noHBand="0" w:noVBand="1"/>
      </w:tblPr>
      <w:tblGrid>
        <w:gridCol w:w="1726"/>
        <w:gridCol w:w="3960"/>
        <w:gridCol w:w="3345"/>
      </w:tblGrid>
      <w:tr w:rsidR="004C19BB" w:rsidRPr="004C19BB" w:rsidTr="004C19BB">
        <w:trPr>
          <w:trHeight w:val="336"/>
          <w:jc w:val="center"/>
        </w:trPr>
        <w:tc>
          <w:tcPr>
            <w:tcW w:w="1726" w:type="dxa"/>
            <w:tcBorders>
              <w:bottom w:val="single" w:sz="6" w:space="0" w:color="000000"/>
              <w:right w:val="single" w:sz="6" w:space="0" w:color="000000"/>
            </w:tcBorders>
            <w:shd w:val="clear" w:color="auto" w:fill="auto"/>
            <w:noWrap/>
            <w:hideMark/>
          </w:tcPr>
          <w:p w:rsidR="004C19BB" w:rsidRPr="004C19BB" w:rsidRDefault="004C19BB" w:rsidP="004C19BB">
            <w:pPr>
              <w:jc w:val="both"/>
              <w:rPr>
                <w:b/>
                <w:iCs/>
              </w:rPr>
            </w:pPr>
            <w:r w:rsidRPr="004C19BB">
              <w:rPr>
                <w:b/>
                <w:iCs/>
              </w:rPr>
              <w:t>Produktet</w:t>
            </w:r>
          </w:p>
        </w:tc>
        <w:tc>
          <w:tcPr>
            <w:tcW w:w="3960" w:type="dxa"/>
            <w:tcBorders>
              <w:bottom w:val="single" w:sz="6" w:space="0" w:color="000000"/>
            </w:tcBorders>
            <w:shd w:val="clear" w:color="auto" w:fill="auto"/>
            <w:hideMark/>
          </w:tcPr>
          <w:p w:rsidR="004C19BB" w:rsidRPr="004C19BB" w:rsidRDefault="004C19BB" w:rsidP="004C19BB">
            <w:pPr>
              <w:jc w:val="both"/>
              <w:rPr>
                <w:b/>
                <w:iCs/>
                <w:lang w:val="it-IT"/>
              </w:rPr>
            </w:pPr>
            <w:r w:rsidRPr="004C19BB">
              <w:rPr>
                <w:b/>
                <w:iCs/>
                <w:lang w:val="it-IT"/>
              </w:rPr>
              <w:t>Të ardhurat e munguara TVSH</w:t>
            </w:r>
          </w:p>
        </w:tc>
        <w:tc>
          <w:tcPr>
            <w:tcW w:w="3345" w:type="dxa"/>
            <w:tcBorders>
              <w:bottom w:val="single" w:sz="6" w:space="0" w:color="000000"/>
            </w:tcBorders>
            <w:shd w:val="clear" w:color="auto" w:fill="auto"/>
            <w:noWrap/>
            <w:hideMark/>
          </w:tcPr>
          <w:p w:rsidR="004C19BB" w:rsidRPr="004C19BB" w:rsidRDefault="004C19BB" w:rsidP="004C19BB">
            <w:pPr>
              <w:jc w:val="center"/>
              <w:rPr>
                <w:b/>
                <w:iCs/>
              </w:rPr>
            </w:pPr>
            <w:r w:rsidRPr="004C19BB">
              <w:rPr>
                <w:b/>
                <w:iCs/>
              </w:rPr>
              <w:t>Arsyet</w:t>
            </w:r>
          </w:p>
        </w:tc>
      </w:tr>
      <w:tr w:rsidR="004C19BB" w:rsidRPr="004C19BB" w:rsidTr="004C19BB">
        <w:trPr>
          <w:trHeight w:val="315"/>
          <w:jc w:val="center"/>
        </w:trPr>
        <w:tc>
          <w:tcPr>
            <w:tcW w:w="1726" w:type="dxa"/>
            <w:tcBorders>
              <w:right w:val="single" w:sz="6" w:space="0" w:color="000000"/>
            </w:tcBorders>
            <w:shd w:val="clear" w:color="auto" w:fill="auto"/>
            <w:noWrap/>
            <w:hideMark/>
          </w:tcPr>
          <w:p w:rsidR="004C19BB" w:rsidRPr="004C19BB" w:rsidRDefault="004C19BB" w:rsidP="004C19BB">
            <w:pPr>
              <w:jc w:val="both"/>
              <w:rPr>
                <w:sz w:val="20"/>
              </w:rPr>
            </w:pPr>
            <w:r w:rsidRPr="004C19BB">
              <w:rPr>
                <w:sz w:val="20"/>
              </w:rPr>
              <w:t>Energji elektrike</w:t>
            </w:r>
          </w:p>
        </w:tc>
        <w:tc>
          <w:tcPr>
            <w:tcW w:w="3960" w:type="dxa"/>
            <w:shd w:val="clear" w:color="auto" w:fill="auto"/>
            <w:noWrap/>
            <w:hideMark/>
          </w:tcPr>
          <w:p w:rsidR="004C19BB" w:rsidRPr="004C19BB" w:rsidRDefault="004C19BB" w:rsidP="004C19BB">
            <w:pPr>
              <w:jc w:val="both"/>
              <w:rPr>
                <w:sz w:val="20"/>
              </w:rPr>
            </w:pPr>
            <w:r w:rsidRPr="004C19BB">
              <w:rPr>
                <w:sz w:val="20"/>
              </w:rPr>
              <w:t>(368,046)</w:t>
            </w:r>
          </w:p>
        </w:tc>
        <w:tc>
          <w:tcPr>
            <w:tcW w:w="3345" w:type="dxa"/>
            <w:shd w:val="clear" w:color="auto" w:fill="auto"/>
            <w:hideMark/>
          </w:tcPr>
          <w:p w:rsidR="004C19BB" w:rsidRPr="004C19BB" w:rsidRDefault="004C19BB" w:rsidP="004C19BB">
            <w:pPr>
              <w:jc w:val="both"/>
              <w:rPr>
                <w:sz w:val="20"/>
                <w:lang w:val="it-IT"/>
              </w:rPr>
            </w:pPr>
            <w:r w:rsidRPr="004C19BB">
              <w:rPr>
                <w:sz w:val="20"/>
                <w:lang w:val="it-IT"/>
              </w:rPr>
              <w:t xml:space="preserve">Rënia me 141 mijë megavatorë e importit </w:t>
            </w:r>
          </w:p>
        </w:tc>
      </w:tr>
      <w:tr w:rsidR="004C19BB" w:rsidRPr="004C19BB" w:rsidTr="004C19BB">
        <w:trPr>
          <w:trHeight w:val="300"/>
          <w:jc w:val="center"/>
        </w:trPr>
        <w:tc>
          <w:tcPr>
            <w:tcW w:w="1726" w:type="dxa"/>
            <w:tcBorders>
              <w:right w:val="single" w:sz="6" w:space="0" w:color="000000"/>
            </w:tcBorders>
            <w:shd w:val="clear" w:color="auto" w:fill="auto"/>
            <w:noWrap/>
            <w:hideMark/>
          </w:tcPr>
          <w:p w:rsidR="004C19BB" w:rsidRPr="004C19BB" w:rsidRDefault="004C19BB" w:rsidP="004C19BB">
            <w:pPr>
              <w:jc w:val="both"/>
              <w:rPr>
                <w:sz w:val="20"/>
              </w:rPr>
            </w:pPr>
            <w:r w:rsidRPr="004C19BB">
              <w:rPr>
                <w:sz w:val="20"/>
              </w:rPr>
              <w:t>Karburant import</w:t>
            </w:r>
          </w:p>
        </w:tc>
        <w:tc>
          <w:tcPr>
            <w:tcW w:w="3960" w:type="dxa"/>
            <w:shd w:val="clear" w:color="auto" w:fill="auto"/>
            <w:noWrap/>
            <w:hideMark/>
          </w:tcPr>
          <w:p w:rsidR="004C19BB" w:rsidRPr="004C19BB" w:rsidRDefault="004C19BB" w:rsidP="004C19BB">
            <w:pPr>
              <w:jc w:val="both"/>
              <w:rPr>
                <w:sz w:val="20"/>
              </w:rPr>
            </w:pPr>
            <w:r w:rsidRPr="004C19BB">
              <w:rPr>
                <w:sz w:val="20"/>
              </w:rPr>
              <w:t>(493,670)</w:t>
            </w:r>
          </w:p>
        </w:tc>
        <w:tc>
          <w:tcPr>
            <w:tcW w:w="3345" w:type="dxa"/>
            <w:shd w:val="clear" w:color="auto" w:fill="auto"/>
            <w:hideMark/>
          </w:tcPr>
          <w:p w:rsidR="004C19BB" w:rsidRPr="004C19BB" w:rsidRDefault="004C19BB" w:rsidP="004C19BB">
            <w:pPr>
              <w:jc w:val="both"/>
              <w:rPr>
                <w:sz w:val="20"/>
                <w:lang w:val="it-IT"/>
              </w:rPr>
            </w:pPr>
            <w:r w:rsidRPr="004C19BB">
              <w:rPr>
                <w:sz w:val="20"/>
                <w:lang w:val="it-IT"/>
              </w:rPr>
              <w:t xml:space="preserve">Rënia e çmimit në bursë me 45%  krahasuar me muajin Tetor 2015 </w:t>
            </w:r>
          </w:p>
        </w:tc>
      </w:tr>
    </w:tbl>
    <w:p w:rsidR="004C19BB" w:rsidRPr="004C19BB" w:rsidRDefault="004C19BB" w:rsidP="004C19BB">
      <w:pPr>
        <w:ind w:firstLine="720"/>
        <w:rPr>
          <w:lang w:val="sq-AL"/>
        </w:rPr>
      </w:pPr>
      <w:r w:rsidRPr="004C19BB">
        <w:rPr>
          <w:b/>
          <w:sz w:val="20"/>
          <w:szCs w:val="20"/>
          <w:lang w:val="sq-AL"/>
        </w:rPr>
        <w:t>Burimi:</w:t>
      </w:r>
      <w:r w:rsidRPr="004C19BB">
        <w:rPr>
          <w:b/>
          <w:i/>
          <w:sz w:val="20"/>
          <w:szCs w:val="20"/>
          <w:lang w:val="sq-AL"/>
        </w:rPr>
        <w:t xml:space="preserve"> </w:t>
      </w:r>
      <w:r w:rsidRPr="004C19BB">
        <w:rPr>
          <w:i/>
          <w:sz w:val="20"/>
          <w:szCs w:val="20"/>
          <w:lang w:val="sq-AL"/>
        </w:rPr>
        <w:t>Ministria e Financave (2016)</w:t>
      </w:r>
    </w:p>
    <w:p w:rsidR="004C19BB" w:rsidRPr="004C19BB" w:rsidRDefault="004C19BB" w:rsidP="004C19BB">
      <w:pPr>
        <w:jc w:val="both"/>
        <w:rPr>
          <w:b/>
          <w:i/>
          <w:sz w:val="20"/>
        </w:rPr>
      </w:pPr>
    </w:p>
    <w:p w:rsidR="004C19BB" w:rsidRPr="004C19BB" w:rsidRDefault="004C19BB" w:rsidP="004C19BB">
      <w:pPr>
        <w:jc w:val="both"/>
        <w:rPr>
          <w:b/>
          <w:i/>
        </w:rPr>
      </w:pPr>
      <w:r w:rsidRPr="004C19BB">
        <w:rPr>
          <w:b/>
          <w:i/>
        </w:rPr>
        <w:t>Të ardhurat nga Akciza</w:t>
      </w:r>
    </w:p>
    <w:p w:rsidR="004C19BB" w:rsidRPr="004C19BB" w:rsidRDefault="004C19BB" w:rsidP="004C19BB">
      <w:pPr>
        <w:spacing w:before="100"/>
        <w:jc w:val="both"/>
      </w:pPr>
      <w:r w:rsidRPr="004C19BB">
        <w:t xml:space="preserve">Performanca e të ardhurave nga akciza, për periudhën janar-shtator 2016, është ndikuar nga dy faktorë kryesorë: </w:t>
      </w:r>
    </w:p>
    <w:p w:rsidR="004C19BB" w:rsidRPr="004C19BB" w:rsidRDefault="004C19BB" w:rsidP="004C19BB">
      <w:pPr>
        <w:jc w:val="both"/>
        <w:rPr>
          <w:sz w:val="10"/>
        </w:rPr>
      </w:pPr>
    </w:p>
    <w:p w:rsidR="004C19BB" w:rsidRPr="004C19BB" w:rsidRDefault="004C19BB" w:rsidP="00534AA6">
      <w:pPr>
        <w:numPr>
          <w:ilvl w:val="0"/>
          <w:numId w:val="47"/>
        </w:numPr>
        <w:jc w:val="both"/>
      </w:pPr>
      <w:r w:rsidRPr="004C19BB">
        <w:lastRenderedPageBreak/>
        <w:t>Zhvendosja në kohë e punimeve të Projektit TAP dhe intensifikimi i tyre në tremujorin e fundit të vitit 2016, e kryesisht në vitin 2017, ndikoi në konsumin e planifikuar me rritje për karburantet në periudhën në fjalë.</w:t>
      </w:r>
    </w:p>
    <w:p w:rsidR="004C19BB" w:rsidRPr="004C19BB" w:rsidRDefault="004C19BB" w:rsidP="00534AA6">
      <w:pPr>
        <w:numPr>
          <w:ilvl w:val="0"/>
          <w:numId w:val="47"/>
        </w:numPr>
        <w:jc w:val="both"/>
      </w:pPr>
      <w:r w:rsidRPr="004C19BB">
        <w:t xml:space="preserve">Deklarimi i prodhimit të duhanit të vendit, në nivele më të ulëta së planifikimi. </w:t>
      </w:r>
    </w:p>
    <w:p w:rsidR="004C19BB" w:rsidRPr="004C19BB" w:rsidRDefault="004C19BB" w:rsidP="004C19BB">
      <w:pPr>
        <w:jc w:val="both"/>
        <w:rPr>
          <w:b/>
          <w:i/>
        </w:rPr>
      </w:pPr>
    </w:p>
    <w:p w:rsidR="004C19BB" w:rsidRPr="004C19BB" w:rsidRDefault="004C19BB" w:rsidP="004C19BB">
      <w:pPr>
        <w:jc w:val="both"/>
        <w:rPr>
          <w:b/>
          <w:i/>
        </w:rPr>
      </w:pPr>
    </w:p>
    <w:p w:rsidR="004C19BB" w:rsidRPr="004C19BB" w:rsidRDefault="004C19BB" w:rsidP="004C19BB">
      <w:pPr>
        <w:jc w:val="both"/>
        <w:rPr>
          <w:b/>
          <w:i/>
        </w:rPr>
      </w:pPr>
      <w:r w:rsidRPr="004C19BB">
        <w:rPr>
          <w:b/>
          <w:i/>
        </w:rPr>
        <w:t>Të ardhurat nga Renta Minerare</w:t>
      </w:r>
    </w:p>
    <w:p w:rsidR="004C19BB" w:rsidRPr="004C19BB" w:rsidRDefault="004C19BB" w:rsidP="004C19BB">
      <w:pPr>
        <w:spacing w:before="100"/>
        <w:jc w:val="both"/>
        <w:rPr>
          <w:lang w:val="sq-AL"/>
        </w:rPr>
      </w:pPr>
      <w:r w:rsidRPr="004C19BB">
        <w:rPr>
          <w:rFonts w:eastAsia="Calibri"/>
          <w:lang w:val="sq-AL"/>
        </w:rPr>
        <w:t>Performanca e të ardhurave nga renta minerare në periudhën janar–shtator 2016, u ndikua nga efekti i rënies s</w:t>
      </w:r>
      <w:r w:rsidRPr="004C19BB">
        <w:rPr>
          <w:lang w:val="sq-AL"/>
        </w:rPr>
        <w:t>ë</w:t>
      </w:r>
      <w:r w:rsidRPr="004C19BB">
        <w:rPr>
          <w:rFonts w:eastAsia="Calibri"/>
          <w:lang w:val="sq-AL"/>
        </w:rPr>
        <w:t xml:space="preserve"> </w:t>
      </w:r>
      <w:r w:rsidRPr="004C19BB">
        <w:rPr>
          <w:lang w:val="sq-AL"/>
        </w:rPr>
        <w:t>ç</w:t>
      </w:r>
      <w:r w:rsidRPr="004C19BB">
        <w:rPr>
          <w:rFonts w:eastAsia="Calibri"/>
          <w:lang w:val="sq-AL"/>
        </w:rPr>
        <w:t>mimit n</w:t>
      </w:r>
      <w:r w:rsidRPr="004C19BB">
        <w:rPr>
          <w:lang w:val="sq-AL"/>
        </w:rPr>
        <w:t>ë</w:t>
      </w:r>
      <w:r w:rsidRPr="004C19BB">
        <w:rPr>
          <w:rFonts w:eastAsia="Calibri"/>
          <w:lang w:val="sq-AL"/>
        </w:rPr>
        <w:t xml:space="preserve"> burs</w:t>
      </w:r>
      <w:r w:rsidRPr="004C19BB">
        <w:rPr>
          <w:lang w:val="sq-AL"/>
        </w:rPr>
        <w:t>ë</w:t>
      </w:r>
      <w:r w:rsidRPr="004C19BB">
        <w:rPr>
          <w:rFonts w:eastAsia="Calibri"/>
          <w:lang w:val="sq-AL"/>
        </w:rPr>
        <w:t xml:space="preserve"> të naftës bruto me 45% krahasuar me muajin tetor 2015. </w:t>
      </w:r>
      <w:r w:rsidRPr="004C19BB">
        <w:rPr>
          <w:lang w:val="sq-AL"/>
        </w:rPr>
        <w:t xml:space="preserve">Në kushtet që renta llogaritet si përqindje ndaj vlerës, rezultoi se megjithëse sasia e eksportit të naftës bruto u rrit me 21,337 ton ose +2.9%, të ardhurat nga renta u ulën me 913 milion lekë krahasuar me 9-mujorin e vitit 2015. Renta për kg e naftës bruto ka rënie nga 3.41 lekë/kg për 9-mujorin 2015 në 2.07 lekë/kg për 9-mujorin 2016. </w:t>
      </w:r>
    </w:p>
    <w:p w:rsidR="004C19BB" w:rsidRPr="004C19BB" w:rsidRDefault="004C19BB" w:rsidP="004C19BB">
      <w:pPr>
        <w:spacing w:before="100"/>
        <w:jc w:val="both"/>
        <w:rPr>
          <w:rFonts w:eastAsia="Calibri"/>
        </w:rPr>
      </w:pPr>
      <w:r w:rsidRPr="004C19BB">
        <w:rPr>
          <w:rFonts w:eastAsia="Calibri"/>
          <w:lang w:val="sq-AL"/>
        </w:rPr>
        <w:t>Bazuar në të dhënat doganore, realizimi i të ardhurave</w:t>
      </w:r>
      <w:r w:rsidRPr="004C19BB">
        <w:rPr>
          <w:rFonts w:eastAsia="Calibri"/>
        </w:rPr>
        <w:t xml:space="preserve"> nga renta për 12- mujorin 2016 pritet të shënojë vlerën 2.8 miliardë lekë, 1.2 miliardë lekë më pak se plani. Ky nivel realizimi i të ardhurave nga renta minerare reflekton edhe efektin e konjukturave të çmimit ndërkombëtar të mineraleve duke sjellë uljen e sasisë dhe vlerës për njësi të mineralit të eksportuar.</w:t>
      </w:r>
    </w:p>
    <w:p w:rsidR="004C19BB" w:rsidRPr="004C19BB" w:rsidRDefault="004C19BB" w:rsidP="004C19BB">
      <w:pPr>
        <w:jc w:val="both"/>
        <w:rPr>
          <w:rFonts w:eastAsia="Calibri"/>
          <w:b/>
          <w:i/>
        </w:rPr>
      </w:pPr>
    </w:p>
    <w:p w:rsidR="004C19BB" w:rsidRPr="004C19BB" w:rsidRDefault="004C19BB" w:rsidP="004C19BB">
      <w:pPr>
        <w:jc w:val="both"/>
        <w:rPr>
          <w:rFonts w:eastAsia="Calibri"/>
          <w:b/>
          <w:i/>
        </w:rPr>
      </w:pPr>
      <w:r w:rsidRPr="004C19BB">
        <w:rPr>
          <w:rFonts w:eastAsia="Calibri"/>
          <w:b/>
          <w:i/>
        </w:rPr>
        <w:t>Të ardhurat nga Taksa Doganore</w:t>
      </w:r>
    </w:p>
    <w:p w:rsidR="004C19BB" w:rsidRPr="004C19BB" w:rsidRDefault="004C19BB" w:rsidP="004C19BB">
      <w:pPr>
        <w:spacing w:before="100"/>
        <w:jc w:val="both"/>
        <w:rPr>
          <w:rFonts w:eastAsia="Calibri"/>
          <w:lang w:val="sq-AL"/>
        </w:rPr>
      </w:pPr>
      <w:r w:rsidRPr="004C19BB">
        <w:rPr>
          <w:rFonts w:eastAsia="Calibri"/>
          <w:lang w:val="sq-AL"/>
        </w:rPr>
        <w:t xml:space="preserve">Realizimi i të ardhurave nga taksa doganore parashikohet në masën 6.2 miliardë lekë ose 217 milionë lekë më shumë se plani. Faktor kryesor në përmirësimin e performancës është rritja e importit të taksuar me mbi 4% dhe përmirësimi i kontrollit doganor. </w:t>
      </w:r>
    </w:p>
    <w:p w:rsidR="004C19BB" w:rsidRPr="004C19BB" w:rsidRDefault="004C19BB" w:rsidP="004C19BB">
      <w:pPr>
        <w:jc w:val="both"/>
        <w:rPr>
          <w:rFonts w:eastAsia="Calibri"/>
          <w:b/>
          <w:i/>
        </w:rPr>
      </w:pPr>
    </w:p>
    <w:p w:rsidR="004C19BB" w:rsidRPr="004C19BB" w:rsidRDefault="004C19BB" w:rsidP="00534AA6">
      <w:pPr>
        <w:numPr>
          <w:ilvl w:val="0"/>
          <w:numId w:val="147"/>
        </w:numPr>
        <w:spacing w:line="276" w:lineRule="auto"/>
        <w:contextualSpacing/>
        <w:jc w:val="both"/>
        <w:rPr>
          <w:b/>
          <w:lang w:val="it-IT"/>
        </w:rPr>
      </w:pPr>
      <w:r w:rsidRPr="004C19BB">
        <w:rPr>
          <w:b/>
          <w:lang w:val="it-IT"/>
        </w:rPr>
        <w:t>Pritshmëria e të ardhurave nga Administrata Tatimore</w:t>
      </w:r>
    </w:p>
    <w:p w:rsidR="004C19BB" w:rsidRPr="004C19BB" w:rsidRDefault="004C19BB" w:rsidP="004C19BB">
      <w:pPr>
        <w:spacing w:before="100"/>
        <w:jc w:val="both"/>
        <w:rPr>
          <w:lang w:val="it-IT"/>
        </w:rPr>
      </w:pPr>
      <w:r w:rsidRPr="004C19BB">
        <w:rPr>
          <w:lang w:val="it-IT"/>
        </w:rPr>
        <w:t xml:space="preserve">Të ardhurat e pritshme për vitin 2016 janë vlerësuar mbi bazën e performancës gjatë periudhës  janar-shtator 2016. Në 9-mujorin 2016, Administrata Tatimore ka arkëtuar 95.2 miliardë lekë (pa kontributet), duke tejkaluar nivelin e programuar  me 1,4%. </w:t>
      </w:r>
    </w:p>
    <w:p w:rsidR="004C19BB" w:rsidRPr="004C19BB" w:rsidRDefault="004C19BB" w:rsidP="004C19BB">
      <w:pPr>
        <w:ind w:firstLine="720"/>
        <w:jc w:val="center"/>
        <w:rPr>
          <w:sz w:val="20"/>
          <w:szCs w:val="20"/>
          <w:lang w:val="sq-AL"/>
        </w:rPr>
      </w:pPr>
      <w:r w:rsidRPr="004C19BB">
        <w:rPr>
          <w:sz w:val="20"/>
          <w:szCs w:val="20"/>
          <w:lang w:val="sq-AL"/>
        </w:rPr>
        <w:t xml:space="preserve">                                                                                                                                             </w:t>
      </w:r>
    </w:p>
    <w:p w:rsidR="004C19BB" w:rsidRPr="004C19BB" w:rsidRDefault="004C19BB" w:rsidP="004C19BB">
      <w:pPr>
        <w:ind w:left="7200" w:firstLine="720"/>
        <w:jc w:val="center"/>
        <w:rPr>
          <w:rFonts w:eastAsia="Calibri"/>
          <w:i/>
          <w:sz w:val="20"/>
          <w:szCs w:val="20"/>
          <w:lang w:val="sq-AL"/>
        </w:rPr>
      </w:pPr>
      <w:r w:rsidRPr="004C19BB">
        <w:rPr>
          <w:sz w:val="20"/>
          <w:szCs w:val="20"/>
          <w:lang w:val="sq-AL"/>
        </w:rPr>
        <w:t xml:space="preserve">  </w:t>
      </w:r>
      <w:r w:rsidRPr="004C19BB">
        <w:rPr>
          <w:rFonts w:eastAsia="Calibri"/>
          <w:i/>
          <w:sz w:val="20"/>
          <w:szCs w:val="20"/>
          <w:lang w:val="sq-AL"/>
        </w:rPr>
        <w:t>(në milion lekë)</w:t>
      </w:r>
    </w:p>
    <w:tbl>
      <w:tblPr>
        <w:tblW w:w="9293" w:type="dxa"/>
        <w:jc w:val="center"/>
        <w:tblLook w:val="04A0" w:firstRow="1" w:lastRow="0" w:firstColumn="1" w:lastColumn="0" w:noHBand="0" w:noVBand="1"/>
      </w:tblPr>
      <w:tblGrid>
        <w:gridCol w:w="3805"/>
        <w:gridCol w:w="1333"/>
        <w:gridCol w:w="1365"/>
        <w:gridCol w:w="1457"/>
        <w:gridCol w:w="1333"/>
      </w:tblGrid>
      <w:tr w:rsidR="004C19BB" w:rsidRPr="004C19BB" w:rsidTr="004C19BB">
        <w:trPr>
          <w:trHeight w:val="758"/>
          <w:jc w:val="center"/>
        </w:trPr>
        <w:tc>
          <w:tcPr>
            <w:tcW w:w="3805" w:type="dxa"/>
            <w:tcBorders>
              <w:top w:val="single" w:sz="8" w:space="0" w:color="auto"/>
              <w:left w:val="nil"/>
              <w:bottom w:val="double" w:sz="6" w:space="0" w:color="auto"/>
              <w:right w:val="nil"/>
            </w:tcBorders>
            <w:noWrap/>
            <w:vAlign w:val="center"/>
            <w:hideMark/>
          </w:tcPr>
          <w:p w:rsidR="004C19BB" w:rsidRPr="004C19BB" w:rsidRDefault="004C19BB" w:rsidP="004C19BB">
            <w:pPr>
              <w:jc w:val="both"/>
              <w:rPr>
                <w:rFonts w:eastAsia="Times New Roman"/>
                <w:b/>
                <w:bCs/>
                <w:color w:val="000000"/>
                <w:sz w:val="20"/>
                <w:szCs w:val="20"/>
              </w:rPr>
            </w:pPr>
            <w:r w:rsidRPr="004C19BB">
              <w:rPr>
                <w:rFonts w:eastAsia="Times New Roman"/>
                <w:b/>
                <w:bCs/>
                <w:color w:val="000000"/>
                <w:sz w:val="20"/>
                <w:szCs w:val="20"/>
              </w:rPr>
              <w:t>Administrata Tatimore</w:t>
            </w:r>
          </w:p>
        </w:tc>
        <w:tc>
          <w:tcPr>
            <w:tcW w:w="1333" w:type="dxa"/>
            <w:tcBorders>
              <w:top w:val="single" w:sz="8" w:space="0" w:color="auto"/>
              <w:left w:val="nil"/>
              <w:bottom w:val="double" w:sz="6" w:space="0" w:color="auto"/>
              <w:right w:val="nil"/>
            </w:tcBorders>
            <w:vAlign w:val="center"/>
            <w:hideMark/>
          </w:tcPr>
          <w:p w:rsidR="004C19BB" w:rsidRPr="004C19BB" w:rsidRDefault="004C19BB" w:rsidP="004C19BB">
            <w:pPr>
              <w:jc w:val="both"/>
              <w:rPr>
                <w:rFonts w:eastAsia="Times New Roman"/>
                <w:b/>
                <w:bCs/>
                <w:color w:val="000000"/>
                <w:sz w:val="20"/>
                <w:szCs w:val="20"/>
              </w:rPr>
            </w:pPr>
            <w:r w:rsidRPr="004C19BB">
              <w:rPr>
                <w:rFonts w:eastAsia="Times New Roman"/>
                <w:b/>
                <w:bCs/>
                <w:color w:val="000000"/>
                <w:sz w:val="20"/>
                <w:szCs w:val="20"/>
              </w:rPr>
              <w:t>Buxheti zyrtar 2016</w:t>
            </w:r>
          </w:p>
        </w:tc>
        <w:tc>
          <w:tcPr>
            <w:tcW w:w="1365" w:type="dxa"/>
            <w:tcBorders>
              <w:top w:val="single" w:sz="8" w:space="0" w:color="auto"/>
              <w:left w:val="nil"/>
              <w:bottom w:val="double" w:sz="6" w:space="0" w:color="auto"/>
              <w:right w:val="nil"/>
            </w:tcBorders>
            <w:vAlign w:val="center"/>
            <w:hideMark/>
          </w:tcPr>
          <w:p w:rsidR="004C19BB" w:rsidRPr="004C19BB" w:rsidRDefault="004C19BB" w:rsidP="004C19BB">
            <w:pPr>
              <w:jc w:val="center"/>
              <w:rPr>
                <w:rFonts w:eastAsia="Times New Roman"/>
                <w:b/>
                <w:bCs/>
                <w:color w:val="000000"/>
                <w:sz w:val="20"/>
                <w:szCs w:val="20"/>
              </w:rPr>
            </w:pPr>
            <w:r w:rsidRPr="004C19BB">
              <w:rPr>
                <w:rFonts w:eastAsia="Times New Roman"/>
                <w:b/>
                <w:bCs/>
                <w:color w:val="000000"/>
                <w:sz w:val="20"/>
                <w:szCs w:val="20"/>
              </w:rPr>
              <w:t>Vlerësim Buxheti 2016</w:t>
            </w:r>
          </w:p>
        </w:tc>
        <w:tc>
          <w:tcPr>
            <w:tcW w:w="1457" w:type="dxa"/>
            <w:tcBorders>
              <w:top w:val="single" w:sz="8" w:space="0" w:color="auto"/>
              <w:left w:val="nil"/>
              <w:bottom w:val="double" w:sz="6" w:space="0" w:color="auto"/>
              <w:right w:val="nil"/>
            </w:tcBorders>
            <w:noWrap/>
            <w:vAlign w:val="center"/>
            <w:hideMark/>
          </w:tcPr>
          <w:p w:rsidR="004C19BB" w:rsidRPr="004C19BB" w:rsidRDefault="004C19BB" w:rsidP="004C19BB">
            <w:pPr>
              <w:jc w:val="center"/>
              <w:rPr>
                <w:rFonts w:eastAsia="Times New Roman"/>
                <w:b/>
                <w:bCs/>
                <w:color w:val="000000"/>
                <w:sz w:val="20"/>
                <w:szCs w:val="20"/>
              </w:rPr>
            </w:pPr>
            <w:r w:rsidRPr="004C19BB">
              <w:rPr>
                <w:rFonts w:eastAsia="Times New Roman"/>
                <w:b/>
                <w:bCs/>
                <w:color w:val="000000"/>
                <w:sz w:val="20"/>
                <w:szCs w:val="20"/>
              </w:rPr>
              <w:t>Diferenca</w:t>
            </w:r>
          </w:p>
        </w:tc>
        <w:tc>
          <w:tcPr>
            <w:tcW w:w="1333" w:type="dxa"/>
            <w:tcBorders>
              <w:top w:val="single" w:sz="8" w:space="0" w:color="auto"/>
              <w:left w:val="nil"/>
              <w:bottom w:val="double" w:sz="6" w:space="0" w:color="auto"/>
              <w:right w:val="nil"/>
            </w:tcBorders>
            <w:noWrap/>
            <w:vAlign w:val="center"/>
            <w:hideMark/>
          </w:tcPr>
          <w:p w:rsidR="004C19BB" w:rsidRPr="004C19BB" w:rsidRDefault="004C19BB" w:rsidP="004C19BB">
            <w:pPr>
              <w:jc w:val="center"/>
              <w:rPr>
                <w:rFonts w:eastAsia="Times New Roman"/>
                <w:b/>
                <w:bCs/>
                <w:color w:val="000000"/>
                <w:sz w:val="20"/>
                <w:szCs w:val="20"/>
              </w:rPr>
            </w:pPr>
            <w:r w:rsidRPr="004C19BB">
              <w:rPr>
                <w:rFonts w:eastAsia="Times New Roman"/>
                <w:b/>
                <w:bCs/>
                <w:color w:val="000000"/>
                <w:sz w:val="20"/>
                <w:szCs w:val="20"/>
              </w:rPr>
              <w:t>Në %</w:t>
            </w:r>
          </w:p>
        </w:tc>
      </w:tr>
      <w:tr w:rsidR="004C19BB" w:rsidRPr="004C19BB" w:rsidTr="004C19BB">
        <w:trPr>
          <w:trHeight w:val="306"/>
          <w:jc w:val="center"/>
        </w:trPr>
        <w:tc>
          <w:tcPr>
            <w:tcW w:w="3805" w:type="dxa"/>
            <w:noWrap/>
            <w:vAlign w:val="center"/>
            <w:hideMark/>
          </w:tcPr>
          <w:p w:rsidR="004C19BB" w:rsidRPr="004C19BB" w:rsidRDefault="004C19BB" w:rsidP="004C19BB">
            <w:pPr>
              <w:jc w:val="both"/>
              <w:rPr>
                <w:rFonts w:eastAsia="Times New Roman"/>
                <w:color w:val="000000"/>
                <w:sz w:val="20"/>
                <w:szCs w:val="20"/>
              </w:rPr>
            </w:pPr>
            <w:r w:rsidRPr="004C19BB">
              <w:rPr>
                <w:rFonts w:eastAsia="Times New Roman"/>
                <w:color w:val="000000"/>
                <w:sz w:val="20"/>
                <w:szCs w:val="20"/>
              </w:rPr>
              <w:t>Tatimi mbi Vlerën e Shtuar</w:t>
            </w:r>
          </w:p>
        </w:tc>
        <w:tc>
          <w:tcPr>
            <w:tcW w:w="1333"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rPr>
              <w:t>37,615</w:t>
            </w:r>
          </w:p>
        </w:tc>
        <w:tc>
          <w:tcPr>
            <w:tcW w:w="1365"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rPr>
              <w:t>34,159</w:t>
            </w:r>
          </w:p>
        </w:tc>
        <w:tc>
          <w:tcPr>
            <w:tcW w:w="1457"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rPr>
              <w:t>-3,456</w:t>
            </w:r>
          </w:p>
        </w:tc>
        <w:tc>
          <w:tcPr>
            <w:tcW w:w="1333"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rPr>
              <w:t>-9.19%</w:t>
            </w:r>
          </w:p>
        </w:tc>
      </w:tr>
      <w:tr w:rsidR="004C19BB" w:rsidRPr="004C19BB" w:rsidTr="004C19BB">
        <w:trPr>
          <w:trHeight w:val="292"/>
          <w:jc w:val="center"/>
        </w:trPr>
        <w:tc>
          <w:tcPr>
            <w:tcW w:w="3805" w:type="dxa"/>
            <w:noWrap/>
            <w:vAlign w:val="center"/>
            <w:hideMark/>
          </w:tcPr>
          <w:p w:rsidR="004C19BB" w:rsidRPr="004C19BB" w:rsidRDefault="004C19BB" w:rsidP="004C19BB">
            <w:pPr>
              <w:jc w:val="both"/>
              <w:rPr>
                <w:rFonts w:eastAsia="Times New Roman"/>
                <w:color w:val="000000"/>
                <w:sz w:val="20"/>
                <w:szCs w:val="20"/>
              </w:rPr>
            </w:pPr>
            <w:r w:rsidRPr="004C19BB">
              <w:rPr>
                <w:rFonts w:eastAsia="Times New Roman"/>
                <w:color w:val="000000"/>
                <w:sz w:val="20"/>
                <w:szCs w:val="20"/>
              </w:rPr>
              <w:t>Tatim mbi Fitimin</w:t>
            </w:r>
          </w:p>
        </w:tc>
        <w:tc>
          <w:tcPr>
            <w:tcW w:w="1333"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rPr>
              <w:t>24,314</w:t>
            </w:r>
          </w:p>
        </w:tc>
        <w:tc>
          <w:tcPr>
            <w:tcW w:w="1365"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rPr>
              <w:t>27,100</w:t>
            </w:r>
          </w:p>
        </w:tc>
        <w:tc>
          <w:tcPr>
            <w:tcW w:w="1457"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rPr>
              <w:t>2,786</w:t>
            </w:r>
          </w:p>
        </w:tc>
        <w:tc>
          <w:tcPr>
            <w:tcW w:w="1333"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rPr>
              <w:t>11.46%</w:t>
            </w:r>
          </w:p>
        </w:tc>
      </w:tr>
      <w:tr w:rsidR="004C19BB" w:rsidRPr="004C19BB" w:rsidTr="004C19BB">
        <w:trPr>
          <w:trHeight w:val="292"/>
          <w:jc w:val="center"/>
        </w:trPr>
        <w:tc>
          <w:tcPr>
            <w:tcW w:w="3805" w:type="dxa"/>
            <w:noWrap/>
            <w:vAlign w:val="center"/>
            <w:hideMark/>
          </w:tcPr>
          <w:p w:rsidR="004C19BB" w:rsidRPr="004C19BB" w:rsidRDefault="004C19BB" w:rsidP="004C19BB">
            <w:pPr>
              <w:jc w:val="both"/>
              <w:rPr>
                <w:rFonts w:eastAsia="Times New Roman"/>
                <w:color w:val="000000"/>
                <w:sz w:val="20"/>
                <w:szCs w:val="20"/>
              </w:rPr>
            </w:pPr>
            <w:r w:rsidRPr="004C19BB">
              <w:rPr>
                <w:rFonts w:eastAsia="Times New Roman"/>
                <w:color w:val="000000"/>
                <w:sz w:val="20"/>
                <w:szCs w:val="20"/>
              </w:rPr>
              <w:t>Tatimi mbi të ardhurat personale</w:t>
            </w:r>
          </w:p>
        </w:tc>
        <w:tc>
          <w:tcPr>
            <w:tcW w:w="1333"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rPr>
              <w:t>32,073</w:t>
            </w:r>
          </w:p>
        </w:tc>
        <w:tc>
          <w:tcPr>
            <w:tcW w:w="1365"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rPr>
              <w:t>32,700</w:t>
            </w:r>
          </w:p>
        </w:tc>
        <w:tc>
          <w:tcPr>
            <w:tcW w:w="1457"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rPr>
              <w:t>627</w:t>
            </w:r>
          </w:p>
        </w:tc>
        <w:tc>
          <w:tcPr>
            <w:tcW w:w="1333"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rPr>
              <w:t>1.95%</w:t>
            </w:r>
          </w:p>
        </w:tc>
      </w:tr>
      <w:tr w:rsidR="004C19BB" w:rsidRPr="004C19BB" w:rsidTr="004C19BB">
        <w:trPr>
          <w:trHeight w:val="292"/>
          <w:jc w:val="center"/>
        </w:trPr>
        <w:tc>
          <w:tcPr>
            <w:tcW w:w="3805" w:type="dxa"/>
            <w:noWrap/>
            <w:vAlign w:val="center"/>
            <w:hideMark/>
          </w:tcPr>
          <w:p w:rsidR="004C19BB" w:rsidRPr="004C19BB" w:rsidRDefault="004C19BB" w:rsidP="004C19BB">
            <w:pPr>
              <w:jc w:val="both"/>
              <w:rPr>
                <w:rFonts w:eastAsia="Times New Roman"/>
                <w:color w:val="000000"/>
                <w:sz w:val="20"/>
                <w:szCs w:val="20"/>
              </w:rPr>
            </w:pPr>
            <w:r w:rsidRPr="004C19BB">
              <w:rPr>
                <w:rFonts w:eastAsia="Times New Roman"/>
                <w:color w:val="000000"/>
                <w:sz w:val="20"/>
                <w:szCs w:val="20"/>
              </w:rPr>
              <w:t>Taksa Nacionale dhe të tjera</w:t>
            </w:r>
          </w:p>
        </w:tc>
        <w:tc>
          <w:tcPr>
            <w:tcW w:w="1333"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rPr>
              <w:t>33,119</w:t>
            </w:r>
          </w:p>
        </w:tc>
        <w:tc>
          <w:tcPr>
            <w:tcW w:w="1365"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rPr>
              <w:t>33,106</w:t>
            </w:r>
          </w:p>
        </w:tc>
        <w:tc>
          <w:tcPr>
            <w:tcW w:w="1457"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rPr>
              <w:t>-13</w:t>
            </w:r>
          </w:p>
        </w:tc>
        <w:tc>
          <w:tcPr>
            <w:tcW w:w="1333"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rPr>
              <w:t>-0.04%</w:t>
            </w:r>
          </w:p>
        </w:tc>
      </w:tr>
      <w:tr w:rsidR="004C19BB" w:rsidRPr="004C19BB" w:rsidTr="004C19BB">
        <w:trPr>
          <w:trHeight w:val="292"/>
          <w:jc w:val="center"/>
        </w:trPr>
        <w:tc>
          <w:tcPr>
            <w:tcW w:w="3805" w:type="dxa"/>
            <w:noWrap/>
            <w:vAlign w:val="center"/>
            <w:hideMark/>
          </w:tcPr>
          <w:p w:rsidR="004C19BB" w:rsidRPr="004C19BB" w:rsidRDefault="004C19BB" w:rsidP="004C19BB">
            <w:pPr>
              <w:jc w:val="both"/>
              <w:rPr>
                <w:rFonts w:eastAsia="Times New Roman"/>
                <w:b/>
                <w:bCs/>
                <w:color w:val="000000"/>
                <w:sz w:val="20"/>
                <w:szCs w:val="20"/>
              </w:rPr>
            </w:pPr>
            <w:r w:rsidRPr="004C19BB">
              <w:rPr>
                <w:rFonts w:eastAsia="Times New Roman"/>
                <w:b/>
                <w:bCs/>
                <w:color w:val="000000"/>
                <w:sz w:val="20"/>
                <w:szCs w:val="20"/>
              </w:rPr>
              <w:t>Totali</w:t>
            </w:r>
          </w:p>
        </w:tc>
        <w:tc>
          <w:tcPr>
            <w:tcW w:w="1333" w:type="dxa"/>
            <w:noWrap/>
            <w:vAlign w:val="center"/>
            <w:hideMark/>
          </w:tcPr>
          <w:p w:rsidR="004C19BB" w:rsidRPr="004C19BB" w:rsidRDefault="004C19BB" w:rsidP="004C19BB">
            <w:pPr>
              <w:jc w:val="center"/>
              <w:rPr>
                <w:rFonts w:eastAsia="Times New Roman"/>
                <w:b/>
                <w:bCs/>
                <w:color w:val="000000"/>
                <w:sz w:val="20"/>
                <w:szCs w:val="20"/>
              </w:rPr>
            </w:pPr>
            <w:r w:rsidRPr="004C19BB">
              <w:rPr>
                <w:rFonts w:eastAsia="Times New Roman"/>
                <w:b/>
                <w:bCs/>
                <w:color w:val="000000"/>
                <w:sz w:val="20"/>
                <w:szCs w:val="20"/>
              </w:rPr>
              <w:t>127,121</w:t>
            </w:r>
          </w:p>
        </w:tc>
        <w:tc>
          <w:tcPr>
            <w:tcW w:w="1365" w:type="dxa"/>
            <w:noWrap/>
            <w:vAlign w:val="center"/>
            <w:hideMark/>
          </w:tcPr>
          <w:p w:rsidR="004C19BB" w:rsidRPr="004C19BB" w:rsidRDefault="004C19BB" w:rsidP="004C19BB">
            <w:pPr>
              <w:jc w:val="center"/>
              <w:rPr>
                <w:rFonts w:eastAsia="Times New Roman"/>
                <w:b/>
                <w:bCs/>
                <w:color w:val="000000"/>
                <w:sz w:val="20"/>
                <w:szCs w:val="20"/>
              </w:rPr>
            </w:pPr>
            <w:r w:rsidRPr="004C19BB">
              <w:rPr>
                <w:rFonts w:eastAsia="Times New Roman"/>
                <w:b/>
                <w:bCs/>
                <w:color w:val="000000"/>
                <w:sz w:val="20"/>
                <w:szCs w:val="20"/>
              </w:rPr>
              <w:t>127,065</w:t>
            </w:r>
          </w:p>
        </w:tc>
        <w:tc>
          <w:tcPr>
            <w:tcW w:w="1457" w:type="dxa"/>
            <w:noWrap/>
            <w:vAlign w:val="center"/>
            <w:hideMark/>
          </w:tcPr>
          <w:p w:rsidR="004C19BB" w:rsidRPr="004C19BB" w:rsidRDefault="004C19BB" w:rsidP="004C19BB">
            <w:pPr>
              <w:jc w:val="center"/>
              <w:rPr>
                <w:rFonts w:eastAsia="Times New Roman"/>
                <w:b/>
                <w:bCs/>
                <w:color w:val="000000"/>
                <w:sz w:val="20"/>
                <w:szCs w:val="20"/>
              </w:rPr>
            </w:pPr>
            <w:r w:rsidRPr="004C19BB">
              <w:rPr>
                <w:rFonts w:eastAsia="Times New Roman"/>
                <w:b/>
                <w:bCs/>
                <w:color w:val="000000"/>
                <w:sz w:val="20"/>
                <w:szCs w:val="20"/>
              </w:rPr>
              <w:t>-56</w:t>
            </w:r>
          </w:p>
        </w:tc>
        <w:tc>
          <w:tcPr>
            <w:tcW w:w="1333"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rPr>
              <w:t>-0.04%</w:t>
            </w:r>
          </w:p>
        </w:tc>
      </w:tr>
      <w:tr w:rsidR="004C19BB" w:rsidRPr="004C19BB" w:rsidTr="004C19BB">
        <w:trPr>
          <w:trHeight w:val="306"/>
          <w:jc w:val="center"/>
        </w:trPr>
        <w:tc>
          <w:tcPr>
            <w:tcW w:w="3805" w:type="dxa"/>
            <w:noWrap/>
            <w:vAlign w:val="center"/>
            <w:hideMark/>
          </w:tcPr>
          <w:p w:rsidR="004C19BB" w:rsidRPr="004C19BB" w:rsidRDefault="004C19BB" w:rsidP="004C19BB">
            <w:pPr>
              <w:jc w:val="both"/>
              <w:rPr>
                <w:rFonts w:eastAsia="Times New Roman"/>
                <w:i/>
                <w:iCs/>
                <w:color w:val="000000"/>
                <w:sz w:val="20"/>
                <w:szCs w:val="20"/>
              </w:rPr>
            </w:pPr>
            <w:r w:rsidRPr="004C19BB">
              <w:rPr>
                <w:rFonts w:eastAsia="Times New Roman"/>
                <w:i/>
                <w:iCs/>
                <w:color w:val="000000"/>
                <w:sz w:val="20"/>
                <w:szCs w:val="20"/>
              </w:rPr>
              <w:t>Kontribute nga DPT</w:t>
            </w:r>
          </w:p>
        </w:tc>
        <w:tc>
          <w:tcPr>
            <w:tcW w:w="1333" w:type="dxa"/>
            <w:noWrap/>
            <w:vAlign w:val="center"/>
            <w:hideMark/>
          </w:tcPr>
          <w:p w:rsidR="004C19BB" w:rsidRPr="004C19BB" w:rsidRDefault="004C19BB" w:rsidP="004C19BB">
            <w:pPr>
              <w:jc w:val="center"/>
              <w:rPr>
                <w:rFonts w:eastAsia="Times New Roman"/>
                <w:i/>
                <w:iCs/>
                <w:color w:val="000000"/>
                <w:sz w:val="20"/>
                <w:szCs w:val="20"/>
              </w:rPr>
            </w:pPr>
            <w:r w:rsidRPr="004C19BB">
              <w:rPr>
                <w:rFonts w:eastAsia="Times New Roman"/>
                <w:i/>
                <w:iCs/>
                <w:color w:val="000000"/>
                <w:sz w:val="20"/>
                <w:szCs w:val="20"/>
              </w:rPr>
              <w:t>74,454</w:t>
            </w:r>
          </w:p>
        </w:tc>
        <w:tc>
          <w:tcPr>
            <w:tcW w:w="1365" w:type="dxa"/>
            <w:noWrap/>
            <w:vAlign w:val="center"/>
            <w:hideMark/>
          </w:tcPr>
          <w:p w:rsidR="004C19BB" w:rsidRPr="004C19BB" w:rsidRDefault="004C19BB" w:rsidP="004C19BB">
            <w:pPr>
              <w:jc w:val="center"/>
              <w:rPr>
                <w:rFonts w:eastAsia="Times New Roman"/>
                <w:i/>
                <w:iCs/>
                <w:color w:val="000000"/>
                <w:sz w:val="20"/>
                <w:szCs w:val="20"/>
              </w:rPr>
            </w:pPr>
            <w:r w:rsidRPr="004C19BB">
              <w:rPr>
                <w:rFonts w:eastAsia="Times New Roman"/>
                <w:i/>
                <w:iCs/>
                <w:color w:val="000000"/>
                <w:sz w:val="20"/>
                <w:szCs w:val="20"/>
              </w:rPr>
              <w:t>74,500</w:t>
            </w:r>
          </w:p>
        </w:tc>
        <w:tc>
          <w:tcPr>
            <w:tcW w:w="1457" w:type="dxa"/>
            <w:noWrap/>
            <w:vAlign w:val="center"/>
            <w:hideMark/>
          </w:tcPr>
          <w:p w:rsidR="004C19BB" w:rsidRPr="004C19BB" w:rsidRDefault="004C19BB" w:rsidP="004C19BB">
            <w:pPr>
              <w:jc w:val="center"/>
              <w:rPr>
                <w:rFonts w:eastAsia="Times New Roman"/>
                <w:i/>
                <w:iCs/>
                <w:color w:val="000000"/>
                <w:sz w:val="20"/>
                <w:szCs w:val="20"/>
              </w:rPr>
            </w:pPr>
            <w:r w:rsidRPr="004C19BB">
              <w:rPr>
                <w:rFonts w:eastAsia="Times New Roman"/>
                <w:i/>
                <w:iCs/>
                <w:color w:val="000000"/>
                <w:sz w:val="20"/>
                <w:szCs w:val="20"/>
              </w:rPr>
              <w:t>46</w:t>
            </w:r>
          </w:p>
        </w:tc>
        <w:tc>
          <w:tcPr>
            <w:tcW w:w="1333"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rPr>
              <w:t>0.06%</w:t>
            </w:r>
          </w:p>
        </w:tc>
      </w:tr>
      <w:tr w:rsidR="004C19BB" w:rsidRPr="004C19BB" w:rsidTr="004C19BB">
        <w:trPr>
          <w:trHeight w:val="306"/>
          <w:jc w:val="center"/>
        </w:trPr>
        <w:tc>
          <w:tcPr>
            <w:tcW w:w="3805" w:type="dxa"/>
            <w:tcBorders>
              <w:top w:val="single" w:sz="8" w:space="0" w:color="auto"/>
              <w:left w:val="nil"/>
              <w:bottom w:val="double" w:sz="6" w:space="0" w:color="auto"/>
              <w:right w:val="nil"/>
            </w:tcBorders>
            <w:noWrap/>
            <w:vAlign w:val="center"/>
            <w:hideMark/>
          </w:tcPr>
          <w:p w:rsidR="004C19BB" w:rsidRPr="004C19BB" w:rsidRDefault="004C19BB" w:rsidP="004C19BB">
            <w:pPr>
              <w:rPr>
                <w:rFonts w:eastAsia="Times New Roman"/>
                <w:b/>
                <w:bCs/>
                <w:color w:val="000000"/>
                <w:sz w:val="20"/>
                <w:szCs w:val="20"/>
              </w:rPr>
            </w:pPr>
            <w:r w:rsidRPr="004C19BB">
              <w:rPr>
                <w:rFonts w:eastAsia="Times New Roman"/>
                <w:b/>
                <w:bCs/>
                <w:color w:val="000000"/>
                <w:sz w:val="20"/>
                <w:szCs w:val="20"/>
              </w:rPr>
              <w:t xml:space="preserve">Totali </w:t>
            </w:r>
          </w:p>
        </w:tc>
        <w:tc>
          <w:tcPr>
            <w:tcW w:w="1333" w:type="dxa"/>
            <w:tcBorders>
              <w:top w:val="single" w:sz="8" w:space="0" w:color="auto"/>
              <w:left w:val="nil"/>
              <w:bottom w:val="double" w:sz="6" w:space="0" w:color="auto"/>
              <w:right w:val="nil"/>
            </w:tcBorders>
            <w:noWrap/>
            <w:vAlign w:val="center"/>
            <w:hideMark/>
          </w:tcPr>
          <w:p w:rsidR="004C19BB" w:rsidRPr="004C19BB" w:rsidRDefault="004C19BB" w:rsidP="004C19BB">
            <w:pPr>
              <w:jc w:val="center"/>
              <w:rPr>
                <w:rFonts w:eastAsia="Times New Roman"/>
                <w:b/>
                <w:bCs/>
                <w:color w:val="000000"/>
                <w:sz w:val="20"/>
                <w:szCs w:val="20"/>
              </w:rPr>
            </w:pPr>
            <w:r w:rsidRPr="004C19BB">
              <w:rPr>
                <w:rFonts w:eastAsia="Times New Roman"/>
                <w:b/>
                <w:bCs/>
                <w:color w:val="000000"/>
                <w:sz w:val="20"/>
                <w:szCs w:val="20"/>
              </w:rPr>
              <w:t>201,575</w:t>
            </w:r>
          </w:p>
        </w:tc>
        <w:tc>
          <w:tcPr>
            <w:tcW w:w="1365" w:type="dxa"/>
            <w:tcBorders>
              <w:top w:val="single" w:sz="8" w:space="0" w:color="auto"/>
              <w:left w:val="nil"/>
              <w:bottom w:val="double" w:sz="6" w:space="0" w:color="auto"/>
              <w:right w:val="nil"/>
            </w:tcBorders>
            <w:noWrap/>
            <w:vAlign w:val="center"/>
            <w:hideMark/>
          </w:tcPr>
          <w:p w:rsidR="004C19BB" w:rsidRPr="004C19BB" w:rsidRDefault="004C19BB" w:rsidP="004C19BB">
            <w:pPr>
              <w:jc w:val="center"/>
              <w:rPr>
                <w:rFonts w:eastAsia="Times New Roman"/>
                <w:b/>
                <w:bCs/>
                <w:color w:val="000000"/>
                <w:sz w:val="20"/>
                <w:szCs w:val="20"/>
              </w:rPr>
            </w:pPr>
            <w:r w:rsidRPr="004C19BB">
              <w:rPr>
                <w:rFonts w:eastAsia="Times New Roman"/>
                <w:b/>
                <w:bCs/>
                <w:color w:val="000000"/>
                <w:sz w:val="20"/>
                <w:szCs w:val="20"/>
              </w:rPr>
              <w:t>201,565</w:t>
            </w:r>
          </w:p>
        </w:tc>
        <w:tc>
          <w:tcPr>
            <w:tcW w:w="1457" w:type="dxa"/>
            <w:tcBorders>
              <w:top w:val="single" w:sz="8" w:space="0" w:color="auto"/>
              <w:left w:val="nil"/>
              <w:bottom w:val="double" w:sz="6" w:space="0" w:color="auto"/>
              <w:right w:val="nil"/>
            </w:tcBorders>
            <w:noWrap/>
            <w:vAlign w:val="center"/>
            <w:hideMark/>
          </w:tcPr>
          <w:p w:rsidR="004C19BB" w:rsidRPr="004C19BB" w:rsidRDefault="004C19BB" w:rsidP="004C19BB">
            <w:pPr>
              <w:jc w:val="center"/>
              <w:rPr>
                <w:rFonts w:eastAsia="Times New Roman"/>
                <w:b/>
                <w:bCs/>
                <w:color w:val="000000"/>
                <w:sz w:val="20"/>
                <w:szCs w:val="20"/>
              </w:rPr>
            </w:pPr>
            <w:r w:rsidRPr="004C19BB">
              <w:rPr>
                <w:rFonts w:eastAsia="Times New Roman"/>
                <w:b/>
                <w:bCs/>
                <w:color w:val="000000"/>
                <w:sz w:val="20"/>
                <w:szCs w:val="20"/>
              </w:rPr>
              <w:t>-10</w:t>
            </w:r>
          </w:p>
        </w:tc>
        <w:tc>
          <w:tcPr>
            <w:tcW w:w="1333" w:type="dxa"/>
            <w:tcBorders>
              <w:top w:val="single" w:sz="8" w:space="0" w:color="auto"/>
              <w:left w:val="nil"/>
              <w:bottom w:val="double" w:sz="6" w:space="0" w:color="auto"/>
              <w:right w:val="nil"/>
            </w:tcBorders>
            <w:noWrap/>
            <w:vAlign w:val="center"/>
            <w:hideMark/>
          </w:tcPr>
          <w:p w:rsidR="004C19BB" w:rsidRPr="004C19BB" w:rsidRDefault="004C19BB" w:rsidP="004C19BB">
            <w:pPr>
              <w:jc w:val="center"/>
              <w:rPr>
                <w:rFonts w:eastAsia="Times New Roman"/>
                <w:b/>
                <w:bCs/>
                <w:color w:val="000000"/>
                <w:sz w:val="20"/>
                <w:szCs w:val="20"/>
              </w:rPr>
            </w:pPr>
            <w:r w:rsidRPr="004C19BB">
              <w:rPr>
                <w:rFonts w:eastAsia="Times New Roman"/>
                <w:b/>
                <w:bCs/>
                <w:color w:val="000000"/>
                <w:sz w:val="20"/>
                <w:szCs w:val="20"/>
              </w:rPr>
              <w:t>0</w:t>
            </w:r>
          </w:p>
        </w:tc>
      </w:tr>
    </w:tbl>
    <w:p w:rsidR="004C19BB" w:rsidRPr="004C19BB" w:rsidRDefault="004C19BB" w:rsidP="004C19BB">
      <w:pPr>
        <w:ind w:firstLine="720"/>
        <w:rPr>
          <w:lang w:val="sq-AL"/>
        </w:rPr>
      </w:pPr>
      <w:r w:rsidRPr="004C19BB">
        <w:rPr>
          <w:b/>
          <w:sz w:val="20"/>
          <w:szCs w:val="20"/>
          <w:lang w:val="sq-AL"/>
        </w:rPr>
        <w:t>Burimi:</w:t>
      </w:r>
      <w:r w:rsidRPr="004C19BB">
        <w:rPr>
          <w:b/>
          <w:i/>
          <w:sz w:val="20"/>
          <w:szCs w:val="20"/>
          <w:lang w:val="sq-AL"/>
        </w:rPr>
        <w:t xml:space="preserve"> </w:t>
      </w:r>
      <w:r w:rsidRPr="004C19BB">
        <w:rPr>
          <w:i/>
          <w:sz w:val="20"/>
          <w:szCs w:val="20"/>
          <w:lang w:val="sq-AL"/>
        </w:rPr>
        <w:t>Ministria e Financave (2016)</w:t>
      </w:r>
    </w:p>
    <w:p w:rsidR="004C19BB" w:rsidRPr="004C19BB" w:rsidRDefault="004C19BB" w:rsidP="004C19BB">
      <w:pPr>
        <w:jc w:val="both"/>
      </w:pPr>
    </w:p>
    <w:p w:rsidR="004C19BB" w:rsidRPr="004C19BB" w:rsidRDefault="004C19BB" w:rsidP="004C19BB">
      <w:pPr>
        <w:jc w:val="both"/>
        <w:rPr>
          <w:lang w:val="sq-AL"/>
        </w:rPr>
      </w:pPr>
      <w:r w:rsidRPr="004C19BB">
        <w:rPr>
          <w:lang w:val="sq-AL"/>
        </w:rPr>
        <w:t>Performancë pozitive në të ardhurat nga Administrata Tatimore, kanë shënuar të ardhurat nga tatimi mbi fitimin koorporativ me rreth 2.78 miliardë lekë mbi programimin, efekt që ka kompensuar devijimet në llojet e tjera të të ardhurave tatimore. Në total, për peridhën 12-mujore, të ardhurat nga Administrata Tatimore, përfshirë kontributet, pritet të realizohen në masën 201.5 miliardë lekë.</w:t>
      </w:r>
    </w:p>
    <w:p w:rsidR="004C19BB" w:rsidRPr="004C19BB" w:rsidRDefault="004C19BB" w:rsidP="004C19BB">
      <w:pPr>
        <w:jc w:val="both"/>
        <w:rPr>
          <w:b/>
          <w:i/>
        </w:rPr>
      </w:pPr>
    </w:p>
    <w:p w:rsidR="004C19BB" w:rsidRPr="004C19BB" w:rsidRDefault="004C19BB" w:rsidP="004C19BB">
      <w:pPr>
        <w:jc w:val="both"/>
        <w:rPr>
          <w:b/>
          <w:i/>
          <w:lang w:val="it-IT"/>
        </w:rPr>
      </w:pPr>
      <w:r w:rsidRPr="004C19BB">
        <w:rPr>
          <w:b/>
          <w:i/>
          <w:lang w:val="it-IT"/>
        </w:rPr>
        <w:t>Të ardhurat nga Tatimi mbi Vlerën e Shtuar</w:t>
      </w:r>
    </w:p>
    <w:p w:rsidR="004C19BB" w:rsidRPr="004C19BB" w:rsidRDefault="004C19BB" w:rsidP="004C19BB">
      <w:pPr>
        <w:spacing w:before="100"/>
        <w:jc w:val="both"/>
        <w:rPr>
          <w:lang w:val="sq-AL"/>
        </w:rPr>
      </w:pPr>
      <w:r w:rsidRPr="004C19BB">
        <w:rPr>
          <w:lang w:val="it-IT"/>
        </w:rPr>
        <w:t>Të ardhurat nga TVSH-ja, pritet të realizohen në masën 34 miliardë lekë. Gjatë kësaj periudhe ka patur rritje të rimbursimeve t</w:t>
      </w:r>
      <w:r w:rsidRPr="004C19BB">
        <w:rPr>
          <w:rFonts w:ascii="Sylfaen" w:hAnsi="Sylfaen"/>
          <w:lang w:val="it-IT"/>
        </w:rPr>
        <w:t xml:space="preserve">ë TVSH-së. </w:t>
      </w:r>
      <w:r w:rsidRPr="004C19BB">
        <w:rPr>
          <w:lang w:val="it-IT"/>
        </w:rPr>
        <w:t xml:space="preserve"> </w:t>
      </w:r>
      <w:r w:rsidRPr="004C19BB">
        <w:rPr>
          <w:lang w:val="sq-AL"/>
        </w:rPr>
        <w:t xml:space="preserve">Në periudhën janar-shtator 2016, janë rimbursuar 6 </w:t>
      </w:r>
      <w:r w:rsidRPr="004C19BB">
        <w:rPr>
          <w:noProof/>
          <w:lang w:val="sq-AL"/>
        </w:rPr>
        <w:t>miliardë</w:t>
      </w:r>
      <w:r w:rsidRPr="004C19BB">
        <w:rPr>
          <w:lang w:val="sq-AL"/>
        </w:rPr>
        <w:t xml:space="preserve"> lekë. Deri në fund të vitit 2016 pritet të rimbursohen 9 miliardë lekë ose 1 miliardë lekë më shumë se niveli i </w:t>
      </w:r>
      <w:r w:rsidRPr="004C19BB">
        <w:rPr>
          <w:lang w:val="sq-AL"/>
        </w:rPr>
        <w:lastRenderedPageBreak/>
        <w:t>parashikuar. Një tjetër faktor është rënia e konsiderueshme e sasisë së karburantit të prodhuar në vend. Rënia e prodhimit vendas dhe për pasojë rritja e importit të karburantit, ka sjellë një zhvendosje të të ardhurave nga TVSH-ja, nga tatimet në dogana, me rreth 1 miliardë lekë.</w:t>
      </w:r>
    </w:p>
    <w:p w:rsidR="004C19BB" w:rsidRPr="004C19BB" w:rsidRDefault="004C19BB" w:rsidP="004C19BB">
      <w:pPr>
        <w:jc w:val="both"/>
        <w:rPr>
          <w:b/>
          <w:i/>
          <w:lang w:val="sq-AL"/>
        </w:rPr>
      </w:pPr>
    </w:p>
    <w:p w:rsidR="004C19BB" w:rsidRPr="004C19BB" w:rsidRDefault="004C19BB" w:rsidP="004C19BB">
      <w:pPr>
        <w:jc w:val="both"/>
        <w:rPr>
          <w:b/>
          <w:i/>
          <w:lang w:val="sq-AL"/>
        </w:rPr>
      </w:pPr>
      <w:r w:rsidRPr="004C19BB">
        <w:rPr>
          <w:b/>
          <w:i/>
          <w:lang w:val="sq-AL"/>
        </w:rPr>
        <w:t xml:space="preserve">Të ardhurat nga Tatimi mbi Fitimin </w:t>
      </w:r>
    </w:p>
    <w:p w:rsidR="004C19BB" w:rsidRPr="004C19BB" w:rsidRDefault="004C19BB" w:rsidP="004C19BB">
      <w:pPr>
        <w:spacing w:before="100"/>
        <w:jc w:val="both"/>
        <w:rPr>
          <w:strike/>
          <w:lang w:val="it-IT"/>
        </w:rPr>
      </w:pPr>
      <w:r w:rsidRPr="004C19BB">
        <w:rPr>
          <w:lang w:val="sq-AL"/>
        </w:rPr>
        <w:t xml:space="preserve">Për vitin 2016, tatimi mbi fitimin përbën zërin me ecurinë më të mirë të Administratës Tatimore. Të ardhurat nga tatimi mbi fitimin pritet të realizohen në masën 27 miliardë lekë, pra rreth 2.78 miliardë lekë ose 11.46% më shumë sesa plani. Ndikimin kryesor në këtë rezultat, ka patur rritja e ndërgjegjësimit të taksapaguesve për deklarimin real të të ardhurave të realizuara, në kuadër të fazë së dytë të betejës kundër informalitetit në ekonomi dhe intensifikimit të komunikimit të Administratës Tatimore me tatimpaguesit. </w:t>
      </w:r>
    </w:p>
    <w:p w:rsidR="004C19BB" w:rsidRPr="004C19BB" w:rsidRDefault="004C19BB" w:rsidP="004C19BB">
      <w:pPr>
        <w:jc w:val="both"/>
        <w:rPr>
          <w:b/>
          <w:i/>
          <w:lang w:val="it-IT"/>
        </w:rPr>
      </w:pPr>
    </w:p>
    <w:p w:rsidR="004C19BB" w:rsidRPr="004C19BB" w:rsidRDefault="004C19BB" w:rsidP="004C19BB">
      <w:pPr>
        <w:jc w:val="both"/>
        <w:rPr>
          <w:b/>
          <w:i/>
          <w:lang w:val="it-IT"/>
        </w:rPr>
      </w:pPr>
      <w:r w:rsidRPr="004C19BB">
        <w:rPr>
          <w:b/>
          <w:i/>
          <w:lang w:val="it-IT"/>
        </w:rPr>
        <w:t>Tatimi mbi të Ardhurat Personale</w:t>
      </w:r>
    </w:p>
    <w:p w:rsidR="004C19BB" w:rsidRPr="004C19BB" w:rsidRDefault="004C19BB" w:rsidP="004C19BB">
      <w:pPr>
        <w:spacing w:before="100"/>
        <w:jc w:val="both"/>
        <w:rPr>
          <w:strike/>
          <w:lang w:val="it-IT"/>
        </w:rPr>
      </w:pPr>
      <w:r w:rsidRPr="004C19BB">
        <w:rPr>
          <w:lang w:val="it-IT"/>
        </w:rPr>
        <w:t xml:space="preserve">Të ardhurat nga tatimi mbi të ardhurat personale për vitin 2016 pritet të realizohen në masën 32.7 miliard lekë, duke shënuar një tejkalim mbi 600 milion ose 1.9% të planit të periudhës. Një nga efektet tejet pozitive në këtë performancë, ka qenë ndërgjegjësimi për formalizimin e punësimit. Deri në shtator 2016, janë formalizuar dhe futur në skemën e sigurimit 38 mijë të punësuar krahasuar me një vit më parë, ndërsa krahasuar me shtatorin 2013, numri i të punësuarve të regjistruar është rritur me 185 mijë.  </w:t>
      </w:r>
    </w:p>
    <w:p w:rsidR="004C19BB" w:rsidRPr="004C19BB" w:rsidRDefault="004C19BB" w:rsidP="004C19BB">
      <w:pPr>
        <w:jc w:val="both"/>
        <w:rPr>
          <w:lang w:val="it-IT"/>
        </w:rPr>
      </w:pPr>
    </w:p>
    <w:p w:rsidR="004C19BB" w:rsidRPr="004C19BB" w:rsidRDefault="004C19BB" w:rsidP="004C19BB">
      <w:pPr>
        <w:jc w:val="both"/>
        <w:rPr>
          <w:b/>
          <w:i/>
          <w:lang w:val="it-IT"/>
        </w:rPr>
      </w:pPr>
      <w:r w:rsidRPr="004C19BB">
        <w:rPr>
          <w:b/>
          <w:i/>
          <w:lang w:val="it-IT"/>
        </w:rPr>
        <w:t>Taksa Nacionale dhe të tjera</w:t>
      </w:r>
    </w:p>
    <w:p w:rsidR="004C19BB" w:rsidRPr="004C19BB" w:rsidRDefault="004C19BB" w:rsidP="004C19BB">
      <w:pPr>
        <w:spacing w:before="100"/>
        <w:jc w:val="both"/>
        <w:rPr>
          <w:lang w:val="fr-FR"/>
        </w:rPr>
      </w:pPr>
      <w:r w:rsidRPr="004C19BB">
        <w:rPr>
          <w:lang w:val="fr-FR"/>
        </w:rPr>
        <w:t xml:space="preserve">Të ardhurat nga taksat nacionale, pritet të kenë realizim </w:t>
      </w:r>
      <w:r w:rsidRPr="004C19BB">
        <w:rPr>
          <w:lang w:val="it-IT"/>
        </w:rPr>
        <w:t xml:space="preserve">në përputhje me planin </w:t>
      </w:r>
      <w:r w:rsidRPr="004C19BB">
        <w:rPr>
          <w:lang w:val="fr-FR"/>
        </w:rPr>
        <w:t>në masën 33 miliard lekë</w:t>
      </w:r>
    </w:p>
    <w:p w:rsidR="004C19BB" w:rsidRPr="004C19BB" w:rsidRDefault="004C19BB" w:rsidP="004C19BB">
      <w:pPr>
        <w:jc w:val="both"/>
        <w:rPr>
          <w:b/>
          <w:lang w:val="it-IT"/>
        </w:rPr>
      </w:pPr>
    </w:p>
    <w:p w:rsidR="004C19BB" w:rsidRPr="004C19BB" w:rsidRDefault="004C19BB" w:rsidP="00534AA6">
      <w:pPr>
        <w:numPr>
          <w:ilvl w:val="0"/>
          <w:numId w:val="147"/>
        </w:numPr>
        <w:spacing w:line="276" w:lineRule="auto"/>
        <w:contextualSpacing/>
        <w:jc w:val="both"/>
        <w:rPr>
          <w:b/>
          <w:lang w:val="it-IT"/>
        </w:rPr>
      </w:pPr>
      <w:r w:rsidRPr="004C19BB">
        <w:rPr>
          <w:b/>
          <w:lang w:val="it-IT"/>
        </w:rPr>
        <w:t>Pritshmëria e të ardhurave nga Fondet Speciale</w:t>
      </w:r>
    </w:p>
    <w:p w:rsidR="004C19BB" w:rsidRPr="004C19BB" w:rsidRDefault="004C19BB" w:rsidP="004C19BB">
      <w:pPr>
        <w:spacing w:before="100"/>
        <w:jc w:val="both"/>
        <w:rPr>
          <w:lang w:val="it-IT"/>
        </w:rPr>
      </w:pPr>
      <w:r w:rsidRPr="004C19BB">
        <w:rPr>
          <w:lang w:val="it-IT"/>
        </w:rPr>
        <w:t xml:space="preserve">Të ardhurat nga Kontributet e Sigurimeve Shoqërore dhe Shëndetësore për vitin 2016, priten të realizohen në përputhje me planin , në masën 77.5 miliard lekë. </w:t>
      </w:r>
    </w:p>
    <w:p w:rsidR="004C19BB" w:rsidRPr="004C19BB" w:rsidRDefault="004C19BB" w:rsidP="004C19BB">
      <w:pPr>
        <w:jc w:val="center"/>
        <w:rPr>
          <w:sz w:val="20"/>
          <w:szCs w:val="20"/>
          <w:lang w:val="sq-AL"/>
        </w:rPr>
      </w:pPr>
      <w:r w:rsidRPr="004C19BB">
        <w:rPr>
          <w:i/>
          <w:lang w:val="it-IT"/>
        </w:rPr>
        <w:t xml:space="preserve">                                                                                                                </w:t>
      </w:r>
      <w:r w:rsidRPr="004C19BB">
        <w:rPr>
          <w:rFonts w:eastAsia="Calibri"/>
          <w:i/>
          <w:sz w:val="20"/>
          <w:szCs w:val="20"/>
          <w:lang w:val="sq-AL"/>
        </w:rPr>
        <w:t>(në milion lekë)</w:t>
      </w:r>
    </w:p>
    <w:p w:rsidR="004C19BB" w:rsidRPr="004C19BB" w:rsidRDefault="004C19BB" w:rsidP="004C19BB">
      <w:pPr>
        <w:jc w:val="right"/>
        <w:rPr>
          <w:i/>
          <w:sz w:val="8"/>
          <w:lang w:val="it-IT"/>
        </w:rPr>
      </w:pPr>
    </w:p>
    <w:tbl>
      <w:tblPr>
        <w:tblW w:w="9610" w:type="dxa"/>
        <w:tblInd w:w="108" w:type="dxa"/>
        <w:tblLook w:val="04A0" w:firstRow="1" w:lastRow="0" w:firstColumn="1" w:lastColumn="0" w:noHBand="0" w:noVBand="1"/>
      </w:tblPr>
      <w:tblGrid>
        <w:gridCol w:w="2405"/>
        <w:gridCol w:w="2259"/>
        <w:gridCol w:w="2611"/>
        <w:gridCol w:w="2335"/>
      </w:tblGrid>
      <w:tr w:rsidR="004C19BB" w:rsidRPr="004C19BB" w:rsidTr="004C19BB">
        <w:trPr>
          <w:trHeight w:val="907"/>
        </w:trPr>
        <w:tc>
          <w:tcPr>
            <w:tcW w:w="2405" w:type="dxa"/>
            <w:tcBorders>
              <w:top w:val="single" w:sz="8" w:space="0" w:color="auto"/>
              <w:left w:val="nil"/>
              <w:bottom w:val="double" w:sz="6" w:space="0" w:color="auto"/>
              <w:right w:val="nil"/>
            </w:tcBorders>
            <w:shd w:val="clear" w:color="auto" w:fill="auto"/>
            <w:vAlign w:val="center"/>
            <w:hideMark/>
          </w:tcPr>
          <w:p w:rsidR="004C19BB" w:rsidRPr="004C19BB" w:rsidRDefault="004C19BB" w:rsidP="004C19BB">
            <w:pPr>
              <w:rPr>
                <w:rFonts w:eastAsia="Times New Roman"/>
                <w:b/>
                <w:bCs/>
                <w:color w:val="000000"/>
                <w:sz w:val="20"/>
                <w:szCs w:val="20"/>
                <w:lang w:val="sq-AL" w:eastAsia="sq-AL"/>
              </w:rPr>
            </w:pPr>
            <w:r w:rsidRPr="004C19BB">
              <w:rPr>
                <w:rFonts w:eastAsia="Times New Roman"/>
                <w:b/>
                <w:bCs/>
                <w:color w:val="000000"/>
                <w:sz w:val="20"/>
                <w:szCs w:val="20"/>
                <w:lang w:val="it-IT" w:eastAsia="sq-AL"/>
              </w:rPr>
              <w:t>Kontributet e sigurimeve shoqërore dhe shëndetësore</w:t>
            </w:r>
          </w:p>
        </w:tc>
        <w:tc>
          <w:tcPr>
            <w:tcW w:w="2259" w:type="dxa"/>
            <w:tcBorders>
              <w:top w:val="single" w:sz="8" w:space="0" w:color="auto"/>
              <w:left w:val="nil"/>
              <w:bottom w:val="double" w:sz="6" w:space="0" w:color="auto"/>
              <w:right w:val="nil"/>
            </w:tcBorders>
            <w:shd w:val="clear" w:color="auto" w:fill="auto"/>
            <w:noWrap/>
            <w:vAlign w:val="center"/>
            <w:hideMark/>
          </w:tcPr>
          <w:p w:rsidR="004C19BB" w:rsidRPr="004C19BB" w:rsidRDefault="004C19BB" w:rsidP="004C19BB">
            <w:pPr>
              <w:jc w:val="center"/>
              <w:rPr>
                <w:rFonts w:eastAsia="Times New Roman"/>
                <w:b/>
                <w:bCs/>
                <w:color w:val="000000"/>
                <w:sz w:val="20"/>
                <w:szCs w:val="20"/>
                <w:lang w:val="sq-AL" w:eastAsia="sq-AL"/>
              </w:rPr>
            </w:pPr>
            <w:r w:rsidRPr="004C19BB">
              <w:rPr>
                <w:rFonts w:eastAsia="Times New Roman"/>
                <w:b/>
                <w:bCs/>
                <w:color w:val="000000"/>
                <w:sz w:val="20"/>
                <w:szCs w:val="20"/>
                <w:lang w:eastAsia="sq-AL"/>
              </w:rPr>
              <w:t>Buxheti zyrtar 2016</w:t>
            </w:r>
          </w:p>
        </w:tc>
        <w:tc>
          <w:tcPr>
            <w:tcW w:w="2611" w:type="dxa"/>
            <w:tcBorders>
              <w:top w:val="single" w:sz="8" w:space="0" w:color="auto"/>
              <w:left w:val="nil"/>
              <w:bottom w:val="double" w:sz="6" w:space="0" w:color="auto"/>
              <w:right w:val="nil"/>
            </w:tcBorders>
            <w:shd w:val="clear" w:color="auto" w:fill="auto"/>
            <w:noWrap/>
            <w:vAlign w:val="center"/>
            <w:hideMark/>
          </w:tcPr>
          <w:p w:rsidR="004C19BB" w:rsidRPr="004C19BB" w:rsidRDefault="004C19BB" w:rsidP="004C19BB">
            <w:pPr>
              <w:jc w:val="center"/>
              <w:rPr>
                <w:rFonts w:eastAsia="Times New Roman"/>
                <w:b/>
                <w:bCs/>
                <w:color w:val="000000"/>
                <w:sz w:val="20"/>
                <w:szCs w:val="20"/>
                <w:lang w:val="sq-AL" w:eastAsia="sq-AL"/>
              </w:rPr>
            </w:pPr>
            <w:r w:rsidRPr="004C19BB">
              <w:rPr>
                <w:rFonts w:eastAsia="Times New Roman"/>
                <w:b/>
                <w:bCs/>
                <w:color w:val="000000"/>
                <w:sz w:val="20"/>
                <w:szCs w:val="20"/>
                <w:lang w:eastAsia="sq-AL"/>
              </w:rPr>
              <w:t>Vlerësim Buxheti 2016</w:t>
            </w:r>
          </w:p>
        </w:tc>
        <w:tc>
          <w:tcPr>
            <w:tcW w:w="2335" w:type="dxa"/>
            <w:tcBorders>
              <w:top w:val="single" w:sz="8" w:space="0" w:color="auto"/>
              <w:left w:val="nil"/>
              <w:bottom w:val="double" w:sz="6" w:space="0" w:color="auto"/>
              <w:right w:val="nil"/>
            </w:tcBorders>
            <w:shd w:val="clear" w:color="auto" w:fill="auto"/>
            <w:noWrap/>
            <w:vAlign w:val="center"/>
            <w:hideMark/>
          </w:tcPr>
          <w:p w:rsidR="004C19BB" w:rsidRPr="004C19BB" w:rsidRDefault="004C19BB" w:rsidP="004C19BB">
            <w:pPr>
              <w:jc w:val="center"/>
              <w:rPr>
                <w:rFonts w:eastAsia="Times New Roman"/>
                <w:b/>
                <w:bCs/>
                <w:color w:val="000000"/>
                <w:sz w:val="20"/>
                <w:szCs w:val="20"/>
                <w:lang w:val="sq-AL" w:eastAsia="sq-AL"/>
              </w:rPr>
            </w:pPr>
            <w:r w:rsidRPr="004C19BB">
              <w:rPr>
                <w:rFonts w:eastAsia="Times New Roman"/>
                <w:b/>
                <w:bCs/>
                <w:color w:val="000000"/>
                <w:sz w:val="20"/>
                <w:szCs w:val="20"/>
                <w:lang w:eastAsia="sq-AL"/>
              </w:rPr>
              <w:t>Vl. 2016/Buxh. 2016</w:t>
            </w:r>
          </w:p>
        </w:tc>
      </w:tr>
      <w:tr w:rsidR="004C19BB" w:rsidRPr="004C19BB" w:rsidTr="004C19BB">
        <w:trPr>
          <w:trHeight w:val="463"/>
        </w:trPr>
        <w:tc>
          <w:tcPr>
            <w:tcW w:w="2405" w:type="dxa"/>
            <w:tcBorders>
              <w:top w:val="nil"/>
              <w:left w:val="nil"/>
              <w:bottom w:val="nil"/>
              <w:right w:val="nil"/>
            </w:tcBorders>
            <w:shd w:val="clear" w:color="auto" w:fill="auto"/>
            <w:noWrap/>
            <w:vAlign w:val="center"/>
            <w:hideMark/>
          </w:tcPr>
          <w:p w:rsidR="004C19BB" w:rsidRPr="004C19BB" w:rsidRDefault="004C19BB" w:rsidP="004C19BB">
            <w:pPr>
              <w:rPr>
                <w:rFonts w:eastAsia="Times New Roman"/>
                <w:color w:val="000000"/>
                <w:sz w:val="20"/>
                <w:szCs w:val="20"/>
                <w:lang w:val="sq-AL" w:eastAsia="sq-AL"/>
              </w:rPr>
            </w:pPr>
            <w:r w:rsidRPr="004C19BB">
              <w:rPr>
                <w:rFonts w:eastAsia="Times New Roman"/>
                <w:color w:val="000000"/>
                <w:sz w:val="20"/>
                <w:szCs w:val="20"/>
                <w:lang w:eastAsia="sq-AL"/>
              </w:rPr>
              <w:t>DPT</w:t>
            </w:r>
          </w:p>
        </w:tc>
        <w:tc>
          <w:tcPr>
            <w:tcW w:w="2259" w:type="dxa"/>
            <w:tcBorders>
              <w:top w:val="nil"/>
              <w:left w:val="nil"/>
              <w:bottom w:val="nil"/>
              <w:right w:val="nil"/>
            </w:tcBorders>
            <w:shd w:val="clear" w:color="auto" w:fill="auto"/>
            <w:noWrap/>
            <w:vAlign w:val="center"/>
            <w:hideMark/>
          </w:tcPr>
          <w:p w:rsidR="004C19BB" w:rsidRPr="004C19BB" w:rsidRDefault="004C19BB" w:rsidP="004C19BB">
            <w:pPr>
              <w:jc w:val="center"/>
              <w:rPr>
                <w:rFonts w:eastAsia="Times New Roman"/>
                <w:color w:val="000000"/>
                <w:sz w:val="20"/>
                <w:szCs w:val="20"/>
                <w:lang w:val="sq-AL" w:eastAsia="sq-AL"/>
              </w:rPr>
            </w:pPr>
            <w:r w:rsidRPr="004C19BB">
              <w:rPr>
                <w:rFonts w:eastAsia="Times New Roman"/>
                <w:color w:val="000000"/>
                <w:sz w:val="20"/>
                <w:szCs w:val="20"/>
                <w:lang w:eastAsia="sq-AL"/>
              </w:rPr>
              <w:t>74,454</w:t>
            </w:r>
          </w:p>
        </w:tc>
        <w:tc>
          <w:tcPr>
            <w:tcW w:w="2611" w:type="dxa"/>
            <w:tcBorders>
              <w:top w:val="nil"/>
              <w:left w:val="nil"/>
              <w:bottom w:val="nil"/>
              <w:right w:val="nil"/>
            </w:tcBorders>
            <w:shd w:val="clear" w:color="auto" w:fill="auto"/>
            <w:noWrap/>
            <w:vAlign w:val="center"/>
            <w:hideMark/>
          </w:tcPr>
          <w:p w:rsidR="004C19BB" w:rsidRPr="004C19BB" w:rsidRDefault="004C19BB" w:rsidP="004C19BB">
            <w:pPr>
              <w:jc w:val="center"/>
              <w:rPr>
                <w:rFonts w:eastAsia="Times New Roman"/>
                <w:color w:val="000000"/>
                <w:sz w:val="20"/>
                <w:szCs w:val="20"/>
                <w:lang w:val="sq-AL" w:eastAsia="sq-AL"/>
              </w:rPr>
            </w:pPr>
            <w:r w:rsidRPr="004C19BB">
              <w:rPr>
                <w:rFonts w:eastAsia="Times New Roman"/>
                <w:color w:val="000000"/>
                <w:sz w:val="20"/>
                <w:szCs w:val="20"/>
                <w:lang w:val="sq-AL" w:eastAsia="sq-AL"/>
              </w:rPr>
              <w:t>74,500</w:t>
            </w:r>
          </w:p>
        </w:tc>
        <w:tc>
          <w:tcPr>
            <w:tcW w:w="2335" w:type="dxa"/>
            <w:tcBorders>
              <w:top w:val="nil"/>
              <w:left w:val="nil"/>
              <w:bottom w:val="nil"/>
              <w:right w:val="nil"/>
            </w:tcBorders>
            <w:shd w:val="clear" w:color="auto" w:fill="auto"/>
            <w:noWrap/>
            <w:vAlign w:val="center"/>
            <w:hideMark/>
          </w:tcPr>
          <w:p w:rsidR="004C19BB" w:rsidRPr="004C19BB" w:rsidRDefault="004C19BB" w:rsidP="004C19BB">
            <w:pPr>
              <w:jc w:val="center"/>
              <w:rPr>
                <w:rFonts w:eastAsia="Times New Roman"/>
                <w:color w:val="000000"/>
                <w:sz w:val="20"/>
                <w:szCs w:val="20"/>
                <w:lang w:val="sq-AL" w:eastAsia="sq-AL"/>
              </w:rPr>
            </w:pPr>
            <w:r w:rsidRPr="004C19BB">
              <w:rPr>
                <w:rFonts w:eastAsia="Times New Roman"/>
                <w:color w:val="000000"/>
                <w:sz w:val="20"/>
                <w:szCs w:val="20"/>
                <w:lang w:val="sq-AL" w:eastAsia="sq-AL"/>
              </w:rPr>
              <w:t>46</w:t>
            </w:r>
          </w:p>
        </w:tc>
      </w:tr>
      <w:tr w:rsidR="004C19BB" w:rsidRPr="004C19BB" w:rsidTr="004C19BB">
        <w:trPr>
          <w:trHeight w:val="463"/>
        </w:trPr>
        <w:tc>
          <w:tcPr>
            <w:tcW w:w="2405" w:type="dxa"/>
            <w:tcBorders>
              <w:top w:val="nil"/>
              <w:left w:val="nil"/>
              <w:bottom w:val="nil"/>
              <w:right w:val="nil"/>
            </w:tcBorders>
            <w:shd w:val="clear" w:color="auto" w:fill="auto"/>
            <w:noWrap/>
            <w:vAlign w:val="center"/>
            <w:hideMark/>
          </w:tcPr>
          <w:p w:rsidR="004C19BB" w:rsidRPr="004C19BB" w:rsidRDefault="004C19BB" w:rsidP="004C19BB">
            <w:pPr>
              <w:rPr>
                <w:rFonts w:eastAsia="Times New Roman"/>
                <w:color w:val="000000"/>
                <w:sz w:val="20"/>
                <w:szCs w:val="20"/>
                <w:lang w:val="sq-AL" w:eastAsia="sq-AL"/>
              </w:rPr>
            </w:pPr>
            <w:r w:rsidRPr="004C19BB">
              <w:rPr>
                <w:rFonts w:eastAsia="Times New Roman"/>
                <w:color w:val="000000"/>
                <w:sz w:val="20"/>
                <w:szCs w:val="20"/>
                <w:lang w:eastAsia="sq-AL"/>
              </w:rPr>
              <w:t>ISSH</w:t>
            </w:r>
          </w:p>
        </w:tc>
        <w:tc>
          <w:tcPr>
            <w:tcW w:w="2259" w:type="dxa"/>
            <w:tcBorders>
              <w:top w:val="nil"/>
              <w:left w:val="nil"/>
              <w:bottom w:val="nil"/>
              <w:right w:val="nil"/>
            </w:tcBorders>
            <w:shd w:val="clear" w:color="auto" w:fill="auto"/>
            <w:noWrap/>
            <w:vAlign w:val="center"/>
            <w:hideMark/>
          </w:tcPr>
          <w:p w:rsidR="004C19BB" w:rsidRPr="004C19BB" w:rsidRDefault="004C19BB" w:rsidP="004C19BB">
            <w:pPr>
              <w:jc w:val="center"/>
              <w:rPr>
                <w:rFonts w:eastAsia="Times New Roman"/>
                <w:color w:val="000000"/>
                <w:sz w:val="20"/>
                <w:szCs w:val="20"/>
                <w:lang w:val="sq-AL" w:eastAsia="sq-AL"/>
              </w:rPr>
            </w:pPr>
            <w:r w:rsidRPr="004C19BB">
              <w:rPr>
                <w:rFonts w:eastAsia="Times New Roman"/>
                <w:color w:val="000000"/>
                <w:sz w:val="20"/>
                <w:szCs w:val="20"/>
                <w:lang w:eastAsia="sq-AL"/>
              </w:rPr>
              <w:t>2,869</w:t>
            </w:r>
          </w:p>
        </w:tc>
        <w:tc>
          <w:tcPr>
            <w:tcW w:w="2611" w:type="dxa"/>
            <w:tcBorders>
              <w:top w:val="nil"/>
              <w:left w:val="nil"/>
              <w:bottom w:val="nil"/>
              <w:right w:val="nil"/>
            </w:tcBorders>
            <w:shd w:val="clear" w:color="auto" w:fill="auto"/>
            <w:noWrap/>
            <w:vAlign w:val="center"/>
            <w:hideMark/>
          </w:tcPr>
          <w:p w:rsidR="004C19BB" w:rsidRPr="004C19BB" w:rsidRDefault="004C19BB" w:rsidP="004C19BB">
            <w:pPr>
              <w:jc w:val="center"/>
              <w:rPr>
                <w:rFonts w:eastAsia="Times New Roman"/>
                <w:color w:val="000000"/>
                <w:sz w:val="20"/>
                <w:szCs w:val="20"/>
                <w:lang w:val="sq-AL" w:eastAsia="sq-AL"/>
              </w:rPr>
            </w:pPr>
            <w:r w:rsidRPr="004C19BB">
              <w:rPr>
                <w:rFonts w:eastAsia="Times New Roman"/>
                <w:color w:val="000000"/>
                <w:sz w:val="20"/>
                <w:szCs w:val="20"/>
                <w:lang w:val="sq-AL" w:eastAsia="sq-AL"/>
              </w:rPr>
              <w:t>2,841</w:t>
            </w:r>
          </w:p>
        </w:tc>
        <w:tc>
          <w:tcPr>
            <w:tcW w:w="2335" w:type="dxa"/>
            <w:tcBorders>
              <w:top w:val="nil"/>
              <w:left w:val="nil"/>
              <w:bottom w:val="nil"/>
              <w:right w:val="nil"/>
            </w:tcBorders>
            <w:shd w:val="clear" w:color="auto" w:fill="auto"/>
            <w:noWrap/>
            <w:vAlign w:val="center"/>
            <w:hideMark/>
          </w:tcPr>
          <w:p w:rsidR="004C19BB" w:rsidRPr="004C19BB" w:rsidRDefault="004C19BB" w:rsidP="004C19BB">
            <w:pPr>
              <w:jc w:val="center"/>
              <w:rPr>
                <w:rFonts w:eastAsia="Times New Roman"/>
                <w:color w:val="000000"/>
                <w:sz w:val="20"/>
                <w:szCs w:val="20"/>
                <w:lang w:val="sq-AL" w:eastAsia="sq-AL"/>
              </w:rPr>
            </w:pPr>
            <w:r w:rsidRPr="004C19BB">
              <w:rPr>
                <w:rFonts w:eastAsia="Times New Roman"/>
                <w:color w:val="000000"/>
                <w:sz w:val="20"/>
                <w:szCs w:val="20"/>
                <w:lang w:val="sq-AL" w:eastAsia="sq-AL"/>
              </w:rPr>
              <w:t>-28</w:t>
            </w:r>
          </w:p>
        </w:tc>
      </w:tr>
      <w:tr w:rsidR="004C19BB" w:rsidRPr="004C19BB" w:rsidTr="004C19BB">
        <w:trPr>
          <w:trHeight w:val="463"/>
        </w:trPr>
        <w:tc>
          <w:tcPr>
            <w:tcW w:w="2405" w:type="dxa"/>
            <w:tcBorders>
              <w:top w:val="nil"/>
              <w:left w:val="nil"/>
              <w:bottom w:val="nil"/>
              <w:right w:val="nil"/>
            </w:tcBorders>
            <w:shd w:val="clear" w:color="auto" w:fill="auto"/>
            <w:noWrap/>
            <w:vAlign w:val="center"/>
            <w:hideMark/>
          </w:tcPr>
          <w:p w:rsidR="004C19BB" w:rsidRPr="004C19BB" w:rsidRDefault="004C19BB" w:rsidP="004C19BB">
            <w:pPr>
              <w:rPr>
                <w:rFonts w:eastAsia="Times New Roman"/>
                <w:color w:val="000000"/>
                <w:sz w:val="20"/>
                <w:szCs w:val="20"/>
                <w:lang w:val="sq-AL" w:eastAsia="sq-AL"/>
              </w:rPr>
            </w:pPr>
            <w:r w:rsidRPr="004C19BB">
              <w:rPr>
                <w:rFonts w:eastAsia="Times New Roman"/>
                <w:color w:val="000000"/>
                <w:sz w:val="20"/>
                <w:szCs w:val="20"/>
                <w:lang w:eastAsia="sq-AL"/>
              </w:rPr>
              <w:t>FSDKSH</w:t>
            </w:r>
          </w:p>
        </w:tc>
        <w:tc>
          <w:tcPr>
            <w:tcW w:w="2259" w:type="dxa"/>
            <w:tcBorders>
              <w:top w:val="nil"/>
              <w:left w:val="nil"/>
              <w:bottom w:val="nil"/>
              <w:right w:val="nil"/>
            </w:tcBorders>
            <w:shd w:val="clear" w:color="auto" w:fill="auto"/>
            <w:noWrap/>
            <w:vAlign w:val="center"/>
            <w:hideMark/>
          </w:tcPr>
          <w:p w:rsidR="004C19BB" w:rsidRPr="004C19BB" w:rsidRDefault="004C19BB" w:rsidP="004C19BB">
            <w:pPr>
              <w:jc w:val="center"/>
              <w:rPr>
                <w:rFonts w:eastAsia="Times New Roman"/>
                <w:color w:val="000000"/>
                <w:sz w:val="20"/>
                <w:szCs w:val="20"/>
                <w:lang w:val="sq-AL" w:eastAsia="sq-AL"/>
              </w:rPr>
            </w:pPr>
            <w:r w:rsidRPr="004C19BB">
              <w:rPr>
                <w:rFonts w:eastAsia="Times New Roman"/>
                <w:color w:val="000000"/>
                <w:sz w:val="20"/>
                <w:szCs w:val="20"/>
                <w:lang w:eastAsia="sq-AL"/>
              </w:rPr>
              <w:t>178</w:t>
            </w:r>
          </w:p>
        </w:tc>
        <w:tc>
          <w:tcPr>
            <w:tcW w:w="2611" w:type="dxa"/>
            <w:tcBorders>
              <w:top w:val="nil"/>
              <w:left w:val="nil"/>
              <w:bottom w:val="nil"/>
              <w:right w:val="nil"/>
            </w:tcBorders>
            <w:shd w:val="clear" w:color="auto" w:fill="auto"/>
            <w:noWrap/>
            <w:vAlign w:val="bottom"/>
            <w:hideMark/>
          </w:tcPr>
          <w:p w:rsidR="004C19BB" w:rsidRPr="004C19BB" w:rsidRDefault="004C19BB" w:rsidP="004C19BB">
            <w:pPr>
              <w:jc w:val="center"/>
              <w:rPr>
                <w:rFonts w:eastAsia="Times New Roman"/>
                <w:color w:val="000000"/>
                <w:sz w:val="20"/>
                <w:szCs w:val="20"/>
                <w:lang w:val="sq-AL" w:eastAsia="sq-AL"/>
              </w:rPr>
            </w:pPr>
            <w:r w:rsidRPr="004C19BB">
              <w:rPr>
                <w:rFonts w:eastAsia="Times New Roman"/>
                <w:color w:val="000000"/>
                <w:sz w:val="20"/>
                <w:szCs w:val="20"/>
                <w:lang w:val="sq-AL" w:eastAsia="sq-AL"/>
              </w:rPr>
              <w:t>160</w:t>
            </w:r>
          </w:p>
        </w:tc>
        <w:tc>
          <w:tcPr>
            <w:tcW w:w="2335" w:type="dxa"/>
            <w:tcBorders>
              <w:top w:val="nil"/>
              <w:left w:val="nil"/>
              <w:bottom w:val="nil"/>
              <w:right w:val="nil"/>
            </w:tcBorders>
            <w:shd w:val="clear" w:color="auto" w:fill="auto"/>
            <w:noWrap/>
            <w:vAlign w:val="center"/>
            <w:hideMark/>
          </w:tcPr>
          <w:p w:rsidR="004C19BB" w:rsidRPr="004C19BB" w:rsidRDefault="004C19BB" w:rsidP="004C19BB">
            <w:pPr>
              <w:jc w:val="center"/>
              <w:rPr>
                <w:rFonts w:eastAsia="Times New Roman"/>
                <w:color w:val="000000"/>
                <w:sz w:val="20"/>
                <w:szCs w:val="20"/>
                <w:lang w:val="sq-AL" w:eastAsia="sq-AL"/>
              </w:rPr>
            </w:pPr>
            <w:r w:rsidRPr="004C19BB">
              <w:rPr>
                <w:rFonts w:eastAsia="Times New Roman"/>
                <w:color w:val="000000"/>
                <w:sz w:val="20"/>
                <w:szCs w:val="20"/>
                <w:lang w:val="sq-AL" w:eastAsia="sq-AL"/>
              </w:rPr>
              <w:t>-18</w:t>
            </w:r>
          </w:p>
        </w:tc>
      </w:tr>
      <w:tr w:rsidR="004C19BB" w:rsidRPr="004C19BB" w:rsidTr="004C19BB">
        <w:trPr>
          <w:trHeight w:val="70"/>
        </w:trPr>
        <w:tc>
          <w:tcPr>
            <w:tcW w:w="2405" w:type="dxa"/>
            <w:tcBorders>
              <w:top w:val="single" w:sz="4" w:space="0" w:color="auto"/>
              <w:left w:val="nil"/>
              <w:bottom w:val="double" w:sz="6" w:space="0" w:color="auto"/>
              <w:right w:val="nil"/>
            </w:tcBorders>
            <w:shd w:val="clear" w:color="auto" w:fill="auto"/>
            <w:noWrap/>
            <w:vAlign w:val="center"/>
            <w:hideMark/>
          </w:tcPr>
          <w:p w:rsidR="004C19BB" w:rsidRPr="004C19BB" w:rsidRDefault="004C19BB" w:rsidP="004C19BB">
            <w:pPr>
              <w:rPr>
                <w:rFonts w:eastAsia="Times New Roman"/>
                <w:b/>
                <w:bCs/>
                <w:color w:val="000000"/>
                <w:sz w:val="20"/>
                <w:szCs w:val="20"/>
                <w:lang w:val="sq-AL" w:eastAsia="sq-AL"/>
              </w:rPr>
            </w:pPr>
            <w:r w:rsidRPr="004C19BB">
              <w:rPr>
                <w:rFonts w:eastAsia="Times New Roman"/>
                <w:b/>
                <w:bCs/>
                <w:color w:val="000000"/>
                <w:sz w:val="20"/>
                <w:szCs w:val="20"/>
                <w:lang w:val="sq-AL" w:eastAsia="sq-AL"/>
              </w:rPr>
              <w:t>Totali</w:t>
            </w:r>
          </w:p>
        </w:tc>
        <w:tc>
          <w:tcPr>
            <w:tcW w:w="2259" w:type="dxa"/>
            <w:tcBorders>
              <w:top w:val="single" w:sz="4" w:space="0" w:color="auto"/>
              <w:left w:val="nil"/>
              <w:bottom w:val="double" w:sz="6" w:space="0" w:color="auto"/>
              <w:right w:val="nil"/>
            </w:tcBorders>
            <w:shd w:val="clear" w:color="auto" w:fill="auto"/>
            <w:noWrap/>
            <w:vAlign w:val="center"/>
            <w:hideMark/>
          </w:tcPr>
          <w:p w:rsidR="004C19BB" w:rsidRPr="004C19BB" w:rsidRDefault="004C19BB" w:rsidP="004C19BB">
            <w:pPr>
              <w:jc w:val="center"/>
              <w:rPr>
                <w:rFonts w:eastAsia="Times New Roman"/>
                <w:color w:val="000000"/>
                <w:sz w:val="20"/>
                <w:szCs w:val="20"/>
                <w:lang w:val="sq-AL" w:eastAsia="sq-AL"/>
              </w:rPr>
            </w:pPr>
            <w:r w:rsidRPr="004C19BB">
              <w:rPr>
                <w:rFonts w:eastAsia="Times New Roman"/>
                <w:color w:val="000000"/>
                <w:sz w:val="20"/>
                <w:szCs w:val="20"/>
                <w:lang w:val="sq-AL" w:eastAsia="sq-AL"/>
              </w:rPr>
              <w:t>77,501</w:t>
            </w:r>
          </w:p>
        </w:tc>
        <w:tc>
          <w:tcPr>
            <w:tcW w:w="2611" w:type="dxa"/>
            <w:tcBorders>
              <w:top w:val="single" w:sz="4" w:space="0" w:color="auto"/>
              <w:left w:val="nil"/>
              <w:bottom w:val="double" w:sz="6" w:space="0" w:color="auto"/>
              <w:right w:val="nil"/>
            </w:tcBorders>
            <w:shd w:val="clear" w:color="auto" w:fill="auto"/>
            <w:noWrap/>
            <w:vAlign w:val="center"/>
            <w:hideMark/>
          </w:tcPr>
          <w:p w:rsidR="004C19BB" w:rsidRPr="004C19BB" w:rsidRDefault="004C19BB" w:rsidP="004C19BB">
            <w:pPr>
              <w:jc w:val="center"/>
              <w:rPr>
                <w:rFonts w:eastAsia="Times New Roman"/>
                <w:color w:val="000000"/>
                <w:sz w:val="20"/>
                <w:szCs w:val="20"/>
                <w:lang w:val="sq-AL" w:eastAsia="sq-AL"/>
              </w:rPr>
            </w:pPr>
            <w:r w:rsidRPr="004C19BB">
              <w:rPr>
                <w:rFonts w:eastAsia="Times New Roman"/>
                <w:color w:val="000000"/>
                <w:sz w:val="20"/>
                <w:szCs w:val="20"/>
                <w:lang w:val="sq-AL" w:eastAsia="sq-AL"/>
              </w:rPr>
              <w:t>77,501</w:t>
            </w:r>
          </w:p>
        </w:tc>
        <w:tc>
          <w:tcPr>
            <w:tcW w:w="2335" w:type="dxa"/>
            <w:tcBorders>
              <w:top w:val="single" w:sz="4" w:space="0" w:color="auto"/>
              <w:left w:val="nil"/>
              <w:bottom w:val="double" w:sz="6" w:space="0" w:color="auto"/>
              <w:right w:val="nil"/>
            </w:tcBorders>
            <w:shd w:val="clear" w:color="auto" w:fill="auto"/>
            <w:noWrap/>
            <w:vAlign w:val="center"/>
            <w:hideMark/>
          </w:tcPr>
          <w:p w:rsidR="004C19BB" w:rsidRPr="004C19BB" w:rsidRDefault="004C19BB" w:rsidP="004C19BB">
            <w:pPr>
              <w:jc w:val="center"/>
              <w:rPr>
                <w:rFonts w:eastAsia="Times New Roman"/>
                <w:color w:val="000000"/>
                <w:sz w:val="20"/>
                <w:szCs w:val="20"/>
                <w:lang w:val="sq-AL" w:eastAsia="sq-AL"/>
              </w:rPr>
            </w:pPr>
            <w:r w:rsidRPr="004C19BB">
              <w:rPr>
                <w:rFonts w:eastAsia="Times New Roman"/>
                <w:color w:val="000000"/>
                <w:sz w:val="20"/>
                <w:szCs w:val="20"/>
                <w:lang w:val="sq-AL" w:eastAsia="sq-AL"/>
              </w:rPr>
              <w:t>0</w:t>
            </w:r>
          </w:p>
        </w:tc>
      </w:tr>
    </w:tbl>
    <w:p w:rsidR="004C19BB" w:rsidRPr="004C19BB" w:rsidRDefault="004C19BB" w:rsidP="004C19BB">
      <w:pPr>
        <w:rPr>
          <w:lang w:val="sq-AL"/>
        </w:rPr>
      </w:pPr>
      <w:r w:rsidRPr="004C19BB">
        <w:rPr>
          <w:b/>
          <w:sz w:val="20"/>
          <w:szCs w:val="20"/>
          <w:lang w:val="sq-AL"/>
        </w:rPr>
        <w:t>Burimi:</w:t>
      </w:r>
      <w:r w:rsidRPr="004C19BB">
        <w:rPr>
          <w:b/>
          <w:i/>
          <w:sz w:val="20"/>
          <w:szCs w:val="20"/>
          <w:lang w:val="sq-AL"/>
        </w:rPr>
        <w:t xml:space="preserve"> </w:t>
      </w:r>
      <w:r w:rsidRPr="004C19BB">
        <w:rPr>
          <w:i/>
          <w:sz w:val="20"/>
          <w:szCs w:val="20"/>
          <w:lang w:val="sq-AL"/>
        </w:rPr>
        <w:t>Ministria e Financave (2016)</w:t>
      </w:r>
    </w:p>
    <w:p w:rsidR="004C19BB" w:rsidRPr="004C19BB" w:rsidRDefault="004C19BB" w:rsidP="004C19BB">
      <w:pPr>
        <w:jc w:val="both"/>
        <w:rPr>
          <w:bCs/>
          <w:lang w:val="fr-FR"/>
        </w:rPr>
      </w:pPr>
    </w:p>
    <w:p w:rsidR="004C19BB" w:rsidRPr="004C19BB" w:rsidRDefault="004C19BB" w:rsidP="004C19BB">
      <w:pPr>
        <w:jc w:val="both"/>
        <w:rPr>
          <w:bCs/>
          <w:lang w:val="fr-FR"/>
        </w:rPr>
      </w:pPr>
      <w:r w:rsidRPr="004C19BB">
        <w:rPr>
          <w:bCs/>
          <w:lang w:val="fr-FR"/>
        </w:rPr>
        <w:t>Numri mesatar i kontribuesve në 9-mujorin 2016, është rritur me 38,145 ose rreth 7% më shumë, krahasuar me të njëjtën periudhë të vitit 2015. Ky rezultat vjen në vazhdimësi të rritjes së numrit të kontribuesve</w:t>
      </w:r>
      <w:r w:rsidR="00CF5E6F">
        <w:rPr>
          <w:bCs/>
          <w:lang w:val="fr-FR"/>
        </w:rPr>
        <w:t xml:space="preserve"> prej vitit 2013 si në tabelë. </w:t>
      </w:r>
    </w:p>
    <w:p w:rsidR="004C19BB" w:rsidRPr="004C19BB" w:rsidRDefault="004C19BB" w:rsidP="004C19BB">
      <w:pPr>
        <w:jc w:val="both"/>
        <w:rPr>
          <w:bCs/>
          <w:lang w:val="fr-FR"/>
        </w:rPr>
      </w:pPr>
    </w:p>
    <w:p w:rsidR="004C19BB" w:rsidRPr="004C19BB" w:rsidRDefault="004C19BB" w:rsidP="004C19BB">
      <w:pPr>
        <w:jc w:val="both"/>
        <w:rPr>
          <w:bCs/>
          <w:lang w:val="fr-FR"/>
        </w:rPr>
      </w:pPr>
    </w:p>
    <w:tbl>
      <w:tblPr>
        <w:tblW w:w="7725" w:type="dxa"/>
        <w:jc w:val="center"/>
        <w:tblLook w:val="04A0" w:firstRow="1" w:lastRow="0" w:firstColumn="1" w:lastColumn="0" w:noHBand="0" w:noVBand="1"/>
      </w:tblPr>
      <w:tblGrid>
        <w:gridCol w:w="3893"/>
        <w:gridCol w:w="996"/>
        <w:gridCol w:w="996"/>
        <w:gridCol w:w="996"/>
        <w:gridCol w:w="996"/>
      </w:tblGrid>
      <w:tr w:rsidR="004C19BB" w:rsidRPr="004C19BB" w:rsidTr="004C19BB">
        <w:trPr>
          <w:trHeight w:val="570"/>
          <w:jc w:val="center"/>
        </w:trPr>
        <w:tc>
          <w:tcPr>
            <w:tcW w:w="3893" w:type="dxa"/>
            <w:tcBorders>
              <w:top w:val="single" w:sz="8" w:space="0" w:color="auto"/>
              <w:left w:val="nil"/>
              <w:bottom w:val="double" w:sz="6" w:space="0" w:color="auto"/>
              <w:right w:val="nil"/>
            </w:tcBorders>
            <w:noWrap/>
            <w:vAlign w:val="center"/>
            <w:hideMark/>
          </w:tcPr>
          <w:p w:rsidR="004C19BB" w:rsidRPr="004C19BB" w:rsidRDefault="004C19BB" w:rsidP="004C19BB">
            <w:pPr>
              <w:rPr>
                <w:rFonts w:ascii="Calibri" w:eastAsia="Times New Roman" w:hAnsi="Calibri" w:cs="Calibri"/>
                <w:color w:val="000000"/>
              </w:rPr>
            </w:pPr>
            <w:r w:rsidRPr="004C19BB">
              <w:rPr>
                <w:rFonts w:ascii="Calibri" w:eastAsia="Times New Roman" w:hAnsi="Calibri" w:cs="Calibri"/>
                <w:color w:val="000000"/>
              </w:rPr>
              <w:t> </w:t>
            </w:r>
          </w:p>
        </w:tc>
        <w:tc>
          <w:tcPr>
            <w:tcW w:w="958" w:type="dxa"/>
            <w:tcBorders>
              <w:top w:val="single" w:sz="8" w:space="0" w:color="auto"/>
              <w:left w:val="nil"/>
              <w:bottom w:val="double" w:sz="6" w:space="0" w:color="auto"/>
              <w:right w:val="nil"/>
            </w:tcBorders>
            <w:vAlign w:val="center"/>
            <w:hideMark/>
          </w:tcPr>
          <w:p w:rsidR="004C19BB" w:rsidRPr="004C19BB" w:rsidRDefault="004C19BB" w:rsidP="004C19BB">
            <w:pPr>
              <w:jc w:val="center"/>
              <w:rPr>
                <w:rFonts w:eastAsia="Times New Roman"/>
                <w:b/>
                <w:bCs/>
                <w:color w:val="000000"/>
              </w:rPr>
            </w:pPr>
            <w:r w:rsidRPr="004C19BB">
              <w:rPr>
                <w:rFonts w:eastAsia="Times New Roman"/>
                <w:b/>
                <w:bCs/>
                <w:color w:val="000000"/>
              </w:rPr>
              <w:t>Shtator 2013</w:t>
            </w:r>
          </w:p>
        </w:tc>
        <w:tc>
          <w:tcPr>
            <w:tcW w:w="958" w:type="dxa"/>
            <w:tcBorders>
              <w:top w:val="single" w:sz="8" w:space="0" w:color="auto"/>
              <w:left w:val="nil"/>
              <w:bottom w:val="double" w:sz="6" w:space="0" w:color="auto"/>
              <w:right w:val="nil"/>
            </w:tcBorders>
            <w:vAlign w:val="center"/>
            <w:hideMark/>
          </w:tcPr>
          <w:p w:rsidR="004C19BB" w:rsidRPr="004C19BB" w:rsidRDefault="004C19BB" w:rsidP="004C19BB">
            <w:pPr>
              <w:jc w:val="center"/>
              <w:rPr>
                <w:rFonts w:eastAsia="Times New Roman"/>
                <w:b/>
                <w:bCs/>
                <w:color w:val="000000"/>
              </w:rPr>
            </w:pPr>
            <w:r w:rsidRPr="004C19BB">
              <w:rPr>
                <w:rFonts w:eastAsia="Times New Roman"/>
                <w:b/>
                <w:bCs/>
                <w:color w:val="000000"/>
              </w:rPr>
              <w:t>Shtator 2014</w:t>
            </w:r>
          </w:p>
        </w:tc>
        <w:tc>
          <w:tcPr>
            <w:tcW w:w="958" w:type="dxa"/>
            <w:tcBorders>
              <w:top w:val="single" w:sz="8" w:space="0" w:color="auto"/>
              <w:left w:val="nil"/>
              <w:bottom w:val="double" w:sz="6" w:space="0" w:color="auto"/>
              <w:right w:val="nil"/>
            </w:tcBorders>
            <w:vAlign w:val="center"/>
            <w:hideMark/>
          </w:tcPr>
          <w:p w:rsidR="004C19BB" w:rsidRPr="004C19BB" w:rsidRDefault="004C19BB" w:rsidP="004C19BB">
            <w:pPr>
              <w:jc w:val="center"/>
              <w:rPr>
                <w:rFonts w:eastAsia="Times New Roman"/>
                <w:b/>
                <w:bCs/>
                <w:color w:val="000000"/>
              </w:rPr>
            </w:pPr>
            <w:r w:rsidRPr="004C19BB">
              <w:rPr>
                <w:rFonts w:eastAsia="Times New Roman"/>
                <w:b/>
                <w:bCs/>
                <w:color w:val="000000"/>
              </w:rPr>
              <w:t>Shtator 2015</w:t>
            </w:r>
          </w:p>
        </w:tc>
        <w:tc>
          <w:tcPr>
            <w:tcW w:w="958" w:type="dxa"/>
            <w:tcBorders>
              <w:top w:val="single" w:sz="8" w:space="0" w:color="auto"/>
              <w:left w:val="nil"/>
              <w:bottom w:val="double" w:sz="6" w:space="0" w:color="auto"/>
              <w:right w:val="nil"/>
            </w:tcBorders>
            <w:vAlign w:val="center"/>
            <w:hideMark/>
          </w:tcPr>
          <w:p w:rsidR="004C19BB" w:rsidRPr="004C19BB" w:rsidRDefault="004C19BB" w:rsidP="004C19BB">
            <w:pPr>
              <w:jc w:val="center"/>
              <w:rPr>
                <w:rFonts w:eastAsia="Times New Roman"/>
                <w:b/>
                <w:bCs/>
                <w:color w:val="000000"/>
              </w:rPr>
            </w:pPr>
            <w:r w:rsidRPr="004C19BB">
              <w:rPr>
                <w:rFonts w:eastAsia="Times New Roman"/>
                <w:b/>
                <w:bCs/>
                <w:color w:val="000000"/>
              </w:rPr>
              <w:t>Shtator 2016</w:t>
            </w:r>
          </w:p>
        </w:tc>
      </w:tr>
      <w:tr w:rsidR="004C19BB" w:rsidRPr="004C19BB" w:rsidTr="004C19BB">
        <w:trPr>
          <w:trHeight w:val="307"/>
          <w:jc w:val="center"/>
        </w:trPr>
        <w:tc>
          <w:tcPr>
            <w:tcW w:w="3893" w:type="dxa"/>
            <w:noWrap/>
            <w:vAlign w:val="center"/>
            <w:hideMark/>
          </w:tcPr>
          <w:p w:rsidR="004C19BB" w:rsidRPr="004C19BB" w:rsidRDefault="004C19BB" w:rsidP="004C19BB">
            <w:pPr>
              <w:rPr>
                <w:rFonts w:eastAsia="Times New Roman"/>
                <w:color w:val="000000"/>
              </w:rPr>
            </w:pPr>
            <w:r w:rsidRPr="004C19BB">
              <w:rPr>
                <w:rFonts w:eastAsia="Times New Roman"/>
                <w:color w:val="000000"/>
              </w:rPr>
              <w:t>Numër kontribuesish</w:t>
            </w:r>
          </w:p>
        </w:tc>
        <w:tc>
          <w:tcPr>
            <w:tcW w:w="958" w:type="dxa"/>
            <w:noWrap/>
            <w:vAlign w:val="center"/>
            <w:hideMark/>
          </w:tcPr>
          <w:p w:rsidR="004C19BB" w:rsidRPr="004C19BB" w:rsidRDefault="004C19BB" w:rsidP="004C19BB">
            <w:pPr>
              <w:jc w:val="right"/>
              <w:rPr>
                <w:rFonts w:eastAsia="Times New Roman"/>
                <w:color w:val="000000"/>
              </w:rPr>
            </w:pPr>
            <w:r w:rsidRPr="004C19BB">
              <w:rPr>
                <w:rFonts w:eastAsia="Times New Roman"/>
                <w:color w:val="000000"/>
              </w:rPr>
              <w:t>416,722</w:t>
            </w:r>
          </w:p>
        </w:tc>
        <w:tc>
          <w:tcPr>
            <w:tcW w:w="958" w:type="dxa"/>
            <w:noWrap/>
            <w:vAlign w:val="center"/>
            <w:hideMark/>
          </w:tcPr>
          <w:p w:rsidR="004C19BB" w:rsidRPr="004C19BB" w:rsidRDefault="004C19BB" w:rsidP="004C19BB">
            <w:pPr>
              <w:jc w:val="right"/>
              <w:rPr>
                <w:rFonts w:eastAsia="Times New Roman"/>
                <w:color w:val="000000"/>
              </w:rPr>
            </w:pPr>
            <w:r w:rsidRPr="004C19BB">
              <w:rPr>
                <w:rFonts w:eastAsia="Times New Roman"/>
                <w:color w:val="000000"/>
              </w:rPr>
              <w:t>453,338</w:t>
            </w:r>
          </w:p>
        </w:tc>
        <w:tc>
          <w:tcPr>
            <w:tcW w:w="958" w:type="dxa"/>
            <w:noWrap/>
            <w:vAlign w:val="center"/>
            <w:hideMark/>
          </w:tcPr>
          <w:p w:rsidR="004C19BB" w:rsidRPr="004C19BB" w:rsidRDefault="004C19BB" w:rsidP="004C19BB">
            <w:pPr>
              <w:jc w:val="right"/>
              <w:rPr>
                <w:rFonts w:eastAsia="Times New Roman"/>
                <w:color w:val="000000"/>
              </w:rPr>
            </w:pPr>
            <w:r w:rsidRPr="004C19BB">
              <w:rPr>
                <w:rFonts w:eastAsia="Times New Roman"/>
                <w:color w:val="000000"/>
              </w:rPr>
              <w:t>563,781</w:t>
            </w:r>
          </w:p>
        </w:tc>
        <w:tc>
          <w:tcPr>
            <w:tcW w:w="958" w:type="dxa"/>
            <w:noWrap/>
            <w:vAlign w:val="center"/>
            <w:hideMark/>
          </w:tcPr>
          <w:p w:rsidR="004C19BB" w:rsidRPr="004C19BB" w:rsidRDefault="004C19BB" w:rsidP="004C19BB">
            <w:pPr>
              <w:jc w:val="right"/>
              <w:rPr>
                <w:rFonts w:eastAsia="Times New Roman"/>
                <w:color w:val="000000"/>
              </w:rPr>
            </w:pPr>
            <w:r w:rsidRPr="004C19BB">
              <w:rPr>
                <w:rFonts w:eastAsia="Times New Roman"/>
                <w:color w:val="000000"/>
              </w:rPr>
              <w:t>601,926</w:t>
            </w:r>
          </w:p>
        </w:tc>
      </w:tr>
      <w:tr w:rsidR="004C19BB" w:rsidRPr="004C19BB" w:rsidTr="004C19BB">
        <w:trPr>
          <w:trHeight w:val="292"/>
          <w:jc w:val="center"/>
        </w:trPr>
        <w:tc>
          <w:tcPr>
            <w:tcW w:w="3893" w:type="dxa"/>
            <w:noWrap/>
            <w:vAlign w:val="center"/>
            <w:hideMark/>
          </w:tcPr>
          <w:p w:rsidR="004C19BB" w:rsidRPr="004C19BB" w:rsidRDefault="004C19BB" w:rsidP="004C19BB">
            <w:pPr>
              <w:rPr>
                <w:rFonts w:eastAsia="Times New Roman"/>
                <w:color w:val="000000"/>
              </w:rPr>
            </w:pPr>
            <w:r w:rsidRPr="004C19BB">
              <w:rPr>
                <w:rFonts w:eastAsia="Times New Roman"/>
                <w:color w:val="000000"/>
              </w:rPr>
              <w:t>Diferenca vit pas viti ne %</w:t>
            </w:r>
          </w:p>
        </w:tc>
        <w:tc>
          <w:tcPr>
            <w:tcW w:w="958" w:type="dxa"/>
            <w:noWrap/>
            <w:vAlign w:val="center"/>
            <w:hideMark/>
          </w:tcPr>
          <w:p w:rsidR="004C19BB" w:rsidRPr="004C19BB" w:rsidRDefault="004C19BB" w:rsidP="004C19BB"/>
        </w:tc>
        <w:tc>
          <w:tcPr>
            <w:tcW w:w="958" w:type="dxa"/>
            <w:noWrap/>
            <w:vAlign w:val="center"/>
            <w:hideMark/>
          </w:tcPr>
          <w:p w:rsidR="004C19BB" w:rsidRPr="004C19BB" w:rsidRDefault="004C19BB" w:rsidP="004C19BB">
            <w:pPr>
              <w:jc w:val="right"/>
              <w:rPr>
                <w:rFonts w:eastAsia="Times New Roman"/>
                <w:color w:val="000000"/>
              </w:rPr>
            </w:pPr>
            <w:r w:rsidRPr="004C19BB">
              <w:rPr>
                <w:rFonts w:eastAsia="Times New Roman"/>
                <w:color w:val="000000"/>
              </w:rPr>
              <w:t>9%</w:t>
            </w:r>
          </w:p>
        </w:tc>
        <w:tc>
          <w:tcPr>
            <w:tcW w:w="958" w:type="dxa"/>
            <w:noWrap/>
            <w:vAlign w:val="center"/>
            <w:hideMark/>
          </w:tcPr>
          <w:p w:rsidR="004C19BB" w:rsidRPr="004C19BB" w:rsidRDefault="004C19BB" w:rsidP="004C19BB">
            <w:pPr>
              <w:jc w:val="right"/>
              <w:rPr>
                <w:rFonts w:eastAsia="Times New Roman"/>
                <w:color w:val="000000"/>
              </w:rPr>
            </w:pPr>
            <w:r w:rsidRPr="004C19BB">
              <w:rPr>
                <w:rFonts w:eastAsia="Times New Roman"/>
                <w:color w:val="000000"/>
              </w:rPr>
              <w:t>24%</w:t>
            </w:r>
          </w:p>
        </w:tc>
        <w:tc>
          <w:tcPr>
            <w:tcW w:w="958" w:type="dxa"/>
            <w:noWrap/>
            <w:vAlign w:val="center"/>
            <w:hideMark/>
          </w:tcPr>
          <w:p w:rsidR="004C19BB" w:rsidRPr="004C19BB" w:rsidRDefault="004C19BB" w:rsidP="004C19BB">
            <w:pPr>
              <w:jc w:val="right"/>
              <w:rPr>
                <w:rFonts w:eastAsia="Times New Roman"/>
                <w:color w:val="000000"/>
              </w:rPr>
            </w:pPr>
            <w:r w:rsidRPr="004C19BB">
              <w:rPr>
                <w:rFonts w:eastAsia="Times New Roman"/>
                <w:color w:val="000000"/>
              </w:rPr>
              <w:t>7%</w:t>
            </w:r>
          </w:p>
        </w:tc>
      </w:tr>
      <w:tr w:rsidR="004C19BB" w:rsidRPr="004C19BB" w:rsidTr="004C19BB">
        <w:trPr>
          <w:trHeight w:val="307"/>
          <w:jc w:val="center"/>
        </w:trPr>
        <w:tc>
          <w:tcPr>
            <w:tcW w:w="3893" w:type="dxa"/>
            <w:tcBorders>
              <w:top w:val="nil"/>
              <w:left w:val="nil"/>
              <w:bottom w:val="double" w:sz="6" w:space="0" w:color="auto"/>
              <w:right w:val="nil"/>
            </w:tcBorders>
            <w:noWrap/>
            <w:vAlign w:val="center"/>
            <w:hideMark/>
          </w:tcPr>
          <w:p w:rsidR="004C19BB" w:rsidRPr="004C19BB" w:rsidRDefault="004C19BB" w:rsidP="004C19BB">
            <w:pPr>
              <w:rPr>
                <w:rFonts w:eastAsia="Times New Roman"/>
                <w:color w:val="000000"/>
              </w:rPr>
            </w:pPr>
            <w:r w:rsidRPr="004C19BB">
              <w:rPr>
                <w:rFonts w:eastAsia="Times New Roman"/>
                <w:color w:val="000000"/>
              </w:rPr>
              <w:t>Diferenca vit pas viti në numër</w:t>
            </w:r>
          </w:p>
        </w:tc>
        <w:tc>
          <w:tcPr>
            <w:tcW w:w="958" w:type="dxa"/>
            <w:tcBorders>
              <w:top w:val="nil"/>
              <w:left w:val="nil"/>
              <w:bottom w:val="double" w:sz="6" w:space="0" w:color="auto"/>
              <w:right w:val="nil"/>
            </w:tcBorders>
            <w:noWrap/>
            <w:vAlign w:val="center"/>
            <w:hideMark/>
          </w:tcPr>
          <w:p w:rsidR="004C19BB" w:rsidRPr="004C19BB" w:rsidRDefault="004C19BB" w:rsidP="004C19BB">
            <w:pPr>
              <w:rPr>
                <w:rFonts w:eastAsia="Times New Roman"/>
                <w:color w:val="000000"/>
              </w:rPr>
            </w:pPr>
            <w:r w:rsidRPr="004C19BB">
              <w:rPr>
                <w:rFonts w:eastAsia="Times New Roman"/>
                <w:color w:val="000000"/>
              </w:rPr>
              <w:t> </w:t>
            </w:r>
          </w:p>
        </w:tc>
        <w:tc>
          <w:tcPr>
            <w:tcW w:w="958" w:type="dxa"/>
            <w:tcBorders>
              <w:top w:val="nil"/>
              <w:left w:val="nil"/>
              <w:bottom w:val="double" w:sz="6" w:space="0" w:color="auto"/>
              <w:right w:val="nil"/>
            </w:tcBorders>
            <w:noWrap/>
            <w:vAlign w:val="center"/>
            <w:hideMark/>
          </w:tcPr>
          <w:p w:rsidR="004C19BB" w:rsidRPr="004C19BB" w:rsidRDefault="004C19BB" w:rsidP="004C19BB">
            <w:pPr>
              <w:jc w:val="right"/>
              <w:rPr>
                <w:rFonts w:eastAsia="Times New Roman"/>
                <w:color w:val="000000"/>
              </w:rPr>
            </w:pPr>
            <w:r w:rsidRPr="004C19BB">
              <w:rPr>
                <w:rFonts w:eastAsia="Times New Roman"/>
                <w:color w:val="000000"/>
              </w:rPr>
              <w:t>36,616</w:t>
            </w:r>
          </w:p>
        </w:tc>
        <w:tc>
          <w:tcPr>
            <w:tcW w:w="958" w:type="dxa"/>
            <w:tcBorders>
              <w:top w:val="nil"/>
              <w:left w:val="nil"/>
              <w:bottom w:val="double" w:sz="6" w:space="0" w:color="auto"/>
              <w:right w:val="nil"/>
            </w:tcBorders>
            <w:noWrap/>
            <w:vAlign w:val="center"/>
            <w:hideMark/>
          </w:tcPr>
          <w:p w:rsidR="004C19BB" w:rsidRPr="004C19BB" w:rsidRDefault="004C19BB" w:rsidP="004C19BB">
            <w:pPr>
              <w:jc w:val="right"/>
              <w:rPr>
                <w:rFonts w:eastAsia="Times New Roman"/>
                <w:color w:val="000000"/>
              </w:rPr>
            </w:pPr>
            <w:r w:rsidRPr="004C19BB">
              <w:rPr>
                <w:rFonts w:eastAsia="Times New Roman"/>
                <w:color w:val="000000"/>
              </w:rPr>
              <w:t>110,443</w:t>
            </w:r>
          </w:p>
        </w:tc>
        <w:tc>
          <w:tcPr>
            <w:tcW w:w="958" w:type="dxa"/>
            <w:tcBorders>
              <w:top w:val="nil"/>
              <w:left w:val="nil"/>
              <w:bottom w:val="double" w:sz="6" w:space="0" w:color="auto"/>
              <w:right w:val="nil"/>
            </w:tcBorders>
            <w:noWrap/>
            <w:vAlign w:val="center"/>
            <w:hideMark/>
          </w:tcPr>
          <w:p w:rsidR="004C19BB" w:rsidRPr="004C19BB" w:rsidRDefault="004C19BB" w:rsidP="004C19BB">
            <w:pPr>
              <w:jc w:val="right"/>
              <w:rPr>
                <w:rFonts w:eastAsia="Times New Roman"/>
                <w:color w:val="000000"/>
              </w:rPr>
            </w:pPr>
            <w:r w:rsidRPr="004C19BB">
              <w:rPr>
                <w:rFonts w:eastAsia="Times New Roman"/>
                <w:color w:val="000000"/>
              </w:rPr>
              <w:t>38,145</w:t>
            </w:r>
          </w:p>
        </w:tc>
      </w:tr>
    </w:tbl>
    <w:p w:rsidR="004C19BB" w:rsidRPr="004C19BB" w:rsidRDefault="004C19BB" w:rsidP="004C19BB">
      <w:pPr>
        <w:jc w:val="both"/>
        <w:rPr>
          <w:b/>
          <w:bCs/>
          <w:lang w:val="fr-FR"/>
        </w:rPr>
      </w:pPr>
    </w:p>
    <w:p w:rsidR="004C19BB" w:rsidRPr="004C19BB" w:rsidRDefault="004C19BB" w:rsidP="004C19BB">
      <w:pPr>
        <w:jc w:val="both"/>
        <w:rPr>
          <w:b/>
          <w:bCs/>
          <w:i/>
          <w:lang w:val="fr-FR"/>
        </w:rPr>
      </w:pPr>
      <w:r w:rsidRPr="004C19BB">
        <w:rPr>
          <w:b/>
          <w:bCs/>
          <w:i/>
          <w:lang w:val="fr-FR"/>
        </w:rPr>
        <w:t xml:space="preserve">Rritja kumulative krahasuar me vitin 2013,  185 mijë kontribues më shumë. </w:t>
      </w:r>
    </w:p>
    <w:p w:rsidR="004C19BB" w:rsidRPr="004C19BB" w:rsidRDefault="004C19BB" w:rsidP="004C19BB">
      <w:pPr>
        <w:jc w:val="both"/>
        <w:rPr>
          <w:bCs/>
          <w:lang w:val="fr-FR"/>
        </w:rPr>
      </w:pPr>
    </w:p>
    <w:p w:rsidR="004C19BB" w:rsidRPr="004C19BB" w:rsidRDefault="004C19BB" w:rsidP="00534AA6">
      <w:pPr>
        <w:numPr>
          <w:ilvl w:val="0"/>
          <w:numId w:val="147"/>
        </w:numPr>
        <w:spacing w:line="276" w:lineRule="auto"/>
        <w:contextualSpacing/>
        <w:jc w:val="both"/>
        <w:rPr>
          <w:b/>
          <w:bCs/>
          <w:lang w:val="fr-FR"/>
        </w:rPr>
      </w:pPr>
      <w:r w:rsidRPr="004C19BB">
        <w:rPr>
          <w:b/>
          <w:bCs/>
          <w:lang w:val="fr-FR"/>
        </w:rPr>
        <w:t>Krahasimi me vitin 2015 për të Ardhurat Doganore dhe Tatimore</w:t>
      </w:r>
    </w:p>
    <w:p w:rsidR="004C19BB" w:rsidRPr="004C19BB" w:rsidRDefault="004C19BB" w:rsidP="004C19BB">
      <w:pPr>
        <w:jc w:val="both"/>
        <w:rPr>
          <w:b/>
          <w:bCs/>
          <w:lang w:val="fr-FR"/>
        </w:rPr>
      </w:pPr>
    </w:p>
    <w:p w:rsidR="004C19BB" w:rsidRPr="004C19BB" w:rsidRDefault="004C19BB" w:rsidP="004C19BB">
      <w:pPr>
        <w:spacing w:before="100"/>
        <w:jc w:val="both"/>
        <w:rPr>
          <w:lang w:val="fr-FR"/>
        </w:rPr>
      </w:pPr>
      <w:r w:rsidRPr="004C19BB">
        <w:rPr>
          <w:lang w:val="fr-FR"/>
        </w:rPr>
        <w:t>Viti 2016 pritet të mbyllet me një performancë tejet pozitive në të ardhura, duke shënuar një rritje me 18.8 miliardë lekë, ose +7.3% kundrejt vitit 2015. Kjo rritje është rezultat i drejtpërdrejtë i efektit të rritjes ekonomike reale, reformave strukturore në ekonomi, aksionit ndaj informalitetit dhe përmirësimit të efiçencës dhe efikasitetit të administratës fiskale.</w:t>
      </w:r>
    </w:p>
    <w:p w:rsidR="004C19BB" w:rsidRPr="004C19BB" w:rsidRDefault="004C19BB" w:rsidP="004C19BB">
      <w:pPr>
        <w:spacing w:before="100"/>
        <w:jc w:val="both"/>
        <w:rPr>
          <w:lang w:val="fr-FR"/>
        </w:rPr>
      </w:pPr>
      <w:r w:rsidRPr="004C19BB">
        <w:rPr>
          <w:lang w:val="fr-FR"/>
        </w:rPr>
        <w:t xml:space="preserve">Të ardhurat nga tatimi mbi fitimin, pritet të jenë +2 miliardë lekë, ose +8.5% kundrejt vitit 2015. Të ardhura nga TVSH-ja pritet të jenë +6.8 miliardë lekë ose +5.47% kundrejt vitit 2015. </w:t>
      </w:r>
    </w:p>
    <w:p w:rsidR="004C19BB" w:rsidRPr="004C19BB" w:rsidRDefault="004C19BB" w:rsidP="004C19BB">
      <w:pPr>
        <w:jc w:val="both"/>
        <w:rPr>
          <w:lang w:val="fr-FR"/>
        </w:rPr>
      </w:pPr>
    </w:p>
    <w:p w:rsidR="004C19BB" w:rsidRPr="004C19BB" w:rsidRDefault="004C19BB" w:rsidP="004C19BB">
      <w:pPr>
        <w:jc w:val="both"/>
        <w:rPr>
          <w:lang w:val="fr-FR"/>
        </w:rPr>
      </w:pPr>
      <w:r w:rsidRPr="004C19BB">
        <w:rPr>
          <w:lang w:val="fr-FR"/>
        </w:rPr>
        <w:t xml:space="preserve">Të ardhurat nga tatimi mbi të ardhurat personale, pritet të jenë 3 miliardë lekë, ose 10.25% më shumë sesa viti i kaluar. </w:t>
      </w:r>
    </w:p>
    <w:p w:rsidR="004C19BB" w:rsidRPr="004C19BB" w:rsidRDefault="004C19BB" w:rsidP="004C19BB">
      <w:pPr>
        <w:jc w:val="both"/>
        <w:rPr>
          <w:lang w:val="fr-FR"/>
        </w:rPr>
      </w:pPr>
    </w:p>
    <w:p w:rsidR="004C19BB" w:rsidRPr="004C19BB" w:rsidRDefault="004C19BB" w:rsidP="004C19BB">
      <w:pPr>
        <w:jc w:val="both"/>
        <w:rPr>
          <w:lang w:val="fr-FR"/>
        </w:rPr>
      </w:pPr>
      <w:r w:rsidRPr="004C19BB">
        <w:rPr>
          <w:lang w:val="fr-FR"/>
        </w:rPr>
        <w:t xml:space="preserve">Të ardhurat nga akciza pritet të jenë +4 miliardë lekë ose +10.28% kundrejt vitit 2015. Faktor kryesor pritet të jetë rritja e sasisë se deklarimit të cigareve me rreth 500 ton ose +20% kundrejt vitit 2015 i ndikuar nga efekti i stabilizimit të tregut për shkak të rritjes së akcizës. </w:t>
      </w:r>
    </w:p>
    <w:p w:rsidR="004C19BB" w:rsidRPr="004C19BB" w:rsidRDefault="004C19BB" w:rsidP="004C19BB">
      <w:pPr>
        <w:jc w:val="both"/>
        <w:rPr>
          <w:lang w:val="fr-FR"/>
        </w:rPr>
      </w:pPr>
    </w:p>
    <w:p w:rsidR="004C19BB" w:rsidRPr="004C19BB" w:rsidRDefault="004C19BB" w:rsidP="004C19BB">
      <w:pPr>
        <w:jc w:val="both"/>
        <w:rPr>
          <w:lang w:val="fr-FR"/>
        </w:rPr>
      </w:pPr>
      <w:r w:rsidRPr="004C19BB">
        <w:rPr>
          <w:lang w:val="fr-FR"/>
        </w:rPr>
        <w:t xml:space="preserve">Të ardhurat nga taksat nacionale pritet të jenë +2.3 miliardë lekë ose +6.9% kundrejt vitit 2015.Kontribut kryesor në këtë rritje ka dhënë përmirësimi dhe dixhitalizimi i procedurave të deklarimit të taksave dhe tarifave në bashkëveprim me strukturat përgjegjëse për arkëtimin e detyrimeve që përfshihen në këtë kategori. </w:t>
      </w:r>
    </w:p>
    <w:p w:rsidR="004C19BB" w:rsidRPr="004C19BB" w:rsidRDefault="004C19BB" w:rsidP="004C19BB">
      <w:pPr>
        <w:jc w:val="both"/>
        <w:rPr>
          <w:lang w:val="fr-FR"/>
        </w:rPr>
      </w:pPr>
    </w:p>
    <w:p w:rsidR="004C19BB" w:rsidRPr="004C19BB" w:rsidRDefault="004C19BB" w:rsidP="004C19BB">
      <w:pPr>
        <w:jc w:val="both"/>
        <w:rPr>
          <w:lang w:val="fr-FR"/>
        </w:rPr>
      </w:pPr>
      <w:r w:rsidRPr="004C19BB">
        <w:rPr>
          <w:lang w:val="fr-FR"/>
        </w:rPr>
        <w:t>Të ardhurat nga taksa doganore pritet të jenë +0.5 miliardë lekë ose +7.88% kundrejt vitit 2015. Megjithë uljen e nivelit mesatar të taksimit për shkak të orientimit të importeve nga vende pjesë e Marrëveshjeve të Tregtisë së Lirë dhe reduktimit në zero të pjesës më të madhe të lëndëve të para për shkak të politikave fiskale të viteve të fundit, rritja e pritshme vjen si rezultat i performancës ekonomike të këtij viti dhe rritjes së deklarimeve të importeve të taksueshme mbi 4% kundrejt vitit 2015.</w:t>
      </w:r>
    </w:p>
    <w:p w:rsidR="004C19BB" w:rsidRPr="004C19BB" w:rsidRDefault="004C19BB" w:rsidP="004C19BB">
      <w:pPr>
        <w:jc w:val="both"/>
        <w:rPr>
          <w:lang w:val="fr-FR"/>
        </w:rPr>
      </w:pPr>
    </w:p>
    <w:p w:rsidR="004C19BB" w:rsidRPr="004C19BB" w:rsidRDefault="004C19BB" w:rsidP="004C19BB">
      <w:pPr>
        <w:ind w:firstLine="720"/>
        <w:jc w:val="center"/>
        <w:rPr>
          <w:sz w:val="20"/>
          <w:szCs w:val="20"/>
          <w:lang w:val="it-IT"/>
        </w:rPr>
      </w:pPr>
      <w:r w:rsidRPr="004C19BB">
        <w:rPr>
          <w:lang w:val="sq-AL"/>
        </w:rPr>
        <w:t xml:space="preserve">                                                                                               </w:t>
      </w:r>
      <w:r w:rsidRPr="004C19BB">
        <w:rPr>
          <w:rFonts w:eastAsia="Calibri"/>
          <w:i/>
          <w:sz w:val="20"/>
          <w:szCs w:val="20"/>
          <w:lang w:val="sq-AL"/>
        </w:rPr>
        <w:t>(në milion lekë)</w:t>
      </w:r>
    </w:p>
    <w:tbl>
      <w:tblPr>
        <w:tblW w:w="9335" w:type="dxa"/>
        <w:jc w:val="center"/>
        <w:tblLook w:val="04A0" w:firstRow="1" w:lastRow="0" w:firstColumn="1" w:lastColumn="0" w:noHBand="0" w:noVBand="1"/>
      </w:tblPr>
      <w:tblGrid>
        <w:gridCol w:w="3392"/>
        <w:gridCol w:w="1189"/>
        <w:gridCol w:w="1189"/>
        <w:gridCol w:w="1955"/>
        <w:gridCol w:w="1610"/>
      </w:tblGrid>
      <w:tr w:rsidR="004C19BB" w:rsidRPr="004C19BB" w:rsidTr="004C19BB">
        <w:trPr>
          <w:trHeight w:val="444"/>
          <w:jc w:val="center"/>
        </w:trPr>
        <w:tc>
          <w:tcPr>
            <w:tcW w:w="3392" w:type="dxa"/>
            <w:vMerge w:val="restart"/>
            <w:tcBorders>
              <w:top w:val="single" w:sz="8" w:space="0" w:color="auto"/>
              <w:left w:val="nil"/>
              <w:bottom w:val="double" w:sz="6" w:space="0" w:color="000000"/>
              <w:right w:val="nil"/>
            </w:tcBorders>
            <w:vAlign w:val="center"/>
            <w:hideMark/>
          </w:tcPr>
          <w:p w:rsidR="004C19BB" w:rsidRPr="004C19BB" w:rsidRDefault="004C19BB" w:rsidP="004C19BB">
            <w:pPr>
              <w:jc w:val="both"/>
              <w:rPr>
                <w:rFonts w:eastAsia="Times New Roman"/>
                <w:b/>
                <w:bCs/>
                <w:color w:val="000000"/>
                <w:sz w:val="18"/>
                <w:szCs w:val="18"/>
              </w:rPr>
            </w:pPr>
            <w:r w:rsidRPr="004C19BB">
              <w:rPr>
                <w:rFonts w:eastAsia="Times New Roman"/>
                <w:b/>
                <w:bCs/>
                <w:color w:val="000000"/>
                <w:sz w:val="18"/>
                <w:szCs w:val="18"/>
              </w:rPr>
              <w:t>Tatime dhe dogana</w:t>
            </w:r>
          </w:p>
        </w:tc>
        <w:tc>
          <w:tcPr>
            <w:tcW w:w="1189" w:type="dxa"/>
            <w:vMerge w:val="restart"/>
            <w:tcBorders>
              <w:top w:val="single" w:sz="8" w:space="0" w:color="auto"/>
              <w:left w:val="nil"/>
              <w:bottom w:val="double" w:sz="6" w:space="0" w:color="000000"/>
              <w:right w:val="nil"/>
            </w:tcBorders>
            <w:vAlign w:val="center"/>
            <w:hideMark/>
          </w:tcPr>
          <w:p w:rsidR="004C19BB" w:rsidRPr="004C19BB" w:rsidRDefault="004C19BB" w:rsidP="004C19BB">
            <w:pPr>
              <w:jc w:val="center"/>
              <w:rPr>
                <w:rFonts w:eastAsia="Times New Roman"/>
                <w:b/>
                <w:bCs/>
                <w:color w:val="000000"/>
                <w:sz w:val="18"/>
                <w:szCs w:val="18"/>
              </w:rPr>
            </w:pPr>
            <w:r w:rsidRPr="004C19BB">
              <w:rPr>
                <w:rFonts w:eastAsia="Times New Roman"/>
                <w:b/>
                <w:bCs/>
                <w:color w:val="000000"/>
                <w:sz w:val="18"/>
                <w:szCs w:val="18"/>
                <w:lang w:eastAsia="sq-AL"/>
              </w:rPr>
              <w:t>Fakt 2015</w:t>
            </w:r>
          </w:p>
        </w:tc>
        <w:tc>
          <w:tcPr>
            <w:tcW w:w="1189" w:type="dxa"/>
            <w:vMerge w:val="restart"/>
            <w:tcBorders>
              <w:top w:val="single" w:sz="8" w:space="0" w:color="auto"/>
              <w:left w:val="nil"/>
              <w:bottom w:val="double" w:sz="6" w:space="0" w:color="000000"/>
              <w:right w:val="nil"/>
            </w:tcBorders>
            <w:vAlign w:val="center"/>
            <w:hideMark/>
          </w:tcPr>
          <w:p w:rsidR="004C19BB" w:rsidRPr="004C19BB" w:rsidRDefault="004C19BB" w:rsidP="004C19BB">
            <w:pPr>
              <w:jc w:val="center"/>
              <w:rPr>
                <w:rFonts w:eastAsia="Times New Roman"/>
                <w:b/>
                <w:bCs/>
                <w:color w:val="000000"/>
                <w:sz w:val="18"/>
                <w:szCs w:val="18"/>
              </w:rPr>
            </w:pPr>
            <w:r w:rsidRPr="004C19BB">
              <w:rPr>
                <w:rFonts w:eastAsia="Times New Roman"/>
                <w:b/>
                <w:bCs/>
                <w:color w:val="000000"/>
                <w:sz w:val="18"/>
                <w:szCs w:val="18"/>
                <w:lang w:eastAsia="sq-AL"/>
              </w:rPr>
              <w:t>Vl. Buxh. 2016</w:t>
            </w:r>
          </w:p>
        </w:tc>
        <w:tc>
          <w:tcPr>
            <w:tcW w:w="1955" w:type="dxa"/>
            <w:vMerge w:val="restart"/>
            <w:tcBorders>
              <w:top w:val="single" w:sz="8" w:space="0" w:color="auto"/>
              <w:left w:val="nil"/>
              <w:bottom w:val="double" w:sz="6" w:space="0" w:color="000000"/>
              <w:right w:val="nil"/>
            </w:tcBorders>
            <w:vAlign w:val="center"/>
            <w:hideMark/>
          </w:tcPr>
          <w:p w:rsidR="004C19BB" w:rsidRPr="004C19BB" w:rsidRDefault="004C19BB" w:rsidP="004C19BB">
            <w:pPr>
              <w:jc w:val="center"/>
              <w:rPr>
                <w:rFonts w:eastAsia="Times New Roman"/>
                <w:b/>
                <w:bCs/>
                <w:color w:val="000000"/>
                <w:sz w:val="18"/>
                <w:szCs w:val="18"/>
              </w:rPr>
            </w:pPr>
            <w:r w:rsidRPr="004C19BB">
              <w:rPr>
                <w:rFonts w:eastAsia="Times New Roman"/>
                <w:b/>
                <w:bCs/>
                <w:color w:val="000000"/>
                <w:sz w:val="18"/>
                <w:szCs w:val="18"/>
                <w:lang w:eastAsia="sq-AL"/>
              </w:rPr>
              <w:t>Vl Buxh 2016/Fakt 2015</w:t>
            </w:r>
          </w:p>
        </w:tc>
        <w:tc>
          <w:tcPr>
            <w:tcW w:w="1610" w:type="dxa"/>
            <w:vMerge w:val="restart"/>
            <w:tcBorders>
              <w:top w:val="single" w:sz="8" w:space="0" w:color="auto"/>
              <w:left w:val="nil"/>
              <w:bottom w:val="double" w:sz="6" w:space="0" w:color="000000"/>
              <w:right w:val="nil"/>
            </w:tcBorders>
            <w:vAlign w:val="center"/>
            <w:hideMark/>
          </w:tcPr>
          <w:p w:rsidR="004C19BB" w:rsidRPr="004C19BB" w:rsidRDefault="004C19BB" w:rsidP="004C19BB">
            <w:pPr>
              <w:jc w:val="center"/>
              <w:rPr>
                <w:rFonts w:eastAsia="Times New Roman"/>
                <w:b/>
                <w:bCs/>
                <w:color w:val="000000"/>
                <w:sz w:val="18"/>
                <w:szCs w:val="18"/>
              </w:rPr>
            </w:pPr>
            <w:r w:rsidRPr="004C19BB">
              <w:rPr>
                <w:rFonts w:eastAsia="Times New Roman"/>
                <w:b/>
                <w:bCs/>
                <w:color w:val="000000"/>
                <w:sz w:val="18"/>
                <w:szCs w:val="18"/>
                <w:lang w:eastAsia="sq-AL"/>
              </w:rPr>
              <w:t>% Vl Buxh</w:t>
            </w:r>
            <w:r w:rsidRPr="004C19BB">
              <w:rPr>
                <w:rFonts w:eastAsia="Times New Roman"/>
                <w:color w:val="000000"/>
                <w:sz w:val="18"/>
                <w:szCs w:val="18"/>
                <w:lang w:eastAsia="sq-AL"/>
              </w:rPr>
              <w:t xml:space="preserve">  </w:t>
            </w:r>
            <w:r w:rsidRPr="004C19BB">
              <w:rPr>
                <w:rFonts w:eastAsia="Times New Roman"/>
                <w:b/>
                <w:bCs/>
                <w:color w:val="000000"/>
                <w:sz w:val="18"/>
                <w:szCs w:val="18"/>
                <w:lang w:eastAsia="sq-AL"/>
              </w:rPr>
              <w:t>2016/Fakt 2015</w:t>
            </w:r>
          </w:p>
        </w:tc>
      </w:tr>
      <w:tr w:rsidR="004C19BB" w:rsidRPr="004C19BB" w:rsidTr="004C19BB">
        <w:trPr>
          <w:trHeight w:val="217"/>
          <w:jc w:val="center"/>
        </w:trPr>
        <w:tc>
          <w:tcPr>
            <w:tcW w:w="0" w:type="auto"/>
            <w:vMerge/>
            <w:tcBorders>
              <w:top w:val="single" w:sz="8" w:space="0" w:color="auto"/>
              <w:left w:val="nil"/>
              <w:bottom w:val="double" w:sz="6" w:space="0" w:color="000000"/>
              <w:right w:val="nil"/>
            </w:tcBorders>
            <w:vAlign w:val="center"/>
            <w:hideMark/>
          </w:tcPr>
          <w:p w:rsidR="004C19BB" w:rsidRPr="004C19BB" w:rsidRDefault="004C19BB" w:rsidP="004C19BB">
            <w:pPr>
              <w:rPr>
                <w:rFonts w:eastAsia="Times New Roman"/>
                <w:b/>
                <w:bCs/>
                <w:color w:val="000000"/>
                <w:sz w:val="18"/>
                <w:szCs w:val="18"/>
              </w:rPr>
            </w:pPr>
          </w:p>
        </w:tc>
        <w:tc>
          <w:tcPr>
            <w:tcW w:w="0" w:type="auto"/>
            <w:vMerge/>
            <w:tcBorders>
              <w:top w:val="single" w:sz="8" w:space="0" w:color="auto"/>
              <w:left w:val="nil"/>
              <w:bottom w:val="double" w:sz="6" w:space="0" w:color="000000"/>
              <w:right w:val="nil"/>
            </w:tcBorders>
            <w:vAlign w:val="center"/>
            <w:hideMark/>
          </w:tcPr>
          <w:p w:rsidR="004C19BB" w:rsidRPr="004C19BB" w:rsidRDefault="004C19BB" w:rsidP="004C19BB">
            <w:pPr>
              <w:rPr>
                <w:rFonts w:eastAsia="Times New Roman"/>
                <w:b/>
                <w:bCs/>
                <w:color w:val="000000"/>
                <w:sz w:val="18"/>
                <w:szCs w:val="18"/>
              </w:rPr>
            </w:pPr>
          </w:p>
        </w:tc>
        <w:tc>
          <w:tcPr>
            <w:tcW w:w="0" w:type="auto"/>
            <w:vMerge/>
            <w:tcBorders>
              <w:top w:val="single" w:sz="8" w:space="0" w:color="auto"/>
              <w:left w:val="nil"/>
              <w:bottom w:val="double" w:sz="6" w:space="0" w:color="000000"/>
              <w:right w:val="nil"/>
            </w:tcBorders>
            <w:vAlign w:val="center"/>
            <w:hideMark/>
          </w:tcPr>
          <w:p w:rsidR="004C19BB" w:rsidRPr="004C19BB" w:rsidRDefault="004C19BB" w:rsidP="004C19BB">
            <w:pPr>
              <w:rPr>
                <w:rFonts w:eastAsia="Times New Roman"/>
                <w:b/>
                <w:bCs/>
                <w:color w:val="000000"/>
                <w:sz w:val="18"/>
                <w:szCs w:val="18"/>
              </w:rPr>
            </w:pPr>
          </w:p>
        </w:tc>
        <w:tc>
          <w:tcPr>
            <w:tcW w:w="0" w:type="auto"/>
            <w:vMerge/>
            <w:tcBorders>
              <w:top w:val="single" w:sz="8" w:space="0" w:color="auto"/>
              <w:left w:val="nil"/>
              <w:bottom w:val="double" w:sz="6" w:space="0" w:color="000000"/>
              <w:right w:val="nil"/>
            </w:tcBorders>
            <w:vAlign w:val="center"/>
            <w:hideMark/>
          </w:tcPr>
          <w:p w:rsidR="004C19BB" w:rsidRPr="004C19BB" w:rsidRDefault="004C19BB" w:rsidP="004C19BB">
            <w:pPr>
              <w:rPr>
                <w:rFonts w:eastAsia="Times New Roman"/>
                <w:b/>
                <w:bCs/>
                <w:color w:val="000000"/>
                <w:sz w:val="18"/>
                <w:szCs w:val="18"/>
              </w:rPr>
            </w:pPr>
          </w:p>
        </w:tc>
        <w:tc>
          <w:tcPr>
            <w:tcW w:w="0" w:type="auto"/>
            <w:vMerge/>
            <w:tcBorders>
              <w:top w:val="single" w:sz="8" w:space="0" w:color="auto"/>
              <w:left w:val="nil"/>
              <w:bottom w:val="double" w:sz="6" w:space="0" w:color="000000"/>
              <w:right w:val="nil"/>
            </w:tcBorders>
            <w:vAlign w:val="center"/>
            <w:hideMark/>
          </w:tcPr>
          <w:p w:rsidR="004C19BB" w:rsidRPr="004C19BB" w:rsidRDefault="004C19BB" w:rsidP="004C19BB">
            <w:pPr>
              <w:rPr>
                <w:rFonts w:eastAsia="Times New Roman"/>
                <w:b/>
                <w:bCs/>
                <w:color w:val="000000"/>
                <w:sz w:val="18"/>
                <w:szCs w:val="18"/>
              </w:rPr>
            </w:pPr>
          </w:p>
        </w:tc>
      </w:tr>
      <w:tr w:rsidR="004C19BB" w:rsidRPr="004C19BB" w:rsidTr="004C19BB">
        <w:trPr>
          <w:trHeight w:val="217"/>
          <w:jc w:val="center"/>
        </w:trPr>
        <w:tc>
          <w:tcPr>
            <w:tcW w:w="3392" w:type="dxa"/>
            <w:noWrap/>
            <w:vAlign w:val="center"/>
            <w:hideMark/>
          </w:tcPr>
          <w:p w:rsidR="004C19BB" w:rsidRPr="004C19BB" w:rsidRDefault="004C19BB" w:rsidP="004C19BB">
            <w:pPr>
              <w:rPr>
                <w:rFonts w:eastAsia="Times New Roman"/>
                <w:color w:val="000000"/>
                <w:sz w:val="20"/>
                <w:szCs w:val="20"/>
              </w:rPr>
            </w:pPr>
            <w:r w:rsidRPr="004C19BB">
              <w:rPr>
                <w:rFonts w:eastAsia="Times New Roman"/>
                <w:color w:val="000000"/>
                <w:sz w:val="20"/>
                <w:szCs w:val="20"/>
                <w:lang w:val="it-IT"/>
              </w:rPr>
              <w:t>Tatimi mbi vlerën e shtuar</w:t>
            </w:r>
          </w:p>
        </w:tc>
        <w:tc>
          <w:tcPr>
            <w:tcW w:w="1189"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lang w:eastAsia="sq-AL"/>
              </w:rPr>
              <w:t>125,783</w:t>
            </w:r>
          </w:p>
        </w:tc>
        <w:tc>
          <w:tcPr>
            <w:tcW w:w="1189"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lang w:eastAsia="sq-AL"/>
              </w:rPr>
              <w:t>132,663</w:t>
            </w:r>
          </w:p>
        </w:tc>
        <w:tc>
          <w:tcPr>
            <w:tcW w:w="1955"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lang w:eastAsia="sq-AL"/>
              </w:rPr>
              <w:t>6,880</w:t>
            </w:r>
          </w:p>
        </w:tc>
        <w:tc>
          <w:tcPr>
            <w:tcW w:w="1610" w:type="dxa"/>
            <w:tcBorders>
              <w:top w:val="double" w:sz="6" w:space="0" w:color="000000"/>
              <w:left w:val="nil"/>
              <w:bottom w:val="nil"/>
              <w:right w:val="nil"/>
            </w:tcBorders>
            <w:noWrap/>
            <w:vAlign w:val="center"/>
            <w:hideMark/>
          </w:tcPr>
          <w:p w:rsidR="004C19BB" w:rsidRPr="004C19BB" w:rsidRDefault="004C19BB" w:rsidP="004C19BB">
            <w:pPr>
              <w:jc w:val="both"/>
              <w:rPr>
                <w:rFonts w:eastAsia="Times New Roman"/>
                <w:color w:val="000000"/>
                <w:sz w:val="20"/>
                <w:szCs w:val="20"/>
              </w:rPr>
            </w:pPr>
            <w:r w:rsidRPr="004C19BB">
              <w:rPr>
                <w:rFonts w:eastAsia="Times New Roman"/>
                <w:color w:val="000000"/>
                <w:sz w:val="20"/>
                <w:szCs w:val="20"/>
                <w:lang w:val="sq-AL"/>
              </w:rPr>
              <w:t>5.47%</w:t>
            </w:r>
          </w:p>
        </w:tc>
      </w:tr>
      <w:tr w:rsidR="004C19BB" w:rsidRPr="004C19BB" w:rsidTr="004C19BB">
        <w:trPr>
          <w:trHeight w:val="206"/>
          <w:jc w:val="center"/>
        </w:trPr>
        <w:tc>
          <w:tcPr>
            <w:tcW w:w="3392" w:type="dxa"/>
            <w:noWrap/>
            <w:vAlign w:val="center"/>
            <w:hideMark/>
          </w:tcPr>
          <w:p w:rsidR="004C19BB" w:rsidRPr="004C19BB" w:rsidRDefault="004C19BB" w:rsidP="004C19BB">
            <w:pPr>
              <w:rPr>
                <w:rFonts w:eastAsia="Times New Roman"/>
                <w:color w:val="000000"/>
                <w:sz w:val="20"/>
                <w:szCs w:val="20"/>
              </w:rPr>
            </w:pPr>
            <w:r w:rsidRPr="004C19BB">
              <w:rPr>
                <w:rFonts w:eastAsia="Times New Roman"/>
                <w:color w:val="000000"/>
                <w:sz w:val="20"/>
                <w:szCs w:val="20"/>
                <w:lang w:eastAsia="sq-AL"/>
              </w:rPr>
              <w:t>Akciza</w:t>
            </w:r>
          </w:p>
        </w:tc>
        <w:tc>
          <w:tcPr>
            <w:tcW w:w="1189"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lang w:eastAsia="sq-AL"/>
              </w:rPr>
              <w:t>39,027</w:t>
            </w:r>
          </w:p>
        </w:tc>
        <w:tc>
          <w:tcPr>
            <w:tcW w:w="1189"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lang w:eastAsia="sq-AL"/>
              </w:rPr>
              <w:t>43,039</w:t>
            </w:r>
          </w:p>
        </w:tc>
        <w:tc>
          <w:tcPr>
            <w:tcW w:w="1955"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lang w:eastAsia="sq-AL"/>
              </w:rPr>
              <w:t>4,012</w:t>
            </w:r>
          </w:p>
        </w:tc>
        <w:tc>
          <w:tcPr>
            <w:tcW w:w="1610" w:type="dxa"/>
            <w:noWrap/>
            <w:vAlign w:val="center"/>
            <w:hideMark/>
          </w:tcPr>
          <w:p w:rsidR="004C19BB" w:rsidRPr="004C19BB" w:rsidRDefault="004C19BB" w:rsidP="004C19BB">
            <w:pPr>
              <w:jc w:val="both"/>
              <w:rPr>
                <w:rFonts w:eastAsia="Times New Roman"/>
                <w:color w:val="000000"/>
                <w:sz w:val="20"/>
                <w:szCs w:val="20"/>
              </w:rPr>
            </w:pPr>
            <w:r w:rsidRPr="004C19BB">
              <w:rPr>
                <w:rFonts w:eastAsia="Times New Roman"/>
                <w:color w:val="000000"/>
                <w:sz w:val="20"/>
                <w:szCs w:val="20"/>
                <w:lang w:val="sq-AL"/>
              </w:rPr>
              <w:t>10.28%</w:t>
            </w:r>
          </w:p>
        </w:tc>
      </w:tr>
      <w:tr w:rsidR="004C19BB" w:rsidRPr="004C19BB" w:rsidTr="004C19BB">
        <w:trPr>
          <w:trHeight w:val="206"/>
          <w:jc w:val="center"/>
        </w:trPr>
        <w:tc>
          <w:tcPr>
            <w:tcW w:w="3392" w:type="dxa"/>
            <w:noWrap/>
            <w:vAlign w:val="center"/>
            <w:hideMark/>
          </w:tcPr>
          <w:p w:rsidR="004C19BB" w:rsidRPr="004C19BB" w:rsidRDefault="004C19BB" w:rsidP="004C19BB">
            <w:pPr>
              <w:rPr>
                <w:rFonts w:eastAsia="Times New Roman"/>
                <w:color w:val="000000"/>
                <w:sz w:val="20"/>
                <w:szCs w:val="20"/>
              </w:rPr>
            </w:pPr>
            <w:r w:rsidRPr="004C19BB">
              <w:rPr>
                <w:rFonts w:eastAsia="Times New Roman"/>
                <w:color w:val="000000"/>
                <w:sz w:val="20"/>
                <w:szCs w:val="20"/>
                <w:lang w:eastAsia="sq-AL"/>
              </w:rPr>
              <w:t>Tatimi mbi fitimin</w:t>
            </w:r>
          </w:p>
        </w:tc>
        <w:tc>
          <w:tcPr>
            <w:tcW w:w="1189"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lang w:eastAsia="sq-AL"/>
              </w:rPr>
              <w:t>24,968</w:t>
            </w:r>
          </w:p>
        </w:tc>
        <w:tc>
          <w:tcPr>
            <w:tcW w:w="1189"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lang w:eastAsia="sq-AL"/>
              </w:rPr>
              <w:t>27,100</w:t>
            </w:r>
          </w:p>
        </w:tc>
        <w:tc>
          <w:tcPr>
            <w:tcW w:w="1955"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lang w:eastAsia="sq-AL"/>
              </w:rPr>
              <w:t>2,132</w:t>
            </w:r>
          </w:p>
        </w:tc>
        <w:tc>
          <w:tcPr>
            <w:tcW w:w="1610" w:type="dxa"/>
            <w:noWrap/>
            <w:vAlign w:val="center"/>
            <w:hideMark/>
          </w:tcPr>
          <w:p w:rsidR="004C19BB" w:rsidRPr="004C19BB" w:rsidRDefault="004C19BB" w:rsidP="004C19BB">
            <w:pPr>
              <w:jc w:val="both"/>
              <w:rPr>
                <w:rFonts w:eastAsia="Times New Roman"/>
                <w:color w:val="000000"/>
                <w:sz w:val="20"/>
                <w:szCs w:val="20"/>
              </w:rPr>
            </w:pPr>
            <w:r w:rsidRPr="004C19BB">
              <w:rPr>
                <w:rFonts w:eastAsia="Times New Roman"/>
                <w:color w:val="000000"/>
                <w:sz w:val="20"/>
                <w:szCs w:val="20"/>
              </w:rPr>
              <w:t>8.54%</w:t>
            </w:r>
          </w:p>
        </w:tc>
      </w:tr>
      <w:tr w:rsidR="004C19BB" w:rsidRPr="004C19BB" w:rsidTr="004C19BB">
        <w:trPr>
          <w:trHeight w:val="206"/>
          <w:jc w:val="center"/>
        </w:trPr>
        <w:tc>
          <w:tcPr>
            <w:tcW w:w="3392" w:type="dxa"/>
            <w:noWrap/>
            <w:vAlign w:val="center"/>
            <w:hideMark/>
          </w:tcPr>
          <w:p w:rsidR="004C19BB" w:rsidRPr="004C19BB" w:rsidRDefault="004C19BB" w:rsidP="004C19BB">
            <w:pPr>
              <w:rPr>
                <w:rFonts w:eastAsia="Times New Roman"/>
                <w:color w:val="000000"/>
                <w:sz w:val="20"/>
                <w:szCs w:val="20"/>
              </w:rPr>
            </w:pPr>
            <w:r w:rsidRPr="004C19BB">
              <w:rPr>
                <w:rFonts w:eastAsia="Times New Roman"/>
                <w:color w:val="000000"/>
                <w:sz w:val="20"/>
                <w:szCs w:val="20"/>
                <w:lang w:val="it-IT"/>
              </w:rPr>
              <w:t>Tatimi mbi të ardhurat personale</w:t>
            </w:r>
          </w:p>
        </w:tc>
        <w:tc>
          <w:tcPr>
            <w:tcW w:w="1189"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lang w:eastAsia="sq-AL"/>
              </w:rPr>
              <w:t>29,661</w:t>
            </w:r>
          </w:p>
        </w:tc>
        <w:tc>
          <w:tcPr>
            <w:tcW w:w="1189"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lang w:eastAsia="sq-AL"/>
              </w:rPr>
              <w:t>32,700</w:t>
            </w:r>
          </w:p>
        </w:tc>
        <w:tc>
          <w:tcPr>
            <w:tcW w:w="1955"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lang w:eastAsia="sq-AL"/>
              </w:rPr>
              <w:t>3,039</w:t>
            </w:r>
          </w:p>
        </w:tc>
        <w:tc>
          <w:tcPr>
            <w:tcW w:w="1610" w:type="dxa"/>
            <w:noWrap/>
            <w:vAlign w:val="center"/>
            <w:hideMark/>
          </w:tcPr>
          <w:p w:rsidR="004C19BB" w:rsidRPr="004C19BB" w:rsidRDefault="004C19BB" w:rsidP="004C19BB">
            <w:pPr>
              <w:jc w:val="both"/>
              <w:rPr>
                <w:rFonts w:eastAsia="Times New Roman"/>
                <w:color w:val="000000"/>
                <w:sz w:val="20"/>
                <w:szCs w:val="20"/>
              </w:rPr>
            </w:pPr>
            <w:r w:rsidRPr="004C19BB">
              <w:rPr>
                <w:rFonts w:eastAsia="Times New Roman"/>
                <w:color w:val="000000"/>
                <w:sz w:val="20"/>
                <w:szCs w:val="20"/>
              </w:rPr>
              <w:t>10.25%</w:t>
            </w:r>
          </w:p>
        </w:tc>
      </w:tr>
      <w:tr w:rsidR="004C19BB" w:rsidRPr="004C19BB" w:rsidTr="004C19BB">
        <w:trPr>
          <w:trHeight w:val="206"/>
          <w:jc w:val="center"/>
        </w:trPr>
        <w:tc>
          <w:tcPr>
            <w:tcW w:w="3392" w:type="dxa"/>
            <w:noWrap/>
            <w:vAlign w:val="center"/>
            <w:hideMark/>
          </w:tcPr>
          <w:p w:rsidR="004C19BB" w:rsidRPr="004C19BB" w:rsidRDefault="004C19BB" w:rsidP="004C19BB">
            <w:pPr>
              <w:rPr>
                <w:rFonts w:eastAsia="Times New Roman"/>
                <w:color w:val="000000"/>
                <w:sz w:val="20"/>
                <w:szCs w:val="20"/>
              </w:rPr>
            </w:pPr>
            <w:r w:rsidRPr="004C19BB">
              <w:rPr>
                <w:rFonts w:eastAsia="Times New Roman"/>
                <w:color w:val="000000"/>
                <w:sz w:val="20"/>
                <w:szCs w:val="20"/>
                <w:lang w:val="it-IT"/>
              </w:rPr>
              <w:t>Taksa nacionale dhe të tjera</w:t>
            </w:r>
          </w:p>
        </w:tc>
        <w:tc>
          <w:tcPr>
            <w:tcW w:w="1189"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lang w:eastAsia="sq-AL"/>
              </w:rPr>
              <w:t>33,647</w:t>
            </w:r>
          </w:p>
        </w:tc>
        <w:tc>
          <w:tcPr>
            <w:tcW w:w="1189"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lang w:eastAsia="sq-AL"/>
              </w:rPr>
              <w:t>35,972</w:t>
            </w:r>
          </w:p>
        </w:tc>
        <w:tc>
          <w:tcPr>
            <w:tcW w:w="1955"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lang w:eastAsia="sq-AL"/>
              </w:rPr>
              <w:t>2,325</w:t>
            </w:r>
          </w:p>
        </w:tc>
        <w:tc>
          <w:tcPr>
            <w:tcW w:w="1610" w:type="dxa"/>
            <w:noWrap/>
            <w:vAlign w:val="center"/>
            <w:hideMark/>
          </w:tcPr>
          <w:p w:rsidR="004C19BB" w:rsidRPr="004C19BB" w:rsidRDefault="004C19BB" w:rsidP="004C19BB">
            <w:pPr>
              <w:jc w:val="both"/>
              <w:rPr>
                <w:rFonts w:eastAsia="Times New Roman"/>
                <w:color w:val="000000"/>
                <w:sz w:val="20"/>
                <w:szCs w:val="20"/>
              </w:rPr>
            </w:pPr>
            <w:r w:rsidRPr="004C19BB">
              <w:rPr>
                <w:rFonts w:eastAsia="Times New Roman"/>
                <w:color w:val="000000"/>
                <w:sz w:val="20"/>
                <w:szCs w:val="20"/>
              </w:rPr>
              <w:t>6.91%</w:t>
            </w:r>
          </w:p>
        </w:tc>
      </w:tr>
      <w:tr w:rsidR="004C19BB" w:rsidRPr="004C19BB" w:rsidTr="004C19BB">
        <w:trPr>
          <w:trHeight w:val="217"/>
          <w:jc w:val="center"/>
        </w:trPr>
        <w:tc>
          <w:tcPr>
            <w:tcW w:w="3392" w:type="dxa"/>
            <w:noWrap/>
            <w:vAlign w:val="center"/>
            <w:hideMark/>
          </w:tcPr>
          <w:p w:rsidR="004C19BB" w:rsidRPr="004C19BB" w:rsidRDefault="004C19BB" w:rsidP="004C19BB">
            <w:pPr>
              <w:rPr>
                <w:rFonts w:eastAsia="Times New Roman"/>
                <w:color w:val="000000"/>
                <w:sz w:val="20"/>
                <w:szCs w:val="20"/>
              </w:rPr>
            </w:pPr>
            <w:r w:rsidRPr="004C19BB">
              <w:rPr>
                <w:rFonts w:eastAsia="Times New Roman"/>
                <w:color w:val="000000"/>
                <w:sz w:val="20"/>
                <w:szCs w:val="20"/>
                <w:lang w:eastAsia="sq-AL"/>
              </w:rPr>
              <w:t>Taksa doganore</w:t>
            </w:r>
          </w:p>
        </w:tc>
        <w:tc>
          <w:tcPr>
            <w:tcW w:w="1189"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lang w:eastAsia="sq-AL"/>
              </w:rPr>
              <w:t>5,796</w:t>
            </w:r>
          </w:p>
        </w:tc>
        <w:tc>
          <w:tcPr>
            <w:tcW w:w="1189"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lang w:eastAsia="sq-AL"/>
              </w:rPr>
              <w:t>6,253</w:t>
            </w:r>
          </w:p>
        </w:tc>
        <w:tc>
          <w:tcPr>
            <w:tcW w:w="1955" w:type="dxa"/>
            <w:noWrap/>
            <w:vAlign w:val="center"/>
            <w:hideMark/>
          </w:tcPr>
          <w:p w:rsidR="004C19BB" w:rsidRPr="004C19BB" w:rsidRDefault="004C19BB" w:rsidP="004C19BB">
            <w:pPr>
              <w:jc w:val="center"/>
              <w:rPr>
                <w:rFonts w:eastAsia="Times New Roman"/>
                <w:color w:val="000000"/>
                <w:sz w:val="20"/>
                <w:szCs w:val="20"/>
              </w:rPr>
            </w:pPr>
            <w:r w:rsidRPr="004C19BB">
              <w:rPr>
                <w:rFonts w:eastAsia="Times New Roman"/>
                <w:color w:val="000000"/>
                <w:sz w:val="20"/>
                <w:szCs w:val="20"/>
                <w:lang w:eastAsia="sq-AL"/>
              </w:rPr>
              <w:t>457</w:t>
            </w:r>
          </w:p>
        </w:tc>
        <w:tc>
          <w:tcPr>
            <w:tcW w:w="1610" w:type="dxa"/>
            <w:tcBorders>
              <w:top w:val="nil"/>
              <w:left w:val="nil"/>
              <w:bottom w:val="single" w:sz="8" w:space="0" w:color="auto"/>
              <w:right w:val="nil"/>
            </w:tcBorders>
            <w:noWrap/>
            <w:vAlign w:val="center"/>
            <w:hideMark/>
          </w:tcPr>
          <w:p w:rsidR="004C19BB" w:rsidRPr="004C19BB" w:rsidRDefault="004C19BB" w:rsidP="004C19BB">
            <w:pPr>
              <w:jc w:val="both"/>
              <w:rPr>
                <w:rFonts w:eastAsia="Times New Roman"/>
                <w:color w:val="000000"/>
                <w:sz w:val="20"/>
                <w:szCs w:val="20"/>
              </w:rPr>
            </w:pPr>
            <w:r w:rsidRPr="004C19BB">
              <w:rPr>
                <w:rFonts w:eastAsia="Times New Roman"/>
                <w:color w:val="000000"/>
                <w:sz w:val="20"/>
                <w:szCs w:val="20"/>
              </w:rPr>
              <w:t>7.88%</w:t>
            </w:r>
          </w:p>
        </w:tc>
      </w:tr>
      <w:tr w:rsidR="004C19BB" w:rsidRPr="004C19BB" w:rsidTr="004C19BB">
        <w:trPr>
          <w:trHeight w:val="217"/>
          <w:jc w:val="center"/>
        </w:trPr>
        <w:tc>
          <w:tcPr>
            <w:tcW w:w="3392" w:type="dxa"/>
            <w:tcBorders>
              <w:top w:val="single" w:sz="8" w:space="0" w:color="auto"/>
              <w:left w:val="nil"/>
              <w:bottom w:val="double" w:sz="6" w:space="0" w:color="auto"/>
              <w:right w:val="nil"/>
            </w:tcBorders>
            <w:noWrap/>
            <w:vAlign w:val="center"/>
            <w:hideMark/>
          </w:tcPr>
          <w:p w:rsidR="004C19BB" w:rsidRPr="004C19BB" w:rsidRDefault="004C19BB" w:rsidP="004C19BB">
            <w:pPr>
              <w:jc w:val="both"/>
              <w:rPr>
                <w:rFonts w:eastAsia="Times New Roman"/>
                <w:b/>
                <w:bCs/>
                <w:color w:val="000000"/>
                <w:sz w:val="20"/>
                <w:szCs w:val="20"/>
              </w:rPr>
            </w:pPr>
            <w:r w:rsidRPr="004C19BB">
              <w:rPr>
                <w:rFonts w:eastAsia="Times New Roman"/>
                <w:b/>
                <w:bCs/>
                <w:color w:val="000000"/>
                <w:sz w:val="20"/>
                <w:szCs w:val="20"/>
              </w:rPr>
              <w:t>Totali</w:t>
            </w:r>
          </w:p>
        </w:tc>
        <w:tc>
          <w:tcPr>
            <w:tcW w:w="1189" w:type="dxa"/>
            <w:tcBorders>
              <w:top w:val="single" w:sz="8" w:space="0" w:color="auto"/>
              <w:left w:val="nil"/>
              <w:bottom w:val="double" w:sz="6" w:space="0" w:color="auto"/>
              <w:right w:val="nil"/>
            </w:tcBorders>
            <w:noWrap/>
            <w:vAlign w:val="center"/>
            <w:hideMark/>
          </w:tcPr>
          <w:p w:rsidR="004C19BB" w:rsidRPr="004C19BB" w:rsidRDefault="004C19BB" w:rsidP="004C19BB">
            <w:pPr>
              <w:jc w:val="center"/>
              <w:rPr>
                <w:rFonts w:eastAsia="Times New Roman"/>
                <w:b/>
                <w:bCs/>
                <w:color w:val="000000"/>
                <w:sz w:val="20"/>
                <w:szCs w:val="20"/>
              </w:rPr>
            </w:pPr>
            <w:r w:rsidRPr="004C19BB">
              <w:rPr>
                <w:rFonts w:eastAsia="Times New Roman"/>
                <w:b/>
                <w:bCs/>
                <w:color w:val="000000"/>
                <w:sz w:val="20"/>
                <w:szCs w:val="20"/>
                <w:lang w:eastAsia="sq-AL"/>
              </w:rPr>
              <w:t>258,882</w:t>
            </w:r>
          </w:p>
        </w:tc>
        <w:tc>
          <w:tcPr>
            <w:tcW w:w="1189" w:type="dxa"/>
            <w:tcBorders>
              <w:top w:val="single" w:sz="8" w:space="0" w:color="auto"/>
              <w:left w:val="nil"/>
              <w:bottom w:val="double" w:sz="6" w:space="0" w:color="auto"/>
              <w:right w:val="nil"/>
            </w:tcBorders>
            <w:noWrap/>
            <w:vAlign w:val="center"/>
            <w:hideMark/>
          </w:tcPr>
          <w:p w:rsidR="004C19BB" w:rsidRPr="004C19BB" w:rsidRDefault="004C19BB" w:rsidP="004C19BB">
            <w:pPr>
              <w:jc w:val="center"/>
              <w:rPr>
                <w:rFonts w:eastAsia="Times New Roman"/>
                <w:b/>
                <w:bCs/>
                <w:color w:val="000000"/>
                <w:sz w:val="20"/>
                <w:szCs w:val="20"/>
              </w:rPr>
            </w:pPr>
            <w:r w:rsidRPr="004C19BB">
              <w:rPr>
                <w:rFonts w:eastAsia="Times New Roman"/>
                <w:b/>
                <w:bCs/>
                <w:color w:val="000000"/>
                <w:sz w:val="20"/>
                <w:szCs w:val="20"/>
                <w:lang w:eastAsia="sq-AL"/>
              </w:rPr>
              <w:t>277,727</w:t>
            </w:r>
          </w:p>
        </w:tc>
        <w:tc>
          <w:tcPr>
            <w:tcW w:w="1955" w:type="dxa"/>
            <w:tcBorders>
              <w:top w:val="single" w:sz="8" w:space="0" w:color="auto"/>
              <w:left w:val="nil"/>
              <w:bottom w:val="double" w:sz="6" w:space="0" w:color="auto"/>
              <w:right w:val="nil"/>
            </w:tcBorders>
            <w:noWrap/>
            <w:vAlign w:val="center"/>
            <w:hideMark/>
          </w:tcPr>
          <w:p w:rsidR="004C19BB" w:rsidRPr="004C19BB" w:rsidRDefault="004C19BB" w:rsidP="004C19BB">
            <w:pPr>
              <w:jc w:val="center"/>
              <w:rPr>
                <w:rFonts w:eastAsia="Times New Roman"/>
                <w:b/>
                <w:bCs/>
                <w:color w:val="000000"/>
                <w:sz w:val="20"/>
                <w:szCs w:val="20"/>
              </w:rPr>
            </w:pPr>
            <w:r w:rsidRPr="004C19BB">
              <w:rPr>
                <w:rFonts w:eastAsia="Times New Roman"/>
                <w:b/>
                <w:bCs/>
                <w:color w:val="000000"/>
                <w:sz w:val="20"/>
                <w:szCs w:val="20"/>
                <w:lang w:eastAsia="sq-AL"/>
              </w:rPr>
              <w:t>18,845</w:t>
            </w:r>
          </w:p>
        </w:tc>
        <w:tc>
          <w:tcPr>
            <w:tcW w:w="1610" w:type="dxa"/>
            <w:tcBorders>
              <w:top w:val="single" w:sz="8" w:space="0" w:color="auto"/>
              <w:left w:val="nil"/>
              <w:bottom w:val="double" w:sz="6" w:space="0" w:color="auto"/>
              <w:right w:val="nil"/>
            </w:tcBorders>
            <w:noWrap/>
            <w:vAlign w:val="center"/>
            <w:hideMark/>
          </w:tcPr>
          <w:p w:rsidR="004C19BB" w:rsidRPr="004C19BB" w:rsidRDefault="004C19BB" w:rsidP="004C19BB">
            <w:pPr>
              <w:jc w:val="both"/>
              <w:rPr>
                <w:rFonts w:eastAsia="Times New Roman"/>
                <w:b/>
                <w:bCs/>
                <w:color w:val="000000"/>
                <w:sz w:val="20"/>
                <w:szCs w:val="20"/>
              </w:rPr>
            </w:pPr>
            <w:r w:rsidRPr="004C19BB">
              <w:rPr>
                <w:rFonts w:eastAsia="Times New Roman"/>
                <w:b/>
                <w:bCs/>
                <w:color w:val="000000"/>
                <w:sz w:val="20"/>
                <w:szCs w:val="20"/>
              </w:rPr>
              <w:t>7.28%</w:t>
            </w:r>
          </w:p>
        </w:tc>
      </w:tr>
    </w:tbl>
    <w:p w:rsidR="004C19BB" w:rsidRPr="004C19BB" w:rsidRDefault="004C19BB" w:rsidP="004C19BB">
      <w:pPr>
        <w:ind w:firstLine="720"/>
        <w:rPr>
          <w:lang w:val="sq-AL"/>
        </w:rPr>
      </w:pPr>
      <w:r w:rsidRPr="004C19BB">
        <w:rPr>
          <w:b/>
          <w:sz w:val="20"/>
          <w:szCs w:val="20"/>
          <w:lang w:val="sq-AL"/>
        </w:rPr>
        <w:t>Burimi:</w:t>
      </w:r>
      <w:r w:rsidRPr="004C19BB">
        <w:rPr>
          <w:b/>
          <w:i/>
          <w:sz w:val="20"/>
          <w:szCs w:val="20"/>
          <w:lang w:val="sq-AL"/>
        </w:rPr>
        <w:t xml:space="preserve"> </w:t>
      </w:r>
      <w:r w:rsidRPr="004C19BB">
        <w:rPr>
          <w:i/>
          <w:sz w:val="20"/>
          <w:szCs w:val="20"/>
          <w:lang w:val="sq-AL"/>
        </w:rPr>
        <w:t>Ministria e Financave (2016)</w:t>
      </w:r>
    </w:p>
    <w:p w:rsidR="004C19BB" w:rsidRPr="004C19BB" w:rsidRDefault="004C19BB" w:rsidP="004C19BB">
      <w:pPr>
        <w:jc w:val="both"/>
        <w:rPr>
          <w:b/>
          <w:bCs/>
          <w:iCs/>
        </w:rPr>
      </w:pPr>
    </w:p>
    <w:p w:rsidR="004C19BB" w:rsidRPr="004C19BB" w:rsidRDefault="004C19BB" w:rsidP="00534AA6">
      <w:pPr>
        <w:numPr>
          <w:ilvl w:val="0"/>
          <w:numId w:val="147"/>
        </w:numPr>
        <w:spacing w:line="276" w:lineRule="auto"/>
        <w:contextualSpacing/>
        <w:jc w:val="both"/>
        <w:rPr>
          <w:b/>
          <w:bCs/>
          <w:iCs/>
        </w:rPr>
      </w:pPr>
      <w:r w:rsidRPr="004C19BB">
        <w:rPr>
          <w:b/>
          <w:bCs/>
          <w:iCs/>
        </w:rPr>
        <w:t>Parashikimi i të ardhurave nga Tatimet dhe Doganat për vitin 2017</w:t>
      </w:r>
    </w:p>
    <w:p w:rsidR="004C19BB" w:rsidRPr="004C19BB" w:rsidRDefault="004C19BB" w:rsidP="00CF5E6F">
      <w:pPr>
        <w:spacing w:before="100" w:line="276" w:lineRule="auto"/>
        <w:jc w:val="both"/>
        <w:rPr>
          <w:lang w:val="sq-AL"/>
        </w:rPr>
      </w:pPr>
      <w:r w:rsidRPr="004C19BB">
        <w:rPr>
          <w:lang w:val="sq-AL"/>
        </w:rPr>
        <w:t>Në programimin e të ardhurave tatimore për vitin 2017, janë marrë në konsideratë të gjithë faktorët relevantë me ndikim në buxhet, përfshirë efektin e rritjes ekonomike, politikat e kujdesshme fiskale si dhe efektet me fokus rritjen e nivelit të pajtimit me ligjin nga tatimpaguesit.</w:t>
      </w:r>
    </w:p>
    <w:p w:rsidR="004C19BB" w:rsidRPr="004C19BB" w:rsidRDefault="004C19BB" w:rsidP="00CF5E6F">
      <w:pPr>
        <w:spacing w:line="276" w:lineRule="auto"/>
        <w:jc w:val="both"/>
        <w:rPr>
          <w:lang w:val="sq-AL"/>
        </w:rPr>
      </w:pPr>
    </w:p>
    <w:p w:rsidR="004C19BB" w:rsidRPr="004C19BB" w:rsidRDefault="004C19BB" w:rsidP="00CF5E6F">
      <w:pPr>
        <w:spacing w:line="276" w:lineRule="auto"/>
        <w:jc w:val="both"/>
        <w:rPr>
          <w:lang w:val="sq-AL"/>
        </w:rPr>
      </w:pPr>
      <w:r w:rsidRPr="004C19BB">
        <w:rPr>
          <w:lang w:val="sq-AL"/>
        </w:rPr>
        <w:t>Metodologjia e programimit të të ardhurave është bazuar në modelet bashkëkohore të programimit, të sugjeruara dhe aplikuara nga Fondi Monetar Ndërkombëtar dhe në analizën e detajuar të faktorëve që ndikojnë në secilën taksë.</w:t>
      </w:r>
    </w:p>
    <w:p w:rsidR="004C19BB" w:rsidRPr="004C19BB" w:rsidRDefault="004C19BB" w:rsidP="00CF5E6F">
      <w:pPr>
        <w:spacing w:line="276" w:lineRule="auto"/>
        <w:jc w:val="both"/>
      </w:pPr>
    </w:p>
    <w:p w:rsidR="004C19BB" w:rsidRPr="004C19BB" w:rsidRDefault="004C19BB" w:rsidP="00CF5E6F">
      <w:pPr>
        <w:spacing w:line="276" w:lineRule="auto"/>
        <w:jc w:val="both"/>
        <w:rPr>
          <w:lang w:val="it-IT"/>
        </w:rPr>
      </w:pPr>
      <w:r w:rsidRPr="004C19BB">
        <w:rPr>
          <w:lang w:val="it-IT"/>
        </w:rPr>
        <w:t xml:space="preserve">Metodologjia e përdorur në planifikim, ka harmonizuar faktorët makroekonomikë, me treguesit kryesorë që ndikojnë në taksa specifike. Janë analizuar në veçanti sasitë dhe çmimet e mallrave kryesorë të importit dhe prodhimit vendas që mbulojnë mbi 90% të vlerës së të ardhurave totale duke vlerësuar: </w:t>
      </w:r>
    </w:p>
    <w:p w:rsidR="004C19BB" w:rsidRPr="004C19BB" w:rsidRDefault="004C19BB" w:rsidP="00CF5E6F">
      <w:pPr>
        <w:spacing w:line="276" w:lineRule="auto"/>
        <w:jc w:val="both"/>
        <w:rPr>
          <w:sz w:val="16"/>
          <w:lang w:val="it-IT"/>
        </w:rPr>
      </w:pPr>
    </w:p>
    <w:p w:rsidR="004C19BB" w:rsidRPr="004C19BB" w:rsidRDefault="004C19BB" w:rsidP="00534AA6">
      <w:pPr>
        <w:numPr>
          <w:ilvl w:val="0"/>
          <w:numId w:val="148"/>
        </w:numPr>
        <w:spacing w:after="60" w:line="276" w:lineRule="auto"/>
        <w:jc w:val="both"/>
        <w:rPr>
          <w:rFonts w:eastAsia="Calibri"/>
        </w:rPr>
      </w:pPr>
      <w:r w:rsidRPr="004C19BB">
        <w:rPr>
          <w:rFonts w:eastAsia="Calibri"/>
        </w:rPr>
        <w:lastRenderedPageBreak/>
        <w:t xml:space="preserve">Kursin e pritshëm të këmbimit të dy monedhave kryesore: USD dhe EURO me Lekun. </w:t>
      </w:r>
    </w:p>
    <w:p w:rsidR="004C19BB" w:rsidRPr="004C19BB" w:rsidRDefault="004C19BB" w:rsidP="00534AA6">
      <w:pPr>
        <w:numPr>
          <w:ilvl w:val="0"/>
          <w:numId w:val="148"/>
        </w:numPr>
        <w:spacing w:after="60" w:line="276" w:lineRule="auto"/>
        <w:jc w:val="both"/>
        <w:rPr>
          <w:rFonts w:eastAsia="Calibri"/>
        </w:rPr>
      </w:pPr>
      <w:r w:rsidRPr="004C19BB">
        <w:rPr>
          <w:rFonts w:eastAsia="Calibri"/>
        </w:rPr>
        <w:t xml:space="preserve">Çmimet në Bursë që ndikojnë në të ardhurat nga TVSH-ja dhe Renta minerare. </w:t>
      </w:r>
    </w:p>
    <w:p w:rsidR="004C19BB" w:rsidRPr="004C19BB" w:rsidRDefault="004C19BB" w:rsidP="00534AA6">
      <w:pPr>
        <w:numPr>
          <w:ilvl w:val="0"/>
          <w:numId w:val="148"/>
        </w:numPr>
        <w:spacing w:after="60" w:line="276" w:lineRule="auto"/>
        <w:jc w:val="both"/>
        <w:rPr>
          <w:rFonts w:eastAsia="Calibri"/>
        </w:rPr>
      </w:pPr>
      <w:r w:rsidRPr="004C19BB">
        <w:rPr>
          <w:rFonts w:eastAsia="Calibri"/>
        </w:rPr>
        <w:t xml:space="preserve">Sasitë e pritshme të importit dhe prodhimit. </w:t>
      </w:r>
    </w:p>
    <w:p w:rsidR="004C19BB" w:rsidRPr="004C19BB" w:rsidRDefault="004C19BB" w:rsidP="00534AA6">
      <w:pPr>
        <w:numPr>
          <w:ilvl w:val="0"/>
          <w:numId w:val="148"/>
        </w:numPr>
        <w:spacing w:after="60" w:line="276" w:lineRule="auto"/>
        <w:jc w:val="both"/>
        <w:rPr>
          <w:rFonts w:eastAsia="Calibri"/>
        </w:rPr>
      </w:pPr>
      <w:r w:rsidRPr="004C19BB">
        <w:rPr>
          <w:rFonts w:eastAsia="Calibri"/>
        </w:rPr>
        <w:t>Ndryshimet e raporteve midis prodhimit vendas dhe importit për energjinë elektrike, karburantet, pijet alkoolike, birra, etj.</w:t>
      </w:r>
    </w:p>
    <w:p w:rsidR="004C19BB" w:rsidRPr="004C19BB" w:rsidRDefault="004C19BB" w:rsidP="00534AA6">
      <w:pPr>
        <w:numPr>
          <w:ilvl w:val="0"/>
          <w:numId w:val="148"/>
        </w:numPr>
        <w:spacing w:after="60" w:line="276" w:lineRule="auto"/>
        <w:jc w:val="both"/>
        <w:rPr>
          <w:rFonts w:eastAsia="Calibri"/>
        </w:rPr>
      </w:pPr>
      <w:r w:rsidRPr="004C19BB">
        <w:rPr>
          <w:rFonts w:eastAsia="Calibri"/>
        </w:rPr>
        <w:t xml:space="preserve">Ndryshimet e raporteve midis prodhimit vendas dhe eksportit të mineraleve, naftës bruto, prodhimeve bujqësore. </w:t>
      </w:r>
    </w:p>
    <w:p w:rsidR="004C19BB" w:rsidRPr="004C19BB" w:rsidRDefault="004C19BB" w:rsidP="00534AA6">
      <w:pPr>
        <w:numPr>
          <w:ilvl w:val="0"/>
          <w:numId w:val="148"/>
        </w:numPr>
        <w:spacing w:after="60" w:line="276" w:lineRule="auto"/>
        <w:contextualSpacing/>
        <w:jc w:val="both"/>
        <w:rPr>
          <w:rFonts w:eastAsia="Calibri"/>
        </w:rPr>
      </w:pPr>
      <w:r w:rsidRPr="004C19BB">
        <w:rPr>
          <w:rFonts w:eastAsia="Calibri"/>
        </w:rPr>
        <w:t xml:space="preserve">Ndikimin e projekteve të mëdha në infrastrukturë siç janë Projekti TAP, hidrocentralet, infrastruktura. </w:t>
      </w:r>
    </w:p>
    <w:p w:rsidR="004C19BB" w:rsidRPr="004C19BB" w:rsidRDefault="004C19BB" w:rsidP="00CF5E6F">
      <w:pPr>
        <w:spacing w:line="276" w:lineRule="auto"/>
        <w:contextualSpacing/>
        <w:jc w:val="both"/>
        <w:rPr>
          <w:sz w:val="6"/>
        </w:rPr>
      </w:pPr>
    </w:p>
    <w:p w:rsidR="004C19BB" w:rsidRPr="004C19BB" w:rsidRDefault="004C19BB" w:rsidP="00534AA6">
      <w:pPr>
        <w:numPr>
          <w:ilvl w:val="0"/>
          <w:numId w:val="148"/>
        </w:numPr>
        <w:spacing w:after="60" w:line="276" w:lineRule="auto"/>
        <w:contextualSpacing/>
        <w:jc w:val="both"/>
        <w:rPr>
          <w:rFonts w:eastAsia="Calibri"/>
          <w:lang w:val="it-IT"/>
        </w:rPr>
      </w:pPr>
      <w:r w:rsidRPr="004C19BB">
        <w:rPr>
          <w:rFonts w:eastAsia="Calibri"/>
          <w:lang w:val="it-IT"/>
        </w:rPr>
        <w:t>Rritja e të ardhurave nga akciza p</w:t>
      </w:r>
      <w:r w:rsidRPr="004C19BB">
        <w:rPr>
          <w:rFonts w:ascii="Calibri" w:eastAsia="Calibri" w:hAnsi="Calibri"/>
          <w:lang w:val="it-IT"/>
        </w:rPr>
        <w:t>ë</w:t>
      </w:r>
      <w:r w:rsidRPr="004C19BB">
        <w:rPr>
          <w:rFonts w:eastAsia="Calibri"/>
          <w:lang w:val="it-IT"/>
        </w:rPr>
        <w:t>r karburantet, cigaret, pijet etj, si rezultat i rritjes së pritshme në sasi të tyre, në përputhje me konsumin. Janë programuar të zhdoganohen në sasi 200 ton ose 7% më shumë</w:t>
      </w:r>
      <w:r w:rsidRPr="004C19BB">
        <w:rPr>
          <w:rFonts w:ascii="Calibri" w:eastAsia="Calibri" w:hAnsi="Calibri"/>
          <w:lang w:val="it-IT"/>
        </w:rPr>
        <w:t xml:space="preserve"> </w:t>
      </w:r>
      <w:r w:rsidRPr="004C19BB">
        <w:rPr>
          <w:rFonts w:eastAsia="Calibri"/>
          <w:lang w:val="it-IT"/>
        </w:rPr>
        <w:t>cigare krahasuar me realizimin e pritshëm 2016, që parashikohet të jetë 3000 ton ose 29% me shumë se në vitin 2015. Po kështu është parashikuar rritja e konsumit të karburanteve në përputhje me rritjen ekonomike dhe nevojat e tregut.</w:t>
      </w:r>
    </w:p>
    <w:p w:rsidR="004C19BB" w:rsidRPr="004C19BB" w:rsidRDefault="004C19BB" w:rsidP="00534AA6">
      <w:pPr>
        <w:numPr>
          <w:ilvl w:val="0"/>
          <w:numId w:val="148"/>
        </w:numPr>
        <w:spacing w:after="60" w:line="276" w:lineRule="auto"/>
        <w:jc w:val="both"/>
        <w:rPr>
          <w:rFonts w:eastAsia="Calibri"/>
          <w:lang w:val="it-IT"/>
        </w:rPr>
      </w:pPr>
      <w:r w:rsidRPr="004C19BB">
        <w:rPr>
          <w:rFonts w:eastAsia="Calibri"/>
          <w:lang w:val="it-IT"/>
        </w:rPr>
        <w:t xml:space="preserve">Rritja e të ardhurave nga Renta minerare dhe TVSH-ja, si rezultat i zgjerimit të bazës së taksimit për shkak të rritjes së çmimeve ndërkombëtare të karburanteve. Rritja e çmimit të karburanteve me rreth 20%, krahasuar me muajin Gusht 2016 për shkak të vendimit të OPEC për të ulur prodhimin dhe përforcim të kontrollit në prodhim, përpunim dhe tregtim të naftës vendase. </w:t>
      </w:r>
    </w:p>
    <w:p w:rsidR="004C19BB" w:rsidRPr="004C19BB" w:rsidRDefault="004C19BB" w:rsidP="00534AA6">
      <w:pPr>
        <w:numPr>
          <w:ilvl w:val="0"/>
          <w:numId w:val="148"/>
        </w:numPr>
        <w:spacing w:after="60" w:line="276" w:lineRule="auto"/>
        <w:jc w:val="both"/>
        <w:rPr>
          <w:rFonts w:eastAsia="Calibri"/>
          <w:lang w:val="it-IT"/>
        </w:rPr>
      </w:pPr>
      <w:r w:rsidRPr="004C19BB">
        <w:rPr>
          <w:rFonts w:eastAsia="Calibri"/>
          <w:lang w:val="it-IT"/>
        </w:rPr>
        <w:t>Rritja e të ardhurave nga TVSH-ja në import dhe TVSH-ja brenda vendit, e shoqëruar me programimin e fondeve të nevojshme për rimbursimin në kohë të tatimpaguesve.</w:t>
      </w:r>
    </w:p>
    <w:p w:rsidR="004C19BB" w:rsidRPr="004C19BB" w:rsidRDefault="004C19BB" w:rsidP="00534AA6">
      <w:pPr>
        <w:numPr>
          <w:ilvl w:val="0"/>
          <w:numId w:val="148"/>
        </w:numPr>
        <w:spacing w:after="60" w:line="276" w:lineRule="auto"/>
        <w:jc w:val="both"/>
        <w:rPr>
          <w:rFonts w:eastAsia="Calibri"/>
          <w:lang w:val="it-IT"/>
        </w:rPr>
      </w:pPr>
      <w:r w:rsidRPr="004C19BB">
        <w:rPr>
          <w:rFonts w:eastAsia="Calibri"/>
          <w:lang w:val="it-IT"/>
        </w:rPr>
        <w:t>Rritja e të ardhurave nga Tatimi mbi fitimin, e cila reflekton rritjen e deklarimit dhe qarkullimit të realizuar të operatorëve ekonomikë.</w:t>
      </w:r>
    </w:p>
    <w:p w:rsidR="004C19BB" w:rsidRPr="004C19BB" w:rsidRDefault="004C19BB" w:rsidP="00534AA6">
      <w:pPr>
        <w:numPr>
          <w:ilvl w:val="0"/>
          <w:numId w:val="148"/>
        </w:numPr>
        <w:spacing w:after="60" w:line="276" w:lineRule="auto"/>
        <w:jc w:val="both"/>
        <w:rPr>
          <w:rFonts w:eastAsia="Calibri"/>
          <w:lang w:val="it-IT"/>
        </w:rPr>
      </w:pPr>
      <w:r w:rsidRPr="004C19BB">
        <w:rPr>
          <w:rFonts w:eastAsia="Calibri"/>
          <w:lang w:val="it-IT"/>
        </w:rPr>
        <w:t>Rritja e të ardhurave nga Tatimi mbi të ardhurat personale si dhe të kontributeve të sigurimeve, e cila mbështetet si në efektet e rritjes së pagave të sektorit buxhetor ashtu edhe në efektet e fushatës anti-informalitet.</w:t>
      </w:r>
    </w:p>
    <w:p w:rsidR="004C19BB" w:rsidRPr="004C19BB" w:rsidRDefault="004C19BB" w:rsidP="00534AA6">
      <w:pPr>
        <w:numPr>
          <w:ilvl w:val="0"/>
          <w:numId w:val="148"/>
        </w:numPr>
        <w:spacing w:after="60" w:line="276" w:lineRule="auto"/>
        <w:jc w:val="both"/>
        <w:rPr>
          <w:rFonts w:eastAsia="Calibri"/>
          <w:lang w:val="it-IT"/>
        </w:rPr>
      </w:pPr>
      <w:r w:rsidRPr="004C19BB">
        <w:rPr>
          <w:rFonts w:eastAsia="Calibri"/>
          <w:lang w:val="it-IT"/>
        </w:rPr>
        <w:t>Efektet e pritshme pozitive të ligjit për rivlerësimin e pasurive të paluajtshme, të cilat për vitin 2017 llogariten të jenë rreth 1.1 miliardë lekë.</w:t>
      </w:r>
    </w:p>
    <w:p w:rsidR="004C19BB" w:rsidRPr="004C19BB" w:rsidRDefault="004C19BB" w:rsidP="00CF5E6F">
      <w:pPr>
        <w:spacing w:line="276" w:lineRule="auto"/>
        <w:jc w:val="both"/>
        <w:rPr>
          <w:b/>
        </w:rPr>
      </w:pPr>
    </w:p>
    <w:p w:rsidR="004C19BB" w:rsidRPr="004C19BB" w:rsidRDefault="004C19BB" w:rsidP="00CF5E6F">
      <w:pPr>
        <w:spacing w:line="276" w:lineRule="auto"/>
        <w:jc w:val="both"/>
        <w:rPr>
          <w:b/>
          <w:sz w:val="18"/>
          <w:lang w:val="sq-AL"/>
        </w:rPr>
      </w:pPr>
      <w:r w:rsidRPr="004C19BB">
        <w:rPr>
          <w:b/>
          <w:lang w:val="sq-AL"/>
        </w:rPr>
        <w:t xml:space="preserve">Parashikimi i të Ardhurave 2017, synon konsolidimin e mëtejshëm fiskal, forcimin institucional dhe përmirësimin e administrimit fiskal në mbështetje të rritjes ekonomike të qëndrueshme duke nxitur rritjen e prodhimit dhe eksportet. </w:t>
      </w:r>
    </w:p>
    <w:p w:rsidR="004C19BB" w:rsidRPr="004C19BB" w:rsidRDefault="004C19BB" w:rsidP="00CF5E6F">
      <w:pPr>
        <w:spacing w:line="276" w:lineRule="auto"/>
        <w:jc w:val="both"/>
        <w:rPr>
          <w:b/>
          <w:bCs/>
          <w:iCs/>
        </w:rPr>
      </w:pPr>
    </w:p>
    <w:p w:rsidR="004C19BB" w:rsidRPr="004C19BB" w:rsidRDefault="004C19BB" w:rsidP="00CF5E6F">
      <w:pPr>
        <w:spacing w:line="276" w:lineRule="auto"/>
        <w:jc w:val="both"/>
        <w:rPr>
          <w:lang w:val="it-IT"/>
        </w:rPr>
      </w:pPr>
      <w:r w:rsidRPr="004C19BB">
        <w:rPr>
          <w:lang w:val="it-IT"/>
        </w:rPr>
        <w:t xml:space="preserve">Të ardhurat nga tatimet dhe doganat duke përfshirë kontributet, për vitin 2017, vlerësohen të jenë në shumën rreth 376 miliardë lekë, rreth 23.67 miliardë lekë ose 6.9% më shumë se parashikimi i vitit 2016. Vetëm të ardhurat që administrohen nga DPT dhe DPD  parashikohet të jenë 299 miliardë lekë ose 21.37 miliardë lekë më shumë se  2016.  </w:t>
      </w:r>
    </w:p>
    <w:p w:rsidR="004C19BB" w:rsidRPr="004C19BB" w:rsidRDefault="004C19BB" w:rsidP="00CF5E6F">
      <w:pPr>
        <w:spacing w:line="276" w:lineRule="auto"/>
        <w:jc w:val="both"/>
        <w:rPr>
          <w:sz w:val="14"/>
        </w:rPr>
      </w:pPr>
    </w:p>
    <w:p w:rsidR="004C19BB" w:rsidRPr="004C19BB" w:rsidRDefault="004C19BB" w:rsidP="004C19BB">
      <w:pPr>
        <w:ind w:left="7200"/>
        <w:jc w:val="both"/>
        <w:rPr>
          <w:rFonts w:eastAsia="Calibri"/>
          <w:i/>
          <w:sz w:val="20"/>
          <w:szCs w:val="20"/>
          <w:lang w:val="sq-AL"/>
        </w:rPr>
      </w:pPr>
      <w:r w:rsidRPr="004C19BB">
        <w:rPr>
          <w:rFonts w:eastAsia="Calibri"/>
          <w:i/>
          <w:sz w:val="20"/>
          <w:szCs w:val="20"/>
          <w:lang w:val="sq-AL"/>
        </w:rPr>
        <w:t xml:space="preserve">              (në milion lekë)</w:t>
      </w:r>
    </w:p>
    <w:tbl>
      <w:tblPr>
        <w:tblW w:w="9777" w:type="dxa"/>
        <w:tblLook w:val="04A0" w:firstRow="1" w:lastRow="0" w:firstColumn="1" w:lastColumn="0" w:noHBand="0" w:noVBand="1"/>
      </w:tblPr>
      <w:tblGrid>
        <w:gridCol w:w="2849"/>
        <w:gridCol w:w="1008"/>
        <w:gridCol w:w="1008"/>
        <w:gridCol w:w="981"/>
        <w:gridCol w:w="984"/>
        <w:gridCol w:w="981"/>
        <w:gridCol w:w="982"/>
        <w:gridCol w:w="984"/>
      </w:tblGrid>
      <w:tr w:rsidR="004C19BB" w:rsidRPr="004C19BB" w:rsidTr="004C19BB">
        <w:trPr>
          <w:trHeight w:val="1022"/>
        </w:trPr>
        <w:tc>
          <w:tcPr>
            <w:tcW w:w="2849" w:type="dxa"/>
            <w:tcBorders>
              <w:top w:val="single" w:sz="8" w:space="0" w:color="auto"/>
              <w:left w:val="nil"/>
              <w:bottom w:val="double" w:sz="6" w:space="0" w:color="auto"/>
              <w:right w:val="nil"/>
            </w:tcBorders>
            <w:noWrap/>
            <w:vAlign w:val="center"/>
            <w:hideMark/>
          </w:tcPr>
          <w:p w:rsidR="004C19BB" w:rsidRPr="004C19BB" w:rsidRDefault="004C19BB" w:rsidP="004C19BB">
            <w:pPr>
              <w:rPr>
                <w:rFonts w:eastAsia="Times New Roman"/>
                <w:b/>
                <w:bCs/>
                <w:color w:val="000000"/>
                <w:sz w:val="16"/>
                <w:szCs w:val="16"/>
              </w:rPr>
            </w:pPr>
            <w:r w:rsidRPr="004C19BB">
              <w:rPr>
                <w:rFonts w:eastAsia="Times New Roman"/>
                <w:b/>
                <w:bCs/>
                <w:color w:val="000000"/>
                <w:sz w:val="16"/>
                <w:szCs w:val="16"/>
              </w:rPr>
              <w:t xml:space="preserve">Tatime dhe Dogana </w:t>
            </w:r>
          </w:p>
        </w:tc>
        <w:tc>
          <w:tcPr>
            <w:tcW w:w="1008" w:type="dxa"/>
            <w:tcBorders>
              <w:top w:val="single" w:sz="8" w:space="0" w:color="auto"/>
              <w:left w:val="nil"/>
              <w:bottom w:val="double" w:sz="6" w:space="0" w:color="auto"/>
              <w:right w:val="nil"/>
            </w:tcBorders>
            <w:noWrap/>
            <w:vAlign w:val="center"/>
            <w:hideMark/>
          </w:tcPr>
          <w:p w:rsidR="004C19BB" w:rsidRPr="004C19BB" w:rsidRDefault="004C19BB" w:rsidP="004C19BB">
            <w:pPr>
              <w:jc w:val="center"/>
              <w:rPr>
                <w:rFonts w:eastAsia="Times New Roman"/>
                <w:b/>
                <w:bCs/>
                <w:color w:val="000000"/>
                <w:sz w:val="16"/>
                <w:szCs w:val="16"/>
              </w:rPr>
            </w:pPr>
            <w:r w:rsidRPr="004C19BB">
              <w:rPr>
                <w:rFonts w:eastAsia="Times New Roman"/>
                <w:b/>
                <w:bCs/>
                <w:color w:val="000000"/>
                <w:sz w:val="16"/>
                <w:szCs w:val="16"/>
              </w:rPr>
              <w:t>Fakt 2015</w:t>
            </w:r>
          </w:p>
        </w:tc>
        <w:tc>
          <w:tcPr>
            <w:tcW w:w="1008" w:type="dxa"/>
            <w:tcBorders>
              <w:top w:val="single" w:sz="8" w:space="0" w:color="auto"/>
              <w:left w:val="nil"/>
              <w:bottom w:val="double" w:sz="6" w:space="0" w:color="auto"/>
              <w:right w:val="nil"/>
            </w:tcBorders>
            <w:noWrap/>
            <w:vAlign w:val="center"/>
            <w:hideMark/>
          </w:tcPr>
          <w:p w:rsidR="004C19BB" w:rsidRPr="004C19BB" w:rsidRDefault="004C19BB" w:rsidP="004C19BB">
            <w:pPr>
              <w:jc w:val="center"/>
              <w:rPr>
                <w:rFonts w:eastAsia="Times New Roman"/>
                <w:b/>
                <w:bCs/>
                <w:color w:val="000000"/>
                <w:sz w:val="16"/>
                <w:szCs w:val="16"/>
              </w:rPr>
            </w:pPr>
            <w:r w:rsidRPr="004C19BB">
              <w:rPr>
                <w:rFonts w:eastAsia="Times New Roman"/>
                <w:b/>
                <w:bCs/>
                <w:color w:val="000000"/>
                <w:sz w:val="16"/>
                <w:szCs w:val="16"/>
              </w:rPr>
              <w:t>Plan 2016</w:t>
            </w:r>
          </w:p>
        </w:tc>
        <w:tc>
          <w:tcPr>
            <w:tcW w:w="981" w:type="dxa"/>
            <w:tcBorders>
              <w:top w:val="single" w:sz="8" w:space="0" w:color="auto"/>
              <w:left w:val="nil"/>
              <w:bottom w:val="double" w:sz="6" w:space="0" w:color="auto"/>
              <w:right w:val="nil"/>
            </w:tcBorders>
            <w:vAlign w:val="center"/>
            <w:hideMark/>
          </w:tcPr>
          <w:p w:rsidR="004C19BB" w:rsidRPr="004C19BB" w:rsidRDefault="004C19BB" w:rsidP="004C19BB">
            <w:pPr>
              <w:jc w:val="center"/>
              <w:rPr>
                <w:rFonts w:eastAsia="Times New Roman"/>
                <w:b/>
                <w:bCs/>
                <w:color w:val="000000"/>
                <w:sz w:val="16"/>
                <w:szCs w:val="16"/>
              </w:rPr>
            </w:pPr>
            <w:r w:rsidRPr="004C19BB">
              <w:rPr>
                <w:rFonts w:eastAsia="Times New Roman"/>
                <w:b/>
                <w:bCs/>
                <w:color w:val="000000"/>
                <w:sz w:val="16"/>
                <w:szCs w:val="16"/>
              </w:rPr>
              <w:t>I pritshmi 2016</w:t>
            </w:r>
          </w:p>
        </w:tc>
        <w:tc>
          <w:tcPr>
            <w:tcW w:w="984" w:type="dxa"/>
            <w:tcBorders>
              <w:top w:val="single" w:sz="8" w:space="0" w:color="auto"/>
              <w:left w:val="nil"/>
              <w:bottom w:val="double" w:sz="6" w:space="0" w:color="auto"/>
              <w:right w:val="nil"/>
            </w:tcBorders>
            <w:vAlign w:val="center"/>
            <w:hideMark/>
          </w:tcPr>
          <w:p w:rsidR="004C19BB" w:rsidRPr="004C19BB" w:rsidRDefault="004C19BB" w:rsidP="004C19BB">
            <w:pPr>
              <w:jc w:val="center"/>
              <w:rPr>
                <w:rFonts w:eastAsia="Times New Roman"/>
                <w:b/>
                <w:bCs/>
                <w:color w:val="000000"/>
                <w:sz w:val="16"/>
                <w:szCs w:val="16"/>
              </w:rPr>
            </w:pPr>
            <w:r w:rsidRPr="004C19BB">
              <w:rPr>
                <w:rFonts w:eastAsia="Times New Roman"/>
                <w:b/>
                <w:bCs/>
                <w:color w:val="000000"/>
                <w:sz w:val="16"/>
                <w:szCs w:val="16"/>
              </w:rPr>
              <w:t>Diferenca                I pritshmi 2016 / Plani 2016</w:t>
            </w:r>
          </w:p>
        </w:tc>
        <w:tc>
          <w:tcPr>
            <w:tcW w:w="981" w:type="dxa"/>
            <w:tcBorders>
              <w:top w:val="single" w:sz="8" w:space="0" w:color="auto"/>
              <w:left w:val="nil"/>
              <w:bottom w:val="double" w:sz="6" w:space="0" w:color="auto"/>
              <w:right w:val="nil"/>
            </w:tcBorders>
            <w:vAlign w:val="center"/>
            <w:hideMark/>
          </w:tcPr>
          <w:p w:rsidR="004C19BB" w:rsidRPr="004C19BB" w:rsidRDefault="004C19BB" w:rsidP="004C19BB">
            <w:pPr>
              <w:jc w:val="center"/>
              <w:rPr>
                <w:rFonts w:eastAsia="Times New Roman"/>
                <w:b/>
                <w:bCs/>
                <w:color w:val="000000"/>
                <w:sz w:val="16"/>
                <w:szCs w:val="16"/>
              </w:rPr>
            </w:pPr>
            <w:r w:rsidRPr="004C19BB">
              <w:rPr>
                <w:rFonts w:eastAsia="Times New Roman"/>
                <w:b/>
                <w:bCs/>
                <w:color w:val="000000"/>
                <w:sz w:val="16"/>
                <w:szCs w:val="16"/>
              </w:rPr>
              <w:t>Buxhet  2017</w:t>
            </w:r>
          </w:p>
        </w:tc>
        <w:tc>
          <w:tcPr>
            <w:tcW w:w="982" w:type="dxa"/>
            <w:tcBorders>
              <w:top w:val="single" w:sz="8" w:space="0" w:color="auto"/>
              <w:left w:val="nil"/>
              <w:bottom w:val="double" w:sz="6" w:space="0" w:color="auto"/>
              <w:right w:val="nil"/>
            </w:tcBorders>
            <w:vAlign w:val="center"/>
            <w:hideMark/>
          </w:tcPr>
          <w:p w:rsidR="004C19BB" w:rsidRPr="004C19BB" w:rsidRDefault="004C19BB" w:rsidP="004C19BB">
            <w:pPr>
              <w:jc w:val="center"/>
              <w:rPr>
                <w:rFonts w:eastAsia="Times New Roman"/>
                <w:b/>
                <w:bCs/>
                <w:color w:val="000000"/>
                <w:sz w:val="16"/>
                <w:szCs w:val="16"/>
              </w:rPr>
            </w:pPr>
            <w:r w:rsidRPr="004C19BB">
              <w:rPr>
                <w:rFonts w:eastAsia="Times New Roman"/>
                <w:b/>
                <w:bCs/>
                <w:color w:val="000000"/>
                <w:sz w:val="16"/>
                <w:szCs w:val="16"/>
              </w:rPr>
              <w:t xml:space="preserve">Buxhet  2017/ I pritshmi 2016  ne %  </w:t>
            </w:r>
          </w:p>
        </w:tc>
        <w:tc>
          <w:tcPr>
            <w:tcW w:w="984" w:type="dxa"/>
            <w:tcBorders>
              <w:top w:val="single" w:sz="8" w:space="0" w:color="auto"/>
              <w:left w:val="nil"/>
              <w:bottom w:val="double" w:sz="6" w:space="0" w:color="auto"/>
              <w:right w:val="nil"/>
            </w:tcBorders>
            <w:vAlign w:val="center"/>
            <w:hideMark/>
          </w:tcPr>
          <w:p w:rsidR="004C19BB" w:rsidRPr="004C19BB" w:rsidRDefault="004C19BB" w:rsidP="004C19BB">
            <w:pPr>
              <w:jc w:val="center"/>
              <w:rPr>
                <w:rFonts w:eastAsia="Times New Roman"/>
                <w:b/>
                <w:bCs/>
                <w:color w:val="000000"/>
                <w:sz w:val="16"/>
                <w:szCs w:val="16"/>
              </w:rPr>
            </w:pPr>
            <w:r w:rsidRPr="004C19BB">
              <w:rPr>
                <w:rFonts w:eastAsia="Times New Roman"/>
                <w:b/>
                <w:bCs/>
                <w:color w:val="000000"/>
                <w:sz w:val="16"/>
                <w:szCs w:val="16"/>
              </w:rPr>
              <w:t xml:space="preserve">Diferenca buxhet 2017- i pritshmi 2016  </w:t>
            </w:r>
          </w:p>
        </w:tc>
      </w:tr>
      <w:tr w:rsidR="004C19BB" w:rsidRPr="004C19BB" w:rsidTr="004C19BB">
        <w:trPr>
          <w:trHeight w:val="259"/>
        </w:trPr>
        <w:tc>
          <w:tcPr>
            <w:tcW w:w="2849" w:type="dxa"/>
            <w:noWrap/>
            <w:vAlign w:val="center"/>
            <w:hideMark/>
          </w:tcPr>
          <w:p w:rsidR="004C19BB" w:rsidRPr="004C19BB" w:rsidRDefault="004C19BB" w:rsidP="004C19BB">
            <w:pPr>
              <w:rPr>
                <w:rFonts w:eastAsia="Times New Roman"/>
                <w:color w:val="000000"/>
                <w:sz w:val="18"/>
                <w:szCs w:val="18"/>
              </w:rPr>
            </w:pPr>
            <w:r w:rsidRPr="004C19BB">
              <w:rPr>
                <w:rFonts w:eastAsia="Times New Roman"/>
                <w:color w:val="000000"/>
                <w:sz w:val="18"/>
                <w:szCs w:val="18"/>
              </w:rPr>
              <w:t>TVSH</w:t>
            </w:r>
          </w:p>
        </w:tc>
        <w:tc>
          <w:tcPr>
            <w:tcW w:w="1008"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125,783</w:t>
            </w:r>
          </w:p>
        </w:tc>
        <w:tc>
          <w:tcPr>
            <w:tcW w:w="1008"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137,916</w:t>
            </w:r>
          </w:p>
        </w:tc>
        <w:tc>
          <w:tcPr>
            <w:tcW w:w="981"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132,663</w:t>
            </w:r>
          </w:p>
        </w:tc>
        <w:tc>
          <w:tcPr>
            <w:tcW w:w="984"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-5,253</w:t>
            </w:r>
          </w:p>
        </w:tc>
        <w:tc>
          <w:tcPr>
            <w:tcW w:w="981"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140,800</w:t>
            </w:r>
          </w:p>
        </w:tc>
        <w:tc>
          <w:tcPr>
            <w:tcW w:w="982"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6.13%</w:t>
            </w:r>
          </w:p>
        </w:tc>
        <w:tc>
          <w:tcPr>
            <w:tcW w:w="984"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8,137</w:t>
            </w:r>
          </w:p>
        </w:tc>
      </w:tr>
      <w:tr w:rsidR="004C19BB" w:rsidRPr="004C19BB" w:rsidTr="004C19BB">
        <w:trPr>
          <w:trHeight w:val="245"/>
        </w:trPr>
        <w:tc>
          <w:tcPr>
            <w:tcW w:w="2849" w:type="dxa"/>
            <w:noWrap/>
            <w:vAlign w:val="center"/>
            <w:hideMark/>
          </w:tcPr>
          <w:p w:rsidR="004C19BB" w:rsidRPr="004C19BB" w:rsidRDefault="004C19BB" w:rsidP="004C19BB">
            <w:pPr>
              <w:rPr>
                <w:rFonts w:eastAsia="Times New Roman"/>
                <w:color w:val="000000"/>
                <w:sz w:val="18"/>
                <w:szCs w:val="18"/>
              </w:rPr>
            </w:pPr>
            <w:r w:rsidRPr="004C19BB">
              <w:rPr>
                <w:rFonts w:eastAsia="Times New Roman"/>
                <w:color w:val="000000"/>
                <w:sz w:val="18"/>
                <w:szCs w:val="18"/>
              </w:rPr>
              <w:t xml:space="preserve">Tatim fitimi </w:t>
            </w:r>
          </w:p>
        </w:tc>
        <w:tc>
          <w:tcPr>
            <w:tcW w:w="1008"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24,968</w:t>
            </w:r>
          </w:p>
        </w:tc>
        <w:tc>
          <w:tcPr>
            <w:tcW w:w="1008"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24,314</w:t>
            </w:r>
          </w:p>
        </w:tc>
        <w:tc>
          <w:tcPr>
            <w:tcW w:w="981"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27,100</w:t>
            </w:r>
          </w:p>
        </w:tc>
        <w:tc>
          <w:tcPr>
            <w:tcW w:w="984"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2,786</w:t>
            </w:r>
          </w:p>
        </w:tc>
        <w:tc>
          <w:tcPr>
            <w:tcW w:w="981"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29,200</w:t>
            </w:r>
          </w:p>
        </w:tc>
        <w:tc>
          <w:tcPr>
            <w:tcW w:w="982"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7.75%</w:t>
            </w:r>
          </w:p>
        </w:tc>
        <w:tc>
          <w:tcPr>
            <w:tcW w:w="984"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2,100</w:t>
            </w:r>
          </w:p>
        </w:tc>
      </w:tr>
      <w:tr w:rsidR="004C19BB" w:rsidRPr="004C19BB" w:rsidTr="004C19BB">
        <w:trPr>
          <w:trHeight w:val="245"/>
        </w:trPr>
        <w:tc>
          <w:tcPr>
            <w:tcW w:w="2849" w:type="dxa"/>
            <w:noWrap/>
            <w:vAlign w:val="center"/>
            <w:hideMark/>
          </w:tcPr>
          <w:p w:rsidR="004C19BB" w:rsidRPr="004C19BB" w:rsidRDefault="004C19BB" w:rsidP="004C19BB">
            <w:pPr>
              <w:rPr>
                <w:rFonts w:eastAsia="Times New Roman"/>
                <w:color w:val="000000"/>
                <w:sz w:val="18"/>
                <w:szCs w:val="18"/>
              </w:rPr>
            </w:pPr>
            <w:r w:rsidRPr="004C19BB">
              <w:rPr>
                <w:rFonts w:eastAsia="Times New Roman"/>
                <w:color w:val="000000"/>
                <w:sz w:val="18"/>
                <w:szCs w:val="18"/>
              </w:rPr>
              <w:t>Akciza</w:t>
            </w:r>
          </w:p>
        </w:tc>
        <w:tc>
          <w:tcPr>
            <w:tcW w:w="1008"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39,027</w:t>
            </w:r>
          </w:p>
        </w:tc>
        <w:tc>
          <w:tcPr>
            <w:tcW w:w="1008"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44,653</w:t>
            </w:r>
          </w:p>
        </w:tc>
        <w:tc>
          <w:tcPr>
            <w:tcW w:w="981"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43,039</w:t>
            </w:r>
          </w:p>
        </w:tc>
        <w:tc>
          <w:tcPr>
            <w:tcW w:w="984"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-1,614</w:t>
            </w:r>
          </w:p>
        </w:tc>
        <w:tc>
          <w:tcPr>
            <w:tcW w:w="981"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46,700</w:t>
            </w:r>
          </w:p>
        </w:tc>
        <w:tc>
          <w:tcPr>
            <w:tcW w:w="982"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8.51%</w:t>
            </w:r>
          </w:p>
        </w:tc>
        <w:tc>
          <w:tcPr>
            <w:tcW w:w="984"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3,661</w:t>
            </w:r>
          </w:p>
        </w:tc>
      </w:tr>
      <w:tr w:rsidR="004C19BB" w:rsidRPr="004C19BB" w:rsidTr="004C19BB">
        <w:trPr>
          <w:trHeight w:val="245"/>
        </w:trPr>
        <w:tc>
          <w:tcPr>
            <w:tcW w:w="2849" w:type="dxa"/>
            <w:noWrap/>
            <w:vAlign w:val="center"/>
            <w:hideMark/>
          </w:tcPr>
          <w:p w:rsidR="004C19BB" w:rsidRPr="004C19BB" w:rsidRDefault="004C19BB" w:rsidP="004C19BB">
            <w:pPr>
              <w:rPr>
                <w:rFonts w:eastAsia="Times New Roman"/>
                <w:color w:val="000000"/>
                <w:sz w:val="18"/>
                <w:szCs w:val="18"/>
              </w:rPr>
            </w:pPr>
            <w:r w:rsidRPr="004C19BB">
              <w:rPr>
                <w:rFonts w:eastAsia="Times New Roman"/>
                <w:color w:val="000000"/>
                <w:sz w:val="18"/>
                <w:szCs w:val="18"/>
                <w:lang w:val="it-IT"/>
              </w:rPr>
              <w:t xml:space="preserve">Tatimi mbi të ardhurat personale </w:t>
            </w:r>
          </w:p>
        </w:tc>
        <w:tc>
          <w:tcPr>
            <w:tcW w:w="1008"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29,661</w:t>
            </w:r>
          </w:p>
        </w:tc>
        <w:tc>
          <w:tcPr>
            <w:tcW w:w="1008"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32,073</w:t>
            </w:r>
          </w:p>
        </w:tc>
        <w:tc>
          <w:tcPr>
            <w:tcW w:w="981"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32,700</w:t>
            </w:r>
          </w:p>
        </w:tc>
        <w:tc>
          <w:tcPr>
            <w:tcW w:w="984"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627</w:t>
            </w:r>
          </w:p>
        </w:tc>
        <w:tc>
          <w:tcPr>
            <w:tcW w:w="981"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36,200</w:t>
            </w:r>
          </w:p>
        </w:tc>
        <w:tc>
          <w:tcPr>
            <w:tcW w:w="982"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10.70%</w:t>
            </w:r>
          </w:p>
        </w:tc>
        <w:tc>
          <w:tcPr>
            <w:tcW w:w="984"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3,500</w:t>
            </w:r>
          </w:p>
        </w:tc>
      </w:tr>
      <w:tr w:rsidR="004C19BB" w:rsidRPr="004C19BB" w:rsidTr="004C19BB">
        <w:trPr>
          <w:trHeight w:val="245"/>
        </w:trPr>
        <w:tc>
          <w:tcPr>
            <w:tcW w:w="2849" w:type="dxa"/>
            <w:noWrap/>
            <w:vAlign w:val="center"/>
            <w:hideMark/>
          </w:tcPr>
          <w:p w:rsidR="004C19BB" w:rsidRPr="004C19BB" w:rsidRDefault="004C19BB" w:rsidP="004C19BB">
            <w:pPr>
              <w:rPr>
                <w:rFonts w:eastAsia="Times New Roman"/>
                <w:color w:val="000000"/>
                <w:sz w:val="18"/>
                <w:szCs w:val="18"/>
              </w:rPr>
            </w:pPr>
            <w:r w:rsidRPr="004C19BB">
              <w:rPr>
                <w:rFonts w:eastAsia="Times New Roman"/>
                <w:color w:val="000000"/>
                <w:sz w:val="18"/>
                <w:szCs w:val="18"/>
              </w:rPr>
              <w:lastRenderedPageBreak/>
              <w:t xml:space="preserve">Taksa nacionale </w:t>
            </w:r>
          </w:p>
        </w:tc>
        <w:tc>
          <w:tcPr>
            <w:tcW w:w="1008"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33,647</w:t>
            </w:r>
          </w:p>
        </w:tc>
        <w:tc>
          <w:tcPr>
            <w:tcW w:w="1008"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37,219</w:t>
            </w:r>
          </w:p>
        </w:tc>
        <w:tc>
          <w:tcPr>
            <w:tcW w:w="981"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35,972</w:t>
            </w:r>
          </w:p>
        </w:tc>
        <w:tc>
          <w:tcPr>
            <w:tcW w:w="984"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-1,247</w:t>
            </w:r>
          </w:p>
        </w:tc>
        <w:tc>
          <w:tcPr>
            <w:tcW w:w="981"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39,700</w:t>
            </w:r>
          </w:p>
        </w:tc>
        <w:tc>
          <w:tcPr>
            <w:tcW w:w="982"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10.36%</w:t>
            </w:r>
          </w:p>
        </w:tc>
        <w:tc>
          <w:tcPr>
            <w:tcW w:w="984"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3,728</w:t>
            </w:r>
          </w:p>
        </w:tc>
      </w:tr>
      <w:tr w:rsidR="004C19BB" w:rsidRPr="004C19BB" w:rsidTr="004C19BB">
        <w:trPr>
          <w:trHeight w:val="245"/>
        </w:trPr>
        <w:tc>
          <w:tcPr>
            <w:tcW w:w="2849" w:type="dxa"/>
            <w:noWrap/>
            <w:vAlign w:val="center"/>
            <w:hideMark/>
          </w:tcPr>
          <w:p w:rsidR="004C19BB" w:rsidRPr="004C19BB" w:rsidRDefault="004C19BB" w:rsidP="004C19BB">
            <w:pPr>
              <w:rPr>
                <w:rFonts w:eastAsia="Times New Roman"/>
                <w:color w:val="000000"/>
                <w:sz w:val="18"/>
                <w:szCs w:val="18"/>
              </w:rPr>
            </w:pPr>
            <w:r w:rsidRPr="004C19BB">
              <w:rPr>
                <w:rFonts w:eastAsia="Times New Roman"/>
                <w:color w:val="000000"/>
                <w:sz w:val="18"/>
                <w:szCs w:val="18"/>
              </w:rPr>
              <w:t xml:space="preserve">Taksa doganore </w:t>
            </w:r>
          </w:p>
        </w:tc>
        <w:tc>
          <w:tcPr>
            <w:tcW w:w="1008"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5,796</w:t>
            </w:r>
          </w:p>
        </w:tc>
        <w:tc>
          <w:tcPr>
            <w:tcW w:w="1008"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6,036</w:t>
            </w:r>
          </w:p>
        </w:tc>
        <w:tc>
          <w:tcPr>
            <w:tcW w:w="981"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6,253</w:t>
            </w:r>
          </w:p>
        </w:tc>
        <w:tc>
          <w:tcPr>
            <w:tcW w:w="984"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217</w:t>
            </w:r>
          </w:p>
        </w:tc>
        <w:tc>
          <w:tcPr>
            <w:tcW w:w="981"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6,400</w:t>
            </w:r>
          </w:p>
        </w:tc>
        <w:tc>
          <w:tcPr>
            <w:tcW w:w="982"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2.35%</w:t>
            </w:r>
          </w:p>
        </w:tc>
        <w:tc>
          <w:tcPr>
            <w:tcW w:w="984"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147</w:t>
            </w:r>
          </w:p>
        </w:tc>
      </w:tr>
      <w:tr w:rsidR="004C19BB" w:rsidRPr="004C19BB" w:rsidTr="004C19BB">
        <w:trPr>
          <w:trHeight w:val="245"/>
        </w:trPr>
        <w:tc>
          <w:tcPr>
            <w:tcW w:w="2849" w:type="dxa"/>
            <w:shd w:val="clear" w:color="auto" w:fill="FFFFFF"/>
            <w:noWrap/>
            <w:vAlign w:val="center"/>
            <w:hideMark/>
          </w:tcPr>
          <w:p w:rsidR="004C19BB" w:rsidRPr="004C19BB" w:rsidRDefault="004C19BB" w:rsidP="004C19BB">
            <w:pPr>
              <w:rPr>
                <w:rFonts w:eastAsia="Times New Roman"/>
                <w:b/>
                <w:bCs/>
                <w:color w:val="000000"/>
                <w:sz w:val="18"/>
                <w:szCs w:val="18"/>
              </w:rPr>
            </w:pPr>
            <w:r w:rsidRPr="004C19BB">
              <w:rPr>
                <w:rFonts w:eastAsia="Times New Roman"/>
                <w:b/>
                <w:bCs/>
                <w:color w:val="000000"/>
                <w:sz w:val="18"/>
                <w:szCs w:val="18"/>
              </w:rPr>
              <w:t>Total të Ardhurat</w:t>
            </w:r>
          </w:p>
        </w:tc>
        <w:tc>
          <w:tcPr>
            <w:tcW w:w="1008" w:type="dxa"/>
            <w:shd w:val="clear" w:color="auto" w:fill="FFFFFF"/>
            <w:noWrap/>
            <w:vAlign w:val="center"/>
            <w:hideMark/>
          </w:tcPr>
          <w:p w:rsidR="004C19BB" w:rsidRPr="004C19BB" w:rsidRDefault="004C19BB" w:rsidP="004C19BB">
            <w:pPr>
              <w:jc w:val="right"/>
              <w:rPr>
                <w:rFonts w:eastAsia="Times New Roman"/>
                <w:b/>
                <w:bCs/>
                <w:color w:val="000000"/>
                <w:sz w:val="18"/>
                <w:szCs w:val="18"/>
              </w:rPr>
            </w:pPr>
            <w:r w:rsidRPr="004C19BB">
              <w:rPr>
                <w:rFonts w:eastAsia="Times New Roman"/>
                <w:b/>
                <w:bCs/>
                <w:color w:val="000000"/>
                <w:sz w:val="18"/>
                <w:szCs w:val="18"/>
              </w:rPr>
              <w:t>258,882</w:t>
            </w:r>
          </w:p>
        </w:tc>
        <w:tc>
          <w:tcPr>
            <w:tcW w:w="1008" w:type="dxa"/>
            <w:shd w:val="clear" w:color="auto" w:fill="FFFFFF"/>
            <w:noWrap/>
            <w:vAlign w:val="center"/>
            <w:hideMark/>
          </w:tcPr>
          <w:p w:rsidR="004C19BB" w:rsidRPr="004C19BB" w:rsidRDefault="004C19BB" w:rsidP="004C19BB">
            <w:pPr>
              <w:jc w:val="right"/>
              <w:rPr>
                <w:rFonts w:eastAsia="Times New Roman"/>
                <w:b/>
                <w:bCs/>
                <w:color w:val="000000"/>
                <w:sz w:val="18"/>
                <w:szCs w:val="18"/>
              </w:rPr>
            </w:pPr>
            <w:r w:rsidRPr="004C19BB">
              <w:rPr>
                <w:rFonts w:eastAsia="Times New Roman"/>
                <w:b/>
                <w:bCs/>
                <w:color w:val="000000"/>
                <w:sz w:val="18"/>
                <w:szCs w:val="18"/>
              </w:rPr>
              <w:t>282,211</w:t>
            </w:r>
          </w:p>
        </w:tc>
        <w:tc>
          <w:tcPr>
            <w:tcW w:w="981" w:type="dxa"/>
            <w:shd w:val="clear" w:color="auto" w:fill="FFFFFF"/>
            <w:noWrap/>
            <w:vAlign w:val="center"/>
            <w:hideMark/>
          </w:tcPr>
          <w:p w:rsidR="004C19BB" w:rsidRPr="004C19BB" w:rsidRDefault="004C19BB" w:rsidP="004C19BB">
            <w:pPr>
              <w:jc w:val="right"/>
              <w:rPr>
                <w:rFonts w:eastAsia="Times New Roman"/>
                <w:b/>
                <w:bCs/>
                <w:color w:val="000000"/>
                <w:sz w:val="18"/>
                <w:szCs w:val="18"/>
              </w:rPr>
            </w:pPr>
            <w:r w:rsidRPr="004C19BB">
              <w:rPr>
                <w:rFonts w:eastAsia="Times New Roman"/>
                <w:b/>
                <w:bCs/>
                <w:color w:val="000000"/>
                <w:sz w:val="18"/>
                <w:szCs w:val="18"/>
              </w:rPr>
              <w:t>277,727</w:t>
            </w:r>
          </w:p>
        </w:tc>
        <w:tc>
          <w:tcPr>
            <w:tcW w:w="984" w:type="dxa"/>
            <w:shd w:val="clear" w:color="auto" w:fill="FFFFFF"/>
            <w:noWrap/>
            <w:vAlign w:val="center"/>
            <w:hideMark/>
          </w:tcPr>
          <w:p w:rsidR="004C19BB" w:rsidRPr="004C19BB" w:rsidRDefault="004C19BB" w:rsidP="004C19BB">
            <w:pPr>
              <w:jc w:val="right"/>
              <w:rPr>
                <w:rFonts w:eastAsia="Times New Roman"/>
                <w:b/>
                <w:bCs/>
                <w:color w:val="000000"/>
                <w:sz w:val="18"/>
                <w:szCs w:val="18"/>
              </w:rPr>
            </w:pPr>
            <w:r w:rsidRPr="004C19BB">
              <w:rPr>
                <w:rFonts w:eastAsia="Times New Roman"/>
                <w:b/>
                <w:bCs/>
                <w:color w:val="000000"/>
                <w:sz w:val="18"/>
                <w:szCs w:val="18"/>
              </w:rPr>
              <w:t>-4,484</w:t>
            </w:r>
          </w:p>
        </w:tc>
        <w:tc>
          <w:tcPr>
            <w:tcW w:w="981" w:type="dxa"/>
            <w:shd w:val="clear" w:color="auto" w:fill="FFFFFF"/>
            <w:noWrap/>
            <w:vAlign w:val="center"/>
            <w:hideMark/>
          </w:tcPr>
          <w:p w:rsidR="004C19BB" w:rsidRPr="004C19BB" w:rsidRDefault="004C19BB" w:rsidP="004C19BB">
            <w:pPr>
              <w:jc w:val="right"/>
              <w:rPr>
                <w:rFonts w:eastAsia="Times New Roman"/>
                <w:b/>
                <w:bCs/>
                <w:color w:val="000000"/>
                <w:sz w:val="18"/>
                <w:szCs w:val="18"/>
              </w:rPr>
            </w:pPr>
            <w:r w:rsidRPr="004C19BB">
              <w:rPr>
                <w:rFonts w:eastAsia="Times New Roman"/>
                <w:b/>
                <w:bCs/>
                <w:color w:val="000000"/>
                <w:sz w:val="18"/>
                <w:szCs w:val="18"/>
              </w:rPr>
              <w:t>299,000</w:t>
            </w:r>
          </w:p>
        </w:tc>
        <w:tc>
          <w:tcPr>
            <w:tcW w:w="982"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7.66%</w:t>
            </w:r>
          </w:p>
        </w:tc>
        <w:tc>
          <w:tcPr>
            <w:tcW w:w="984" w:type="dxa"/>
            <w:shd w:val="clear" w:color="auto" w:fill="FFFFFF"/>
            <w:noWrap/>
            <w:vAlign w:val="center"/>
            <w:hideMark/>
          </w:tcPr>
          <w:p w:rsidR="004C19BB" w:rsidRPr="004C19BB" w:rsidRDefault="004C19BB" w:rsidP="004C19BB">
            <w:pPr>
              <w:jc w:val="right"/>
              <w:rPr>
                <w:rFonts w:eastAsia="Times New Roman"/>
                <w:b/>
                <w:bCs/>
                <w:color w:val="000000"/>
                <w:sz w:val="18"/>
                <w:szCs w:val="18"/>
              </w:rPr>
            </w:pPr>
            <w:r w:rsidRPr="004C19BB">
              <w:rPr>
                <w:rFonts w:eastAsia="Times New Roman"/>
                <w:b/>
                <w:bCs/>
                <w:color w:val="000000"/>
                <w:sz w:val="18"/>
                <w:szCs w:val="18"/>
              </w:rPr>
              <w:t>21,273</w:t>
            </w:r>
          </w:p>
        </w:tc>
      </w:tr>
      <w:tr w:rsidR="004C19BB" w:rsidRPr="004C19BB" w:rsidTr="004C19BB">
        <w:trPr>
          <w:trHeight w:val="259"/>
        </w:trPr>
        <w:tc>
          <w:tcPr>
            <w:tcW w:w="2849" w:type="dxa"/>
            <w:shd w:val="clear" w:color="auto" w:fill="FFFFFF"/>
            <w:noWrap/>
            <w:vAlign w:val="center"/>
            <w:hideMark/>
          </w:tcPr>
          <w:p w:rsidR="004C19BB" w:rsidRPr="004C19BB" w:rsidRDefault="004C19BB" w:rsidP="004C19BB">
            <w:pPr>
              <w:rPr>
                <w:rFonts w:eastAsia="Times New Roman"/>
                <w:color w:val="000000"/>
                <w:sz w:val="18"/>
                <w:szCs w:val="18"/>
              </w:rPr>
            </w:pPr>
            <w:r w:rsidRPr="004C19BB">
              <w:rPr>
                <w:rFonts w:eastAsia="Times New Roman"/>
                <w:color w:val="000000"/>
                <w:sz w:val="18"/>
                <w:szCs w:val="18"/>
              </w:rPr>
              <w:t xml:space="preserve">Kontributet nga DPT </w:t>
            </w:r>
          </w:p>
        </w:tc>
        <w:tc>
          <w:tcPr>
            <w:tcW w:w="1008" w:type="dxa"/>
            <w:shd w:val="clear" w:color="auto" w:fill="FFFFFF"/>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66,844</w:t>
            </w:r>
          </w:p>
        </w:tc>
        <w:tc>
          <w:tcPr>
            <w:tcW w:w="1008" w:type="dxa"/>
            <w:shd w:val="clear" w:color="auto" w:fill="FFFFFF"/>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74,454</w:t>
            </w:r>
          </w:p>
        </w:tc>
        <w:tc>
          <w:tcPr>
            <w:tcW w:w="981" w:type="dxa"/>
            <w:shd w:val="clear" w:color="auto" w:fill="FFFFFF"/>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74,500</w:t>
            </w:r>
          </w:p>
        </w:tc>
        <w:tc>
          <w:tcPr>
            <w:tcW w:w="984" w:type="dxa"/>
            <w:shd w:val="clear" w:color="auto" w:fill="FFFFFF"/>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46</w:t>
            </w:r>
          </w:p>
        </w:tc>
        <w:tc>
          <w:tcPr>
            <w:tcW w:w="981" w:type="dxa"/>
            <w:shd w:val="clear" w:color="auto" w:fill="FFFFFF"/>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76,900</w:t>
            </w:r>
          </w:p>
        </w:tc>
        <w:tc>
          <w:tcPr>
            <w:tcW w:w="982" w:type="dxa"/>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3.22%</w:t>
            </w:r>
          </w:p>
        </w:tc>
        <w:tc>
          <w:tcPr>
            <w:tcW w:w="984" w:type="dxa"/>
            <w:shd w:val="clear" w:color="auto" w:fill="FFFFFF"/>
            <w:noWrap/>
            <w:vAlign w:val="center"/>
            <w:hideMark/>
          </w:tcPr>
          <w:p w:rsidR="004C19BB" w:rsidRPr="004C19BB" w:rsidRDefault="004C19BB" w:rsidP="004C19BB">
            <w:pPr>
              <w:jc w:val="right"/>
              <w:rPr>
                <w:rFonts w:eastAsia="Times New Roman"/>
                <w:color w:val="000000"/>
                <w:sz w:val="18"/>
                <w:szCs w:val="18"/>
              </w:rPr>
            </w:pPr>
            <w:r w:rsidRPr="004C19BB">
              <w:rPr>
                <w:rFonts w:eastAsia="Times New Roman"/>
                <w:color w:val="000000"/>
                <w:sz w:val="18"/>
                <w:szCs w:val="18"/>
              </w:rPr>
              <w:t>2,400</w:t>
            </w:r>
          </w:p>
        </w:tc>
      </w:tr>
      <w:tr w:rsidR="004C19BB" w:rsidRPr="004C19BB" w:rsidTr="004C19BB">
        <w:trPr>
          <w:trHeight w:val="259"/>
        </w:trPr>
        <w:tc>
          <w:tcPr>
            <w:tcW w:w="2849" w:type="dxa"/>
            <w:tcBorders>
              <w:top w:val="single" w:sz="8" w:space="0" w:color="auto"/>
              <w:left w:val="nil"/>
              <w:bottom w:val="double" w:sz="6" w:space="0" w:color="auto"/>
              <w:right w:val="nil"/>
            </w:tcBorders>
            <w:shd w:val="clear" w:color="auto" w:fill="FFFFFF"/>
            <w:noWrap/>
            <w:vAlign w:val="center"/>
            <w:hideMark/>
          </w:tcPr>
          <w:p w:rsidR="004C19BB" w:rsidRPr="004C19BB" w:rsidRDefault="004C19BB" w:rsidP="004C19BB">
            <w:pPr>
              <w:rPr>
                <w:rFonts w:eastAsia="Times New Roman"/>
                <w:b/>
                <w:bCs/>
                <w:color w:val="000000"/>
                <w:sz w:val="18"/>
                <w:szCs w:val="18"/>
              </w:rPr>
            </w:pPr>
            <w:r w:rsidRPr="004C19BB">
              <w:rPr>
                <w:rFonts w:eastAsia="Times New Roman"/>
                <w:b/>
                <w:bCs/>
                <w:color w:val="000000"/>
                <w:sz w:val="18"/>
                <w:szCs w:val="18"/>
              </w:rPr>
              <w:t xml:space="preserve">Total </w:t>
            </w:r>
          </w:p>
        </w:tc>
        <w:tc>
          <w:tcPr>
            <w:tcW w:w="1008" w:type="dxa"/>
            <w:tcBorders>
              <w:top w:val="single" w:sz="8" w:space="0" w:color="auto"/>
              <w:left w:val="nil"/>
              <w:bottom w:val="double" w:sz="6" w:space="0" w:color="auto"/>
              <w:right w:val="nil"/>
            </w:tcBorders>
            <w:shd w:val="clear" w:color="auto" w:fill="FFFFFF"/>
            <w:noWrap/>
            <w:vAlign w:val="center"/>
            <w:hideMark/>
          </w:tcPr>
          <w:p w:rsidR="004C19BB" w:rsidRPr="004C19BB" w:rsidRDefault="004C19BB" w:rsidP="004C19BB">
            <w:pPr>
              <w:jc w:val="right"/>
              <w:rPr>
                <w:rFonts w:eastAsia="Times New Roman"/>
                <w:b/>
                <w:bCs/>
                <w:color w:val="000000"/>
                <w:sz w:val="18"/>
                <w:szCs w:val="18"/>
              </w:rPr>
            </w:pPr>
            <w:r w:rsidRPr="004C19BB">
              <w:rPr>
                <w:rFonts w:eastAsia="Times New Roman"/>
                <w:b/>
                <w:bCs/>
                <w:color w:val="000000"/>
                <w:sz w:val="18"/>
                <w:szCs w:val="18"/>
              </w:rPr>
              <w:t>325,726</w:t>
            </w:r>
          </w:p>
        </w:tc>
        <w:tc>
          <w:tcPr>
            <w:tcW w:w="1008" w:type="dxa"/>
            <w:tcBorders>
              <w:top w:val="single" w:sz="8" w:space="0" w:color="auto"/>
              <w:left w:val="nil"/>
              <w:bottom w:val="double" w:sz="6" w:space="0" w:color="auto"/>
              <w:right w:val="nil"/>
            </w:tcBorders>
            <w:shd w:val="clear" w:color="auto" w:fill="FFFFFF"/>
            <w:noWrap/>
            <w:vAlign w:val="center"/>
            <w:hideMark/>
          </w:tcPr>
          <w:p w:rsidR="004C19BB" w:rsidRPr="004C19BB" w:rsidRDefault="004C19BB" w:rsidP="004C19BB">
            <w:pPr>
              <w:jc w:val="right"/>
              <w:rPr>
                <w:rFonts w:eastAsia="Times New Roman"/>
                <w:b/>
                <w:bCs/>
                <w:color w:val="000000"/>
                <w:sz w:val="18"/>
                <w:szCs w:val="18"/>
              </w:rPr>
            </w:pPr>
            <w:r w:rsidRPr="004C19BB">
              <w:rPr>
                <w:rFonts w:eastAsia="Times New Roman"/>
                <w:b/>
                <w:bCs/>
                <w:color w:val="000000"/>
                <w:sz w:val="18"/>
                <w:szCs w:val="18"/>
              </w:rPr>
              <w:t>356,665</w:t>
            </w:r>
          </w:p>
        </w:tc>
        <w:tc>
          <w:tcPr>
            <w:tcW w:w="981" w:type="dxa"/>
            <w:tcBorders>
              <w:top w:val="single" w:sz="8" w:space="0" w:color="auto"/>
              <w:left w:val="nil"/>
              <w:bottom w:val="double" w:sz="6" w:space="0" w:color="auto"/>
              <w:right w:val="nil"/>
            </w:tcBorders>
            <w:shd w:val="clear" w:color="auto" w:fill="FFFFFF"/>
            <w:noWrap/>
            <w:vAlign w:val="center"/>
            <w:hideMark/>
          </w:tcPr>
          <w:p w:rsidR="004C19BB" w:rsidRPr="004C19BB" w:rsidRDefault="004C19BB" w:rsidP="004C19BB">
            <w:pPr>
              <w:jc w:val="right"/>
              <w:rPr>
                <w:rFonts w:eastAsia="Times New Roman"/>
                <w:b/>
                <w:bCs/>
                <w:color w:val="000000"/>
                <w:sz w:val="18"/>
                <w:szCs w:val="18"/>
              </w:rPr>
            </w:pPr>
            <w:r w:rsidRPr="004C19BB">
              <w:rPr>
                <w:rFonts w:eastAsia="Times New Roman"/>
                <w:b/>
                <w:bCs/>
                <w:color w:val="000000"/>
                <w:sz w:val="18"/>
                <w:szCs w:val="18"/>
              </w:rPr>
              <w:t>352,227</w:t>
            </w:r>
          </w:p>
        </w:tc>
        <w:tc>
          <w:tcPr>
            <w:tcW w:w="984" w:type="dxa"/>
            <w:tcBorders>
              <w:top w:val="single" w:sz="8" w:space="0" w:color="auto"/>
              <w:left w:val="nil"/>
              <w:bottom w:val="double" w:sz="6" w:space="0" w:color="auto"/>
              <w:right w:val="nil"/>
            </w:tcBorders>
            <w:shd w:val="clear" w:color="auto" w:fill="FFFFFF"/>
            <w:noWrap/>
            <w:vAlign w:val="center"/>
            <w:hideMark/>
          </w:tcPr>
          <w:p w:rsidR="004C19BB" w:rsidRPr="004C19BB" w:rsidRDefault="004C19BB" w:rsidP="004C19BB">
            <w:pPr>
              <w:jc w:val="right"/>
              <w:rPr>
                <w:rFonts w:eastAsia="Times New Roman"/>
                <w:b/>
                <w:bCs/>
                <w:color w:val="000000"/>
                <w:sz w:val="18"/>
                <w:szCs w:val="18"/>
              </w:rPr>
            </w:pPr>
            <w:r w:rsidRPr="004C19BB">
              <w:rPr>
                <w:rFonts w:eastAsia="Times New Roman"/>
                <w:b/>
                <w:bCs/>
                <w:color w:val="000000"/>
                <w:sz w:val="18"/>
                <w:szCs w:val="18"/>
              </w:rPr>
              <w:t>-4,438</w:t>
            </w:r>
          </w:p>
        </w:tc>
        <w:tc>
          <w:tcPr>
            <w:tcW w:w="981" w:type="dxa"/>
            <w:tcBorders>
              <w:top w:val="single" w:sz="8" w:space="0" w:color="auto"/>
              <w:left w:val="nil"/>
              <w:bottom w:val="double" w:sz="6" w:space="0" w:color="auto"/>
              <w:right w:val="nil"/>
            </w:tcBorders>
            <w:shd w:val="clear" w:color="auto" w:fill="FFFFFF"/>
            <w:noWrap/>
            <w:vAlign w:val="center"/>
            <w:hideMark/>
          </w:tcPr>
          <w:p w:rsidR="004C19BB" w:rsidRPr="004C19BB" w:rsidRDefault="004C19BB" w:rsidP="004C19BB">
            <w:pPr>
              <w:jc w:val="right"/>
              <w:rPr>
                <w:rFonts w:eastAsia="Times New Roman"/>
                <w:b/>
                <w:bCs/>
                <w:color w:val="000000"/>
                <w:sz w:val="18"/>
                <w:szCs w:val="18"/>
              </w:rPr>
            </w:pPr>
            <w:r w:rsidRPr="004C19BB">
              <w:rPr>
                <w:rFonts w:eastAsia="Times New Roman"/>
                <w:b/>
                <w:bCs/>
                <w:color w:val="000000"/>
                <w:sz w:val="18"/>
                <w:szCs w:val="18"/>
              </w:rPr>
              <w:t>376,384</w:t>
            </w:r>
          </w:p>
        </w:tc>
        <w:tc>
          <w:tcPr>
            <w:tcW w:w="982" w:type="dxa"/>
            <w:tcBorders>
              <w:top w:val="single" w:sz="8" w:space="0" w:color="auto"/>
              <w:left w:val="nil"/>
              <w:bottom w:val="double" w:sz="6" w:space="0" w:color="auto"/>
              <w:right w:val="nil"/>
            </w:tcBorders>
            <w:noWrap/>
            <w:vAlign w:val="center"/>
            <w:hideMark/>
          </w:tcPr>
          <w:p w:rsidR="004C19BB" w:rsidRPr="004C19BB" w:rsidRDefault="004C19BB" w:rsidP="004C19BB">
            <w:pPr>
              <w:jc w:val="right"/>
              <w:rPr>
                <w:rFonts w:eastAsia="Times New Roman"/>
                <w:b/>
                <w:bCs/>
                <w:color w:val="000000"/>
                <w:sz w:val="18"/>
                <w:szCs w:val="18"/>
              </w:rPr>
            </w:pPr>
            <w:r w:rsidRPr="004C19BB">
              <w:rPr>
                <w:rFonts w:eastAsia="Times New Roman"/>
                <w:b/>
                <w:bCs/>
                <w:color w:val="000000"/>
                <w:sz w:val="18"/>
                <w:szCs w:val="18"/>
              </w:rPr>
              <w:t>6.86%</w:t>
            </w:r>
          </w:p>
        </w:tc>
        <w:tc>
          <w:tcPr>
            <w:tcW w:w="984" w:type="dxa"/>
            <w:tcBorders>
              <w:top w:val="single" w:sz="8" w:space="0" w:color="auto"/>
              <w:left w:val="nil"/>
              <w:bottom w:val="double" w:sz="6" w:space="0" w:color="auto"/>
              <w:right w:val="nil"/>
            </w:tcBorders>
            <w:shd w:val="clear" w:color="auto" w:fill="FFFFFF"/>
            <w:noWrap/>
            <w:vAlign w:val="center"/>
            <w:hideMark/>
          </w:tcPr>
          <w:p w:rsidR="004C19BB" w:rsidRPr="004C19BB" w:rsidRDefault="004C19BB" w:rsidP="004C19BB">
            <w:pPr>
              <w:jc w:val="right"/>
              <w:rPr>
                <w:rFonts w:eastAsia="Times New Roman"/>
                <w:b/>
                <w:bCs/>
                <w:color w:val="000000"/>
                <w:sz w:val="18"/>
                <w:szCs w:val="18"/>
              </w:rPr>
            </w:pPr>
            <w:r w:rsidRPr="004C19BB">
              <w:rPr>
                <w:rFonts w:eastAsia="Times New Roman"/>
                <w:b/>
                <w:bCs/>
                <w:color w:val="000000"/>
                <w:sz w:val="18"/>
                <w:szCs w:val="18"/>
              </w:rPr>
              <w:t>23,673</w:t>
            </w:r>
          </w:p>
        </w:tc>
      </w:tr>
    </w:tbl>
    <w:p w:rsidR="004C19BB" w:rsidRPr="004C19BB" w:rsidRDefault="004C19BB" w:rsidP="004C19BB">
      <w:pPr>
        <w:rPr>
          <w:lang w:val="sq-AL"/>
        </w:rPr>
      </w:pPr>
      <w:r w:rsidRPr="004C19BB">
        <w:rPr>
          <w:b/>
          <w:sz w:val="20"/>
          <w:szCs w:val="20"/>
          <w:lang w:val="sq-AL"/>
        </w:rPr>
        <w:t>Burimi:</w:t>
      </w:r>
      <w:r w:rsidRPr="004C19BB">
        <w:rPr>
          <w:b/>
          <w:i/>
          <w:sz w:val="20"/>
          <w:szCs w:val="20"/>
          <w:lang w:val="sq-AL"/>
        </w:rPr>
        <w:t xml:space="preserve"> </w:t>
      </w:r>
      <w:r w:rsidRPr="004C19BB">
        <w:rPr>
          <w:i/>
          <w:sz w:val="20"/>
          <w:szCs w:val="20"/>
          <w:lang w:val="sq-AL"/>
        </w:rPr>
        <w:t>Ministria e Financave (2016)</w:t>
      </w:r>
    </w:p>
    <w:p w:rsidR="004C19BB" w:rsidRPr="004C19BB" w:rsidRDefault="004C19BB" w:rsidP="004C19BB">
      <w:pPr>
        <w:ind w:left="7200"/>
        <w:jc w:val="both"/>
        <w:rPr>
          <w:rFonts w:eastAsia="Calibri"/>
          <w:i/>
          <w:sz w:val="20"/>
          <w:szCs w:val="20"/>
          <w:lang w:val="sq-AL"/>
        </w:rPr>
      </w:pPr>
    </w:p>
    <w:p w:rsidR="004C19BB" w:rsidRPr="004C19BB" w:rsidRDefault="004C19BB" w:rsidP="00CF5E6F">
      <w:pPr>
        <w:spacing w:line="276" w:lineRule="auto"/>
        <w:jc w:val="both"/>
        <w:rPr>
          <w:lang w:val="sq-AL"/>
        </w:rPr>
      </w:pPr>
      <w:r w:rsidRPr="004C19BB">
        <w:rPr>
          <w:lang w:val="sq-AL"/>
        </w:rPr>
        <w:t xml:space="preserve">Të ardhurat doganore janë parashikuar duke u bazuar në analizën e trendit historik të 60 grup-produkteve kryesore, për një periudhë tre-vjeçare. Ky parashikim është korrektuar me efektet e faktorëve të tjerë të jashtëm në secilën taksë. E njëjta procedurë është ndjekur edhe për të ardhurat nga tatimet, duke marrë për bazë modelin statistikor të projeksionit të të ardhurave të pritshme si dhe faktorët ekzogjenë me ndikim në çdo taksë. </w:t>
      </w:r>
    </w:p>
    <w:p w:rsidR="004C19BB" w:rsidRPr="004C19BB" w:rsidRDefault="004C19BB" w:rsidP="00CF5E6F">
      <w:pPr>
        <w:spacing w:line="276" w:lineRule="auto"/>
        <w:jc w:val="both"/>
        <w:rPr>
          <w:strike/>
        </w:rPr>
      </w:pPr>
    </w:p>
    <w:p w:rsidR="004C19BB" w:rsidRPr="004C19BB" w:rsidRDefault="004C19BB" w:rsidP="00CF5E6F">
      <w:pPr>
        <w:spacing w:line="276" w:lineRule="auto"/>
        <w:jc w:val="both"/>
      </w:pPr>
      <w:r w:rsidRPr="004C19BB">
        <w:t>Faktorët e jashtëm të marrë në konsideratë të cilët ndikojnë në rritjen e të ardhurave për vitin 2017 janë:</w:t>
      </w:r>
    </w:p>
    <w:p w:rsidR="004C19BB" w:rsidRPr="004C19BB" w:rsidRDefault="004C19BB" w:rsidP="00CF5E6F">
      <w:pPr>
        <w:spacing w:line="276" w:lineRule="auto"/>
        <w:jc w:val="both"/>
      </w:pPr>
    </w:p>
    <w:p w:rsidR="004C19BB" w:rsidRPr="004C19BB" w:rsidRDefault="004C19BB" w:rsidP="00534AA6">
      <w:pPr>
        <w:numPr>
          <w:ilvl w:val="0"/>
          <w:numId w:val="10"/>
        </w:numPr>
        <w:spacing w:after="160"/>
        <w:ind w:left="270" w:hanging="180"/>
        <w:contextualSpacing/>
        <w:jc w:val="both"/>
        <w:rPr>
          <w:rFonts w:eastAsia="Calibri"/>
          <w:b/>
          <w:lang w:val="it-IT"/>
        </w:rPr>
      </w:pPr>
      <w:r w:rsidRPr="004C19BB">
        <w:rPr>
          <w:rFonts w:eastAsia="Calibri"/>
          <w:b/>
          <w:lang w:val="it-IT"/>
        </w:rPr>
        <w:t>Kuadri Makroekonomik</w:t>
      </w:r>
    </w:p>
    <w:p w:rsidR="004C19BB" w:rsidRPr="004C19BB" w:rsidRDefault="004C19BB" w:rsidP="004C19BB">
      <w:pPr>
        <w:jc w:val="both"/>
        <w:rPr>
          <w:lang w:val="it-IT"/>
        </w:rPr>
      </w:pPr>
    </w:p>
    <w:p w:rsidR="004C19BB" w:rsidRPr="004C19BB" w:rsidRDefault="004C19BB" w:rsidP="00CF5E6F">
      <w:pPr>
        <w:spacing w:line="276" w:lineRule="auto"/>
        <w:jc w:val="both"/>
        <w:rPr>
          <w:lang w:val="it-IT"/>
        </w:rPr>
      </w:pPr>
      <w:r w:rsidRPr="004C19BB">
        <w:rPr>
          <w:lang w:val="it-IT"/>
        </w:rPr>
        <w:t xml:space="preserve">Rritja nominale e Prodhimit të Brendshëm Bruto është aplikuar duke analizuar këtë efekt në mënyrë të integruar me faktorë të tjerë për çdo taksë në veçanti, të ndërlidhur me të dhënat historike dhe projeksionet e çmimeve të tregjeve ndërkombëtare tek taksat ad-valorem si TVSH, Renta minerare dhe Taksa doganore. </w:t>
      </w:r>
    </w:p>
    <w:p w:rsidR="004C19BB" w:rsidRPr="004C19BB" w:rsidRDefault="004C19BB" w:rsidP="00CF5E6F">
      <w:pPr>
        <w:spacing w:line="276" w:lineRule="auto"/>
        <w:jc w:val="both"/>
        <w:rPr>
          <w:sz w:val="12"/>
          <w:lang w:val="it-IT"/>
        </w:rPr>
      </w:pPr>
    </w:p>
    <w:p w:rsidR="004C19BB" w:rsidRPr="004C19BB" w:rsidRDefault="004C19BB" w:rsidP="00CF5E6F">
      <w:pPr>
        <w:spacing w:line="276" w:lineRule="auto"/>
        <w:jc w:val="both"/>
        <w:rPr>
          <w:lang w:val="it-IT"/>
        </w:rPr>
      </w:pPr>
      <w:r w:rsidRPr="004C19BB">
        <w:rPr>
          <w:lang w:val="it-IT"/>
        </w:rPr>
        <w:t xml:space="preserve">Janë përfshirë në projeksion, faktorët e mëposhtëm: </w:t>
      </w:r>
    </w:p>
    <w:p w:rsidR="004C19BB" w:rsidRPr="004C19BB" w:rsidRDefault="004C19BB" w:rsidP="00CF5E6F">
      <w:pPr>
        <w:spacing w:line="276" w:lineRule="auto"/>
        <w:jc w:val="both"/>
        <w:rPr>
          <w:sz w:val="14"/>
          <w:lang w:val="it-IT"/>
        </w:rPr>
      </w:pPr>
    </w:p>
    <w:p w:rsidR="004C19BB" w:rsidRPr="004C19BB" w:rsidRDefault="004C19BB" w:rsidP="00534AA6">
      <w:pPr>
        <w:numPr>
          <w:ilvl w:val="0"/>
          <w:numId w:val="150"/>
        </w:numPr>
        <w:spacing w:after="60" w:line="276" w:lineRule="auto"/>
        <w:jc w:val="both"/>
        <w:rPr>
          <w:rFonts w:eastAsia="Calibri"/>
          <w:lang w:val="it-IT"/>
        </w:rPr>
      </w:pPr>
      <w:r w:rsidRPr="004C19BB">
        <w:rPr>
          <w:rFonts w:eastAsia="Calibri"/>
          <w:lang w:val="it-IT"/>
        </w:rPr>
        <w:t xml:space="preserve">Rritja nominale e PBB-së 6.3%. </w:t>
      </w:r>
    </w:p>
    <w:p w:rsidR="004C19BB" w:rsidRPr="004C19BB" w:rsidRDefault="004C19BB" w:rsidP="00534AA6">
      <w:pPr>
        <w:numPr>
          <w:ilvl w:val="0"/>
          <w:numId w:val="150"/>
        </w:numPr>
        <w:spacing w:after="60" w:line="276" w:lineRule="auto"/>
        <w:jc w:val="both"/>
        <w:rPr>
          <w:rFonts w:eastAsia="Calibri"/>
          <w:lang w:val="it-IT"/>
        </w:rPr>
      </w:pPr>
      <w:r w:rsidRPr="004C19BB">
        <w:rPr>
          <w:rFonts w:eastAsia="Calibri"/>
          <w:lang w:val="it-IT"/>
        </w:rPr>
        <w:t xml:space="preserve">Kursi mesatar i këmbimit Eur –Lek (138) dhe USD-Lek (126). </w:t>
      </w:r>
    </w:p>
    <w:p w:rsidR="004C19BB" w:rsidRPr="004C19BB" w:rsidRDefault="004C19BB" w:rsidP="00534AA6">
      <w:pPr>
        <w:numPr>
          <w:ilvl w:val="0"/>
          <w:numId w:val="150"/>
        </w:numPr>
        <w:spacing w:after="60" w:line="276" w:lineRule="auto"/>
        <w:jc w:val="both"/>
        <w:rPr>
          <w:rFonts w:eastAsia="Calibri"/>
          <w:lang w:val="it-IT"/>
        </w:rPr>
      </w:pPr>
      <w:r w:rsidRPr="004C19BB">
        <w:rPr>
          <w:rFonts w:eastAsia="Calibri"/>
          <w:lang w:val="it-IT"/>
        </w:rPr>
        <w:t>Pritshmëria në rritjen e kërkesës agregate si rezultat i rritjes së pagave.</w:t>
      </w:r>
    </w:p>
    <w:p w:rsidR="004C19BB" w:rsidRPr="004C19BB" w:rsidRDefault="004C19BB" w:rsidP="00CF5E6F">
      <w:pPr>
        <w:spacing w:after="160" w:line="276" w:lineRule="auto"/>
        <w:ind w:left="720"/>
        <w:contextualSpacing/>
        <w:jc w:val="both"/>
        <w:rPr>
          <w:rFonts w:eastAsia="Calibri"/>
          <w:lang w:val="it-IT"/>
        </w:rPr>
      </w:pPr>
    </w:p>
    <w:p w:rsidR="004C19BB" w:rsidRPr="004C19BB" w:rsidRDefault="004C19BB" w:rsidP="00534AA6">
      <w:pPr>
        <w:numPr>
          <w:ilvl w:val="0"/>
          <w:numId w:val="10"/>
        </w:numPr>
        <w:spacing w:after="160" w:line="276" w:lineRule="auto"/>
        <w:ind w:left="270" w:hanging="180"/>
        <w:contextualSpacing/>
        <w:jc w:val="both"/>
        <w:rPr>
          <w:rFonts w:eastAsia="Calibri"/>
          <w:b/>
          <w:lang w:val="it-IT"/>
        </w:rPr>
      </w:pPr>
      <w:r w:rsidRPr="004C19BB">
        <w:rPr>
          <w:rFonts w:eastAsia="Calibri"/>
          <w:b/>
          <w:lang w:val="it-IT"/>
        </w:rPr>
        <w:t>Efektet e politikave fiskale</w:t>
      </w:r>
    </w:p>
    <w:p w:rsidR="004C19BB" w:rsidRPr="004C19BB" w:rsidRDefault="004C19BB" w:rsidP="00CF5E6F">
      <w:pPr>
        <w:spacing w:after="160" w:line="276" w:lineRule="auto"/>
        <w:ind w:left="270"/>
        <w:contextualSpacing/>
        <w:jc w:val="both"/>
        <w:rPr>
          <w:rFonts w:eastAsia="Calibri"/>
          <w:b/>
          <w:lang w:val="it-IT"/>
        </w:rPr>
      </w:pPr>
    </w:p>
    <w:p w:rsidR="004C19BB" w:rsidRPr="004C19BB" w:rsidRDefault="004C19BB" w:rsidP="00CF5E6F">
      <w:pPr>
        <w:spacing w:line="276" w:lineRule="auto"/>
        <w:jc w:val="both"/>
        <w:rPr>
          <w:lang w:val="it-IT"/>
        </w:rPr>
      </w:pPr>
      <w:r w:rsidRPr="004C19BB">
        <w:rPr>
          <w:lang w:val="it-IT"/>
        </w:rPr>
        <w:t xml:space="preserve">Të ardhurat nga politika fiskale parashikohet të jenë si më poshtë: </w:t>
      </w:r>
    </w:p>
    <w:p w:rsidR="004C19BB" w:rsidRPr="004C19BB" w:rsidRDefault="004C19BB" w:rsidP="00CF5E6F">
      <w:pPr>
        <w:spacing w:line="276" w:lineRule="auto"/>
        <w:jc w:val="both"/>
        <w:rPr>
          <w:sz w:val="20"/>
          <w:lang w:val="it-IT"/>
        </w:rPr>
      </w:pPr>
    </w:p>
    <w:p w:rsidR="004C19BB" w:rsidRPr="004C19BB" w:rsidRDefault="004C19BB" w:rsidP="00534AA6">
      <w:pPr>
        <w:numPr>
          <w:ilvl w:val="0"/>
          <w:numId w:val="149"/>
        </w:numPr>
        <w:spacing w:after="60" w:line="276" w:lineRule="auto"/>
        <w:jc w:val="both"/>
        <w:rPr>
          <w:rFonts w:eastAsia="Calibri"/>
          <w:lang w:val="it-IT"/>
        </w:rPr>
      </w:pPr>
      <w:r w:rsidRPr="004C19BB">
        <w:rPr>
          <w:rFonts w:eastAsia="Calibri"/>
          <w:lang w:val="it-IT"/>
        </w:rPr>
        <w:t>Aplikim akcize për gazin e lëngshëm për automjete në nivelin 13 lekë/litër, me qëllim përafrimin me standardet e BE-së dhe të vendeve të rajonit që e taksojnë këtë produkt. Duke llogaritur që importi vjetor i gazit të lëngshëm për përdorim nga automjetet, është rreth 25 mijë ton në vit, efekti në të ardhurat buxhetore pritet te jetë 0.5 miliardë lekë nga akciza dhe 0.1 miliardë lekë nga TVSH-ja. Efekti total në të ardhura vleresohet  +0.6 miliardë lekë.</w:t>
      </w:r>
    </w:p>
    <w:p w:rsidR="004C19BB" w:rsidRPr="004C19BB" w:rsidRDefault="004C19BB" w:rsidP="00534AA6">
      <w:pPr>
        <w:numPr>
          <w:ilvl w:val="0"/>
          <w:numId w:val="149"/>
        </w:numPr>
        <w:spacing w:after="60" w:line="276" w:lineRule="auto"/>
        <w:jc w:val="both"/>
        <w:rPr>
          <w:rFonts w:eastAsia="Calibri"/>
          <w:lang w:val="it-IT"/>
        </w:rPr>
      </w:pPr>
      <w:r w:rsidRPr="004C19BB">
        <w:rPr>
          <w:rFonts w:eastAsia="Calibri"/>
          <w:lang w:val="it-IT"/>
        </w:rPr>
        <w:t>Reduktimi i akcizës për duhanin prodhim vendi nga 4400 lekë/kg në 2500 lekë/ kg. Kjo masë pritet të incentivojë prodhuesit vendas. Kjo masë e përkohshme është në perputhje me politikat e BE –së që ka parshikuar nëe Direktivën për akcizën e produkteve te duhanit. Efekti total i pritshëm si rezultat i këtyre masave është rreth  +0.075 miliardë lekë.</w:t>
      </w:r>
    </w:p>
    <w:p w:rsidR="004C19BB" w:rsidRPr="004C19BB" w:rsidRDefault="004C19BB" w:rsidP="00534AA6">
      <w:pPr>
        <w:numPr>
          <w:ilvl w:val="0"/>
          <w:numId w:val="149"/>
        </w:numPr>
        <w:spacing w:after="60" w:line="276" w:lineRule="auto"/>
        <w:jc w:val="both"/>
        <w:rPr>
          <w:rFonts w:eastAsia="Times New Roman"/>
          <w:lang w:val="it-IT"/>
        </w:rPr>
      </w:pPr>
      <w:r w:rsidRPr="004C19BB">
        <w:rPr>
          <w:rFonts w:eastAsia="Calibri"/>
          <w:lang w:val="it-IT"/>
        </w:rPr>
        <w:t xml:space="preserve">Reduktim </w:t>
      </w:r>
      <w:r w:rsidRPr="004C19BB">
        <w:rPr>
          <w:rFonts w:eastAsia="+mn-ea"/>
          <w:bCs/>
          <w:kern w:val="24"/>
          <w:lang w:val="it-IT"/>
        </w:rPr>
        <w:t xml:space="preserve">i </w:t>
      </w:r>
      <w:r w:rsidRPr="004C19BB">
        <w:rPr>
          <w:rFonts w:eastAsia="Calibri"/>
          <w:lang w:val="it-IT"/>
        </w:rPr>
        <w:t xml:space="preserve">Rentës minerare për mineralin e destinuar për përpunim. </w:t>
      </w:r>
      <w:r w:rsidRPr="004C19BB">
        <w:rPr>
          <w:rFonts w:eastAsia="Times New Roman"/>
          <w:lang w:val="it-IT"/>
        </w:rPr>
        <w:t xml:space="preserve">Për vitin 2017 të ardhurat si rezultat i ndryshimit të përqindjes së taksës së rentës nga 4% (2/3 e 6%)  në 3% për mineralin krom, të destinuar për përpunim brenda vendit, pritet të jenë -0.01 milard lekë. </w:t>
      </w:r>
    </w:p>
    <w:p w:rsidR="004C19BB" w:rsidRPr="004C19BB" w:rsidRDefault="004C19BB" w:rsidP="00534AA6">
      <w:pPr>
        <w:numPr>
          <w:ilvl w:val="0"/>
          <w:numId w:val="149"/>
        </w:numPr>
        <w:spacing w:after="60" w:line="276" w:lineRule="auto"/>
        <w:jc w:val="both"/>
        <w:rPr>
          <w:rFonts w:eastAsia="Times New Roman"/>
          <w:lang w:val="it-IT"/>
        </w:rPr>
      </w:pPr>
      <w:r w:rsidRPr="004C19BB">
        <w:rPr>
          <w:rFonts w:eastAsia="Times New Roman"/>
          <w:lang w:val="it-IT"/>
        </w:rPr>
        <w:t>Reduktimi i disa taksave doganore për industrinë fason me efekt – 0.060 miliardë lekë.</w:t>
      </w:r>
    </w:p>
    <w:p w:rsidR="004C19BB" w:rsidRPr="004C19BB" w:rsidRDefault="004C19BB" w:rsidP="00534AA6">
      <w:pPr>
        <w:numPr>
          <w:ilvl w:val="0"/>
          <w:numId w:val="149"/>
        </w:numPr>
        <w:spacing w:after="60" w:line="276" w:lineRule="auto"/>
        <w:jc w:val="both"/>
        <w:rPr>
          <w:rFonts w:eastAsia="Times New Roman"/>
          <w:lang w:val="it-IT"/>
        </w:rPr>
      </w:pPr>
      <w:r w:rsidRPr="004C19BB">
        <w:rPr>
          <w:rFonts w:eastAsia="Times New Roman"/>
          <w:lang w:val="it-IT"/>
        </w:rPr>
        <w:t xml:space="preserve">Reduktim i taksës doganore nga 2% në 0% për qymyrin koks që përdoret nga industria. </w:t>
      </w:r>
    </w:p>
    <w:p w:rsidR="004C19BB" w:rsidRPr="004C19BB" w:rsidRDefault="004C19BB" w:rsidP="00534AA6">
      <w:pPr>
        <w:numPr>
          <w:ilvl w:val="0"/>
          <w:numId w:val="149"/>
        </w:numPr>
        <w:spacing w:after="60" w:line="276" w:lineRule="auto"/>
        <w:jc w:val="both"/>
        <w:rPr>
          <w:rFonts w:eastAsia="Times New Roman"/>
          <w:lang w:val="it-IT"/>
        </w:rPr>
      </w:pPr>
      <w:r w:rsidRPr="004C19BB">
        <w:rPr>
          <w:rFonts w:eastAsia="Times New Roman"/>
          <w:lang w:val="it-IT"/>
        </w:rPr>
        <w:t>Korrektimi i  akcizës për purot dhe cigarillos në nivelin e duhanit me efekt 0.004 miliardë Lekë.</w:t>
      </w:r>
    </w:p>
    <w:p w:rsidR="004C19BB" w:rsidRPr="004C19BB" w:rsidRDefault="004C19BB" w:rsidP="00534AA6">
      <w:pPr>
        <w:numPr>
          <w:ilvl w:val="0"/>
          <w:numId w:val="149"/>
        </w:numPr>
        <w:spacing w:after="60" w:line="276" w:lineRule="auto"/>
        <w:jc w:val="both"/>
        <w:rPr>
          <w:rFonts w:eastAsia="Times New Roman"/>
          <w:lang w:val="it-IT"/>
        </w:rPr>
      </w:pPr>
      <w:r w:rsidRPr="004C19BB">
        <w:rPr>
          <w:rFonts w:eastAsia="Times New Roman"/>
          <w:lang w:val="it-IT"/>
        </w:rPr>
        <w:lastRenderedPageBreak/>
        <w:t xml:space="preserve">Rritja e kushtëzimeve për përfitimin e rimbursimeve të akcizës për përmbajtje BIO në karburante. </w:t>
      </w:r>
    </w:p>
    <w:p w:rsidR="004C19BB" w:rsidRPr="004C19BB" w:rsidRDefault="004C19BB" w:rsidP="00534AA6">
      <w:pPr>
        <w:numPr>
          <w:ilvl w:val="0"/>
          <w:numId w:val="149"/>
        </w:numPr>
        <w:spacing w:after="60" w:line="276" w:lineRule="auto"/>
        <w:jc w:val="both"/>
        <w:rPr>
          <w:rFonts w:eastAsia="Times New Roman"/>
          <w:lang w:val="it-IT"/>
        </w:rPr>
      </w:pPr>
      <w:r w:rsidRPr="004C19BB">
        <w:rPr>
          <w:rFonts w:eastAsia="Times New Roman"/>
          <w:lang w:val="it-IT"/>
        </w:rPr>
        <w:t xml:space="preserve">Përmirësime metodike të kontrollit të bazës së taksimit të rentës minerare. </w:t>
      </w:r>
    </w:p>
    <w:p w:rsidR="004C19BB" w:rsidRPr="004C19BB" w:rsidRDefault="004C19BB" w:rsidP="00534AA6">
      <w:pPr>
        <w:numPr>
          <w:ilvl w:val="0"/>
          <w:numId w:val="149"/>
        </w:numPr>
        <w:spacing w:after="60" w:line="276" w:lineRule="auto"/>
        <w:jc w:val="both"/>
        <w:rPr>
          <w:rFonts w:eastAsia="Times New Roman"/>
          <w:lang w:val="it-IT"/>
        </w:rPr>
      </w:pPr>
      <w:r w:rsidRPr="004C19BB">
        <w:rPr>
          <w:rFonts w:eastAsia="Times New Roman"/>
          <w:lang w:val="it-IT"/>
        </w:rPr>
        <w:t>Korigjime të tjera pa efekte të rëndësishme në të ardhura të detajuara në dokumentacionin e paketës fiskale 2017.</w:t>
      </w:r>
    </w:p>
    <w:p w:rsidR="004C19BB" w:rsidRPr="004C19BB" w:rsidRDefault="004C19BB" w:rsidP="00CF5E6F">
      <w:pPr>
        <w:spacing w:line="276" w:lineRule="auto"/>
        <w:jc w:val="both"/>
        <w:rPr>
          <w:b/>
          <w:lang w:val="it-IT"/>
        </w:rPr>
      </w:pPr>
    </w:p>
    <w:p w:rsidR="004C19BB" w:rsidRPr="004C19BB" w:rsidRDefault="004C19BB" w:rsidP="00CF5E6F">
      <w:pPr>
        <w:spacing w:line="276" w:lineRule="auto"/>
        <w:jc w:val="both"/>
        <w:rPr>
          <w:b/>
          <w:lang w:val="it-IT"/>
        </w:rPr>
      </w:pPr>
      <w:r w:rsidRPr="004C19BB">
        <w:rPr>
          <w:b/>
          <w:lang w:val="it-IT"/>
        </w:rPr>
        <w:t>Parashikimi i të ardhurave sipas zërave për vitin 2017</w:t>
      </w:r>
    </w:p>
    <w:p w:rsidR="004C19BB" w:rsidRPr="004C19BB" w:rsidRDefault="004C19BB" w:rsidP="00CF5E6F">
      <w:pPr>
        <w:spacing w:beforeLines="100" w:before="240" w:line="276" w:lineRule="auto"/>
        <w:jc w:val="both"/>
        <w:rPr>
          <w:b/>
          <w:i/>
          <w:lang w:val="it-IT"/>
        </w:rPr>
      </w:pPr>
      <w:r w:rsidRPr="004C19BB">
        <w:rPr>
          <w:b/>
          <w:i/>
          <w:lang w:val="it-IT"/>
        </w:rPr>
        <w:t xml:space="preserve">Të ardhurat nga TVSH-ja </w:t>
      </w:r>
    </w:p>
    <w:p w:rsidR="004C19BB" w:rsidRPr="004C19BB" w:rsidRDefault="004C19BB" w:rsidP="00CF5E6F">
      <w:pPr>
        <w:spacing w:beforeLines="100" w:before="240" w:line="276" w:lineRule="auto"/>
        <w:jc w:val="both"/>
        <w:rPr>
          <w:lang w:val="it-IT"/>
        </w:rPr>
      </w:pPr>
      <w:r w:rsidRPr="004C19BB">
        <w:rPr>
          <w:lang w:val="it-IT"/>
        </w:rPr>
        <w:t>Parashikohet të jetë në masën 140.8 miliardë lekë, 8 miliardë lekë më shumë se pritshmëria për vitin 2016 ose 6 %.</w:t>
      </w:r>
    </w:p>
    <w:p w:rsidR="004C19BB" w:rsidRPr="004C19BB" w:rsidRDefault="004C19BB" w:rsidP="00CF5E6F">
      <w:pPr>
        <w:spacing w:line="276" w:lineRule="auto"/>
        <w:jc w:val="both"/>
        <w:rPr>
          <w:sz w:val="14"/>
          <w:lang w:val="it-IT"/>
        </w:rPr>
      </w:pPr>
    </w:p>
    <w:p w:rsidR="004C19BB" w:rsidRPr="004C19BB" w:rsidRDefault="004C19BB" w:rsidP="00CF5E6F">
      <w:pPr>
        <w:spacing w:line="276" w:lineRule="auto"/>
        <w:jc w:val="both"/>
        <w:rPr>
          <w:lang w:val="it-IT"/>
        </w:rPr>
      </w:pPr>
      <w:r w:rsidRPr="004C19BB">
        <w:rPr>
          <w:lang w:val="it-IT"/>
        </w:rPr>
        <w:t>Burimi kryesor i të ardhurave shtesë nga TVSH-ja për vitin 2017, pritet  të jetë si më poshtë:</w:t>
      </w:r>
    </w:p>
    <w:p w:rsidR="004C19BB" w:rsidRPr="004C19BB" w:rsidRDefault="004C19BB" w:rsidP="00CF5E6F">
      <w:pPr>
        <w:spacing w:line="276" w:lineRule="auto"/>
        <w:jc w:val="both"/>
        <w:rPr>
          <w:sz w:val="16"/>
          <w:lang w:val="it-IT"/>
        </w:rPr>
      </w:pPr>
    </w:p>
    <w:p w:rsidR="004C19BB" w:rsidRPr="004C19BB" w:rsidRDefault="004C19BB" w:rsidP="00534AA6">
      <w:pPr>
        <w:numPr>
          <w:ilvl w:val="0"/>
          <w:numId w:val="146"/>
        </w:numPr>
        <w:spacing w:line="276" w:lineRule="auto"/>
        <w:jc w:val="both"/>
        <w:rPr>
          <w:lang w:val="it-IT"/>
        </w:rPr>
      </w:pPr>
      <w:r w:rsidRPr="004C19BB">
        <w:rPr>
          <w:lang w:val="it-IT"/>
        </w:rPr>
        <w:t xml:space="preserve">Të ardhura në TVSH në import si rezultat i rritjes së çmimeve ndërkombëtare të karburanteve rreth 1.5 miliardë lekë. </w:t>
      </w:r>
    </w:p>
    <w:p w:rsidR="004C19BB" w:rsidRPr="004C19BB" w:rsidRDefault="004C19BB" w:rsidP="00534AA6">
      <w:pPr>
        <w:numPr>
          <w:ilvl w:val="0"/>
          <w:numId w:val="146"/>
        </w:numPr>
        <w:spacing w:line="276" w:lineRule="auto"/>
        <w:jc w:val="both"/>
        <w:rPr>
          <w:lang w:val="it-IT"/>
        </w:rPr>
      </w:pPr>
      <w:r w:rsidRPr="004C19BB">
        <w:rPr>
          <w:lang w:val="it-IT"/>
        </w:rPr>
        <w:t xml:space="preserve">Rritje e të ardhurave nga TVSH-ja në import si rezultat i rritjes së importit të mallrave si dhe nga TVSH-ja e brendshme si rezultat i forcimit të luftës kundër informalitetit dhe forcimit të bashkëveprimit ndërmjet administratave Tatimore dhe Doganore për të kontrolluar zinxhirin e transaksioneve dhe mbledhjen e këtij tatimi në hallkën që krijohet. </w:t>
      </w:r>
    </w:p>
    <w:p w:rsidR="004C19BB" w:rsidRPr="004C19BB" w:rsidRDefault="004C19BB" w:rsidP="00CF5E6F">
      <w:pPr>
        <w:spacing w:beforeLines="80" w:before="192" w:line="276" w:lineRule="auto"/>
        <w:jc w:val="both"/>
        <w:rPr>
          <w:b/>
          <w:i/>
          <w:lang w:val="it-IT"/>
        </w:rPr>
      </w:pPr>
      <w:r w:rsidRPr="004C19BB">
        <w:rPr>
          <w:b/>
          <w:i/>
          <w:lang w:val="it-IT"/>
        </w:rPr>
        <w:t>Akciza</w:t>
      </w:r>
    </w:p>
    <w:p w:rsidR="004C19BB" w:rsidRPr="004C19BB" w:rsidRDefault="004C19BB" w:rsidP="00CF5E6F">
      <w:pPr>
        <w:spacing w:beforeLines="80" w:before="192" w:line="276" w:lineRule="auto"/>
        <w:jc w:val="both"/>
        <w:rPr>
          <w:lang w:val="it-IT"/>
        </w:rPr>
      </w:pPr>
      <w:r w:rsidRPr="004C19BB">
        <w:rPr>
          <w:lang w:val="it-IT"/>
        </w:rPr>
        <w:t xml:space="preserve">Të ardhurat nga akciza vlerësohen me një rritje prej 3.6 miliardë lekë ose 8.5 % më shumë se pritshmëritë për vitin 2016, me një realizim në masën 46.7 miliardë lekë. Faktorët kryesorë që ndikojnë në rritjen e parashikuar të të ardhurave nga akciza, krahas rritjes së importeve të mallrave të akcizës, do të jetë disiplinimi i mëtejshëm i procedurave të përfitimit të përjashtimeve dhe rimbursimeve nga kjo taksë. </w:t>
      </w:r>
    </w:p>
    <w:p w:rsidR="004C19BB" w:rsidRPr="004C19BB" w:rsidRDefault="004C19BB" w:rsidP="00CF5E6F">
      <w:pPr>
        <w:spacing w:line="276" w:lineRule="auto"/>
        <w:jc w:val="both"/>
        <w:rPr>
          <w:lang w:val="it-IT"/>
        </w:rPr>
      </w:pPr>
    </w:p>
    <w:p w:rsidR="004C19BB" w:rsidRPr="004C19BB" w:rsidRDefault="004C19BB" w:rsidP="00CF5E6F">
      <w:pPr>
        <w:spacing w:line="276" w:lineRule="auto"/>
        <w:rPr>
          <w:lang w:val="it-IT"/>
        </w:rPr>
      </w:pPr>
      <w:r w:rsidRPr="004C19BB">
        <w:rPr>
          <w:lang w:val="it-IT"/>
        </w:rPr>
        <w:t>Në tabelën e mëposhtme paraqitet sasia e planifikuar e importit/prodhimit të mallrave  kryesorë të akcizës.</w:t>
      </w:r>
    </w:p>
    <w:p w:rsidR="004C19BB" w:rsidRPr="004C19BB" w:rsidRDefault="004C19BB" w:rsidP="00CF5E6F">
      <w:pPr>
        <w:spacing w:line="276" w:lineRule="auto"/>
        <w:jc w:val="both"/>
        <w:rPr>
          <w:lang w:val="it-IT"/>
        </w:rPr>
      </w:pPr>
    </w:p>
    <w:p w:rsidR="004C19BB" w:rsidRPr="004C19BB" w:rsidRDefault="004C19BB" w:rsidP="00CF5E6F">
      <w:pPr>
        <w:spacing w:line="276" w:lineRule="auto"/>
        <w:jc w:val="both"/>
        <w:rPr>
          <w:lang w:val="it-IT"/>
        </w:rPr>
      </w:pPr>
      <w:r w:rsidRPr="004C19BB">
        <w:rPr>
          <w:lang w:val="it-IT"/>
        </w:rPr>
        <w:t xml:space="preserve">Cigare </w:t>
      </w:r>
      <w:r w:rsidRPr="004C19BB">
        <w:rPr>
          <w:lang w:val="it-IT"/>
        </w:rPr>
        <w:tab/>
      </w:r>
      <w:r w:rsidRPr="004C19BB">
        <w:rPr>
          <w:lang w:val="it-IT"/>
        </w:rPr>
        <w:tab/>
      </w:r>
      <w:r w:rsidRPr="004C19BB">
        <w:rPr>
          <w:lang w:val="it-IT"/>
        </w:rPr>
        <w:tab/>
      </w:r>
      <w:r w:rsidRPr="004C19BB">
        <w:rPr>
          <w:lang w:val="it-IT"/>
        </w:rPr>
        <w:tab/>
      </w:r>
      <w:r w:rsidRPr="004C19BB">
        <w:rPr>
          <w:lang w:val="it-IT"/>
        </w:rPr>
        <w:tab/>
      </w:r>
      <w:r w:rsidRPr="004C19BB">
        <w:rPr>
          <w:lang w:val="it-IT"/>
        </w:rPr>
        <w:tab/>
        <w:t xml:space="preserve">      3200 </w:t>
      </w:r>
      <w:r w:rsidRPr="004C19BB">
        <w:rPr>
          <w:lang w:val="it-IT"/>
        </w:rPr>
        <w:tab/>
        <w:t xml:space="preserve">Ton </w:t>
      </w:r>
    </w:p>
    <w:p w:rsidR="004C19BB" w:rsidRPr="004C19BB" w:rsidRDefault="004C19BB" w:rsidP="00CF5E6F">
      <w:pPr>
        <w:spacing w:line="276" w:lineRule="auto"/>
        <w:jc w:val="both"/>
        <w:rPr>
          <w:lang w:val="it-IT"/>
        </w:rPr>
      </w:pPr>
      <w:r w:rsidRPr="004C19BB">
        <w:rPr>
          <w:lang w:val="it-IT"/>
        </w:rPr>
        <w:t xml:space="preserve">Karburante Import dhe Prodhim vendas </w:t>
      </w:r>
      <w:r w:rsidRPr="004C19BB">
        <w:rPr>
          <w:lang w:val="it-IT"/>
        </w:rPr>
        <w:tab/>
        <w:t xml:space="preserve"> 540,000  </w:t>
      </w:r>
      <w:r w:rsidRPr="004C19BB">
        <w:rPr>
          <w:lang w:val="it-IT"/>
        </w:rPr>
        <w:tab/>
        <w:t xml:space="preserve">Ton </w:t>
      </w:r>
    </w:p>
    <w:p w:rsidR="004C19BB" w:rsidRPr="004C19BB" w:rsidRDefault="004C19BB" w:rsidP="00CF5E6F">
      <w:pPr>
        <w:spacing w:line="276" w:lineRule="auto"/>
        <w:jc w:val="both"/>
        <w:rPr>
          <w:lang w:val="it-IT"/>
        </w:rPr>
      </w:pPr>
      <w:r w:rsidRPr="004C19BB">
        <w:rPr>
          <w:lang w:val="it-IT"/>
        </w:rPr>
        <w:t xml:space="preserve">Birrë Import dhe Prodhim vendas </w:t>
      </w:r>
      <w:r w:rsidRPr="004C19BB">
        <w:rPr>
          <w:lang w:val="it-IT"/>
        </w:rPr>
        <w:tab/>
      </w:r>
      <w:r w:rsidRPr="004C19BB">
        <w:rPr>
          <w:lang w:val="it-IT"/>
        </w:rPr>
        <w:tab/>
        <w:t xml:space="preserve">   78,500 </w:t>
      </w:r>
      <w:r w:rsidRPr="004C19BB">
        <w:rPr>
          <w:lang w:val="it-IT"/>
        </w:rPr>
        <w:tab/>
        <w:t xml:space="preserve">Mijë Litra </w:t>
      </w:r>
    </w:p>
    <w:p w:rsidR="004C19BB" w:rsidRPr="004C19BB" w:rsidRDefault="004C19BB" w:rsidP="00CF5E6F">
      <w:pPr>
        <w:spacing w:line="276" w:lineRule="auto"/>
        <w:jc w:val="both"/>
        <w:rPr>
          <w:lang w:val="it-IT"/>
        </w:rPr>
      </w:pPr>
      <w:r w:rsidRPr="004C19BB">
        <w:rPr>
          <w:lang w:val="it-IT"/>
        </w:rPr>
        <w:t xml:space="preserve">Kafe </w:t>
      </w:r>
      <w:r w:rsidRPr="004C19BB">
        <w:rPr>
          <w:lang w:val="it-IT"/>
        </w:rPr>
        <w:tab/>
      </w:r>
      <w:r w:rsidRPr="004C19BB">
        <w:rPr>
          <w:lang w:val="it-IT"/>
        </w:rPr>
        <w:tab/>
      </w:r>
      <w:r w:rsidRPr="004C19BB">
        <w:rPr>
          <w:lang w:val="it-IT"/>
        </w:rPr>
        <w:tab/>
      </w:r>
      <w:r w:rsidRPr="004C19BB">
        <w:rPr>
          <w:lang w:val="it-IT"/>
        </w:rPr>
        <w:tab/>
      </w:r>
      <w:r w:rsidRPr="004C19BB">
        <w:rPr>
          <w:lang w:val="it-IT"/>
        </w:rPr>
        <w:tab/>
      </w:r>
      <w:r w:rsidRPr="004C19BB">
        <w:rPr>
          <w:lang w:val="it-IT"/>
        </w:rPr>
        <w:tab/>
        <w:t xml:space="preserve">     8,600</w:t>
      </w:r>
      <w:r w:rsidRPr="004C19BB">
        <w:rPr>
          <w:lang w:val="it-IT"/>
        </w:rPr>
        <w:tab/>
        <w:t>Ton</w:t>
      </w:r>
    </w:p>
    <w:p w:rsidR="004C19BB" w:rsidRPr="004C19BB" w:rsidRDefault="004C19BB" w:rsidP="00CF5E6F">
      <w:pPr>
        <w:spacing w:line="276" w:lineRule="auto"/>
        <w:jc w:val="both"/>
        <w:rPr>
          <w:lang w:val="it-IT"/>
        </w:rPr>
      </w:pPr>
      <w:r w:rsidRPr="004C19BB">
        <w:rPr>
          <w:lang w:val="it-IT"/>
        </w:rPr>
        <w:t>Pije Alkolike Import dhe Prodhim vendas</w:t>
      </w:r>
      <w:r w:rsidRPr="004C19BB">
        <w:rPr>
          <w:lang w:val="it-IT"/>
        </w:rPr>
        <w:tab/>
        <w:t xml:space="preserve">     2,600   </w:t>
      </w:r>
      <w:r w:rsidRPr="004C19BB">
        <w:rPr>
          <w:lang w:val="it-IT"/>
        </w:rPr>
        <w:tab/>
        <w:t>Mijë Litra</w:t>
      </w:r>
    </w:p>
    <w:p w:rsidR="004C19BB" w:rsidRPr="004C19BB" w:rsidRDefault="004C19BB" w:rsidP="00CF5E6F">
      <w:pPr>
        <w:spacing w:line="276" w:lineRule="auto"/>
        <w:jc w:val="both"/>
        <w:rPr>
          <w:lang w:val="it-IT"/>
        </w:rPr>
      </w:pPr>
      <w:r w:rsidRPr="004C19BB">
        <w:rPr>
          <w:lang w:val="it-IT"/>
        </w:rPr>
        <w:t xml:space="preserve">Verë Import dhe Prodhim vendas </w:t>
      </w:r>
      <w:r w:rsidRPr="004C19BB">
        <w:rPr>
          <w:lang w:val="it-IT"/>
        </w:rPr>
        <w:tab/>
      </w:r>
      <w:r w:rsidRPr="004C19BB">
        <w:rPr>
          <w:lang w:val="it-IT"/>
        </w:rPr>
        <w:tab/>
        <w:t xml:space="preserve">     6,050</w:t>
      </w:r>
      <w:r w:rsidRPr="004C19BB">
        <w:rPr>
          <w:lang w:val="it-IT"/>
        </w:rPr>
        <w:tab/>
        <w:t xml:space="preserve">Mijë Litra </w:t>
      </w:r>
    </w:p>
    <w:p w:rsidR="004C19BB" w:rsidRPr="004C19BB" w:rsidRDefault="004C19BB" w:rsidP="00CF5E6F">
      <w:pPr>
        <w:spacing w:before="80" w:line="276" w:lineRule="auto"/>
        <w:jc w:val="both"/>
        <w:rPr>
          <w:lang w:val="it-IT"/>
        </w:rPr>
      </w:pPr>
      <w:r w:rsidRPr="004C19BB">
        <w:rPr>
          <w:lang w:val="it-IT"/>
        </w:rPr>
        <w:t>Pije Energjike Import dhe Prodhim vendas</w:t>
      </w:r>
      <w:r w:rsidRPr="004C19BB">
        <w:rPr>
          <w:lang w:val="it-IT"/>
        </w:rPr>
        <w:tab/>
        <w:t xml:space="preserve">     8,325</w:t>
      </w:r>
      <w:r w:rsidRPr="004C19BB">
        <w:rPr>
          <w:lang w:val="it-IT"/>
        </w:rPr>
        <w:tab/>
        <w:t xml:space="preserve">Mijë Litra </w:t>
      </w:r>
    </w:p>
    <w:p w:rsidR="004C19BB" w:rsidRPr="004C19BB" w:rsidRDefault="004C19BB" w:rsidP="00CF5E6F">
      <w:pPr>
        <w:spacing w:before="80" w:line="276" w:lineRule="auto"/>
        <w:jc w:val="both"/>
        <w:rPr>
          <w:lang w:val="it-IT"/>
        </w:rPr>
      </w:pPr>
    </w:p>
    <w:p w:rsidR="004C19BB" w:rsidRPr="004C19BB" w:rsidRDefault="004C19BB" w:rsidP="00CF5E6F">
      <w:pPr>
        <w:spacing w:before="80" w:line="276" w:lineRule="auto"/>
        <w:jc w:val="both"/>
        <w:rPr>
          <w:b/>
          <w:i/>
          <w:lang w:val="it-IT"/>
        </w:rPr>
      </w:pPr>
      <w:r w:rsidRPr="004C19BB">
        <w:rPr>
          <w:b/>
          <w:i/>
          <w:lang w:val="it-IT"/>
        </w:rPr>
        <w:t>Tatimi mbi fitimin</w:t>
      </w:r>
    </w:p>
    <w:p w:rsidR="004C19BB" w:rsidRPr="004C19BB" w:rsidRDefault="004C19BB" w:rsidP="00CF5E6F">
      <w:pPr>
        <w:spacing w:before="80" w:line="276" w:lineRule="auto"/>
        <w:jc w:val="both"/>
        <w:rPr>
          <w:lang w:val="it-IT"/>
        </w:rPr>
      </w:pPr>
      <w:r w:rsidRPr="004C19BB">
        <w:rPr>
          <w:lang w:val="it-IT"/>
        </w:rPr>
        <w:t>Të ardhurat nga tatimi mbi fitimin vlerësohen me rritje 7.7% më shumë se viti 2016, duke u realizuar në masën 29.2 miliardë lekë si rezultat i rritjes së deklarimit dhe qarkullimit të realizuar të operatorëve ekonomikë.</w:t>
      </w:r>
    </w:p>
    <w:p w:rsidR="004C19BB" w:rsidRPr="004C19BB" w:rsidRDefault="004C19BB" w:rsidP="00CF5E6F">
      <w:pPr>
        <w:spacing w:before="80" w:line="276" w:lineRule="auto"/>
        <w:jc w:val="both"/>
        <w:rPr>
          <w:b/>
          <w:i/>
          <w:lang w:val="it-IT"/>
        </w:rPr>
      </w:pPr>
      <w:r w:rsidRPr="004C19BB">
        <w:rPr>
          <w:b/>
          <w:i/>
          <w:lang w:val="it-IT"/>
        </w:rPr>
        <w:t>Tatimi mbi të ardhurat personale</w:t>
      </w:r>
    </w:p>
    <w:p w:rsidR="004C19BB" w:rsidRPr="004C19BB" w:rsidRDefault="004C19BB" w:rsidP="00CF5E6F">
      <w:pPr>
        <w:spacing w:before="80" w:line="276" w:lineRule="auto"/>
        <w:jc w:val="both"/>
        <w:rPr>
          <w:lang w:val="it-IT"/>
        </w:rPr>
      </w:pPr>
      <w:r w:rsidRPr="004C19BB">
        <w:rPr>
          <w:lang w:val="it-IT"/>
        </w:rPr>
        <w:t xml:space="preserve">Të ardhurat nga tatimi mbi të ardhurat personale vlerësohen me rritje 10.7% më shumë se viti 2016, me një realizim në masën 36.2 miliardë lekë. Në parashikimin e të ardhurave nga tatimi mbi të ardhurat </w:t>
      </w:r>
      <w:r w:rsidRPr="004C19BB">
        <w:rPr>
          <w:lang w:val="it-IT"/>
        </w:rPr>
        <w:lastRenderedPageBreak/>
        <w:t xml:space="preserve">personale janë marrë në konsideratë disa faktorë si rritja e pagave të administratës publike dhe të ardhurat nga rivlerësimi i pasurisë së paluajtshme. </w:t>
      </w:r>
    </w:p>
    <w:p w:rsidR="004C19BB" w:rsidRPr="004C19BB" w:rsidRDefault="004C19BB" w:rsidP="00CF5E6F">
      <w:pPr>
        <w:spacing w:before="80" w:line="276" w:lineRule="auto"/>
        <w:jc w:val="both"/>
        <w:rPr>
          <w:b/>
          <w:i/>
          <w:lang w:val="it-IT"/>
        </w:rPr>
      </w:pPr>
      <w:r w:rsidRPr="004C19BB">
        <w:rPr>
          <w:b/>
          <w:i/>
          <w:lang w:val="it-IT"/>
        </w:rPr>
        <w:t>Taksa nacionale dhe të tjera</w:t>
      </w:r>
    </w:p>
    <w:p w:rsidR="004C19BB" w:rsidRPr="004C19BB" w:rsidRDefault="004C19BB" w:rsidP="00CF5E6F">
      <w:pPr>
        <w:spacing w:before="80" w:line="276" w:lineRule="auto"/>
        <w:jc w:val="both"/>
        <w:rPr>
          <w:strike/>
          <w:lang w:val="sq-AL"/>
        </w:rPr>
      </w:pPr>
      <w:r w:rsidRPr="004C19BB">
        <w:rPr>
          <w:lang w:val="sq-AL"/>
        </w:rPr>
        <w:t>Të ardhurat nga taksa nacionale vlerësohen 10% më shumë  se pritshmëria për vitin 2016, me një realizim në masën 39.7 miliardë lekë. Rritja e taksave nacionale vjen si rezultat i rritjes së parashikuar të importit dhe konsumit të karburantit; rritjes së të ardhurave nga renta minerare për shkak të rritjes së çmimeve ndërkombëtare në Bursë; masave administruese në drejtim të kontrollit të deklarimit të bazës së taksimit të rentës minerare për naftën bruto, etj.</w:t>
      </w:r>
      <w:r w:rsidRPr="004C19BB">
        <w:rPr>
          <w:bCs/>
          <w:lang w:val="sq-AL"/>
        </w:rPr>
        <w:t xml:space="preserve">  </w:t>
      </w:r>
    </w:p>
    <w:p w:rsidR="004C19BB" w:rsidRPr="004C19BB" w:rsidRDefault="004C19BB" w:rsidP="00CF5E6F">
      <w:pPr>
        <w:spacing w:before="80" w:line="276" w:lineRule="auto"/>
        <w:jc w:val="both"/>
        <w:rPr>
          <w:b/>
          <w:i/>
          <w:sz w:val="6"/>
          <w:lang w:val="sq-AL"/>
        </w:rPr>
      </w:pPr>
    </w:p>
    <w:p w:rsidR="004C19BB" w:rsidRPr="004C19BB" w:rsidRDefault="004C19BB" w:rsidP="00CF5E6F">
      <w:pPr>
        <w:spacing w:before="80" w:line="276" w:lineRule="auto"/>
        <w:jc w:val="both"/>
        <w:rPr>
          <w:b/>
          <w:i/>
          <w:lang w:val="sq-AL"/>
        </w:rPr>
      </w:pPr>
      <w:r w:rsidRPr="004C19BB">
        <w:rPr>
          <w:b/>
          <w:i/>
          <w:lang w:val="sq-AL"/>
        </w:rPr>
        <w:t>Të ardhurat nga Taksa doganore</w:t>
      </w:r>
    </w:p>
    <w:p w:rsidR="004C19BB" w:rsidRPr="004C19BB" w:rsidRDefault="004C19BB" w:rsidP="00CF5E6F">
      <w:pPr>
        <w:spacing w:before="80" w:line="276" w:lineRule="auto"/>
        <w:jc w:val="both"/>
        <w:rPr>
          <w:lang w:val="sq-AL"/>
        </w:rPr>
      </w:pPr>
      <w:r w:rsidRPr="004C19BB">
        <w:rPr>
          <w:lang w:val="sq-AL"/>
        </w:rPr>
        <w:t>Të ardhurat nga taksa doganore vlerësohen me rritje prej 147 milionë lekë më shumë se viti 2016, me realizim 6.4 miliardë lekë. Ndikim në këtë zë kanë të ardhurat shtesë nga rritja e importeve.</w:t>
      </w:r>
    </w:p>
    <w:p w:rsidR="004C19BB" w:rsidRPr="004C19BB" w:rsidRDefault="004C19BB" w:rsidP="00CF5E6F">
      <w:pPr>
        <w:spacing w:before="80" w:line="276" w:lineRule="auto"/>
        <w:jc w:val="both"/>
        <w:rPr>
          <w:b/>
          <w:i/>
          <w:lang w:val="sq-AL"/>
        </w:rPr>
      </w:pPr>
    </w:p>
    <w:p w:rsidR="004C19BB" w:rsidRPr="004C19BB" w:rsidRDefault="004C19BB" w:rsidP="00CF5E6F">
      <w:pPr>
        <w:spacing w:before="80" w:line="276" w:lineRule="auto"/>
        <w:jc w:val="both"/>
        <w:rPr>
          <w:b/>
          <w:i/>
          <w:lang w:val="sq-AL"/>
        </w:rPr>
      </w:pPr>
      <w:r w:rsidRPr="004C19BB">
        <w:rPr>
          <w:b/>
          <w:i/>
          <w:lang w:val="sq-AL"/>
        </w:rPr>
        <w:t xml:space="preserve">Të ardhurat nga Kontributet për Sigurime Shoqërore e Shëndetësore </w:t>
      </w:r>
    </w:p>
    <w:p w:rsidR="004C19BB" w:rsidRPr="004C19BB" w:rsidRDefault="004C19BB" w:rsidP="00CF5E6F">
      <w:pPr>
        <w:spacing w:before="80" w:line="276" w:lineRule="auto"/>
        <w:jc w:val="both"/>
        <w:rPr>
          <w:lang w:val="sq-AL"/>
        </w:rPr>
      </w:pPr>
      <w:r w:rsidRPr="004C19BB">
        <w:rPr>
          <w:lang w:val="sq-AL"/>
        </w:rPr>
        <w:t xml:space="preserve">Të ardhurat nga kontributet e sigurimeve shoqërore dhe shëndetësore vlerësohen me një rritje 2.4 miliardë lekë ose 3.2% më shumë krahasuar me pritshmërinë për vitin 2016, me një realizim në masën rreth 76.9 miliardë lekë. Gjenerimi i të ardhurave shtesë për kontributet do të ndikohet nga rritja e pagave të administratës dhe rritja e performancës kontrolluese. </w:t>
      </w:r>
    </w:p>
    <w:p w:rsidR="004C19BB" w:rsidRPr="004C19BB" w:rsidRDefault="004C19BB" w:rsidP="00CF5E6F">
      <w:pPr>
        <w:spacing w:before="80" w:line="276" w:lineRule="auto"/>
        <w:jc w:val="both"/>
        <w:rPr>
          <w:lang w:val="sq-AL"/>
        </w:rPr>
      </w:pPr>
    </w:p>
    <w:p w:rsidR="004C19BB" w:rsidRPr="004C19BB" w:rsidRDefault="004C19BB" w:rsidP="004C19BB">
      <w:pPr>
        <w:spacing w:before="80" w:line="276" w:lineRule="auto"/>
        <w:jc w:val="both"/>
        <w:rPr>
          <w:lang w:val="sq-AL"/>
        </w:rPr>
      </w:pPr>
    </w:p>
    <w:p w:rsidR="00B0121D" w:rsidRPr="00D73F43" w:rsidRDefault="00DF6420" w:rsidP="00534AA6">
      <w:pPr>
        <w:pStyle w:val="Heading1"/>
        <w:numPr>
          <w:ilvl w:val="1"/>
          <w:numId w:val="6"/>
        </w:numPr>
        <w:tabs>
          <w:tab w:val="clear" w:pos="5954"/>
          <w:tab w:val="center" w:pos="709"/>
        </w:tabs>
        <w:spacing w:line="276" w:lineRule="auto"/>
        <w:jc w:val="both"/>
        <w:rPr>
          <w:bCs/>
          <w:iCs/>
          <w:caps w:val="0"/>
          <w:sz w:val="26"/>
          <w:szCs w:val="26"/>
          <w:lang w:val="sq-AL"/>
        </w:rPr>
      </w:pPr>
      <w:r>
        <w:rPr>
          <w:bCs/>
          <w:iCs/>
          <w:caps w:val="0"/>
          <w:sz w:val="26"/>
          <w:szCs w:val="26"/>
          <w:lang w:val="sq-AL"/>
        </w:rPr>
        <w:t xml:space="preserve"> </w:t>
      </w:r>
      <w:bookmarkStart w:id="22" w:name="_Toc466445435"/>
      <w:r w:rsidR="00B0121D" w:rsidRPr="00D73F43">
        <w:rPr>
          <w:bCs/>
          <w:iCs/>
          <w:caps w:val="0"/>
          <w:sz w:val="26"/>
          <w:szCs w:val="26"/>
          <w:lang w:val="sq-AL"/>
        </w:rPr>
        <w:t>SHPENZIMET PUBLIKE</w:t>
      </w:r>
      <w:bookmarkEnd w:id="22"/>
    </w:p>
    <w:p w:rsidR="00B0121D" w:rsidRPr="00D73F43" w:rsidRDefault="00B0121D" w:rsidP="00B0121D">
      <w:pPr>
        <w:rPr>
          <w:lang w:val="sq-AL"/>
        </w:rPr>
      </w:pPr>
    </w:p>
    <w:p w:rsidR="00B0121D" w:rsidRPr="00D73F43" w:rsidRDefault="00B0121D" w:rsidP="00B0121D">
      <w:pPr>
        <w:spacing w:line="276" w:lineRule="auto"/>
        <w:jc w:val="both"/>
        <w:rPr>
          <w:lang w:val="sq-AL"/>
        </w:rPr>
      </w:pPr>
      <w:r w:rsidRPr="00D73F43">
        <w:rPr>
          <w:b/>
          <w:lang w:val="sq-AL"/>
        </w:rPr>
        <w:t>Totali i shpenzimeve publike</w:t>
      </w:r>
      <w:r w:rsidRPr="00D73F43">
        <w:rPr>
          <w:lang w:val="sq-AL"/>
        </w:rPr>
        <w:t xml:space="preserve"> për vitin 2017 është planifikuar 467.2 miliardë lekë ose 29.3% e PBB.</w:t>
      </w:r>
    </w:p>
    <w:p w:rsidR="00B0121D" w:rsidRPr="00D73F43" w:rsidRDefault="00B0121D" w:rsidP="00B0121D">
      <w:pPr>
        <w:spacing w:line="276" w:lineRule="auto"/>
        <w:jc w:val="both"/>
        <w:rPr>
          <w:sz w:val="16"/>
          <w:szCs w:val="16"/>
          <w:lang w:val="sq-AL"/>
        </w:rPr>
      </w:pPr>
    </w:p>
    <w:p w:rsidR="00B0121D" w:rsidRPr="00D73F43" w:rsidRDefault="00B0121D" w:rsidP="00B0121D">
      <w:pPr>
        <w:spacing w:line="276" w:lineRule="auto"/>
        <w:jc w:val="both"/>
        <w:rPr>
          <w:lang w:val="sq-AL"/>
        </w:rPr>
      </w:pPr>
      <w:r w:rsidRPr="00D73F43">
        <w:rPr>
          <w:b/>
          <w:lang w:val="sq-AL"/>
        </w:rPr>
        <w:t>Shpenzimet e personelit</w:t>
      </w:r>
      <w:r w:rsidRPr="00D73F43">
        <w:rPr>
          <w:lang w:val="sq-AL"/>
        </w:rPr>
        <w:t xml:space="preserve"> për vitin 2017, reflektojnë koston aktuale të Administratës Publike, politikën e rritjes së pagave dhe ndryshimet e nevojshme strukturore të parashikuara për t’u ndërmarrë. Shpenzimet totale për pagat në Administratën Publike janë planifikuar  në masën 74.8 miliardë lekë.</w:t>
      </w:r>
    </w:p>
    <w:p w:rsidR="00B0121D" w:rsidRPr="00D73F43" w:rsidRDefault="00B0121D" w:rsidP="00B0121D">
      <w:pPr>
        <w:spacing w:line="276" w:lineRule="auto"/>
        <w:jc w:val="both"/>
        <w:rPr>
          <w:b/>
          <w:lang w:val="sq-AL"/>
        </w:rPr>
      </w:pPr>
    </w:p>
    <w:p w:rsidR="00B0121D" w:rsidRPr="00D73F43" w:rsidRDefault="00B0121D" w:rsidP="00B0121D">
      <w:pPr>
        <w:spacing w:line="276" w:lineRule="auto"/>
        <w:jc w:val="both"/>
        <w:rPr>
          <w:b/>
          <w:sz w:val="16"/>
          <w:szCs w:val="16"/>
          <w:lang w:val="sq-AL"/>
        </w:rPr>
      </w:pPr>
      <w:r w:rsidRPr="00D73F43">
        <w:rPr>
          <w:b/>
          <w:lang w:val="sq-AL"/>
        </w:rPr>
        <w:t xml:space="preserve">Shpenzimet për interesa </w:t>
      </w:r>
      <w:r w:rsidRPr="00D73F43">
        <w:rPr>
          <w:lang w:val="sq-AL"/>
        </w:rPr>
        <w:t xml:space="preserve">parashikohen në nivelin 42 miliardë lekë ose 2.6%  të PBB, bazuar në  pritshmëritë për rritjen e normave të interesit. </w:t>
      </w:r>
    </w:p>
    <w:p w:rsidR="00B0121D" w:rsidRPr="00D73F43" w:rsidRDefault="00B0121D" w:rsidP="00B0121D">
      <w:pPr>
        <w:spacing w:line="276" w:lineRule="auto"/>
        <w:jc w:val="both"/>
        <w:rPr>
          <w:b/>
          <w:lang w:val="sq-AL"/>
        </w:rPr>
      </w:pPr>
    </w:p>
    <w:p w:rsidR="00B0121D" w:rsidRPr="00D73F43" w:rsidRDefault="00B0121D" w:rsidP="00B0121D">
      <w:pPr>
        <w:spacing w:line="276" w:lineRule="auto"/>
        <w:jc w:val="both"/>
        <w:rPr>
          <w:lang w:val="sq-AL"/>
        </w:rPr>
      </w:pPr>
      <w:r w:rsidRPr="00D73F43">
        <w:rPr>
          <w:b/>
          <w:lang w:val="sq-AL"/>
        </w:rPr>
        <w:t>Shpenzimet operative dhe të mirëmbajtjes për qeverisjen qendrore</w:t>
      </w:r>
      <w:r w:rsidRPr="00D73F43">
        <w:rPr>
          <w:lang w:val="sq-AL"/>
        </w:rPr>
        <w:t xml:space="preserve"> për vitin 2017 (</w:t>
      </w:r>
      <w:r w:rsidRPr="00D73F43">
        <w:rPr>
          <w:i/>
          <w:lang w:val="sq-AL"/>
        </w:rPr>
        <w:t>pa përfshirë shpenzimet që realizohen nga institucione publike, që kanë si burim financimi të ardhurat jashtë limitit</w:t>
      </w:r>
      <w:r w:rsidRPr="00D73F43">
        <w:rPr>
          <w:lang w:val="sq-AL"/>
        </w:rPr>
        <w:t xml:space="preserve">), janë parashikuar në masën 39.6 miliardë lekë ose rreth 2.5%   e PBB-së. </w:t>
      </w:r>
    </w:p>
    <w:p w:rsidR="00B0121D" w:rsidRPr="00D73F43" w:rsidRDefault="00B0121D" w:rsidP="00B0121D">
      <w:pPr>
        <w:spacing w:line="276" w:lineRule="auto"/>
        <w:jc w:val="both"/>
        <w:rPr>
          <w:b/>
          <w:sz w:val="16"/>
          <w:szCs w:val="16"/>
          <w:lang w:val="sq-AL"/>
        </w:rPr>
      </w:pPr>
    </w:p>
    <w:p w:rsidR="00B0121D" w:rsidRPr="00D73F43" w:rsidRDefault="00B0121D" w:rsidP="00B0121D">
      <w:pPr>
        <w:spacing w:line="276" w:lineRule="auto"/>
        <w:jc w:val="both"/>
        <w:rPr>
          <w:lang w:val="sq-AL"/>
        </w:rPr>
      </w:pPr>
      <w:r w:rsidRPr="00D73F43">
        <w:rPr>
          <w:b/>
          <w:lang w:val="sq-AL"/>
        </w:rPr>
        <w:t>Shpenzimet e buxhetit vendor për vitin 2017</w:t>
      </w:r>
      <w:r w:rsidRPr="00D73F43">
        <w:rPr>
          <w:lang w:val="sq-AL"/>
        </w:rPr>
        <w:t xml:space="preserve"> janë parashikuar në masën 40.82 miliardë lekë ose 3.1% e PBB-së. Në këtë zë është përllogaritur rritja e transfertës së pakushtëzuar për njësitë vendore, së bashku me Fondin e Zhvillimit të Rajoneve dhe financimin e funksioneve të reja që transferohen në qeverisjen vendore. Shpenzimet e buxhetit vendor janë 3.8% më të larta se ato të vitit 2016. Në këtë rritje të shpenzimeve krahas rritjes së financimeve nga buxheti, ndikon edhe rritja e të ardhurave nga taksat dhe tarifat vendore në masën 898 milionë lekë, krahasuar me Aktin Normativ 2016. Në buxhetin e vitit 2017, është  aplikuar një formulë e re për shpërndarjen e transfertës së pakushtëzuar për njësitë e qeverisjes vendore, e cila siguron më shumë barazi, drejtësi dhe parashikueshmëri për qeverisjen vendore. Disa nga elementet e formulës janë:</w:t>
      </w:r>
    </w:p>
    <w:p w:rsidR="00B0121D" w:rsidRPr="00D73F43" w:rsidRDefault="00B0121D" w:rsidP="00B0121D">
      <w:pPr>
        <w:spacing w:line="276" w:lineRule="auto"/>
        <w:jc w:val="both"/>
        <w:rPr>
          <w:lang w:val="sq-AL"/>
        </w:rPr>
      </w:pPr>
    </w:p>
    <w:p w:rsidR="00B0121D" w:rsidRPr="00D73F43" w:rsidRDefault="00B0121D" w:rsidP="00534AA6">
      <w:pPr>
        <w:numPr>
          <w:ilvl w:val="0"/>
          <w:numId w:val="5"/>
        </w:numPr>
        <w:spacing w:line="276" w:lineRule="auto"/>
        <w:jc w:val="both"/>
        <w:rPr>
          <w:i/>
          <w:lang w:val="sq-AL"/>
        </w:rPr>
      </w:pPr>
      <w:r w:rsidRPr="00D73F43">
        <w:rPr>
          <w:i/>
          <w:lang w:val="sq-AL"/>
        </w:rPr>
        <w:lastRenderedPageBreak/>
        <w:t xml:space="preserve">Të dhënat për popullsinë janë harmonizuar midis të dhënave të Regjistrit të Gjendjes Civile dhe Censusit; </w:t>
      </w:r>
    </w:p>
    <w:p w:rsidR="00B0121D" w:rsidRPr="00D73F43" w:rsidRDefault="00B0121D" w:rsidP="00534AA6">
      <w:pPr>
        <w:numPr>
          <w:ilvl w:val="0"/>
          <w:numId w:val="5"/>
        </w:numPr>
        <w:spacing w:line="276" w:lineRule="auto"/>
        <w:jc w:val="both"/>
        <w:rPr>
          <w:i/>
          <w:lang w:val="sq-AL"/>
        </w:rPr>
      </w:pPr>
      <w:r w:rsidRPr="00D73F43">
        <w:rPr>
          <w:i/>
          <w:lang w:val="sq-AL"/>
        </w:rPr>
        <w:t xml:space="preserve">Sipërfaqja e komunave është zëvendësuar me dendësinë e popullsisë së bashkive të reja; </w:t>
      </w:r>
    </w:p>
    <w:p w:rsidR="00B0121D" w:rsidRPr="00D73F43" w:rsidRDefault="00B0121D" w:rsidP="00534AA6">
      <w:pPr>
        <w:numPr>
          <w:ilvl w:val="0"/>
          <w:numId w:val="5"/>
        </w:numPr>
        <w:spacing w:line="276" w:lineRule="auto"/>
        <w:jc w:val="both"/>
        <w:rPr>
          <w:i/>
          <w:lang w:val="sq-AL"/>
        </w:rPr>
      </w:pPr>
      <w:r w:rsidRPr="00D73F43">
        <w:rPr>
          <w:i/>
          <w:lang w:val="sq-AL"/>
        </w:rPr>
        <w:t>Ekualizimi është llogaritur mbi taksat e ndara duke synuar që të jetë sa më objektiv në financimin e njësive më të ardhura të ulta dhe inkurajimin e atyre, të cilat performojnë mirë në mbledhjen e të ardhurave.</w:t>
      </w:r>
    </w:p>
    <w:p w:rsidR="00B0121D" w:rsidRPr="00D73F43" w:rsidRDefault="00B0121D" w:rsidP="00B0121D">
      <w:pPr>
        <w:spacing w:line="276" w:lineRule="auto"/>
        <w:jc w:val="both"/>
        <w:rPr>
          <w:b/>
          <w:sz w:val="16"/>
          <w:szCs w:val="16"/>
          <w:lang w:val="sq-AL"/>
        </w:rPr>
      </w:pPr>
    </w:p>
    <w:p w:rsidR="00B0121D" w:rsidRPr="00D73F43" w:rsidRDefault="00B0121D" w:rsidP="00B0121D">
      <w:pPr>
        <w:spacing w:line="276" w:lineRule="auto"/>
        <w:jc w:val="both"/>
        <w:rPr>
          <w:lang w:val="sq-AL"/>
        </w:rPr>
      </w:pPr>
      <w:r w:rsidRPr="00D73F43">
        <w:rPr>
          <w:b/>
          <w:lang w:val="sq-AL"/>
        </w:rPr>
        <w:t>Shpenzimet e fondeve speciale.</w:t>
      </w:r>
      <w:r w:rsidRPr="00D73F43">
        <w:rPr>
          <w:lang w:val="sq-AL"/>
        </w:rPr>
        <w:t xml:space="preserve"> Këtu përfshihen shpenzimet totale për Fondet e Sigurimeve Shoqërore, Shëndetësore dhe kompensimin në vlerë të ish-pronarëve, të cilat kapin një vlerë prej 162.1 miliardë lekë. Niveli i shpenzimeve për </w:t>
      </w:r>
      <w:r w:rsidRPr="00D73F43">
        <w:rPr>
          <w:i/>
          <w:u w:val="single"/>
          <w:lang w:val="sq-AL"/>
        </w:rPr>
        <w:t>Skemën e Sigurimeve Shoqërore</w:t>
      </w:r>
      <w:r w:rsidRPr="00D73F43">
        <w:rPr>
          <w:lang w:val="sq-AL"/>
        </w:rPr>
        <w:t xml:space="preserve"> për vitin 2016, parashikohet në masën 120.2 miliardë lekë ose 7.5% e PBB, nga e cila për rritjen e pensioneve është parashikuar një fond prej 2.6 miliardë lekë.</w:t>
      </w:r>
    </w:p>
    <w:p w:rsidR="00B0121D" w:rsidRPr="00D73F43" w:rsidRDefault="00B0121D" w:rsidP="00B0121D">
      <w:pPr>
        <w:spacing w:line="276" w:lineRule="auto"/>
        <w:jc w:val="both"/>
        <w:rPr>
          <w:lang w:val="sq-AL"/>
        </w:rPr>
      </w:pPr>
      <w:r w:rsidRPr="00D73F43">
        <w:rPr>
          <w:lang w:val="sq-AL"/>
        </w:rPr>
        <w:t xml:space="preserve">Ndërsa, shpenzimet e </w:t>
      </w:r>
      <w:r w:rsidRPr="00D73F43">
        <w:rPr>
          <w:i/>
          <w:u w:val="single"/>
          <w:lang w:val="sq-AL"/>
        </w:rPr>
        <w:t>Skemës së Sigurimeve të Kujdesit Shëndetësor</w:t>
      </w:r>
      <w:r w:rsidRPr="00D73F43">
        <w:rPr>
          <w:lang w:val="sq-AL"/>
        </w:rPr>
        <w:t xml:space="preserve"> për vitin 2016 janë parashikuar në masën 38.1 miliardë lekë ose 2.4% e PBB. </w:t>
      </w:r>
    </w:p>
    <w:p w:rsidR="00B0121D" w:rsidRPr="00D73F43" w:rsidRDefault="00B0121D" w:rsidP="00B0121D">
      <w:pPr>
        <w:spacing w:line="276" w:lineRule="auto"/>
        <w:jc w:val="both"/>
        <w:rPr>
          <w:lang w:val="sq-AL"/>
        </w:rPr>
      </w:pPr>
      <w:r w:rsidRPr="00D73F43">
        <w:rPr>
          <w:lang w:val="sq-AL"/>
        </w:rPr>
        <w:t xml:space="preserve">Së fundi, shpenzimet për </w:t>
      </w:r>
      <w:r w:rsidRPr="00D73F43">
        <w:rPr>
          <w:i/>
          <w:u w:val="single"/>
          <w:lang w:val="sq-AL"/>
        </w:rPr>
        <w:t>Fondin e</w:t>
      </w:r>
      <w:r w:rsidRPr="00D73F43">
        <w:rPr>
          <w:u w:val="single"/>
          <w:lang w:val="sq-AL"/>
        </w:rPr>
        <w:t xml:space="preserve"> </w:t>
      </w:r>
      <w:r w:rsidRPr="00D73F43">
        <w:rPr>
          <w:i/>
          <w:u w:val="single"/>
          <w:lang w:val="sq-AL"/>
        </w:rPr>
        <w:t>Kompensimit në vlerë të Pronarëve</w:t>
      </w:r>
      <w:r w:rsidRPr="00D73F43">
        <w:rPr>
          <w:u w:val="single"/>
          <w:lang w:val="sq-AL"/>
        </w:rPr>
        <w:t>,</w:t>
      </w:r>
      <w:r w:rsidRPr="00D73F43">
        <w:rPr>
          <w:lang w:val="sq-AL"/>
        </w:rPr>
        <w:t xml:space="preserve"> parashikohen në total në masën 3.8 miliardë lekë ose 0.2% e PBB.</w:t>
      </w:r>
    </w:p>
    <w:p w:rsidR="00B0121D" w:rsidRPr="00D73F43" w:rsidRDefault="00B0121D" w:rsidP="00B0121D">
      <w:pPr>
        <w:spacing w:line="276" w:lineRule="auto"/>
        <w:jc w:val="both"/>
        <w:rPr>
          <w:b/>
          <w:sz w:val="16"/>
          <w:szCs w:val="16"/>
          <w:lang w:val="sq-AL"/>
        </w:rPr>
      </w:pPr>
    </w:p>
    <w:p w:rsidR="00B0121D" w:rsidRPr="00D73F43" w:rsidRDefault="00B0121D" w:rsidP="00B0121D">
      <w:pPr>
        <w:spacing w:line="276" w:lineRule="auto"/>
        <w:jc w:val="both"/>
        <w:rPr>
          <w:lang w:val="sq-AL"/>
        </w:rPr>
      </w:pPr>
      <w:r w:rsidRPr="00D73F43">
        <w:rPr>
          <w:b/>
          <w:lang w:val="sq-AL"/>
        </w:rPr>
        <w:t>Shpenzime të tjera sociale.</w:t>
      </w:r>
      <w:r w:rsidRPr="00D73F43">
        <w:rPr>
          <w:lang w:val="sq-AL"/>
        </w:rPr>
        <w:t xml:space="preserve"> Këtu përfshihen fondet për pagesën e papunësisë, aftësisë së kufizuar, ndihmës ekonomike dhe dëmshpërblimin e ish-të përndjekurve politikë.</w:t>
      </w:r>
    </w:p>
    <w:p w:rsidR="00B0121D" w:rsidRPr="00D73F43" w:rsidRDefault="00B0121D" w:rsidP="00B0121D">
      <w:pPr>
        <w:spacing w:line="276" w:lineRule="auto"/>
        <w:jc w:val="both"/>
        <w:rPr>
          <w:lang w:val="sq-AL"/>
        </w:rPr>
      </w:pPr>
    </w:p>
    <w:p w:rsidR="00B0121D" w:rsidRPr="00D73F43" w:rsidRDefault="00B0121D" w:rsidP="00534AA6">
      <w:pPr>
        <w:numPr>
          <w:ilvl w:val="0"/>
          <w:numId w:val="5"/>
        </w:numPr>
        <w:spacing w:line="276" w:lineRule="auto"/>
        <w:jc w:val="both"/>
        <w:rPr>
          <w:lang w:val="sq-AL"/>
        </w:rPr>
      </w:pPr>
      <w:r w:rsidRPr="00D73F43">
        <w:rPr>
          <w:lang w:val="sq-AL"/>
        </w:rPr>
        <w:t xml:space="preserve">Shpenzimet për pagesën e papunësisë parashikohen në nivelin 800 milionë lekë. </w:t>
      </w:r>
    </w:p>
    <w:p w:rsidR="00B0121D" w:rsidRPr="00D73F43" w:rsidRDefault="00B0121D" w:rsidP="00534AA6">
      <w:pPr>
        <w:numPr>
          <w:ilvl w:val="0"/>
          <w:numId w:val="5"/>
        </w:numPr>
        <w:spacing w:line="276" w:lineRule="auto"/>
        <w:jc w:val="both"/>
        <w:rPr>
          <w:lang w:val="sq-AL"/>
        </w:rPr>
      </w:pPr>
      <w:r w:rsidRPr="00D73F43">
        <w:rPr>
          <w:lang w:val="sq-AL"/>
        </w:rPr>
        <w:t xml:space="preserve">Shpenzimet për pagesën e ndihmës ekonomike dhe aftësisë së kufizuar parashikohen në nivelin 20.5 miliardë lekë, në të njëjtin nivel si vitin e kaluar. </w:t>
      </w:r>
    </w:p>
    <w:p w:rsidR="00B0121D" w:rsidRPr="00D73F43" w:rsidRDefault="00B0121D" w:rsidP="00534AA6">
      <w:pPr>
        <w:numPr>
          <w:ilvl w:val="0"/>
          <w:numId w:val="5"/>
        </w:numPr>
        <w:spacing w:line="276" w:lineRule="auto"/>
        <w:jc w:val="both"/>
        <w:rPr>
          <w:lang w:val="sq-AL"/>
        </w:rPr>
      </w:pPr>
      <w:r w:rsidRPr="00D73F43">
        <w:rPr>
          <w:lang w:val="sq-AL"/>
        </w:rPr>
        <w:t xml:space="preserve">Për ish-të përndjekurit është parashikuar një fond prej 2 miliardë lekë ose 0.1% e PBB. </w:t>
      </w:r>
    </w:p>
    <w:p w:rsidR="00B0121D" w:rsidRPr="00D73F43" w:rsidRDefault="00B0121D" w:rsidP="00B0121D">
      <w:pPr>
        <w:spacing w:line="276" w:lineRule="auto"/>
        <w:jc w:val="both"/>
        <w:rPr>
          <w:b/>
          <w:sz w:val="16"/>
          <w:szCs w:val="16"/>
          <w:lang w:val="sq-AL"/>
        </w:rPr>
      </w:pPr>
    </w:p>
    <w:p w:rsidR="00B0121D" w:rsidRPr="00D73F43" w:rsidRDefault="00B0121D" w:rsidP="00B0121D">
      <w:pPr>
        <w:spacing w:line="276" w:lineRule="auto"/>
        <w:jc w:val="both"/>
        <w:rPr>
          <w:b/>
          <w:sz w:val="16"/>
          <w:szCs w:val="16"/>
          <w:lang w:val="sq-AL"/>
        </w:rPr>
      </w:pPr>
      <w:r w:rsidRPr="00D73F43">
        <w:rPr>
          <w:b/>
          <w:lang w:val="sq-AL"/>
        </w:rPr>
        <w:t>Shpenzimet për subvencione</w:t>
      </w:r>
      <w:r w:rsidRPr="00D73F43">
        <w:rPr>
          <w:lang w:val="sq-AL"/>
        </w:rPr>
        <w:t xml:space="preserve"> janë parashikuar në masën 2.3 miliardë lekë nga 1.75 miliardë lekë të miratuara me Aktin Normativ për vitin 2016. Rritja i dedikohet mbështetjes së reformës së nisur në sektorin e ujësjellës-kanalizimeve. Pjesa tjetër e fondit shkon kryesisht për të mbuluar një pjesë të shpenzimeve të veprimtarisë hekurudhore, subvencionimin e librit për një kategori të caktuar të nxënësve, veprimtarinë e shërbimeve qeveritare dhe nxitjen e punësimit.</w:t>
      </w:r>
    </w:p>
    <w:p w:rsidR="00B0121D" w:rsidRPr="00D73F43" w:rsidRDefault="00B0121D" w:rsidP="00B0121D">
      <w:pPr>
        <w:spacing w:line="276" w:lineRule="auto"/>
        <w:jc w:val="both"/>
        <w:rPr>
          <w:b/>
          <w:lang w:val="sq-AL"/>
        </w:rPr>
      </w:pPr>
    </w:p>
    <w:p w:rsidR="00B0121D" w:rsidRPr="00D73F43" w:rsidRDefault="00B0121D" w:rsidP="00B0121D">
      <w:pPr>
        <w:spacing w:line="276" w:lineRule="auto"/>
        <w:jc w:val="both"/>
        <w:rPr>
          <w:lang w:val="sq-AL"/>
        </w:rPr>
      </w:pPr>
      <w:r w:rsidRPr="00D73F43">
        <w:rPr>
          <w:b/>
          <w:lang w:val="sq-AL"/>
        </w:rPr>
        <w:t xml:space="preserve">Niveli i Fondit Rezervë </w:t>
      </w:r>
      <w:r w:rsidRPr="00D73F43">
        <w:rPr>
          <w:lang w:val="sq-AL"/>
        </w:rPr>
        <w:t>për vitin 2017, parashikohet të jetë në masën 1.5 miliardë lekë, përkatësisht 1 miliard lekë Fond Rezervë i Këshillit të Ministrave dhe 500 milionë lekë fond kontigjence për ngritjen dhe funksionimin e institucioneve të reja të sistemit të drejtësisë.</w:t>
      </w:r>
    </w:p>
    <w:p w:rsidR="00B0121D" w:rsidRPr="00D73F43" w:rsidRDefault="00B0121D" w:rsidP="00B0121D">
      <w:pPr>
        <w:spacing w:line="276" w:lineRule="auto"/>
        <w:jc w:val="both"/>
        <w:rPr>
          <w:b/>
          <w:sz w:val="16"/>
          <w:szCs w:val="16"/>
          <w:lang w:val="sq-AL"/>
        </w:rPr>
      </w:pPr>
    </w:p>
    <w:p w:rsidR="00B0121D" w:rsidRPr="00D73F43" w:rsidRDefault="00B0121D" w:rsidP="00B0121D">
      <w:pPr>
        <w:spacing w:line="276" w:lineRule="auto"/>
        <w:jc w:val="both"/>
        <w:rPr>
          <w:lang w:val="sq-AL"/>
        </w:rPr>
      </w:pPr>
      <w:r w:rsidRPr="00D73F43">
        <w:rPr>
          <w:b/>
          <w:bCs/>
          <w:lang w:val="sq-AL"/>
        </w:rPr>
        <w:t>Investimet Publike</w:t>
      </w:r>
      <w:r w:rsidRPr="00D73F43">
        <w:rPr>
          <w:lang w:val="sq-AL"/>
        </w:rPr>
        <w:t>. Për vitin 2017 investimet publike janë planifikuar në masën 4.</w:t>
      </w:r>
      <w:r w:rsidR="00CF5E6F">
        <w:rPr>
          <w:lang w:val="sq-AL"/>
        </w:rPr>
        <w:t>9</w:t>
      </w:r>
      <w:r w:rsidRPr="00D73F43">
        <w:rPr>
          <w:lang w:val="sq-AL"/>
        </w:rPr>
        <w:t>% e PBB ose 74.4 miliardë lekë (</w:t>
      </w:r>
      <w:r w:rsidRPr="00D73F43">
        <w:rPr>
          <w:i/>
          <w:iCs/>
          <w:lang w:val="sq-AL"/>
        </w:rPr>
        <w:t xml:space="preserve">duke përfshirë këtu dhe Fondin e Zhvillimit Rajonal prej 9.5 miliardë </w:t>
      </w:r>
      <w:r w:rsidRPr="00D73F43">
        <w:rPr>
          <w:i/>
          <w:lang w:val="sq-AL"/>
        </w:rPr>
        <w:t>lekë</w:t>
      </w:r>
      <w:r w:rsidRPr="00D73F43">
        <w:rPr>
          <w:i/>
          <w:iCs/>
          <w:lang w:val="sq-AL"/>
        </w:rPr>
        <w:t xml:space="preserve"> dhe  mbështetjen për Sektorin e energjisë </w:t>
      </w:r>
      <w:r w:rsidR="00CF5E6F">
        <w:rPr>
          <w:i/>
          <w:iCs/>
          <w:lang w:val="sq-AL"/>
        </w:rPr>
        <w:t xml:space="preserve">3 </w:t>
      </w:r>
      <w:r w:rsidRPr="00D73F43">
        <w:rPr>
          <w:i/>
          <w:iCs/>
          <w:lang w:val="sq-AL"/>
        </w:rPr>
        <w:t xml:space="preserve">miliardë </w:t>
      </w:r>
      <w:r w:rsidRPr="00D73F43">
        <w:rPr>
          <w:i/>
          <w:lang w:val="sq-AL"/>
        </w:rPr>
        <w:t>lekë</w:t>
      </w:r>
      <w:r w:rsidRPr="00D73F43">
        <w:rPr>
          <w:i/>
          <w:iCs/>
          <w:lang w:val="sq-AL"/>
        </w:rPr>
        <w:t>)</w:t>
      </w:r>
      <w:r w:rsidRPr="00D73F43">
        <w:rPr>
          <w:lang w:val="sq-AL"/>
        </w:rPr>
        <w:t>. Në planifikimin e investimeve për vitin 2017 janë mbajtur në konsideratë të gjitha detyrimet kontraktuale për projektet e investimeve me financim të huaj dhe të brendshëm. Ashtu, si edhe në vitin 2016, do të ketë përparësi financimi i projekteve në vazhdim. Për planifikimin e investimeve janë ndjekur kriteret e mëposhtme:</w:t>
      </w:r>
    </w:p>
    <w:p w:rsidR="00B0121D" w:rsidRPr="00D73F43" w:rsidRDefault="00B0121D" w:rsidP="00B0121D">
      <w:pPr>
        <w:spacing w:line="276" w:lineRule="auto"/>
        <w:jc w:val="both"/>
        <w:rPr>
          <w:lang w:val="sq-AL"/>
        </w:rPr>
      </w:pPr>
    </w:p>
    <w:p w:rsidR="00B0121D" w:rsidRPr="00D73F43" w:rsidRDefault="00B0121D" w:rsidP="00534AA6">
      <w:pPr>
        <w:numPr>
          <w:ilvl w:val="0"/>
          <w:numId w:val="4"/>
        </w:numPr>
        <w:rPr>
          <w:i/>
          <w:iCs/>
          <w:lang w:val="sq-AL"/>
        </w:rPr>
      </w:pPr>
      <w:r w:rsidRPr="00D73F43">
        <w:rPr>
          <w:i/>
          <w:iCs/>
          <w:lang w:val="sq-AL"/>
        </w:rPr>
        <w:t>Prioritetet e Programit të Qeverisë për periudhën 2013 – 2017;</w:t>
      </w:r>
    </w:p>
    <w:p w:rsidR="00B0121D" w:rsidRPr="00D73F43" w:rsidRDefault="00B0121D" w:rsidP="00534AA6">
      <w:pPr>
        <w:numPr>
          <w:ilvl w:val="0"/>
          <w:numId w:val="4"/>
        </w:numPr>
        <w:spacing w:line="276" w:lineRule="auto"/>
        <w:jc w:val="both"/>
        <w:rPr>
          <w:i/>
          <w:iCs/>
          <w:lang w:val="sq-AL"/>
        </w:rPr>
      </w:pPr>
      <w:r w:rsidRPr="00D73F43">
        <w:rPr>
          <w:i/>
          <w:iCs/>
          <w:lang w:val="sq-AL"/>
        </w:rPr>
        <w:t>Prioritetet e integrimit europian;</w:t>
      </w:r>
    </w:p>
    <w:p w:rsidR="00B0121D" w:rsidRPr="00D73F43" w:rsidRDefault="00B0121D" w:rsidP="00534AA6">
      <w:pPr>
        <w:numPr>
          <w:ilvl w:val="0"/>
          <w:numId w:val="4"/>
        </w:numPr>
        <w:spacing w:line="276" w:lineRule="auto"/>
        <w:jc w:val="both"/>
        <w:rPr>
          <w:i/>
          <w:iCs/>
          <w:lang w:val="sq-AL"/>
        </w:rPr>
      </w:pPr>
      <w:r w:rsidRPr="00D73F43">
        <w:rPr>
          <w:i/>
          <w:iCs/>
          <w:lang w:val="sq-AL"/>
        </w:rPr>
        <w:t>Projektet në vazhdim.</w:t>
      </w:r>
    </w:p>
    <w:p w:rsidR="00B0121D" w:rsidRPr="00D73F43" w:rsidRDefault="00B0121D" w:rsidP="00534AA6">
      <w:pPr>
        <w:numPr>
          <w:ilvl w:val="0"/>
          <w:numId w:val="4"/>
        </w:numPr>
        <w:spacing w:line="276" w:lineRule="auto"/>
        <w:jc w:val="both"/>
        <w:rPr>
          <w:i/>
          <w:iCs/>
          <w:lang w:val="sq-AL"/>
        </w:rPr>
      </w:pPr>
      <w:r w:rsidRPr="00D73F43">
        <w:rPr>
          <w:i/>
          <w:iCs/>
          <w:lang w:val="sq-AL"/>
        </w:rPr>
        <w:t>Mbështetja me kosto lokale dhe TVSH për projektet me financim të huaj;</w:t>
      </w:r>
    </w:p>
    <w:p w:rsidR="00B0121D" w:rsidRPr="00D73F43" w:rsidRDefault="00B0121D" w:rsidP="00B0121D">
      <w:pPr>
        <w:spacing w:line="276" w:lineRule="auto"/>
        <w:jc w:val="both"/>
        <w:rPr>
          <w:lang w:val="sq-AL"/>
        </w:rPr>
      </w:pPr>
    </w:p>
    <w:p w:rsidR="00B0121D" w:rsidRPr="00D73F43" w:rsidRDefault="00B0121D" w:rsidP="00B0121D">
      <w:pPr>
        <w:spacing w:line="276" w:lineRule="auto"/>
        <w:jc w:val="both"/>
        <w:rPr>
          <w:lang w:val="sq-AL"/>
        </w:rPr>
      </w:pPr>
      <w:r w:rsidRPr="00D73F43">
        <w:rPr>
          <w:lang w:val="sq-AL"/>
        </w:rPr>
        <w:lastRenderedPageBreak/>
        <w:t xml:space="preserve">Për vitin 2017 janë planifikuar </w:t>
      </w:r>
      <w:r w:rsidR="00CF5E6F">
        <w:rPr>
          <w:bCs/>
          <w:lang w:val="sq-AL"/>
        </w:rPr>
        <w:t>46.2</w:t>
      </w:r>
      <w:r w:rsidRPr="00D73F43">
        <w:rPr>
          <w:bCs/>
          <w:lang w:val="sq-AL"/>
        </w:rPr>
        <w:t xml:space="preserve"> miliardë lekë</w:t>
      </w:r>
      <w:r w:rsidRPr="00D73F43">
        <w:rPr>
          <w:lang w:val="sq-AL"/>
        </w:rPr>
        <w:t xml:space="preserve"> financim i brendshëm dhe </w:t>
      </w:r>
      <w:r w:rsidRPr="00D73F43">
        <w:rPr>
          <w:bCs/>
          <w:lang w:val="sq-AL"/>
        </w:rPr>
        <w:t>27.</w:t>
      </w:r>
      <w:r w:rsidR="00CF5E6F">
        <w:rPr>
          <w:bCs/>
          <w:lang w:val="sq-AL"/>
        </w:rPr>
        <w:t>2</w:t>
      </w:r>
      <w:r w:rsidRPr="00D73F43">
        <w:rPr>
          <w:bCs/>
          <w:lang w:val="sq-AL"/>
        </w:rPr>
        <w:t xml:space="preserve"> miliardë lekë</w:t>
      </w:r>
      <w:r w:rsidR="00CF5E6F">
        <w:rPr>
          <w:lang w:val="sq-AL"/>
        </w:rPr>
        <w:t xml:space="preserve"> financim i huaj. </w:t>
      </w:r>
      <w:r w:rsidRPr="00D73F43">
        <w:rPr>
          <w:lang w:val="sq-AL"/>
        </w:rPr>
        <w:t xml:space="preserve">Për sa i takon strukturës së investimeve në raport me statusin e projekteve të programuara për financim, vlerësohet se rreth </w:t>
      </w:r>
      <w:r w:rsidRPr="00D73F43">
        <w:rPr>
          <w:bCs/>
          <w:lang w:val="sq-AL"/>
        </w:rPr>
        <w:t>90.2%</w:t>
      </w:r>
      <w:r w:rsidRPr="00D73F43">
        <w:rPr>
          <w:lang w:val="sq-AL"/>
        </w:rPr>
        <w:t xml:space="preserve"> e vlerës totale të investimeve  të planifikuar në PBA për vitin 2017, shkon për financimin e projekteve në vazhdim. Sipas burimit të financimit, vlerësohet se rreth </w:t>
      </w:r>
      <w:r w:rsidRPr="00D73F43">
        <w:rPr>
          <w:bCs/>
          <w:lang w:val="sq-AL"/>
        </w:rPr>
        <w:t>90.4%</w:t>
      </w:r>
      <w:r w:rsidRPr="00D73F43">
        <w:rPr>
          <w:lang w:val="sq-AL"/>
        </w:rPr>
        <w:t xml:space="preserve"> e planit të investimeve me financim të brendshëm është parashikuar për financi</w:t>
      </w:r>
      <w:r w:rsidR="00CF5E6F">
        <w:rPr>
          <w:lang w:val="sq-AL"/>
        </w:rPr>
        <w:t>min e projekteve në vazhdim dhe</w:t>
      </w:r>
      <w:r w:rsidRPr="00D73F43">
        <w:rPr>
          <w:lang w:val="sq-AL"/>
        </w:rPr>
        <w:t xml:space="preserve"> </w:t>
      </w:r>
      <w:r w:rsidRPr="00D73F43">
        <w:rPr>
          <w:bCs/>
          <w:lang w:val="sq-AL"/>
        </w:rPr>
        <w:t>9.6%</w:t>
      </w:r>
      <w:r w:rsidRPr="00D73F43">
        <w:rPr>
          <w:lang w:val="sq-AL"/>
        </w:rPr>
        <w:t xml:space="preserve"> e investimeve për financimin e projekteve të reja. Një situatë të ngjashme kemi edhe për financimin e huaj, ku vlerësohet se rreth </w:t>
      </w:r>
      <w:r w:rsidRPr="00D73F43">
        <w:rPr>
          <w:bCs/>
          <w:lang w:val="sq-AL"/>
        </w:rPr>
        <w:t>90%</w:t>
      </w:r>
      <w:r w:rsidRPr="00D73F43">
        <w:rPr>
          <w:lang w:val="sq-AL"/>
        </w:rPr>
        <w:t xml:space="preserve"> e planit të investimeve për vitin 2017 shkon për financimin e projekteve në vazhdim. Shtesat</w:t>
      </w:r>
      <w:r w:rsidR="00CF5E6F">
        <w:rPr>
          <w:lang w:val="sq-AL"/>
        </w:rPr>
        <w:t xml:space="preserve"> kanë synuar një financim sa më</w:t>
      </w:r>
      <w:r w:rsidRPr="00D73F43">
        <w:rPr>
          <w:lang w:val="sq-AL"/>
        </w:rPr>
        <w:t xml:space="preserve"> optimal të projekteve në përputhje me objektivat e ministrive dhe institucioneve për vi</w:t>
      </w:r>
      <w:r w:rsidR="00CF5E6F">
        <w:rPr>
          <w:lang w:val="sq-AL"/>
        </w:rPr>
        <w:t>tin 2017</w:t>
      </w:r>
      <w:r w:rsidRPr="00D73F43">
        <w:rPr>
          <w:lang w:val="sq-AL"/>
        </w:rPr>
        <w:t>.</w:t>
      </w:r>
    </w:p>
    <w:p w:rsidR="00B0121D" w:rsidRPr="00D73F43" w:rsidRDefault="00B0121D" w:rsidP="00B0121D">
      <w:pPr>
        <w:spacing w:line="276" w:lineRule="auto"/>
        <w:jc w:val="both"/>
        <w:rPr>
          <w:b/>
          <w:lang w:val="sq-AL"/>
        </w:rPr>
      </w:pPr>
    </w:p>
    <w:p w:rsidR="00B0121D" w:rsidRPr="00D73F43" w:rsidRDefault="00B0121D" w:rsidP="00B0121D">
      <w:pPr>
        <w:rPr>
          <w:lang w:val="sq-AL"/>
        </w:rPr>
      </w:pPr>
    </w:p>
    <w:p w:rsidR="00B0121D" w:rsidRPr="00D73F43" w:rsidRDefault="00B0121D" w:rsidP="00534AA6">
      <w:pPr>
        <w:pStyle w:val="Heading1"/>
        <w:numPr>
          <w:ilvl w:val="1"/>
          <w:numId w:val="6"/>
        </w:numPr>
        <w:tabs>
          <w:tab w:val="clear" w:pos="5954"/>
          <w:tab w:val="center" w:pos="709"/>
        </w:tabs>
        <w:spacing w:line="276" w:lineRule="auto"/>
        <w:jc w:val="both"/>
        <w:rPr>
          <w:caps w:val="0"/>
          <w:sz w:val="26"/>
          <w:szCs w:val="26"/>
          <w:lang w:val="sq-AL"/>
        </w:rPr>
      </w:pPr>
      <w:bookmarkStart w:id="23" w:name="_Toc465950351"/>
      <w:bookmarkStart w:id="24" w:name="_Toc466445436"/>
      <w:r w:rsidRPr="00D73F43">
        <w:rPr>
          <w:caps w:val="0"/>
          <w:sz w:val="26"/>
          <w:szCs w:val="26"/>
          <w:lang w:val="sq-AL"/>
        </w:rPr>
        <w:t>DEFICITI BUXHETOR</w:t>
      </w:r>
      <w:bookmarkEnd w:id="23"/>
      <w:bookmarkEnd w:id="24"/>
    </w:p>
    <w:p w:rsidR="00B0121D" w:rsidRPr="00D73F43" w:rsidRDefault="00B0121D" w:rsidP="00B0121D">
      <w:pPr>
        <w:rPr>
          <w:lang w:val="sq-AL"/>
        </w:rPr>
      </w:pPr>
    </w:p>
    <w:p w:rsidR="00B0121D" w:rsidRPr="00D73F43" w:rsidRDefault="00653DFF" w:rsidP="00B0121D">
      <w:pPr>
        <w:spacing w:line="276" w:lineRule="auto"/>
        <w:jc w:val="both"/>
        <w:rPr>
          <w:lang w:val="sq-AL"/>
        </w:rPr>
      </w:pPr>
      <w:r w:rsidRPr="00653DFF">
        <w:rPr>
          <w:lang w:val="sq-AL"/>
        </w:rPr>
        <w:t xml:space="preserve">Deficiti buxhetor për vitin 2017 planifikohet të jetë në nivelin 2.0% të PBB. Për të dytin vit rradhazi balanca primare parashikohet të jetë pozitive në nivelin 0.7% duke shënuar nivelin më të lartë në 25 vite. Rrjedhimisht, niveli i borxhit publik të targetuar, do të ulet me rreth 2.7 pikë përqindje dhe do të vijojë këtë trend rënës në periudhën afatmesme dhe afatgjatë. Financimi i deficitit do të realizohet nëpërmjet huamarrjes së brendshme </w:t>
      </w:r>
      <w:r w:rsidRPr="00653DFF">
        <w:rPr>
          <w:i/>
          <w:lang w:val="sq-AL"/>
        </w:rPr>
        <w:t xml:space="preserve">(në rreth 1.2% të PBB) </w:t>
      </w:r>
      <w:r w:rsidRPr="00653DFF">
        <w:rPr>
          <w:lang w:val="sq-AL"/>
        </w:rPr>
        <w:t xml:space="preserve">dhe asaj të huaj </w:t>
      </w:r>
      <w:r w:rsidRPr="00653DFF">
        <w:rPr>
          <w:i/>
          <w:lang w:val="sq-AL"/>
        </w:rPr>
        <w:t>(në rreth 0.8 % të PBB)</w:t>
      </w:r>
      <w:r w:rsidRPr="00653DFF">
        <w:rPr>
          <w:lang w:val="sq-AL"/>
        </w:rPr>
        <w:t xml:space="preserve">, e cila do të bazohet kryesisht tek huatë me terma të favorshme në kuadër të mbështetjes së politikave zhvillimore të ndërmarra nga Qeveria. </w:t>
      </w:r>
      <w:r w:rsidR="00B0121D" w:rsidRPr="00D73F43">
        <w:rPr>
          <w:lang w:val="sq-AL"/>
        </w:rPr>
        <w:t xml:space="preserve"> </w:t>
      </w:r>
    </w:p>
    <w:p w:rsidR="00B0121D" w:rsidRPr="00D73F43" w:rsidRDefault="00B0121D" w:rsidP="00B0121D">
      <w:pPr>
        <w:jc w:val="both"/>
        <w:rPr>
          <w:lang w:val="sq-AL"/>
        </w:rPr>
      </w:pPr>
      <w:r w:rsidRPr="00D73F43">
        <w:rPr>
          <w:noProof/>
          <w:lang w:val="sq-AL" w:eastAsia="sq-AL"/>
        </w:rPr>
        <w:lastRenderedPageBreak/>
        <mc:AlternateContent>
          <mc:Choice Requires="wps">
            <w:drawing>
              <wp:anchor distT="45720" distB="45720" distL="114300" distR="114300" simplePos="0" relativeHeight="251663872" behindDoc="0" locked="0" layoutInCell="1" allowOverlap="1" wp14:anchorId="530F7A5F" wp14:editId="13D6771D">
                <wp:simplePos x="0" y="0"/>
                <wp:positionH relativeFrom="column">
                  <wp:posOffset>-189865</wp:posOffset>
                </wp:positionH>
                <wp:positionV relativeFrom="paragraph">
                  <wp:posOffset>635</wp:posOffset>
                </wp:positionV>
                <wp:extent cx="6858635" cy="9182100"/>
                <wp:effectExtent l="0" t="0" r="18415" b="1905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635" cy="9182100"/>
                        </a:xfrm>
                        <a:prstGeom prst="rect">
                          <a:avLst/>
                        </a:prstGeom>
                        <a:solidFill>
                          <a:srgbClr val="F2F2F2"/>
                        </a:solidFill>
                        <a:ln w="9525">
                          <a:solidFill>
                            <a:srgbClr val="000000"/>
                          </a:solidFill>
                          <a:miter lim="800000"/>
                          <a:headEnd/>
                          <a:tailEnd/>
                        </a:ln>
                      </wps:spPr>
                      <wps:txbx>
                        <w:txbxContent>
                          <w:p w:rsidR="008676DB" w:rsidRDefault="008676DB" w:rsidP="00B0121D">
                            <w:pPr>
                              <w:jc w:val="both"/>
                              <w:rPr>
                                <w:noProof/>
                                <w:sz w:val="20"/>
                                <w:lang w:val="sq-AL"/>
                              </w:rPr>
                            </w:pPr>
                          </w:p>
                          <w:p w:rsidR="008676DB" w:rsidRPr="00AB477F" w:rsidRDefault="008676DB" w:rsidP="00B0121D">
                            <w:pPr>
                              <w:jc w:val="center"/>
                              <w:rPr>
                                <w:b/>
                                <w:iCs/>
                                <w:noProof/>
                                <w:lang w:val="sq-AL"/>
                              </w:rPr>
                            </w:pPr>
                            <w:r w:rsidRPr="00AB477F">
                              <w:rPr>
                                <w:rFonts w:ascii="Cambria" w:eastAsia="Times New Roman" w:hAnsi="Cambria"/>
                                <w:b/>
                                <w:iCs/>
                                <w:szCs w:val="20"/>
                                <w:lang w:val="sq-AL"/>
                              </w:rPr>
                              <w:t>PARIMET DHE RREGULLAT FISKALË</w:t>
                            </w:r>
                          </w:p>
                          <w:p w:rsidR="008676DB" w:rsidRDefault="008676DB" w:rsidP="00B0121D">
                            <w:pPr>
                              <w:jc w:val="both"/>
                              <w:rPr>
                                <w:noProof/>
                                <w:sz w:val="20"/>
                                <w:lang w:val="sq-AL"/>
                              </w:rPr>
                            </w:pPr>
                          </w:p>
                          <w:p w:rsidR="008676DB" w:rsidRPr="00EC094B" w:rsidRDefault="008676DB" w:rsidP="00B0121D">
                            <w:pPr>
                              <w:jc w:val="both"/>
                              <w:rPr>
                                <w:noProof/>
                                <w:sz w:val="20"/>
                                <w:lang w:val="sq-AL"/>
                              </w:rPr>
                            </w:pPr>
                            <w:r w:rsidRPr="00EC094B">
                              <w:rPr>
                                <w:noProof/>
                                <w:sz w:val="20"/>
                                <w:lang w:val="sq-AL"/>
                              </w:rPr>
                              <w:t xml:space="preserve">Në përputhje të plotë me obligimet që rrjedhin prej Ligjit Organik të Buxhetit nr 57/2016, ligji i buxhetit për vitin 2017, materializon parimet dhe rregullat fiskalë </w:t>
                            </w:r>
                            <w:r>
                              <w:rPr>
                                <w:noProof/>
                                <w:sz w:val="20"/>
                                <w:lang w:val="sq-AL"/>
                              </w:rPr>
                              <w:t>të</w:t>
                            </w:r>
                            <w:r w:rsidRPr="00EC094B">
                              <w:rPr>
                                <w:noProof/>
                                <w:sz w:val="20"/>
                                <w:lang w:val="sq-AL"/>
                              </w:rPr>
                              <w:t xml:space="preserve"> mëposhtëm:</w:t>
                            </w:r>
                          </w:p>
                          <w:p w:rsidR="008676DB" w:rsidRPr="00EC094B" w:rsidRDefault="008676DB" w:rsidP="00B0121D">
                            <w:pPr>
                              <w:jc w:val="both"/>
                              <w:rPr>
                                <w:noProof/>
                                <w:sz w:val="20"/>
                                <w:lang w:val="sq-AL"/>
                              </w:rPr>
                            </w:pPr>
                          </w:p>
                          <w:p w:rsidR="008676DB" w:rsidRPr="00EC094B" w:rsidRDefault="008676DB" w:rsidP="00534AA6">
                            <w:pPr>
                              <w:numPr>
                                <w:ilvl w:val="0"/>
                                <w:numId w:val="8"/>
                              </w:numPr>
                              <w:jc w:val="both"/>
                              <w:rPr>
                                <w:i/>
                                <w:noProof/>
                                <w:sz w:val="20"/>
                                <w:lang w:val="sq-AL"/>
                              </w:rPr>
                            </w:pPr>
                            <w:r w:rsidRPr="00EC094B">
                              <w:rPr>
                                <w:i/>
                                <w:noProof/>
                                <w:sz w:val="20"/>
                                <w:lang w:val="sq-AL"/>
                              </w:rPr>
                              <w:t>Në çdo ligj vjetor të buxhetit, fillestar apo të rishikuar, si dhe në planifikimet e buxhetit afatmesëm, raporti i borxhit publik ndaj Produktit të Brendshëm Bruto do të planifikohet më i ulët se niveli i vlerësuar për vitin pararendës, deri atëherë kur niveli i borxhit të arrijë dhe qëndrojë poshtë nivelit 45 për qind të Produktit të Brendshëm Bruto;</w:t>
                            </w:r>
                          </w:p>
                          <w:p w:rsidR="008676DB" w:rsidRPr="00EC094B" w:rsidRDefault="008676DB" w:rsidP="00B0121D">
                            <w:pPr>
                              <w:jc w:val="both"/>
                              <w:rPr>
                                <w:noProof/>
                                <w:sz w:val="20"/>
                                <w:lang w:val="sq-AL"/>
                              </w:rPr>
                            </w:pPr>
                          </w:p>
                          <w:p w:rsidR="008676DB" w:rsidRPr="00EC094B" w:rsidRDefault="008676DB" w:rsidP="00B0121D">
                            <w:pPr>
                              <w:jc w:val="both"/>
                              <w:rPr>
                                <w:noProof/>
                                <w:sz w:val="20"/>
                                <w:lang w:val="sq-AL"/>
                              </w:rPr>
                            </w:pPr>
                            <w:r w:rsidRPr="00EC094B">
                              <w:rPr>
                                <w:noProof/>
                                <w:sz w:val="20"/>
                                <w:lang w:val="sq-AL"/>
                              </w:rPr>
                              <w:t>Në përputhje me këtë dispozitë (rregull fiskal) të LOB, ligji vjetor i buxhetit 2017 targeton një niv</w:t>
                            </w:r>
                            <w:r>
                              <w:rPr>
                                <w:noProof/>
                                <w:sz w:val="20"/>
                                <w:lang w:val="sq-AL"/>
                              </w:rPr>
                              <w:t>el të borxhit publik total në 69.1</w:t>
                            </w:r>
                            <w:r w:rsidRPr="00EC094B">
                              <w:rPr>
                                <w:noProof/>
                                <w:sz w:val="20"/>
                                <w:lang w:val="sq-AL"/>
                              </w:rPr>
                              <w:t>% të PBB nga niveli prej 71.</w:t>
                            </w:r>
                            <w:r>
                              <w:rPr>
                                <w:noProof/>
                                <w:sz w:val="20"/>
                                <w:lang w:val="sq-AL"/>
                              </w:rPr>
                              <w:t>8</w:t>
                            </w:r>
                            <w:r w:rsidRPr="00EC094B">
                              <w:rPr>
                                <w:noProof/>
                                <w:sz w:val="20"/>
                                <w:lang w:val="sq-AL"/>
                              </w:rPr>
                              <w:t xml:space="preserve">% e PBB i </w:t>
                            </w:r>
                            <w:r>
                              <w:rPr>
                                <w:noProof/>
                                <w:sz w:val="20"/>
                                <w:lang w:val="sq-AL"/>
                              </w:rPr>
                              <w:t xml:space="preserve">targetuar </w:t>
                            </w:r>
                            <w:r w:rsidRPr="00EC094B">
                              <w:rPr>
                                <w:noProof/>
                                <w:sz w:val="20"/>
                                <w:lang w:val="sq-AL"/>
                              </w:rPr>
                              <w:t>për vitin 2016.</w:t>
                            </w:r>
                          </w:p>
                          <w:p w:rsidR="008676DB" w:rsidRPr="00EC094B" w:rsidRDefault="008676DB" w:rsidP="00B0121D">
                            <w:pPr>
                              <w:ind w:left="360"/>
                              <w:jc w:val="both"/>
                              <w:rPr>
                                <w:noProof/>
                                <w:sz w:val="20"/>
                                <w:lang w:val="sq-AL"/>
                              </w:rPr>
                            </w:pPr>
                          </w:p>
                          <w:p w:rsidR="008676DB" w:rsidRPr="00EC094B" w:rsidRDefault="008676DB" w:rsidP="00534AA6">
                            <w:pPr>
                              <w:numPr>
                                <w:ilvl w:val="0"/>
                                <w:numId w:val="8"/>
                              </w:numPr>
                              <w:jc w:val="both"/>
                              <w:rPr>
                                <w:i/>
                                <w:noProof/>
                                <w:sz w:val="20"/>
                                <w:lang w:val="sq-AL"/>
                              </w:rPr>
                            </w:pPr>
                            <w:r w:rsidRPr="00EC094B">
                              <w:rPr>
                                <w:i/>
                                <w:noProof/>
                                <w:sz w:val="20"/>
                                <w:lang w:val="sq-AL"/>
                              </w:rPr>
                              <w:t>Vlera e Produktit të Brendshëm Bruto, nominale në lekë, e cila do të përdoret për llogaritjen e raportit të borxhit publik ndaj Produktit të Brendshëm Bruto për vitet buxhetore që planifikohen dhe për vitin pararendës, nuk mund të jetë më e lartë se vlera respektive e parashikuar ose vlerësuar në raportin “Perspektiva ekonomike botërore” (</w:t>
                            </w:r>
                            <w:r>
                              <w:rPr>
                                <w:i/>
                                <w:noProof/>
                                <w:sz w:val="20"/>
                                <w:lang w:val="sq-AL"/>
                              </w:rPr>
                              <w:t>W</w:t>
                            </w:r>
                            <w:r w:rsidRPr="00EC094B">
                              <w:rPr>
                                <w:i/>
                                <w:noProof/>
                                <w:sz w:val="20"/>
                                <w:lang w:val="sq-AL"/>
                              </w:rPr>
                              <w:t xml:space="preserve">orld Economic Outlook), të Fondit Monetar Ndërkombëtar, më i fundit i publikuar në kohën kur ligji vjetor i buxhetit dorëzohet për miratim në Kuvend. Kjo dokumentohet qartësisht në relacionin shoqërues të ligjit vjetor të buxhetit; </w:t>
                            </w:r>
                          </w:p>
                          <w:p w:rsidR="008676DB" w:rsidRPr="00EC094B" w:rsidRDefault="008676DB" w:rsidP="00B0121D">
                            <w:pPr>
                              <w:ind w:left="360"/>
                              <w:jc w:val="both"/>
                              <w:rPr>
                                <w:noProof/>
                                <w:sz w:val="20"/>
                                <w:lang w:val="sq-AL"/>
                              </w:rPr>
                            </w:pPr>
                          </w:p>
                          <w:p w:rsidR="008676DB" w:rsidRPr="00EC094B" w:rsidRDefault="008676DB" w:rsidP="00B0121D">
                            <w:pPr>
                              <w:jc w:val="both"/>
                              <w:rPr>
                                <w:noProof/>
                                <w:sz w:val="20"/>
                                <w:lang w:val="sq-AL"/>
                              </w:rPr>
                            </w:pPr>
                            <w:r w:rsidRPr="00EC094B">
                              <w:rPr>
                                <w:noProof/>
                                <w:sz w:val="20"/>
                                <w:lang w:val="sq-AL"/>
                              </w:rPr>
                              <w:t>Në përputhje me këtë dispozitë (rregull fiskal)  të LOB, ligji vjetor i buxhetit 2017 bazohet në projeksio</w:t>
                            </w:r>
                            <w:r>
                              <w:rPr>
                                <w:noProof/>
                                <w:sz w:val="20"/>
                                <w:lang w:val="sq-AL"/>
                              </w:rPr>
                              <w:t>n</w:t>
                            </w:r>
                            <w:r w:rsidRPr="00EC094B">
                              <w:rPr>
                                <w:noProof/>
                                <w:sz w:val="20"/>
                                <w:lang w:val="sq-AL"/>
                              </w:rPr>
                              <w:t>et e mëposhtme të PBB nominale, të cilat paraqiten në mënyrë krahasimore kundrejt projeksioneve të raportit “Perspektiva ekonomike botërore” (</w:t>
                            </w:r>
                            <w:r>
                              <w:rPr>
                                <w:noProof/>
                                <w:sz w:val="20"/>
                                <w:lang w:val="sq-AL"/>
                              </w:rPr>
                              <w:t>W</w:t>
                            </w:r>
                            <w:r w:rsidRPr="00EC094B">
                              <w:rPr>
                                <w:noProof/>
                                <w:sz w:val="20"/>
                                <w:lang w:val="sq-AL"/>
                              </w:rPr>
                              <w:t>orld Economic Outlook), të Fondit Monetar Ndërkombëtar, më i fundit i publikuar më 4 Tetor 2016</w:t>
                            </w:r>
                            <w:r>
                              <w:rPr>
                                <w:rStyle w:val="FootnoteReference"/>
                                <w:noProof/>
                                <w:sz w:val="20"/>
                                <w:lang w:val="sq-AL"/>
                              </w:rPr>
                              <w:t>2</w:t>
                            </w:r>
                            <w:r w:rsidRPr="00EC094B">
                              <w:rPr>
                                <w:noProof/>
                                <w:sz w:val="20"/>
                                <w:lang w:val="sq-AL"/>
                              </w:rPr>
                              <w:t xml:space="preserve">: </w:t>
                            </w:r>
                          </w:p>
                          <w:p w:rsidR="008676DB" w:rsidRPr="00EC094B" w:rsidRDefault="008676DB" w:rsidP="00B0121D">
                            <w:pPr>
                              <w:ind w:left="360"/>
                              <w:jc w:val="both"/>
                              <w:rPr>
                                <w:noProof/>
                                <w:sz w:val="20"/>
                                <w:lang w:val="sq-AL"/>
                              </w:rPr>
                            </w:pPr>
                          </w:p>
                          <w:p w:rsidR="008676DB" w:rsidRPr="00EC094B" w:rsidRDefault="008676DB" w:rsidP="00B0121D">
                            <w:pPr>
                              <w:jc w:val="both"/>
                              <w:rPr>
                                <w:noProof/>
                                <w:sz w:val="20"/>
                                <w:lang w:val="sq-AL"/>
                              </w:rPr>
                            </w:pPr>
                            <w:r w:rsidRPr="00EC094B">
                              <w:rPr>
                                <w:noProof/>
                                <w:sz w:val="20"/>
                                <w:lang w:val="sq-AL"/>
                              </w:rPr>
                              <w:t xml:space="preserve">     Parashikimet e PBB nominale të FMN dhe Ministrisë së Financave </w:t>
                            </w:r>
                          </w:p>
                          <w:tbl>
                            <w:tblPr>
                              <w:tblW w:w="9323" w:type="dxa"/>
                              <w:tblBorders>
                                <w:top w:val="single" w:sz="12" w:space="0" w:color="000000"/>
                                <w:bottom w:val="single" w:sz="12" w:space="0" w:color="000000"/>
                              </w:tblBorders>
                              <w:tblLook w:val="04A0" w:firstRow="1" w:lastRow="0" w:firstColumn="1" w:lastColumn="0" w:noHBand="0" w:noVBand="1"/>
                            </w:tblPr>
                            <w:tblGrid>
                              <w:gridCol w:w="3248"/>
                              <w:gridCol w:w="1030"/>
                              <w:gridCol w:w="1009"/>
                              <w:gridCol w:w="1009"/>
                              <w:gridCol w:w="1009"/>
                              <w:gridCol w:w="1009"/>
                              <w:gridCol w:w="1009"/>
                            </w:tblGrid>
                            <w:tr w:rsidR="008676DB" w:rsidRPr="00EC094B" w:rsidTr="00653DFF">
                              <w:trPr>
                                <w:trHeight w:val="319"/>
                              </w:trPr>
                              <w:tc>
                                <w:tcPr>
                                  <w:tcW w:w="3248" w:type="dxa"/>
                                  <w:tcBorders>
                                    <w:bottom w:val="single" w:sz="6" w:space="0" w:color="000000"/>
                                    <w:right w:val="single" w:sz="6" w:space="0" w:color="000000"/>
                                  </w:tcBorders>
                                  <w:shd w:val="clear" w:color="auto" w:fill="auto"/>
                                  <w:noWrap/>
                                  <w:hideMark/>
                                </w:tcPr>
                                <w:p w:rsidR="008676DB" w:rsidRPr="008049F1" w:rsidRDefault="008676DB" w:rsidP="00AD09A8">
                                  <w:pPr>
                                    <w:rPr>
                                      <w:rFonts w:ascii="Calibri" w:eastAsia="Times New Roman" w:hAnsi="Calibri"/>
                                      <w:b/>
                                      <w:bCs/>
                                      <w:i/>
                                      <w:iCs/>
                                      <w:noProof/>
                                      <w:sz w:val="18"/>
                                      <w:szCs w:val="22"/>
                                      <w:lang w:val="sq-AL"/>
                                    </w:rPr>
                                  </w:pPr>
                                  <w:r w:rsidRPr="008049F1">
                                    <w:rPr>
                                      <w:rFonts w:ascii="Calibri" w:eastAsia="Times New Roman" w:hAnsi="Calibri"/>
                                      <w:b/>
                                      <w:bCs/>
                                      <w:i/>
                                      <w:iCs/>
                                      <w:noProof/>
                                      <w:sz w:val="18"/>
                                      <w:szCs w:val="22"/>
                                      <w:lang w:val="sq-AL"/>
                                    </w:rPr>
                                    <w:t>në miliard lekë</w:t>
                                  </w:r>
                                </w:p>
                              </w:tc>
                              <w:tc>
                                <w:tcPr>
                                  <w:tcW w:w="1030" w:type="dxa"/>
                                  <w:tcBorders>
                                    <w:bottom w:val="single" w:sz="6" w:space="0" w:color="000000"/>
                                  </w:tcBorders>
                                  <w:shd w:val="clear" w:color="auto" w:fill="auto"/>
                                  <w:noWrap/>
                                  <w:hideMark/>
                                </w:tcPr>
                                <w:p w:rsidR="008676DB" w:rsidRPr="008049F1" w:rsidRDefault="008676DB" w:rsidP="00AD09A8">
                                  <w:pPr>
                                    <w:jc w:val="center"/>
                                    <w:rPr>
                                      <w:rFonts w:ascii="Calibri" w:eastAsia="Times New Roman" w:hAnsi="Calibri"/>
                                      <w:b/>
                                      <w:bCs/>
                                      <w:i/>
                                      <w:iCs/>
                                      <w:noProof/>
                                      <w:sz w:val="18"/>
                                      <w:szCs w:val="22"/>
                                      <w:lang w:val="sq-AL"/>
                                    </w:rPr>
                                  </w:pPr>
                                  <w:r w:rsidRPr="008049F1">
                                    <w:rPr>
                                      <w:rFonts w:ascii="Calibri" w:eastAsia="Times New Roman" w:hAnsi="Calibri"/>
                                      <w:b/>
                                      <w:bCs/>
                                      <w:i/>
                                      <w:iCs/>
                                      <w:noProof/>
                                      <w:sz w:val="18"/>
                                      <w:szCs w:val="22"/>
                                      <w:lang w:val="sq-AL"/>
                                    </w:rPr>
                                    <w:t>2014</w:t>
                                  </w:r>
                                </w:p>
                              </w:tc>
                              <w:tc>
                                <w:tcPr>
                                  <w:tcW w:w="1009" w:type="dxa"/>
                                  <w:tcBorders>
                                    <w:bottom w:val="single" w:sz="6" w:space="0" w:color="000000"/>
                                  </w:tcBorders>
                                  <w:shd w:val="clear" w:color="auto" w:fill="auto"/>
                                  <w:noWrap/>
                                  <w:hideMark/>
                                </w:tcPr>
                                <w:p w:rsidR="008676DB" w:rsidRPr="008049F1" w:rsidRDefault="008676DB" w:rsidP="00AD09A8">
                                  <w:pPr>
                                    <w:jc w:val="center"/>
                                    <w:rPr>
                                      <w:rFonts w:ascii="Calibri" w:eastAsia="Times New Roman" w:hAnsi="Calibri"/>
                                      <w:b/>
                                      <w:bCs/>
                                      <w:i/>
                                      <w:iCs/>
                                      <w:noProof/>
                                      <w:sz w:val="18"/>
                                      <w:szCs w:val="22"/>
                                      <w:lang w:val="sq-AL"/>
                                    </w:rPr>
                                  </w:pPr>
                                  <w:r w:rsidRPr="008049F1">
                                    <w:rPr>
                                      <w:rFonts w:ascii="Calibri" w:eastAsia="Times New Roman" w:hAnsi="Calibri"/>
                                      <w:b/>
                                      <w:bCs/>
                                      <w:i/>
                                      <w:iCs/>
                                      <w:noProof/>
                                      <w:sz w:val="18"/>
                                      <w:szCs w:val="22"/>
                                      <w:lang w:val="sq-AL"/>
                                    </w:rPr>
                                    <w:t>2015</w:t>
                                  </w:r>
                                </w:p>
                              </w:tc>
                              <w:tc>
                                <w:tcPr>
                                  <w:tcW w:w="1009" w:type="dxa"/>
                                  <w:tcBorders>
                                    <w:bottom w:val="single" w:sz="6" w:space="0" w:color="000000"/>
                                  </w:tcBorders>
                                  <w:shd w:val="clear" w:color="auto" w:fill="auto"/>
                                  <w:noWrap/>
                                  <w:hideMark/>
                                </w:tcPr>
                                <w:p w:rsidR="008676DB" w:rsidRPr="008049F1" w:rsidRDefault="008676DB" w:rsidP="00AD09A8">
                                  <w:pPr>
                                    <w:jc w:val="center"/>
                                    <w:rPr>
                                      <w:rFonts w:ascii="Calibri" w:eastAsia="Times New Roman" w:hAnsi="Calibri"/>
                                      <w:b/>
                                      <w:bCs/>
                                      <w:i/>
                                      <w:iCs/>
                                      <w:noProof/>
                                      <w:sz w:val="18"/>
                                      <w:szCs w:val="22"/>
                                      <w:lang w:val="sq-AL"/>
                                    </w:rPr>
                                  </w:pPr>
                                  <w:r w:rsidRPr="008049F1">
                                    <w:rPr>
                                      <w:rFonts w:ascii="Calibri" w:eastAsia="Times New Roman" w:hAnsi="Calibri"/>
                                      <w:b/>
                                      <w:bCs/>
                                      <w:i/>
                                      <w:iCs/>
                                      <w:noProof/>
                                      <w:sz w:val="18"/>
                                      <w:szCs w:val="22"/>
                                      <w:lang w:val="sq-AL"/>
                                    </w:rPr>
                                    <w:t>2016</w:t>
                                  </w:r>
                                  <w:r>
                                    <w:rPr>
                                      <w:rFonts w:ascii="Calibri" w:eastAsia="Times New Roman" w:hAnsi="Calibri"/>
                                      <w:b/>
                                      <w:bCs/>
                                      <w:i/>
                                      <w:iCs/>
                                      <w:noProof/>
                                      <w:sz w:val="18"/>
                                      <w:szCs w:val="22"/>
                                      <w:lang w:val="sq-AL"/>
                                    </w:rPr>
                                    <w:br/>
                                    <w:t>Para.</w:t>
                                  </w:r>
                                </w:p>
                              </w:tc>
                              <w:tc>
                                <w:tcPr>
                                  <w:tcW w:w="1009" w:type="dxa"/>
                                  <w:tcBorders>
                                    <w:bottom w:val="single" w:sz="6" w:space="0" w:color="000000"/>
                                  </w:tcBorders>
                                  <w:shd w:val="clear" w:color="auto" w:fill="auto"/>
                                  <w:noWrap/>
                                  <w:hideMark/>
                                </w:tcPr>
                                <w:p w:rsidR="008676DB" w:rsidRPr="008049F1" w:rsidRDefault="008676DB" w:rsidP="00653DFF">
                                  <w:pPr>
                                    <w:jc w:val="center"/>
                                    <w:rPr>
                                      <w:rFonts w:ascii="Calibri" w:eastAsia="Times New Roman" w:hAnsi="Calibri"/>
                                      <w:b/>
                                      <w:bCs/>
                                      <w:i/>
                                      <w:iCs/>
                                      <w:noProof/>
                                      <w:sz w:val="18"/>
                                      <w:szCs w:val="22"/>
                                      <w:lang w:val="sq-AL"/>
                                    </w:rPr>
                                  </w:pPr>
                                  <w:r w:rsidRPr="008049F1">
                                    <w:rPr>
                                      <w:rFonts w:ascii="Calibri" w:eastAsia="Times New Roman" w:hAnsi="Calibri"/>
                                      <w:b/>
                                      <w:bCs/>
                                      <w:i/>
                                      <w:iCs/>
                                      <w:noProof/>
                                      <w:sz w:val="18"/>
                                      <w:szCs w:val="22"/>
                                      <w:lang w:val="sq-AL"/>
                                    </w:rPr>
                                    <w:t>2017</w:t>
                                  </w:r>
                                  <w:r>
                                    <w:rPr>
                                      <w:rFonts w:ascii="Calibri" w:eastAsia="Times New Roman" w:hAnsi="Calibri"/>
                                      <w:b/>
                                      <w:bCs/>
                                      <w:i/>
                                      <w:iCs/>
                                      <w:noProof/>
                                      <w:sz w:val="18"/>
                                      <w:szCs w:val="22"/>
                                      <w:lang w:val="sq-AL"/>
                                    </w:rPr>
                                    <w:br/>
                                    <w:t>Para.</w:t>
                                  </w:r>
                                </w:p>
                              </w:tc>
                              <w:tc>
                                <w:tcPr>
                                  <w:tcW w:w="1009" w:type="dxa"/>
                                  <w:tcBorders>
                                    <w:bottom w:val="single" w:sz="6" w:space="0" w:color="000000"/>
                                  </w:tcBorders>
                                  <w:shd w:val="clear" w:color="auto" w:fill="auto"/>
                                  <w:noWrap/>
                                  <w:hideMark/>
                                </w:tcPr>
                                <w:p w:rsidR="008676DB" w:rsidRPr="008049F1" w:rsidRDefault="008676DB" w:rsidP="00AD09A8">
                                  <w:pPr>
                                    <w:jc w:val="center"/>
                                    <w:rPr>
                                      <w:rFonts w:ascii="Calibri" w:eastAsia="Times New Roman" w:hAnsi="Calibri"/>
                                      <w:b/>
                                      <w:bCs/>
                                      <w:i/>
                                      <w:iCs/>
                                      <w:noProof/>
                                      <w:sz w:val="18"/>
                                      <w:szCs w:val="22"/>
                                      <w:lang w:val="sq-AL"/>
                                    </w:rPr>
                                  </w:pPr>
                                  <w:r w:rsidRPr="008049F1">
                                    <w:rPr>
                                      <w:rFonts w:ascii="Calibri" w:eastAsia="Times New Roman" w:hAnsi="Calibri"/>
                                      <w:b/>
                                      <w:bCs/>
                                      <w:i/>
                                      <w:iCs/>
                                      <w:noProof/>
                                      <w:sz w:val="18"/>
                                      <w:szCs w:val="22"/>
                                      <w:lang w:val="sq-AL"/>
                                    </w:rPr>
                                    <w:t>2018</w:t>
                                  </w:r>
                                  <w:r>
                                    <w:rPr>
                                      <w:rFonts w:ascii="Calibri" w:eastAsia="Times New Roman" w:hAnsi="Calibri"/>
                                      <w:b/>
                                      <w:bCs/>
                                      <w:i/>
                                      <w:iCs/>
                                      <w:noProof/>
                                      <w:sz w:val="18"/>
                                      <w:szCs w:val="22"/>
                                      <w:lang w:val="sq-AL"/>
                                    </w:rPr>
                                    <w:br/>
                                    <w:t>Para.</w:t>
                                  </w:r>
                                </w:p>
                              </w:tc>
                              <w:tc>
                                <w:tcPr>
                                  <w:tcW w:w="1009" w:type="dxa"/>
                                  <w:tcBorders>
                                    <w:bottom w:val="single" w:sz="6" w:space="0" w:color="000000"/>
                                  </w:tcBorders>
                                  <w:shd w:val="clear" w:color="auto" w:fill="auto"/>
                                  <w:noWrap/>
                                  <w:hideMark/>
                                </w:tcPr>
                                <w:p w:rsidR="008676DB" w:rsidRPr="008049F1" w:rsidRDefault="008676DB" w:rsidP="00AD09A8">
                                  <w:pPr>
                                    <w:jc w:val="center"/>
                                    <w:rPr>
                                      <w:rFonts w:ascii="Calibri" w:eastAsia="Times New Roman" w:hAnsi="Calibri"/>
                                      <w:b/>
                                      <w:bCs/>
                                      <w:i/>
                                      <w:iCs/>
                                      <w:noProof/>
                                      <w:sz w:val="18"/>
                                      <w:szCs w:val="22"/>
                                      <w:lang w:val="sq-AL"/>
                                    </w:rPr>
                                  </w:pPr>
                                  <w:r w:rsidRPr="008049F1">
                                    <w:rPr>
                                      <w:rFonts w:ascii="Calibri" w:eastAsia="Times New Roman" w:hAnsi="Calibri"/>
                                      <w:b/>
                                      <w:bCs/>
                                      <w:i/>
                                      <w:iCs/>
                                      <w:noProof/>
                                      <w:sz w:val="18"/>
                                      <w:szCs w:val="22"/>
                                      <w:lang w:val="sq-AL"/>
                                    </w:rPr>
                                    <w:t>2019</w:t>
                                  </w:r>
                                  <w:r>
                                    <w:rPr>
                                      <w:rFonts w:ascii="Calibri" w:eastAsia="Times New Roman" w:hAnsi="Calibri"/>
                                      <w:b/>
                                      <w:bCs/>
                                      <w:i/>
                                      <w:iCs/>
                                      <w:noProof/>
                                      <w:sz w:val="18"/>
                                      <w:szCs w:val="22"/>
                                      <w:lang w:val="sq-AL"/>
                                    </w:rPr>
                                    <w:br/>
                                    <w:t>Para.</w:t>
                                  </w:r>
                                </w:p>
                              </w:tc>
                            </w:tr>
                            <w:tr w:rsidR="008676DB" w:rsidRPr="00EC094B" w:rsidTr="00653DFF">
                              <w:trPr>
                                <w:trHeight w:val="319"/>
                              </w:trPr>
                              <w:tc>
                                <w:tcPr>
                                  <w:tcW w:w="3248" w:type="dxa"/>
                                  <w:tcBorders>
                                    <w:right w:val="single" w:sz="6" w:space="0" w:color="000000"/>
                                  </w:tcBorders>
                                  <w:shd w:val="clear" w:color="auto" w:fill="auto"/>
                                  <w:noWrap/>
                                  <w:hideMark/>
                                </w:tcPr>
                                <w:p w:rsidR="008676DB" w:rsidRPr="008049F1" w:rsidRDefault="008676DB" w:rsidP="00AD09A8">
                                  <w:pPr>
                                    <w:rPr>
                                      <w:rFonts w:ascii="Calibri" w:eastAsia="Times New Roman" w:hAnsi="Calibri"/>
                                      <w:noProof/>
                                      <w:sz w:val="18"/>
                                      <w:szCs w:val="22"/>
                                      <w:lang w:val="sq-AL"/>
                                    </w:rPr>
                                  </w:pPr>
                                  <w:r w:rsidRPr="008049F1">
                                    <w:rPr>
                                      <w:rFonts w:ascii="Calibri" w:eastAsia="Times New Roman" w:hAnsi="Calibri"/>
                                      <w:noProof/>
                                      <w:sz w:val="18"/>
                                      <w:szCs w:val="22"/>
                                      <w:lang w:val="sq-AL"/>
                                    </w:rPr>
                                    <w:t>FMN - Perspektiva Ekon. Bot.</w:t>
                                  </w:r>
                                </w:p>
                              </w:tc>
                              <w:tc>
                                <w:tcPr>
                                  <w:tcW w:w="1030"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1,394</w:t>
                                  </w:r>
                                </w:p>
                              </w:tc>
                              <w:tc>
                                <w:tcPr>
                                  <w:tcW w:w="1009"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1,436</w:t>
                                  </w:r>
                                </w:p>
                              </w:tc>
                              <w:tc>
                                <w:tcPr>
                                  <w:tcW w:w="1009"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1,504</w:t>
                                  </w:r>
                                </w:p>
                              </w:tc>
                              <w:tc>
                                <w:tcPr>
                                  <w:tcW w:w="1009"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1,597</w:t>
                                  </w:r>
                                </w:p>
                              </w:tc>
                              <w:tc>
                                <w:tcPr>
                                  <w:tcW w:w="1009"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1,709</w:t>
                                  </w:r>
                                </w:p>
                              </w:tc>
                              <w:tc>
                                <w:tcPr>
                                  <w:tcW w:w="1009"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1,835</w:t>
                                  </w:r>
                                </w:p>
                              </w:tc>
                            </w:tr>
                            <w:tr w:rsidR="008676DB" w:rsidRPr="00EC094B" w:rsidTr="00653DFF">
                              <w:trPr>
                                <w:trHeight w:val="319"/>
                              </w:trPr>
                              <w:tc>
                                <w:tcPr>
                                  <w:tcW w:w="3248" w:type="dxa"/>
                                  <w:tcBorders>
                                    <w:right w:val="single" w:sz="6" w:space="0" w:color="000000"/>
                                  </w:tcBorders>
                                  <w:shd w:val="clear" w:color="auto" w:fill="auto"/>
                                  <w:noWrap/>
                                  <w:hideMark/>
                                </w:tcPr>
                                <w:p w:rsidR="008676DB" w:rsidRPr="008049F1" w:rsidRDefault="008676DB" w:rsidP="00AD09A8">
                                  <w:pPr>
                                    <w:rPr>
                                      <w:rFonts w:ascii="Calibri" w:eastAsia="Times New Roman" w:hAnsi="Calibri"/>
                                      <w:noProof/>
                                      <w:sz w:val="18"/>
                                      <w:szCs w:val="22"/>
                                      <w:lang w:val="sq-AL"/>
                                    </w:rPr>
                                  </w:pPr>
                                  <w:r w:rsidRPr="008049F1">
                                    <w:rPr>
                                      <w:rFonts w:ascii="Calibri" w:eastAsia="Times New Roman" w:hAnsi="Calibri"/>
                                      <w:noProof/>
                                      <w:sz w:val="18"/>
                                      <w:szCs w:val="22"/>
                                      <w:lang w:val="sq-AL"/>
                                    </w:rPr>
                                    <w:t>Ministria e Financave</w:t>
                                  </w:r>
                                </w:p>
                              </w:tc>
                              <w:tc>
                                <w:tcPr>
                                  <w:tcW w:w="1030"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1,394</w:t>
                                  </w:r>
                                </w:p>
                              </w:tc>
                              <w:tc>
                                <w:tcPr>
                                  <w:tcW w:w="1009"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1,436</w:t>
                                  </w:r>
                                </w:p>
                              </w:tc>
                              <w:tc>
                                <w:tcPr>
                                  <w:tcW w:w="1009"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1,502</w:t>
                                  </w:r>
                                </w:p>
                              </w:tc>
                              <w:tc>
                                <w:tcPr>
                                  <w:tcW w:w="1009"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1,596</w:t>
                                  </w:r>
                                </w:p>
                              </w:tc>
                              <w:tc>
                                <w:tcPr>
                                  <w:tcW w:w="1009"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1,707</w:t>
                                  </w:r>
                                </w:p>
                              </w:tc>
                              <w:tc>
                                <w:tcPr>
                                  <w:tcW w:w="1009"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1,833</w:t>
                                  </w:r>
                                </w:p>
                              </w:tc>
                            </w:tr>
                            <w:tr w:rsidR="008676DB" w:rsidRPr="00EC094B" w:rsidTr="00653DFF">
                              <w:trPr>
                                <w:trHeight w:val="319"/>
                              </w:trPr>
                              <w:tc>
                                <w:tcPr>
                                  <w:tcW w:w="3248" w:type="dxa"/>
                                  <w:tcBorders>
                                    <w:right w:val="single" w:sz="6" w:space="0" w:color="000000"/>
                                  </w:tcBorders>
                                  <w:shd w:val="clear" w:color="auto" w:fill="auto"/>
                                  <w:noWrap/>
                                  <w:hideMark/>
                                </w:tcPr>
                                <w:p w:rsidR="008676DB" w:rsidRPr="008049F1" w:rsidRDefault="008676DB" w:rsidP="00AD09A8">
                                  <w:pPr>
                                    <w:rPr>
                                      <w:rFonts w:ascii="Calibri" w:eastAsia="Times New Roman" w:hAnsi="Calibri"/>
                                      <w:noProof/>
                                      <w:sz w:val="18"/>
                                      <w:szCs w:val="22"/>
                                      <w:lang w:val="sq-AL"/>
                                    </w:rPr>
                                  </w:pPr>
                                  <w:r w:rsidRPr="008049F1">
                                    <w:rPr>
                                      <w:rFonts w:ascii="Calibri" w:eastAsia="Times New Roman" w:hAnsi="Calibri"/>
                                      <w:noProof/>
                                      <w:sz w:val="18"/>
                                      <w:szCs w:val="22"/>
                                      <w:lang w:val="sq-AL"/>
                                    </w:rPr>
                                    <w:t xml:space="preserve">Diferenca FMN - MeF </w:t>
                                  </w:r>
                                </w:p>
                                <w:p w:rsidR="008676DB" w:rsidRPr="008049F1" w:rsidRDefault="008676DB" w:rsidP="00AD09A8">
                                  <w:pPr>
                                    <w:rPr>
                                      <w:rFonts w:ascii="Calibri" w:eastAsia="Times New Roman" w:hAnsi="Calibri"/>
                                      <w:noProof/>
                                      <w:sz w:val="14"/>
                                      <w:szCs w:val="18"/>
                                      <w:lang w:val="sq-AL"/>
                                    </w:rPr>
                                  </w:pPr>
                                  <w:r w:rsidRPr="008049F1">
                                    <w:rPr>
                                      <w:rFonts w:ascii="Calibri" w:eastAsia="Times New Roman" w:hAnsi="Calibri"/>
                                      <w:noProof/>
                                      <w:sz w:val="14"/>
                                      <w:szCs w:val="18"/>
                                      <w:lang w:val="sq-AL"/>
                                    </w:rPr>
                                    <w:t>(duhet te jete jo më e vogël se zero)</w:t>
                                  </w:r>
                                </w:p>
                              </w:tc>
                              <w:tc>
                                <w:tcPr>
                                  <w:tcW w:w="1030"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0</w:t>
                                  </w:r>
                                </w:p>
                              </w:tc>
                              <w:tc>
                                <w:tcPr>
                                  <w:tcW w:w="1009"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0</w:t>
                                  </w:r>
                                </w:p>
                              </w:tc>
                              <w:tc>
                                <w:tcPr>
                                  <w:tcW w:w="1009"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2</w:t>
                                  </w:r>
                                </w:p>
                              </w:tc>
                              <w:tc>
                                <w:tcPr>
                                  <w:tcW w:w="1009"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w:t>
                                  </w:r>
                                </w:p>
                              </w:tc>
                              <w:tc>
                                <w:tcPr>
                                  <w:tcW w:w="1009"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2</w:t>
                                  </w:r>
                                </w:p>
                              </w:tc>
                              <w:tc>
                                <w:tcPr>
                                  <w:tcW w:w="1009"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2</w:t>
                                  </w:r>
                                </w:p>
                              </w:tc>
                            </w:tr>
                          </w:tbl>
                          <w:p w:rsidR="008676DB" w:rsidRPr="00EC094B" w:rsidRDefault="008676DB" w:rsidP="00B0121D">
                            <w:pPr>
                              <w:jc w:val="both"/>
                              <w:rPr>
                                <w:noProof/>
                                <w:sz w:val="20"/>
                                <w:lang w:val="sq-AL"/>
                              </w:rPr>
                            </w:pPr>
                          </w:p>
                          <w:p w:rsidR="008676DB" w:rsidRPr="00EC094B" w:rsidRDefault="008676DB" w:rsidP="00B0121D">
                            <w:pPr>
                              <w:jc w:val="both"/>
                              <w:rPr>
                                <w:noProof/>
                                <w:sz w:val="20"/>
                                <w:lang w:val="sq-AL"/>
                              </w:rPr>
                            </w:pPr>
                          </w:p>
                          <w:p w:rsidR="008676DB" w:rsidRPr="00EC094B" w:rsidRDefault="008676DB" w:rsidP="00534AA6">
                            <w:pPr>
                              <w:numPr>
                                <w:ilvl w:val="0"/>
                                <w:numId w:val="8"/>
                              </w:numPr>
                              <w:jc w:val="both"/>
                              <w:rPr>
                                <w:i/>
                                <w:noProof/>
                                <w:sz w:val="20"/>
                                <w:lang w:val="sq-AL"/>
                              </w:rPr>
                            </w:pPr>
                            <w:r w:rsidRPr="00EC094B">
                              <w:rPr>
                                <w:i/>
                                <w:noProof/>
                                <w:sz w:val="20"/>
                                <w:lang w:val="sq-AL"/>
                              </w:rPr>
                              <w:t>Në çdo vit buxhetor të planifikuar duhet të përfshihet një kontingjencë e veçantë, prej jo më pak se 0,7 për qind e shpenzimeve totale të buxhetit, për të kompensuar rreziqe potenciale nga luhatjet në kurset e këmbimit ose normat e interesit, me ndikim në nivelin e borxhit</w:t>
                            </w:r>
                            <w:r>
                              <w:rPr>
                                <w:i/>
                                <w:noProof/>
                                <w:sz w:val="20"/>
                                <w:lang w:val="sq-AL"/>
                              </w:rPr>
                              <w:t>.</w:t>
                            </w:r>
                          </w:p>
                          <w:p w:rsidR="008676DB" w:rsidRPr="00EC094B" w:rsidRDefault="008676DB" w:rsidP="00B0121D">
                            <w:pPr>
                              <w:jc w:val="both"/>
                              <w:rPr>
                                <w:i/>
                                <w:noProof/>
                                <w:sz w:val="20"/>
                                <w:lang w:val="sq-AL"/>
                              </w:rPr>
                            </w:pPr>
                          </w:p>
                          <w:p w:rsidR="008676DB" w:rsidRPr="00EC094B" w:rsidRDefault="008676DB" w:rsidP="00B0121D">
                            <w:pPr>
                              <w:jc w:val="both"/>
                              <w:rPr>
                                <w:noProof/>
                                <w:sz w:val="20"/>
                                <w:lang w:val="sq-AL"/>
                              </w:rPr>
                            </w:pPr>
                            <w:r w:rsidRPr="00EC094B">
                              <w:rPr>
                                <w:noProof/>
                                <w:sz w:val="20"/>
                                <w:lang w:val="sq-AL"/>
                              </w:rPr>
                              <w:t>Në përputhje me këtë dispozitë (rregull fiskal)  të LOB, ligji vjetor i buxhetit 2017 përfshin në një zë të ve</w:t>
                            </w:r>
                            <w:r>
                              <w:rPr>
                                <w:noProof/>
                                <w:sz w:val="20"/>
                                <w:lang w:val="sq-AL"/>
                              </w:rPr>
                              <w:t>ç</w:t>
                            </w:r>
                            <w:r w:rsidRPr="00EC094B">
                              <w:rPr>
                                <w:noProof/>
                                <w:sz w:val="20"/>
                                <w:lang w:val="sq-AL"/>
                              </w:rPr>
                              <w:t xml:space="preserve">antë të tij, emërtuar </w:t>
                            </w:r>
                            <w:r w:rsidRPr="00EC094B">
                              <w:rPr>
                                <w:i/>
                                <w:noProof/>
                                <w:sz w:val="20"/>
                                <w:lang w:val="sq-AL"/>
                              </w:rPr>
                              <w:t>“Kontigjencë për impaktin në borxhin publik nga luhatjet e normave të interesit, et</w:t>
                            </w:r>
                            <w:r>
                              <w:rPr>
                                <w:i/>
                                <w:noProof/>
                                <w:sz w:val="20"/>
                                <w:lang w:val="sq-AL"/>
                              </w:rPr>
                              <w:t>.</w:t>
                            </w:r>
                            <w:r w:rsidRPr="00EC094B">
                              <w:rPr>
                                <w:i/>
                                <w:noProof/>
                                <w:sz w:val="20"/>
                                <w:lang w:val="sq-AL"/>
                              </w:rPr>
                              <w:t xml:space="preserve">j” </w:t>
                            </w:r>
                            <w:r w:rsidRPr="00EC094B">
                              <w:rPr>
                                <w:noProof/>
                                <w:sz w:val="20"/>
                                <w:lang w:val="sq-AL"/>
                              </w:rPr>
                              <w:t xml:space="preserve">një kontigjencë prej 4 miliardë </w:t>
                            </w:r>
                            <w:r>
                              <w:rPr>
                                <w:noProof/>
                                <w:sz w:val="20"/>
                                <w:lang w:val="sq-AL"/>
                              </w:rPr>
                              <w:t>l</w:t>
                            </w:r>
                            <w:r w:rsidRPr="00EC094B">
                              <w:rPr>
                                <w:noProof/>
                                <w:sz w:val="20"/>
                                <w:lang w:val="sq-AL"/>
                              </w:rPr>
                              <w:t>ekë ose 0.</w:t>
                            </w:r>
                            <w:r>
                              <w:rPr>
                                <w:noProof/>
                                <w:sz w:val="20"/>
                                <w:lang w:val="sq-AL"/>
                              </w:rPr>
                              <w:t>9</w:t>
                            </w:r>
                            <w:r w:rsidRPr="00EC094B">
                              <w:rPr>
                                <w:noProof/>
                                <w:sz w:val="20"/>
                                <w:lang w:val="sq-AL"/>
                              </w:rPr>
                              <w:t>% e shpenzimeve totale. Kjo vlerë e përfshirë në buxhet është e papërdorshme për qëllime të tjera përve</w:t>
                            </w:r>
                            <w:r>
                              <w:rPr>
                                <w:noProof/>
                                <w:sz w:val="20"/>
                                <w:lang w:val="sq-AL"/>
                              </w:rPr>
                              <w:t>ç</w:t>
                            </w:r>
                            <w:r w:rsidRPr="00EC094B">
                              <w:rPr>
                                <w:noProof/>
                                <w:sz w:val="20"/>
                                <w:lang w:val="sq-AL"/>
                              </w:rPr>
                              <w:t xml:space="preserve"> pagesës së interesave nëse këto të fundit për të gjithë vitin në tërësi rezultojnë më tepër se sa alokimet respektive në buxhet.  </w:t>
                            </w:r>
                          </w:p>
                          <w:p w:rsidR="008676DB" w:rsidRPr="00EC094B" w:rsidRDefault="008676DB" w:rsidP="00B0121D">
                            <w:pPr>
                              <w:jc w:val="both"/>
                              <w:rPr>
                                <w:noProof/>
                                <w:sz w:val="20"/>
                                <w:lang w:val="sq-AL"/>
                              </w:rPr>
                            </w:pPr>
                          </w:p>
                          <w:p w:rsidR="008676DB" w:rsidRPr="00EC094B" w:rsidRDefault="008676DB" w:rsidP="00534AA6">
                            <w:pPr>
                              <w:numPr>
                                <w:ilvl w:val="0"/>
                                <w:numId w:val="8"/>
                              </w:numPr>
                              <w:jc w:val="both"/>
                              <w:rPr>
                                <w:i/>
                                <w:noProof/>
                                <w:sz w:val="20"/>
                                <w:lang w:val="sq-AL"/>
                              </w:rPr>
                            </w:pPr>
                            <w:r w:rsidRPr="00EC094B">
                              <w:rPr>
                                <w:i/>
                                <w:noProof/>
                                <w:sz w:val="20"/>
                                <w:lang w:val="sq-AL"/>
                              </w:rPr>
                              <w:t>Të ardhurat nga privatizimi nuk janë pjesë e procesit të programimit buxhetor. Në rastet e arkëtimit ato përdoren, jo më pak se 50 për qind, për uljen e borxhit publik dhe pjesa tjetër për investime publike. Pas arritjes së nivelit të borxhit publik, sipas përcaktimeve të shkronjës “a”, të pikës 1, të këtij neni, përdorimi i të ardhurave të arkëtuara nga privatizimet përcaktohet në ligjin vjetor të buxhetit.</w:t>
                            </w:r>
                          </w:p>
                          <w:p w:rsidR="008676DB" w:rsidRPr="00EC094B" w:rsidRDefault="008676DB" w:rsidP="00B0121D">
                            <w:pPr>
                              <w:jc w:val="both"/>
                              <w:rPr>
                                <w:i/>
                                <w:noProof/>
                                <w:sz w:val="20"/>
                                <w:lang w:val="sq-AL"/>
                              </w:rPr>
                            </w:pPr>
                          </w:p>
                          <w:p w:rsidR="008676DB" w:rsidRDefault="008676DB" w:rsidP="00B0121D">
                            <w:pPr>
                              <w:jc w:val="both"/>
                              <w:rPr>
                                <w:noProof/>
                                <w:sz w:val="20"/>
                                <w:lang w:val="sq-AL"/>
                              </w:rPr>
                            </w:pPr>
                            <w:r w:rsidRPr="00653DFF">
                              <w:rPr>
                                <w:noProof/>
                                <w:sz w:val="20"/>
                                <w:lang w:val="sq-AL"/>
                              </w:rPr>
                              <w:t>Në përputhje me këtë dispozitë (rregull fiskal) të LOB, ligji vjetor i buxhetit 2017 nuk përfshin të hyra nga privatizimet e mundshme.</w:t>
                            </w:r>
                          </w:p>
                          <w:p w:rsidR="008676DB" w:rsidRPr="00EC094B" w:rsidRDefault="008676DB" w:rsidP="00B0121D">
                            <w:pPr>
                              <w:jc w:val="both"/>
                              <w:rPr>
                                <w:noProof/>
                                <w:sz w:val="20"/>
                                <w:lang w:val="sq-AL"/>
                              </w:rPr>
                            </w:pPr>
                          </w:p>
                          <w:p w:rsidR="008676DB" w:rsidRPr="00EC094B" w:rsidRDefault="008676DB" w:rsidP="00534AA6">
                            <w:pPr>
                              <w:numPr>
                                <w:ilvl w:val="0"/>
                                <w:numId w:val="8"/>
                              </w:numPr>
                              <w:jc w:val="both"/>
                              <w:rPr>
                                <w:i/>
                                <w:noProof/>
                                <w:sz w:val="20"/>
                                <w:lang w:val="sq-AL"/>
                              </w:rPr>
                            </w:pPr>
                            <w:r w:rsidRPr="00EC094B">
                              <w:rPr>
                                <w:i/>
                                <w:noProof/>
                                <w:sz w:val="20"/>
                                <w:lang w:val="sq-AL"/>
                              </w:rPr>
                              <w:t>Masa e deficitit buxhetor nuk mund të tejkalojë masën e shpenzimeve kapitale të parashikuara çdo vit në ligjin e buxhetit.</w:t>
                            </w:r>
                          </w:p>
                          <w:p w:rsidR="008676DB" w:rsidRPr="00EC094B" w:rsidRDefault="008676DB" w:rsidP="00B0121D">
                            <w:pPr>
                              <w:ind w:left="360"/>
                              <w:jc w:val="both"/>
                              <w:rPr>
                                <w:noProof/>
                                <w:sz w:val="20"/>
                                <w:lang w:val="sq-AL"/>
                              </w:rPr>
                            </w:pPr>
                          </w:p>
                          <w:p w:rsidR="008676DB" w:rsidRPr="00EC094B" w:rsidRDefault="008676DB" w:rsidP="00B0121D">
                            <w:pPr>
                              <w:ind w:left="360"/>
                              <w:jc w:val="both"/>
                              <w:rPr>
                                <w:noProof/>
                                <w:sz w:val="20"/>
                                <w:lang w:val="sq-AL"/>
                              </w:rPr>
                            </w:pPr>
                            <w:r w:rsidRPr="00EC094B">
                              <w:rPr>
                                <w:noProof/>
                                <w:sz w:val="20"/>
                                <w:lang w:val="sq-AL"/>
                              </w:rPr>
                              <w:t>Në përputhje me këtë dispozitë (rregull</w:t>
                            </w:r>
                            <w:r>
                              <w:rPr>
                                <w:noProof/>
                                <w:sz w:val="20"/>
                                <w:lang w:val="sq-AL"/>
                              </w:rPr>
                              <w:t xml:space="preserve"> </w:t>
                            </w:r>
                            <w:r w:rsidRPr="00EC094B">
                              <w:rPr>
                                <w:noProof/>
                                <w:sz w:val="20"/>
                                <w:lang w:val="sq-AL"/>
                              </w:rPr>
                              <w:t>fiskal</w:t>
                            </w:r>
                            <w:r>
                              <w:rPr>
                                <w:noProof/>
                                <w:sz w:val="20"/>
                                <w:lang w:val="sq-AL"/>
                              </w:rPr>
                              <w:t xml:space="preserve"> – “rregulli i artë”</w:t>
                            </w:r>
                            <w:r w:rsidRPr="00EC094B">
                              <w:rPr>
                                <w:noProof/>
                                <w:sz w:val="20"/>
                                <w:lang w:val="sq-AL"/>
                              </w:rPr>
                              <w:t>) të LOB deficiti i targetuar në këtë ligj vjetor të buxhetit 2017 është 36% më e ulët se sa shpenzimet kapitale të planifikuara direkt për qeverisjen q</w:t>
                            </w:r>
                            <w:r>
                              <w:rPr>
                                <w:noProof/>
                                <w:sz w:val="20"/>
                                <w:lang w:val="sq-AL"/>
                              </w:rPr>
                              <w:t>e</w:t>
                            </w:r>
                            <w:r w:rsidRPr="00EC094B">
                              <w:rPr>
                                <w:noProof/>
                                <w:sz w:val="20"/>
                                <w:lang w:val="sq-AL"/>
                              </w:rPr>
                              <w:t>ndrore ose rreth 46% më e ulët se sa shpenzimet kapitale të financuara nga qeverisja q</w:t>
                            </w:r>
                            <w:r>
                              <w:rPr>
                                <w:noProof/>
                                <w:sz w:val="20"/>
                                <w:lang w:val="sq-AL"/>
                              </w:rPr>
                              <w:t>e</w:t>
                            </w:r>
                            <w:r w:rsidRPr="00EC094B">
                              <w:rPr>
                                <w:noProof/>
                                <w:sz w:val="20"/>
                                <w:lang w:val="sq-AL"/>
                              </w:rPr>
                              <w:t>ndrore</w:t>
                            </w:r>
                            <w:r>
                              <w:rPr>
                                <w:noProof/>
                                <w:sz w:val="20"/>
                                <w:lang w:val="sq-AL"/>
                              </w:rPr>
                              <w:t>,</w:t>
                            </w:r>
                            <w:r w:rsidRPr="00EC094B">
                              <w:rPr>
                                <w:noProof/>
                                <w:sz w:val="20"/>
                                <w:lang w:val="sq-AL"/>
                              </w:rPr>
                              <w:t xml:space="preserve"> por të alokuara edhe për FZHR</w:t>
                            </w:r>
                            <w:r>
                              <w:rPr>
                                <w:noProof/>
                                <w:sz w:val="20"/>
                                <w:lang w:val="sq-AL"/>
                              </w:rPr>
                              <w:t xml:space="preserve">, </w:t>
                            </w:r>
                            <w:r w:rsidRPr="00EC094B">
                              <w:rPr>
                                <w:noProof/>
                                <w:sz w:val="20"/>
                                <w:lang w:val="sq-AL"/>
                              </w:rPr>
                              <w:t>si dhe për sektorin e energjisë në formë kredie direkte për investime drejt këtij sektori.</w:t>
                            </w:r>
                            <w:r>
                              <w:rPr>
                                <w:noProof/>
                                <w:sz w:val="20"/>
                                <w:lang w:val="sq-AL"/>
                              </w:rPr>
                              <w:t xml:space="preserve"> Rrjedhimisht, balanca korente e tarteguar është pozitive në nivelin prej rreth 2.9% të PBB, duke shënuar gjithashtu një ndër vlerat më të larta të këtij parametri të rëndësishëm në 25 vite.</w:t>
                            </w:r>
                          </w:p>
                          <w:p w:rsidR="008676DB" w:rsidRPr="00AB477F" w:rsidRDefault="008676DB" w:rsidP="00B0121D">
                            <w:pPr>
                              <w:rPr>
                                <w:lang w:val="sq-AL"/>
                              </w:rPr>
                            </w:pPr>
                            <w:r w:rsidRPr="00AB477F">
                              <w:rPr>
                                <w:lang w:val="sq-AL"/>
                              </w:rPr>
                              <w:t>__________</w:t>
                            </w:r>
                          </w:p>
                          <w:p w:rsidR="008676DB" w:rsidRPr="00145E5F" w:rsidRDefault="008676DB" w:rsidP="00B0121D">
                            <w:pPr>
                              <w:rPr>
                                <w:i/>
                                <w:iCs/>
                                <w:sz w:val="20"/>
                                <w:lang w:val="sq-AL"/>
                              </w:rPr>
                            </w:pPr>
                            <w:r w:rsidRPr="00AB477F">
                              <w:rPr>
                                <w:i/>
                                <w:iCs/>
                                <w:sz w:val="20"/>
                                <w:lang w:val="sq-AL"/>
                              </w:rPr>
                              <w:t xml:space="preserve">1  </w:t>
                            </w:r>
                            <w:r w:rsidRPr="00145E5F">
                              <w:rPr>
                                <w:i/>
                                <w:iCs/>
                                <w:sz w:val="20"/>
                                <w:lang w:val="sq-AL"/>
                              </w:rPr>
                              <w:t>Në vlerë nominale stoku i borxhit total i pritur (vlerësuar) për vitin 2016 është 1,074.3 miliardë lekë, ndërsa ai i targetuar për vitin 2017 është 1,118.7 miliardë lekë. Ndërsa projeksionet (parashikimet)  e PBB nominale janë respektivisht 1,501.9 miliardë lekë për vitin 2016 dhe 1,596.4 miliardë lekë për vitin 2017.</w:t>
                            </w:r>
                          </w:p>
                          <w:p w:rsidR="008676DB" w:rsidRPr="00145E5F" w:rsidRDefault="008676DB" w:rsidP="00B0121D">
                            <w:pPr>
                              <w:rPr>
                                <w:i/>
                                <w:iCs/>
                                <w:sz w:val="20"/>
                                <w:lang w:val="sq-AL"/>
                              </w:rPr>
                            </w:pPr>
                            <w:r w:rsidRPr="006B4385">
                              <w:rPr>
                                <w:i/>
                                <w:iCs/>
                                <w:lang w:val="sq-AL"/>
                              </w:rPr>
                              <w:t>2</w:t>
                            </w:r>
                            <w:r>
                              <w:rPr>
                                <w:i/>
                                <w:iCs/>
                                <w:lang w:val="sq-AL"/>
                              </w:rPr>
                              <w:t>.</w:t>
                            </w:r>
                            <w:r w:rsidRPr="006B4385">
                              <w:rPr>
                                <w:i/>
                                <w:iCs/>
                                <w:lang w:val="sq-AL"/>
                              </w:rPr>
                              <w:t xml:space="preserve"> </w:t>
                            </w:r>
                            <w:r w:rsidRPr="00145E5F">
                              <w:rPr>
                                <w:i/>
                                <w:iCs/>
                                <w:sz w:val="20"/>
                                <w:lang w:val="sq-AL"/>
                              </w:rPr>
                              <w:t>Linku për aksesimin e raportit WEO – Tetor 2016: http://www.imf.org/external/pubs/ft/seo/2016/02/weodata/index.aspx</w:t>
                            </w:r>
                          </w:p>
                          <w:p w:rsidR="008676DB" w:rsidRPr="00AB477F" w:rsidRDefault="008676DB" w:rsidP="00B0121D">
                            <w:pPr>
                              <w:rPr>
                                <w:lang w:val="it-I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0F7A5F" id="_x0000_t202" coordsize="21600,21600" o:spt="202" path="m,l,21600r21600,l21600,xe">
                <v:stroke joinstyle="miter"/>
                <v:path gradientshapeok="t" o:connecttype="rect"/>
              </v:shapetype>
              <v:shape id="Text Box 47" o:spid="_x0000_s1026" type="#_x0000_t202" style="position:absolute;left:0;text-align:left;margin-left:-14.95pt;margin-top:.05pt;width:540.05pt;height:723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6rmLgIAAFMEAAAOAAAAZHJzL2Uyb0RvYy54bWysVNtu2zAMfR+wfxD0vviyJE2NOEWXLsOA&#10;7gK0+wBZlm1hsqhJSuzs60vJaRZ028uwBBBEiTokzyG9vhl7RQ7COgm6pNkspURoDrXUbUm/Pe7e&#10;rChxnumaKdCipEfh6M3m9av1YAqRQweqFpYgiHbFYEraeW+KJHG8Ez1zMzBC42UDtmceTdsmtWUD&#10;ovcqydN0mQxga2OBC+fw9G66pJuI3zSC+y9N44QnqqSYm4+rjWsV1mSzZkVrmekkP6XB/iGLnkmN&#10;Qc9Qd8wzsrfyN6hecgsOGj/j0CfQNJKLWANWk6UvqnnomBGxFiTHmTNN7v/B8s+Hr5bIuqTzK0o0&#10;61GjRzF68g5GgkfIz2BcgW4PBh39iOeoc6zVmXvg3x3RsO2YbsWttTB0gtWYXxZeJhdPJxwXQKrh&#10;E9QYh+09RKCxsX0gD+kgiI46Hc/ahFw4Hi5Xi9Xy7YISjnfX2SrP0qheworn58Y6/0FAT8KmpBbF&#10;j/DscO98SIcVzy4hmgMl651UKhq2rbbKkgPDRtnl4R8reOGmNBkw/CJfTAz8FSKNvz9B9NJjxyvZ&#10;l3R1dmJF4O29rmM/eibVtMeUlT4RGbibWPRjNZ6EqaA+IqUWps7GScRNB/YnJQN2dUndjz2zghL1&#10;UaMs19l8HsYgGvPFVY6GvbypLm+Y5ghVUk/JtN36aXT2xsq2w0hTI2i4RSkbGUkOmk9ZnfLGzo3c&#10;n6YsjMalHb1+fQs2TwAAAP//AwBQSwMEFAAGAAgAAAAhANGH0GLeAAAACgEAAA8AAABkcnMvZG93&#10;bnJldi54bWxMj0FPwzAMhe9I/IfISFzQlqwqhZWmEwJNHGEbu2etaSsaJ2rSrfx73BPcbL3n5+8V&#10;m8n24oxD6BxpWC0VCKTK1R01Gj4P28UjiBAN1aZ3hBp+MMCmvL4qTF67C+3wvI+N4BAKudHQxuhz&#10;KUPVojVh6TwSa19usCbyOjSyHsyFw20vE6UyaU1H/KE1Hl9arL73o2WMw9EnUqXx4e3u4/V9Nx39&#10;mG21vr2Znp9ARJzinxlmfL6BkplObqQ6iF7DIlmv2ToLYpbVvUpAnHhK02wFsizk/wrlLwAAAP//&#10;AwBQSwECLQAUAAYACAAAACEAtoM4kv4AAADhAQAAEwAAAAAAAAAAAAAAAAAAAAAAW0NvbnRlbnRf&#10;VHlwZXNdLnhtbFBLAQItABQABgAIAAAAIQA4/SH/1gAAAJQBAAALAAAAAAAAAAAAAAAAAC8BAABf&#10;cmVscy8ucmVsc1BLAQItABQABgAIAAAAIQDGL6rmLgIAAFMEAAAOAAAAAAAAAAAAAAAAAC4CAABk&#10;cnMvZTJvRG9jLnhtbFBLAQItABQABgAIAAAAIQDRh9Bi3gAAAAoBAAAPAAAAAAAAAAAAAAAAAIgE&#10;AABkcnMvZG93bnJldi54bWxQSwUGAAAAAAQABADzAAAAkwUAAAAA&#10;" fillcolor="#f2f2f2">
                <v:textbox>
                  <w:txbxContent>
                    <w:p w:rsidR="008676DB" w:rsidRDefault="008676DB" w:rsidP="00B0121D">
                      <w:pPr>
                        <w:jc w:val="both"/>
                        <w:rPr>
                          <w:noProof/>
                          <w:sz w:val="20"/>
                          <w:lang w:val="sq-AL"/>
                        </w:rPr>
                      </w:pPr>
                    </w:p>
                    <w:p w:rsidR="008676DB" w:rsidRPr="00AB477F" w:rsidRDefault="008676DB" w:rsidP="00B0121D">
                      <w:pPr>
                        <w:jc w:val="center"/>
                        <w:rPr>
                          <w:b/>
                          <w:iCs/>
                          <w:noProof/>
                          <w:lang w:val="sq-AL"/>
                        </w:rPr>
                      </w:pPr>
                      <w:r w:rsidRPr="00AB477F">
                        <w:rPr>
                          <w:rFonts w:ascii="Cambria" w:eastAsia="Times New Roman" w:hAnsi="Cambria"/>
                          <w:b/>
                          <w:iCs/>
                          <w:szCs w:val="20"/>
                          <w:lang w:val="sq-AL"/>
                        </w:rPr>
                        <w:t>PARIMET DHE RREGULLAT FISKALË</w:t>
                      </w:r>
                    </w:p>
                    <w:p w:rsidR="008676DB" w:rsidRDefault="008676DB" w:rsidP="00B0121D">
                      <w:pPr>
                        <w:jc w:val="both"/>
                        <w:rPr>
                          <w:noProof/>
                          <w:sz w:val="20"/>
                          <w:lang w:val="sq-AL"/>
                        </w:rPr>
                      </w:pPr>
                    </w:p>
                    <w:p w:rsidR="008676DB" w:rsidRPr="00EC094B" w:rsidRDefault="008676DB" w:rsidP="00B0121D">
                      <w:pPr>
                        <w:jc w:val="both"/>
                        <w:rPr>
                          <w:noProof/>
                          <w:sz w:val="20"/>
                          <w:lang w:val="sq-AL"/>
                        </w:rPr>
                      </w:pPr>
                      <w:r w:rsidRPr="00EC094B">
                        <w:rPr>
                          <w:noProof/>
                          <w:sz w:val="20"/>
                          <w:lang w:val="sq-AL"/>
                        </w:rPr>
                        <w:t xml:space="preserve">Në përputhje të plotë me obligimet që rrjedhin prej Ligjit Organik të Buxhetit nr 57/2016, ligji i buxhetit për vitin 2017, materializon parimet dhe rregullat fiskalë </w:t>
                      </w:r>
                      <w:r>
                        <w:rPr>
                          <w:noProof/>
                          <w:sz w:val="20"/>
                          <w:lang w:val="sq-AL"/>
                        </w:rPr>
                        <w:t>të</w:t>
                      </w:r>
                      <w:r w:rsidRPr="00EC094B">
                        <w:rPr>
                          <w:noProof/>
                          <w:sz w:val="20"/>
                          <w:lang w:val="sq-AL"/>
                        </w:rPr>
                        <w:t xml:space="preserve"> mëposhtëm:</w:t>
                      </w:r>
                    </w:p>
                    <w:p w:rsidR="008676DB" w:rsidRPr="00EC094B" w:rsidRDefault="008676DB" w:rsidP="00B0121D">
                      <w:pPr>
                        <w:jc w:val="both"/>
                        <w:rPr>
                          <w:noProof/>
                          <w:sz w:val="20"/>
                          <w:lang w:val="sq-AL"/>
                        </w:rPr>
                      </w:pPr>
                    </w:p>
                    <w:p w:rsidR="008676DB" w:rsidRPr="00EC094B" w:rsidRDefault="008676DB" w:rsidP="00534AA6">
                      <w:pPr>
                        <w:numPr>
                          <w:ilvl w:val="0"/>
                          <w:numId w:val="8"/>
                        </w:numPr>
                        <w:jc w:val="both"/>
                        <w:rPr>
                          <w:i/>
                          <w:noProof/>
                          <w:sz w:val="20"/>
                          <w:lang w:val="sq-AL"/>
                        </w:rPr>
                      </w:pPr>
                      <w:r w:rsidRPr="00EC094B">
                        <w:rPr>
                          <w:i/>
                          <w:noProof/>
                          <w:sz w:val="20"/>
                          <w:lang w:val="sq-AL"/>
                        </w:rPr>
                        <w:t>Në çdo ligj vjetor të buxhetit, fillestar apo të rishikuar, si dhe në planifikimet e buxhetit afatmesëm, raporti i borxhit publik ndaj Produktit të Brendshëm Bruto do të planifikohet më i ulët se niveli i vlerësuar për vitin pararendës, deri atëherë kur niveli i borxhit të arrijë dhe qëndrojë poshtë nivelit 45 për qind të Produktit të Brendshëm Bruto;</w:t>
                      </w:r>
                    </w:p>
                    <w:p w:rsidR="008676DB" w:rsidRPr="00EC094B" w:rsidRDefault="008676DB" w:rsidP="00B0121D">
                      <w:pPr>
                        <w:jc w:val="both"/>
                        <w:rPr>
                          <w:noProof/>
                          <w:sz w:val="20"/>
                          <w:lang w:val="sq-AL"/>
                        </w:rPr>
                      </w:pPr>
                    </w:p>
                    <w:p w:rsidR="008676DB" w:rsidRPr="00EC094B" w:rsidRDefault="008676DB" w:rsidP="00B0121D">
                      <w:pPr>
                        <w:jc w:val="both"/>
                        <w:rPr>
                          <w:noProof/>
                          <w:sz w:val="20"/>
                          <w:lang w:val="sq-AL"/>
                        </w:rPr>
                      </w:pPr>
                      <w:r w:rsidRPr="00EC094B">
                        <w:rPr>
                          <w:noProof/>
                          <w:sz w:val="20"/>
                          <w:lang w:val="sq-AL"/>
                        </w:rPr>
                        <w:t>Në përputhje me këtë dispozitë (rregull fiskal) të LOB, ligji vjetor i buxhetit 2017 targeton një niv</w:t>
                      </w:r>
                      <w:r>
                        <w:rPr>
                          <w:noProof/>
                          <w:sz w:val="20"/>
                          <w:lang w:val="sq-AL"/>
                        </w:rPr>
                        <w:t>el të borxhit publik total në 69.1</w:t>
                      </w:r>
                      <w:r w:rsidRPr="00EC094B">
                        <w:rPr>
                          <w:noProof/>
                          <w:sz w:val="20"/>
                          <w:lang w:val="sq-AL"/>
                        </w:rPr>
                        <w:t>% të PBB nga niveli prej 71.</w:t>
                      </w:r>
                      <w:r>
                        <w:rPr>
                          <w:noProof/>
                          <w:sz w:val="20"/>
                          <w:lang w:val="sq-AL"/>
                        </w:rPr>
                        <w:t>8</w:t>
                      </w:r>
                      <w:r w:rsidRPr="00EC094B">
                        <w:rPr>
                          <w:noProof/>
                          <w:sz w:val="20"/>
                          <w:lang w:val="sq-AL"/>
                        </w:rPr>
                        <w:t xml:space="preserve">% e PBB i </w:t>
                      </w:r>
                      <w:r>
                        <w:rPr>
                          <w:noProof/>
                          <w:sz w:val="20"/>
                          <w:lang w:val="sq-AL"/>
                        </w:rPr>
                        <w:t xml:space="preserve">targetuar </w:t>
                      </w:r>
                      <w:r w:rsidRPr="00EC094B">
                        <w:rPr>
                          <w:noProof/>
                          <w:sz w:val="20"/>
                          <w:lang w:val="sq-AL"/>
                        </w:rPr>
                        <w:t>për vitin 2016.</w:t>
                      </w:r>
                    </w:p>
                    <w:p w:rsidR="008676DB" w:rsidRPr="00EC094B" w:rsidRDefault="008676DB" w:rsidP="00B0121D">
                      <w:pPr>
                        <w:ind w:left="360"/>
                        <w:jc w:val="both"/>
                        <w:rPr>
                          <w:noProof/>
                          <w:sz w:val="20"/>
                          <w:lang w:val="sq-AL"/>
                        </w:rPr>
                      </w:pPr>
                    </w:p>
                    <w:p w:rsidR="008676DB" w:rsidRPr="00EC094B" w:rsidRDefault="008676DB" w:rsidP="00534AA6">
                      <w:pPr>
                        <w:numPr>
                          <w:ilvl w:val="0"/>
                          <w:numId w:val="8"/>
                        </w:numPr>
                        <w:jc w:val="both"/>
                        <w:rPr>
                          <w:i/>
                          <w:noProof/>
                          <w:sz w:val="20"/>
                          <w:lang w:val="sq-AL"/>
                        </w:rPr>
                      </w:pPr>
                      <w:r w:rsidRPr="00EC094B">
                        <w:rPr>
                          <w:i/>
                          <w:noProof/>
                          <w:sz w:val="20"/>
                          <w:lang w:val="sq-AL"/>
                        </w:rPr>
                        <w:t>Vlera e Produktit të Brendshëm Bruto, nominale në lekë, e cila do të përdoret për llogaritjen e raportit të borxhit publik ndaj Produktit të Brendshëm Bruto për vitet buxhetore që planifikohen dhe për vitin pararendës, nuk mund të jetë më e lartë se vlera respektive e parashikuar ose vlerësuar në raportin “Perspektiva ekonomike botërore” (</w:t>
                      </w:r>
                      <w:r>
                        <w:rPr>
                          <w:i/>
                          <w:noProof/>
                          <w:sz w:val="20"/>
                          <w:lang w:val="sq-AL"/>
                        </w:rPr>
                        <w:t>W</w:t>
                      </w:r>
                      <w:r w:rsidRPr="00EC094B">
                        <w:rPr>
                          <w:i/>
                          <w:noProof/>
                          <w:sz w:val="20"/>
                          <w:lang w:val="sq-AL"/>
                        </w:rPr>
                        <w:t xml:space="preserve">orld Economic Outlook), të Fondit Monetar Ndërkombëtar, më i fundit i publikuar në kohën kur ligji vjetor i buxhetit dorëzohet për miratim në Kuvend. Kjo dokumentohet qartësisht në relacionin shoqërues të ligjit vjetor të buxhetit; </w:t>
                      </w:r>
                    </w:p>
                    <w:p w:rsidR="008676DB" w:rsidRPr="00EC094B" w:rsidRDefault="008676DB" w:rsidP="00B0121D">
                      <w:pPr>
                        <w:ind w:left="360"/>
                        <w:jc w:val="both"/>
                        <w:rPr>
                          <w:noProof/>
                          <w:sz w:val="20"/>
                          <w:lang w:val="sq-AL"/>
                        </w:rPr>
                      </w:pPr>
                    </w:p>
                    <w:p w:rsidR="008676DB" w:rsidRPr="00EC094B" w:rsidRDefault="008676DB" w:rsidP="00B0121D">
                      <w:pPr>
                        <w:jc w:val="both"/>
                        <w:rPr>
                          <w:noProof/>
                          <w:sz w:val="20"/>
                          <w:lang w:val="sq-AL"/>
                        </w:rPr>
                      </w:pPr>
                      <w:r w:rsidRPr="00EC094B">
                        <w:rPr>
                          <w:noProof/>
                          <w:sz w:val="20"/>
                          <w:lang w:val="sq-AL"/>
                        </w:rPr>
                        <w:t>Në përputhje me këtë dispozitë (rregull fiskal)  të LOB, ligji vjetor i buxhetit 2017 bazohet në projeksio</w:t>
                      </w:r>
                      <w:r>
                        <w:rPr>
                          <w:noProof/>
                          <w:sz w:val="20"/>
                          <w:lang w:val="sq-AL"/>
                        </w:rPr>
                        <w:t>n</w:t>
                      </w:r>
                      <w:r w:rsidRPr="00EC094B">
                        <w:rPr>
                          <w:noProof/>
                          <w:sz w:val="20"/>
                          <w:lang w:val="sq-AL"/>
                        </w:rPr>
                        <w:t>et e mëposhtme të PBB nominale, të cilat paraqiten në mënyrë krahasimore kundrejt projeksioneve të raportit “Perspektiva ekonomike botërore” (</w:t>
                      </w:r>
                      <w:r>
                        <w:rPr>
                          <w:noProof/>
                          <w:sz w:val="20"/>
                          <w:lang w:val="sq-AL"/>
                        </w:rPr>
                        <w:t>W</w:t>
                      </w:r>
                      <w:r w:rsidRPr="00EC094B">
                        <w:rPr>
                          <w:noProof/>
                          <w:sz w:val="20"/>
                          <w:lang w:val="sq-AL"/>
                        </w:rPr>
                        <w:t>orld Economic Outlook), të Fondit Monetar Ndërkombëtar, më i fundit i publikuar më 4 Tetor 2016</w:t>
                      </w:r>
                      <w:r>
                        <w:rPr>
                          <w:rStyle w:val="FootnoteReference"/>
                          <w:noProof/>
                          <w:sz w:val="20"/>
                          <w:lang w:val="sq-AL"/>
                        </w:rPr>
                        <w:t>2</w:t>
                      </w:r>
                      <w:r w:rsidRPr="00EC094B">
                        <w:rPr>
                          <w:noProof/>
                          <w:sz w:val="20"/>
                          <w:lang w:val="sq-AL"/>
                        </w:rPr>
                        <w:t xml:space="preserve">: </w:t>
                      </w:r>
                    </w:p>
                    <w:p w:rsidR="008676DB" w:rsidRPr="00EC094B" w:rsidRDefault="008676DB" w:rsidP="00B0121D">
                      <w:pPr>
                        <w:ind w:left="360"/>
                        <w:jc w:val="both"/>
                        <w:rPr>
                          <w:noProof/>
                          <w:sz w:val="20"/>
                          <w:lang w:val="sq-AL"/>
                        </w:rPr>
                      </w:pPr>
                    </w:p>
                    <w:p w:rsidR="008676DB" w:rsidRPr="00EC094B" w:rsidRDefault="008676DB" w:rsidP="00B0121D">
                      <w:pPr>
                        <w:jc w:val="both"/>
                        <w:rPr>
                          <w:noProof/>
                          <w:sz w:val="20"/>
                          <w:lang w:val="sq-AL"/>
                        </w:rPr>
                      </w:pPr>
                      <w:r w:rsidRPr="00EC094B">
                        <w:rPr>
                          <w:noProof/>
                          <w:sz w:val="20"/>
                          <w:lang w:val="sq-AL"/>
                        </w:rPr>
                        <w:t xml:space="preserve">     Parashikimet e PBB nominale të FMN dhe Ministrisë së Financave </w:t>
                      </w:r>
                    </w:p>
                    <w:tbl>
                      <w:tblPr>
                        <w:tblW w:w="9323" w:type="dxa"/>
                        <w:tblBorders>
                          <w:top w:val="single" w:sz="12" w:space="0" w:color="000000"/>
                          <w:bottom w:val="single" w:sz="12" w:space="0" w:color="000000"/>
                        </w:tblBorders>
                        <w:tblLook w:val="04A0" w:firstRow="1" w:lastRow="0" w:firstColumn="1" w:lastColumn="0" w:noHBand="0" w:noVBand="1"/>
                      </w:tblPr>
                      <w:tblGrid>
                        <w:gridCol w:w="3248"/>
                        <w:gridCol w:w="1030"/>
                        <w:gridCol w:w="1009"/>
                        <w:gridCol w:w="1009"/>
                        <w:gridCol w:w="1009"/>
                        <w:gridCol w:w="1009"/>
                        <w:gridCol w:w="1009"/>
                      </w:tblGrid>
                      <w:tr w:rsidR="008676DB" w:rsidRPr="00EC094B" w:rsidTr="00653DFF">
                        <w:trPr>
                          <w:trHeight w:val="319"/>
                        </w:trPr>
                        <w:tc>
                          <w:tcPr>
                            <w:tcW w:w="3248" w:type="dxa"/>
                            <w:tcBorders>
                              <w:bottom w:val="single" w:sz="6" w:space="0" w:color="000000"/>
                              <w:right w:val="single" w:sz="6" w:space="0" w:color="000000"/>
                            </w:tcBorders>
                            <w:shd w:val="clear" w:color="auto" w:fill="auto"/>
                            <w:noWrap/>
                            <w:hideMark/>
                          </w:tcPr>
                          <w:p w:rsidR="008676DB" w:rsidRPr="008049F1" w:rsidRDefault="008676DB" w:rsidP="00AD09A8">
                            <w:pPr>
                              <w:rPr>
                                <w:rFonts w:ascii="Calibri" w:eastAsia="Times New Roman" w:hAnsi="Calibri"/>
                                <w:b/>
                                <w:bCs/>
                                <w:i/>
                                <w:iCs/>
                                <w:noProof/>
                                <w:sz w:val="18"/>
                                <w:szCs w:val="22"/>
                                <w:lang w:val="sq-AL"/>
                              </w:rPr>
                            </w:pPr>
                            <w:r w:rsidRPr="008049F1">
                              <w:rPr>
                                <w:rFonts w:ascii="Calibri" w:eastAsia="Times New Roman" w:hAnsi="Calibri"/>
                                <w:b/>
                                <w:bCs/>
                                <w:i/>
                                <w:iCs/>
                                <w:noProof/>
                                <w:sz w:val="18"/>
                                <w:szCs w:val="22"/>
                                <w:lang w:val="sq-AL"/>
                              </w:rPr>
                              <w:t>në miliard lekë</w:t>
                            </w:r>
                          </w:p>
                        </w:tc>
                        <w:tc>
                          <w:tcPr>
                            <w:tcW w:w="1030" w:type="dxa"/>
                            <w:tcBorders>
                              <w:bottom w:val="single" w:sz="6" w:space="0" w:color="000000"/>
                            </w:tcBorders>
                            <w:shd w:val="clear" w:color="auto" w:fill="auto"/>
                            <w:noWrap/>
                            <w:hideMark/>
                          </w:tcPr>
                          <w:p w:rsidR="008676DB" w:rsidRPr="008049F1" w:rsidRDefault="008676DB" w:rsidP="00AD09A8">
                            <w:pPr>
                              <w:jc w:val="center"/>
                              <w:rPr>
                                <w:rFonts w:ascii="Calibri" w:eastAsia="Times New Roman" w:hAnsi="Calibri"/>
                                <w:b/>
                                <w:bCs/>
                                <w:i/>
                                <w:iCs/>
                                <w:noProof/>
                                <w:sz w:val="18"/>
                                <w:szCs w:val="22"/>
                                <w:lang w:val="sq-AL"/>
                              </w:rPr>
                            </w:pPr>
                            <w:r w:rsidRPr="008049F1">
                              <w:rPr>
                                <w:rFonts w:ascii="Calibri" w:eastAsia="Times New Roman" w:hAnsi="Calibri"/>
                                <w:b/>
                                <w:bCs/>
                                <w:i/>
                                <w:iCs/>
                                <w:noProof/>
                                <w:sz w:val="18"/>
                                <w:szCs w:val="22"/>
                                <w:lang w:val="sq-AL"/>
                              </w:rPr>
                              <w:t>2014</w:t>
                            </w:r>
                          </w:p>
                        </w:tc>
                        <w:tc>
                          <w:tcPr>
                            <w:tcW w:w="1009" w:type="dxa"/>
                            <w:tcBorders>
                              <w:bottom w:val="single" w:sz="6" w:space="0" w:color="000000"/>
                            </w:tcBorders>
                            <w:shd w:val="clear" w:color="auto" w:fill="auto"/>
                            <w:noWrap/>
                            <w:hideMark/>
                          </w:tcPr>
                          <w:p w:rsidR="008676DB" w:rsidRPr="008049F1" w:rsidRDefault="008676DB" w:rsidP="00AD09A8">
                            <w:pPr>
                              <w:jc w:val="center"/>
                              <w:rPr>
                                <w:rFonts w:ascii="Calibri" w:eastAsia="Times New Roman" w:hAnsi="Calibri"/>
                                <w:b/>
                                <w:bCs/>
                                <w:i/>
                                <w:iCs/>
                                <w:noProof/>
                                <w:sz w:val="18"/>
                                <w:szCs w:val="22"/>
                                <w:lang w:val="sq-AL"/>
                              </w:rPr>
                            </w:pPr>
                            <w:r w:rsidRPr="008049F1">
                              <w:rPr>
                                <w:rFonts w:ascii="Calibri" w:eastAsia="Times New Roman" w:hAnsi="Calibri"/>
                                <w:b/>
                                <w:bCs/>
                                <w:i/>
                                <w:iCs/>
                                <w:noProof/>
                                <w:sz w:val="18"/>
                                <w:szCs w:val="22"/>
                                <w:lang w:val="sq-AL"/>
                              </w:rPr>
                              <w:t>2015</w:t>
                            </w:r>
                          </w:p>
                        </w:tc>
                        <w:tc>
                          <w:tcPr>
                            <w:tcW w:w="1009" w:type="dxa"/>
                            <w:tcBorders>
                              <w:bottom w:val="single" w:sz="6" w:space="0" w:color="000000"/>
                            </w:tcBorders>
                            <w:shd w:val="clear" w:color="auto" w:fill="auto"/>
                            <w:noWrap/>
                            <w:hideMark/>
                          </w:tcPr>
                          <w:p w:rsidR="008676DB" w:rsidRPr="008049F1" w:rsidRDefault="008676DB" w:rsidP="00AD09A8">
                            <w:pPr>
                              <w:jc w:val="center"/>
                              <w:rPr>
                                <w:rFonts w:ascii="Calibri" w:eastAsia="Times New Roman" w:hAnsi="Calibri"/>
                                <w:b/>
                                <w:bCs/>
                                <w:i/>
                                <w:iCs/>
                                <w:noProof/>
                                <w:sz w:val="18"/>
                                <w:szCs w:val="22"/>
                                <w:lang w:val="sq-AL"/>
                              </w:rPr>
                            </w:pPr>
                            <w:r w:rsidRPr="008049F1">
                              <w:rPr>
                                <w:rFonts w:ascii="Calibri" w:eastAsia="Times New Roman" w:hAnsi="Calibri"/>
                                <w:b/>
                                <w:bCs/>
                                <w:i/>
                                <w:iCs/>
                                <w:noProof/>
                                <w:sz w:val="18"/>
                                <w:szCs w:val="22"/>
                                <w:lang w:val="sq-AL"/>
                              </w:rPr>
                              <w:t>2016</w:t>
                            </w:r>
                            <w:r>
                              <w:rPr>
                                <w:rFonts w:ascii="Calibri" w:eastAsia="Times New Roman" w:hAnsi="Calibri"/>
                                <w:b/>
                                <w:bCs/>
                                <w:i/>
                                <w:iCs/>
                                <w:noProof/>
                                <w:sz w:val="18"/>
                                <w:szCs w:val="22"/>
                                <w:lang w:val="sq-AL"/>
                              </w:rPr>
                              <w:br/>
                              <w:t>Para.</w:t>
                            </w:r>
                          </w:p>
                        </w:tc>
                        <w:tc>
                          <w:tcPr>
                            <w:tcW w:w="1009" w:type="dxa"/>
                            <w:tcBorders>
                              <w:bottom w:val="single" w:sz="6" w:space="0" w:color="000000"/>
                            </w:tcBorders>
                            <w:shd w:val="clear" w:color="auto" w:fill="auto"/>
                            <w:noWrap/>
                            <w:hideMark/>
                          </w:tcPr>
                          <w:p w:rsidR="008676DB" w:rsidRPr="008049F1" w:rsidRDefault="008676DB" w:rsidP="00653DFF">
                            <w:pPr>
                              <w:jc w:val="center"/>
                              <w:rPr>
                                <w:rFonts w:ascii="Calibri" w:eastAsia="Times New Roman" w:hAnsi="Calibri"/>
                                <w:b/>
                                <w:bCs/>
                                <w:i/>
                                <w:iCs/>
                                <w:noProof/>
                                <w:sz w:val="18"/>
                                <w:szCs w:val="22"/>
                                <w:lang w:val="sq-AL"/>
                              </w:rPr>
                            </w:pPr>
                            <w:r w:rsidRPr="008049F1">
                              <w:rPr>
                                <w:rFonts w:ascii="Calibri" w:eastAsia="Times New Roman" w:hAnsi="Calibri"/>
                                <w:b/>
                                <w:bCs/>
                                <w:i/>
                                <w:iCs/>
                                <w:noProof/>
                                <w:sz w:val="18"/>
                                <w:szCs w:val="22"/>
                                <w:lang w:val="sq-AL"/>
                              </w:rPr>
                              <w:t>2017</w:t>
                            </w:r>
                            <w:r>
                              <w:rPr>
                                <w:rFonts w:ascii="Calibri" w:eastAsia="Times New Roman" w:hAnsi="Calibri"/>
                                <w:b/>
                                <w:bCs/>
                                <w:i/>
                                <w:iCs/>
                                <w:noProof/>
                                <w:sz w:val="18"/>
                                <w:szCs w:val="22"/>
                                <w:lang w:val="sq-AL"/>
                              </w:rPr>
                              <w:br/>
                              <w:t>Para.</w:t>
                            </w:r>
                          </w:p>
                        </w:tc>
                        <w:tc>
                          <w:tcPr>
                            <w:tcW w:w="1009" w:type="dxa"/>
                            <w:tcBorders>
                              <w:bottom w:val="single" w:sz="6" w:space="0" w:color="000000"/>
                            </w:tcBorders>
                            <w:shd w:val="clear" w:color="auto" w:fill="auto"/>
                            <w:noWrap/>
                            <w:hideMark/>
                          </w:tcPr>
                          <w:p w:rsidR="008676DB" w:rsidRPr="008049F1" w:rsidRDefault="008676DB" w:rsidP="00AD09A8">
                            <w:pPr>
                              <w:jc w:val="center"/>
                              <w:rPr>
                                <w:rFonts w:ascii="Calibri" w:eastAsia="Times New Roman" w:hAnsi="Calibri"/>
                                <w:b/>
                                <w:bCs/>
                                <w:i/>
                                <w:iCs/>
                                <w:noProof/>
                                <w:sz w:val="18"/>
                                <w:szCs w:val="22"/>
                                <w:lang w:val="sq-AL"/>
                              </w:rPr>
                            </w:pPr>
                            <w:r w:rsidRPr="008049F1">
                              <w:rPr>
                                <w:rFonts w:ascii="Calibri" w:eastAsia="Times New Roman" w:hAnsi="Calibri"/>
                                <w:b/>
                                <w:bCs/>
                                <w:i/>
                                <w:iCs/>
                                <w:noProof/>
                                <w:sz w:val="18"/>
                                <w:szCs w:val="22"/>
                                <w:lang w:val="sq-AL"/>
                              </w:rPr>
                              <w:t>2018</w:t>
                            </w:r>
                            <w:r>
                              <w:rPr>
                                <w:rFonts w:ascii="Calibri" w:eastAsia="Times New Roman" w:hAnsi="Calibri"/>
                                <w:b/>
                                <w:bCs/>
                                <w:i/>
                                <w:iCs/>
                                <w:noProof/>
                                <w:sz w:val="18"/>
                                <w:szCs w:val="22"/>
                                <w:lang w:val="sq-AL"/>
                              </w:rPr>
                              <w:br/>
                              <w:t>Para.</w:t>
                            </w:r>
                          </w:p>
                        </w:tc>
                        <w:tc>
                          <w:tcPr>
                            <w:tcW w:w="1009" w:type="dxa"/>
                            <w:tcBorders>
                              <w:bottom w:val="single" w:sz="6" w:space="0" w:color="000000"/>
                            </w:tcBorders>
                            <w:shd w:val="clear" w:color="auto" w:fill="auto"/>
                            <w:noWrap/>
                            <w:hideMark/>
                          </w:tcPr>
                          <w:p w:rsidR="008676DB" w:rsidRPr="008049F1" w:rsidRDefault="008676DB" w:rsidP="00AD09A8">
                            <w:pPr>
                              <w:jc w:val="center"/>
                              <w:rPr>
                                <w:rFonts w:ascii="Calibri" w:eastAsia="Times New Roman" w:hAnsi="Calibri"/>
                                <w:b/>
                                <w:bCs/>
                                <w:i/>
                                <w:iCs/>
                                <w:noProof/>
                                <w:sz w:val="18"/>
                                <w:szCs w:val="22"/>
                                <w:lang w:val="sq-AL"/>
                              </w:rPr>
                            </w:pPr>
                            <w:r w:rsidRPr="008049F1">
                              <w:rPr>
                                <w:rFonts w:ascii="Calibri" w:eastAsia="Times New Roman" w:hAnsi="Calibri"/>
                                <w:b/>
                                <w:bCs/>
                                <w:i/>
                                <w:iCs/>
                                <w:noProof/>
                                <w:sz w:val="18"/>
                                <w:szCs w:val="22"/>
                                <w:lang w:val="sq-AL"/>
                              </w:rPr>
                              <w:t>2019</w:t>
                            </w:r>
                            <w:r>
                              <w:rPr>
                                <w:rFonts w:ascii="Calibri" w:eastAsia="Times New Roman" w:hAnsi="Calibri"/>
                                <w:b/>
                                <w:bCs/>
                                <w:i/>
                                <w:iCs/>
                                <w:noProof/>
                                <w:sz w:val="18"/>
                                <w:szCs w:val="22"/>
                                <w:lang w:val="sq-AL"/>
                              </w:rPr>
                              <w:br/>
                              <w:t>Para.</w:t>
                            </w:r>
                          </w:p>
                        </w:tc>
                      </w:tr>
                      <w:tr w:rsidR="008676DB" w:rsidRPr="00EC094B" w:rsidTr="00653DFF">
                        <w:trPr>
                          <w:trHeight w:val="319"/>
                        </w:trPr>
                        <w:tc>
                          <w:tcPr>
                            <w:tcW w:w="3248" w:type="dxa"/>
                            <w:tcBorders>
                              <w:right w:val="single" w:sz="6" w:space="0" w:color="000000"/>
                            </w:tcBorders>
                            <w:shd w:val="clear" w:color="auto" w:fill="auto"/>
                            <w:noWrap/>
                            <w:hideMark/>
                          </w:tcPr>
                          <w:p w:rsidR="008676DB" w:rsidRPr="008049F1" w:rsidRDefault="008676DB" w:rsidP="00AD09A8">
                            <w:pPr>
                              <w:rPr>
                                <w:rFonts w:ascii="Calibri" w:eastAsia="Times New Roman" w:hAnsi="Calibri"/>
                                <w:noProof/>
                                <w:sz w:val="18"/>
                                <w:szCs w:val="22"/>
                                <w:lang w:val="sq-AL"/>
                              </w:rPr>
                            </w:pPr>
                            <w:r w:rsidRPr="008049F1">
                              <w:rPr>
                                <w:rFonts w:ascii="Calibri" w:eastAsia="Times New Roman" w:hAnsi="Calibri"/>
                                <w:noProof/>
                                <w:sz w:val="18"/>
                                <w:szCs w:val="22"/>
                                <w:lang w:val="sq-AL"/>
                              </w:rPr>
                              <w:t>FMN - Perspektiva Ekon. Bot.</w:t>
                            </w:r>
                          </w:p>
                        </w:tc>
                        <w:tc>
                          <w:tcPr>
                            <w:tcW w:w="1030"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1,394</w:t>
                            </w:r>
                          </w:p>
                        </w:tc>
                        <w:tc>
                          <w:tcPr>
                            <w:tcW w:w="1009"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1,436</w:t>
                            </w:r>
                          </w:p>
                        </w:tc>
                        <w:tc>
                          <w:tcPr>
                            <w:tcW w:w="1009"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1,504</w:t>
                            </w:r>
                          </w:p>
                        </w:tc>
                        <w:tc>
                          <w:tcPr>
                            <w:tcW w:w="1009"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1,597</w:t>
                            </w:r>
                          </w:p>
                        </w:tc>
                        <w:tc>
                          <w:tcPr>
                            <w:tcW w:w="1009"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1,709</w:t>
                            </w:r>
                          </w:p>
                        </w:tc>
                        <w:tc>
                          <w:tcPr>
                            <w:tcW w:w="1009"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1,835</w:t>
                            </w:r>
                          </w:p>
                        </w:tc>
                      </w:tr>
                      <w:tr w:rsidR="008676DB" w:rsidRPr="00EC094B" w:rsidTr="00653DFF">
                        <w:trPr>
                          <w:trHeight w:val="319"/>
                        </w:trPr>
                        <w:tc>
                          <w:tcPr>
                            <w:tcW w:w="3248" w:type="dxa"/>
                            <w:tcBorders>
                              <w:right w:val="single" w:sz="6" w:space="0" w:color="000000"/>
                            </w:tcBorders>
                            <w:shd w:val="clear" w:color="auto" w:fill="auto"/>
                            <w:noWrap/>
                            <w:hideMark/>
                          </w:tcPr>
                          <w:p w:rsidR="008676DB" w:rsidRPr="008049F1" w:rsidRDefault="008676DB" w:rsidP="00AD09A8">
                            <w:pPr>
                              <w:rPr>
                                <w:rFonts w:ascii="Calibri" w:eastAsia="Times New Roman" w:hAnsi="Calibri"/>
                                <w:noProof/>
                                <w:sz w:val="18"/>
                                <w:szCs w:val="22"/>
                                <w:lang w:val="sq-AL"/>
                              </w:rPr>
                            </w:pPr>
                            <w:r w:rsidRPr="008049F1">
                              <w:rPr>
                                <w:rFonts w:ascii="Calibri" w:eastAsia="Times New Roman" w:hAnsi="Calibri"/>
                                <w:noProof/>
                                <w:sz w:val="18"/>
                                <w:szCs w:val="22"/>
                                <w:lang w:val="sq-AL"/>
                              </w:rPr>
                              <w:t>Ministria e Financave</w:t>
                            </w:r>
                          </w:p>
                        </w:tc>
                        <w:tc>
                          <w:tcPr>
                            <w:tcW w:w="1030"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1,394</w:t>
                            </w:r>
                          </w:p>
                        </w:tc>
                        <w:tc>
                          <w:tcPr>
                            <w:tcW w:w="1009"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1,436</w:t>
                            </w:r>
                          </w:p>
                        </w:tc>
                        <w:tc>
                          <w:tcPr>
                            <w:tcW w:w="1009"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1,502</w:t>
                            </w:r>
                          </w:p>
                        </w:tc>
                        <w:tc>
                          <w:tcPr>
                            <w:tcW w:w="1009"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1,596</w:t>
                            </w:r>
                          </w:p>
                        </w:tc>
                        <w:tc>
                          <w:tcPr>
                            <w:tcW w:w="1009"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1,707</w:t>
                            </w:r>
                          </w:p>
                        </w:tc>
                        <w:tc>
                          <w:tcPr>
                            <w:tcW w:w="1009"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1,833</w:t>
                            </w:r>
                          </w:p>
                        </w:tc>
                      </w:tr>
                      <w:tr w:rsidR="008676DB" w:rsidRPr="00EC094B" w:rsidTr="00653DFF">
                        <w:trPr>
                          <w:trHeight w:val="319"/>
                        </w:trPr>
                        <w:tc>
                          <w:tcPr>
                            <w:tcW w:w="3248" w:type="dxa"/>
                            <w:tcBorders>
                              <w:right w:val="single" w:sz="6" w:space="0" w:color="000000"/>
                            </w:tcBorders>
                            <w:shd w:val="clear" w:color="auto" w:fill="auto"/>
                            <w:noWrap/>
                            <w:hideMark/>
                          </w:tcPr>
                          <w:p w:rsidR="008676DB" w:rsidRPr="008049F1" w:rsidRDefault="008676DB" w:rsidP="00AD09A8">
                            <w:pPr>
                              <w:rPr>
                                <w:rFonts w:ascii="Calibri" w:eastAsia="Times New Roman" w:hAnsi="Calibri"/>
                                <w:noProof/>
                                <w:sz w:val="18"/>
                                <w:szCs w:val="22"/>
                                <w:lang w:val="sq-AL"/>
                              </w:rPr>
                            </w:pPr>
                            <w:r w:rsidRPr="008049F1">
                              <w:rPr>
                                <w:rFonts w:ascii="Calibri" w:eastAsia="Times New Roman" w:hAnsi="Calibri"/>
                                <w:noProof/>
                                <w:sz w:val="18"/>
                                <w:szCs w:val="22"/>
                                <w:lang w:val="sq-AL"/>
                              </w:rPr>
                              <w:t xml:space="preserve">Diferenca FMN - MeF </w:t>
                            </w:r>
                          </w:p>
                          <w:p w:rsidR="008676DB" w:rsidRPr="008049F1" w:rsidRDefault="008676DB" w:rsidP="00AD09A8">
                            <w:pPr>
                              <w:rPr>
                                <w:rFonts w:ascii="Calibri" w:eastAsia="Times New Roman" w:hAnsi="Calibri"/>
                                <w:noProof/>
                                <w:sz w:val="14"/>
                                <w:szCs w:val="18"/>
                                <w:lang w:val="sq-AL"/>
                              </w:rPr>
                            </w:pPr>
                            <w:r w:rsidRPr="008049F1">
                              <w:rPr>
                                <w:rFonts w:ascii="Calibri" w:eastAsia="Times New Roman" w:hAnsi="Calibri"/>
                                <w:noProof/>
                                <w:sz w:val="14"/>
                                <w:szCs w:val="18"/>
                                <w:lang w:val="sq-AL"/>
                              </w:rPr>
                              <w:t>(duhet te jete jo më e vogël se zero)</w:t>
                            </w:r>
                          </w:p>
                        </w:tc>
                        <w:tc>
                          <w:tcPr>
                            <w:tcW w:w="1030"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0</w:t>
                            </w:r>
                          </w:p>
                        </w:tc>
                        <w:tc>
                          <w:tcPr>
                            <w:tcW w:w="1009"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0</w:t>
                            </w:r>
                          </w:p>
                        </w:tc>
                        <w:tc>
                          <w:tcPr>
                            <w:tcW w:w="1009"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2</w:t>
                            </w:r>
                          </w:p>
                        </w:tc>
                        <w:tc>
                          <w:tcPr>
                            <w:tcW w:w="1009"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1</w:t>
                            </w:r>
                          </w:p>
                        </w:tc>
                        <w:tc>
                          <w:tcPr>
                            <w:tcW w:w="1009"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2</w:t>
                            </w:r>
                          </w:p>
                        </w:tc>
                        <w:tc>
                          <w:tcPr>
                            <w:tcW w:w="1009" w:type="dxa"/>
                            <w:shd w:val="clear" w:color="auto" w:fill="auto"/>
                            <w:noWrap/>
                            <w:hideMark/>
                          </w:tcPr>
                          <w:p w:rsidR="008676DB" w:rsidRPr="008049F1" w:rsidRDefault="008676DB" w:rsidP="00AD09A8">
                            <w:pPr>
                              <w:jc w:val="center"/>
                              <w:rPr>
                                <w:rFonts w:ascii="Calibri" w:eastAsia="Times New Roman" w:hAnsi="Calibri"/>
                                <w:noProof/>
                                <w:sz w:val="18"/>
                                <w:szCs w:val="22"/>
                                <w:lang w:val="sq-AL"/>
                              </w:rPr>
                            </w:pPr>
                            <w:r w:rsidRPr="008049F1">
                              <w:rPr>
                                <w:rFonts w:ascii="Calibri" w:eastAsia="Times New Roman" w:hAnsi="Calibri"/>
                                <w:noProof/>
                                <w:sz w:val="18"/>
                                <w:szCs w:val="22"/>
                                <w:lang w:val="sq-AL"/>
                              </w:rPr>
                              <w:t>2</w:t>
                            </w:r>
                          </w:p>
                        </w:tc>
                      </w:tr>
                    </w:tbl>
                    <w:p w:rsidR="008676DB" w:rsidRPr="00EC094B" w:rsidRDefault="008676DB" w:rsidP="00B0121D">
                      <w:pPr>
                        <w:jc w:val="both"/>
                        <w:rPr>
                          <w:noProof/>
                          <w:sz w:val="20"/>
                          <w:lang w:val="sq-AL"/>
                        </w:rPr>
                      </w:pPr>
                    </w:p>
                    <w:p w:rsidR="008676DB" w:rsidRPr="00EC094B" w:rsidRDefault="008676DB" w:rsidP="00B0121D">
                      <w:pPr>
                        <w:jc w:val="both"/>
                        <w:rPr>
                          <w:noProof/>
                          <w:sz w:val="20"/>
                          <w:lang w:val="sq-AL"/>
                        </w:rPr>
                      </w:pPr>
                    </w:p>
                    <w:p w:rsidR="008676DB" w:rsidRPr="00EC094B" w:rsidRDefault="008676DB" w:rsidP="00534AA6">
                      <w:pPr>
                        <w:numPr>
                          <w:ilvl w:val="0"/>
                          <w:numId w:val="8"/>
                        </w:numPr>
                        <w:jc w:val="both"/>
                        <w:rPr>
                          <w:i/>
                          <w:noProof/>
                          <w:sz w:val="20"/>
                          <w:lang w:val="sq-AL"/>
                        </w:rPr>
                      </w:pPr>
                      <w:r w:rsidRPr="00EC094B">
                        <w:rPr>
                          <w:i/>
                          <w:noProof/>
                          <w:sz w:val="20"/>
                          <w:lang w:val="sq-AL"/>
                        </w:rPr>
                        <w:t>Në çdo vit buxhetor të planifikuar duhet të përfshihet një kontingjencë e veçantë, prej jo më pak se 0,7 për qind e shpenzimeve totale të buxhetit, për të kompensuar rreziqe potenciale nga luhatjet në kurset e këmbimit ose normat e interesit, me ndikim në nivelin e borxhit</w:t>
                      </w:r>
                      <w:r>
                        <w:rPr>
                          <w:i/>
                          <w:noProof/>
                          <w:sz w:val="20"/>
                          <w:lang w:val="sq-AL"/>
                        </w:rPr>
                        <w:t>.</w:t>
                      </w:r>
                    </w:p>
                    <w:p w:rsidR="008676DB" w:rsidRPr="00EC094B" w:rsidRDefault="008676DB" w:rsidP="00B0121D">
                      <w:pPr>
                        <w:jc w:val="both"/>
                        <w:rPr>
                          <w:i/>
                          <w:noProof/>
                          <w:sz w:val="20"/>
                          <w:lang w:val="sq-AL"/>
                        </w:rPr>
                      </w:pPr>
                    </w:p>
                    <w:p w:rsidR="008676DB" w:rsidRPr="00EC094B" w:rsidRDefault="008676DB" w:rsidP="00B0121D">
                      <w:pPr>
                        <w:jc w:val="both"/>
                        <w:rPr>
                          <w:noProof/>
                          <w:sz w:val="20"/>
                          <w:lang w:val="sq-AL"/>
                        </w:rPr>
                      </w:pPr>
                      <w:r w:rsidRPr="00EC094B">
                        <w:rPr>
                          <w:noProof/>
                          <w:sz w:val="20"/>
                          <w:lang w:val="sq-AL"/>
                        </w:rPr>
                        <w:t>Në përputhje me këtë dispozitë (rregull fiskal)  të LOB, ligji vjetor i buxhetit 2017 përfshin në një zë të ve</w:t>
                      </w:r>
                      <w:r>
                        <w:rPr>
                          <w:noProof/>
                          <w:sz w:val="20"/>
                          <w:lang w:val="sq-AL"/>
                        </w:rPr>
                        <w:t>ç</w:t>
                      </w:r>
                      <w:r w:rsidRPr="00EC094B">
                        <w:rPr>
                          <w:noProof/>
                          <w:sz w:val="20"/>
                          <w:lang w:val="sq-AL"/>
                        </w:rPr>
                        <w:t xml:space="preserve">antë të tij, emërtuar </w:t>
                      </w:r>
                      <w:r w:rsidRPr="00EC094B">
                        <w:rPr>
                          <w:i/>
                          <w:noProof/>
                          <w:sz w:val="20"/>
                          <w:lang w:val="sq-AL"/>
                        </w:rPr>
                        <w:t>“Kontigjencë për impaktin në borxhin publik nga luhatjet e normave të interesit, et</w:t>
                      </w:r>
                      <w:r>
                        <w:rPr>
                          <w:i/>
                          <w:noProof/>
                          <w:sz w:val="20"/>
                          <w:lang w:val="sq-AL"/>
                        </w:rPr>
                        <w:t>.</w:t>
                      </w:r>
                      <w:r w:rsidRPr="00EC094B">
                        <w:rPr>
                          <w:i/>
                          <w:noProof/>
                          <w:sz w:val="20"/>
                          <w:lang w:val="sq-AL"/>
                        </w:rPr>
                        <w:t xml:space="preserve">j” </w:t>
                      </w:r>
                      <w:r w:rsidRPr="00EC094B">
                        <w:rPr>
                          <w:noProof/>
                          <w:sz w:val="20"/>
                          <w:lang w:val="sq-AL"/>
                        </w:rPr>
                        <w:t xml:space="preserve">një kontigjencë prej 4 miliardë </w:t>
                      </w:r>
                      <w:r>
                        <w:rPr>
                          <w:noProof/>
                          <w:sz w:val="20"/>
                          <w:lang w:val="sq-AL"/>
                        </w:rPr>
                        <w:t>l</w:t>
                      </w:r>
                      <w:r w:rsidRPr="00EC094B">
                        <w:rPr>
                          <w:noProof/>
                          <w:sz w:val="20"/>
                          <w:lang w:val="sq-AL"/>
                        </w:rPr>
                        <w:t>ekë ose 0.</w:t>
                      </w:r>
                      <w:r>
                        <w:rPr>
                          <w:noProof/>
                          <w:sz w:val="20"/>
                          <w:lang w:val="sq-AL"/>
                        </w:rPr>
                        <w:t>9</w:t>
                      </w:r>
                      <w:r w:rsidRPr="00EC094B">
                        <w:rPr>
                          <w:noProof/>
                          <w:sz w:val="20"/>
                          <w:lang w:val="sq-AL"/>
                        </w:rPr>
                        <w:t>% e shpenzimeve totale. Kjo vlerë e përfshirë në buxhet është e papërdorshme për qëllime të tjera përve</w:t>
                      </w:r>
                      <w:r>
                        <w:rPr>
                          <w:noProof/>
                          <w:sz w:val="20"/>
                          <w:lang w:val="sq-AL"/>
                        </w:rPr>
                        <w:t>ç</w:t>
                      </w:r>
                      <w:r w:rsidRPr="00EC094B">
                        <w:rPr>
                          <w:noProof/>
                          <w:sz w:val="20"/>
                          <w:lang w:val="sq-AL"/>
                        </w:rPr>
                        <w:t xml:space="preserve"> pagesës së interesave nëse këto të fundit për të gjithë vitin në tërësi rezultojnë më tepër se sa alokimet respektive në buxhet.  </w:t>
                      </w:r>
                    </w:p>
                    <w:p w:rsidR="008676DB" w:rsidRPr="00EC094B" w:rsidRDefault="008676DB" w:rsidP="00B0121D">
                      <w:pPr>
                        <w:jc w:val="both"/>
                        <w:rPr>
                          <w:noProof/>
                          <w:sz w:val="20"/>
                          <w:lang w:val="sq-AL"/>
                        </w:rPr>
                      </w:pPr>
                    </w:p>
                    <w:p w:rsidR="008676DB" w:rsidRPr="00EC094B" w:rsidRDefault="008676DB" w:rsidP="00534AA6">
                      <w:pPr>
                        <w:numPr>
                          <w:ilvl w:val="0"/>
                          <w:numId w:val="8"/>
                        </w:numPr>
                        <w:jc w:val="both"/>
                        <w:rPr>
                          <w:i/>
                          <w:noProof/>
                          <w:sz w:val="20"/>
                          <w:lang w:val="sq-AL"/>
                        </w:rPr>
                      </w:pPr>
                      <w:r w:rsidRPr="00EC094B">
                        <w:rPr>
                          <w:i/>
                          <w:noProof/>
                          <w:sz w:val="20"/>
                          <w:lang w:val="sq-AL"/>
                        </w:rPr>
                        <w:t>Të ardhurat nga privatizimi nuk janë pjesë e procesit të programimit buxhetor. Në rastet e arkëtimit ato përdoren, jo më pak se 50 për qind, për uljen e borxhit publik dhe pjesa tjetër për investime publike. Pas arritjes së nivelit të borxhit publik, sipas përcaktimeve të shkronjës “a”, të pikës 1, të këtij neni, përdorimi i të ardhurave të arkëtuara nga privatizimet përcaktohet në ligjin vjetor të buxhetit.</w:t>
                      </w:r>
                    </w:p>
                    <w:p w:rsidR="008676DB" w:rsidRPr="00EC094B" w:rsidRDefault="008676DB" w:rsidP="00B0121D">
                      <w:pPr>
                        <w:jc w:val="both"/>
                        <w:rPr>
                          <w:i/>
                          <w:noProof/>
                          <w:sz w:val="20"/>
                          <w:lang w:val="sq-AL"/>
                        </w:rPr>
                      </w:pPr>
                    </w:p>
                    <w:p w:rsidR="008676DB" w:rsidRDefault="008676DB" w:rsidP="00B0121D">
                      <w:pPr>
                        <w:jc w:val="both"/>
                        <w:rPr>
                          <w:noProof/>
                          <w:sz w:val="20"/>
                          <w:lang w:val="sq-AL"/>
                        </w:rPr>
                      </w:pPr>
                      <w:r w:rsidRPr="00653DFF">
                        <w:rPr>
                          <w:noProof/>
                          <w:sz w:val="20"/>
                          <w:lang w:val="sq-AL"/>
                        </w:rPr>
                        <w:t>Në përputhje me këtë dispozitë (rregull fiskal) të LOB, ligji vjetor i buxhetit 2017 nuk përfshin të hyra nga privatizimet e mundshme.</w:t>
                      </w:r>
                    </w:p>
                    <w:p w:rsidR="008676DB" w:rsidRPr="00EC094B" w:rsidRDefault="008676DB" w:rsidP="00B0121D">
                      <w:pPr>
                        <w:jc w:val="both"/>
                        <w:rPr>
                          <w:noProof/>
                          <w:sz w:val="20"/>
                          <w:lang w:val="sq-AL"/>
                        </w:rPr>
                      </w:pPr>
                    </w:p>
                    <w:p w:rsidR="008676DB" w:rsidRPr="00EC094B" w:rsidRDefault="008676DB" w:rsidP="00534AA6">
                      <w:pPr>
                        <w:numPr>
                          <w:ilvl w:val="0"/>
                          <w:numId w:val="8"/>
                        </w:numPr>
                        <w:jc w:val="both"/>
                        <w:rPr>
                          <w:i/>
                          <w:noProof/>
                          <w:sz w:val="20"/>
                          <w:lang w:val="sq-AL"/>
                        </w:rPr>
                      </w:pPr>
                      <w:r w:rsidRPr="00EC094B">
                        <w:rPr>
                          <w:i/>
                          <w:noProof/>
                          <w:sz w:val="20"/>
                          <w:lang w:val="sq-AL"/>
                        </w:rPr>
                        <w:t>Masa e deficitit buxhetor nuk mund të tejkalojë masën e shpenzimeve kapitale të parashikuara çdo vit në ligjin e buxhetit.</w:t>
                      </w:r>
                    </w:p>
                    <w:p w:rsidR="008676DB" w:rsidRPr="00EC094B" w:rsidRDefault="008676DB" w:rsidP="00B0121D">
                      <w:pPr>
                        <w:ind w:left="360"/>
                        <w:jc w:val="both"/>
                        <w:rPr>
                          <w:noProof/>
                          <w:sz w:val="20"/>
                          <w:lang w:val="sq-AL"/>
                        </w:rPr>
                      </w:pPr>
                    </w:p>
                    <w:p w:rsidR="008676DB" w:rsidRPr="00EC094B" w:rsidRDefault="008676DB" w:rsidP="00B0121D">
                      <w:pPr>
                        <w:ind w:left="360"/>
                        <w:jc w:val="both"/>
                        <w:rPr>
                          <w:noProof/>
                          <w:sz w:val="20"/>
                          <w:lang w:val="sq-AL"/>
                        </w:rPr>
                      </w:pPr>
                      <w:r w:rsidRPr="00EC094B">
                        <w:rPr>
                          <w:noProof/>
                          <w:sz w:val="20"/>
                          <w:lang w:val="sq-AL"/>
                        </w:rPr>
                        <w:t>Në përputhje me këtë dispozitë (rregull</w:t>
                      </w:r>
                      <w:r>
                        <w:rPr>
                          <w:noProof/>
                          <w:sz w:val="20"/>
                          <w:lang w:val="sq-AL"/>
                        </w:rPr>
                        <w:t xml:space="preserve"> </w:t>
                      </w:r>
                      <w:r w:rsidRPr="00EC094B">
                        <w:rPr>
                          <w:noProof/>
                          <w:sz w:val="20"/>
                          <w:lang w:val="sq-AL"/>
                        </w:rPr>
                        <w:t>fiskal</w:t>
                      </w:r>
                      <w:r>
                        <w:rPr>
                          <w:noProof/>
                          <w:sz w:val="20"/>
                          <w:lang w:val="sq-AL"/>
                        </w:rPr>
                        <w:t xml:space="preserve"> – “rregulli i artë”</w:t>
                      </w:r>
                      <w:r w:rsidRPr="00EC094B">
                        <w:rPr>
                          <w:noProof/>
                          <w:sz w:val="20"/>
                          <w:lang w:val="sq-AL"/>
                        </w:rPr>
                        <w:t>) të LOB deficiti i targetuar në këtë ligj vjetor të buxhetit 2017 është 36% më e ulët se sa shpenzimet kapitale të planifikuara direkt për qeverisjen q</w:t>
                      </w:r>
                      <w:r>
                        <w:rPr>
                          <w:noProof/>
                          <w:sz w:val="20"/>
                          <w:lang w:val="sq-AL"/>
                        </w:rPr>
                        <w:t>e</w:t>
                      </w:r>
                      <w:r w:rsidRPr="00EC094B">
                        <w:rPr>
                          <w:noProof/>
                          <w:sz w:val="20"/>
                          <w:lang w:val="sq-AL"/>
                        </w:rPr>
                        <w:t>ndrore ose rreth 46% më e ulët se sa shpenzimet kapitale të financuara nga qeverisja q</w:t>
                      </w:r>
                      <w:r>
                        <w:rPr>
                          <w:noProof/>
                          <w:sz w:val="20"/>
                          <w:lang w:val="sq-AL"/>
                        </w:rPr>
                        <w:t>e</w:t>
                      </w:r>
                      <w:r w:rsidRPr="00EC094B">
                        <w:rPr>
                          <w:noProof/>
                          <w:sz w:val="20"/>
                          <w:lang w:val="sq-AL"/>
                        </w:rPr>
                        <w:t>ndrore</w:t>
                      </w:r>
                      <w:r>
                        <w:rPr>
                          <w:noProof/>
                          <w:sz w:val="20"/>
                          <w:lang w:val="sq-AL"/>
                        </w:rPr>
                        <w:t>,</w:t>
                      </w:r>
                      <w:r w:rsidRPr="00EC094B">
                        <w:rPr>
                          <w:noProof/>
                          <w:sz w:val="20"/>
                          <w:lang w:val="sq-AL"/>
                        </w:rPr>
                        <w:t xml:space="preserve"> por të alokuara edhe për FZHR</w:t>
                      </w:r>
                      <w:r>
                        <w:rPr>
                          <w:noProof/>
                          <w:sz w:val="20"/>
                          <w:lang w:val="sq-AL"/>
                        </w:rPr>
                        <w:t xml:space="preserve">, </w:t>
                      </w:r>
                      <w:r w:rsidRPr="00EC094B">
                        <w:rPr>
                          <w:noProof/>
                          <w:sz w:val="20"/>
                          <w:lang w:val="sq-AL"/>
                        </w:rPr>
                        <w:t>si dhe për sektorin e energjisë në formë kredie direkte për investime drejt këtij sektori.</w:t>
                      </w:r>
                      <w:r>
                        <w:rPr>
                          <w:noProof/>
                          <w:sz w:val="20"/>
                          <w:lang w:val="sq-AL"/>
                        </w:rPr>
                        <w:t xml:space="preserve"> Rrjedhimisht, balanca korente e tarteguar është pozitive në nivelin prej rreth 2.9% të PBB, duke shënuar gjithashtu një ndër vlerat më të larta të këtij parametri të rëndësishëm në 25 vite.</w:t>
                      </w:r>
                    </w:p>
                    <w:p w:rsidR="008676DB" w:rsidRPr="00AB477F" w:rsidRDefault="008676DB" w:rsidP="00B0121D">
                      <w:pPr>
                        <w:rPr>
                          <w:lang w:val="sq-AL"/>
                        </w:rPr>
                      </w:pPr>
                      <w:r w:rsidRPr="00AB477F">
                        <w:rPr>
                          <w:lang w:val="sq-AL"/>
                        </w:rPr>
                        <w:t>__________</w:t>
                      </w:r>
                    </w:p>
                    <w:p w:rsidR="008676DB" w:rsidRPr="00145E5F" w:rsidRDefault="008676DB" w:rsidP="00B0121D">
                      <w:pPr>
                        <w:rPr>
                          <w:i/>
                          <w:iCs/>
                          <w:sz w:val="20"/>
                          <w:lang w:val="sq-AL"/>
                        </w:rPr>
                      </w:pPr>
                      <w:r w:rsidRPr="00AB477F">
                        <w:rPr>
                          <w:i/>
                          <w:iCs/>
                          <w:sz w:val="20"/>
                          <w:lang w:val="sq-AL"/>
                        </w:rPr>
                        <w:t xml:space="preserve">1  </w:t>
                      </w:r>
                      <w:r w:rsidRPr="00145E5F">
                        <w:rPr>
                          <w:i/>
                          <w:iCs/>
                          <w:sz w:val="20"/>
                          <w:lang w:val="sq-AL"/>
                        </w:rPr>
                        <w:t>Në vlerë nominale stoku i borxhit total i pritur (vlerësuar) për vitin 2016 është 1,074.3 miliardë lekë, ndërsa ai i targetuar për vitin 2017 është 1,118.7 miliardë lekë. Ndërsa projeksionet (parashikimet)  e PBB nominale janë respektivisht 1,501.9 miliardë lekë për vitin 2016 dhe 1,596.4 miliardë lekë për vitin 2017.</w:t>
                      </w:r>
                    </w:p>
                    <w:p w:rsidR="008676DB" w:rsidRPr="00145E5F" w:rsidRDefault="008676DB" w:rsidP="00B0121D">
                      <w:pPr>
                        <w:rPr>
                          <w:i/>
                          <w:iCs/>
                          <w:sz w:val="20"/>
                          <w:lang w:val="sq-AL"/>
                        </w:rPr>
                      </w:pPr>
                      <w:r w:rsidRPr="006B4385">
                        <w:rPr>
                          <w:i/>
                          <w:iCs/>
                          <w:lang w:val="sq-AL"/>
                        </w:rPr>
                        <w:t>2</w:t>
                      </w:r>
                      <w:r>
                        <w:rPr>
                          <w:i/>
                          <w:iCs/>
                          <w:lang w:val="sq-AL"/>
                        </w:rPr>
                        <w:t>.</w:t>
                      </w:r>
                      <w:r w:rsidRPr="006B4385">
                        <w:rPr>
                          <w:i/>
                          <w:iCs/>
                          <w:lang w:val="sq-AL"/>
                        </w:rPr>
                        <w:t xml:space="preserve"> </w:t>
                      </w:r>
                      <w:r w:rsidRPr="00145E5F">
                        <w:rPr>
                          <w:i/>
                          <w:iCs/>
                          <w:sz w:val="20"/>
                          <w:lang w:val="sq-AL"/>
                        </w:rPr>
                        <w:t>Linku për aksesimin e raportit WEO – Tetor 2016: http://www.imf.org/external/pubs/ft/seo/2016/02/weodata/index.aspx</w:t>
                      </w:r>
                    </w:p>
                    <w:p w:rsidR="008676DB" w:rsidRPr="00AB477F" w:rsidRDefault="008676DB" w:rsidP="00B0121D">
                      <w:pPr>
                        <w:rPr>
                          <w:lang w:val="it-IT"/>
                        </w:rPr>
                      </w:pPr>
                    </w:p>
                  </w:txbxContent>
                </v:textbox>
                <w10:wrap type="square"/>
              </v:shape>
            </w:pict>
          </mc:Fallback>
        </mc:AlternateContent>
      </w:r>
    </w:p>
    <w:p w:rsidR="00B0121D" w:rsidRPr="00D73F43" w:rsidRDefault="00B0121D" w:rsidP="00B0121D">
      <w:pPr>
        <w:jc w:val="both"/>
        <w:rPr>
          <w:lang w:val="sq-AL"/>
        </w:rPr>
      </w:pPr>
    </w:p>
    <w:p w:rsidR="00B0121D" w:rsidRPr="00D73F43" w:rsidRDefault="00B0121D" w:rsidP="00534AA6">
      <w:pPr>
        <w:pStyle w:val="Heading1"/>
        <w:numPr>
          <w:ilvl w:val="1"/>
          <w:numId w:val="162"/>
        </w:numPr>
        <w:tabs>
          <w:tab w:val="clear" w:pos="5954"/>
          <w:tab w:val="center" w:pos="709"/>
        </w:tabs>
        <w:spacing w:line="276" w:lineRule="auto"/>
        <w:jc w:val="both"/>
        <w:rPr>
          <w:caps w:val="0"/>
          <w:sz w:val="26"/>
          <w:szCs w:val="26"/>
          <w:lang w:val="sq-AL"/>
        </w:rPr>
      </w:pPr>
      <w:bookmarkStart w:id="25" w:name="_Toc465950352"/>
      <w:bookmarkStart w:id="26" w:name="_Toc466445437"/>
      <w:r w:rsidRPr="00D73F43">
        <w:rPr>
          <w:caps w:val="0"/>
          <w:sz w:val="26"/>
          <w:szCs w:val="26"/>
          <w:lang w:val="sq-AL"/>
        </w:rPr>
        <w:t>VEPRIMTARITË POTHUAJSE FISKALE</w:t>
      </w:r>
      <w:bookmarkEnd w:id="25"/>
      <w:bookmarkEnd w:id="26"/>
      <w:r w:rsidRPr="00D73F43">
        <w:rPr>
          <w:caps w:val="0"/>
          <w:sz w:val="26"/>
          <w:szCs w:val="26"/>
          <w:lang w:val="sq-AL"/>
        </w:rPr>
        <w:t xml:space="preserve"> </w:t>
      </w:r>
    </w:p>
    <w:p w:rsidR="00B0121D" w:rsidRPr="00D73F43" w:rsidRDefault="00B0121D" w:rsidP="00B0121D">
      <w:pPr>
        <w:spacing w:line="276" w:lineRule="auto"/>
        <w:jc w:val="both"/>
        <w:rPr>
          <w:lang w:val="sq-AL"/>
        </w:rPr>
      </w:pPr>
      <w:r w:rsidRPr="00D73F43">
        <w:rPr>
          <w:lang w:val="sq-AL"/>
        </w:rPr>
        <w:t xml:space="preserve">Stoku i borxhit të garantuar në 30.09.2016 arrin në rreth 55 miliardë lekë ose 3.7% e PBB. Garancitë e lëshuara në tregun e brendshëm përfaqësojnë 55.4% të stokut të garancive gjithsej ose 30.4 miliardë lekë. Ndërkohë, garancitë e lëshuara kundrejt kreditorëve të huaj zënë rreth 44.6% të stokut të garancive ose 24.5 miliardë lekë. Sektorët që kanë përfituar më shumë nga emetimi i garancive qeveritare janë: i) Energjia </w:t>
      </w:r>
      <w:r w:rsidRPr="00D73F43">
        <w:rPr>
          <w:i/>
          <w:lang w:val="sq-AL"/>
        </w:rPr>
        <w:t>(83.7%)</w:t>
      </w:r>
      <w:r w:rsidRPr="00D73F43">
        <w:rPr>
          <w:lang w:val="sq-AL"/>
        </w:rPr>
        <w:t xml:space="preserve">; ii) Ujësjellës - Kanalizime </w:t>
      </w:r>
      <w:r w:rsidRPr="00D73F43">
        <w:rPr>
          <w:i/>
          <w:lang w:val="sq-AL"/>
        </w:rPr>
        <w:t>(7.29%)</w:t>
      </w:r>
      <w:r w:rsidRPr="00D73F43">
        <w:rPr>
          <w:lang w:val="sq-AL"/>
        </w:rPr>
        <w:t xml:space="preserve">; iii) Media Vizive </w:t>
      </w:r>
      <w:r w:rsidRPr="00D73F43">
        <w:rPr>
          <w:i/>
          <w:lang w:val="sq-AL"/>
        </w:rPr>
        <w:t>(3.88%)</w:t>
      </w:r>
      <w:r w:rsidRPr="00D73F43">
        <w:rPr>
          <w:lang w:val="sq-AL"/>
        </w:rPr>
        <w:t xml:space="preserve"> dhe iv) Transporti </w:t>
      </w:r>
      <w:r w:rsidRPr="00D73F43">
        <w:rPr>
          <w:i/>
          <w:lang w:val="sq-AL"/>
        </w:rPr>
        <w:t>(2.61%)</w:t>
      </w:r>
      <w:r w:rsidRPr="00D73F43">
        <w:rPr>
          <w:lang w:val="sq-AL"/>
        </w:rPr>
        <w:t xml:space="preserve">.  </w:t>
      </w:r>
    </w:p>
    <w:p w:rsidR="00B0121D" w:rsidRPr="00D73F43" w:rsidRDefault="00B0121D" w:rsidP="00B0121D">
      <w:pPr>
        <w:spacing w:line="276" w:lineRule="auto"/>
        <w:ind w:firstLine="567"/>
        <w:jc w:val="both"/>
        <w:rPr>
          <w:lang w:val="sq-AL"/>
        </w:rPr>
      </w:pPr>
      <w:r w:rsidRPr="00D73F43">
        <w:rPr>
          <w:lang w:val="sq-AL"/>
        </w:rPr>
        <w:t xml:space="preserve">     </w:t>
      </w:r>
    </w:p>
    <w:p w:rsidR="00B0121D" w:rsidRPr="00D73F43" w:rsidRDefault="00B0121D" w:rsidP="00B0121D">
      <w:pPr>
        <w:spacing w:line="276" w:lineRule="auto"/>
        <w:ind w:firstLine="567"/>
        <w:jc w:val="both"/>
        <w:rPr>
          <w:b/>
          <w:sz w:val="20"/>
          <w:szCs w:val="20"/>
          <w:lang w:val="sq-AL"/>
        </w:rPr>
      </w:pPr>
      <w:r w:rsidRPr="00D73F43">
        <w:rPr>
          <w:lang w:val="sq-AL"/>
        </w:rPr>
        <w:t xml:space="preserve">     </w:t>
      </w:r>
      <w:r w:rsidRPr="00D73F43">
        <w:rPr>
          <w:b/>
          <w:sz w:val="20"/>
          <w:szCs w:val="20"/>
          <w:lang w:val="sq-AL"/>
        </w:rPr>
        <w:t>Grafik</w:t>
      </w:r>
      <w:r w:rsidR="00C610A8">
        <w:rPr>
          <w:b/>
          <w:sz w:val="20"/>
          <w:szCs w:val="20"/>
          <w:lang w:val="sq-AL"/>
        </w:rPr>
        <w:t xml:space="preserve"> 1</w:t>
      </w:r>
      <w:r w:rsidRPr="00D73F43">
        <w:rPr>
          <w:b/>
          <w:sz w:val="20"/>
          <w:szCs w:val="20"/>
          <w:lang w:val="sq-AL"/>
        </w:rPr>
        <w:t xml:space="preserve">: </w:t>
      </w:r>
      <w:r w:rsidRPr="00D73F43">
        <w:rPr>
          <w:i/>
          <w:sz w:val="20"/>
          <w:szCs w:val="20"/>
          <w:lang w:val="sq-AL"/>
        </w:rPr>
        <w:t>Garancitë sipas sektorëve ekonomikë</w:t>
      </w:r>
    </w:p>
    <w:p w:rsidR="00B0121D" w:rsidRPr="00D73F43" w:rsidRDefault="00B0121D" w:rsidP="00B0121D">
      <w:pPr>
        <w:spacing w:line="276" w:lineRule="auto"/>
        <w:jc w:val="center"/>
        <w:rPr>
          <w:lang w:val="sq-AL"/>
        </w:rPr>
      </w:pPr>
      <w:r w:rsidRPr="00D73F43">
        <w:rPr>
          <w:noProof/>
          <w:lang w:val="sq-AL" w:eastAsia="sq-AL"/>
        </w:rPr>
        <w:drawing>
          <wp:inline distT="0" distB="0" distL="0" distR="0" wp14:anchorId="25A45CE4" wp14:editId="2D8C6A00">
            <wp:extent cx="4591050" cy="27622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inline>
        </w:drawing>
      </w:r>
    </w:p>
    <w:p w:rsidR="00B0121D" w:rsidRPr="00D73F43" w:rsidRDefault="00B0121D" w:rsidP="00B0121D">
      <w:pPr>
        <w:spacing w:line="276" w:lineRule="auto"/>
        <w:rPr>
          <w:lang w:val="sq-AL"/>
        </w:rPr>
      </w:pPr>
      <w:r w:rsidRPr="00D73F43">
        <w:rPr>
          <w:b/>
          <w:i/>
          <w:sz w:val="20"/>
          <w:szCs w:val="20"/>
          <w:lang w:val="sq-AL"/>
        </w:rPr>
        <w:t xml:space="preserve">                  Burimi: </w:t>
      </w:r>
      <w:r w:rsidRPr="00D73F43">
        <w:rPr>
          <w:i/>
          <w:sz w:val="20"/>
          <w:szCs w:val="20"/>
          <w:lang w:val="sq-AL"/>
        </w:rPr>
        <w:t>Ministria e Financave (2016)</w:t>
      </w:r>
    </w:p>
    <w:p w:rsidR="00B0121D" w:rsidRPr="00D73F43" w:rsidRDefault="00B0121D" w:rsidP="00B0121D">
      <w:pPr>
        <w:spacing w:line="276" w:lineRule="auto"/>
        <w:jc w:val="center"/>
        <w:rPr>
          <w:sz w:val="16"/>
          <w:szCs w:val="16"/>
          <w:lang w:val="sq-AL"/>
        </w:rPr>
      </w:pPr>
    </w:p>
    <w:p w:rsidR="00B0121D" w:rsidRPr="00D73F43" w:rsidRDefault="00B0121D" w:rsidP="00B0121D">
      <w:pPr>
        <w:spacing w:line="276" w:lineRule="auto"/>
        <w:jc w:val="both"/>
        <w:rPr>
          <w:i/>
          <w:lang w:val="sq-AL"/>
        </w:rPr>
      </w:pPr>
      <w:r w:rsidRPr="00D73F43">
        <w:rPr>
          <w:lang w:val="sq-AL"/>
        </w:rPr>
        <w:t xml:space="preserve">Të gjitha garancitë e brendshme janë emetuar në favor të sektorit energjitik, ku huamarrës ka qenë KESH sh.a dhe kreditorë bankat tregtare të nivelit të dytë </w:t>
      </w:r>
      <w:r w:rsidRPr="00D73F43">
        <w:rPr>
          <w:i/>
          <w:lang w:val="sq-AL"/>
        </w:rPr>
        <w:t>(konkretisht RZB me 70.0%, ISP Bank me 17.1%, BKT me 10.2% dhe Societe Generale me 2.7% të shumës së përgjithshme).</w:t>
      </w:r>
    </w:p>
    <w:p w:rsidR="00B0121D" w:rsidRPr="00D73F43" w:rsidRDefault="00B0121D" w:rsidP="00B0121D">
      <w:pPr>
        <w:spacing w:line="276" w:lineRule="auto"/>
        <w:jc w:val="both"/>
        <w:rPr>
          <w:lang w:val="sq-AL"/>
        </w:rPr>
      </w:pPr>
    </w:p>
    <w:p w:rsidR="00B0121D" w:rsidRPr="00D73F43" w:rsidRDefault="00B0121D" w:rsidP="00B0121D">
      <w:pPr>
        <w:spacing w:line="276" w:lineRule="auto"/>
        <w:jc w:val="both"/>
        <w:rPr>
          <w:lang w:val="sq-AL"/>
        </w:rPr>
      </w:pPr>
      <w:r w:rsidRPr="00D73F43">
        <w:rPr>
          <w:lang w:val="sq-AL"/>
        </w:rPr>
        <w:t>Në ndryshim nga garancitë e brendshme, garancitë e huaja</w:t>
      </w:r>
      <w:r w:rsidRPr="00D73F43">
        <w:rPr>
          <w:i/>
          <w:lang w:val="sq-AL"/>
        </w:rPr>
        <w:t xml:space="preserve"> </w:t>
      </w:r>
      <w:r w:rsidRPr="00D73F43">
        <w:rPr>
          <w:lang w:val="sq-AL"/>
        </w:rPr>
        <w:t>mbulojnë edhe sektorë të tjerë, por përsëri Energjia paraqitet si sektori dominant. Ndër kreditorët e huaj përmendim EIB me 22.5% të stokut të borxhit të jashtëm të garantuar, Italinë me 18.2%, EBRD me 14.6%, etj. Stoku i garancive të brendshme ka ardhur në rritje nga njëri vit në tjetrin, si rezultat i nevojave të vazhdueshme të KESH sh.a. për financim. Ndërkohë, stoku i garancive të huaja ka ardhur në ulje, si rezultat i përfundimit të disbursimeve për një pjesë të madhe të kredive dhe futjes në fazën e shlyerjes. Nga 25 kredi të huaja të garantuara,  5 janë në fazë disbursimi, ku 1 prej tyre është nënshkruar gjatë këtij viti. Në tabelën e mëposhtme paraqitet lista e garancive të emetuara nga Qeveria:</w:t>
      </w:r>
    </w:p>
    <w:p w:rsidR="00B0121D" w:rsidRPr="00D73F43" w:rsidRDefault="00B0121D" w:rsidP="00B0121D">
      <w:pPr>
        <w:spacing w:line="276" w:lineRule="auto"/>
        <w:jc w:val="both"/>
        <w:rPr>
          <w:lang w:val="sq-AL"/>
        </w:rPr>
      </w:pPr>
    </w:p>
    <w:p w:rsidR="00B0121D" w:rsidRPr="00D73F43" w:rsidRDefault="00B0121D" w:rsidP="00B0121D">
      <w:pPr>
        <w:spacing w:line="276" w:lineRule="auto"/>
        <w:jc w:val="both"/>
        <w:rPr>
          <w:b/>
          <w:sz w:val="20"/>
          <w:szCs w:val="20"/>
          <w:lang w:val="sq-AL"/>
        </w:rPr>
      </w:pPr>
    </w:p>
    <w:p w:rsidR="00B0121D" w:rsidRPr="00D73F43" w:rsidRDefault="00B0121D" w:rsidP="00B0121D">
      <w:pPr>
        <w:spacing w:line="276" w:lineRule="auto"/>
        <w:jc w:val="both"/>
        <w:rPr>
          <w:b/>
          <w:sz w:val="20"/>
          <w:szCs w:val="20"/>
          <w:lang w:val="sq-AL"/>
        </w:rPr>
      </w:pPr>
    </w:p>
    <w:p w:rsidR="00B0121D" w:rsidRPr="00D73F43" w:rsidRDefault="00B0121D" w:rsidP="00B0121D">
      <w:pPr>
        <w:spacing w:line="276" w:lineRule="auto"/>
        <w:jc w:val="both"/>
        <w:rPr>
          <w:b/>
          <w:sz w:val="20"/>
          <w:szCs w:val="20"/>
          <w:lang w:val="sq-AL"/>
        </w:rPr>
      </w:pPr>
    </w:p>
    <w:p w:rsidR="00B0121D" w:rsidRPr="00D73F43" w:rsidRDefault="00B0121D" w:rsidP="00B0121D">
      <w:pPr>
        <w:spacing w:line="276" w:lineRule="auto"/>
        <w:jc w:val="both"/>
        <w:rPr>
          <w:b/>
          <w:sz w:val="20"/>
          <w:szCs w:val="20"/>
          <w:lang w:val="sq-AL"/>
        </w:rPr>
      </w:pPr>
    </w:p>
    <w:p w:rsidR="00E84AAE" w:rsidRPr="00D73F43" w:rsidRDefault="00E84AAE" w:rsidP="00B0121D">
      <w:pPr>
        <w:spacing w:line="276" w:lineRule="auto"/>
        <w:jc w:val="both"/>
        <w:rPr>
          <w:b/>
          <w:sz w:val="20"/>
          <w:szCs w:val="20"/>
          <w:lang w:val="sq-AL"/>
        </w:rPr>
      </w:pPr>
    </w:p>
    <w:p w:rsidR="00E84AAE" w:rsidRPr="00D73F43" w:rsidRDefault="00E84AAE" w:rsidP="00B0121D">
      <w:pPr>
        <w:spacing w:line="276" w:lineRule="auto"/>
        <w:jc w:val="both"/>
        <w:rPr>
          <w:b/>
          <w:sz w:val="20"/>
          <w:szCs w:val="20"/>
          <w:lang w:val="sq-AL"/>
        </w:rPr>
      </w:pPr>
    </w:p>
    <w:p w:rsidR="00E84AAE" w:rsidRPr="00D73F43" w:rsidRDefault="00E84AAE" w:rsidP="00B0121D">
      <w:pPr>
        <w:spacing w:line="276" w:lineRule="auto"/>
        <w:jc w:val="both"/>
        <w:rPr>
          <w:b/>
          <w:sz w:val="20"/>
          <w:szCs w:val="20"/>
          <w:lang w:val="sq-AL"/>
        </w:rPr>
      </w:pPr>
    </w:p>
    <w:p w:rsidR="00E84AAE" w:rsidRPr="00D73F43" w:rsidRDefault="00E84AAE" w:rsidP="00B0121D">
      <w:pPr>
        <w:spacing w:line="276" w:lineRule="auto"/>
        <w:jc w:val="both"/>
        <w:rPr>
          <w:b/>
          <w:sz w:val="20"/>
          <w:szCs w:val="20"/>
          <w:lang w:val="sq-AL"/>
        </w:rPr>
      </w:pPr>
    </w:p>
    <w:p w:rsidR="00B0121D" w:rsidRPr="00D73F43" w:rsidRDefault="00B0121D" w:rsidP="00B0121D">
      <w:pPr>
        <w:spacing w:line="276" w:lineRule="auto"/>
        <w:jc w:val="both"/>
        <w:rPr>
          <w:b/>
          <w:sz w:val="20"/>
          <w:szCs w:val="20"/>
          <w:lang w:val="sq-AL"/>
        </w:rPr>
      </w:pPr>
    </w:p>
    <w:p w:rsidR="00B0121D" w:rsidRPr="00D73F43" w:rsidRDefault="00B0121D" w:rsidP="00B0121D">
      <w:pPr>
        <w:spacing w:line="276" w:lineRule="auto"/>
        <w:jc w:val="both"/>
        <w:rPr>
          <w:b/>
          <w:sz w:val="20"/>
          <w:szCs w:val="20"/>
          <w:lang w:val="sq-AL"/>
        </w:rPr>
      </w:pPr>
    </w:p>
    <w:p w:rsidR="00B0121D" w:rsidRPr="00D73F43" w:rsidRDefault="00B0121D" w:rsidP="00B0121D">
      <w:pPr>
        <w:spacing w:line="276" w:lineRule="auto"/>
        <w:jc w:val="both"/>
        <w:rPr>
          <w:b/>
          <w:sz w:val="20"/>
          <w:szCs w:val="20"/>
          <w:lang w:val="sq-AL"/>
        </w:rPr>
      </w:pPr>
      <w:r w:rsidRPr="00D73F43">
        <w:rPr>
          <w:b/>
          <w:sz w:val="20"/>
          <w:szCs w:val="20"/>
          <w:lang w:val="sq-AL"/>
        </w:rPr>
        <w:t xml:space="preserve">                 </w:t>
      </w:r>
    </w:p>
    <w:p w:rsidR="00B0121D" w:rsidRPr="00D73F43" w:rsidRDefault="00B0121D" w:rsidP="00B0121D">
      <w:pPr>
        <w:spacing w:line="276" w:lineRule="auto"/>
        <w:jc w:val="both"/>
        <w:rPr>
          <w:b/>
          <w:sz w:val="20"/>
          <w:szCs w:val="20"/>
          <w:lang w:val="sq-AL"/>
        </w:rPr>
      </w:pPr>
    </w:p>
    <w:p w:rsidR="00B0121D" w:rsidRPr="00D73F43" w:rsidRDefault="00B0121D" w:rsidP="00B0121D">
      <w:pPr>
        <w:spacing w:line="276" w:lineRule="auto"/>
        <w:jc w:val="both"/>
        <w:rPr>
          <w:lang w:val="sq-AL"/>
        </w:rPr>
      </w:pPr>
      <w:r w:rsidRPr="00D73F43">
        <w:rPr>
          <w:b/>
          <w:sz w:val="20"/>
          <w:szCs w:val="20"/>
          <w:lang w:val="sq-AL"/>
        </w:rPr>
        <w:t xml:space="preserve">                 Tabela 6: </w:t>
      </w:r>
      <w:r w:rsidRPr="00D73F43">
        <w:rPr>
          <w:i/>
          <w:sz w:val="20"/>
          <w:szCs w:val="20"/>
          <w:lang w:val="sq-AL"/>
        </w:rPr>
        <w:t>Garancitë Qeveritare</w:t>
      </w:r>
    </w:p>
    <w:p w:rsidR="00B0121D" w:rsidRPr="00D73F43" w:rsidRDefault="00B0121D" w:rsidP="00B0121D">
      <w:pPr>
        <w:spacing w:line="276" w:lineRule="auto"/>
        <w:jc w:val="center"/>
        <w:rPr>
          <w:lang w:val="sq-AL"/>
        </w:rPr>
      </w:pPr>
      <w:r w:rsidRPr="00D73F43">
        <w:rPr>
          <w:noProof/>
          <w:lang w:val="sq-AL" w:eastAsia="sq-AL"/>
        </w:rPr>
        <w:drawing>
          <wp:inline distT="0" distB="0" distL="0" distR="0" wp14:anchorId="7ECB4D4D" wp14:editId="586171DE">
            <wp:extent cx="5667375" cy="58674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375" cy="5867400"/>
                    </a:xfrm>
                    <a:prstGeom prst="rect">
                      <a:avLst/>
                    </a:prstGeom>
                    <a:noFill/>
                    <a:ln>
                      <a:noFill/>
                    </a:ln>
                  </pic:spPr>
                </pic:pic>
              </a:graphicData>
            </a:graphic>
          </wp:inline>
        </w:drawing>
      </w:r>
    </w:p>
    <w:p w:rsidR="00B0121D" w:rsidRPr="00D73F43" w:rsidRDefault="00B0121D" w:rsidP="00B0121D">
      <w:pPr>
        <w:spacing w:line="276" w:lineRule="auto"/>
        <w:rPr>
          <w:lang w:val="sq-AL"/>
        </w:rPr>
      </w:pPr>
      <w:r w:rsidRPr="00D73F43">
        <w:rPr>
          <w:b/>
          <w:sz w:val="20"/>
          <w:szCs w:val="20"/>
          <w:lang w:val="sq-AL"/>
        </w:rPr>
        <w:t>Burimi:</w:t>
      </w:r>
      <w:r w:rsidRPr="00D73F43">
        <w:rPr>
          <w:b/>
          <w:i/>
          <w:sz w:val="20"/>
          <w:szCs w:val="20"/>
          <w:lang w:val="sq-AL"/>
        </w:rPr>
        <w:t xml:space="preserve"> </w:t>
      </w:r>
      <w:r w:rsidRPr="00D73F43">
        <w:rPr>
          <w:i/>
          <w:sz w:val="20"/>
          <w:szCs w:val="20"/>
          <w:lang w:val="sq-AL"/>
        </w:rPr>
        <w:t>Ministria e Financave (2016)</w:t>
      </w:r>
    </w:p>
    <w:p w:rsidR="00B0121D" w:rsidRPr="00D73F43" w:rsidRDefault="00B0121D" w:rsidP="00B0121D">
      <w:pPr>
        <w:spacing w:line="276" w:lineRule="auto"/>
        <w:jc w:val="center"/>
        <w:rPr>
          <w:lang w:val="sq-AL"/>
        </w:rPr>
      </w:pPr>
    </w:p>
    <w:p w:rsidR="00B0121D" w:rsidRPr="00D73F43" w:rsidRDefault="00B0121D" w:rsidP="00B0121D">
      <w:pPr>
        <w:spacing w:line="276" w:lineRule="auto"/>
        <w:jc w:val="both"/>
        <w:rPr>
          <w:lang w:val="sq-AL"/>
        </w:rPr>
      </w:pPr>
      <w:r w:rsidRPr="00D73F43">
        <w:rPr>
          <w:lang w:val="sq-AL"/>
        </w:rPr>
        <w:t>Gjatë vitit 2017, si edhe në vijim, pritet një rritje në drejtim të garancive të huaja dhe një mbështetje e përqendruar kryesisht në sektorin e Energjisë në kuadër të ristrukturimit dhe rritjes së eficencës së këtij sektori. Në drejtim të rritjes së garancive të huaja do të kontribuojë marrëveshja e kredisë me BERZH, e nënshkruar në muajin Korrik 2016. Kredia nuk do të ketë efekt rritës mbi stokun e garancive, por do të kontribuojë në likuidimin e garancive të brendshme, duke zëvendësuar në këtë mënyrë borxhin ekzistues të KESH sh.a. me një borxh me kosto dhe risk më të ulët. Borxhi me terma më të buta pritet të përmirësojë ndjeshëm aftësinë paguese të KESH sh.a. dhe njëkohësisht të ulë ekspozimin e Qeverisë ndaj riskut të kreditit që paraqet KESH sh.a.</w:t>
      </w:r>
    </w:p>
    <w:p w:rsidR="00B0121D" w:rsidRPr="00D73F43" w:rsidRDefault="00B0121D" w:rsidP="00B0121D">
      <w:pPr>
        <w:spacing w:line="276" w:lineRule="auto"/>
        <w:jc w:val="both"/>
        <w:rPr>
          <w:lang w:val="sq-AL"/>
        </w:rPr>
      </w:pPr>
    </w:p>
    <w:p w:rsidR="00B0121D" w:rsidRPr="00D73F43" w:rsidRDefault="00B0121D" w:rsidP="00B0121D">
      <w:pPr>
        <w:spacing w:line="276" w:lineRule="auto"/>
        <w:jc w:val="both"/>
        <w:rPr>
          <w:lang w:val="sq-AL"/>
        </w:rPr>
      </w:pPr>
      <w:r w:rsidRPr="00D73F43">
        <w:rPr>
          <w:lang w:val="sq-AL"/>
        </w:rPr>
        <w:t xml:space="preserve">Përveç sa më sipër, gjatë vitit 2016 në kuadër të borxhit që do të garantohet nga Qeveria, pritet negocimi dhe nënshkrimi i marrëveshjes së huasë në vlerën 50 milionë Euro, ndërmjet KfË dhe OST, për projektin “Linja e transmetimit 400 kV Shqipëri-Maqedoni”. Investimi që do të mundësohet nga kjo kredi pritet që </w:t>
      </w:r>
      <w:r w:rsidRPr="00D73F43">
        <w:rPr>
          <w:lang w:val="sq-AL"/>
        </w:rPr>
        <w:lastRenderedPageBreak/>
        <w:t xml:space="preserve">të ketë ndikim pozitiv në aspektin strategjik, si dhe në aspektin e uljes së kostove të gjenerimit të energjisë elektrike. </w:t>
      </w:r>
    </w:p>
    <w:p w:rsidR="00B0121D" w:rsidRPr="00D73F43" w:rsidRDefault="00B0121D" w:rsidP="00B0121D">
      <w:pPr>
        <w:spacing w:line="276" w:lineRule="auto"/>
        <w:jc w:val="both"/>
        <w:rPr>
          <w:rFonts w:eastAsia="Times New Roman"/>
          <w:kern w:val="24"/>
          <w:lang w:val="sq-AL"/>
        </w:rPr>
      </w:pPr>
      <w:r w:rsidRPr="00D73F43">
        <w:rPr>
          <w:rFonts w:eastAsia="Times New Roman"/>
          <w:kern w:val="24"/>
          <w:lang w:val="sq-AL"/>
        </w:rPr>
        <w:t>Në pikëpamjen strategjike projekti synon: i) të përforcojë lidhjet e interkonjeksionit me Rajonin, duke krijuar kushte për shkëmbime tregtare dhe tranzitime pa kufizim të energjisë elektrike në Rajon; ii) të zhvillojë rrjetin 400 kV në zonën Jugore të Shqipërisë ku parashikohen të zhvillohen burimet e ardhshme të prodhimit të energjisë elektrike; iii) të krijojë mundësi të mira për lidhje nëpërmjet  linjës nënujore me Italinë, si pjesë e infrastrukturës së Korridorit të Tetë Evropian.</w:t>
      </w:r>
    </w:p>
    <w:p w:rsidR="00B0121D" w:rsidRPr="00D73F43" w:rsidRDefault="00B0121D" w:rsidP="00B0121D">
      <w:pPr>
        <w:spacing w:line="276" w:lineRule="auto"/>
        <w:jc w:val="both"/>
        <w:rPr>
          <w:rFonts w:eastAsia="Times New Roman"/>
          <w:kern w:val="24"/>
          <w:lang w:val="sq-AL"/>
        </w:rPr>
      </w:pPr>
    </w:p>
    <w:p w:rsidR="00B0121D" w:rsidRPr="00D73F43" w:rsidRDefault="00B0121D" w:rsidP="00B0121D">
      <w:pPr>
        <w:spacing w:line="276" w:lineRule="auto"/>
        <w:jc w:val="both"/>
        <w:rPr>
          <w:lang w:val="sq-AL"/>
        </w:rPr>
      </w:pPr>
      <w:r w:rsidRPr="00D73F43">
        <w:rPr>
          <w:rFonts w:eastAsia="Times New Roman"/>
          <w:kern w:val="24"/>
          <w:lang w:val="sq-AL"/>
        </w:rPr>
        <w:t xml:space="preserve">Në pikëpamjen e kostos projekti synon: i) të ulë kostot nëpërmjet shfrytëzimit të burimeve më optimale të Rajonit; ii) të krijojë kushtet për lidhje në rrjetin e transmetimit të burimeve të reja të energjisë që mund të rezultojnë me kosto më të ulët </w:t>
      </w:r>
      <w:r w:rsidRPr="00D73F43">
        <w:rPr>
          <w:rFonts w:eastAsia="Times New Roman"/>
          <w:i/>
          <w:kern w:val="24"/>
          <w:lang w:val="sq-AL"/>
        </w:rPr>
        <w:t xml:space="preserve">(të tilla si: </w:t>
      </w:r>
      <w:r w:rsidRPr="00D73F43">
        <w:rPr>
          <w:rFonts w:eastAsia="Tahoma"/>
          <w:i/>
          <w:kern w:val="24"/>
          <w:lang w:val="sq-AL"/>
        </w:rPr>
        <w:t>TEC me gaz në zonën e Korçës me përfundimin e projektit TAP, burimeve të rinovueshme diellore, me erë, etj)</w:t>
      </w:r>
      <w:r w:rsidRPr="00D73F43">
        <w:rPr>
          <w:rFonts w:eastAsia="Tahoma"/>
          <w:kern w:val="24"/>
          <w:lang w:val="sq-AL"/>
        </w:rPr>
        <w:t xml:space="preserve">; iii) të reduktojë humbjet e energjisë elektrike në rrjetin e transmetimit. </w:t>
      </w:r>
      <w:r w:rsidRPr="00D73F43">
        <w:rPr>
          <w:lang w:val="sq-AL"/>
        </w:rPr>
        <w:t>Nga ana tjetër, ulja e kostove do të shoqërohet me zbutjen e detyrimeve të kompanive që operojnë në fushën e prodhimit, transmetimit dhe shpërndarjes së energjisë elektrike, duke reduktuar ekspozimin e Qeverisë si garantuese dhe si financuese e drejtpërdrejtë ndaj riskut të kreditit të këtyre entiteteve.</w:t>
      </w:r>
    </w:p>
    <w:p w:rsidR="00B0121D" w:rsidRPr="00D73F43" w:rsidRDefault="00B0121D" w:rsidP="00B0121D">
      <w:pPr>
        <w:spacing w:line="276" w:lineRule="auto"/>
        <w:rPr>
          <w:lang w:val="sq-AL"/>
        </w:rPr>
      </w:pPr>
    </w:p>
    <w:p w:rsidR="00B0121D" w:rsidRPr="00D73F43" w:rsidRDefault="00B0121D" w:rsidP="00B0121D">
      <w:pPr>
        <w:rPr>
          <w:lang w:val="sq-AL"/>
        </w:rPr>
      </w:pPr>
    </w:p>
    <w:p w:rsidR="00B0121D" w:rsidRPr="00F619DB" w:rsidRDefault="00DF6420" w:rsidP="00534AA6">
      <w:pPr>
        <w:pStyle w:val="Heading1"/>
        <w:numPr>
          <w:ilvl w:val="1"/>
          <w:numId w:val="162"/>
        </w:numPr>
        <w:tabs>
          <w:tab w:val="clear" w:pos="5954"/>
          <w:tab w:val="center" w:pos="709"/>
        </w:tabs>
        <w:spacing w:line="276" w:lineRule="auto"/>
        <w:jc w:val="both"/>
        <w:rPr>
          <w:caps w:val="0"/>
          <w:sz w:val="26"/>
          <w:szCs w:val="26"/>
          <w:lang w:val="sq-AL"/>
        </w:rPr>
      </w:pPr>
      <w:bookmarkStart w:id="27" w:name="_Toc465950353"/>
      <w:r>
        <w:rPr>
          <w:caps w:val="0"/>
          <w:sz w:val="26"/>
          <w:szCs w:val="26"/>
          <w:lang w:val="sq-AL"/>
        </w:rPr>
        <w:t xml:space="preserve"> </w:t>
      </w:r>
      <w:bookmarkStart w:id="28" w:name="_Toc466445438"/>
      <w:r w:rsidR="00B0121D" w:rsidRPr="00D73F43">
        <w:rPr>
          <w:caps w:val="0"/>
          <w:sz w:val="26"/>
          <w:szCs w:val="26"/>
          <w:lang w:val="sq-AL"/>
        </w:rPr>
        <w:t>MINIMIZIMI I RISKUT PËR VEPRIMET EKSTRA-BUXHETORE</w:t>
      </w:r>
      <w:bookmarkEnd w:id="27"/>
      <w:bookmarkEnd w:id="28"/>
      <w:r w:rsidR="00B0121D" w:rsidRPr="00F619DB">
        <w:rPr>
          <w:caps w:val="0"/>
          <w:sz w:val="26"/>
          <w:szCs w:val="26"/>
          <w:lang w:val="sq-AL"/>
        </w:rPr>
        <w:tab/>
      </w:r>
    </w:p>
    <w:p w:rsidR="00B0121D" w:rsidRPr="00D73F43" w:rsidRDefault="00B0121D" w:rsidP="00B0121D">
      <w:pPr>
        <w:spacing w:line="276" w:lineRule="auto"/>
        <w:jc w:val="both"/>
        <w:rPr>
          <w:lang w:val="sq-AL"/>
        </w:rPr>
      </w:pPr>
    </w:p>
    <w:p w:rsidR="00B0121D" w:rsidRPr="00D73F43" w:rsidRDefault="00B0121D" w:rsidP="00B0121D">
      <w:pPr>
        <w:spacing w:line="276" w:lineRule="auto"/>
        <w:jc w:val="both"/>
        <w:rPr>
          <w:lang w:val="sq-AL"/>
        </w:rPr>
      </w:pPr>
      <w:r w:rsidRPr="00D73F43">
        <w:rPr>
          <w:lang w:val="sq-AL"/>
        </w:rPr>
        <w:t xml:space="preserve">Ministria e Financave vlerëson dhe miraton paraprakisht të gjitha projektet koncesionare dhe të partneritetit publik privat (PPP), si edhe çdo ndryshim të tyre, nga pikëpamja e implikimeve individuale apo në grup, për shpenzimet buxhetore, deficitin buxhetor, qëndrueshmërinë e borxhit publik dhe detyrimet kontingjente eventuale. </w:t>
      </w:r>
      <w:r w:rsidRPr="00D73F43">
        <w:rPr>
          <w:lang w:val="sq-AL"/>
        </w:rPr>
        <w:tab/>
      </w:r>
    </w:p>
    <w:p w:rsidR="00B0121D" w:rsidRPr="00D73F43" w:rsidRDefault="00B0121D" w:rsidP="00B0121D">
      <w:pPr>
        <w:spacing w:line="276" w:lineRule="auto"/>
        <w:jc w:val="both"/>
        <w:rPr>
          <w:lang w:val="sq-AL"/>
        </w:rPr>
      </w:pPr>
    </w:p>
    <w:p w:rsidR="00B0121D" w:rsidRPr="00D73F43" w:rsidRDefault="00B0121D" w:rsidP="00B0121D">
      <w:pPr>
        <w:spacing w:line="276" w:lineRule="auto"/>
        <w:jc w:val="both"/>
        <w:rPr>
          <w:lang w:val="sq-AL"/>
        </w:rPr>
      </w:pPr>
      <w:r w:rsidRPr="00D73F43">
        <w:rPr>
          <w:lang w:val="sq-AL"/>
        </w:rPr>
        <w:t xml:space="preserve">Shuma e përgjithshme e pagesave vjetore neto, që kryhen nga njësitë e qeverisjes së përgjithshme, të cilat rezultojnë nga kontrata koncesionare apo partneriteti publik privat (PPP), si rregull, nuk duhet të tejkalojnë </w:t>
      </w:r>
      <w:r w:rsidRPr="00D73F43">
        <w:rPr>
          <w:u w:val="single"/>
          <w:lang w:val="sq-AL"/>
        </w:rPr>
        <w:t>kufirin prej 5 për qind të të ardhurave tatimore faktike të vitit paraardhës buxhetor</w:t>
      </w:r>
      <w:r w:rsidRPr="00D73F43">
        <w:rPr>
          <w:lang w:val="sq-AL"/>
        </w:rPr>
        <w:t xml:space="preserve">. Në rast tejkalimi të këtij kufiri, Këshilli i Ministrave merr masa korrektuese në krahun e të ardhurave buxhetore, të nevojshme dhe të mjaftueshme, për t’u rikthyer brenda kufirit të lejuar, gjatë dy viteve të ardhshme buxhetore. </w:t>
      </w:r>
    </w:p>
    <w:p w:rsidR="00B0121D" w:rsidRPr="00D73F43" w:rsidRDefault="00B0121D" w:rsidP="00B0121D">
      <w:pPr>
        <w:spacing w:line="276" w:lineRule="auto"/>
        <w:jc w:val="both"/>
        <w:rPr>
          <w:lang w:val="sq-AL"/>
        </w:rPr>
      </w:pPr>
    </w:p>
    <w:p w:rsidR="00B0121D" w:rsidRPr="00D73F43" w:rsidRDefault="00B0121D" w:rsidP="00B0121D">
      <w:pPr>
        <w:spacing w:line="276" w:lineRule="auto"/>
        <w:jc w:val="both"/>
        <w:rPr>
          <w:lang w:val="sq-AL"/>
        </w:rPr>
      </w:pPr>
      <w:r w:rsidRPr="00D73F43">
        <w:rPr>
          <w:lang w:val="sq-AL"/>
        </w:rPr>
        <w:t>Aktualisht, janë në fuqi 6 kontrata koncesionare apo partneriteti publik privat (PPP), të cilat marrin mbështetje buxhetore, si dhe pritet që gjatë vitit 2017 të startojnë dhe 2 kontrata të reja të lidhura nga Ministria e Mjedisit dhe Ministria e Shëndetësisë, sipas detajeve të dhëna në Tabelën e mëposhtme:</w:t>
      </w:r>
    </w:p>
    <w:p w:rsidR="00B0121D" w:rsidRPr="00D73F43" w:rsidRDefault="00B0121D" w:rsidP="00B0121D">
      <w:pPr>
        <w:jc w:val="both"/>
        <w:rPr>
          <w:lang w:val="sq-AL"/>
        </w:rPr>
      </w:pPr>
    </w:p>
    <w:p w:rsidR="00B0121D" w:rsidRPr="00D73F43" w:rsidRDefault="00B0121D" w:rsidP="00B0121D">
      <w:pPr>
        <w:jc w:val="both"/>
        <w:rPr>
          <w:lang w:val="sq-AL"/>
        </w:rPr>
      </w:pPr>
    </w:p>
    <w:p w:rsidR="00B0121D" w:rsidRPr="00D73F43" w:rsidRDefault="00B0121D" w:rsidP="00B0121D">
      <w:pPr>
        <w:jc w:val="both"/>
        <w:rPr>
          <w:lang w:val="sq-AL"/>
        </w:rPr>
      </w:pPr>
    </w:p>
    <w:p w:rsidR="00B0121D" w:rsidRPr="00D73F43" w:rsidRDefault="00B0121D" w:rsidP="00B0121D">
      <w:pPr>
        <w:jc w:val="both"/>
        <w:rPr>
          <w:lang w:val="sq-AL"/>
        </w:rPr>
      </w:pPr>
    </w:p>
    <w:p w:rsidR="00B0121D" w:rsidRPr="00D73F43" w:rsidRDefault="00B0121D" w:rsidP="00B0121D">
      <w:pPr>
        <w:jc w:val="both"/>
        <w:rPr>
          <w:lang w:val="sq-AL"/>
        </w:rPr>
      </w:pPr>
    </w:p>
    <w:p w:rsidR="00B0121D" w:rsidRPr="00D73F43" w:rsidRDefault="00B0121D" w:rsidP="00B0121D">
      <w:pPr>
        <w:jc w:val="both"/>
        <w:rPr>
          <w:lang w:val="sq-AL"/>
        </w:rPr>
      </w:pPr>
    </w:p>
    <w:p w:rsidR="00B0121D" w:rsidRPr="00D73F43" w:rsidRDefault="00B0121D" w:rsidP="00B0121D">
      <w:pPr>
        <w:jc w:val="both"/>
        <w:rPr>
          <w:lang w:val="sq-AL"/>
        </w:rPr>
      </w:pPr>
    </w:p>
    <w:p w:rsidR="00E84AAE" w:rsidRPr="00D73F43" w:rsidRDefault="00E84AAE" w:rsidP="00B0121D">
      <w:pPr>
        <w:jc w:val="both"/>
        <w:rPr>
          <w:lang w:val="sq-AL"/>
        </w:rPr>
      </w:pPr>
    </w:p>
    <w:p w:rsidR="00E84AAE" w:rsidRPr="00D73F43" w:rsidRDefault="00E84AAE" w:rsidP="00B0121D">
      <w:pPr>
        <w:jc w:val="both"/>
        <w:rPr>
          <w:lang w:val="sq-AL"/>
        </w:rPr>
      </w:pPr>
    </w:p>
    <w:p w:rsidR="00E84AAE" w:rsidRPr="00D73F43" w:rsidRDefault="00E84AAE" w:rsidP="00B0121D">
      <w:pPr>
        <w:jc w:val="both"/>
        <w:rPr>
          <w:lang w:val="sq-AL"/>
        </w:rPr>
      </w:pPr>
    </w:p>
    <w:p w:rsidR="00E84AAE" w:rsidRPr="00D73F43" w:rsidRDefault="00E84AAE" w:rsidP="00B0121D">
      <w:pPr>
        <w:jc w:val="both"/>
        <w:rPr>
          <w:lang w:val="sq-AL"/>
        </w:rPr>
      </w:pPr>
    </w:p>
    <w:p w:rsidR="00E84AAE" w:rsidRPr="00D73F43" w:rsidRDefault="00E84AAE" w:rsidP="00B0121D">
      <w:pPr>
        <w:jc w:val="both"/>
        <w:rPr>
          <w:lang w:val="sq-AL"/>
        </w:rPr>
      </w:pPr>
    </w:p>
    <w:p w:rsidR="00B0121D" w:rsidRPr="00D73F43" w:rsidRDefault="00B0121D" w:rsidP="00B0121D">
      <w:pPr>
        <w:jc w:val="both"/>
        <w:rPr>
          <w:lang w:val="sq-AL"/>
        </w:rPr>
      </w:pPr>
    </w:p>
    <w:p w:rsidR="00E84AAE" w:rsidRPr="00D73F43" w:rsidRDefault="00E84AAE" w:rsidP="00B0121D">
      <w:pPr>
        <w:jc w:val="both"/>
        <w:rPr>
          <w:lang w:val="sq-AL"/>
        </w:rPr>
      </w:pPr>
    </w:p>
    <w:p w:rsidR="00B0121D" w:rsidRPr="00D73F43" w:rsidRDefault="00B0121D" w:rsidP="00B0121D">
      <w:pPr>
        <w:jc w:val="both"/>
        <w:rPr>
          <w:lang w:val="sq-AL"/>
        </w:rPr>
      </w:pPr>
    </w:p>
    <w:p w:rsidR="00B0121D" w:rsidRPr="00D73F43" w:rsidRDefault="00B0121D" w:rsidP="00B0121D">
      <w:pPr>
        <w:jc w:val="both"/>
        <w:rPr>
          <w:lang w:val="sq-AL"/>
        </w:rPr>
      </w:pPr>
    </w:p>
    <w:p w:rsidR="00B0121D" w:rsidRPr="00D73F43" w:rsidRDefault="00B0121D" w:rsidP="00B0121D">
      <w:pPr>
        <w:jc w:val="both"/>
        <w:rPr>
          <w:b/>
          <w:lang w:val="sq-AL"/>
        </w:rPr>
      </w:pPr>
      <w:r w:rsidRPr="00D73F43">
        <w:rPr>
          <w:b/>
          <w:lang w:val="sq-AL"/>
        </w:rPr>
        <w:t>Tabela .7.</w:t>
      </w:r>
    </w:p>
    <w:p w:rsidR="00B0121D" w:rsidRPr="00D73F43" w:rsidRDefault="00B0121D" w:rsidP="00B0121D">
      <w:pPr>
        <w:jc w:val="both"/>
        <w:rPr>
          <w:lang w:val="sq-AL"/>
        </w:rPr>
      </w:pPr>
      <w:r w:rsidRPr="00D73F43">
        <w:rPr>
          <w:noProof/>
          <w:lang w:val="sq-AL" w:eastAsia="sq-AL"/>
        </w:rPr>
        <w:drawing>
          <wp:inline distT="0" distB="0" distL="0" distR="0" wp14:anchorId="2D5A24E5" wp14:editId="76463776">
            <wp:extent cx="6734175" cy="35337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4175" cy="3533775"/>
                    </a:xfrm>
                    <a:prstGeom prst="rect">
                      <a:avLst/>
                    </a:prstGeom>
                    <a:noFill/>
                    <a:ln>
                      <a:noFill/>
                    </a:ln>
                  </pic:spPr>
                </pic:pic>
              </a:graphicData>
            </a:graphic>
          </wp:inline>
        </w:drawing>
      </w:r>
    </w:p>
    <w:p w:rsidR="00B0121D" w:rsidRPr="00D73F43" w:rsidRDefault="00B0121D" w:rsidP="00B0121D">
      <w:pPr>
        <w:jc w:val="both"/>
        <w:rPr>
          <w:i/>
          <w:sz w:val="18"/>
          <w:szCs w:val="20"/>
          <w:lang w:val="sq-AL"/>
        </w:rPr>
      </w:pPr>
      <w:r w:rsidRPr="00D73F43">
        <w:rPr>
          <w:i/>
          <w:sz w:val="18"/>
          <w:szCs w:val="20"/>
          <w:lang w:val="sq-AL"/>
        </w:rPr>
        <w:t>*Kërkesa për mbështetje financiare për këto projekte nga ana e Ministrisë së Mjedisit dhe Ministria e Shëndetësisë është miratuar nga MoF dhe pritet që të lidhen kontratat përkatëse në vitin 2017</w:t>
      </w:r>
    </w:p>
    <w:p w:rsidR="00B0121D" w:rsidRPr="00D73F43" w:rsidRDefault="00B0121D" w:rsidP="00B0121D">
      <w:pPr>
        <w:spacing w:line="276" w:lineRule="auto"/>
        <w:jc w:val="both"/>
        <w:rPr>
          <w:lang w:val="sq-AL"/>
        </w:rPr>
      </w:pPr>
    </w:p>
    <w:p w:rsidR="00B0121D" w:rsidRPr="00D73F43" w:rsidRDefault="00B0121D" w:rsidP="00B0121D">
      <w:pPr>
        <w:spacing w:line="276" w:lineRule="auto"/>
        <w:jc w:val="both"/>
        <w:rPr>
          <w:lang w:val="sq-AL"/>
        </w:rPr>
      </w:pPr>
      <w:r w:rsidRPr="00D73F43">
        <w:rPr>
          <w:lang w:val="sq-AL"/>
        </w:rPr>
        <w:t>Për sa i përket respektimit të nenit 4/2 të ligjit nr.9936 datë 26.06.2008 “Për menaxhimin e sistemit buxhetor ku përcaktohet se "...</w:t>
      </w:r>
      <w:r w:rsidRPr="00D73F43">
        <w:rPr>
          <w:i/>
          <w:lang w:val="sq-AL"/>
        </w:rPr>
        <w:t>shuma e përgjithshme e pagesave vjetore neto, që kryhen nga njësitë e qeverisjes së përgjithshme, të cilat rezultojnë nga kontrata koncesionare apo partneriteti publik privat (PPP), si rregull, nuk duhet të tejkalojnë kufirin prej 5 për qind të të ardhurave tatimore faktike të vitit paraardhës buxhetor</w:t>
      </w:r>
      <w:r w:rsidRPr="00D73F43">
        <w:rPr>
          <w:lang w:val="sq-AL"/>
        </w:rPr>
        <w:t>.", rezulton se:</w:t>
      </w:r>
    </w:p>
    <w:p w:rsidR="00B0121D" w:rsidRPr="00D73F43" w:rsidRDefault="00B0121D" w:rsidP="00B0121D">
      <w:pPr>
        <w:spacing w:line="276" w:lineRule="auto"/>
        <w:jc w:val="both"/>
        <w:rPr>
          <w:lang w:val="sq-AL"/>
        </w:rPr>
      </w:pPr>
    </w:p>
    <w:p w:rsidR="00B0121D" w:rsidRPr="00D73F43" w:rsidRDefault="00B0121D" w:rsidP="00534AA6">
      <w:pPr>
        <w:numPr>
          <w:ilvl w:val="0"/>
          <w:numId w:val="7"/>
        </w:numPr>
        <w:spacing w:line="276" w:lineRule="auto"/>
        <w:jc w:val="both"/>
        <w:rPr>
          <w:lang w:val="sq-AL"/>
        </w:rPr>
      </w:pPr>
      <w:r w:rsidRPr="00D73F43">
        <w:rPr>
          <w:lang w:val="sq-AL"/>
        </w:rPr>
        <w:t>Kufiri i lejuar prej 5% i të ardhurave tatimore faktike të vitit paraardhës, pra i vitit 2016, është rreth 18.7 miliardë lekë.</w:t>
      </w:r>
    </w:p>
    <w:p w:rsidR="00B0121D" w:rsidRPr="00D73F43" w:rsidRDefault="00B0121D" w:rsidP="00B0121D">
      <w:pPr>
        <w:spacing w:line="276" w:lineRule="auto"/>
        <w:ind w:left="720"/>
        <w:jc w:val="both"/>
        <w:rPr>
          <w:lang w:val="sq-AL"/>
        </w:rPr>
      </w:pPr>
    </w:p>
    <w:p w:rsidR="00B0121D" w:rsidRPr="00D73F43" w:rsidRDefault="00B0121D" w:rsidP="00534AA6">
      <w:pPr>
        <w:numPr>
          <w:ilvl w:val="0"/>
          <w:numId w:val="7"/>
        </w:numPr>
        <w:spacing w:line="276" w:lineRule="auto"/>
        <w:jc w:val="both"/>
        <w:rPr>
          <w:lang w:val="sq-AL"/>
        </w:rPr>
      </w:pPr>
      <w:r w:rsidRPr="00D73F43">
        <w:rPr>
          <w:lang w:val="sq-AL"/>
        </w:rPr>
        <w:t>Referuar Tabelës nr.7.  pagesat vjetore neto që parashikohen të kryhen nga njësitë e qeverisjes së përgjithshme për kontratat koncesionare apo PPP, kapin vlerën e 7.2 miliardë lekë për vitin 2017.</w:t>
      </w:r>
    </w:p>
    <w:p w:rsidR="00B0121D" w:rsidRPr="00D73F43" w:rsidRDefault="00B0121D" w:rsidP="00B0121D">
      <w:pPr>
        <w:spacing w:line="276" w:lineRule="auto"/>
        <w:jc w:val="both"/>
        <w:rPr>
          <w:lang w:val="sq-AL"/>
        </w:rPr>
      </w:pPr>
    </w:p>
    <w:p w:rsidR="00B0121D" w:rsidRPr="00D73F43" w:rsidRDefault="00B0121D" w:rsidP="00B0121D">
      <w:pPr>
        <w:spacing w:line="276" w:lineRule="auto"/>
        <w:jc w:val="both"/>
        <w:rPr>
          <w:lang w:val="sq-AL"/>
        </w:rPr>
      </w:pPr>
      <w:r w:rsidRPr="00D73F43">
        <w:rPr>
          <w:lang w:val="sq-AL"/>
        </w:rPr>
        <w:t>Rrjedhimisht, Buxheti 2017 respekton kufizimin  ligjor të sipërcituar,  pasi  vlera e parashikuar prej 7.2 miliardë lekë për pagesat vjetore neto për kontratat koncesionare apo PPP për vitin 2017,  përbën rreth 2% të totalit të të ardhurave tatimore faktike për vitin 2016.</w:t>
      </w:r>
    </w:p>
    <w:p w:rsidR="00B0121D" w:rsidRPr="00D73F43" w:rsidRDefault="00B0121D" w:rsidP="00B0121D">
      <w:pPr>
        <w:jc w:val="both"/>
        <w:rPr>
          <w:lang w:val="sq-AL"/>
        </w:rPr>
      </w:pPr>
    </w:p>
    <w:p w:rsidR="00B0121D" w:rsidRPr="00D73F43" w:rsidRDefault="00B0121D" w:rsidP="00B0121D">
      <w:pPr>
        <w:jc w:val="both"/>
        <w:rPr>
          <w:lang w:val="sq-AL"/>
        </w:rPr>
      </w:pPr>
    </w:p>
    <w:p w:rsidR="00B0121D" w:rsidRPr="00D73F43" w:rsidRDefault="00B0121D" w:rsidP="00B0121D">
      <w:pPr>
        <w:rPr>
          <w:lang w:val="sq-AL"/>
        </w:rPr>
      </w:pPr>
    </w:p>
    <w:p w:rsidR="00B0121D" w:rsidRPr="00D73F43" w:rsidRDefault="00B0121D" w:rsidP="00534AA6">
      <w:pPr>
        <w:pStyle w:val="Heading1"/>
        <w:numPr>
          <w:ilvl w:val="1"/>
          <w:numId w:val="162"/>
        </w:numPr>
        <w:tabs>
          <w:tab w:val="clear" w:pos="5954"/>
          <w:tab w:val="center" w:pos="709"/>
        </w:tabs>
        <w:spacing w:line="276" w:lineRule="auto"/>
        <w:jc w:val="both"/>
        <w:rPr>
          <w:caps w:val="0"/>
          <w:sz w:val="26"/>
          <w:szCs w:val="26"/>
          <w:lang w:val="sq-AL"/>
        </w:rPr>
      </w:pPr>
      <w:bookmarkStart w:id="29" w:name="_Toc465950354"/>
      <w:bookmarkStart w:id="30" w:name="_Toc466445439"/>
      <w:r w:rsidRPr="00D73F43">
        <w:rPr>
          <w:caps w:val="0"/>
          <w:sz w:val="26"/>
          <w:szCs w:val="26"/>
          <w:lang w:val="sq-AL"/>
        </w:rPr>
        <w:t>BUXHETI VENDOR 2017</w:t>
      </w:r>
      <w:bookmarkEnd w:id="29"/>
      <w:bookmarkEnd w:id="30"/>
    </w:p>
    <w:p w:rsidR="00B0121D" w:rsidRPr="00D73F43" w:rsidRDefault="00B0121D" w:rsidP="00B0121D">
      <w:pPr>
        <w:pStyle w:val="ListParagraph"/>
        <w:ind w:left="0"/>
        <w:rPr>
          <w:b/>
          <w:lang w:val="sq-AL"/>
        </w:rPr>
      </w:pPr>
    </w:p>
    <w:p w:rsidR="00B0121D" w:rsidRPr="00D73F43" w:rsidRDefault="00B0121D" w:rsidP="007C2D89">
      <w:pPr>
        <w:spacing w:line="276" w:lineRule="auto"/>
        <w:jc w:val="both"/>
        <w:rPr>
          <w:lang w:val="sq-AL"/>
        </w:rPr>
      </w:pPr>
      <w:r w:rsidRPr="00D73F43">
        <w:rPr>
          <w:rFonts w:eastAsia="Times New Roman"/>
          <w:bCs/>
          <w:lang w:val="sq-AL" w:eastAsia="x-none"/>
        </w:rPr>
        <w:t>Në vitin 2013, organizimi i Njësive të Qeverisjes Vendore, ishte tejet i fragmentuar, me 373 njësi dhe kryetarë të njësive vendore, mbi 4,000 këshilltarë  dhe rreth 20,000</w:t>
      </w:r>
      <w:r w:rsidR="007C2D89">
        <w:rPr>
          <w:rFonts w:eastAsia="Times New Roman"/>
          <w:bCs/>
          <w:lang w:val="sq-AL" w:eastAsia="x-none"/>
        </w:rPr>
        <w:t xml:space="preserve"> nëpunës</w:t>
      </w:r>
      <w:r w:rsidRPr="00D73F43">
        <w:rPr>
          <w:rFonts w:eastAsia="Times New Roman"/>
          <w:bCs/>
          <w:lang w:val="sq-AL" w:eastAsia="x-none"/>
        </w:rPr>
        <w:t xml:space="preserve">, dhe mungesë e theksuar </w:t>
      </w:r>
      <w:r w:rsidRPr="00D73F43">
        <w:rPr>
          <w:rFonts w:eastAsia="Times New Roman"/>
          <w:bCs/>
          <w:lang w:val="sq-AL" w:eastAsia="x-none"/>
        </w:rPr>
        <w:lastRenderedPageBreak/>
        <w:t xml:space="preserve">eficience </w:t>
      </w:r>
      <w:r w:rsidRPr="00D73F43">
        <w:rPr>
          <w:lang w:val="sq-AL"/>
        </w:rPr>
        <w:t xml:space="preserve">në ofrimin e shërbimeve dhe funksioneve që  i takojnë pushteti vendor. Po kështu, në 2013, 70 njësi të vetëqeverisjes vendore ose 20% e totalit, nuk bënin asnjë investim me buxhetin e tyre. </w:t>
      </w:r>
    </w:p>
    <w:p w:rsidR="00B0121D" w:rsidRPr="00D73F43" w:rsidRDefault="00B0121D" w:rsidP="007C2D89">
      <w:pPr>
        <w:spacing w:line="276" w:lineRule="auto"/>
        <w:jc w:val="both"/>
        <w:rPr>
          <w:lang w:val="sq-AL"/>
        </w:rPr>
      </w:pPr>
    </w:p>
    <w:p w:rsidR="00B0121D" w:rsidRPr="00D73F43" w:rsidRDefault="00B0121D" w:rsidP="007C2D89">
      <w:pPr>
        <w:spacing w:line="276" w:lineRule="auto"/>
        <w:jc w:val="both"/>
        <w:rPr>
          <w:rFonts w:eastAsia="Times New Roman"/>
          <w:bCs/>
          <w:lang w:val="sq-AL" w:eastAsia="x-none"/>
        </w:rPr>
      </w:pPr>
      <w:r w:rsidRPr="00D73F43">
        <w:rPr>
          <w:lang w:val="sq-AL"/>
        </w:rPr>
        <w:t>Deri në vitin 2013, njësitë e qeverisjes vendore  shpenzonin 27% të buxhetit të tyre për investime kapitale, ndërkohë që për vitin 2017 pritet të shpenzojnë rreth 55% të buxhetit të tyre për investime.</w:t>
      </w:r>
    </w:p>
    <w:p w:rsidR="00B0121D" w:rsidRPr="00D73F43" w:rsidRDefault="00B0121D" w:rsidP="007C2D89">
      <w:pPr>
        <w:spacing w:line="276" w:lineRule="auto"/>
        <w:jc w:val="both"/>
        <w:rPr>
          <w:lang w:val="sq-AL"/>
        </w:rPr>
      </w:pPr>
    </w:p>
    <w:p w:rsidR="00B0121D" w:rsidRPr="00D73F43" w:rsidRDefault="00B0121D" w:rsidP="007C2D89">
      <w:pPr>
        <w:spacing w:line="276" w:lineRule="auto"/>
        <w:jc w:val="both"/>
        <w:rPr>
          <w:lang w:val="sq-AL"/>
        </w:rPr>
      </w:pPr>
      <w:r w:rsidRPr="00D73F43">
        <w:rPr>
          <w:lang w:val="sq-AL"/>
        </w:rPr>
        <w:t>Në vitin 2013 rreth 40 njësi të qeverisjes vendore shpenzonin mbi 80% të buxhetit të tyre vetëm për pagat e punonjësve, ndërsa 230 njësi të qeverisjes vendore (ose 63% e tyre) që përfaqësojnë 34% të popullsisë së vendit, shpenzonin mbi 70% të buxhetit të tyre për pagat e punonjësve.</w:t>
      </w:r>
    </w:p>
    <w:p w:rsidR="00B0121D" w:rsidRPr="00D73F43" w:rsidRDefault="00B0121D" w:rsidP="007C2D89">
      <w:pPr>
        <w:spacing w:line="276" w:lineRule="auto"/>
        <w:jc w:val="both"/>
        <w:rPr>
          <w:lang w:val="sq-AL"/>
        </w:rPr>
      </w:pPr>
    </w:p>
    <w:p w:rsidR="00B0121D" w:rsidRPr="00D73F43" w:rsidRDefault="00B0121D" w:rsidP="007C2D89">
      <w:pPr>
        <w:pStyle w:val="ListParagraph"/>
        <w:spacing w:line="276" w:lineRule="auto"/>
        <w:ind w:left="0"/>
        <w:jc w:val="both"/>
        <w:rPr>
          <w:b/>
          <w:lang w:val="sq-AL"/>
        </w:rPr>
      </w:pPr>
      <w:r w:rsidRPr="00D73F43">
        <w:rPr>
          <w:lang w:val="sq-AL" w:eastAsia="sq-AL"/>
        </w:rPr>
        <w:t xml:space="preserve">Viti 2017 shënon një moment historik në thellimin e decentralizimit dhe të autonomisë së pushtetit vendor, në zbatim të Reformës administrativo–territoriale. </w:t>
      </w:r>
      <w:r w:rsidRPr="00D73F43">
        <w:rPr>
          <w:lang w:val="sq-AL"/>
        </w:rPr>
        <w:t xml:space="preserve">Rritja e kompetencave dhe fondeve për qeverisjen vendore në fusha dhe sektorë zhvillimorë si bujqësia, pyjet, rrugët, e transformon rrënjësisht konceptin e pushtetit vendor duke  i dhënë një dimension të ri qeverisjes vendore, në një  dhe më shumë mundësi  zhvillimi, duke sjellë dukshëm edhe një përmirësim të shërbimeve të ofruara për qytetarët dhe klimës së të bërit biznes. </w:t>
      </w:r>
    </w:p>
    <w:p w:rsidR="00B0121D" w:rsidRPr="00D73F43" w:rsidRDefault="00B0121D" w:rsidP="007C2D89">
      <w:pPr>
        <w:pStyle w:val="ListParagraph"/>
        <w:spacing w:line="276" w:lineRule="auto"/>
        <w:ind w:left="0"/>
        <w:rPr>
          <w:b/>
          <w:lang w:val="sq-AL"/>
        </w:rPr>
      </w:pPr>
    </w:p>
    <w:p w:rsidR="00B0121D" w:rsidRDefault="00B0121D" w:rsidP="00534AA6">
      <w:pPr>
        <w:pStyle w:val="Heading2"/>
        <w:numPr>
          <w:ilvl w:val="0"/>
          <w:numId w:val="147"/>
        </w:numPr>
        <w:rPr>
          <w:rFonts w:ascii="Times New Roman" w:hAnsi="Times New Roman"/>
          <w:i w:val="0"/>
          <w:sz w:val="24"/>
          <w:szCs w:val="24"/>
          <w:lang w:val="sq-AL"/>
        </w:rPr>
      </w:pPr>
      <w:bookmarkStart w:id="31" w:name="_Toc466295645"/>
      <w:bookmarkStart w:id="32" w:name="_Toc466445440"/>
      <w:r w:rsidRPr="007C2D89">
        <w:rPr>
          <w:rFonts w:ascii="Times New Roman" w:hAnsi="Times New Roman"/>
          <w:i w:val="0"/>
          <w:sz w:val="24"/>
          <w:szCs w:val="24"/>
          <w:lang w:val="sq-AL"/>
        </w:rPr>
        <w:t>Objektivat kryesorë për buxhetin vendor të vitit 2017</w:t>
      </w:r>
      <w:bookmarkEnd w:id="31"/>
      <w:bookmarkEnd w:id="32"/>
    </w:p>
    <w:p w:rsidR="007C2D89" w:rsidRPr="007C2D89" w:rsidRDefault="007C2D89" w:rsidP="007C2D89">
      <w:pPr>
        <w:rPr>
          <w:lang w:val="sq-AL"/>
        </w:rPr>
      </w:pPr>
    </w:p>
    <w:p w:rsidR="00B0121D" w:rsidRPr="00D73F43" w:rsidRDefault="00B0121D" w:rsidP="00534AA6">
      <w:pPr>
        <w:numPr>
          <w:ilvl w:val="0"/>
          <w:numId w:val="93"/>
        </w:numPr>
        <w:tabs>
          <w:tab w:val="left" w:pos="0"/>
          <w:tab w:val="left" w:pos="270"/>
          <w:tab w:val="right" w:pos="8640"/>
          <w:tab w:val="right" w:pos="9360"/>
        </w:tabs>
        <w:spacing w:line="276" w:lineRule="auto"/>
        <w:ind w:right="-43"/>
        <w:jc w:val="both"/>
        <w:rPr>
          <w:lang w:val="sq-AL"/>
        </w:rPr>
      </w:pPr>
      <w:r w:rsidRPr="00D73F43">
        <w:rPr>
          <w:lang w:val="sq-AL"/>
        </w:rPr>
        <w:t>Buxheti vendor i vitit 2017, do jetë Buxheti i  thellimit të Reformës Administrativo - Territoriale. Në funksion të këtij objektivi transferta e pakushtëzuar do jetë 2.5 miliardë lekë më e lartë se ajo e vitit 2016 dhe do shkojë tërësisht në rritjen e portofolit të investimeve publike dhe shlyerjen  e detyrimeve të prapambetura për njësitë e qeverisjes vendore.</w:t>
      </w:r>
    </w:p>
    <w:p w:rsidR="00B0121D" w:rsidRPr="00D73F43" w:rsidRDefault="00B0121D" w:rsidP="00B0121D">
      <w:pPr>
        <w:tabs>
          <w:tab w:val="left" w:pos="0"/>
          <w:tab w:val="left" w:pos="270"/>
          <w:tab w:val="right" w:pos="8640"/>
          <w:tab w:val="right" w:pos="9360"/>
        </w:tabs>
        <w:spacing w:line="276" w:lineRule="auto"/>
        <w:ind w:left="360" w:right="-43"/>
        <w:jc w:val="both"/>
        <w:rPr>
          <w:lang w:val="sq-AL"/>
        </w:rPr>
      </w:pPr>
      <w:r w:rsidRPr="00D73F43">
        <w:rPr>
          <w:lang w:val="sq-AL"/>
        </w:rPr>
        <w:t xml:space="preserve"> </w:t>
      </w:r>
    </w:p>
    <w:p w:rsidR="00B0121D" w:rsidRPr="00D73F43" w:rsidRDefault="00B0121D" w:rsidP="00534AA6">
      <w:pPr>
        <w:numPr>
          <w:ilvl w:val="0"/>
          <w:numId w:val="93"/>
        </w:numPr>
        <w:tabs>
          <w:tab w:val="left" w:pos="0"/>
          <w:tab w:val="left" w:pos="270"/>
          <w:tab w:val="right" w:pos="8640"/>
          <w:tab w:val="right" w:pos="9360"/>
        </w:tabs>
        <w:spacing w:line="276" w:lineRule="auto"/>
        <w:ind w:right="-43"/>
        <w:jc w:val="both"/>
        <w:rPr>
          <w:lang w:val="sq-AL"/>
        </w:rPr>
      </w:pPr>
      <w:r w:rsidRPr="00D73F43">
        <w:rPr>
          <w:lang w:val="sq-AL"/>
        </w:rPr>
        <w:t>Reforma e decentralizimit fiskal në vitin 2017  synon që njësitë e qeverisjes vendore të kenë më shumë burime financiare në dispozicion, me qëllim rritjen e eficencës dhe qendrueshëmrisë në funksionet dhe kompetencat e tyre. Në vitin 2017 parashikohet të hyjë në fuqi ligji për financat e qeverisjes vendore, i cili pritet të ndikojë në buxhetin e vitit 2017, për njësitë e vetëqeverisjes vendore, në drejtim të:</w:t>
      </w:r>
    </w:p>
    <w:p w:rsidR="00B0121D" w:rsidRPr="00D73F43" w:rsidRDefault="00B0121D" w:rsidP="00B0121D">
      <w:pPr>
        <w:tabs>
          <w:tab w:val="left" w:pos="0"/>
          <w:tab w:val="left" w:pos="270"/>
          <w:tab w:val="right" w:pos="8640"/>
          <w:tab w:val="right" w:pos="9360"/>
        </w:tabs>
        <w:spacing w:line="276" w:lineRule="auto"/>
        <w:ind w:right="-43"/>
        <w:jc w:val="both"/>
        <w:rPr>
          <w:lang w:val="sq-AL"/>
        </w:rPr>
      </w:pPr>
    </w:p>
    <w:p w:rsidR="00B0121D" w:rsidRPr="00D73F43" w:rsidRDefault="00B0121D" w:rsidP="00534AA6">
      <w:pPr>
        <w:numPr>
          <w:ilvl w:val="0"/>
          <w:numId w:val="94"/>
        </w:numPr>
        <w:spacing w:line="276" w:lineRule="auto"/>
        <w:jc w:val="both"/>
        <w:rPr>
          <w:lang w:val="sq-AL"/>
        </w:rPr>
      </w:pPr>
      <w:r w:rsidRPr="00D73F43">
        <w:rPr>
          <w:lang w:val="sq-AL"/>
        </w:rPr>
        <w:t>Forcimit të rregullave për procesin buxhetor dhe disiplinës fiskale e financiare në menaxhimin e financave vendore, si dhe rolit më të madh mbikëqyrës të Ministrisë së Financave në këtë drejtim;</w:t>
      </w:r>
    </w:p>
    <w:p w:rsidR="00B0121D" w:rsidRPr="00D73F43" w:rsidRDefault="00B0121D" w:rsidP="00534AA6">
      <w:pPr>
        <w:numPr>
          <w:ilvl w:val="0"/>
          <w:numId w:val="94"/>
        </w:numPr>
        <w:spacing w:line="276" w:lineRule="auto"/>
        <w:jc w:val="both"/>
        <w:rPr>
          <w:lang w:val="sq-AL"/>
        </w:rPr>
      </w:pPr>
      <w:r w:rsidRPr="00D73F43">
        <w:rPr>
          <w:lang w:val="sq-AL"/>
        </w:rPr>
        <w:t>Rritjes së aftësisë së parashikueshmërisë së burimeve financiare publike në nivel vendor;</w:t>
      </w:r>
    </w:p>
    <w:p w:rsidR="00B0121D" w:rsidRPr="00D73F43" w:rsidRDefault="00B0121D" w:rsidP="00534AA6">
      <w:pPr>
        <w:numPr>
          <w:ilvl w:val="0"/>
          <w:numId w:val="94"/>
        </w:numPr>
        <w:spacing w:line="276" w:lineRule="auto"/>
        <w:jc w:val="both"/>
        <w:rPr>
          <w:lang w:val="sq-AL"/>
        </w:rPr>
      </w:pPr>
      <w:r w:rsidRPr="00D73F43">
        <w:rPr>
          <w:lang w:val="sq-AL"/>
        </w:rPr>
        <w:t>Sigurimit dhe konsolidimit të një dialogu efektiv ndërmjet dy niveleve të qeverisjes për ndarjen e detyrave dhe burimeve;</w:t>
      </w:r>
    </w:p>
    <w:p w:rsidR="00B0121D" w:rsidRPr="00D73F43" w:rsidRDefault="00B0121D" w:rsidP="00534AA6">
      <w:pPr>
        <w:numPr>
          <w:ilvl w:val="0"/>
          <w:numId w:val="94"/>
        </w:numPr>
        <w:spacing w:line="276" w:lineRule="auto"/>
        <w:jc w:val="both"/>
        <w:rPr>
          <w:lang w:val="sq-AL"/>
        </w:rPr>
      </w:pPr>
      <w:r w:rsidRPr="00D73F43">
        <w:rPr>
          <w:lang w:val="sq-AL"/>
        </w:rPr>
        <w:t>Unifikimit dhe standardizimit të procedurave të buxhetit vendor me qeverisjen qendrore;</w:t>
      </w:r>
    </w:p>
    <w:p w:rsidR="00B0121D" w:rsidRPr="00D73F43" w:rsidRDefault="00B0121D" w:rsidP="00534AA6">
      <w:pPr>
        <w:numPr>
          <w:ilvl w:val="0"/>
          <w:numId w:val="94"/>
        </w:numPr>
        <w:spacing w:line="276" w:lineRule="auto"/>
        <w:jc w:val="both"/>
        <w:rPr>
          <w:lang w:val="sq-AL"/>
        </w:rPr>
      </w:pPr>
      <w:r w:rsidRPr="00D73F43">
        <w:rPr>
          <w:lang w:val="sq-AL"/>
        </w:rPr>
        <w:t>Përcaktimit të rregullave për menaxhimin e situatave të vështirësive financiare;</w:t>
      </w:r>
    </w:p>
    <w:p w:rsidR="00B0121D" w:rsidRPr="00D73F43" w:rsidRDefault="00B0121D" w:rsidP="00534AA6">
      <w:pPr>
        <w:numPr>
          <w:ilvl w:val="0"/>
          <w:numId w:val="94"/>
        </w:numPr>
        <w:spacing w:line="276" w:lineRule="auto"/>
        <w:jc w:val="both"/>
        <w:rPr>
          <w:lang w:val="sq-AL"/>
        </w:rPr>
      </w:pPr>
      <w:r w:rsidRPr="00D73F43">
        <w:rPr>
          <w:lang w:val="sq-AL"/>
        </w:rPr>
        <w:t>Rritjes së parashikueshmërisë, efektivitetit dhe transparencës së transfertave ndërqeveritare;</w:t>
      </w:r>
    </w:p>
    <w:p w:rsidR="00B0121D" w:rsidRPr="00D73F43" w:rsidRDefault="00B0121D" w:rsidP="00534AA6">
      <w:pPr>
        <w:numPr>
          <w:ilvl w:val="0"/>
          <w:numId w:val="95"/>
        </w:numPr>
        <w:spacing w:line="276" w:lineRule="auto"/>
        <w:jc w:val="both"/>
        <w:rPr>
          <w:lang w:val="sq-AL"/>
        </w:rPr>
      </w:pPr>
      <w:r w:rsidRPr="00D73F43">
        <w:rPr>
          <w:lang w:val="sq-AL"/>
        </w:rPr>
        <w:t>Rregullimit të procedurave për menaxhimin e situatave të bllokimit të miratimit të buxheteve nga këshillat e vetëqeverisjes vendore.</w:t>
      </w:r>
    </w:p>
    <w:p w:rsidR="00B0121D" w:rsidRPr="00D73F43" w:rsidRDefault="00B0121D" w:rsidP="00B0121D">
      <w:pPr>
        <w:spacing w:line="276" w:lineRule="auto"/>
        <w:ind w:left="720"/>
        <w:jc w:val="both"/>
        <w:rPr>
          <w:lang w:val="sq-AL"/>
        </w:rPr>
      </w:pPr>
    </w:p>
    <w:p w:rsidR="00B0121D" w:rsidRPr="00D73F43" w:rsidRDefault="00B0121D" w:rsidP="00534AA6">
      <w:pPr>
        <w:numPr>
          <w:ilvl w:val="0"/>
          <w:numId w:val="96"/>
        </w:numPr>
        <w:tabs>
          <w:tab w:val="left" w:pos="0"/>
          <w:tab w:val="left" w:pos="270"/>
          <w:tab w:val="right" w:pos="8640"/>
          <w:tab w:val="right" w:pos="9360"/>
        </w:tabs>
        <w:spacing w:line="276" w:lineRule="auto"/>
        <w:ind w:right="-43"/>
        <w:jc w:val="both"/>
        <w:rPr>
          <w:lang w:val="sq-AL"/>
        </w:rPr>
      </w:pPr>
      <w:r w:rsidRPr="00D73F43">
        <w:rPr>
          <w:lang w:val="sq-AL"/>
        </w:rPr>
        <w:t xml:space="preserve"> Rritja e autonomisë fiskale.</w:t>
      </w:r>
    </w:p>
    <w:p w:rsidR="00B0121D" w:rsidRPr="00D73F43" w:rsidRDefault="00B0121D" w:rsidP="00534AA6">
      <w:pPr>
        <w:numPr>
          <w:ilvl w:val="0"/>
          <w:numId w:val="96"/>
        </w:numPr>
        <w:tabs>
          <w:tab w:val="left" w:pos="0"/>
          <w:tab w:val="left" w:pos="270"/>
          <w:tab w:val="right" w:pos="8640"/>
          <w:tab w:val="right" w:pos="9360"/>
        </w:tabs>
        <w:spacing w:line="276" w:lineRule="auto"/>
        <w:ind w:right="-43"/>
        <w:jc w:val="both"/>
        <w:rPr>
          <w:lang w:val="sq-AL"/>
        </w:rPr>
      </w:pPr>
      <w:r w:rsidRPr="00D73F43">
        <w:rPr>
          <w:lang w:val="sq-AL"/>
        </w:rPr>
        <w:t xml:space="preserve">Rritja e kapacitetit të të ardhurave vendore të NJVQV-ve për të përmbushur nevojat financiare për ofrimin e më shumë shërbimeve. </w:t>
      </w:r>
    </w:p>
    <w:p w:rsidR="00B0121D" w:rsidRPr="00D73F43" w:rsidRDefault="00B0121D" w:rsidP="00534AA6">
      <w:pPr>
        <w:numPr>
          <w:ilvl w:val="0"/>
          <w:numId w:val="96"/>
        </w:numPr>
        <w:tabs>
          <w:tab w:val="left" w:pos="0"/>
          <w:tab w:val="left" w:pos="270"/>
          <w:tab w:val="right" w:pos="8640"/>
          <w:tab w:val="right" w:pos="9360"/>
        </w:tabs>
        <w:spacing w:line="276" w:lineRule="auto"/>
        <w:ind w:right="-43"/>
        <w:jc w:val="both"/>
        <w:rPr>
          <w:lang w:val="sq-AL"/>
        </w:rPr>
      </w:pPr>
      <w:r w:rsidRPr="00D73F43">
        <w:rPr>
          <w:lang w:val="sq-AL"/>
        </w:rPr>
        <w:t xml:space="preserve">Përmirësimi i qëndrueshmërisë, thjeshtësisë dhe barazisë në sistemin e transfertave, së bashku me rritjen e transparencës. </w:t>
      </w:r>
    </w:p>
    <w:p w:rsidR="00B0121D" w:rsidRPr="00D73F43" w:rsidRDefault="00B0121D" w:rsidP="00534AA6">
      <w:pPr>
        <w:numPr>
          <w:ilvl w:val="0"/>
          <w:numId w:val="96"/>
        </w:numPr>
        <w:tabs>
          <w:tab w:val="left" w:pos="0"/>
          <w:tab w:val="left" w:pos="270"/>
          <w:tab w:val="right" w:pos="8640"/>
          <w:tab w:val="right" w:pos="9360"/>
        </w:tabs>
        <w:spacing w:line="276" w:lineRule="auto"/>
        <w:ind w:right="-43"/>
        <w:jc w:val="both"/>
        <w:rPr>
          <w:lang w:val="sq-AL"/>
        </w:rPr>
      </w:pPr>
      <w:r w:rsidRPr="00D73F43">
        <w:rPr>
          <w:lang w:val="sq-AL"/>
        </w:rPr>
        <w:lastRenderedPageBreak/>
        <w:t>Përmirësimi i sistemit të administrimit të financave publike në nivel vendor.</w:t>
      </w:r>
    </w:p>
    <w:p w:rsidR="00B0121D" w:rsidRPr="00D73F43" w:rsidRDefault="00B0121D" w:rsidP="00534AA6">
      <w:pPr>
        <w:numPr>
          <w:ilvl w:val="0"/>
          <w:numId w:val="96"/>
        </w:numPr>
        <w:tabs>
          <w:tab w:val="left" w:pos="0"/>
          <w:tab w:val="left" w:pos="270"/>
          <w:tab w:val="right" w:pos="8640"/>
          <w:tab w:val="right" w:pos="9360"/>
        </w:tabs>
        <w:spacing w:line="276" w:lineRule="auto"/>
        <w:ind w:right="-43"/>
        <w:jc w:val="both"/>
        <w:rPr>
          <w:lang w:val="sq-AL"/>
        </w:rPr>
      </w:pPr>
      <w:r w:rsidRPr="00D73F43">
        <w:rPr>
          <w:lang w:val="sq-AL"/>
        </w:rPr>
        <w:t xml:space="preserve">Përmirësim i  procesit të planifikimit, hartimit dhe zbatimit të buxhetit. </w:t>
      </w:r>
    </w:p>
    <w:p w:rsidR="00B0121D" w:rsidRPr="00D73F43" w:rsidRDefault="00B0121D" w:rsidP="00534AA6">
      <w:pPr>
        <w:numPr>
          <w:ilvl w:val="0"/>
          <w:numId w:val="96"/>
        </w:numPr>
        <w:tabs>
          <w:tab w:val="left" w:pos="0"/>
          <w:tab w:val="left" w:pos="270"/>
          <w:tab w:val="right" w:pos="8640"/>
          <w:tab w:val="right" w:pos="9360"/>
        </w:tabs>
        <w:spacing w:line="276" w:lineRule="auto"/>
        <w:ind w:right="-43"/>
        <w:jc w:val="both"/>
        <w:rPr>
          <w:lang w:val="sq-AL"/>
        </w:rPr>
      </w:pPr>
      <w:r w:rsidRPr="00D73F43">
        <w:rPr>
          <w:lang w:val="sq-AL"/>
        </w:rPr>
        <w:t>Në kuadër të Strategjisë së Menaxhimit të Financave Publike (2014-2020) do të synohet garantimi i një menaxhimi financiar të shëndoshë në nivelin vendor.</w:t>
      </w:r>
    </w:p>
    <w:p w:rsidR="00B0121D" w:rsidRPr="00D73F43" w:rsidRDefault="00B0121D" w:rsidP="00534AA6">
      <w:pPr>
        <w:numPr>
          <w:ilvl w:val="0"/>
          <w:numId w:val="96"/>
        </w:numPr>
        <w:tabs>
          <w:tab w:val="left" w:pos="0"/>
          <w:tab w:val="left" w:pos="270"/>
          <w:tab w:val="right" w:pos="8640"/>
          <w:tab w:val="right" w:pos="9360"/>
        </w:tabs>
        <w:spacing w:line="276" w:lineRule="auto"/>
        <w:ind w:right="-43"/>
        <w:jc w:val="both"/>
        <w:rPr>
          <w:lang w:val="sq-AL"/>
        </w:rPr>
      </w:pPr>
      <w:r w:rsidRPr="00D73F43">
        <w:rPr>
          <w:lang w:val="sq-AL"/>
        </w:rPr>
        <w:t>Financime të integruara sipas instrumentit të Politikës së Zhvillimit Rajonal, duke siguruar transparencë dhe efikasitet në shpërndarje, si dhe bashkërendim me objektivat kombëtarë.</w:t>
      </w:r>
    </w:p>
    <w:p w:rsidR="00B0121D" w:rsidRPr="00D73F43" w:rsidRDefault="00B0121D" w:rsidP="00534AA6">
      <w:pPr>
        <w:numPr>
          <w:ilvl w:val="0"/>
          <w:numId w:val="96"/>
        </w:numPr>
        <w:tabs>
          <w:tab w:val="left" w:pos="0"/>
          <w:tab w:val="left" w:pos="270"/>
          <w:tab w:val="right" w:pos="8640"/>
          <w:tab w:val="right" w:pos="9360"/>
        </w:tabs>
        <w:spacing w:line="276" w:lineRule="auto"/>
        <w:ind w:right="-43"/>
        <w:jc w:val="both"/>
        <w:rPr>
          <w:lang w:val="sq-AL"/>
        </w:rPr>
      </w:pPr>
      <w:r w:rsidRPr="00D73F43">
        <w:rPr>
          <w:lang w:val="sq-AL"/>
        </w:rPr>
        <w:t>Për vitin 2017, investimet në nivel vendor do të inkuadrohen në programe strategjike të zhvillimit rajonal, të cilat garantojnë kohezion ekonomik dhe social midis rajoneve dhe zonave të ndryshme të vendit.</w:t>
      </w:r>
    </w:p>
    <w:p w:rsidR="00B0121D" w:rsidRPr="00D73F43" w:rsidRDefault="00B0121D" w:rsidP="00534AA6">
      <w:pPr>
        <w:numPr>
          <w:ilvl w:val="0"/>
          <w:numId w:val="96"/>
        </w:numPr>
        <w:tabs>
          <w:tab w:val="left" w:pos="0"/>
          <w:tab w:val="left" w:pos="270"/>
          <w:tab w:val="right" w:pos="8640"/>
          <w:tab w:val="right" w:pos="9360"/>
        </w:tabs>
        <w:spacing w:line="276" w:lineRule="auto"/>
        <w:ind w:right="-43"/>
        <w:jc w:val="both"/>
        <w:rPr>
          <w:lang w:val="sq-AL"/>
        </w:rPr>
      </w:pPr>
      <w:r w:rsidRPr="00D73F43">
        <w:rPr>
          <w:lang w:val="sq-AL"/>
        </w:rPr>
        <w:t>Financimi i funksionimit dhe mirëmbajtjes së aseteve (eskavatorëve) për funksionin e ujitjes dhe kullimit do të ketë efekte të drejtpërdrejta në sigurimin e pronës dhe rritjen e prodhimeve bujqësore dhe blegtorale.</w:t>
      </w:r>
    </w:p>
    <w:p w:rsidR="00B0121D" w:rsidRPr="00D73F43" w:rsidRDefault="00B0121D" w:rsidP="00534AA6">
      <w:pPr>
        <w:numPr>
          <w:ilvl w:val="0"/>
          <w:numId w:val="96"/>
        </w:numPr>
        <w:tabs>
          <w:tab w:val="left" w:pos="0"/>
          <w:tab w:val="left" w:pos="270"/>
          <w:tab w:val="right" w:pos="8640"/>
          <w:tab w:val="right" w:pos="9360"/>
        </w:tabs>
        <w:spacing w:line="276" w:lineRule="auto"/>
        <w:ind w:right="-43"/>
        <w:jc w:val="both"/>
        <w:rPr>
          <w:lang w:val="sq-AL"/>
        </w:rPr>
      </w:pPr>
      <w:r w:rsidRPr="00D73F43">
        <w:rPr>
          <w:lang w:val="sq-AL"/>
        </w:rPr>
        <w:t>Konsolidimi i funksioneve të reja të transferuara në njësitë e qeverisjes vendore.</w:t>
      </w:r>
    </w:p>
    <w:p w:rsidR="00B0121D" w:rsidRPr="00D73F43" w:rsidRDefault="00B0121D" w:rsidP="00534AA6">
      <w:pPr>
        <w:numPr>
          <w:ilvl w:val="0"/>
          <w:numId w:val="96"/>
        </w:numPr>
        <w:tabs>
          <w:tab w:val="left" w:pos="0"/>
          <w:tab w:val="left" w:pos="270"/>
          <w:tab w:val="right" w:pos="8640"/>
          <w:tab w:val="right" w:pos="9360"/>
        </w:tabs>
        <w:spacing w:line="276" w:lineRule="auto"/>
        <w:ind w:right="-43"/>
        <w:jc w:val="both"/>
        <w:rPr>
          <w:lang w:val="sq-AL"/>
        </w:rPr>
      </w:pPr>
      <w:r w:rsidRPr="00D73F43">
        <w:rPr>
          <w:lang w:val="sq-AL"/>
        </w:rPr>
        <w:t>Në vitin buxhetor 2017, do të ketë një politikë të re për rritjen e pagave, e cila synon rritjen e performancës së burimeve njerëzore në nivel vendor.</w:t>
      </w:r>
    </w:p>
    <w:p w:rsidR="00B0121D" w:rsidRPr="00D73F43" w:rsidRDefault="00B0121D" w:rsidP="00534AA6">
      <w:pPr>
        <w:numPr>
          <w:ilvl w:val="0"/>
          <w:numId w:val="96"/>
        </w:numPr>
        <w:tabs>
          <w:tab w:val="left" w:pos="0"/>
          <w:tab w:val="left" w:pos="270"/>
          <w:tab w:val="right" w:pos="8640"/>
          <w:tab w:val="right" w:pos="9360"/>
        </w:tabs>
        <w:spacing w:line="276" w:lineRule="auto"/>
        <w:ind w:right="-43"/>
        <w:jc w:val="both"/>
        <w:rPr>
          <w:lang w:val="sq-AL"/>
        </w:rPr>
      </w:pPr>
      <w:r w:rsidRPr="00D73F43">
        <w:rPr>
          <w:lang w:val="sq-AL"/>
        </w:rPr>
        <w:t xml:space="preserve">Disa bashki, që nuk kanë Stacione të mbrojtjes nga zjarri dhe shpëtimit, do të financohen me buxhetin e vitit 2017 për ngritjen e tyre. </w:t>
      </w:r>
    </w:p>
    <w:p w:rsidR="00B0121D" w:rsidRPr="00D73F43" w:rsidRDefault="00B0121D" w:rsidP="00B0121D">
      <w:pPr>
        <w:rPr>
          <w:sz w:val="20"/>
          <w:szCs w:val="20"/>
          <w:lang w:val="sq-AL"/>
        </w:rPr>
      </w:pPr>
    </w:p>
    <w:p w:rsidR="00B0121D" w:rsidRPr="007C2D89" w:rsidRDefault="00B0121D" w:rsidP="00534AA6">
      <w:pPr>
        <w:pStyle w:val="Heading2"/>
        <w:numPr>
          <w:ilvl w:val="0"/>
          <w:numId w:val="147"/>
        </w:numPr>
        <w:rPr>
          <w:rFonts w:ascii="Times New Roman" w:hAnsi="Times New Roman"/>
          <w:i w:val="0"/>
          <w:sz w:val="24"/>
          <w:szCs w:val="24"/>
          <w:lang w:val="sq-AL"/>
        </w:rPr>
      </w:pPr>
      <w:bookmarkStart w:id="33" w:name="_Toc466295646"/>
      <w:bookmarkStart w:id="34" w:name="_Toc466445441"/>
      <w:r w:rsidRPr="007C2D89">
        <w:rPr>
          <w:rFonts w:ascii="Times New Roman" w:hAnsi="Times New Roman"/>
          <w:i w:val="0"/>
          <w:sz w:val="24"/>
          <w:szCs w:val="24"/>
          <w:lang w:val="sq-AL"/>
        </w:rPr>
        <w:t>Transferta e pakushtëzuar 2017 dhe formula e shpërndarjes së saj</w:t>
      </w:r>
      <w:bookmarkEnd w:id="33"/>
      <w:bookmarkEnd w:id="34"/>
    </w:p>
    <w:p w:rsidR="00B0121D" w:rsidRPr="00D73F43" w:rsidRDefault="00B0121D" w:rsidP="00B0121D">
      <w:pPr>
        <w:spacing w:line="276" w:lineRule="auto"/>
        <w:ind w:right="-43"/>
        <w:jc w:val="both"/>
        <w:rPr>
          <w:bCs/>
          <w:lang w:val="sq-AL"/>
        </w:rPr>
      </w:pPr>
      <w:r w:rsidRPr="00D73F43">
        <w:rPr>
          <w:bCs/>
          <w:lang w:val="sq-AL"/>
        </w:rPr>
        <w:t>Ndarja e transfertës së pakushtëzuar për vitin 2017, bazohet në një formulë të përmirësuar  me karakteristikat e mëposhtme:</w:t>
      </w:r>
    </w:p>
    <w:p w:rsidR="00B0121D" w:rsidRPr="00D73F43" w:rsidRDefault="00B0121D" w:rsidP="00534AA6">
      <w:pPr>
        <w:pStyle w:val="ListParagraph"/>
        <w:numPr>
          <w:ilvl w:val="0"/>
          <w:numId w:val="91"/>
        </w:numPr>
        <w:spacing w:line="276" w:lineRule="auto"/>
        <w:ind w:right="-43"/>
        <w:jc w:val="both"/>
        <w:rPr>
          <w:lang w:val="sq-AL"/>
        </w:rPr>
      </w:pPr>
      <w:r w:rsidRPr="00D73F43">
        <w:rPr>
          <w:lang w:val="sq-AL"/>
        </w:rPr>
        <w:t>E thjeshtë për t’u kuptuar dhe zbatuar;</w:t>
      </w:r>
    </w:p>
    <w:p w:rsidR="00B0121D" w:rsidRPr="00D73F43" w:rsidRDefault="00B0121D" w:rsidP="00534AA6">
      <w:pPr>
        <w:pStyle w:val="ListParagraph"/>
        <w:numPr>
          <w:ilvl w:val="0"/>
          <w:numId w:val="97"/>
        </w:numPr>
        <w:spacing w:line="276" w:lineRule="auto"/>
        <w:ind w:right="-43"/>
        <w:jc w:val="both"/>
        <w:rPr>
          <w:lang w:val="sq-AL"/>
        </w:rPr>
      </w:pPr>
      <w:r w:rsidRPr="00D73F43">
        <w:rPr>
          <w:lang w:val="sq-AL"/>
        </w:rPr>
        <w:t xml:space="preserve">E bazuar në kritere që garantojnë funksionimin normal të njësive të qeverisjes vendore; </w:t>
      </w:r>
    </w:p>
    <w:p w:rsidR="00B0121D" w:rsidRPr="00D73F43" w:rsidRDefault="00B0121D" w:rsidP="00534AA6">
      <w:pPr>
        <w:numPr>
          <w:ilvl w:val="0"/>
          <w:numId w:val="97"/>
        </w:numPr>
        <w:spacing w:line="276" w:lineRule="auto"/>
        <w:ind w:right="-43"/>
        <w:jc w:val="both"/>
        <w:rPr>
          <w:lang w:val="sq-AL"/>
        </w:rPr>
      </w:pPr>
      <w:r w:rsidRPr="00D73F43">
        <w:rPr>
          <w:lang w:val="sq-AL"/>
        </w:rPr>
        <w:t xml:space="preserve">Garanton  një sistem më të drejtë ekualizimi; </w:t>
      </w:r>
    </w:p>
    <w:p w:rsidR="00B0121D" w:rsidRPr="00D73F43" w:rsidRDefault="00B0121D" w:rsidP="00534AA6">
      <w:pPr>
        <w:pStyle w:val="ListParagraph"/>
        <w:numPr>
          <w:ilvl w:val="0"/>
          <w:numId w:val="90"/>
        </w:numPr>
        <w:tabs>
          <w:tab w:val="left" w:pos="142"/>
        </w:tabs>
        <w:spacing w:line="276" w:lineRule="auto"/>
        <w:ind w:right="-43"/>
        <w:jc w:val="both"/>
        <w:rPr>
          <w:lang w:val="sq-AL"/>
        </w:rPr>
      </w:pPr>
      <w:r w:rsidRPr="00D73F43">
        <w:rPr>
          <w:bCs/>
          <w:lang w:val="sq-AL"/>
        </w:rPr>
        <w:t>M</w:t>
      </w:r>
      <w:r w:rsidRPr="00D73F43">
        <w:rPr>
          <w:lang w:val="sq-AL"/>
        </w:rPr>
        <w:t xml:space="preserve">ekanizmi i shpërndarjes së transfertës është i përshtatur në funksion të Reformës administrativo-territoriale; </w:t>
      </w:r>
    </w:p>
    <w:p w:rsidR="00B0121D" w:rsidRPr="00D73F43" w:rsidRDefault="00B0121D" w:rsidP="00534AA6">
      <w:pPr>
        <w:pStyle w:val="ListParagraph"/>
        <w:numPr>
          <w:ilvl w:val="0"/>
          <w:numId w:val="90"/>
        </w:numPr>
        <w:spacing w:line="276" w:lineRule="auto"/>
        <w:ind w:right="-43"/>
        <w:jc w:val="both"/>
        <w:rPr>
          <w:b/>
          <w:bCs/>
          <w:lang w:val="sq-AL"/>
        </w:rPr>
      </w:pPr>
      <w:r w:rsidRPr="00D73F43">
        <w:rPr>
          <w:lang w:val="sq-AL"/>
        </w:rPr>
        <w:t>Ndarja e grantit bazohet plotësisht në formulë, pra pa përfshirë fondet për konviktet, shërbimet sociale, fondet e rrugëve rurale dhe rajonale.</w:t>
      </w:r>
      <w:r w:rsidRPr="00D73F43">
        <w:rPr>
          <w:b/>
          <w:bCs/>
          <w:lang w:val="sq-AL"/>
        </w:rPr>
        <w:t xml:space="preserve"> </w:t>
      </w:r>
    </w:p>
    <w:p w:rsidR="00B0121D" w:rsidRPr="00D73F43" w:rsidRDefault="00B0121D" w:rsidP="00B0121D">
      <w:pPr>
        <w:spacing w:line="276" w:lineRule="auto"/>
        <w:ind w:right="-43"/>
        <w:jc w:val="both"/>
        <w:rPr>
          <w:lang w:val="sq-AL"/>
        </w:rPr>
      </w:pPr>
    </w:p>
    <w:p w:rsidR="00B0121D" w:rsidRPr="00D73F43" w:rsidRDefault="00B0121D" w:rsidP="00B0121D">
      <w:pPr>
        <w:spacing w:line="276" w:lineRule="auto"/>
        <w:ind w:right="-43"/>
        <w:jc w:val="both"/>
        <w:rPr>
          <w:bCs/>
          <w:lang w:val="sq-AL"/>
        </w:rPr>
      </w:pPr>
      <w:r w:rsidRPr="00D73F43">
        <w:rPr>
          <w:lang w:val="sq-AL"/>
        </w:rPr>
        <w:t>Formula identifikon nevojat për shpenzime duke u bazuar në popullsinë relative, dendësinë e popullsisë dhe numrin e nxënësve të shkollave 9-vjeçare dhe të mesme. Përveç ekualizimit të kostove, i cili realizohet nëpërmjet komponentit të dendësisë, formula sjell edhe ekualizimin e kapacitetit fiskal.</w:t>
      </w:r>
      <w:r w:rsidRPr="00D73F43">
        <w:rPr>
          <w:bCs/>
          <w:lang w:val="sq-AL"/>
        </w:rPr>
        <w:t xml:space="preserve"> </w:t>
      </w:r>
      <w:r w:rsidRPr="00D73F43">
        <w:rPr>
          <w:lang w:val="sq-AL"/>
        </w:rPr>
        <w:t xml:space="preserve">Ekualizimi fiskal bazohet në të ardhurat faktike nga tatim fitimi i thjeshtuar i biznesit të vogël, taksa vjetore e automjeteve të përdorura dhe taksa mbi transferimin e pasurisë, për pasuritë e paluajtshme të shitura nga personat juridikë. </w:t>
      </w:r>
    </w:p>
    <w:p w:rsidR="00B0121D" w:rsidRPr="00D73F43" w:rsidRDefault="00B0121D" w:rsidP="00B0121D">
      <w:pPr>
        <w:spacing w:line="276" w:lineRule="auto"/>
        <w:contextualSpacing/>
        <w:jc w:val="both"/>
        <w:textAlignment w:val="baseline"/>
        <w:rPr>
          <w:rFonts w:eastAsia="Times New Roman"/>
          <w:kern w:val="24"/>
          <w:lang w:val="sq-AL"/>
        </w:rPr>
      </w:pPr>
    </w:p>
    <w:p w:rsidR="00B0121D" w:rsidRPr="00D73F43" w:rsidRDefault="00B0121D" w:rsidP="00B0121D">
      <w:pPr>
        <w:spacing w:line="276" w:lineRule="auto"/>
        <w:contextualSpacing/>
        <w:jc w:val="both"/>
        <w:textAlignment w:val="baseline"/>
        <w:rPr>
          <w:lang w:val="sq-AL"/>
        </w:rPr>
      </w:pPr>
      <w:r w:rsidRPr="00D73F43">
        <w:rPr>
          <w:rFonts w:eastAsia="Times New Roman"/>
          <w:kern w:val="24"/>
          <w:lang w:val="sq-AL"/>
        </w:rPr>
        <w:t xml:space="preserve">Në buxhetin e vitit 2017, shuma e transfertës së pakushtëzuar e shpërndarë me anë të formulës rritet në 15.5 miliardë lekë, nga 13 miliardë lekë që ishte në buxhetin e vitit 2016, pra </w:t>
      </w:r>
      <w:r w:rsidRPr="00D73F43">
        <w:rPr>
          <w:lang w:val="sq-AL"/>
        </w:rPr>
        <w:t>2.5 miliardë lekë më  shumë (ose rreth 20% më e lartë) se  në vitin 2016 (grafiku nr.</w:t>
      </w:r>
      <w:r w:rsidR="00480EA8">
        <w:rPr>
          <w:lang w:val="sq-AL"/>
        </w:rPr>
        <w:t>2</w:t>
      </w:r>
      <w:r w:rsidRPr="00D73F43">
        <w:rPr>
          <w:lang w:val="sq-AL"/>
        </w:rPr>
        <w:t xml:space="preserve">), ndërkohë që shpenzimet në total në buxhetin e shtetit, do të rriten  me rreth 6 për qind. Transferta e pakushtëzuar për vitin 2017, krahasuar me vitin 2013, është 3.4 miliardë </w:t>
      </w:r>
      <w:r w:rsidRPr="00D73F43">
        <w:rPr>
          <w:rFonts w:eastAsia="Times New Roman"/>
          <w:kern w:val="24"/>
          <w:lang w:val="sq-AL"/>
        </w:rPr>
        <w:t>lekë</w:t>
      </w:r>
      <w:r w:rsidR="00480EA8">
        <w:rPr>
          <w:lang w:val="sq-AL"/>
        </w:rPr>
        <w:t xml:space="preserve"> më </w:t>
      </w:r>
      <w:r w:rsidRPr="00D73F43">
        <w:rPr>
          <w:lang w:val="sq-AL"/>
        </w:rPr>
        <w:t>shumë ose rreth 28 për qind më e lartë. Rritja e konsiderueshme e transfertës së pakushtëzuar me 20 për qind krahasuar me një vit më parë, tregon rëndësinë që ky buxhet i kushton procesit të decentralizimit dhe efikasitetit të qeverisjes vendore në zbatim të Reformës Administrativo- Territoriale.</w:t>
      </w:r>
    </w:p>
    <w:p w:rsidR="00B0121D" w:rsidRPr="00D73F43" w:rsidRDefault="00B0121D" w:rsidP="00B0121D">
      <w:pPr>
        <w:spacing w:line="276" w:lineRule="auto"/>
        <w:contextualSpacing/>
        <w:jc w:val="both"/>
        <w:textAlignment w:val="baseline"/>
        <w:rPr>
          <w:lang w:val="sq-AL"/>
        </w:rPr>
      </w:pPr>
    </w:p>
    <w:p w:rsidR="00B0121D" w:rsidRPr="00D73F43" w:rsidRDefault="00B0121D" w:rsidP="00B0121D">
      <w:pPr>
        <w:spacing w:line="276" w:lineRule="auto"/>
        <w:contextualSpacing/>
        <w:jc w:val="both"/>
        <w:textAlignment w:val="baseline"/>
        <w:rPr>
          <w:lang w:val="sq-AL"/>
        </w:rPr>
      </w:pPr>
      <w:r w:rsidRPr="00D73F43">
        <w:rPr>
          <w:lang w:val="sq-AL"/>
        </w:rPr>
        <w:lastRenderedPageBreak/>
        <w:t xml:space="preserve">Vlera e transfertës së pakushtëzuar për vitin 2017 është rreth 6 për qind e të ardhurave publike faktike nga Tatimet dhe Doganat të vitit 2015 duke marrë në konsideratë vetëm funksionet ekzistuese të NJVQV-ve. Kjo transfertë do t’i sigurojë njësive të qeverisjes vendore mbulimin e diferencës mes kostos së ushtrimit të funksioneve (nevojat për shpenzime) dhe të ardhurave që ato krijojnë në mënyrë të pavarur. </w:t>
      </w:r>
    </w:p>
    <w:p w:rsidR="00B0121D" w:rsidRDefault="00B0121D" w:rsidP="00B0121D">
      <w:pPr>
        <w:spacing w:line="276" w:lineRule="auto"/>
        <w:contextualSpacing/>
        <w:jc w:val="both"/>
        <w:textAlignment w:val="baseline"/>
        <w:rPr>
          <w:lang w:val="sq-AL"/>
        </w:rPr>
      </w:pPr>
    </w:p>
    <w:p w:rsidR="00BE5599" w:rsidRPr="00D73F43" w:rsidRDefault="00BE5599" w:rsidP="00B0121D">
      <w:pPr>
        <w:spacing w:line="276" w:lineRule="auto"/>
        <w:contextualSpacing/>
        <w:jc w:val="both"/>
        <w:textAlignment w:val="baseline"/>
        <w:rPr>
          <w:lang w:val="sq-AL"/>
        </w:rPr>
      </w:pPr>
    </w:p>
    <w:p w:rsidR="00B0121D" w:rsidRPr="00D73F43" w:rsidRDefault="00B0121D" w:rsidP="00B0121D">
      <w:pPr>
        <w:contextualSpacing/>
        <w:jc w:val="both"/>
        <w:textAlignment w:val="baseline"/>
        <w:rPr>
          <w:lang w:val="sq-AL"/>
        </w:rPr>
      </w:pPr>
    </w:p>
    <w:p w:rsidR="00B0121D" w:rsidRPr="00D73F43" w:rsidRDefault="00B0121D" w:rsidP="00B0121D">
      <w:pPr>
        <w:contextualSpacing/>
        <w:jc w:val="both"/>
        <w:textAlignment w:val="baseline"/>
        <w:rPr>
          <w:i/>
          <w:sz w:val="20"/>
          <w:szCs w:val="20"/>
          <w:lang w:val="sq-AL"/>
        </w:rPr>
      </w:pPr>
      <w:r w:rsidRPr="00D73F43">
        <w:rPr>
          <w:i/>
          <w:sz w:val="20"/>
          <w:szCs w:val="20"/>
          <w:lang w:val="sq-AL"/>
        </w:rPr>
        <w:t xml:space="preserve">                                   Grafik. </w:t>
      </w:r>
      <w:r w:rsidR="00C610A8">
        <w:rPr>
          <w:i/>
          <w:sz w:val="20"/>
          <w:szCs w:val="20"/>
          <w:lang w:val="sq-AL"/>
        </w:rPr>
        <w:t>2</w:t>
      </w:r>
      <w:r w:rsidRPr="00D73F43">
        <w:rPr>
          <w:i/>
          <w:sz w:val="20"/>
          <w:szCs w:val="20"/>
          <w:lang w:val="sq-AL"/>
        </w:rPr>
        <w:t>: Transferta e pakushtëzuar 2011-2017</w:t>
      </w:r>
    </w:p>
    <w:p w:rsidR="00B0121D" w:rsidRPr="00D73F43" w:rsidRDefault="00B0121D" w:rsidP="00B0121D">
      <w:pPr>
        <w:contextualSpacing/>
        <w:jc w:val="center"/>
        <w:textAlignment w:val="baseline"/>
        <w:rPr>
          <w:lang w:val="sq-AL"/>
        </w:rPr>
      </w:pPr>
      <w:r w:rsidRPr="00D73F43">
        <w:rPr>
          <w:noProof/>
          <w:lang w:val="sq-AL" w:eastAsia="sq-AL"/>
        </w:rPr>
        <w:drawing>
          <wp:inline distT="0" distB="0" distL="0" distR="0" wp14:anchorId="7ECA94A3" wp14:editId="3CB52B46">
            <wp:extent cx="5600700" cy="2143125"/>
            <wp:effectExtent l="0" t="0" r="0" b="0"/>
            <wp:docPr id="42"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0121D" w:rsidRPr="00D73F43" w:rsidRDefault="00B0121D" w:rsidP="007C2D89">
      <w:pPr>
        <w:spacing w:line="276" w:lineRule="auto"/>
        <w:contextualSpacing/>
        <w:jc w:val="both"/>
        <w:textAlignment w:val="baseline"/>
        <w:rPr>
          <w:lang w:val="sq-AL"/>
        </w:rPr>
      </w:pPr>
      <w:r w:rsidRPr="00D73F43">
        <w:rPr>
          <w:lang w:val="sq-AL"/>
        </w:rPr>
        <w:t xml:space="preserve">Për vitin 2017, si pjesë e formulës së re të transfertës së pakushtëzuar është përdorur një mekanizëm tranzitor, i cili do të sigurojë që të gjitha njësitë e vetëqeverisjes vendore të përfitojnë minimalisht 110 për qind të transfertës që kanë përfituar një vit më parë. Pra, bashkitë të cilat për vitin 2017 rezultojnë të kenë një transfertë më të lartë se 41.4 për qind në raport me transfertën e marrë në vitin 2016, do të “kontribuojnë” me diferencën mbi kufirin prej +41.4 për qind, për të krijuar një fond të ekualizimit për njësitë e vetëqeverisjes vendore, të cilat do të kompensohen përpjestimisht sipas një koeficienti rishpërndarje që rezulton nga raporti i fondeve të disponueshme dhe fondeve të nevojshme. </w:t>
      </w:r>
    </w:p>
    <w:p w:rsidR="00B0121D" w:rsidRPr="00D73F43" w:rsidRDefault="00B0121D" w:rsidP="00B0121D">
      <w:pPr>
        <w:contextualSpacing/>
        <w:jc w:val="both"/>
        <w:textAlignment w:val="baseline"/>
        <w:rPr>
          <w:lang w:val="sq-AL"/>
        </w:rPr>
      </w:pPr>
    </w:p>
    <w:p w:rsidR="00B0121D" w:rsidRPr="00D73F43" w:rsidRDefault="00B0121D" w:rsidP="00B0121D">
      <w:pPr>
        <w:contextualSpacing/>
        <w:jc w:val="both"/>
        <w:textAlignment w:val="baseline"/>
        <w:rPr>
          <w:lang w:val="sq-AL"/>
        </w:rPr>
      </w:pPr>
    </w:p>
    <w:p w:rsidR="00B0121D" w:rsidRPr="007C2D89" w:rsidRDefault="00B0121D" w:rsidP="00534AA6">
      <w:pPr>
        <w:pStyle w:val="Heading2"/>
        <w:numPr>
          <w:ilvl w:val="0"/>
          <w:numId w:val="147"/>
        </w:numPr>
        <w:rPr>
          <w:rFonts w:ascii="Times New Roman" w:hAnsi="Times New Roman"/>
          <w:i w:val="0"/>
          <w:sz w:val="24"/>
          <w:szCs w:val="24"/>
          <w:lang w:val="sq-AL"/>
        </w:rPr>
      </w:pPr>
      <w:bookmarkStart w:id="35" w:name="_Toc466295647"/>
      <w:bookmarkStart w:id="36" w:name="_Toc466445442"/>
      <w:r w:rsidRPr="007C2D89">
        <w:rPr>
          <w:rFonts w:ascii="Times New Roman" w:hAnsi="Times New Roman"/>
          <w:i w:val="0"/>
          <w:sz w:val="24"/>
          <w:szCs w:val="24"/>
          <w:lang w:val="sq-AL"/>
        </w:rPr>
        <w:t>Transferta specifike</w:t>
      </w:r>
      <w:bookmarkEnd w:id="35"/>
      <w:bookmarkEnd w:id="36"/>
      <w:r w:rsidRPr="007C2D89">
        <w:rPr>
          <w:rFonts w:ascii="Times New Roman" w:hAnsi="Times New Roman"/>
          <w:i w:val="0"/>
          <w:sz w:val="24"/>
          <w:szCs w:val="24"/>
          <w:lang w:val="sq-AL"/>
        </w:rPr>
        <w:t xml:space="preserve"> </w:t>
      </w:r>
    </w:p>
    <w:p w:rsidR="00B0121D" w:rsidRPr="00D73F43" w:rsidRDefault="00B0121D" w:rsidP="00B0121D">
      <w:pPr>
        <w:spacing w:line="276" w:lineRule="auto"/>
        <w:ind w:right="-43"/>
        <w:jc w:val="both"/>
        <w:rPr>
          <w:lang w:val="sq-AL"/>
        </w:rPr>
      </w:pPr>
      <w:r w:rsidRPr="00D73F43">
        <w:rPr>
          <w:lang w:val="sq-AL"/>
        </w:rPr>
        <w:t xml:space="preserve">Në buxhetin e vitit 2017 do të vazhdojnë të financohen nëpërmjet transfertës specifike funksionet e reja të cilat iu transferuan bashkive në vitin buxhetor 2016, si: </w:t>
      </w:r>
    </w:p>
    <w:p w:rsidR="00B0121D" w:rsidRPr="00D73F43" w:rsidRDefault="00B0121D" w:rsidP="00B0121D">
      <w:pPr>
        <w:spacing w:line="276" w:lineRule="auto"/>
        <w:ind w:right="-43"/>
        <w:jc w:val="both"/>
        <w:rPr>
          <w:lang w:val="sq-AL"/>
        </w:rPr>
      </w:pPr>
    </w:p>
    <w:p w:rsidR="00B0121D" w:rsidRPr="00D73F43" w:rsidRDefault="00B0121D" w:rsidP="00534AA6">
      <w:pPr>
        <w:numPr>
          <w:ilvl w:val="0"/>
          <w:numId w:val="29"/>
        </w:numPr>
        <w:spacing w:line="276" w:lineRule="auto"/>
        <w:ind w:right="-43"/>
        <w:contextualSpacing/>
        <w:jc w:val="both"/>
        <w:rPr>
          <w:lang w:val="sq-AL"/>
        </w:rPr>
      </w:pPr>
      <w:r w:rsidRPr="00D73F43">
        <w:rPr>
          <w:lang w:val="sq-AL"/>
        </w:rPr>
        <w:t xml:space="preserve">Personeli edukativ dhe mbështetës në arsimin parashkollor, </w:t>
      </w:r>
    </w:p>
    <w:p w:rsidR="00B0121D" w:rsidRPr="00D73F43" w:rsidRDefault="00B0121D" w:rsidP="00534AA6">
      <w:pPr>
        <w:numPr>
          <w:ilvl w:val="0"/>
          <w:numId w:val="29"/>
        </w:numPr>
        <w:spacing w:line="276" w:lineRule="auto"/>
        <w:ind w:right="-43"/>
        <w:contextualSpacing/>
        <w:jc w:val="both"/>
        <w:rPr>
          <w:lang w:val="sq-AL"/>
        </w:rPr>
      </w:pPr>
      <w:r w:rsidRPr="00D73F43">
        <w:rPr>
          <w:lang w:val="sq-AL"/>
        </w:rPr>
        <w:t xml:space="preserve">Personeli mbështetës i arsimit parauniversitar, </w:t>
      </w:r>
    </w:p>
    <w:p w:rsidR="00B0121D" w:rsidRPr="00D73F43" w:rsidRDefault="00B0121D" w:rsidP="00534AA6">
      <w:pPr>
        <w:numPr>
          <w:ilvl w:val="0"/>
          <w:numId w:val="29"/>
        </w:numPr>
        <w:spacing w:line="276" w:lineRule="auto"/>
        <w:ind w:right="-43"/>
        <w:contextualSpacing/>
        <w:jc w:val="both"/>
        <w:rPr>
          <w:lang w:val="sq-AL"/>
        </w:rPr>
      </w:pPr>
      <w:r w:rsidRPr="00D73F43">
        <w:rPr>
          <w:lang w:val="sq-AL"/>
        </w:rPr>
        <w:t xml:space="preserve">Rrugët rurale rajonale, </w:t>
      </w:r>
    </w:p>
    <w:p w:rsidR="00B0121D" w:rsidRPr="00D73F43" w:rsidRDefault="00B0121D" w:rsidP="00534AA6">
      <w:pPr>
        <w:numPr>
          <w:ilvl w:val="0"/>
          <w:numId w:val="29"/>
        </w:numPr>
        <w:spacing w:line="276" w:lineRule="auto"/>
        <w:ind w:right="-43"/>
        <w:contextualSpacing/>
        <w:jc w:val="both"/>
        <w:rPr>
          <w:lang w:val="sq-AL"/>
        </w:rPr>
      </w:pPr>
      <w:r w:rsidRPr="00D73F43">
        <w:rPr>
          <w:lang w:val="sq-AL"/>
        </w:rPr>
        <w:t xml:space="preserve">Shërbimi i mbrojtjes nga zjarri, </w:t>
      </w:r>
    </w:p>
    <w:p w:rsidR="00B0121D" w:rsidRPr="00D73F43" w:rsidRDefault="00B0121D" w:rsidP="00534AA6">
      <w:pPr>
        <w:numPr>
          <w:ilvl w:val="0"/>
          <w:numId w:val="29"/>
        </w:numPr>
        <w:spacing w:line="276" w:lineRule="auto"/>
        <w:ind w:right="-43"/>
        <w:contextualSpacing/>
        <w:jc w:val="both"/>
        <w:rPr>
          <w:lang w:val="sq-AL"/>
        </w:rPr>
      </w:pPr>
      <w:r w:rsidRPr="00D73F43">
        <w:rPr>
          <w:lang w:val="sq-AL"/>
        </w:rPr>
        <w:t xml:space="preserve">Shërbimi pyjor, </w:t>
      </w:r>
    </w:p>
    <w:p w:rsidR="00B0121D" w:rsidRPr="00D73F43" w:rsidRDefault="00B0121D" w:rsidP="00534AA6">
      <w:pPr>
        <w:numPr>
          <w:ilvl w:val="0"/>
          <w:numId w:val="29"/>
        </w:numPr>
        <w:spacing w:line="276" w:lineRule="auto"/>
        <w:ind w:right="-43"/>
        <w:contextualSpacing/>
        <w:jc w:val="both"/>
        <w:rPr>
          <w:lang w:val="sq-AL"/>
        </w:rPr>
      </w:pPr>
      <w:r w:rsidRPr="00D73F43">
        <w:rPr>
          <w:lang w:val="sq-AL"/>
        </w:rPr>
        <w:t xml:space="preserve">Ujitja dhe kullimi, </w:t>
      </w:r>
    </w:p>
    <w:p w:rsidR="00B0121D" w:rsidRPr="00D73F43" w:rsidRDefault="00B0121D" w:rsidP="00534AA6">
      <w:pPr>
        <w:numPr>
          <w:ilvl w:val="0"/>
          <w:numId w:val="29"/>
        </w:numPr>
        <w:spacing w:line="276" w:lineRule="auto"/>
        <w:ind w:right="-43"/>
        <w:contextualSpacing/>
        <w:jc w:val="both"/>
        <w:rPr>
          <w:lang w:val="sq-AL"/>
        </w:rPr>
      </w:pPr>
      <w:r w:rsidRPr="00D73F43">
        <w:rPr>
          <w:lang w:val="sq-AL"/>
        </w:rPr>
        <w:t xml:space="preserve">Ofrimi i shërbimeve sociale. </w:t>
      </w:r>
    </w:p>
    <w:p w:rsidR="00B0121D" w:rsidRPr="00D73F43" w:rsidRDefault="00B0121D" w:rsidP="00B0121D">
      <w:pPr>
        <w:spacing w:line="276" w:lineRule="auto"/>
        <w:ind w:right="-43"/>
        <w:jc w:val="both"/>
        <w:rPr>
          <w:sz w:val="16"/>
          <w:szCs w:val="16"/>
          <w:lang w:val="sq-AL"/>
        </w:rPr>
      </w:pPr>
    </w:p>
    <w:p w:rsidR="00B0121D" w:rsidRPr="00D73F43" w:rsidRDefault="00B0121D" w:rsidP="00B0121D">
      <w:pPr>
        <w:spacing w:line="276" w:lineRule="auto"/>
        <w:ind w:right="-43"/>
        <w:jc w:val="both"/>
        <w:rPr>
          <w:lang w:val="sq-AL"/>
        </w:rPr>
      </w:pPr>
      <w:r w:rsidRPr="00D73F43">
        <w:rPr>
          <w:lang w:val="sq-AL"/>
        </w:rPr>
        <w:t>Funksionet e transferuara, për vitet 2016-2017 dhe vitin 2018, do të financohen nëpërmjet transfertave specifike të përcaktuara individualisht për çdo njësi të vetëqeverisjes vendore, për çdo funksion. Kalimi i këtyre funksioneve së bashku me burimet e financimeve përkatëse do ketë një efekt pozitiv në buxhetin vendor të vitit 2017, në vlerën rreth 7 miliardë lekë.</w:t>
      </w:r>
    </w:p>
    <w:p w:rsidR="00B0121D" w:rsidRPr="00D73F43" w:rsidRDefault="00B0121D" w:rsidP="00B0121D">
      <w:pPr>
        <w:spacing w:line="276" w:lineRule="auto"/>
        <w:ind w:right="-43"/>
        <w:jc w:val="both"/>
        <w:rPr>
          <w:lang w:val="sq-AL"/>
        </w:rPr>
      </w:pPr>
    </w:p>
    <w:p w:rsidR="00B0121D" w:rsidRPr="00D73F43" w:rsidRDefault="00B0121D" w:rsidP="00534AA6">
      <w:pPr>
        <w:numPr>
          <w:ilvl w:val="0"/>
          <w:numId w:val="98"/>
        </w:numPr>
        <w:spacing w:line="276" w:lineRule="auto"/>
        <w:ind w:right="-43"/>
        <w:jc w:val="both"/>
        <w:rPr>
          <w:lang w:val="sq-AL"/>
        </w:rPr>
      </w:pPr>
      <w:r w:rsidRPr="00D73F43">
        <w:rPr>
          <w:lang w:val="sq-AL"/>
        </w:rPr>
        <w:lastRenderedPageBreak/>
        <w:t xml:space="preserve">Në buxhetin e vitit 2017, për funksionin e arsimit, janë transferuar në nivel vendor 7333 punonjës, (nga të cilët një shtesë prej 232 punonjësish të arsimit parashkollor dhe të mesëm, janë transferuar nga Ministria e Arsimit dhe Sportit në nivel vendor për vitin 2017), shoqëruar me një faturë financiare prej 4,481,184 mijë lekë. </w:t>
      </w:r>
    </w:p>
    <w:p w:rsidR="00B0121D" w:rsidRPr="00D73F43" w:rsidRDefault="00B0121D" w:rsidP="00534AA6">
      <w:pPr>
        <w:numPr>
          <w:ilvl w:val="0"/>
          <w:numId w:val="98"/>
        </w:numPr>
        <w:spacing w:line="276" w:lineRule="auto"/>
        <w:ind w:right="-43"/>
        <w:jc w:val="both"/>
        <w:rPr>
          <w:lang w:val="sq-AL"/>
        </w:rPr>
      </w:pPr>
      <w:r w:rsidRPr="00D73F43">
        <w:rPr>
          <w:lang w:val="sq-AL"/>
        </w:rPr>
        <w:t>Për funksionin e ujitjes dhe kullimit, janë transferuar në nivel vendor 267 punonjës, shoqëruar me një faturë financiare prej 376,660 mijë lekë.</w:t>
      </w:r>
    </w:p>
    <w:p w:rsidR="00B0121D" w:rsidRPr="00D73F43" w:rsidRDefault="00B0121D" w:rsidP="00534AA6">
      <w:pPr>
        <w:numPr>
          <w:ilvl w:val="0"/>
          <w:numId w:val="98"/>
        </w:numPr>
        <w:spacing w:line="276" w:lineRule="auto"/>
        <w:ind w:right="-43"/>
        <w:jc w:val="both"/>
        <w:rPr>
          <w:lang w:val="sq-AL"/>
        </w:rPr>
      </w:pPr>
      <w:r w:rsidRPr="00D73F43">
        <w:rPr>
          <w:lang w:val="sq-AL"/>
        </w:rPr>
        <w:t>Për funksionin e mbrojtjes ndaj zjarrit janë transferuar në nivel vendor 993 punonjës, shoqëruar me një faturë financiare prej 846,406 mijë lekë.</w:t>
      </w:r>
    </w:p>
    <w:p w:rsidR="00B0121D" w:rsidRPr="00D73F43" w:rsidRDefault="00B0121D" w:rsidP="00534AA6">
      <w:pPr>
        <w:numPr>
          <w:ilvl w:val="0"/>
          <w:numId w:val="98"/>
        </w:numPr>
        <w:spacing w:line="276" w:lineRule="auto"/>
        <w:ind w:right="-43"/>
        <w:jc w:val="both"/>
        <w:rPr>
          <w:lang w:val="sq-AL"/>
        </w:rPr>
      </w:pPr>
      <w:r w:rsidRPr="00D73F43">
        <w:rPr>
          <w:lang w:val="sq-AL"/>
        </w:rPr>
        <w:t>Për funksionin e administrimit të pyjeve janë transferuar në nivel vendor 261 punonjës, shoqëruar me një faturë financiare prej 154,008 mijë lekë.</w:t>
      </w:r>
    </w:p>
    <w:p w:rsidR="00B0121D" w:rsidRPr="00D73F43" w:rsidRDefault="00B0121D" w:rsidP="00534AA6">
      <w:pPr>
        <w:numPr>
          <w:ilvl w:val="0"/>
          <w:numId w:val="98"/>
        </w:numPr>
        <w:spacing w:line="276" w:lineRule="auto"/>
        <w:ind w:right="-43"/>
        <w:jc w:val="both"/>
        <w:rPr>
          <w:lang w:val="sq-AL"/>
        </w:rPr>
      </w:pPr>
      <w:r w:rsidRPr="00D73F43">
        <w:rPr>
          <w:lang w:val="sq-AL"/>
        </w:rPr>
        <w:t>Gjithashtu për vitin 2017, pjesë e buxhetit vendor do të jetë edhe fondi për rritjen e pagave, për të financuar funksionet e reja të transferuara në nivel vendor, me një vlerë rreth  415,000 mijë lekë</w:t>
      </w:r>
      <w:r w:rsidRPr="00D73F43">
        <w:rPr>
          <w:b/>
          <w:lang w:val="sq-AL"/>
        </w:rPr>
        <w:t>.</w:t>
      </w:r>
    </w:p>
    <w:p w:rsidR="00B0121D" w:rsidRPr="00D73F43" w:rsidRDefault="00B0121D" w:rsidP="00534AA6">
      <w:pPr>
        <w:numPr>
          <w:ilvl w:val="0"/>
          <w:numId w:val="98"/>
        </w:numPr>
        <w:spacing w:line="276" w:lineRule="auto"/>
        <w:ind w:right="-43"/>
        <w:jc w:val="both"/>
        <w:rPr>
          <w:lang w:val="sq-AL"/>
        </w:rPr>
      </w:pPr>
      <w:r w:rsidRPr="00D73F43">
        <w:rPr>
          <w:lang w:val="sq-AL"/>
        </w:rPr>
        <w:t>Ndërkohë, është parashikuar edhe fondi prej 111 milionë lekë për ngritjen e disa stacioneve të reja zjarrfikëse në bashkitë, si dhe 89 milionë lekë për plotësimin e standardit sipas ligjit të mbrojtjes nga zjarri në 26 bashki.</w:t>
      </w:r>
    </w:p>
    <w:p w:rsidR="00B0121D" w:rsidRPr="00D73F43" w:rsidRDefault="00B0121D" w:rsidP="00B0121D">
      <w:pPr>
        <w:spacing w:line="276" w:lineRule="auto"/>
        <w:ind w:right="-43"/>
        <w:jc w:val="both"/>
        <w:rPr>
          <w:lang w:val="sq-AL"/>
        </w:rPr>
      </w:pPr>
    </w:p>
    <w:p w:rsidR="00B0121D" w:rsidRPr="00D73F43" w:rsidRDefault="00B0121D" w:rsidP="00B0121D">
      <w:pPr>
        <w:spacing w:line="276" w:lineRule="auto"/>
        <w:ind w:right="-43"/>
        <w:jc w:val="both"/>
        <w:rPr>
          <w:lang w:val="sq-AL"/>
        </w:rPr>
      </w:pPr>
      <w:r w:rsidRPr="00D73F43">
        <w:rPr>
          <w:lang w:val="sq-AL"/>
        </w:rPr>
        <w:t xml:space="preserve">Në një aneks të veçantë të ligjit të buxhetit të vitit 2017 janë paracaktuar masat e nevojshme, rolet dhe detyrat përkatëse për kryerjen e këtyre funksioneve. </w:t>
      </w:r>
    </w:p>
    <w:p w:rsidR="00B0121D" w:rsidRPr="00D73F43" w:rsidRDefault="00B0121D" w:rsidP="00B0121D">
      <w:pPr>
        <w:ind w:right="-43"/>
        <w:jc w:val="both"/>
        <w:rPr>
          <w:lang w:val="sq-AL"/>
        </w:rPr>
      </w:pPr>
    </w:p>
    <w:p w:rsidR="00B0121D" w:rsidRPr="007C2D89" w:rsidRDefault="00B0121D" w:rsidP="00534AA6">
      <w:pPr>
        <w:pStyle w:val="Heading2"/>
        <w:numPr>
          <w:ilvl w:val="0"/>
          <w:numId w:val="147"/>
        </w:numPr>
        <w:rPr>
          <w:rFonts w:ascii="Times New Roman" w:hAnsi="Times New Roman"/>
          <w:i w:val="0"/>
          <w:sz w:val="24"/>
          <w:szCs w:val="24"/>
          <w:lang w:val="sq-AL"/>
        </w:rPr>
      </w:pPr>
      <w:bookmarkStart w:id="37" w:name="_Toc466295648"/>
      <w:bookmarkStart w:id="38" w:name="_Toc466445443"/>
      <w:r w:rsidRPr="007C2D89">
        <w:rPr>
          <w:rFonts w:ascii="Times New Roman" w:hAnsi="Times New Roman"/>
          <w:i w:val="0"/>
          <w:sz w:val="24"/>
          <w:szCs w:val="24"/>
          <w:lang w:val="sq-AL"/>
        </w:rPr>
        <w:t>Detyrimet e prapambetura të njësive të vetëqeverisjes vendore</w:t>
      </w:r>
      <w:bookmarkEnd w:id="37"/>
      <w:bookmarkEnd w:id="38"/>
    </w:p>
    <w:p w:rsidR="00B0121D" w:rsidRPr="00D73F43" w:rsidRDefault="00B0121D" w:rsidP="00B0121D">
      <w:pPr>
        <w:spacing w:line="276" w:lineRule="auto"/>
        <w:jc w:val="both"/>
        <w:rPr>
          <w:lang w:val="sq-AL"/>
        </w:rPr>
      </w:pPr>
      <w:r w:rsidRPr="00D73F43">
        <w:rPr>
          <w:lang w:val="sq-AL"/>
        </w:rPr>
        <w:t xml:space="preserve">Detyrimet e njësive të qeverisjes vendore janë krijuar si rrjedhojë e keqmenaxhimit të financave publike në nivel vendor, si dhe parashikimit optimist të të ardhurave. </w:t>
      </w:r>
    </w:p>
    <w:p w:rsidR="00B0121D" w:rsidRPr="00D73F43" w:rsidRDefault="00B0121D" w:rsidP="00B0121D">
      <w:pPr>
        <w:spacing w:line="276" w:lineRule="auto"/>
        <w:jc w:val="both"/>
        <w:rPr>
          <w:lang w:val="sq-AL"/>
        </w:rPr>
      </w:pPr>
      <w:r w:rsidRPr="00D73F43">
        <w:rPr>
          <w:lang w:val="sq-AL"/>
        </w:rPr>
        <w:t xml:space="preserve">Në vitin 2016, janë evidentuar detyrimet e prapambetura të akumuluara nga çdo bashki deri më 31 Dhjetor 2015, të cilat në total kishin vlerën rreth </w:t>
      </w:r>
      <w:r w:rsidRPr="00D73F43">
        <w:rPr>
          <w:b/>
          <w:i/>
          <w:lang w:val="sq-AL"/>
        </w:rPr>
        <w:t>12.2 miliardë lekë</w:t>
      </w:r>
      <w:r w:rsidRPr="00D73F43">
        <w:rPr>
          <w:lang w:val="sq-AL"/>
        </w:rPr>
        <w:t xml:space="preserve">, shifër kjo e cila do të verifikohet më tej gjatë procesit të shlyerjes së detyrimeve. Njësitë e vetëqeverisjes vendore gjatë viti 2016, kanë shlyer rreth 2.7 miliardë lekë detyrime. </w:t>
      </w:r>
    </w:p>
    <w:p w:rsidR="00B0121D" w:rsidRPr="00D73F43" w:rsidRDefault="00B0121D" w:rsidP="00B0121D">
      <w:pPr>
        <w:spacing w:line="276" w:lineRule="auto"/>
        <w:jc w:val="both"/>
        <w:rPr>
          <w:lang w:val="sq-AL"/>
        </w:rPr>
      </w:pPr>
      <w:r w:rsidRPr="00D73F43">
        <w:rPr>
          <w:lang w:val="sq-AL"/>
        </w:rPr>
        <w:t>Ligji i ri për financat vendore do të forcojë disiplinën financiare për të parandaluar akumulimin e detyrimeve të prapambetura në të ardhmen, që mund të kthehen në një risk serioz potencial për këto njësi, me impakt negativ edhe në ekonominë e vendit në tërësi. Në këtë kuadër, qeveria po i kushton një fokus të posacëm sh</w:t>
      </w:r>
      <w:r w:rsidR="007C2D89">
        <w:rPr>
          <w:lang w:val="sq-AL"/>
        </w:rPr>
        <w:t>lyerjes së detyrimeve të prapam</w:t>
      </w:r>
      <w:r w:rsidRPr="00D73F43">
        <w:rPr>
          <w:lang w:val="sq-AL"/>
        </w:rPr>
        <w:t xml:space="preserve">betura të njësive vendore. </w:t>
      </w:r>
    </w:p>
    <w:p w:rsidR="00B0121D" w:rsidRPr="00D73F43" w:rsidRDefault="00B0121D" w:rsidP="00B0121D">
      <w:pPr>
        <w:spacing w:line="276" w:lineRule="auto"/>
        <w:jc w:val="both"/>
        <w:rPr>
          <w:lang w:val="sq-AL"/>
        </w:rPr>
      </w:pPr>
      <w:r w:rsidRPr="00D73F43">
        <w:rPr>
          <w:rFonts w:eastAsia="MS Mincho"/>
          <w:lang w:val="sq-AL"/>
        </w:rPr>
        <w:t xml:space="preserve">Ministria e Financave në bashkëpunim </w:t>
      </w:r>
      <w:r w:rsidR="00480EA8">
        <w:rPr>
          <w:rFonts w:eastAsia="MS Mincho"/>
          <w:lang w:val="sq-AL"/>
        </w:rPr>
        <w:t>me njësitë e vetëqeverisjes vendore</w:t>
      </w:r>
      <w:r w:rsidRPr="00D73F43">
        <w:rPr>
          <w:lang w:val="sq-AL"/>
        </w:rPr>
        <w:t xml:space="preserve"> ka hartuar një plan veprimi për shlyerjen e detyrimeve të prapambetura, i cili duhet zbatuar nga ana e </w:t>
      </w:r>
      <w:r w:rsidR="00480EA8">
        <w:rPr>
          <w:lang w:val="sq-AL"/>
        </w:rPr>
        <w:t>tyre</w:t>
      </w:r>
      <w:r w:rsidRPr="00D73F43">
        <w:rPr>
          <w:lang w:val="sq-AL"/>
        </w:rPr>
        <w:t xml:space="preserve">, duke filluar nga viti 2016. </w:t>
      </w:r>
    </w:p>
    <w:p w:rsidR="00B0121D" w:rsidRPr="00D73F43" w:rsidRDefault="00B0121D" w:rsidP="00B0121D">
      <w:pPr>
        <w:spacing w:line="276" w:lineRule="auto"/>
        <w:jc w:val="both"/>
        <w:rPr>
          <w:lang w:val="sq-AL"/>
        </w:rPr>
      </w:pPr>
    </w:p>
    <w:p w:rsidR="00B0121D" w:rsidRPr="00D73F43" w:rsidRDefault="00B0121D" w:rsidP="00B0121D">
      <w:pPr>
        <w:spacing w:line="276" w:lineRule="auto"/>
        <w:jc w:val="both"/>
        <w:rPr>
          <w:lang w:val="sq-AL"/>
        </w:rPr>
      </w:pPr>
      <w:r w:rsidRPr="00D73F43">
        <w:rPr>
          <w:lang w:val="sq-AL"/>
        </w:rPr>
        <w:t>Plani i veprimit për shlyerjen e këtyre detyrimeve synon të mbledhë një informacion të qartë dhe gjithëpërfshirës në drejtimet e mëposhtme:</w:t>
      </w:r>
    </w:p>
    <w:p w:rsidR="00B0121D" w:rsidRPr="00D73F43" w:rsidRDefault="00B0121D" w:rsidP="00534AA6">
      <w:pPr>
        <w:numPr>
          <w:ilvl w:val="0"/>
          <w:numId w:val="30"/>
        </w:numPr>
        <w:spacing w:line="276" w:lineRule="auto"/>
        <w:ind w:left="426" w:hanging="426"/>
        <w:jc w:val="both"/>
        <w:rPr>
          <w:rFonts w:eastAsia="MS Mincho"/>
          <w:lang w:val="sq-AL"/>
        </w:rPr>
      </w:pPr>
      <w:r w:rsidRPr="00D73F43">
        <w:rPr>
          <w:rFonts w:eastAsia="MS Mincho"/>
          <w:lang w:val="sq-AL"/>
        </w:rPr>
        <w:t>Historiku i detyrimeve të prapambetura, shkaqet dhe arsyet e pamundësisë për të shlyer këto detyrime.</w:t>
      </w:r>
    </w:p>
    <w:p w:rsidR="00B0121D" w:rsidRPr="00D73F43" w:rsidRDefault="00B0121D" w:rsidP="00534AA6">
      <w:pPr>
        <w:numPr>
          <w:ilvl w:val="0"/>
          <w:numId w:val="30"/>
        </w:numPr>
        <w:spacing w:line="276" w:lineRule="auto"/>
        <w:ind w:left="426" w:hanging="426"/>
        <w:jc w:val="both"/>
        <w:rPr>
          <w:rFonts w:eastAsia="MS Mincho"/>
          <w:lang w:val="sq-AL"/>
        </w:rPr>
      </w:pPr>
      <w:r w:rsidRPr="00D73F43">
        <w:rPr>
          <w:rFonts w:eastAsia="MS Mincho"/>
          <w:lang w:val="sq-AL"/>
        </w:rPr>
        <w:t xml:space="preserve">Masat konkrete të marra deri tani nga ana e njësive të qeverisjes vendore dhe situata aktuale. </w:t>
      </w:r>
    </w:p>
    <w:p w:rsidR="00B0121D" w:rsidRPr="00D73F43" w:rsidRDefault="00B0121D" w:rsidP="00534AA6">
      <w:pPr>
        <w:numPr>
          <w:ilvl w:val="0"/>
          <w:numId w:val="30"/>
        </w:numPr>
        <w:spacing w:line="276" w:lineRule="auto"/>
        <w:ind w:left="426" w:hanging="426"/>
        <w:jc w:val="both"/>
        <w:rPr>
          <w:rFonts w:eastAsia="MS Mincho"/>
          <w:lang w:val="sq-AL"/>
        </w:rPr>
      </w:pPr>
      <w:r w:rsidRPr="00D73F43">
        <w:rPr>
          <w:rFonts w:eastAsia="MS Mincho"/>
          <w:lang w:val="sq-AL"/>
        </w:rPr>
        <w:t>Detyrimet e prapambetura që nuk kanë mundur të likuidohen deri në fund të vitit 2015 dhe detyrimet e krijuara rishtaz</w:t>
      </w:r>
      <w:r w:rsidR="008676DB">
        <w:rPr>
          <w:rFonts w:eastAsia="MS Mincho"/>
          <w:lang w:val="sq-AL"/>
        </w:rPr>
        <w:t xml:space="preserve">i. </w:t>
      </w:r>
    </w:p>
    <w:p w:rsidR="00B0121D" w:rsidRPr="00D73F43" w:rsidRDefault="00B0121D" w:rsidP="00534AA6">
      <w:pPr>
        <w:numPr>
          <w:ilvl w:val="0"/>
          <w:numId w:val="30"/>
        </w:numPr>
        <w:spacing w:line="276" w:lineRule="auto"/>
        <w:ind w:left="426" w:hanging="426"/>
        <w:jc w:val="both"/>
        <w:rPr>
          <w:rFonts w:eastAsia="MS Mincho"/>
          <w:lang w:val="sq-AL"/>
        </w:rPr>
      </w:pPr>
      <w:r w:rsidRPr="00D73F43">
        <w:rPr>
          <w:rFonts w:eastAsia="MS Mincho"/>
          <w:lang w:val="sq-AL"/>
        </w:rPr>
        <w:t>Plani i shlyerjes së detyrimeve të prapambetura për vitet 2016-2017 dhe për një periudhë afatmesme.</w:t>
      </w:r>
    </w:p>
    <w:p w:rsidR="00B0121D" w:rsidRPr="00D73F43" w:rsidRDefault="00B0121D" w:rsidP="00534AA6">
      <w:pPr>
        <w:numPr>
          <w:ilvl w:val="0"/>
          <w:numId w:val="30"/>
        </w:numPr>
        <w:spacing w:line="276" w:lineRule="auto"/>
        <w:ind w:left="426" w:hanging="426"/>
        <w:jc w:val="both"/>
        <w:rPr>
          <w:rFonts w:eastAsia="MS Mincho"/>
          <w:lang w:val="sq-AL"/>
        </w:rPr>
      </w:pPr>
      <w:r w:rsidRPr="00D73F43">
        <w:rPr>
          <w:rFonts w:eastAsia="MS Mincho"/>
          <w:lang w:val="sq-AL"/>
        </w:rPr>
        <w:t>Masat që do të merren në të ardhmen për parandalimin e krijimit të detyrimeve të prapambetura.</w:t>
      </w:r>
    </w:p>
    <w:p w:rsidR="00B0121D" w:rsidRPr="00D73F43" w:rsidRDefault="00B0121D" w:rsidP="00B0121D">
      <w:pPr>
        <w:spacing w:line="276" w:lineRule="auto"/>
        <w:rPr>
          <w:lang w:val="sq-AL"/>
        </w:rPr>
      </w:pPr>
    </w:p>
    <w:p w:rsidR="00B0121D" w:rsidRPr="007C2D89" w:rsidRDefault="00B0121D" w:rsidP="00534AA6">
      <w:pPr>
        <w:pStyle w:val="Heading2"/>
        <w:numPr>
          <w:ilvl w:val="0"/>
          <w:numId w:val="147"/>
        </w:numPr>
        <w:rPr>
          <w:rFonts w:ascii="Times New Roman" w:hAnsi="Times New Roman"/>
          <w:i w:val="0"/>
          <w:sz w:val="24"/>
          <w:szCs w:val="24"/>
          <w:lang w:val="sq-AL"/>
        </w:rPr>
      </w:pPr>
      <w:bookmarkStart w:id="39" w:name="_Toc466295649"/>
      <w:bookmarkStart w:id="40" w:name="_Toc466445444"/>
      <w:r w:rsidRPr="007C2D89">
        <w:rPr>
          <w:rFonts w:ascii="Times New Roman" w:hAnsi="Times New Roman"/>
          <w:i w:val="0"/>
          <w:sz w:val="24"/>
          <w:szCs w:val="24"/>
          <w:lang w:val="sq-AL"/>
        </w:rPr>
        <w:lastRenderedPageBreak/>
        <w:t>Performanca fiskale e pushtetit vendor (2013 -2017)</w:t>
      </w:r>
      <w:bookmarkEnd w:id="39"/>
      <w:bookmarkEnd w:id="40"/>
    </w:p>
    <w:p w:rsidR="00B0121D" w:rsidRPr="00D73F43" w:rsidRDefault="00B0121D" w:rsidP="00B0121D">
      <w:pPr>
        <w:pStyle w:val="ListParagraph"/>
        <w:ind w:left="360"/>
        <w:rPr>
          <w:b/>
          <w:lang w:val="sq-AL"/>
        </w:rPr>
      </w:pPr>
    </w:p>
    <w:p w:rsidR="00B0121D" w:rsidRPr="00D73F43" w:rsidRDefault="00B0121D" w:rsidP="007C2D89">
      <w:pPr>
        <w:spacing w:line="276" w:lineRule="auto"/>
        <w:jc w:val="both"/>
        <w:rPr>
          <w:lang w:val="sq-AL"/>
        </w:rPr>
      </w:pPr>
      <w:r w:rsidRPr="00D73F43">
        <w:rPr>
          <w:b/>
          <w:lang w:val="sq-AL"/>
        </w:rPr>
        <w:t>Buxheti vendor</w:t>
      </w:r>
      <w:r w:rsidRPr="00D73F43">
        <w:rPr>
          <w:lang w:val="sq-AL"/>
        </w:rPr>
        <w:t xml:space="preserve"> i vitit 2017, së bashku me të gjithë komponentët e tij (transferta e pakushtëzuar, transfertat specifike, Fondi për Zhvillimin e Rajoneve, Renta minerare dhe të ardhurat e veta), është r</w:t>
      </w:r>
      <w:r w:rsidR="008676DB">
        <w:rPr>
          <w:lang w:val="sq-AL"/>
        </w:rPr>
        <w:t xml:space="preserve">reth 4 për qind më i lartë se  </w:t>
      </w:r>
      <w:r w:rsidRPr="00D73F43">
        <w:rPr>
          <w:lang w:val="sq-AL"/>
        </w:rPr>
        <w:t>në vitin 2016. Gjithashtu, ky buxhet për vitin 2017 do të jetë 3.1 për qind e PBB-së dhe krahasuar me vitin 2013 është 1 për qind e PBB-së më i lartë, ndërkohë që deri në vitin 2013 është rri</w:t>
      </w:r>
      <w:r w:rsidR="008676DB">
        <w:rPr>
          <w:lang w:val="sq-AL"/>
        </w:rPr>
        <w:t xml:space="preserve">tur me 0.4 për qind të PBB-së. </w:t>
      </w:r>
      <w:r w:rsidRPr="00D73F43">
        <w:rPr>
          <w:lang w:val="sq-AL"/>
        </w:rPr>
        <w:t>Në grafikun e mëposhtëm paraqitet buxheti vendor i vitit 2017, krahasuar me buxhetin vendor të vitit 2013, ku vihet re një rritje e ndjeshme e tij me rreth 68 për qind.</w:t>
      </w:r>
    </w:p>
    <w:p w:rsidR="00B0121D" w:rsidRPr="00D73F43" w:rsidRDefault="00B0121D" w:rsidP="00B0121D">
      <w:pPr>
        <w:jc w:val="both"/>
        <w:rPr>
          <w:lang w:val="sq-AL"/>
        </w:rPr>
      </w:pPr>
    </w:p>
    <w:p w:rsidR="00B0121D" w:rsidRPr="00D73F43" w:rsidRDefault="00B0121D" w:rsidP="00B0121D">
      <w:pPr>
        <w:jc w:val="both"/>
        <w:rPr>
          <w:i/>
          <w:sz w:val="20"/>
          <w:szCs w:val="20"/>
          <w:lang w:val="sq-AL"/>
        </w:rPr>
      </w:pPr>
      <w:r w:rsidRPr="00D73F43">
        <w:rPr>
          <w:lang w:val="sq-AL"/>
        </w:rPr>
        <w:t xml:space="preserve">            </w:t>
      </w:r>
      <w:r w:rsidRPr="00D73F43">
        <w:rPr>
          <w:i/>
          <w:sz w:val="20"/>
          <w:szCs w:val="20"/>
          <w:lang w:val="sq-AL"/>
        </w:rPr>
        <w:t>Grafik.</w:t>
      </w:r>
      <w:r w:rsidR="00C610A8">
        <w:rPr>
          <w:i/>
          <w:sz w:val="20"/>
          <w:szCs w:val="20"/>
          <w:lang w:val="sq-AL"/>
        </w:rPr>
        <w:t>3</w:t>
      </w:r>
      <w:r w:rsidRPr="00D73F43">
        <w:rPr>
          <w:i/>
          <w:sz w:val="20"/>
          <w:szCs w:val="20"/>
          <w:lang w:val="sq-AL"/>
        </w:rPr>
        <w:t>: Buxheti vendor 2013-2017</w:t>
      </w:r>
    </w:p>
    <w:p w:rsidR="00B0121D" w:rsidRPr="00D73F43" w:rsidRDefault="00B0121D" w:rsidP="00B0121D">
      <w:pPr>
        <w:jc w:val="center"/>
        <w:rPr>
          <w:b/>
          <w:lang w:val="sq-AL"/>
        </w:rPr>
      </w:pPr>
      <w:r w:rsidRPr="00D73F43">
        <w:rPr>
          <w:noProof/>
          <w:lang w:val="sq-AL" w:eastAsia="sq-AL"/>
        </w:rPr>
        <w:drawing>
          <wp:inline distT="0" distB="0" distL="0" distR="0" wp14:anchorId="0D49F23A" wp14:editId="68DE4DB8">
            <wp:extent cx="5905500" cy="2752725"/>
            <wp:effectExtent l="0" t="0" r="0" b="0"/>
            <wp:docPr id="41"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D73F43">
        <w:rPr>
          <w:b/>
          <w:lang w:val="sq-AL"/>
        </w:rPr>
        <w:t xml:space="preserve"> </w:t>
      </w:r>
    </w:p>
    <w:p w:rsidR="00B0121D" w:rsidRPr="00D73F43" w:rsidRDefault="00B0121D" w:rsidP="00B0121D">
      <w:pPr>
        <w:jc w:val="center"/>
        <w:rPr>
          <w:i/>
          <w:sz w:val="20"/>
          <w:szCs w:val="20"/>
          <w:lang w:val="sq-AL"/>
        </w:rPr>
      </w:pPr>
      <w:r w:rsidRPr="00D73F43">
        <w:rPr>
          <w:i/>
          <w:sz w:val="20"/>
          <w:szCs w:val="20"/>
          <w:lang w:val="sq-AL"/>
        </w:rPr>
        <w:t>Burimi: Ministria e Financave</w:t>
      </w:r>
    </w:p>
    <w:p w:rsidR="00B0121D" w:rsidRPr="00D73F43" w:rsidRDefault="00B0121D" w:rsidP="00B0121D">
      <w:pPr>
        <w:jc w:val="both"/>
        <w:rPr>
          <w:b/>
          <w:sz w:val="20"/>
          <w:szCs w:val="20"/>
          <w:lang w:val="sq-AL"/>
        </w:rPr>
      </w:pPr>
    </w:p>
    <w:p w:rsidR="00B0121D" w:rsidRPr="00D73F43" w:rsidRDefault="00B0121D" w:rsidP="00B0121D">
      <w:pPr>
        <w:spacing w:line="276" w:lineRule="auto"/>
        <w:jc w:val="both"/>
        <w:rPr>
          <w:lang w:val="sq-AL"/>
        </w:rPr>
      </w:pPr>
      <w:r w:rsidRPr="00D73F43">
        <w:rPr>
          <w:b/>
          <w:lang w:val="sq-AL"/>
        </w:rPr>
        <w:t>Shpenzimet e buxhetit vendor për vitin 2017</w:t>
      </w:r>
      <w:r w:rsidRPr="00D73F43">
        <w:rPr>
          <w:lang w:val="sq-AL"/>
        </w:rPr>
        <w:t xml:space="preserve">, janë parashikuar në masën  </w:t>
      </w:r>
      <w:r w:rsidRPr="00D73F43">
        <w:rPr>
          <w:rFonts w:eastAsia="Times New Roman"/>
          <w:kern w:val="24"/>
          <w:lang w:val="sq-AL"/>
        </w:rPr>
        <w:t>50,7 miliardë lekë</w:t>
      </w:r>
      <w:r w:rsidRPr="00D73F43">
        <w:rPr>
          <w:lang w:val="sq-AL"/>
        </w:rPr>
        <w:t xml:space="preserve"> ose 3.1 për qind e PBB-së. Në këtë zë është përllogaritur rritja e transfertës së pakushtëzuar për njësitë e vetëqeverisjes vendore, së bashku me Fondin e Zhvillimit të Rajoneve dhe financimi i funksioneve të reja, të cilat janë transferuar në nivel vendor.  </w:t>
      </w:r>
    </w:p>
    <w:p w:rsidR="00B0121D" w:rsidRPr="00D73F43" w:rsidRDefault="00B0121D" w:rsidP="00B0121D">
      <w:pPr>
        <w:jc w:val="both"/>
        <w:rPr>
          <w:lang w:val="sq-AL"/>
        </w:rPr>
      </w:pPr>
    </w:p>
    <w:p w:rsidR="00B0121D" w:rsidRPr="00D73F43" w:rsidRDefault="00B0121D" w:rsidP="00B0121D">
      <w:pPr>
        <w:shd w:val="clear" w:color="auto" w:fill="FFFFFF"/>
        <w:spacing w:line="0" w:lineRule="auto"/>
        <w:jc w:val="both"/>
        <w:rPr>
          <w:rFonts w:eastAsia="Times New Roman"/>
          <w:sz w:val="168"/>
          <w:szCs w:val="168"/>
          <w:lang w:val="sq-AL"/>
        </w:rPr>
      </w:pPr>
      <w:r w:rsidRPr="00D73F43">
        <w:rPr>
          <w:rFonts w:eastAsia="Times New Roman"/>
          <w:sz w:val="168"/>
          <w:szCs w:val="168"/>
          <w:lang w:val="sq-AL"/>
        </w:rPr>
        <w:t>Përvin2017,shpenzimeteBuxhetVendordotëjenë</w:t>
      </w:r>
    </w:p>
    <w:p w:rsidR="00B0121D" w:rsidRPr="00D73F43" w:rsidRDefault="00B0121D" w:rsidP="00B0121D">
      <w:pPr>
        <w:shd w:val="clear" w:color="auto" w:fill="FFFFFF"/>
        <w:spacing w:line="0" w:lineRule="auto"/>
        <w:jc w:val="both"/>
        <w:rPr>
          <w:rFonts w:eastAsia="Times New Roman"/>
          <w:sz w:val="168"/>
          <w:szCs w:val="168"/>
          <w:lang w:val="sq-AL"/>
        </w:rPr>
      </w:pPr>
      <w:r w:rsidRPr="00D73F43">
        <w:rPr>
          <w:rFonts w:eastAsia="Times New Roman"/>
          <w:sz w:val="168"/>
          <w:szCs w:val="168"/>
          <w:lang w:val="sq-AL"/>
        </w:rPr>
        <w:t>50 miliardë lekë ose4 për qind mëtëlartasenë2016.</w:t>
      </w:r>
    </w:p>
    <w:p w:rsidR="00B0121D" w:rsidRPr="00D73F43" w:rsidRDefault="00B0121D" w:rsidP="00B0121D">
      <w:pPr>
        <w:shd w:val="clear" w:color="auto" w:fill="FFFFFF"/>
        <w:spacing w:line="0" w:lineRule="auto"/>
        <w:jc w:val="both"/>
        <w:rPr>
          <w:rFonts w:eastAsia="Times New Roman"/>
          <w:sz w:val="168"/>
          <w:szCs w:val="168"/>
          <w:lang w:val="sq-AL"/>
        </w:rPr>
      </w:pPr>
      <w:r w:rsidRPr="00D73F43">
        <w:rPr>
          <w:rFonts w:eastAsia="Times New Roman"/>
          <w:sz w:val="168"/>
          <w:szCs w:val="168"/>
          <w:lang w:val="sq-AL"/>
        </w:rPr>
        <w:t>•</w:t>
      </w:r>
    </w:p>
    <w:p w:rsidR="00B0121D" w:rsidRPr="00D73F43" w:rsidRDefault="00B0121D" w:rsidP="00B0121D">
      <w:pPr>
        <w:shd w:val="clear" w:color="auto" w:fill="FFFFFF"/>
        <w:spacing w:line="0" w:lineRule="auto"/>
        <w:jc w:val="both"/>
        <w:rPr>
          <w:rFonts w:eastAsia="Times New Roman"/>
          <w:sz w:val="168"/>
          <w:szCs w:val="168"/>
          <w:lang w:val="sq-AL"/>
        </w:rPr>
      </w:pPr>
      <w:r w:rsidRPr="00D73F43">
        <w:rPr>
          <w:rFonts w:eastAsia="Times New Roman"/>
          <w:sz w:val="168"/>
          <w:szCs w:val="168"/>
          <w:lang w:val="sq-AL"/>
        </w:rPr>
        <w:t>ShpenzimeteBuxhetVendornëvin2017dotëzënë</w:t>
      </w:r>
    </w:p>
    <w:p w:rsidR="00B0121D" w:rsidRPr="00D73F43" w:rsidRDefault="00B0121D" w:rsidP="00B0121D">
      <w:pPr>
        <w:shd w:val="clear" w:color="auto" w:fill="FFFFFF"/>
        <w:spacing w:line="0" w:lineRule="auto"/>
        <w:jc w:val="both"/>
        <w:rPr>
          <w:rFonts w:eastAsia="Times New Roman"/>
          <w:sz w:val="168"/>
          <w:szCs w:val="168"/>
          <w:lang w:val="sq-AL"/>
        </w:rPr>
      </w:pPr>
      <w:r w:rsidRPr="00D73F43">
        <w:rPr>
          <w:rFonts w:eastAsia="Times New Roman"/>
          <w:sz w:val="168"/>
          <w:szCs w:val="168"/>
          <w:lang w:val="sq-AL"/>
        </w:rPr>
        <w:t>3.1 për qind tëPBB-sëose1për qind mëtëlartasenëvin2013(në</w:t>
      </w:r>
    </w:p>
    <w:p w:rsidR="00B0121D" w:rsidRPr="00D73F43" w:rsidRDefault="00B0121D" w:rsidP="00B0121D">
      <w:pPr>
        <w:shd w:val="clear" w:color="auto" w:fill="FFFFFF"/>
        <w:spacing w:line="0" w:lineRule="auto"/>
        <w:jc w:val="both"/>
        <w:rPr>
          <w:rFonts w:eastAsia="Times New Roman"/>
          <w:sz w:val="168"/>
          <w:szCs w:val="168"/>
          <w:lang w:val="sq-AL"/>
        </w:rPr>
      </w:pPr>
      <w:r w:rsidRPr="00D73F43">
        <w:rPr>
          <w:rFonts w:eastAsia="Times New Roman"/>
          <w:sz w:val="168"/>
          <w:szCs w:val="168"/>
          <w:lang w:val="sq-AL"/>
        </w:rPr>
        <w:t>vin2013,zinin2.1për qind tëPBB-së).</w:t>
      </w:r>
    </w:p>
    <w:p w:rsidR="00B0121D" w:rsidRPr="00D73F43" w:rsidRDefault="00B0121D" w:rsidP="00B0121D">
      <w:pPr>
        <w:shd w:val="clear" w:color="auto" w:fill="FFFFFF"/>
        <w:spacing w:line="0" w:lineRule="auto"/>
        <w:jc w:val="both"/>
        <w:rPr>
          <w:rFonts w:eastAsia="Times New Roman"/>
          <w:sz w:val="168"/>
          <w:szCs w:val="168"/>
          <w:lang w:val="sq-AL"/>
        </w:rPr>
      </w:pPr>
      <w:r w:rsidRPr="00D73F43">
        <w:rPr>
          <w:rFonts w:eastAsia="Times New Roman"/>
          <w:sz w:val="168"/>
          <w:szCs w:val="168"/>
          <w:lang w:val="sq-AL"/>
        </w:rPr>
        <w:t>•</w:t>
      </w:r>
    </w:p>
    <w:p w:rsidR="00B0121D" w:rsidRPr="00D73F43" w:rsidRDefault="00B0121D" w:rsidP="00B0121D">
      <w:pPr>
        <w:shd w:val="clear" w:color="auto" w:fill="FFFFFF"/>
        <w:spacing w:line="0" w:lineRule="auto"/>
        <w:jc w:val="both"/>
        <w:rPr>
          <w:rFonts w:eastAsia="Times New Roman"/>
          <w:sz w:val="168"/>
          <w:szCs w:val="168"/>
          <w:lang w:val="sq-AL"/>
        </w:rPr>
      </w:pPr>
      <w:r w:rsidRPr="00D73F43">
        <w:rPr>
          <w:rFonts w:eastAsia="Times New Roman"/>
          <w:sz w:val="168"/>
          <w:szCs w:val="168"/>
          <w:lang w:val="sq-AL"/>
        </w:rPr>
        <w:t>Tëardhuratngataksatdhetarifatvendoreparashikohet</w:t>
      </w:r>
    </w:p>
    <w:p w:rsidR="00B0121D" w:rsidRPr="00D73F43" w:rsidRDefault="00B0121D" w:rsidP="00B0121D">
      <w:pPr>
        <w:shd w:val="clear" w:color="auto" w:fill="FFFFFF"/>
        <w:spacing w:line="0" w:lineRule="auto"/>
        <w:jc w:val="both"/>
        <w:rPr>
          <w:rFonts w:eastAsia="Times New Roman"/>
          <w:sz w:val="168"/>
          <w:szCs w:val="168"/>
          <w:lang w:val="sq-AL"/>
        </w:rPr>
      </w:pPr>
      <w:r w:rsidRPr="00D73F43">
        <w:rPr>
          <w:rFonts w:eastAsia="Times New Roman"/>
          <w:sz w:val="168"/>
          <w:szCs w:val="168"/>
          <w:lang w:val="sq-AL"/>
        </w:rPr>
        <w:t>tëjenërreth900milionlekëmëshumësenëvitin2016</w:t>
      </w:r>
    </w:p>
    <w:p w:rsidR="00B0121D" w:rsidRPr="00D73F43" w:rsidRDefault="00B0121D" w:rsidP="00B0121D">
      <w:pPr>
        <w:shd w:val="clear" w:color="auto" w:fill="FFFFFF"/>
        <w:spacing w:line="0" w:lineRule="auto"/>
        <w:jc w:val="both"/>
        <w:rPr>
          <w:rFonts w:eastAsia="Times New Roman"/>
          <w:sz w:val="168"/>
          <w:szCs w:val="168"/>
          <w:lang w:val="sq-AL"/>
        </w:rPr>
      </w:pPr>
      <w:r w:rsidRPr="00D73F43">
        <w:rPr>
          <w:rFonts w:eastAsia="Times New Roman"/>
          <w:sz w:val="168"/>
          <w:szCs w:val="168"/>
          <w:lang w:val="sq-AL"/>
        </w:rPr>
        <w:t>ose43për qind mëtëlartasenëvin2013</w:t>
      </w:r>
    </w:p>
    <w:p w:rsidR="00B0121D" w:rsidRPr="00D73F43" w:rsidRDefault="00B0121D" w:rsidP="00B0121D">
      <w:pPr>
        <w:shd w:val="clear" w:color="auto" w:fill="FFFFFF"/>
        <w:spacing w:line="0" w:lineRule="auto"/>
        <w:jc w:val="both"/>
        <w:rPr>
          <w:rFonts w:eastAsia="Times New Roman"/>
          <w:sz w:val="168"/>
          <w:szCs w:val="168"/>
          <w:lang w:val="sq-AL"/>
        </w:rPr>
      </w:pPr>
      <w:r w:rsidRPr="00D73F43">
        <w:rPr>
          <w:rFonts w:eastAsia="Times New Roman"/>
          <w:sz w:val="168"/>
          <w:szCs w:val="168"/>
          <w:lang w:val="sq-AL"/>
        </w:rPr>
        <w:t>Përvin2017,shpenzimeteBuxhetVendordotëjenë</w:t>
      </w:r>
    </w:p>
    <w:p w:rsidR="00B0121D" w:rsidRPr="00D73F43" w:rsidRDefault="00B0121D" w:rsidP="00B0121D">
      <w:pPr>
        <w:shd w:val="clear" w:color="auto" w:fill="FFFFFF"/>
        <w:spacing w:line="0" w:lineRule="auto"/>
        <w:jc w:val="both"/>
        <w:rPr>
          <w:rFonts w:eastAsia="Times New Roman"/>
          <w:sz w:val="168"/>
          <w:szCs w:val="168"/>
          <w:lang w:val="sq-AL"/>
        </w:rPr>
      </w:pPr>
      <w:r w:rsidRPr="00D73F43">
        <w:rPr>
          <w:rFonts w:eastAsia="Times New Roman"/>
          <w:sz w:val="168"/>
          <w:szCs w:val="168"/>
          <w:lang w:val="sq-AL"/>
        </w:rPr>
        <w:t>50 miliardë lekë ose4 për qind mëtëlartasenë2016.</w:t>
      </w:r>
    </w:p>
    <w:p w:rsidR="00B0121D" w:rsidRPr="00D73F43" w:rsidRDefault="00B0121D" w:rsidP="00B0121D">
      <w:pPr>
        <w:shd w:val="clear" w:color="auto" w:fill="FFFFFF"/>
        <w:spacing w:line="0" w:lineRule="auto"/>
        <w:jc w:val="both"/>
        <w:rPr>
          <w:rFonts w:eastAsia="Times New Roman"/>
          <w:sz w:val="168"/>
          <w:szCs w:val="168"/>
          <w:lang w:val="sq-AL"/>
        </w:rPr>
      </w:pPr>
      <w:r w:rsidRPr="00D73F43">
        <w:rPr>
          <w:rFonts w:eastAsia="Times New Roman"/>
          <w:sz w:val="168"/>
          <w:szCs w:val="168"/>
          <w:lang w:val="sq-AL"/>
        </w:rPr>
        <w:t>•</w:t>
      </w:r>
    </w:p>
    <w:p w:rsidR="00B0121D" w:rsidRPr="00D73F43" w:rsidRDefault="00B0121D" w:rsidP="00B0121D">
      <w:pPr>
        <w:shd w:val="clear" w:color="auto" w:fill="FFFFFF"/>
        <w:spacing w:line="0" w:lineRule="auto"/>
        <w:jc w:val="both"/>
        <w:rPr>
          <w:rFonts w:eastAsia="Times New Roman"/>
          <w:sz w:val="168"/>
          <w:szCs w:val="168"/>
          <w:lang w:val="sq-AL"/>
        </w:rPr>
      </w:pPr>
      <w:r w:rsidRPr="00D73F43">
        <w:rPr>
          <w:rFonts w:eastAsia="Times New Roman"/>
          <w:sz w:val="168"/>
          <w:szCs w:val="168"/>
          <w:lang w:val="sq-AL"/>
        </w:rPr>
        <w:t>ShpenzimeteBuxhetVendornëvin2017dotëzënë</w:t>
      </w:r>
    </w:p>
    <w:p w:rsidR="00B0121D" w:rsidRPr="00D73F43" w:rsidRDefault="00B0121D" w:rsidP="00B0121D">
      <w:pPr>
        <w:shd w:val="clear" w:color="auto" w:fill="FFFFFF"/>
        <w:spacing w:line="0" w:lineRule="auto"/>
        <w:jc w:val="both"/>
        <w:rPr>
          <w:rFonts w:eastAsia="Times New Roman"/>
          <w:sz w:val="168"/>
          <w:szCs w:val="168"/>
          <w:lang w:val="sq-AL"/>
        </w:rPr>
      </w:pPr>
      <w:r w:rsidRPr="00D73F43">
        <w:rPr>
          <w:rFonts w:eastAsia="Times New Roman"/>
          <w:sz w:val="168"/>
          <w:szCs w:val="168"/>
          <w:lang w:val="sq-AL"/>
        </w:rPr>
        <w:t>3.1 për qind tëPBB-sëose1për qind mëtëlartasenëvin2013(në</w:t>
      </w:r>
    </w:p>
    <w:p w:rsidR="00B0121D" w:rsidRPr="00D73F43" w:rsidRDefault="00B0121D" w:rsidP="00B0121D">
      <w:pPr>
        <w:shd w:val="clear" w:color="auto" w:fill="FFFFFF"/>
        <w:spacing w:line="0" w:lineRule="auto"/>
        <w:jc w:val="both"/>
        <w:rPr>
          <w:rFonts w:eastAsia="Times New Roman"/>
          <w:sz w:val="168"/>
          <w:szCs w:val="168"/>
          <w:lang w:val="sq-AL"/>
        </w:rPr>
      </w:pPr>
      <w:r w:rsidRPr="00D73F43">
        <w:rPr>
          <w:rFonts w:eastAsia="Times New Roman"/>
          <w:sz w:val="168"/>
          <w:szCs w:val="168"/>
          <w:lang w:val="sq-AL"/>
        </w:rPr>
        <w:t>vin2013,zinin2.1për qind tëPBB-së).</w:t>
      </w:r>
    </w:p>
    <w:p w:rsidR="00B0121D" w:rsidRPr="00D73F43" w:rsidRDefault="00B0121D" w:rsidP="00B0121D">
      <w:pPr>
        <w:shd w:val="clear" w:color="auto" w:fill="FFFFFF"/>
        <w:spacing w:line="0" w:lineRule="auto"/>
        <w:jc w:val="both"/>
        <w:rPr>
          <w:rFonts w:eastAsia="Times New Roman"/>
          <w:sz w:val="168"/>
          <w:szCs w:val="168"/>
          <w:lang w:val="sq-AL"/>
        </w:rPr>
      </w:pPr>
      <w:r w:rsidRPr="00D73F43">
        <w:rPr>
          <w:rFonts w:eastAsia="Times New Roman"/>
          <w:sz w:val="168"/>
          <w:szCs w:val="168"/>
          <w:lang w:val="sq-AL"/>
        </w:rPr>
        <w:t>•</w:t>
      </w:r>
    </w:p>
    <w:p w:rsidR="00B0121D" w:rsidRPr="00D73F43" w:rsidRDefault="00B0121D" w:rsidP="00B0121D">
      <w:pPr>
        <w:shd w:val="clear" w:color="auto" w:fill="FFFFFF"/>
        <w:spacing w:line="0" w:lineRule="auto"/>
        <w:jc w:val="both"/>
        <w:rPr>
          <w:rFonts w:eastAsia="Times New Roman"/>
          <w:sz w:val="168"/>
          <w:szCs w:val="168"/>
          <w:lang w:val="sq-AL"/>
        </w:rPr>
      </w:pPr>
      <w:r w:rsidRPr="00D73F43">
        <w:rPr>
          <w:rFonts w:eastAsia="Times New Roman"/>
          <w:sz w:val="168"/>
          <w:szCs w:val="168"/>
          <w:lang w:val="sq-AL"/>
        </w:rPr>
        <w:t>Tëardhuratngataksatdhetarifatvendoreparashikohet</w:t>
      </w:r>
    </w:p>
    <w:p w:rsidR="00B0121D" w:rsidRPr="00D73F43" w:rsidRDefault="00B0121D" w:rsidP="00B0121D">
      <w:pPr>
        <w:shd w:val="clear" w:color="auto" w:fill="FFFFFF"/>
        <w:spacing w:line="0" w:lineRule="auto"/>
        <w:jc w:val="both"/>
        <w:rPr>
          <w:rFonts w:eastAsia="Times New Roman"/>
          <w:sz w:val="168"/>
          <w:szCs w:val="168"/>
          <w:lang w:val="sq-AL"/>
        </w:rPr>
      </w:pPr>
      <w:r w:rsidRPr="00D73F43">
        <w:rPr>
          <w:rFonts w:eastAsia="Times New Roman"/>
          <w:sz w:val="168"/>
          <w:szCs w:val="168"/>
          <w:lang w:val="sq-AL"/>
        </w:rPr>
        <w:t>tëjenërreth900milionlekëmëshumësenëvitin2016</w:t>
      </w:r>
    </w:p>
    <w:p w:rsidR="00B0121D" w:rsidRPr="00D73F43" w:rsidRDefault="00B0121D" w:rsidP="00B0121D">
      <w:pPr>
        <w:shd w:val="clear" w:color="auto" w:fill="FFFFFF"/>
        <w:spacing w:line="0" w:lineRule="auto"/>
        <w:jc w:val="both"/>
        <w:rPr>
          <w:rFonts w:eastAsia="Times New Roman"/>
          <w:sz w:val="168"/>
          <w:szCs w:val="168"/>
          <w:lang w:val="sq-AL"/>
        </w:rPr>
      </w:pPr>
      <w:r w:rsidRPr="00D73F43">
        <w:rPr>
          <w:rFonts w:eastAsia="Times New Roman"/>
          <w:sz w:val="168"/>
          <w:szCs w:val="168"/>
          <w:lang w:val="sq-AL"/>
        </w:rPr>
        <w:t>ose43për qind mëtëlartasenëvin2013</w:t>
      </w:r>
    </w:p>
    <w:p w:rsidR="00B0121D" w:rsidRPr="00D73F43" w:rsidRDefault="00B0121D" w:rsidP="00B0121D">
      <w:pPr>
        <w:spacing w:line="276" w:lineRule="auto"/>
        <w:jc w:val="both"/>
        <w:rPr>
          <w:lang w:val="sq-AL"/>
        </w:rPr>
      </w:pPr>
      <w:r w:rsidRPr="00D73F43">
        <w:rPr>
          <w:b/>
          <w:lang w:val="sq-AL"/>
        </w:rPr>
        <w:t>Të ardhurat nga taksat dhe tarifat vendore për vitin 2017</w:t>
      </w:r>
      <w:r w:rsidRPr="00D73F43">
        <w:rPr>
          <w:lang w:val="sq-AL"/>
        </w:rPr>
        <w:t xml:space="preserve">, parashikohen të jenë rreth 6.2 për qind më të larta se ato të vitit 2016 ose 900 milionë </w:t>
      </w:r>
      <w:r w:rsidRPr="00D73F43">
        <w:rPr>
          <w:rFonts w:eastAsia="Times New Roman"/>
          <w:kern w:val="24"/>
          <w:lang w:val="sq-AL"/>
        </w:rPr>
        <w:t>lekë</w:t>
      </w:r>
      <w:r w:rsidRPr="00D73F43">
        <w:rPr>
          <w:lang w:val="sq-AL"/>
        </w:rPr>
        <w:t xml:space="preserve"> më shumë se një vit më parë. Kjo rritje e të ardhurave do të vazhdojë si rrjedhojë e reformimit të tarifave të shërbimeve publike, ndarjes më të drejtë dhe transparente të financave për njësitë e vetëqeverisjes vendore, përmirësimit të vazhdueshëm të skemës së financimit të funksioneve të veta, si dhe krijimit të kadastrës fiskale.</w:t>
      </w:r>
    </w:p>
    <w:p w:rsidR="00B0121D" w:rsidRPr="00D73F43" w:rsidRDefault="00B0121D" w:rsidP="00B0121D">
      <w:pPr>
        <w:spacing w:line="276" w:lineRule="auto"/>
        <w:jc w:val="both"/>
        <w:rPr>
          <w:lang w:val="sq-AL"/>
        </w:rPr>
      </w:pPr>
    </w:p>
    <w:p w:rsidR="00B0121D" w:rsidRPr="00D73F43" w:rsidRDefault="00B0121D" w:rsidP="00B0121D">
      <w:pPr>
        <w:spacing w:line="276" w:lineRule="auto"/>
        <w:jc w:val="both"/>
        <w:rPr>
          <w:lang w:val="sq-AL"/>
        </w:rPr>
      </w:pPr>
      <w:r w:rsidRPr="00D73F43">
        <w:rPr>
          <w:lang w:val="sq-AL"/>
        </w:rPr>
        <w:t>Me buxhetin e vitit 2017, do të financohen funksionet e transferuara në 61 bashkitë, në vlerën 7 miliardë lekë, ndërsa Transferta specifike do të shërbejë vetëm për financimin e funksioneve të reja të transferuara tek nj</w:t>
      </w:r>
      <w:r w:rsidR="008676DB">
        <w:rPr>
          <w:lang w:val="sq-AL"/>
        </w:rPr>
        <w:t>ësitë e vetëqeverisjes vendore.</w:t>
      </w:r>
      <w:r w:rsidRPr="00D73F43">
        <w:rPr>
          <w:lang w:val="sq-AL"/>
        </w:rPr>
        <w:t xml:space="preserve"> </w:t>
      </w:r>
    </w:p>
    <w:p w:rsidR="00B0121D" w:rsidRPr="00D73F43" w:rsidRDefault="00B0121D" w:rsidP="00B0121D">
      <w:pPr>
        <w:spacing w:line="276" w:lineRule="auto"/>
        <w:jc w:val="both"/>
        <w:rPr>
          <w:lang w:val="sq-AL"/>
        </w:rPr>
      </w:pPr>
      <w:r w:rsidRPr="00D73F43">
        <w:rPr>
          <w:lang w:val="sq-AL"/>
        </w:rPr>
        <w:t>Siç vihet re edhe nga grafiku i mëposhtëm (grafiku nr.</w:t>
      </w:r>
      <w:r w:rsidR="008676DB">
        <w:rPr>
          <w:lang w:val="sq-AL"/>
        </w:rPr>
        <w:t>4</w:t>
      </w:r>
      <w:r w:rsidRPr="00D73F43">
        <w:rPr>
          <w:lang w:val="sq-AL"/>
        </w:rPr>
        <w:t>), i cili tregon tendencën e buxhetit vendor për periudhën 2013 - P/Buxhet</w:t>
      </w:r>
      <w:r w:rsidR="008676DB">
        <w:rPr>
          <w:lang w:val="sq-AL"/>
        </w:rPr>
        <w:t xml:space="preserve"> </w:t>
      </w:r>
      <w:r w:rsidRPr="00D73F43">
        <w:rPr>
          <w:lang w:val="sq-AL"/>
        </w:rPr>
        <w:t xml:space="preserve"> 2017,</w:t>
      </w:r>
      <w:r w:rsidR="008676DB">
        <w:rPr>
          <w:lang w:val="sq-AL"/>
        </w:rPr>
        <w:t xml:space="preserve"> </w:t>
      </w:r>
      <w:r w:rsidRPr="00D73F43">
        <w:rPr>
          <w:lang w:val="sq-AL"/>
        </w:rPr>
        <w:t xml:space="preserve"> në vitet 2015 dhe 2016 është kthyer tendenca rritëse e buxhetit vendor, respektivisht me 2.37 për qind të PBB në 2015 dhe 3.22 për qind të PBB në 2016. Kjo ka ardhur si pasojë e zbatimit të Reformës Administrativo- Territoriale, rritjes së transfertave qeveritare nga buxheti i shtetit, si dhe politikës së re të decentralizimit fiskal. </w:t>
      </w:r>
    </w:p>
    <w:p w:rsidR="00B0121D" w:rsidRPr="00D73F43" w:rsidRDefault="00B0121D" w:rsidP="00B0121D">
      <w:pPr>
        <w:spacing w:line="276" w:lineRule="auto"/>
        <w:jc w:val="both"/>
        <w:rPr>
          <w:lang w:val="sq-AL"/>
        </w:rPr>
      </w:pPr>
    </w:p>
    <w:bookmarkStart w:id="41" w:name="_MON_1540115641"/>
    <w:bookmarkEnd w:id="41"/>
    <w:p w:rsidR="00B0121D" w:rsidRPr="00D73F43" w:rsidRDefault="00C610A8" w:rsidP="00B0121D">
      <w:pPr>
        <w:spacing w:line="276" w:lineRule="auto"/>
        <w:jc w:val="both"/>
        <w:rPr>
          <w:lang w:val="sq-AL"/>
        </w:rPr>
      </w:pPr>
      <w:r w:rsidRPr="00D73F43">
        <w:rPr>
          <w:lang w:val="sq-AL"/>
        </w:rPr>
        <w:object w:dxaOrig="10631" w:dyaOrig="5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75pt;height:249.75pt" o:ole="">
            <v:imagedata r:id="rId14" o:title=""/>
          </v:shape>
          <o:OLEObject Type="Embed" ProgID="Word.Document.12" ShapeID="_x0000_i1025" DrawAspect="Content" ObjectID="_1540188275" r:id="rId15">
            <o:FieldCodes>\s</o:FieldCodes>
          </o:OLEObject>
        </w:object>
      </w:r>
    </w:p>
    <w:p w:rsidR="00B0121D" w:rsidRPr="00D73F43" w:rsidRDefault="00B0121D" w:rsidP="00B0121D">
      <w:pPr>
        <w:spacing w:line="276" w:lineRule="auto"/>
        <w:jc w:val="both"/>
        <w:rPr>
          <w:lang w:val="sq-AL"/>
        </w:rPr>
      </w:pPr>
      <w:r w:rsidRPr="00D73F43">
        <w:rPr>
          <w:lang w:val="sq-AL"/>
        </w:rPr>
        <w:t>Rritja e të ardhurave të mbledhura nga njësitë e qeverisjes vendore gjatë viteve 2013-2017, ndihet edhe në rritjen e peshës që zënë këto të ardhura si ndaj të ardhurave totale të buxhetit të shtetit, ashtu edhe ndaj</w:t>
      </w:r>
      <w:r w:rsidR="007F0B7B">
        <w:rPr>
          <w:lang w:val="sq-AL"/>
        </w:rPr>
        <w:t xml:space="preserve"> Produktit të Brendshëm Bruto, </w:t>
      </w:r>
      <w:r w:rsidRPr="00D73F43">
        <w:rPr>
          <w:lang w:val="sq-AL"/>
        </w:rPr>
        <w:t xml:space="preserve"> sikurse shihe</w:t>
      </w:r>
      <w:r w:rsidR="007C2D89">
        <w:rPr>
          <w:lang w:val="sq-AL"/>
        </w:rPr>
        <w:t>t edhe në grafikun e mëposhtëm.</w:t>
      </w:r>
    </w:p>
    <w:bookmarkStart w:id="42" w:name="_MON_1540115660"/>
    <w:bookmarkEnd w:id="42"/>
    <w:p w:rsidR="00B0121D" w:rsidRPr="00D73F43" w:rsidRDefault="00C610A8" w:rsidP="00B0121D">
      <w:pPr>
        <w:spacing w:line="276" w:lineRule="auto"/>
        <w:jc w:val="both"/>
        <w:rPr>
          <w:lang w:val="sq-AL"/>
        </w:rPr>
      </w:pPr>
      <w:r w:rsidRPr="00D73F43">
        <w:rPr>
          <w:lang w:val="sq-AL"/>
        </w:rPr>
        <w:object w:dxaOrig="10631" w:dyaOrig="4783">
          <v:shape id="_x0000_i1026" type="#_x0000_t75" style="width:531.75pt;height:239.25pt" o:ole="">
            <v:imagedata r:id="rId16" o:title=""/>
          </v:shape>
          <o:OLEObject Type="Embed" ProgID="Word.Document.12" ShapeID="_x0000_i1026" DrawAspect="Content" ObjectID="_1540188276" r:id="rId17">
            <o:FieldCodes>\s</o:FieldCodes>
          </o:OLEObject>
        </w:object>
      </w:r>
    </w:p>
    <w:p w:rsidR="00B0121D" w:rsidRPr="00D73F43" w:rsidRDefault="00B0121D" w:rsidP="00B0121D">
      <w:pPr>
        <w:spacing w:line="276" w:lineRule="auto"/>
        <w:jc w:val="both"/>
        <w:rPr>
          <w:lang w:val="sq-AL"/>
        </w:rPr>
      </w:pPr>
    </w:p>
    <w:p w:rsidR="00B0121D" w:rsidRPr="00D73F43" w:rsidRDefault="00B0121D" w:rsidP="00B0121D">
      <w:pPr>
        <w:spacing w:line="276" w:lineRule="auto"/>
        <w:jc w:val="both"/>
        <w:rPr>
          <w:lang w:val="sq-AL"/>
        </w:rPr>
      </w:pPr>
      <w:r w:rsidRPr="00D73F43">
        <w:rPr>
          <w:lang w:val="sq-AL"/>
        </w:rPr>
        <w:t>Rritja e shpenzimeve të realizuara nga njësitë e vetëqeverisjes vendore, gjatë viteve 2013-2017, ndihet edhe në rritjen e peshës që zënë këto shpenzime si ndaj shpenzimeve buxhetore në total, ashtu edhe ndaj</w:t>
      </w:r>
      <w:r w:rsidR="007F0B7B">
        <w:rPr>
          <w:lang w:val="sq-AL"/>
        </w:rPr>
        <w:t xml:space="preserve"> Produktit të Brendshëm Bruto.</w:t>
      </w:r>
      <w:r w:rsidRPr="00D73F43">
        <w:rPr>
          <w:lang w:val="sq-AL"/>
        </w:rPr>
        <w:t xml:space="preserve"> Pesha specifike e shpenzimeve të buxhetit vendor ndaj buxhetit të shtetit është rritur ndjeshëm për periudhën 2015 </w:t>
      </w:r>
      <w:r w:rsidR="007F0B7B">
        <w:rPr>
          <w:lang w:val="sq-AL"/>
        </w:rPr>
        <w:t>–</w:t>
      </w:r>
      <w:r w:rsidRPr="00D73F43">
        <w:rPr>
          <w:lang w:val="sq-AL"/>
        </w:rPr>
        <w:t xml:space="preserve"> 2016 (10.73 për qind), krahasuar me periudhën 2013-2014, ku shpenzimet e buxhetit vendor zinin vetëm 7.5 për qind të shpenzimeve të buxhetit qendror. Ndërkohë, siç vihet re edhe nga grafiku i mëposhtëm, për vitet 2016 - 2017, pesha specifike e buxhetit vendor ndaj Produktit të Brendshëm Bruto është rritur ndjeshëm me rreth 1 për qind më shumë se pesha që zinte në vitet 2013-2015.</w:t>
      </w:r>
    </w:p>
    <w:p w:rsidR="00B0121D" w:rsidRPr="00D73F43" w:rsidRDefault="00B0121D" w:rsidP="00B0121D">
      <w:pPr>
        <w:spacing w:line="276" w:lineRule="auto"/>
        <w:jc w:val="both"/>
        <w:rPr>
          <w:lang w:val="sq-AL"/>
        </w:rPr>
      </w:pPr>
    </w:p>
    <w:bookmarkStart w:id="43" w:name="_MON_1540115672"/>
    <w:bookmarkEnd w:id="43"/>
    <w:p w:rsidR="00B0121D" w:rsidRPr="00D73F43" w:rsidRDefault="00C610A8" w:rsidP="00B0121D">
      <w:pPr>
        <w:spacing w:line="276" w:lineRule="auto"/>
        <w:jc w:val="both"/>
        <w:rPr>
          <w:lang w:val="sq-AL"/>
        </w:rPr>
      </w:pPr>
      <w:r w:rsidRPr="00D73F43">
        <w:rPr>
          <w:lang w:val="sq-AL"/>
        </w:rPr>
        <w:object w:dxaOrig="10631" w:dyaOrig="5045">
          <v:shape id="_x0000_i1027" type="#_x0000_t75" style="width:531.75pt;height:252pt" o:ole="">
            <v:imagedata r:id="rId18" o:title=""/>
          </v:shape>
          <o:OLEObject Type="Embed" ProgID="Word.Document.12" ShapeID="_x0000_i1027" DrawAspect="Content" ObjectID="_1540188277" r:id="rId19">
            <o:FieldCodes>\s</o:FieldCodes>
          </o:OLEObject>
        </w:object>
      </w:r>
    </w:p>
    <w:p w:rsidR="00BE5599" w:rsidRPr="00DF6420" w:rsidRDefault="00BE5599" w:rsidP="00534AA6">
      <w:pPr>
        <w:pStyle w:val="ListParagraph"/>
        <w:keepNext/>
        <w:numPr>
          <w:ilvl w:val="0"/>
          <w:numId w:val="162"/>
        </w:numPr>
        <w:spacing w:before="240" w:after="60"/>
        <w:outlineLvl w:val="1"/>
        <w:rPr>
          <w:rFonts w:ascii="Arial" w:eastAsia="SimSun" w:hAnsi="Arial"/>
          <w:b/>
          <w:bCs/>
          <w:i/>
          <w:iCs/>
          <w:vanish/>
          <w:sz w:val="28"/>
          <w:szCs w:val="28"/>
          <w:lang w:val="sq-AL"/>
        </w:rPr>
      </w:pPr>
      <w:bookmarkStart w:id="44" w:name="_Toc466445445"/>
      <w:r w:rsidRPr="00DF6420">
        <w:rPr>
          <w:b/>
          <w:bCs/>
          <w:iCs/>
          <w:caps/>
          <w:sz w:val="28"/>
          <w:lang w:val="sq-AL"/>
        </w:rPr>
        <w:t>POLITIKAT SEKTORIALE 2013-2017 DHE PËRFITIMET PËR QYTETARIN</w:t>
      </w:r>
      <w:bookmarkEnd w:id="44"/>
    </w:p>
    <w:p w:rsidR="006D51B9" w:rsidRDefault="006D51B9" w:rsidP="00534AA6">
      <w:pPr>
        <w:pStyle w:val="Heading2"/>
        <w:numPr>
          <w:ilvl w:val="1"/>
          <w:numId w:val="162"/>
        </w:numPr>
      </w:pPr>
      <w:bookmarkStart w:id="45" w:name="_Toc466445446"/>
      <w:bookmarkEnd w:id="45"/>
    </w:p>
    <w:p w:rsidR="00B0121D" w:rsidRPr="006D51B9" w:rsidRDefault="006D51B9" w:rsidP="00534AA6">
      <w:pPr>
        <w:pStyle w:val="Heading2"/>
        <w:numPr>
          <w:ilvl w:val="1"/>
          <w:numId w:val="161"/>
        </w:numPr>
        <w:rPr>
          <w:rFonts w:ascii="Times New Roman" w:hAnsi="Times New Roman"/>
          <w:i w:val="0"/>
        </w:rPr>
      </w:pPr>
      <w:r w:rsidRPr="006D51B9">
        <w:rPr>
          <w:rFonts w:ascii="Times New Roman" w:hAnsi="Times New Roman"/>
          <w:i w:val="0"/>
        </w:rPr>
        <w:t xml:space="preserve"> </w:t>
      </w:r>
      <w:bookmarkStart w:id="46" w:name="_Toc466445447"/>
      <w:r w:rsidR="00B0121D" w:rsidRPr="006D51B9">
        <w:rPr>
          <w:rFonts w:ascii="Times New Roman" w:hAnsi="Times New Roman"/>
          <w:i w:val="0"/>
        </w:rPr>
        <w:t>ARSIMI</w:t>
      </w:r>
      <w:bookmarkEnd w:id="46"/>
    </w:p>
    <w:p w:rsidR="00B0121D" w:rsidRPr="00D73F43" w:rsidRDefault="00B0121D" w:rsidP="00B0121D">
      <w:pPr>
        <w:rPr>
          <w:rFonts w:eastAsia="MS Mincho"/>
          <w:b/>
          <w:noProof/>
          <w:szCs w:val="20"/>
          <w:lang w:val="sq-AL"/>
        </w:rPr>
      </w:pPr>
    </w:p>
    <w:p w:rsidR="00B0121D" w:rsidRPr="00D73F43" w:rsidRDefault="00D73F43" w:rsidP="00B0121D">
      <w:pPr>
        <w:rPr>
          <w:rFonts w:eastAsia="MS Mincho"/>
          <w:b/>
          <w:noProof/>
          <w:szCs w:val="20"/>
          <w:u w:val="single"/>
          <w:lang w:val="sq-AL"/>
        </w:rPr>
      </w:pPr>
      <w:r w:rsidRPr="00D73F43">
        <w:rPr>
          <w:rFonts w:eastAsia="MS Mincho"/>
          <w:b/>
          <w:noProof/>
          <w:szCs w:val="20"/>
          <w:lang w:val="sq-AL"/>
        </w:rPr>
        <w:t>4</w:t>
      </w:r>
      <w:r>
        <w:rPr>
          <w:rFonts w:eastAsia="MS Mincho"/>
          <w:b/>
          <w:noProof/>
          <w:szCs w:val="20"/>
          <w:lang w:val="sq-AL"/>
        </w:rPr>
        <w:t>.1.1 Situata e sektorit në 2013</w:t>
      </w:r>
    </w:p>
    <w:p w:rsidR="00B0121D" w:rsidRPr="00D73F43" w:rsidRDefault="00B0121D" w:rsidP="00B0121D">
      <w:pPr>
        <w:rPr>
          <w:rFonts w:eastAsia="Times New Roman"/>
          <w:b/>
          <w:noProof/>
          <w:lang w:val="sq-AL"/>
        </w:rPr>
      </w:pPr>
    </w:p>
    <w:p w:rsidR="00B0121D" w:rsidRPr="00D73F43" w:rsidRDefault="00B0121D" w:rsidP="00B0121D">
      <w:pPr>
        <w:jc w:val="both"/>
        <w:rPr>
          <w:rFonts w:eastAsia="Times New Roman"/>
          <w:b/>
          <w:noProof/>
          <w:lang w:val="sq-AL"/>
        </w:rPr>
      </w:pPr>
      <w:r w:rsidRPr="00D73F43">
        <w:rPr>
          <w:rFonts w:eastAsia="Times New Roman"/>
          <w:b/>
          <w:noProof/>
          <w:lang w:val="sq-AL"/>
        </w:rPr>
        <w:t>Arsimi Parashkollor</w:t>
      </w:r>
    </w:p>
    <w:p w:rsidR="00B0121D" w:rsidRPr="00D73F43" w:rsidRDefault="00B0121D" w:rsidP="00B0121D">
      <w:pPr>
        <w:jc w:val="both"/>
        <w:rPr>
          <w:rFonts w:eastAsia="Times New Roman"/>
          <w:b/>
          <w:i/>
          <w:noProof/>
          <w:u w:val="single"/>
          <w:lang w:val="sq-AL"/>
        </w:rPr>
      </w:pPr>
    </w:p>
    <w:p w:rsidR="00B0121D" w:rsidRPr="00D73F43" w:rsidRDefault="00B0121D" w:rsidP="00534AA6">
      <w:pPr>
        <w:numPr>
          <w:ilvl w:val="0"/>
          <w:numId w:val="50"/>
        </w:numPr>
        <w:suppressAutoHyphens/>
        <w:spacing w:line="276" w:lineRule="auto"/>
        <w:jc w:val="both"/>
        <w:rPr>
          <w:rFonts w:eastAsia="Times New Roman"/>
          <w:noProof/>
          <w:szCs w:val="20"/>
          <w:lang w:val="sq-AL"/>
        </w:rPr>
      </w:pPr>
      <w:r w:rsidRPr="00D73F43">
        <w:rPr>
          <w:rFonts w:eastAsia="Times New Roman"/>
          <w:noProof/>
          <w:szCs w:val="20"/>
          <w:lang w:val="sq-AL"/>
        </w:rPr>
        <w:t xml:space="preserve">Në kopshtet shqiptare mungonin jo vetëm standardet, por dhe një sistem bashkëkohor dhe i harmonizuar kurrikular. </w:t>
      </w:r>
    </w:p>
    <w:p w:rsidR="00B0121D" w:rsidRPr="00D73F43" w:rsidRDefault="00B0121D" w:rsidP="00534AA6">
      <w:pPr>
        <w:numPr>
          <w:ilvl w:val="0"/>
          <w:numId w:val="50"/>
        </w:numPr>
        <w:suppressAutoHyphens/>
        <w:spacing w:line="276" w:lineRule="auto"/>
        <w:jc w:val="both"/>
        <w:rPr>
          <w:rFonts w:eastAsia="Times New Roman"/>
          <w:noProof/>
          <w:szCs w:val="20"/>
          <w:lang w:val="sq-AL"/>
        </w:rPr>
      </w:pPr>
      <w:r w:rsidRPr="00D73F43">
        <w:rPr>
          <w:rFonts w:eastAsia="Times New Roman"/>
          <w:noProof/>
          <w:szCs w:val="20"/>
          <w:lang w:val="sq-AL"/>
        </w:rPr>
        <w:t>Institucionet parashkollore funksionin mbi bazën e dokumentacionit kurrikular të mangët në kornizë kurrikulare, planet mësimore ishin në mungesë koherence mes dokumenteve të hartuara dhe me kurrikulën e arsimit bazë.</w:t>
      </w:r>
    </w:p>
    <w:p w:rsidR="00B0121D" w:rsidRPr="00D73F43" w:rsidRDefault="00B0121D" w:rsidP="00534AA6">
      <w:pPr>
        <w:numPr>
          <w:ilvl w:val="0"/>
          <w:numId w:val="50"/>
        </w:numPr>
        <w:suppressAutoHyphens/>
        <w:spacing w:line="276" w:lineRule="auto"/>
        <w:jc w:val="both"/>
        <w:rPr>
          <w:rFonts w:eastAsia="Times New Roman"/>
          <w:noProof/>
          <w:szCs w:val="20"/>
          <w:lang w:val="sq-AL"/>
        </w:rPr>
      </w:pPr>
      <w:r w:rsidRPr="00D73F43">
        <w:rPr>
          <w:rFonts w:eastAsia="Times New Roman"/>
          <w:noProof/>
          <w:szCs w:val="20"/>
          <w:lang w:val="sq-AL"/>
        </w:rPr>
        <w:t>Institucione të mbipopulluara: 131% në zona urbane, 146 % në zona rurale.</w:t>
      </w:r>
    </w:p>
    <w:p w:rsidR="00B0121D" w:rsidRPr="00D73F43" w:rsidRDefault="00B0121D" w:rsidP="00B0121D">
      <w:pPr>
        <w:jc w:val="both"/>
        <w:rPr>
          <w:rFonts w:eastAsia="Times New Roman"/>
          <w:b/>
          <w:i/>
          <w:noProof/>
          <w:u w:val="single"/>
          <w:lang w:val="sq-AL"/>
        </w:rPr>
      </w:pPr>
    </w:p>
    <w:p w:rsidR="00B0121D" w:rsidRPr="00D73F43" w:rsidRDefault="00B0121D" w:rsidP="00B0121D">
      <w:pPr>
        <w:jc w:val="both"/>
        <w:rPr>
          <w:rFonts w:eastAsia="Times New Roman"/>
          <w:b/>
          <w:noProof/>
          <w:lang w:val="sq-AL"/>
        </w:rPr>
      </w:pPr>
      <w:r w:rsidRPr="00D73F43">
        <w:rPr>
          <w:rFonts w:eastAsia="Times New Roman"/>
          <w:b/>
          <w:noProof/>
          <w:lang w:val="sq-AL"/>
        </w:rPr>
        <w:t>Arsimi Parauniversitar</w:t>
      </w:r>
    </w:p>
    <w:p w:rsidR="00B0121D" w:rsidRPr="00D73F43" w:rsidRDefault="00B0121D" w:rsidP="00B0121D">
      <w:pPr>
        <w:jc w:val="both"/>
        <w:rPr>
          <w:rFonts w:eastAsia="Times New Roman"/>
          <w:noProof/>
          <w:lang w:val="sq-AL"/>
        </w:rPr>
      </w:pPr>
    </w:p>
    <w:p w:rsidR="00B0121D" w:rsidRPr="00D73F43" w:rsidRDefault="00B0121D" w:rsidP="00534AA6">
      <w:pPr>
        <w:numPr>
          <w:ilvl w:val="0"/>
          <w:numId w:val="50"/>
        </w:numPr>
        <w:suppressAutoHyphens/>
        <w:spacing w:line="276" w:lineRule="auto"/>
        <w:jc w:val="both"/>
        <w:rPr>
          <w:rFonts w:eastAsia="Times New Roman"/>
          <w:noProof/>
          <w:szCs w:val="20"/>
          <w:lang w:val="sq-AL"/>
        </w:rPr>
      </w:pPr>
      <w:r w:rsidRPr="00D73F43">
        <w:rPr>
          <w:rFonts w:eastAsia="Times New Roman"/>
          <w:noProof/>
          <w:szCs w:val="20"/>
          <w:lang w:val="sq-AL"/>
        </w:rPr>
        <w:t>Kurrikulat nuk siguronin koherencë dhe vazhdimësi në konceptim ndërmjet niveleve arsimore. Kurrikulës për Arsimin Bazë i mungonte korniza kurrikulare e miratuar nga MASH. Plani Mësimor për Arsimin Bazë ishte nga më të ngarkuarit në Evropë.</w:t>
      </w:r>
    </w:p>
    <w:p w:rsidR="00B0121D" w:rsidRPr="00D73F43" w:rsidRDefault="00B0121D" w:rsidP="00534AA6">
      <w:pPr>
        <w:numPr>
          <w:ilvl w:val="0"/>
          <w:numId w:val="50"/>
        </w:numPr>
        <w:suppressAutoHyphens/>
        <w:spacing w:line="276" w:lineRule="auto"/>
        <w:jc w:val="both"/>
        <w:rPr>
          <w:rFonts w:eastAsia="Times New Roman"/>
          <w:noProof/>
          <w:szCs w:val="20"/>
          <w:lang w:val="sq-AL"/>
        </w:rPr>
      </w:pPr>
      <w:r w:rsidRPr="00D73F43">
        <w:rPr>
          <w:rFonts w:eastAsia="Times New Roman"/>
          <w:noProof/>
          <w:szCs w:val="20"/>
          <w:lang w:val="sq-AL"/>
        </w:rPr>
        <w:t>Alterteksti, sistem që ushqente korrupsionin dhe që ofronte kakofoni tekstesh pa asnjë standard e pa cilësi.</w:t>
      </w:r>
    </w:p>
    <w:p w:rsidR="00B0121D" w:rsidRPr="00D73F43" w:rsidRDefault="00B0121D" w:rsidP="00534AA6">
      <w:pPr>
        <w:numPr>
          <w:ilvl w:val="0"/>
          <w:numId w:val="50"/>
        </w:numPr>
        <w:suppressAutoHyphens/>
        <w:spacing w:line="276" w:lineRule="auto"/>
        <w:jc w:val="both"/>
        <w:rPr>
          <w:rFonts w:eastAsia="Times New Roman"/>
          <w:noProof/>
          <w:szCs w:val="20"/>
          <w:lang w:val="sq-AL"/>
        </w:rPr>
      </w:pPr>
      <w:r w:rsidRPr="00D73F43">
        <w:rPr>
          <w:rFonts w:eastAsia="Times New Roman"/>
          <w:noProof/>
          <w:szCs w:val="20"/>
          <w:lang w:val="sq-AL"/>
        </w:rPr>
        <w:t>Rekrutimi dhe ngritja në detyrë bëhej në mungesë totale të transparencës, meritës dhe në shkelje të vazhdueshme të akteve ligjore dhe nënligjore për punësimin në sistemin arsimor parauniversitar.</w:t>
      </w:r>
    </w:p>
    <w:p w:rsidR="00B0121D" w:rsidRPr="00D73F43" w:rsidRDefault="00B0121D" w:rsidP="00534AA6">
      <w:pPr>
        <w:numPr>
          <w:ilvl w:val="0"/>
          <w:numId w:val="50"/>
        </w:numPr>
        <w:suppressAutoHyphens/>
        <w:spacing w:line="276" w:lineRule="auto"/>
        <w:jc w:val="both"/>
        <w:rPr>
          <w:rFonts w:eastAsia="Times New Roman"/>
          <w:noProof/>
          <w:szCs w:val="20"/>
          <w:lang w:val="sq-AL"/>
        </w:rPr>
      </w:pPr>
      <w:r w:rsidRPr="00D73F43">
        <w:rPr>
          <w:rFonts w:eastAsia="Times New Roman"/>
          <w:noProof/>
          <w:szCs w:val="20"/>
          <w:lang w:val="sq-AL"/>
        </w:rPr>
        <w:t>Në total 1984 mësues rezultuan pa arsimin përkatës dhe 2065  mësues jashtë profilit.</w:t>
      </w:r>
    </w:p>
    <w:p w:rsidR="00B0121D" w:rsidRPr="00D73F43" w:rsidRDefault="00B0121D" w:rsidP="00534AA6">
      <w:pPr>
        <w:numPr>
          <w:ilvl w:val="0"/>
          <w:numId w:val="50"/>
        </w:numPr>
        <w:suppressAutoHyphens/>
        <w:spacing w:line="276" w:lineRule="auto"/>
        <w:jc w:val="both"/>
        <w:rPr>
          <w:rFonts w:eastAsia="Times New Roman"/>
          <w:noProof/>
          <w:szCs w:val="20"/>
          <w:lang w:val="sq-AL"/>
        </w:rPr>
      </w:pPr>
      <w:r w:rsidRPr="00D73F43">
        <w:rPr>
          <w:rFonts w:eastAsia="Times New Roman"/>
          <w:noProof/>
          <w:szCs w:val="20"/>
          <w:lang w:val="sq-AL"/>
        </w:rPr>
        <w:t xml:space="preserve">177 mijë nxënës (1 në 4 nxënës) e merrnin një pjesë të njohurive nga njerëz pa kualifikimin e përshtatshëm. </w:t>
      </w:r>
    </w:p>
    <w:p w:rsidR="00B0121D" w:rsidRPr="00D73F43" w:rsidRDefault="00B0121D" w:rsidP="00534AA6">
      <w:pPr>
        <w:numPr>
          <w:ilvl w:val="0"/>
          <w:numId w:val="50"/>
        </w:numPr>
        <w:suppressAutoHyphens/>
        <w:spacing w:line="276" w:lineRule="auto"/>
        <w:jc w:val="both"/>
        <w:rPr>
          <w:rFonts w:eastAsia="Times New Roman"/>
          <w:noProof/>
          <w:szCs w:val="20"/>
          <w:lang w:val="sq-AL"/>
        </w:rPr>
      </w:pPr>
      <w:r w:rsidRPr="00D73F43">
        <w:rPr>
          <w:rFonts w:eastAsia="Times New Roman"/>
          <w:noProof/>
          <w:szCs w:val="20"/>
          <w:lang w:val="sq-AL"/>
        </w:rPr>
        <w:t xml:space="preserve">Mungonte një program kombëtar për zhvillimin profesional të mësuesve të sistemit arsimor parauniversitar. </w:t>
      </w:r>
    </w:p>
    <w:p w:rsidR="00B0121D" w:rsidRPr="00D73F43" w:rsidRDefault="00B0121D" w:rsidP="00534AA6">
      <w:pPr>
        <w:numPr>
          <w:ilvl w:val="0"/>
          <w:numId w:val="50"/>
        </w:numPr>
        <w:suppressAutoHyphens/>
        <w:spacing w:line="276" w:lineRule="auto"/>
        <w:jc w:val="both"/>
        <w:rPr>
          <w:rFonts w:eastAsia="Times New Roman"/>
          <w:noProof/>
          <w:szCs w:val="20"/>
          <w:lang w:val="sq-AL"/>
        </w:rPr>
      </w:pPr>
      <w:r w:rsidRPr="00D73F43">
        <w:rPr>
          <w:rFonts w:eastAsia="Times New Roman"/>
          <w:noProof/>
          <w:szCs w:val="20"/>
          <w:lang w:val="sq-AL"/>
        </w:rPr>
        <w:lastRenderedPageBreak/>
        <w:t>Ekzistonin 51 agjenci trajnuese me plot 739 module trajnimi, pa asnjë koordinim me sistemin.</w:t>
      </w:r>
    </w:p>
    <w:p w:rsidR="00B0121D" w:rsidRPr="00D73F43" w:rsidRDefault="00B0121D" w:rsidP="00534AA6">
      <w:pPr>
        <w:numPr>
          <w:ilvl w:val="0"/>
          <w:numId w:val="50"/>
        </w:numPr>
        <w:suppressAutoHyphens/>
        <w:spacing w:line="276" w:lineRule="auto"/>
        <w:jc w:val="both"/>
        <w:rPr>
          <w:rFonts w:eastAsia="Times New Roman"/>
          <w:noProof/>
          <w:szCs w:val="20"/>
          <w:lang w:val="sq-AL"/>
        </w:rPr>
      </w:pPr>
      <w:r w:rsidRPr="00D73F43">
        <w:rPr>
          <w:rFonts w:eastAsia="Times New Roman"/>
          <w:noProof/>
          <w:szCs w:val="20"/>
          <w:lang w:val="sq-AL"/>
        </w:rPr>
        <w:t xml:space="preserve">Kualifikimi i mësuesve: rezultatet në provimin e kualifikimit të kryer gjatë muajit prill 2014 ishin të ulëta. Kalueshmëria e mësuesve ishte 88.7%, 7.3% më e ulët se në vitin 2013. </w:t>
      </w:r>
    </w:p>
    <w:p w:rsidR="00B0121D" w:rsidRPr="00D73F43" w:rsidRDefault="00B0121D" w:rsidP="00534AA6">
      <w:pPr>
        <w:numPr>
          <w:ilvl w:val="0"/>
          <w:numId w:val="50"/>
        </w:numPr>
        <w:suppressAutoHyphens/>
        <w:spacing w:line="276" w:lineRule="auto"/>
        <w:jc w:val="both"/>
        <w:rPr>
          <w:rFonts w:eastAsia="Times New Roman"/>
          <w:noProof/>
          <w:szCs w:val="20"/>
          <w:lang w:val="sq-AL"/>
        </w:rPr>
      </w:pPr>
      <w:r w:rsidRPr="00D73F43">
        <w:rPr>
          <w:rFonts w:eastAsia="Times New Roman"/>
          <w:noProof/>
          <w:szCs w:val="20"/>
          <w:lang w:val="sq-AL"/>
        </w:rPr>
        <w:t>Keqadministrim i ditës së provimeve të Maturës Shtetërore, i cili i hapte rrugë korrupsionit dhe për pasojë vlerësimit të padrejtë e fiktiv.</w:t>
      </w:r>
    </w:p>
    <w:p w:rsidR="00B0121D" w:rsidRPr="00D73F43" w:rsidRDefault="00B0121D" w:rsidP="00534AA6">
      <w:pPr>
        <w:numPr>
          <w:ilvl w:val="0"/>
          <w:numId w:val="50"/>
        </w:numPr>
        <w:suppressAutoHyphens/>
        <w:spacing w:line="276" w:lineRule="auto"/>
        <w:jc w:val="both"/>
        <w:rPr>
          <w:rFonts w:eastAsia="Times New Roman"/>
          <w:noProof/>
          <w:szCs w:val="20"/>
          <w:lang w:val="sq-AL"/>
        </w:rPr>
      </w:pPr>
      <w:r w:rsidRPr="00D73F43">
        <w:rPr>
          <w:rFonts w:eastAsia="Times New Roman"/>
          <w:noProof/>
          <w:szCs w:val="20"/>
          <w:lang w:val="sq-AL"/>
        </w:rPr>
        <w:t xml:space="preserve">Fiktivitet në vlerësimin final të Maturës Shtetërore dhe në mospërputhje me vlerësimin e nxënësit gjatë 3 viteve të shkollës. </w:t>
      </w:r>
    </w:p>
    <w:p w:rsidR="00B0121D" w:rsidRPr="00D73F43" w:rsidRDefault="00B0121D" w:rsidP="00534AA6">
      <w:pPr>
        <w:numPr>
          <w:ilvl w:val="0"/>
          <w:numId w:val="50"/>
        </w:numPr>
        <w:suppressAutoHyphens/>
        <w:spacing w:line="276" w:lineRule="auto"/>
        <w:jc w:val="both"/>
        <w:rPr>
          <w:rFonts w:eastAsia="Times New Roman"/>
          <w:noProof/>
          <w:szCs w:val="20"/>
          <w:lang w:val="sq-AL"/>
        </w:rPr>
      </w:pPr>
      <w:r w:rsidRPr="00D73F43">
        <w:rPr>
          <w:rFonts w:eastAsia="Times New Roman"/>
          <w:noProof/>
          <w:szCs w:val="20"/>
          <w:lang w:val="sq-AL"/>
        </w:rPr>
        <w:t xml:space="preserve">Mungesë e plotë transparence. Kufiri i kalueshmërisë nuk bëhej publik, por vendosej pasi ishin zhvilluar provimet e Maturës Shtetërore dhe mbi bazën e vlerësimeve të përfitimeve politike nga vetë ministri. </w:t>
      </w:r>
    </w:p>
    <w:p w:rsidR="00B0121D" w:rsidRPr="00D73F43" w:rsidRDefault="00B0121D" w:rsidP="00B0121D">
      <w:pPr>
        <w:suppressAutoHyphens/>
        <w:spacing w:line="276" w:lineRule="auto"/>
        <w:ind w:left="720"/>
        <w:jc w:val="both"/>
        <w:rPr>
          <w:rFonts w:eastAsia="Times New Roman"/>
          <w:noProof/>
          <w:szCs w:val="20"/>
          <w:lang w:val="sq-AL"/>
        </w:rPr>
      </w:pPr>
    </w:p>
    <w:p w:rsidR="00B0121D" w:rsidRPr="00D73F43" w:rsidRDefault="00B0121D" w:rsidP="00B0121D">
      <w:pPr>
        <w:jc w:val="both"/>
        <w:rPr>
          <w:rFonts w:eastAsia="Times New Roman"/>
          <w:b/>
          <w:noProof/>
          <w:lang w:val="sq-AL"/>
        </w:rPr>
      </w:pPr>
      <w:r w:rsidRPr="00D73F43">
        <w:rPr>
          <w:rFonts w:eastAsia="Times New Roman"/>
          <w:b/>
          <w:noProof/>
          <w:lang w:val="sq-AL"/>
        </w:rPr>
        <w:t>Arsimi i Lartë</w:t>
      </w:r>
    </w:p>
    <w:p w:rsidR="00B0121D" w:rsidRPr="00D73F43" w:rsidRDefault="00B0121D" w:rsidP="00B0121D">
      <w:pPr>
        <w:jc w:val="both"/>
        <w:rPr>
          <w:rFonts w:eastAsia="Times New Roman"/>
          <w:b/>
          <w:i/>
          <w:noProof/>
          <w:u w:val="single"/>
          <w:lang w:val="sq-AL"/>
        </w:rPr>
      </w:pPr>
    </w:p>
    <w:p w:rsidR="00B0121D" w:rsidRPr="00D73F43" w:rsidRDefault="00B0121D" w:rsidP="00534AA6">
      <w:pPr>
        <w:numPr>
          <w:ilvl w:val="0"/>
          <w:numId w:val="50"/>
        </w:numPr>
        <w:suppressAutoHyphens/>
        <w:spacing w:line="276" w:lineRule="auto"/>
        <w:jc w:val="both"/>
        <w:rPr>
          <w:rFonts w:eastAsia="Times New Roman"/>
          <w:noProof/>
          <w:szCs w:val="20"/>
          <w:lang w:val="sq-AL"/>
        </w:rPr>
      </w:pPr>
      <w:r w:rsidRPr="00D73F43">
        <w:rPr>
          <w:rFonts w:eastAsia="Times New Roman"/>
          <w:noProof/>
          <w:szCs w:val="20"/>
          <w:lang w:val="sq-AL"/>
        </w:rPr>
        <w:t xml:space="preserve">Masivizim përtej çdo kapaciteti dhe mundësie të sistemit dhe i pambështetur në politika në drejtim të ruajtjes dhe ofrimit të cilësisë. </w:t>
      </w:r>
    </w:p>
    <w:p w:rsidR="00B0121D" w:rsidRPr="00D73F43" w:rsidRDefault="00B0121D" w:rsidP="00534AA6">
      <w:pPr>
        <w:numPr>
          <w:ilvl w:val="0"/>
          <w:numId w:val="50"/>
        </w:numPr>
        <w:suppressAutoHyphens/>
        <w:spacing w:line="276" w:lineRule="auto"/>
        <w:jc w:val="both"/>
        <w:rPr>
          <w:rFonts w:eastAsia="Times New Roman"/>
          <w:noProof/>
          <w:szCs w:val="20"/>
          <w:lang w:val="sq-AL"/>
        </w:rPr>
      </w:pPr>
      <w:r w:rsidRPr="00D73F43">
        <w:rPr>
          <w:rFonts w:eastAsia="Times New Roman"/>
          <w:noProof/>
          <w:szCs w:val="20"/>
          <w:lang w:val="sq-AL"/>
        </w:rPr>
        <w:t>59 insituticione të arsimit të lartë: 15 publike dhe 44 private. 1500 programe, nga të cilat 700 të ofruara nga IAL-të publike.</w:t>
      </w:r>
    </w:p>
    <w:p w:rsidR="00B0121D" w:rsidRPr="00D73F43" w:rsidRDefault="00B0121D" w:rsidP="00534AA6">
      <w:pPr>
        <w:numPr>
          <w:ilvl w:val="0"/>
          <w:numId w:val="50"/>
        </w:numPr>
        <w:suppressAutoHyphens/>
        <w:spacing w:line="276" w:lineRule="auto"/>
        <w:jc w:val="both"/>
        <w:rPr>
          <w:rFonts w:eastAsia="Times New Roman"/>
          <w:noProof/>
          <w:szCs w:val="20"/>
          <w:lang w:val="sq-AL"/>
        </w:rPr>
      </w:pPr>
      <w:r w:rsidRPr="00D73F43">
        <w:rPr>
          <w:rFonts w:eastAsia="Times New Roman"/>
          <w:noProof/>
          <w:szCs w:val="20"/>
          <w:lang w:val="sq-AL"/>
        </w:rPr>
        <w:t>Sistem i garantimit të cilësisë jo funksional: mosfunksionim total i mekanizmave të kontrollit.</w:t>
      </w:r>
    </w:p>
    <w:p w:rsidR="00B0121D" w:rsidRPr="00D73F43" w:rsidRDefault="00B0121D" w:rsidP="00534AA6">
      <w:pPr>
        <w:numPr>
          <w:ilvl w:val="0"/>
          <w:numId w:val="50"/>
        </w:numPr>
        <w:suppressAutoHyphens/>
        <w:spacing w:line="276" w:lineRule="auto"/>
        <w:jc w:val="both"/>
        <w:rPr>
          <w:rFonts w:eastAsia="Times New Roman"/>
          <w:noProof/>
          <w:szCs w:val="20"/>
          <w:lang w:val="sq-AL"/>
        </w:rPr>
      </w:pPr>
      <w:r w:rsidRPr="00D73F43">
        <w:rPr>
          <w:rFonts w:eastAsia="Times New Roman"/>
          <w:noProof/>
          <w:szCs w:val="20"/>
          <w:lang w:val="sq-AL"/>
        </w:rPr>
        <w:t>Më shumë se gjysma e stafi të APAAL ishin të emëruar në shkelje ligjore.</w:t>
      </w:r>
    </w:p>
    <w:p w:rsidR="00B0121D" w:rsidRPr="00D73F43" w:rsidRDefault="00B0121D" w:rsidP="00534AA6">
      <w:pPr>
        <w:numPr>
          <w:ilvl w:val="0"/>
          <w:numId w:val="50"/>
        </w:numPr>
        <w:suppressAutoHyphens/>
        <w:spacing w:line="276" w:lineRule="auto"/>
        <w:jc w:val="both"/>
        <w:rPr>
          <w:rFonts w:eastAsia="Times New Roman"/>
          <w:noProof/>
          <w:szCs w:val="20"/>
          <w:lang w:val="sq-AL"/>
        </w:rPr>
      </w:pPr>
      <w:r w:rsidRPr="00D73F43">
        <w:rPr>
          <w:rFonts w:eastAsia="Times New Roman"/>
          <w:noProof/>
          <w:szCs w:val="20"/>
          <w:lang w:val="sq-AL"/>
        </w:rPr>
        <w:t>Përzgjedhje arbitrare e ekspertëve të jashtëm të vlerësimit në konflikt të hapur interesi apo në kundërshtim me kriteret dhe procedurat përkatëse; ndërrim dhe zëvendësim i pajustifikuar dhe i pamotivuar (rezultati: ndryshim i rezultatit të vlerësimit).</w:t>
      </w:r>
    </w:p>
    <w:p w:rsidR="00B0121D" w:rsidRPr="00D73F43" w:rsidRDefault="00B0121D" w:rsidP="00534AA6">
      <w:pPr>
        <w:numPr>
          <w:ilvl w:val="0"/>
          <w:numId w:val="50"/>
        </w:numPr>
        <w:suppressAutoHyphens/>
        <w:spacing w:line="276" w:lineRule="auto"/>
        <w:jc w:val="both"/>
        <w:rPr>
          <w:rFonts w:eastAsia="Times New Roman"/>
          <w:noProof/>
          <w:szCs w:val="20"/>
          <w:lang w:val="sq-AL"/>
        </w:rPr>
      </w:pPr>
      <w:r w:rsidRPr="00D73F43">
        <w:rPr>
          <w:rFonts w:eastAsia="Times New Roman"/>
          <w:noProof/>
          <w:szCs w:val="20"/>
          <w:lang w:val="sq-AL"/>
        </w:rPr>
        <w:t>Këshilli i Akreditimit prej vitesh funksiononte pa asnjë lloj akti rregullator, megjithë detyrimin ligjor.</w:t>
      </w:r>
    </w:p>
    <w:p w:rsidR="00B0121D" w:rsidRPr="00D73F43" w:rsidRDefault="00B0121D" w:rsidP="00534AA6">
      <w:pPr>
        <w:numPr>
          <w:ilvl w:val="0"/>
          <w:numId w:val="50"/>
        </w:numPr>
        <w:suppressAutoHyphens/>
        <w:spacing w:line="276" w:lineRule="auto"/>
        <w:jc w:val="both"/>
        <w:rPr>
          <w:rFonts w:eastAsia="Times New Roman"/>
          <w:noProof/>
          <w:szCs w:val="20"/>
          <w:lang w:val="sq-AL"/>
        </w:rPr>
      </w:pPr>
      <w:r w:rsidRPr="00D73F43">
        <w:rPr>
          <w:rFonts w:eastAsia="Times New Roman"/>
          <w:noProof/>
          <w:szCs w:val="20"/>
          <w:lang w:val="sq-AL"/>
        </w:rPr>
        <w:t xml:space="preserve">Urdhra akreditimi apo hapje, në kundërshtim me vendimet e rekomandimet e KA dhe procedurat në fuqi.  </w:t>
      </w:r>
    </w:p>
    <w:p w:rsidR="00B0121D" w:rsidRPr="00D73F43" w:rsidRDefault="00B0121D" w:rsidP="00534AA6">
      <w:pPr>
        <w:numPr>
          <w:ilvl w:val="0"/>
          <w:numId w:val="50"/>
        </w:numPr>
        <w:suppressAutoHyphens/>
        <w:spacing w:line="276" w:lineRule="auto"/>
        <w:jc w:val="both"/>
        <w:rPr>
          <w:rFonts w:eastAsia="Times New Roman"/>
          <w:noProof/>
          <w:szCs w:val="20"/>
          <w:lang w:val="sq-AL"/>
        </w:rPr>
      </w:pPr>
      <w:r w:rsidRPr="00D73F43">
        <w:rPr>
          <w:rFonts w:eastAsia="Times New Roman"/>
          <w:noProof/>
          <w:szCs w:val="20"/>
          <w:lang w:val="sq-AL"/>
        </w:rPr>
        <w:t xml:space="preserve">Hapje e dhjetëra programeve të studimit në IAL publike pa u mbështetur në vlerësimin e cilësisë, në shkelje të procedurave dhe në mënyrë të drejtpërdrejtë vetëm përmes vendimit të kuotave të pranimit. </w:t>
      </w:r>
    </w:p>
    <w:p w:rsidR="00B0121D" w:rsidRPr="00D73F43" w:rsidRDefault="00B0121D" w:rsidP="00B0121D">
      <w:pPr>
        <w:jc w:val="both"/>
        <w:rPr>
          <w:rFonts w:eastAsia="Times New Roman"/>
          <w:b/>
          <w:noProof/>
          <w:lang w:val="sq-AL"/>
        </w:rPr>
      </w:pPr>
    </w:p>
    <w:p w:rsidR="00B0121D" w:rsidRPr="00D73F43" w:rsidRDefault="00B0121D" w:rsidP="00B0121D">
      <w:pPr>
        <w:jc w:val="both"/>
        <w:rPr>
          <w:rFonts w:eastAsia="Times New Roman"/>
          <w:b/>
          <w:noProof/>
          <w:lang w:val="sq-AL"/>
        </w:rPr>
      </w:pPr>
      <w:r w:rsidRPr="00D73F43">
        <w:rPr>
          <w:rFonts w:eastAsia="Times New Roman"/>
          <w:b/>
          <w:noProof/>
          <w:lang w:val="sq-AL"/>
        </w:rPr>
        <w:t>Mbështetja e Sportit</w:t>
      </w:r>
    </w:p>
    <w:p w:rsidR="00B0121D" w:rsidRPr="00D73F43" w:rsidRDefault="00B0121D" w:rsidP="00B0121D">
      <w:pPr>
        <w:jc w:val="both"/>
        <w:rPr>
          <w:rFonts w:eastAsia="Times New Roman"/>
          <w:b/>
          <w:i/>
          <w:noProof/>
          <w:u w:val="single"/>
          <w:lang w:val="sq-AL"/>
        </w:rPr>
      </w:pPr>
    </w:p>
    <w:p w:rsidR="00B0121D" w:rsidRPr="00D73F43" w:rsidRDefault="00B0121D" w:rsidP="00534AA6">
      <w:pPr>
        <w:numPr>
          <w:ilvl w:val="0"/>
          <w:numId w:val="50"/>
        </w:numPr>
        <w:suppressAutoHyphens/>
        <w:spacing w:line="276" w:lineRule="auto"/>
        <w:jc w:val="both"/>
        <w:rPr>
          <w:rFonts w:eastAsia="Times New Roman"/>
          <w:noProof/>
          <w:szCs w:val="20"/>
          <w:lang w:val="sq-AL"/>
        </w:rPr>
      </w:pPr>
      <w:r w:rsidRPr="00D73F43">
        <w:rPr>
          <w:rFonts w:eastAsia="Times New Roman"/>
          <w:noProof/>
          <w:szCs w:val="20"/>
          <w:lang w:val="sq-AL"/>
        </w:rPr>
        <w:t>Gjatë periudhës 2005 - 2013 janë kryer ndryshime normative që shkaktuan regres dhe kaos.</w:t>
      </w:r>
    </w:p>
    <w:p w:rsidR="00B0121D" w:rsidRPr="00D73F43" w:rsidRDefault="00B0121D" w:rsidP="00534AA6">
      <w:pPr>
        <w:numPr>
          <w:ilvl w:val="0"/>
          <w:numId w:val="50"/>
        </w:numPr>
        <w:suppressAutoHyphens/>
        <w:spacing w:line="276" w:lineRule="auto"/>
        <w:jc w:val="both"/>
        <w:rPr>
          <w:rFonts w:eastAsia="Times New Roman"/>
          <w:noProof/>
          <w:szCs w:val="20"/>
          <w:lang w:val="sq-AL"/>
        </w:rPr>
      </w:pPr>
      <w:r w:rsidRPr="00D73F43">
        <w:rPr>
          <w:rFonts w:eastAsia="Times New Roman"/>
          <w:noProof/>
          <w:szCs w:val="20"/>
          <w:lang w:val="sq-AL"/>
        </w:rPr>
        <w:t>Ndërhyrje e politikës në strukturat e pavarura deri në dublimin e tyre.</w:t>
      </w:r>
    </w:p>
    <w:p w:rsidR="00B0121D" w:rsidRPr="00D73F43" w:rsidRDefault="00B0121D" w:rsidP="00534AA6">
      <w:pPr>
        <w:numPr>
          <w:ilvl w:val="0"/>
          <w:numId w:val="50"/>
        </w:numPr>
        <w:suppressAutoHyphens/>
        <w:spacing w:line="276" w:lineRule="auto"/>
        <w:jc w:val="both"/>
        <w:rPr>
          <w:rFonts w:eastAsia="Times New Roman"/>
          <w:noProof/>
          <w:szCs w:val="20"/>
          <w:lang w:val="sq-AL"/>
        </w:rPr>
      </w:pPr>
      <w:r w:rsidRPr="00D73F43">
        <w:rPr>
          <w:rFonts w:eastAsia="Times New Roman"/>
          <w:noProof/>
          <w:szCs w:val="20"/>
          <w:lang w:val="sq-AL"/>
        </w:rPr>
        <w:t>Asnjë stimul dhe asnjë mbështetje për sportin dhe sportistët. Shpërblime të papaguara ndër vite.</w:t>
      </w:r>
    </w:p>
    <w:p w:rsidR="00B0121D" w:rsidRPr="00D73F43" w:rsidRDefault="00B0121D" w:rsidP="00534AA6">
      <w:pPr>
        <w:numPr>
          <w:ilvl w:val="0"/>
          <w:numId w:val="50"/>
        </w:numPr>
        <w:suppressAutoHyphens/>
        <w:spacing w:line="276" w:lineRule="auto"/>
        <w:jc w:val="both"/>
        <w:rPr>
          <w:rFonts w:eastAsia="Times New Roman"/>
          <w:noProof/>
          <w:szCs w:val="20"/>
          <w:lang w:val="sq-AL"/>
        </w:rPr>
      </w:pPr>
      <w:r w:rsidRPr="00D73F43">
        <w:rPr>
          <w:rFonts w:eastAsia="Times New Roman"/>
          <w:noProof/>
          <w:szCs w:val="20"/>
          <w:lang w:val="sq-AL"/>
        </w:rPr>
        <w:t>Zaptim i infrastrukturave sportive nga persona privatë.</w:t>
      </w:r>
    </w:p>
    <w:p w:rsidR="00B0121D" w:rsidRPr="00D73F43" w:rsidRDefault="00B0121D" w:rsidP="00534AA6">
      <w:pPr>
        <w:numPr>
          <w:ilvl w:val="0"/>
          <w:numId w:val="50"/>
        </w:numPr>
        <w:suppressAutoHyphens/>
        <w:spacing w:line="276" w:lineRule="auto"/>
        <w:jc w:val="both"/>
        <w:rPr>
          <w:rFonts w:eastAsia="Times New Roman"/>
          <w:noProof/>
          <w:szCs w:val="20"/>
          <w:lang w:val="sq-AL"/>
        </w:rPr>
      </w:pPr>
      <w:r w:rsidRPr="00D73F43">
        <w:rPr>
          <w:rFonts w:eastAsia="Times New Roman"/>
          <w:noProof/>
          <w:szCs w:val="20"/>
          <w:lang w:val="sq-AL"/>
        </w:rPr>
        <w:t>Paqartësi në masat ndërshkuese për veprime të dënueshme, si dopingu apo dhuna në sport.</w:t>
      </w:r>
    </w:p>
    <w:p w:rsidR="00B0121D" w:rsidRPr="00D73F43" w:rsidRDefault="00B0121D" w:rsidP="00534AA6">
      <w:pPr>
        <w:numPr>
          <w:ilvl w:val="0"/>
          <w:numId w:val="50"/>
        </w:numPr>
        <w:suppressAutoHyphens/>
        <w:spacing w:line="276" w:lineRule="auto"/>
        <w:jc w:val="both"/>
        <w:rPr>
          <w:rFonts w:eastAsia="Times New Roman"/>
          <w:noProof/>
          <w:szCs w:val="20"/>
          <w:lang w:val="sq-AL"/>
        </w:rPr>
      </w:pPr>
      <w:r w:rsidRPr="00D73F43">
        <w:rPr>
          <w:rFonts w:eastAsia="Times New Roman"/>
          <w:noProof/>
          <w:szCs w:val="20"/>
          <w:lang w:val="sq-AL"/>
        </w:rPr>
        <w:t>Asnjë akt nënligjor për buxhetimin dhe shpërdarjen e fondeve për federatat sportive.</w:t>
      </w:r>
    </w:p>
    <w:p w:rsidR="00B0121D" w:rsidRPr="00D73F43" w:rsidRDefault="00B0121D" w:rsidP="00B0121D">
      <w:pPr>
        <w:jc w:val="both"/>
        <w:rPr>
          <w:rFonts w:eastAsia="Times New Roman"/>
          <w:b/>
          <w:noProof/>
          <w:lang w:val="sq-AL"/>
        </w:rPr>
      </w:pPr>
    </w:p>
    <w:p w:rsidR="00910D26" w:rsidRPr="00D73F43" w:rsidRDefault="00910D26" w:rsidP="00B0121D">
      <w:pPr>
        <w:jc w:val="both"/>
        <w:rPr>
          <w:rFonts w:eastAsia="Times New Roman"/>
          <w:b/>
          <w:noProof/>
          <w:lang w:val="sq-AL"/>
        </w:rPr>
      </w:pPr>
    </w:p>
    <w:p w:rsidR="00B0121D" w:rsidRPr="00D73F43" w:rsidRDefault="00B0121D" w:rsidP="00B0121D">
      <w:pPr>
        <w:jc w:val="both"/>
        <w:rPr>
          <w:rFonts w:eastAsia="Times New Roman"/>
          <w:b/>
          <w:noProof/>
          <w:lang w:val="sq-AL"/>
        </w:rPr>
      </w:pPr>
      <w:r w:rsidRPr="00D73F43">
        <w:rPr>
          <w:rFonts w:eastAsia="Times New Roman"/>
          <w:b/>
          <w:noProof/>
          <w:lang w:val="sq-AL"/>
        </w:rPr>
        <w:t>Borxhi i akumuluar</w:t>
      </w:r>
    </w:p>
    <w:p w:rsidR="00B0121D" w:rsidRPr="00D73F43" w:rsidRDefault="00B0121D" w:rsidP="00B0121D">
      <w:pPr>
        <w:jc w:val="both"/>
        <w:rPr>
          <w:rFonts w:eastAsia="Times New Roman"/>
          <w:b/>
          <w:i/>
          <w:noProof/>
          <w:u w:val="single"/>
          <w:lang w:val="sq-AL"/>
        </w:rPr>
      </w:pPr>
    </w:p>
    <w:p w:rsidR="00B0121D" w:rsidRPr="00D73F43" w:rsidRDefault="00B0121D" w:rsidP="00534AA6">
      <w:pPr>
        <w:numPr>
          <w:ilvl w:val="0"/>
          <w:numId w:val="50"/>
        </w:numPr>
        <w:suppressAutoHyphens/>
        <w:spacing w:line="276" w:lineRule="auto"/>
        <w:jc w:val="both"/>
        <w:rPr>
          <w:rFonts w:eastAsia="Times New Roman"/>
          <w:noProof/>
          <w:szCs w:val="20"/>
          <w:lang w:val="sq-AL"/>
        </w:rPr>
      </w:pPr>
      <w:r w:rsidRPr="00D73F43">
        <w:rPr>
          <w:rFonts w:eastAsia="Times New Roman"/>
          <w:noProof/>
          <w:szCs w:val="20"/>
          <w:lang w:val="sq-AL"/>
        </w:rPr>
        <w:t>Detyrimet e trashëguara arritën vlerën 3.5 miliardë lekë, që i përkasin kryesisht periudhës 2012-2013.</w:t>
      </w:r>
    </w:p>
    <w:p w:rsidR="00B0121D" w:rsidRPr="00D73F43" w:rsidRDefault="00B0121D" w:rsidP="00534AA6">
      <w:pPr>
        <w:numPr>
          <w:ilvl w:val="0"/>
          <w:numId w:val="50"/>
        </w:numPr>
        <w:suppressAutoHyphens/>
        <w:spacing w:line="276" w:lineRule="auto"/>
        <w:jc w:val="both"/>
        <w:rPr>
          <w:rFonts w:eastAsia="Times New Roman"/>
          <w:noProof/>
          <w:szCs w:val="20"/>
          <w:lang w:val="sq-AL"/>
        </w:rPr>
      </w:pPr>
      <w:r w:rsidRPr="00D73F43">
        <w:rPr>
          <w:rFonts w:eastAsia="Times New Roman"/>
          <w:noProof/>
          <w:szCs w:val="20"/>
          <w:lang w:val="sq-AL"/>
        </w:rPr>
        <w:t>Detyrime për vendime gjyqësore të paekzekutuara në masën 383.4 milionë lekë.</w:t>
      </w:r>
    </w:p>
    <w:p w:rsidR="00B0121D" w:rsidRPr="00D73F43" w:rsidRDefault="00B0121D" w:rsidP="00B0121D">
      <w:pPr>
        <w:suppressAutoHyphens/>
        <w:spacing w:line="276" w:lineRule="auto"/>
        <w:jc w:val="both"/>
        <w:rPr>
          <w:rFonts w:eastAsia="Times New Roman"/>
          <w:noProof/>
          <w:sz w:val="22"/>
          <w:szCs w:val="20"/>
          <w:lang w:val="sq-AL"/>
        </w:rPr>
      </w:pPr>
    </w:p>
    <w:p w:rsidR="00B0121D" w:rsidRPr="00D73F43" w:rsidRDefault="00D73F43" w:rsidP="00B0121D">
      <w:pPr>
        <w:rPr>
          <w:rFonts w:eastAsia="MS Mincho"/>
          <w:b/>
          <w:noProof/>
          <w:szCs w:val="20"/>
          <w:lang w:val="sq-AL"/>
        </w:rPr>
      </w:pPr>
      <w:r w:rsidRPr="00D73F43">
        <w:rPr>
          <w:rFonts w:eastAsia="MS Mincho"/>
          <w:b/>
          <w:noProof/>
          <w:szCs w:val="20"/>
          <w:lang w:val="sq-AL"/>
        </w:rPr>
        <w:lastRenderedPageBreak/>
        <w:t>4</w:t>
      </w:r>
      <w:r w:rsidR="00B0121D" w:rsidRPr="00D73F43">
        <w:rPr>
          <w:rFonts w:eastAsia="MS Mincho"/>
          <w:b/>
          <w:noProof/>
          <w:szCs w:val="20"/>
          <w:lang w:val="sq-AL"/>
        </w:rPr>
        <w:t>.1.2 Reformat e ndërmarra gjatë viteve 2013-2016</w:t>
      </w:r>
    </w:p>
    <w:p w:rsidR="00B0121D" w:rsidRPr="00D73F43" w:rsidRDefault="00B0121D" w:rsidP="00B0121D">
      <w:pPr>
        <w:jc w:val="both"/>
        <w:rPr>
          <w:rFonts w:eastAsia="Times New Roman"/>
          <w:noProof/>
          <w:sz w:val="28"/>
          <w:szCs w:val="20"/>
          <w:lang w:val="sq-AL"/>
        </w:rPr>
      </w:pPr>
    </w:p>
    <w:p w:rsidR="00B0121D" w:rsidRPr="00D73F43" w:rsidRDefault="00B0121D" w:rsidP="00B0121D">
      <w:pPr>
        <w:jc w:val="both"/>
        <w:rPr>
          <w:rFonts w:eastAsia="Times New Roman"/>
          <w:b/>
          <w:noProof/>
          <w:szCs w:val="20"/>
          <w:lang w:val="sq-AL"/>
        </w:rPr>
      </w:pPr>
      <w:r w:rsidRPr="00D73F43">
        <w:rPr>
          <w:rFonts w:eastAsia="Times New Roman"/>
          <w:b/>
          <w:noProof/>
          <w:szCs w:val="20"/>
          <w:lang w:val="sq-AL"/>
        </w:rPr>
        <w:t>Arsimi Parashkollor</w:t>
      </w:r>
    </w:p>
    <w:p w:rsidR="00B0121D" w:rsidRPr="00D73F43" w:rsidRDefault="00B0121D" w:rsidP="00534AA6">
      <w:pPr>
        <w:numPr>
          <w:ilvl w:val="0"/>
          <w:numId w:val="51"/>
        </w:numPr>
        <w:spacing w:line="276" w:lineRule="auto"/>
        <w:contextualSpacing/>
        <w:jc w:val="both"/>
        <w:rPr>
          <w:rFonts w:eastAsia="Times New Roman"/>
          <w:b/>
          <w:noProof/>
          <w:lang w:val="sq-AL"/>
        </w:rPr>
      </w:pPr>
      <w:r w:rsidRPr="00D73F43">
        <w:rPr>
          <w:rFonts w:eastAsia="Times New Roman"/>
          <w:noProof/>
          <w:lang w:val="sq-AL"/>
        </w:rPr>
        <w:t>U sigurua rritja me 4-5% e numrit të fëmijëve që frekuentojnë arsimin parashkollor (duke përfshirë arsimin publik dhe arsimin privat), përmes sigurimit të kushteve të infrastrukturës dhe mbështetje me personel mësimor-eduktiv të kualifikuar dhe trajnuar, duke siguruar mundësi financimi për trajnimin e tyre. P</w:t>
      </w:r>
      <w:r w:rsidRPr="00D73F43">
        <w:rPr>
          <w:rFonts w:eastAsia="Times New Roman"/>
          <w:noProof/>
          <w:spacing w:val="-1"/>
          <w:lang w:val="sq-AL"/>
        </w:rPr>
        <w:t xml:space="preserve">ër periudhën 2013-2016 numri i fëmijëve në sistemi parashkollor arriti në </w:t>
      </w:r>
      <w:r w:rsidRPr="00D73F43">
        <w:rPr>
          <w:rFonts w:eastAsia="Times New Roman"/>
          <w:noProof/>
          <w:lang w:val="sq-AL"/>
        </w:rPr>
        <w:t>82.623 fëmijë.</w:t>
      </w:r>
    </w:p>
    <w:p w:rsidR="00B0121D" w:rsidRPr="00D73F43" w:rsidRDefault="00B0121D" w:rsidP="00B0121D">
      <w:pPr>
        <w:spacing w:line="276" w:lineRule="auto"/>
        <w:ind w:left="720"/>
        <w:contextualSpacing/>
        <w:jc w:val="both"/>
        <w:rPr>
          <w:rFonts w:eastAsia="Times New Roman"/>
          <w:noProof/>
          <w:lang w:val="sq-AL"/>
        </w:rPr>
      </w:pPr>
    </w:p>
    <w:p w:rsidR="00B0121D" w:rsidRPr="00D73F43" w:rsidRDefault="00B0121D" w:rsidP="00B0121D">
      <w:pPr>
        <w:spacing w:line="276" w:lineRule="auto"/>
        <w:contextualSpacing/>
        <w:jc w:val="both"/>
        <w:rPr>
          <w:rFonts w:eastAsia="Times New Roman"/>
          <w:b/>
          <w:noProof/>
          <w:lang w:val="sq-AL"/>
        </w:rPr>
      </w:pPr>
      <w:r w:rsidRPr="00D73F43">
        <w:rPr>
          <w:rFonts w:eastAsia="Times New Roman"/>
          <w:b/>
          <w:noProof/>
          <w:lang w:val="sq-AL"/>
        </w:rPr>
        <w:t>Arsimi Parauniversitar</w:t>
      </w:r>
    </w:p>
    <w:p w:rsidR="00B0121D" w:rsidRPr="00D73F43" w:rsidRDefault="00B0121D" w:rsidP="00534AA6">
      <w:pPr>
        <w:numPr>
          <w:ilvl w:val="0"/>
          <w:numId w:val="51"/>
        </w:numPr>
        <w:spacing w:line="276" w:lineRule="auto"/>
        <w:contextualSpacing/>
        <w:jc w:val="both"/>
        <w:rPr>
          <w:rFonts w:eastAsia="Times New Roman"/>
          <w:noProof/>
          <w:lang w:val="sq-AL"/>
        </w:rPr>
      </w:pPr>
      <w:r w:rsidRPr="00D73F43">
        <w:rPr>
          <w:rFonts w:eastAsia="Times New Roman"/>
          <w:noProof/>
          <w:lang w:val="sq-AL"/>
        </w:rPr>
        <w:t>U integrua kurrikula e re për grupmoshën 3 deri në 18 vjeç; 180.000 nxënës të klasës së parë, të dytë,  të klasës së gjashtë, të shtatë dhe të klasës së 10 vijojnë studimet me kurrikulën e re.</w:t>
      </w:r>
    </w:p>
    <w:p w:rsidR="00B0121D" w:rsidRPr="00D73F43" w:rsidRDefault="00B0121D" w:rsidP="00534AA6">
      <w:pPr>
        <w:numPr>
          <w:ilvl w:val="0"/>
          <w:numId w:val="51"/>
        </w:numPr>
        <w:spacing w:line="276" w:lineRule="auto"/>
        <w:contextualSpacing/>
        <w:jc w:val="both"/>
        <w:rPr>
          <w:rFonts w:eastAsia="Times New Roman"/>
          <w:noProof/>
          <w:lang w:val="sq-AL"/>
        </w:rPr>
      </w:pPr>
      <w:r w:rsidRPr="00D73F43">
        <w:rPr>
          <w:rFonts w:eastAsia="Times New Roman"/>
          <w:noProof/>
          <w:lang w:val="sq-AL"/>
        </w:rPr>
        <w:t>U trajnuan 27.000 mësues për kurrikulën dhe programet e reja;</w:t>
      </w:r>
    </w:p>
    <w:p w:rsidR="00B0121D" w:rsidRPr="00D73F43" w:rsidRDefault="00B0121D" w:rsidP="00534AA6">
      <w:pPr>
        <w:numPr>
          <w:ilvl w:val="0"/>
          <w:numId w:val="51"/>
        </w:numPr>
        <w:spacing w:line="276" w:lineRule="auto"/>
        <w:contextualSpacing/>
        <w:jc w:val="both"/>
        <w:rPr>
          <w:rFonts w:eastAsia="Times New Roman"/>
          <w:noProof/>
          <w:lang w:val="sq-AL"/>
        </w:rPr>
      </w:pPr>
      <w:r w:rsidRPr="00D73F43">
        <w:rPr>
          <w:rFonts w:eastAsia="Times New Roman"/>
          <w:noProof/>
          <w:lang w:val="sq-AL"/>
        </w:rPr>
        <w:t xml:space="preserve">U implementua programi kombëtar i arsimit Shqipëri - Kosovë;  </w:t>
      </w:r>
    </w:p>
    <w:p w:rsidR="00B0121D" w:rsidRPr="00D73F43" w:rsidRDefault="00B0121D" w:rsidP="00534AA6">
      <w:pPr>
        <w:numPr>
          <w:ilvl w:val="0"/>
          <w:numId w:val="51"/>
        </w:numPr>
        <w:spacing w:line="276" w:lineRule="auto"/>
        <w:contextualSpacing/>
        <w:jc w:val="both"/>
        <w:rPr>
          <w:rFonts w:eastAsia="Times New Roman"/>
          <w:b/>
          <w:noProof/>
          <w:lang w:val="sq-AL"/>
        </w:rPr>
      </w:pPr>
      <w:r w:rsidRPr="00D73F43">
        <w:rPr>
          <w:rFonts w:eastAsia="Times New Roman"/>
          <w:noProof/>
          <w:lang w:val="sq-AL"/>
        </w:rPr>
        <w:t>U sigurua financimi i shërbimit të transportit për të gjithë nxënësit që mësojnë në një distancë prej më shumë se 2 km nga vendbanimi i përhershëm i tyre, si dhe i mësuesve që punojnë e banojnë më shumë se rreth 5 km nga vendbanimi i tyre. P</w:t>
      </w:r>
      <w:r w:rsidRPr="00D73F43">
        <w:rPr>
          <w:rFonts w:eastAsia="Times New Roman"/>
          <w:bCs/>
          <w:noProof/>
          <w:spacing w:val="-1"/>
          <w:shd w:val="clear" w:color="auto" w:fill="FFFFFF"/>
          <w:lang w:val="sq-AL"/>
        </w:rPr>
        <w:t>ër herë të parë u përfshirë në këtë skemë financimi dhe fëmijët e arsimit parashkollor, si dhe edukatorët e kopshteve.</w:t>
      </w:r>
    </w:p>
    <w:p w:rsidR="00B0121D" w:rsidRPr="00D73F43" w:rsidRDefault="00B0121D" w:rsidP="00534AA6">
      <w:pPr>
        <w:numPr>
          <w:ilvl w:val="0"/>
          <w:numId w:val="51"/>
        </w:numPr>
        <w:spacing w:line="276" w:lineRule="auto"/>
        <w:contextualSpacing/>
        <w:jc w:val="both"/>
        <w:rPr>
          <w:rFonts w:eastAsia="Times New Roman"/>
          <w:b/>
          <w:noProof/>
          <w:lang w:val="sq-AL"/>
        </w:rPr>
      </w:pPr>
      <w:r w:rsidRPr="00D73F43">
        <w:rPr>
          <w:rFonts w:eastAsia="Times New Roman"/>
          <w:noProof/>
          <w:lang w:val="sq-AL"/>
        </w:rPr>
        <w:t>U garantua rimbursimi i shpenzimeve të blerjes së teksteve shkollore për rreth 100.000 nxënës të kategorive të veçanta dhe shtresave në nevojë, ose për rreth 23-25% të totalit të nxënësve. Për herë të parë janë përfshirë në skemën e financimit</w:t>
      </w:r>
      <w:r w:rsidRPr="00D73F43">
        <w:rPr>
          <w:rFonts w:eastAsia="Times New Roman"/>
          <w:b/>
          <w:bCs/>
          <w:noProof/>
          <w:spacing w:val="-1"/>
          <w:shd w:val="clear" w:color="auto" w:fill="FFFFFF"/>
          <w:lang w:val="sq-AL"/>
        </w:rPr>
        <w:t xml:space="preserve"> </w:t>
      </w:r>
      <w:r w:rsidRPr="00D73F43">
        <w:rPr>
          <w:rFonts w:eastAsia="Times New Roman"/>
          <w:bCs/>
          <w:noProof/>
          <w:spacing w:val="-1"/>
          <w:shd w:val="clear" w:color="auto" w:fill="FFFFFF"/>
          <w:lang w:val="sq-AL"/>
        </w:rPr>
        <w:t>më shumë se 15,000 nxënës</w:t>
      </w:r>
      <w:r w:rsidRPr="00D73F43">
        <w:rPr>
          <w:rFonts w:eastAsia="Times New Roman"/>
          <w:noProof/>
          <w:lang w:val="sq-AL"/>
        </w:rPr>
        <w:t xml:space="preserve"> të kategorive të veçanta, si dhe shtresa sociale në nevojë</w:t>
      </w:r>
      <w:r w:rsidRPr="00D73F43">
        <w:rPr>
          <w:rFonts w:eastAsia="Times New Roman"/>
          <w:b/>
          <w:bCs/>
          <w:noProof/>
          <w:spacing w:val="-1"/>
          <w:shd w:val="clear" w:color="auto" w:fill="FFFFFF"/>
          <w:lang w:val="sq-AL"/>
        </w:rPr>
        <w:t xml:space="preserve"> </w:t>
      </w:r>
      <w:r w:rsidRPr="00D73F43">
        <w:rPr>
          <w:rFonts w:eastAsia="Times New Roman"/>
          <w:bCs/>
          <w:noProof/>
          <w:spacing w:val="-1"/>
          <w:shd w:val="clear" w:color="auto" w:fill="FFFFFF"/>
          <w:lang w:val="sq-AL"/>
        </w:rPr>
        <w:t>me rimbursim në masën 100 për qind të çmimit të blerjes së teksteve shkollore nga buxheti i Ministrisë së Arsimit dhe Sporti në formën e"Transfertës tek individët".</w:t>
      </w:r>
      <w:bookmarkStart w:id="47" w:name="bookmark5"/>
    </w:p>
    <w:p w:rsidR="00B0121D" w:rsidRPr="00D73F43" w:rsidRDefault="00B0121D" w:rsidP="00534AA6">
      <w:pPr>
        <w:numPr>
          <w:ilvl w:val="0"/>
          <w:numId w:val="51"/>
        </w:numPr>
        <w:spacing w:line="276" w:lineRule="auto"/>
        <w:contextualSpacing/>
        <w:jc w:val="both"/>
        <w:rPr>
          <w:rFonts w:eastAsia="Times New Roman"/>
          <w:noProof/>
          <w:lang w:val="sq-AL"/>
        </w:rPr>
      </w:pPr>
      <w:r w:rsidRPr="00D73F43">
        <w:rPr>
          <w:rFonts w:eastAsia="Times New Roman"/>
          <w:noProof/>
          <w:lang w:val="sq-AL"/>
        </w:rPr>
        <w:t>Aktualisht rreth 180.000 nxënës të klasave të para e të dyta, të klasës së gjashtë, të shtatë dhe klasës së dhjetë vijojnë</w:t>
      </w:r>
      <w:r w:rsidRPr="00D73F43">
        <w:rPr>
          <w:rFonts w:eastAsia="Times New Roman"/>
          <w:b/>
          <w:bCs/>
          <w:noProof/>
          <w:szCs w:val="20"/>
          <w:lang w:val="sq-AL"/>
        </w:rPr>
        <w:t xml:space="preserve"> </w:t>
      </w:r>
      <w:r w:rsidRPr="00D73F43">
        <w:rPr>
          <w:rFonts w:eastAsia="Times New Roman"/>
          <w:bCs/>
          <w:noProof/>
          <w:szCs w:val="20"/>
          <w:lang w:val="sq-AL"/>
        </w:rPr>
        <w:t>studimet e kurikulën e re 2015-2016 dhe janë pajisur me tekste të reja</w:t>
      </w:r>
      <w:r w:rsidRPr="00D73F43">
        <w:rPr>
          <w:rFonts w:eastAsia="Times New Roman"/>
          <w:noProof/>
          <w:lang w:val="sq-AL"/>
        </w:rPr>
        <w:t xml:space="preserve"> të "Oxford", "Cambridge" dhe "Pearson".</w:t>
      </w:r>
      <w:bookmarkEnd w:id="47"/>
      <w:r w:rsidRPr="00D73F43">
        <w:rPr>
          <w:rFonts w:eastAsia="Times New Roman"/>
          <w:noProof/>
          <w:lang w:val="sq-AL"/>
        </w:rPr>
        <w:t xml:space="preserve"> </w:t>
      </w:r>
    </w:p>
    <w:p w:rsidR="00B0121D" w:rsidRPr="00D73F43" w:rsidRDefault="00B0121D" w:rsidP="00534AA6">
      <w:pPr>
        <w:numPr>
          <w:ilvl w:val="0"/>
          <w:numId w:val="51"/>
        </w:numPr>
        <w:spacing w:line="276" w:lineRule="auto"/>
        <w:contextualSpacing/>
        <w:jc w:val="both"/>
        <w:rPr>
          <w:rFonts w:eastAsia="Times New Roman"/>
          <w:noProof/>
          <w:lang w:val="sq-AL"/>
        </w:rPr>
      </w:pPr>
      <w:r w:rsidRPr="00D73F43">
        <w:rPr>
          <w:rFonts w:eastAsia="Times New Roman"/>
          <w:noProof/>
          <w:lang w:val="sq-AL"/>
        </w:rPr>
        <w:t>U hoqën nga përzgjedhja dhe qarkullimi 600 tituj tekstesh shkollore me gabime të rënda shkencore dhe gjuhësore, duke çliruar nga deformimi i dijeve rreth 480 mijë nxënës.</w:t>
      </w:r>
    </w:p>
    <w:p w:rsidR="00B0121D" w:rsidRPr="00D73F43" w:rsidRDefault="00B0121D" w:rsidP="00534AA6">
      <w:pPr>
        <w:numPr>
          <w:ilvl w:val="0"/>
          <w:numId w:val="51"/>
        </w:numPr>
        <w:spacing w:line="276" w:lineRule="auto"/>
        <w:contextualSpacing/>
        <w:jc w:val="both"/>
        <w:rPr>
          <w:rFonts w:eastAsia="Times New Roman"/>
          <w:noProof/>
          <w:lang w:val="sq-AL"/>
        </w:rPr>
      </w:pPr>
      <w:r w:rsidRPr="00D73F43">
        <w:rPr>
          <w:rFonts w:eastAsia="Times New Roman"/>
          <w:noProof/>
          <w:lang w:val="sq-AL"/>
        </w:rPr>
        <w:t>U ndërtuan dhe rehabilituan 126 objekte arsimore dhe 46 terrene sportive, me vlerë totale të kontratave afro 6,3 miliardë lekë. Me këto investime u arrit të siguroheshin:</w:t>
      </w:r>
    </w:p>
    <w:p w:rsidR="00B0121D" w:rsidRPr="00D73F43" w:rsidRDefault="00B0121D" w:rsidP="00534AA6">
      <w:pPr>
        <w:numPr>
          <w:ilvl w:val="0"/>
          <w:numId w:val="99"/>
        </w:numPr>
        <w:spacing w:before="120" w:after="120" w:line="276" w:lineRule="auto"/>
        <w:jc w:val="both"/>
        <w:outlineLvl w:val="1"/>
        <w:rPr>
          <w:rFonts w:eastAsia="Times New Roman"/>
          <w:noProof/>
          <w:lang w:val="sq-AL"/>
        </w:rPr>
      </w:pPr>
      <w:bookmarkStart w:id="48" w:name="_Toc465870939"/>
      <w:bookmarkStart w:id="49" w:name="_Toc465950356"/>
      <w:bookmarkStart w:id="50" w:name="_Toc466295652"/>
      <w:bookmarkStart w:id="51" w:name="_Toc466445448"/>
      <w:r w:rsidRPr="00D73F43">
        <w:rPr>
          <w:rFonts w:eastAsia="Times New Roman"/>
          <w:noProof/>
          <w:lang w:val="sq-AL"/>
        </w:rPr>
        <w:t>85 objekte arsimore të rikonstruktuara, ku përfituan në mënyrë direkte 32.478 nxënës dhe 2,081 mësues;</w:t>
      </w:r>
      <w:bookmarkEnd w:id="48"/>
      <w:bookmarkEnd w:id="49"/>
      <w:bookmarkEnd w:id="50"/>
      <w:bookmarkEnd w:id="51"/>
    </w:p>
    <w:p w:rsidR="00B0121D" w:rsidRPr="00D73F43" w:rsidRDefault="00B0121D" w:rsidP="00534AA6">
      <w:pPr>
        <w:numPr>
          <w:ilvl w:val="0"/>
          <w:numId w:val="99"/>
        </w:numPr>
        <w:spacing w:before="120" w:after="120" w:line="276" w:lineRule="auto"/>
        <w:jc w:val="both"/>
        <w:outlineLvl w:val="1"/>
        <w:rPr>
          <w:rFonts w:eastAsia="Times New Roman"/>
          <w:noProof/>
          <w:lang w:val="sq-AL"/>
        </w:rPr>
      </w:pPr>
      <w:bookmarkStart w:id="52" w:name="_Toc465870940"/>
      <w:bookmarkStart w:id="53" w:name="_Toc465950357"/>
      <w:bookmarkStart w:id="54" w:name="_Toc466295653"/>
      <w:bookmarkStart w:id="55" w:name="_Toc466445449"/>
      <w:r w:rsidRPr="00D73F43">
        <w:rPr>
          <w:rFonts w:eastAsia="Times New Roman"/>
          <w:noProof/>
          <w:lang w:val="sq-AL"/>
        </w:rPr>
        <w:t>41 objekte arsimore të reja të ndërtuara , ku përfituan në mënyrë direkte 13.327 nxënës dhe 868 mësues, duke reduktuar mësimin me turne;</w:t>
      </w:r>
      <w:bookmarkEnd w:id="52"/>
      <w:bookmarkEnd w:id="53"/>
      <w:bookmarkEnd w:id="54"/>
      <w:bookmarkEnd w:id="55"/>
    </w:p>
    <w:p w:rsidR="00B0121D" w:rsidRPr="00D73F43" w:rsidRDefault="00B0121D" w:rsidP="00534AA6">
      <w:pPr>
        <w:numPr>
          <w:ilvl w:val="0"/>
          <w:numId w:val="99"/>
        </w:numPr>
        <w:spacing w:before="120" w:after="120" w:line="276" w:lineRule="auto"/>
        <w:jc w:val="both"/>
        <w:outlineLvl w:val="1"/>
        <w:rPr>
          <w:rFonts w:eastAsia="Times New Roman"/>
          <w:noProof/>
          <w:lang w:val="sq-AL"/>
        </w:rPr>
      </w:pPr>
      <w:bookmarkStart w:id="56" w:name="_Toc465870941"/>
      <w:bookmarkStart w:id="57" w:name="_Toc465950358"/>
      <w:bookmarkStart w:id="58" w:name="_Toc466295654"/>
      <w:bookmarkStart w:id="59" w:name="_Toc466445450"/>
      <w:r w:rsidRPr="00D73F43">
        <w:rPr>
          <w:rFonts w:eastAsia="Times New Roman"/>
          <w:noProof/>
          <w:lang w:val="sq-AL"/>
        </w:rPr>
        <w:t>46 terrene sportive të ndërtuara dhe rehabilituar në 12 qarqe të vendit, të cilat u shërbejnë jo vetëm shkollave, por edhe komunitetit të banoreve.</w:t>
      </w:r>
      <w:bookmarkEnd w:id="56"/>
      <w:bookmarkEnd w:id="57"/>
      <w:bookmarkEnd w:id="58"/>
      <w:bookmarkEnd w:id="59"/>
    </w:p>
    <w:p w:rsidR="00B0121D" w:rsidRPr="00D73F43" w:rsidRDefault="00B0121D" w:rsidP="00534AA6">
      <w:pPr>
        <w:numPr>
          <w:ilvl w:val="0"/>
          <w:numId w:val="51"/>
        </w:numPr>
        <w:spacing w:line="276" w:lineRule="auto"/>
        <w:contextualSpacing/>
        <w:jc w:val="both"/>
        <w:rPr>
          <w:rFonts w:eastAsia="Times New Roman"/>
          <w:noProof/>
          <w:lang w:val="sq-AL"/>
        </w:rPr>
      </w:pPr>
      <w:r w:rsidRPr="00D73F43">
        <w:rPr>
          <w:rFonts w:eastAsia="Times New Roman"/>
          <w:noProof/>
          <w:lang w:val="sq-AL"/>
        </w:rPr>
        <w:t>U realizua sipërmarrja madhore e dixhitalizimit të sistemit arsimor shqiptar, duke rinegociuar dhe ratifikuar marrëveshjen për Projektin "Modernizimi i sistemit arsimor në Shqipëri nëpërmjet e-Edukimit", me Qeverinë Austriake, i cili po pilotohet fillimisht në 66 shkolla të mesme të përgjithshme në vend dhe brenda vitit 2016 do të implementohet 100%:</w:t>
      </w:r>
    </w:p>
    <w:p w:rsidR="00B0121D" w:rsidRPr="00D73F43" w:rsidRDefault="00B0121D" w:rsidP="00534AA6">
      <w:pPr>
        <w:numPr>
          <w:ilvl w:val="0"/>
          <w:numId w:val="100"/>
        </w:numPr>
        <w:spacing w:line="276" w:lineRule="auto"/>
        <w:contextualSpacing/>
        <w:jc w:val="both"/>
        <w:rPr>
          <w:rFonts w:eastAsia="Times New Roman"/>
          <w:noProof/>
          <w:lang w:val="sq-AL"/>
        </w:rPr>
      </w:pPr>
      <w:r w:rsidRPr="00D73F43">
        <w:rPr>
          <w:rFonts w:eastAsia="Times New Roman"/>
          <w:noProof/>
          <w:lang w:val="sq-AL"/>
        </w:rPr>
        <w:t>U ndërtuan 1</w:t>
      </w:r>
      <w:r w:rsidRPr="00D73F43">
        <w:rPr>
          <w:rFonts w:eastAsia="Times New Roman"/>
          <w:iCs/>
          <w:noProof/>
          <w:lang w:val="sq-AL"/>
        </w:rPr>
        <w:t xml:space="preserve">32 klasa inteligjente për 45.750 gjimnazistë dhe 2245 mësues.   </w:t>
      </w:r>
    </w:p>
    <w:p w:rsidR="00B0121D" w:rsidRPr="00D73F43" w:rsidRDefault="00B0121D" w:rsidP="00534AA6">
      <w:pPr>
        <w:numPr>
          <w:ilvl w:val="0"/>
          <w:numId w:val="100"/>
        </w:numPr>
        <w:spacing w:line="276" w:lineRule="auto"/>
        <w:contextualSpacing/>
        <w:jc w:val="both"/>
        <w:rPr>
          <w:rFonts w:eastAsia="Times New Roman"/>
          <w:noProof/>
          <w:lang w:val="sq-AL"/>
        </w:rPr>
      </w:pPr>
      <w:r w:rsidRPr="00D73F43">
        <w:rPr>
          <w:rFonts w:eastAsia="Times New Roman"/>
          <w:noProof/>
          <w:lang w:val="sq-AL"/>
        </w:rPr>
        <w:t>U bë e mundur që</w:t>
      </w:r>
      <w:r w:rsidRPr="00D73F43">
        <w:rPr>
          <w:rFonts w:eastAsia="Times New Roman"/>
          <w:iCs/>
          <w:noProof/>
          <w:lang w:val="sq-AL"/>
        </w:rPr>
        <w:t xml:space="preserve"> 734 shkolla dhe 1403 mësues, të jenë pjesë e 39 programeve  on-line dhe e  81 binjakëzimeve europiane</w:t>
      </w:r>
    </w:p>
    <w:p w:rsidR="00B0121D" w:rsidRPr="00D73F43" w:rsidRDefault="00B0121D" w:rsidP="00B0121D">
      <w:pPr>
        <w:spacing w:line="276" w:lineRule="auto"/>
        <w:jc w:val="both"/>
        <w:rPr>
          <w:rFonts w:eastAsia="Times New Roman"/>
          <w:noProof/>
          <w:lang w:val="sq-AL"/>
        </w:rPr>
      </w:pPr>
    </w:p>
    <w:p w:rsidR="00B0121D" w:rsidRPr="00D73F43" w:rsidRDefault="00B0121D" w:rsidP="00534AA6">
      <w:pPr>
        <w:numPr>
          <w:ilvl w:val="0"/>
          <w:numId w:val="51"/>
        </w:numPr>
        <w:spacing w:line="276" w:lineRule="auto"/>
        <w:contextualSpacing/>
        <w:jc w:val="both"/>
        <w:rPr>
          <w:rFonts w:eastAsia="Times New Roman"/>
          <w:noProof/>
          <w:lang w:val="sq-AL"/>
        </w:rPr>
      </w:pPr>
      <w:r w:rsidRPr="00D73F43">
        <w:rPr>
          <w:rFonts w:eastAsia="Times New Roman"/>
          <w:noProof/>
          <w:lang w:val="sq-AL"/>
        </w:rPr>
        <w:t>Po vijohet me zbatimin e projektit "Shkolla si qendra komunitare" në 280 shkolla 9-vjeçare dhe të mesme, falë mbështetjes edhe të donatorëve europianë dhe SHBA-ve. Programi zhvillohet nga vetë shkollat në bazë të specifikës së tyre, duke promovuar bashkëpunimin mësues-prindër-nxënës.</w:t>
      </w:r>
    </w:p>
    <w:p w:rsidR="00B0121D" w:rsidRPr="00D73F43" w:rsidRDefault="00B0121D" w:rsidP="00B0121D">
      <w:pPr>
        <w:ind w:left="720"/>
        <w:contextualSpacing/>
        <w:rPr>
          <w:rFonts w:eastAsia="Times New Roman"/>
          <w:noProof/>
          <w:lang w:val="sq-AL"/>
        </w:rPr>
      </w:pPr>
    </w:p>
    <w:p w:rsidR="00B0121D" w:rsidRPr="00D73F43" w:rsidRDefault="00B0121D" w:rsidP="00534AA6">
      <w:pPr>
        <w:numPr>
          <w:ilvl w:val="0"/>
          <w:numId w:val="51"/>
        </w:numPr>
        <w:spacing w:line="276" w:lineRule="auto"/>
        <w:contextualSpacing/>
        <w:jc w:val="both"/>
        <w:rPr>
          <w:rFonts w:eastAsia="Times New Roman"/>
          <w:noProof/>
          <w:szCs w:val="20"/>
          <w:lang w:val="sq-AL"/>
        </w:rPr>
      </w:pPr>
      <w:r w:rsidRPr="00D73F43">
        <w:rPr>
          <w:rFonts w:eastAsia="Times New Roman"/>
          <w:noProof/>
          <w:lang w:val="sq-AL"/>
        </w:rPr>
        <w:t>U sigurua shërbimi mësimor - edukativ dhe përmirësimi i kushteve infrastrukturore për 46 terrene sportive në 12 qarqe të vendit, me  synim realizimin e objektivit "Shkolla qendër komunitare". M</w:t>
      </w:r>
      <w:r w:rsidRPr="00D73F43">
        <w:rPr>
          <w:rFonts w:eastAsia="Times New Roman"/>
          <w:bCs/>
          <w:noProof/>
          <w:szCs w:val="20"/>
          <w:lang w:val="sq-AL"/>
        </w:rPr>
        <w:t>e nisjen e vitit shkollor 2014-2015, u</w:t>
      </w:r>
      <w:r w:rsidRPr="00D73F43">
        <w:rPr>
          <w:rFonts w:eastAsia="Times New Roman"/>
          <w:noProof/>
          <w:lang w:val="sq-AL"/>
        </w:rPr>
        <w:t xml:space="preserve"> sigurua numri i punonjësve mësimorë për të implementuar rritjen e numrit të orëve mësimore të lëndës së edukimit fizik</w:t>
      </w:r>
      <w:r w:rsidRPr="00D73F43">
        <w:rPr>
          <w:rFonts w:eastAsia="Times New Roman"/>
          <w:b/>
          <w:bCs/>
          <w:noProof/>
          <w:szCs w:val="20"/>
          <w:lang w:val="sq-AL"/>
        </w:rPr>
        <w:t xml:space="preserve"> </w:t>
      </w:r>
      <w:r w:rsidRPr="00D73F43">
        <w:rPr>
          <w:rFonts w:eastAsia="Times New Roman"/>
          <w:bCs/>
          <w:noProof/>
          <w:szCs w:val="20"/>
          <w:lang w:val="sq-AL"/>
        </w:rPr>
        <w:t>në shkollat e arsimit parauniversitar.</w:t>
      </w:r>
    </w:p>
    <w:p w:rsidR="00B0121D" w:rsidRPr="00D73F43" w:rsidRDefault="00B0121D" w:rsidP="00B0121D">
      <w:pPr>
        <w:spacing w:line="276" w:lineRule="auto"/>
        <w:jc w:val="both"/>
        <w:rPr>
          <w:rFonts w:eastAsia="Times New Roman"/>
          <w:noProof/>
          <w:spacing w:val="2"/>
          <w:sz w:val="19"/>
          <w:shd w:val="clear" w:color="auto" w:fill="FFFFFF"/>
          <w:lang w:val="sq-AL"/>
        </w:rPr>
      </w:pPr>
    </w:p>
    <w:p w:rsidR="00B0121D" w:rsidRPr="00D73F43" w:rsidRDefault="00B0121D" w:rsidP="00534AA6">
      <w:pPr>
        <w:numPr>
          <w:ilvl w:val="0"/>
          <w:numId w:val="51"/>
        </w:numPr>
        <w:spacing w:line="276" w:lineRule="auto"/>
        <w:contextualSpacing/>
        <w:jc w:val="both"/>
        <w:rPr>
          <w:rFonts w:eastAsia="Times New Roman"/>
          <w:noProof/>
          <w:szCs w:val="20"/>
          <w:lang w:val="sq-AL"/>
        </w:rPr>
      </w:pPr>
      <w:r w:rsidRPr="00D73F43">
        <w:rPr>
          <w:rFonts w:eastAsia="Times New Roman"/>
          <w:noProof/>
          <w:lang w:val="sq-AL"/>
        </w:rPr>
        <w:t>U garantua përmirësimi i infrastrukturës fizike/ambienteve të punës për 12 DAR/ZA në rrethe të ndryshëm, si dhe u rehabilitua godina e MAS, përmes  të cilave përfituan kushte pune të përmirësuara afro 420 punonjës të administratës së Ministrisë së Arsimit dhe Sportit, si dhe DAR/ZA në rrethe, në shërbim të sistemit arsimor.</w:t>
      </w:r>
    </w:p>
    <w:p w:rsidR="00B0121D" w:rsidRPr="00D73F43" w:rsidRDefault="00B0121D" w:rsidP="00B0121D">
      <w:pPr>
        <w:ind w:left="720"/>
        <w:contextualSpacing/>
        <w:rPr>
          <w:rFonts w:eastAsia="Times New Roman"/>
          <w:noProof/>
          <w:szCs w:val="20"/>
          <w:lang w:val="sq-AL"/>
        </w:rPr>
      </w:pPr>
    </w:p>
    <w:p w:rsidR="00B0121D" w:rsidRPr="00D73F43" w:rsidRDefault="00B0121D" w:rsidP="00B0121D">
      <w:pPr>
        <w:spacing w:line="276" w:lineRule="auto"/>
        <w:jc w:val="both"/>
        <w:rPr>
          <w:rFonts w:eastAsia="Times New Roman"/>
          <w:b/>
          <w:noProof/>
          <w:szCs w:val="20"/>
          <w:lang w:val="sq-AL"/>
        </w:rPr>
      </w:pPr>
      <w:r w:rsidRPr="00D73F43">
        <w:rPr>
          <w:rFonts w:eastAsia="Times New Roman"/>
          <w:b/>
          <w:noProof/>
          <w:szCs w:val="20"/>
          <w:lang w:val="sq-AL"/>
        </w:rPr>
        <w:t>Arsimi i Lartë</w:t>
      </w:r>
    </w:p>
    <w:p w:rsidR="00B0121D" w:rsidRPr="00D73F43" w:rsidRDefault="00B0121D" w:rsidP="00B0121D">
      <w:pPr>
        <w:ind w:left="720"/>
        <w:contextualSpacing/>
        <w:rPr>
          <w:rFonts w:eastAsia="Times New Roman"/>
          <w:b/>
          <w:bCs/>
          <w:noProof/>
          <w:spacing w:val="-1"/>
          <w:sz w:val="19"/>
          <w:shd w:val="clear" w:color="auto" w:fill="FFFFFF"/>
          <w:lang w:val="sq-AL"/>
        </w:rPr>
      </w:pPr>
    </w:p>
    <w:p w:rsidR="00B0121D" w:rsidRPr="00D73F43" w:rsidRDefault="00B0121D" w:rsidP="00534AA6">
      <w:pPr>
        <w:numPr>
          <w:ilvl w:val="0"/>
          <w:numId w:val="51"/>
        </w:numPr>
        <w:spacing w:line="276" w:lineRule="auto"/>
        <w:contextualSpacing/>
        <w:jc w:val="both"/>
        <w:rPr>
          <w:rFonts w:eastAsia="Times New Roman"/>
          <w:noProof/>
          <w:lang w:val="sq-AL"/>
        </w:rPr>
      </w:pPr>
      <w:r w:rsidRPr="00D73F43">
        <w:rPr>
          <w:rFonts w:eastAsia="Times New Roman"/>
          <w:noProof/>
          <w:lang w:val="sq-AL"/>
        </w:rPr>
        <w:t>U miratua ligji nr.80/2015, datë 22.7.2015 "Për arsimin e lartë dhe kërkimin shkencor në institucionet e arsimit të lartë në Republikën e Shqipërisë", i cili synon rritjen e cilësisë në të gjithë sistemin arsimor universitar, pa cënuar aspak mundësitë e të rinjve për t'u arsimuar. Kjo falë ngritjes së një Komisioni të pavarur, i cili mundësoi një proces të zhvilluar në transparencë të plotë, duke garantuar gjithëpërfshirjen e grupeve të interesit, e aktorëve të AL-së pa asnjë përjashtim.</w:t>
      </w:r>
    </w:p>
    <w:p w:rsidR="00B0121D" w:rsidRPr="00D73F43" w:rsidRDefault="00B0121D" w:rsidP="00B0121D">
      <w:pPr>
        <w:ind w:left="720"/>
        <w:contextualSpacing/>
        <w:rPr>
          <w:rFonts w:eastAsia="Times New Roman"/>
          <w:noProof/>
          <w:lang w:val="sq-AL"/>
        </w:rPr>
      </w:pPr>
    </w:p>
    <w:p w:rsidR="00B0121D" w:rsidRPr="00D73F43" w:rsidRDefault="00B0121D" w:rsidP="00534AA6">
      <w:pPr>
        <w:numPr>
          <w:ilvl w:val="0"/>
          <w:numId w:val="51"/>
        </w:numPr>
        <w:spacing w:line="276" w:lineRule="auto"/>
        <w:contextualSpacing/>
        <w:jc w:val="both"/>
        <w:rPr>
          <w:rFonts w:eastAsia="Times New Roman"/>
          <w:noProof/>
          <w:lang w:val="sq-AL"/>
        </w:rPr>
      </w:pPr>
      <w:r w:rsidRPr="00D73F43">
        <w:rPr>
          <w:rFonts w:eastAsia="Times New Roman"/>
          <w:noProof/>
          <w:lang w:val="sq-AL"/>
        </w:rPr>
        <w:t xml:space="preserve">Kemi ecur në drejtimin e duhur në rrugën e kthimit të autoritetit të ligjit në institucionet e arsimit të lartë dhe në drejtim të frenimit të rrënimit të arsimit të lartë, si çelës i kthimit të besimit të publikut në IAL-të shqiptare. Nga verifikimi i përmbushjes të Kritereve të Ligjshmërisë në të gjitha IAL-të shqiptare, publike dhe private, mbyllëm 18 universitete që funksiononin në shkelje të ligjit dhe 16 filiale. </w:t>
      </w:r>
    </w:p>
    <w:p w:rsidR="00B0121D" w:rsidRPr="00D73F43" w:rsidRDefault="00B0121D" w:rsidP="00B0121D">
      <w:pPr>
        <w:spacing w:line="276" w:lineRule="auto"/>
        <w:jc w:val="both"/>
        <w:rPr>
          <w:rFonts w:eastAsia="Times New Roman"/>
          <w:noProof/>
          <w:lang w:val="sq-AL"/>
        </w:rPr>
      </w:pPr>
    </w:p>
    <w:p w:rsidR="00B0121D" w:rsidRPr="00D73F43" w:rsidRDefault="00B0121D" w:rsidP="00534AA6">
      <w:pPr>
        <w:numPr>
          <w:ilvl w:val="0"/>
          <w:numId w:val="51"/>
        </w:numPr>
        <w:spacing w:line="276" w:lineRule="auto"/>
        <w:contextualSpacing/>
        <w:jc w:val="both"/>
        <w:rPr>
          <w:rFonts w:eastAsia="Times New Roman"/>
          <w:noProof/>
          <w:lang w:val="sq-AL"/>
        </w:rPr>
      </w:pPr>
      <w:r w:rsidRPr="00D73F43">
        <w:rPr>
          <w:rFonts w:eastAsia="Times New Roman"/>
          <w:noProof/>
          <w:lang w:val="sq-AL"/>
        </w:rPr>
        <w:t>Vazhdim i reformës së arsimit të lartë, duke përmirësuar kuadrin ligjor dhe rregullator, rishikimin e skemës së financimit të IAL-ve, përmirësimin e kushteve të infrastrukturës së IAL-ve publike përmes sigurimit të mbështetjes buxhetore për projektet e nisura, monitorimin e zbatimit të ligjshmërisë së IAL publike dhe private, si dhe rritjen e kontrollit për përmbushjen e standardeve të akreditimit të tyre.</w:t>
      </w:r>
    </w:p>
    <w:p w:rsidR="00B0121D" w:rsidRPr="00D73F43" w:rsidRDefault="00B0121D" w:rsidP="00B0121D">
      <w:pPr>
        <w:ind w:left="720"/>
        <w:contextualSpacing/>
        <w:rPr>
          <w:rFonts w:eastAsia="Times New Roman"/>
          <w:noProof/>
          <w:lang w:val="sq-AL"/>
        </w:rPr>
      </w:pPr>
    </w:p>
    <w:p w:rsidR="00B0121D" w:rsidRPr="00D73F43" w:rsidRDefault="00B0121D" w:rsidP="00B0121D">
      <w:pPr>
        <w:spacing w:line="276" w:lineRule="auto"/>
        <w:jc w:val="both"/>
        <w:rPr>
          <w:rFonts w:eastAsia="Times New Roman"/>
          <w:b/>
          <w:noProof/>
          <w:lang w:val="sq-AL"/>
        </w:rPr>
      </w:pPr>
      <w:r w:rsidRPr="00D73F43">
        <w:rPr>
          <w:rFonts w:eastAsia="Times New Roman"/>
          <w:b/>
          <w:noProof/>
          <w:lang w:val="sq-AL"/>
        </w:rPr>
        <w:t>Kërkimi Shkencor</w:t>
      </w:r>
    </w:p>
    <w:p w:rsidR="00B0121D" w:rsidRPr="00D73F43" w:rsidRDefault="00B0121D" w:rsidP="00B0121D">
      <w:pPr>
        <w:ind w:left="720"/>
        <w:contextualSpacing/>
        <w:rPr>
          <w:rFonts w:eastAsia="Times New Roman"/>
          <w:b/>
          <w:bCs/>
          <w:noProof/>
          <w:spacing w:val="-1"/>
          <w:sz w:val="19"/>
          <w:shd w:val="clear" w:color="auto" w:fill="FFFFFF"/>
          <w:lang w:val="sq-AL"/>
        </w:rPr>
      </w:pPr>
    </w:p>
    <w:p w:rsidR="00B0121D" w:rsidRPr="00D73F43" w:rsidRDefault="00B0121D" w:rsidP="00534AA6">
      <w:pPr>
        <w:numPr>
          <w:ilvl w:val="0"/>
          <w:numId w:val="51"/>
        </w:numPr>
        <w:spacing w:line="276" w:lineRule="auto"/>
        <w:contextualSpacing/>
        <w:jc w:val="both"/>
        <w:rPr>
          <w:rFonts w:eastAsia="Times New Roman"/>
          <w:noProof/>
          <w:lang w:val="sq-AL"/>
        </w:rPr>
      </w:pPr>
      <w:r w:rsidRPr="00D73F43">
        <w:rPr>
          <w:rFonts w:eastAsia="Times New Roman"/>
          <w:bCs/>
          <w:noProof/>
          <w:szCs w:val="20"/>
          <w:lang w:val="sq-AL"/>
        </w:rPr>
        <w:t>Vijon mbështetja financiare për studentët ekselentë që studiojnë në 15 universitetet më të mira,</w:t>
      </w:r>
      <w:r w:rsidRPr="00D73F43">
        <w:rPr>
          <w:rFonts w:eastAsia="Times New Roman"/>
          <w:b/>
          <w:bCs/>
          <w:noProof/>
          <w:szCs w:val="20"/>
          <w:lang w:val="sq-AL"/>
        </w:rPr>
        <w:t xml:space="preserve"> </w:t>
      </w:r>
      <w:r w:rsidRPr="00D73F43">
        <w:rPr>
          <w:rFonts w:eastAsia="Times New Roman"/>
          <w:noProof/>
          <w:lang w:val="sq-AL"/>
        </w:rPr>
        <w:t>referuar renditjes së</w:t>
      </w:r>
      <w:r w:rsidRPr="00D73F43">
        <w:rPr>
          <w:rFonts w:eastAsia="Times New Roman"/>
          <w:i/>
          <w:iCs/>
          <w:noProof/>
          <w:szCs w:val="20"/>
          <w:lang w:val="sq-AL"/>
        </w:rPr>
        <w:t xml:space="preserve"> "Times Higher Education",</w:t>
      </w:r>
      <w:r w:rsidRPr="00D73F43">
        <w:rPr>
          <w:rFonts w:eastAsia="Times New Roman"/>
          <w:noProof/>
          <w:lang w:val="sq-AL"/>
        </w:rPr>
        <w:t xml:space="preserve"> si dhe punonjësve të Administratës Publike, të cilët përfitojnë trajnime/kualifikime apo studime të ciklit të dytë dhe tretë në 300 universitetet më të mira të botës.</w:t>
      </w:r>
    </w:p>
    <w:p w:rsidR="00B0121D" w:rsidRPr="00D73F43" w:rsidRDefault="00B0121D" w:rsidP="00B0121D">
      <w:pPr>
        <w:ind w:left="720"/>
        <w:contextualSpacing/>
        <w:rPr>
          <w:rFonts w:eastAsia="Times New Roman"/>
          <w:b/>
          <w:bCs/>
          <w:noProof/>
          <w:spacing w:val="-1"/>
          <w:sz w:val="19"/>
          <w:shd w:val="clear" w:color="auto" w:fill="FFFFFF"/>
          <w:lang w:val="sq-AL"/>
        </w:rPr>
      </w:pPr>
    </w:p>
    <w:p w:rsidR="00B0121D" w:rsidRPr="00D73F43" w:rsidRDefault="00B0121D" w:rsidP="00534AA6">
      <w:pPr>
        <w:numPr>
          <w:ilvl w:val="0"/>
          <w:numId w:val="51"/>
        </w:numPr>
        <w:spacing w:line="276" w:lineRule="auto"/>
        <w:contextualSpacing/>
        <w:jc w:val="both"/>
        <w:rPr>
          <w:rFonts w:eastAsia="Times New Roman"/>
          <w:bCs/>
          <w:noProof/>
          <w:szCs w:val="20"/>
          <w:lang w:val="sq-AL"/>
        </w:rPr>
      </w:pPr>
      <w:r w:rsidRPr="00D73F43">
        <w:rPr>
          <w:rFonts w:eastAsia="Times New Roman"/>
          <w:noProof/>
          <w:szCs w:val="20"/>
          <w:lang w:val="sq-AL"/>
        </w:rPr>
        <w:t>Vijon mbështetja financiare për marrëveshjen "Horizon 2020",</w:t>
      </w:r>
      <w:r w:rsidRPr="00D73F43">
        <w:rPr>
          <w:rFonts w:eastAsia="Times New Roman"/>
          <w:bCs/>
          <w:noProof/>
          <w:szCs w:val="20"/>
          <w:lang w:val="sq-AL"/>
        </w:rPr>
        <w:t xml:space="preserve"> Programi i BE-së për Kërkim dhe Inovacion, i cili premton arritje të mëdha në kërkimin shkencor dhe synon sigurimin e konkurrueshmërisë së Evropës në nivel global.</w:t>
      </w:r>
    </w:p>
    <w:p w:rsidR="00B0121D" w:rsidRPr="00D73F43" w:rsidRDefault="00B0121D" w:rsidP="00B0121D">
      <w:pPr>
        <w:ind w:left="720"/>
        <w:contextualSpacing/>
        <w:rPr>
          <w:rFonts w:eastAsia="Times New Roman"/>
          <w:bCs/>
          <w:noProof/>
          <w:szCs w:val="20"/>
          <w:lang w:val="sq-AL"/>
        </w:rPr>
      </w:pPr>
    </w:p>
    <w:p w:rsidR="00B0121D" w:rsidRPr="00D73F43" w:rsidRDefault="00B0121D" w:rsidP="00B0121D">
      <w:pPr>
        <w:spacing w:line="276" w:lineRule="auto"/>
        <w:jc w:val="both"/>
        <w:rPr>
          <w:rFonts w:eastAsia="Times New Roman"/>
          <w:b/>
          <w:bCs/>
          <w:noProof/>
          <w:szCs w:val="20"/>
          <w:lang w:val="sq-AL"/>
        </w:rPr>
      </w:pPr>
      <w:r w:rsidRPr="00D73F43">
        <w:rPr>
          <w:rFonts w:eastAsia="Times New Roman"/>
          <w:b/>
          <w:bCs/>
          <w:noProof/>
          <w:szCs w:val="20"/>
          <w:lang w:val="sq-AL"/>
        </w:rPr>
        <w:t>Mbështetja e Sportit</w:t>
      </w:r>
    </w:p>
    <w:p w:rsidR="00B0121D" w:rsidRPr="00D73F43" w:rsidRDefault="00B0121D" w:rsidP="00B0121D">
      <w:pPr>
        <w:ind w:left="720"/>
        <w:contextualSpacing/>
        <w:rPr>
          <w:rFonts w:eastAsia="Times New Roman"/>
          <w:bCs/>
          <w:noProof/>
          <w:spacing w:val="-1"/>
          <w:sz w:val="19"/>
          <w:shd w:val="clear" w:color="auto" w:fill="FFFFFF"/>
          <w:lang w:val="sq-AL"/>
        </w:rPr>
      </w:pPr>
    </w:p>
    <w:p w:rsidR="00B0121D" w:rsidRPr="00D73F43" w:rsidRDefault="00B0121D" w:rsidP="00534AA6">
      <w:pPr>
        <w:numPr>
          <w:ilvl w:val="0"/>
          <w:numId w:val="51"/>
        </w:numPr>
        <w:spacing w:line="276" w:lineRule="auto"/>
        <w:contextualSpacing/>
        <w:jc w:val="both"/>
        <w:rPr>
          <w:rFonts w:eastAsia="Times New Roman"/>
          <w:noProof/>
          <w:szCs w:val="20"/>
          <w:lang w:val="sq-AL"/>
        </w:rPr>
      </w:pPr>
      <w:r w:rsidRPr="00D73F43">
        <w:rPr>
          <w:rFonts w:eastAsia="Times New Roman"/>
          <w:bCs/>
          <w:noProof/>
          <w:szCs w:val="20"/>
          <w:lang w:val="sq-AL"/>
        </w:rPr>
        <w:t>Vijon mbështetja financiare me "grant buxhetor" për rreth 23 federata sportive ku për periudhën 2013-2016 janë financuar rreth 500 milionë lekë.</w:t>
      </w:r>
    </w:p>
    <w:p w:rsidR="00B0121D" w:rsidRPr="00D73F43" w:rsidRDefault="00B0121D" w:rsidP="00B0121D">
      <w:pPr>
        <w:spacing w:line="276" w:lineRule="auto"/>
        <w:ind w:left="720"/>
        <w:contextualSpacing/>
        <w:jc w:val="both"/>
        <w:rPr>
          <w:rFonts w:eastAsia="Times New Roman"/>
          <w:b/>
          <w:bCs/>
          <w:noProof/>
          <w:szCs w:val="20"/>
          <w:lang w:val="sq-AL"/>
        </w:rPr>
      </w:pPr>
    </w:p>
    <w:p w:rsidR="00B0121D" w:rsidRPr="00D73F43" w:rsidRDefault="00B0121D" w:rsidP="00534AA6">
      <w:pPr>
        <w:numPr>
          <w:ilvl w:val="0"/>
          <w:numId w:val="51"/>
        </w:numPr>
        <w:spacing w:line="276" w:lineRule="auto"/>
        <w:contextualSpacing/>
        <w:jc w:val="both"/>
        <w:rPr>
          <w:rFonts w:eastAsia="Times New Roman"/>
          <w:bCs/>
          <w:noProof/>
          <w:szCs w:val="20"/>
          <w:lang w:val="sq-AL"/>
        </w:rPr>
      </w:pPr>
      <w:r w:rsidRPr="00D73F43">
        <w:rPr>
          <w:rFonts w:eastAsia="Times New Roman"/>
          <w:noProof/>
          <w:szCs w:val="20"/>
          <w:lang w:val="sq-AL"/>
        </w:rPr>
        <w:t>Vijon mbështetja financiare për shpërblimin e sportistëve me rezultate kombëtare dhe ndërkombëtare të munguara ndër vite.</w:t>
      </w:r>
      <w:r w:rsidRPr="00D73F43">
        <w:rPr>
          <w:rFonts w:eastAsia="Times New Roman"/>
          <w:bCs/>
          <w:noProof/>
          <w:szCs w:val="20"/>
          <w:lang w:val="sq-AL"/>
        </w:rPr>
        <w:t xml:space="preserve"> Sot nuk ka më sportistë që të mos kenë marrë pagesat që ua jep ligji për shkak të rezultateve të tyre. Ajo ç'ka ne po ndërtojmë së bashku me komunitetin e sportistëve, është një status i ri për sportistin elitar përmes investimeve të shumta në sport.</w:t>
      </w:r>
    </w:p>
    <w:p w:rsidR="00B0121D" w:rsidRPr="00D73F43" w:rsidRDefault="00B0121D" w:rsidP="00B0121D">
      <w:pPr>
        <w:ind w:left="720"/>
        <w:contextualSpacing/>
        <w:rPr>
          <w:rFonts w:eastAsia="Times New Roman"/>
          <w:noProof/>
          <w:lang w:val="sq-AL"/>
        </w:rPr>
      </w:pPr>
    </w:p>
    <w:p w:rsidR="00B0121D" w:rsidRPr="00D73F43" w:rsidRDefault="00B0121D" w:rsidP="00534AA6">
      <w:pPr>
        <w:numPr>
          <w:ilvl w:val="0"/>
          <w:numId w:val="51"/>
        </w:numPr>
        <w:spacing w:line="276" w:lineRule="auto"/>
        <w:contextualSpacing/>
        <w:jc w:val="both"/>
        <w:rPr>
          <w:rFonts w:eastAsia="Times New Roman"/>
          <w:noProof/>
          <w:szCs w:val="20"/>
          <w:lang w:val="sq-AL"/>
        </w:rPr>
      </w:pPr>
      <w:r w:rsidRPr="00D73F43">
        <w:rPr>
          <w:rFonts w:eastAsia="Times New Roman"/>
          <w:noProof/>
          <w:szCs w:val="20"/>
          <w:lang w:val="sq-AL"/>
        </w:rPr>
        <w:t>U mundësua financimi i projektit "Tirana Olimpik Park" me vlerë 600 milionë lekë, projekt i cili do të mundësojë krijimin e infrastrukturës së nevojshme, me standarde dhe cilësi të lartë të ushtrimit të sporteve, veçanërisht sportit elitar, duke siguruar kushtet e përshtatshme për sportin e peshëngritjes, atletikës dhe lojërave me dorë, si dhe mjedise komforte për Agjencinë e shërbimit të sportit dhe personelit të federatave sportive.</w:t>
      </w:r>
    </w:p>
    <w:p w:rsidR="00B0121D" w:rsidRPr="00D73F43" w:rsidRDefault="00B0121D" w:rsidP="00B0121D">
      <w:pPr>
        <w:ind w:left="720"/>
        <w:contextualSpacing/>
        <w:rPr>
          <w:rFonts w:eastAsia="Times New Roman"/>
          <w:b/>
          <w:bCs/>
          <w:noProof/>
          <w:spacing w:val="-1"/>
          <w:sz w:val="19"/>
          <w:shd w:val="clear" w:color="auto" w:fill="FFFFFF"/>
          <w:lang w:val="sq-AL"/>
        </w:rPr>
      </w:pPr>
    </w:p>
    <w:p w:rsidR="00B0121D" w:rsidRPr="00D73F43" w:rsidRDefault="00B0121D" w:rsidP="00534AA6">
      <w:pPr>
        <w:numPr>
          <w:ilvl w:val="0"/>
          <w:numId w:val="51"/>
        </w:numPr>
        <w:spacing w:line="276" w:lineRule="auto"/>
        <w:contextualSpacing/>
        <w:jc w:val="both"/>
        <w:rPr>
          <w:rFonts w:eastAsia="Times New Roman"/>
          <w:noProof/>
          <w:szCs w:val="20"/>
          <w:lang w:val="sq-AL"/>
        </w:rPr>
      </w:pPr>
      <w:r w:rsidRPr="00D73F43">
        <w:rPr>
          <w:rFonts w:eastAsia="Times New Roman"/>
          <w:bCs/>
          <w:noProof/>
          <w:szCs w:val="20"/>
          <w:lang w:val="sq-AL"/>
        </w:rPr>
        <w:t xml:space="preserve">U rehabilitua infrastruktura sportive në dy stadiume kombëtare: </w:t>
      </w:r>
      <w:r w:rsidRPr="00D73F43">
        <w:rPr>
          <w:rFonts w:eastAsia="Times New Roman"/>
          <w:noProof/>
          <w:szCs w:val="20"/>
          <w:lang w:val="sq-AL"/>
        </w:rPr>
        <w:t xml:space="preserve">rindërtimi i Stadiumit "Loro BORIÇI", Shkodër me financim nga buxheti 1.5 miliardë lekë dhe rehabilitimi i stadiumit “Elbasan Arena” me 444 milionë lekë. Vetëm për përmirësimin e infrastrukturës sportive (stadiume, terrene sportive dhe Parku Olimpik) në periudhën 2013-2016 janë financuar afro </w:t>
      </w:r>
      <w:r w:rsidRPr="00D73F43">
        <w:rPr>
          <w:rFonts w:eastAsia="Times New Roman"/>
          <w:bCs/>
          <w:noProof/>
          <w:szCs w:val="20"/>
          <w:lang w:val="sq-AL"/>
        </w:rPr>
        <w:t>3 miliardë lekë.</w:t>
      </w:r>
    </w:p>
    <w:p w:rsidR="00B0121D" w:rsidRPr="00D73F43" w:rsidRDefault="00B0121D" w:rsidP="00B0121D">
      <w:pPr>
        <w:ind w:left="720"/>
        <w:contextualSpacing/>
        <w:rPr>
          <w:rFonts w:eastAsia="Times New Roman"/>
          <w:noProof/>
          <w:spacing w:val="-1"/>
          <w:sz w:val="19"/>
          <w:shd w:val="clear" w:color="auto" w:fill="FFFFFF"/>
          <w:lang w:val="sq-AL"/>
        </w:rPr>
      </w:pPr>
    </w:p>
    <w:p w:rsidR="00B0121D" w:rsidRPr="00D73F43" w:rsidRDefault="00B0121D" w:rsidP="00B0121D">
      <w:pPr>
        <w:spacing w:line="276" w:lineRule="auto"/>
        <w:jc w:val="both"/>
        <w:rPr>
          <w:rFonts w:eastAsia="Times New Roman"/>
          <w:b/>
          <w:bCs/>
          <w:noProof/>
          <w:spacing w:val="-1"/>
          <w:shd w:val="clear" w:color="auto" w:fill="FFFFFF"/>
          <w:lang w:val="sq-AL"/>
        </w:rPr>
      </w:pPr>
      <w:r w:rsidRPr="00D73F43">
        <w:rPr>
          <w:rFonts w:eastAsia="Times New Roman"/>
          <w:b/>
          <w:bCs/>
          <w:noProof/>
          <w:spacing w:val="-1"/>
          <w:shd w:val="clear" w:color="auto" w:fill="FFFFFF"/>
          <w:lang w:val="sq-AL"/>
        </w:rPr>
        <w:t>Likuidim i plotë i Borxhit të akumuluar</w:t>
      </w:r>
    </w:p>
    <w:p w:rsidR="00B0121D" w:rsidRPr="00D73F43" w:rsidRDefault="00B0121D" w:rsidP="00534AA6">
      <w:pPr>
        <w:numPr>
          <w:ilvl w:val="0"/>
          <w:numId w:val="51"/>
        </w:numPr>
        <w:spacing w:line="276" w:lineRule="auto"/>
        <w:contextualSpacing/>
        <w:jc w:val="both"/>
        <w:rPr>
          <w:rFonts w:eastAsia="Times New Roman"/>
          <w:noProof/>
          <w:szCs w:val="20"/>
          <w:lang w:val="sq-AL"/>
        </w:rPr>
      </w:pPr>
      <w:r w:rsidRPr="00D73F43">
        <w:rPr>
          <w:rFonts w:eastAsia="Times New Roman"/>
          <w:noProof/>
          <w:szCs w:val="20"/>
          <w:lang w:val="sq-AL"/>
        </w:rPr>
        <w:t>U likuiduan plotësisht të gjitha borxhet e trashëguara që prej vitit 2013. Duke iu referuar shumës së likuiduar prej rreth 3.5 miliardë lekë, është përllogaritur që nëse kjo shumë do ishte likujduar në kohë, do të mund të ishin ndërtuar 36 shkolla të reja në arsimin parauniversitar ose 198 kopshte në arsimin parashkollor.</w:t>
      </w:r>
    </w:p>
    <w:p w:rsidR="00B0121D" w:rsidRPr="00D73F43" w:rsidRDefault="00B0121D" w:rsidP="00B0121D">
      <w:pPr>
        <w:spacing w:line="276" w:lineRule="auto"/>
        <w:jc w:val="both"/>
        <w:rPr>
          <w:rFonts w:eastAsia="Times New Roman"/>
          <w:noProof/>
          <w:szCs w:val="20"/>
          <w:lang w:val="sq-AL"/>
        </w:rPr>
      </w:pPr>
    </w:p>
    <w:p w:rsidR="00B0121D" w:rsidRPr="00D73F43" w:rsidRDefault="00AD09A8" w:rsidP="00B0121D">
      <w:pPr>
        <w:rPr>
          <w:rFonts w:eastAsia="MS Mincho"/>
          <w:b/>
          <w:noProof/>
          <w:szCs w:val="20"/>
          <w:lang w:val="sq-AL"/>
        </w:rPr>
      </w:pPr>
      <w:r>
        <w:rPr>
          <w:rFonts w:eastAsia="MS Mincho"/>
          <w:b/>
          <w:noProof/>
          <w:szCs w:val="20"/>
          <w:lang w:val="sq-AL"/>
        </w:rPr>
        <w:t>4</w:t>
      </w:r>
      <w:r w:rsidR="00B0121D" w:rsidRPr="00D73F43">
        <w:rPr>
          <w:rFonts w:eastAsia="MS Mincho"/>
          <w:b/>
          <w:noProof/>
          <w:szCs w:val="20"/>
          <w:lang w:val="sq-AL"/>
        </w:rPr>
        <w:t>.1.3 Prioritetet e projekt-buxhetit 2017</w:t>
      </w:r>
    </w:p>
    <w:p w:rsidR="00B0121D" w:rsidRPr="00D73F43" w:rsidRDefault="00B0121D" w:rsidP="00B0121D">
      <w:pPr>
        <w:spacing w:line="276" w:lineRule="auto"/>
        <w:jc w:val="both"/>
        <w:rPr>
          <w:rFonts w:eastAsia="Times New Roman"/>
          <w:noProof/>
          <w:szCs w:val="20"/>
          <w:lang w:val="sq-AL"/>
        </w:rPr>
      </w:pPr>
    </w:p>
    <w:p w:rsidR="00B0121D" w:rsidRPr="00D73F43" w:rsidRDefault="00B0121D" w:rsidP="00B0121D">
      <w:pPr>
        <w:jc w:val="both"/>
        <w:rPr>
          <w:rFonts w:eastAsia="Times New Roman"/>
          <w:b/>
          <w:i/>
          <w:noProof/>
          <w:lang w:val="sq-AL"/>
        </w:rPr>
      </w:pPr>
      <w:r w:rsidRPr="00D73F43">
        <w:rPr>
          <w:rFonts w:eastAsia="Times New Roman"/>
          <w:b/>
          <w:i/>
          <w:noProof/>
          <w:lang w:val="sq-AL"/>
        </w:rPr>
        <w:t>Arsimi Parauniversitar</w:t>
      </w:r>
    </w:p>
    <w:p w:rsidR="00B0121D" w:rsidRPr="00D73F43" w:rsidRDefault="00B0121D" w:rsidP="00B0121D">
      <w:pPr>
        <w:jc w:val="both"/>
        <w:rPr>
          <w:rFonts w:eastAsia="Times New Roman"/>
          <w:noProof/>
          <w:lang w:val="sq-AL"/>
        </w:rPr>
      </w:pPr>
    </w:p>
    <w:p w:rsidR="00B0121D" w:rsidRPr="00D73F43" w:rsidRDefault="00B0121D" w:rsidP="00534AA6">
      <w:pPr>
        <w:numPr>
          <w:ilvl w:val="0"/>
          <w:numId w:val="52"/>
        </w:numPr>
        <w:spacing w:before="120" w:after="120" w:line="276" w:lineRule="auto"/>
        <w:jc w:val="both"/>
        <w:outlineLvl w:val="1"/>
        <w:rPr>
          <w:rFonts w:eastAsia="Times New Roman"/>
          <w:noProof/>
          <w:lang w:val="sq-AL"/>
        </w:rPr>
      </w:pPr>
      <w:bookmarkStart w:id="60" w:name="_Toc465950359"/>
      <w:bookmarkStart w:id="61" w:name="_Toc466295655"/>
      <w:bookmarkStart w:id="62" w:name="_Toc466445451"/>
      <w:r w:rsidRPr="00D73F43">
        <w:rPr>
          <w:rFonts w:eastAsia="Times New Roman"/>
          <w:noProof/>
          <w:lang w:val="sq-AL"/>
        </w:rPr>
        <w:t>Garantohen pagat dhe Kontributet e Sigurime</w:t>
      </w:r>
      <w:r w:rsidR="002F3C19">
        <w:rPr>
          <w:rFonts w:eastAsia="Times New Roman"/>
          <w:noProof/>
          <w:lang w:val="sq-AL"/>
        </w:rPr>
        <w:t>ve Shoqërore e Shëndetësore</w:t>
      </w:r>
      <w:r w:rsidRPr="00D73F43">
        <w:rPr>
          <w:rFonts w:eastAsia="Times New Roman"/>
          <w:noProof/>
          <w:lang w:val="sq-AL"/>
        </w:rPr>
        <w:t xml:space="preserve"> për rreth 31,186 punonjës të sistemit arsimor dhe 1,500 praktikantëve me kohë të plotë.</w:t>
      </w:r>
      <w:bookmarkEnd w:id="60"/>
      <w:bookmarkEnd w:id="61"/>
      <w:bookmarkEnd w:id="62"/>
    </w:p>
    <w:p w:rsidR="00B0121D" w:rsidRPr="00D73F43" w:rsidRDefault="00B0121D" w:rsidP="00534AA6">
      <w:pPr>
        <w:numPr>
          <w:ilvl w:val="0"/>
          <w:numId w:val="52"/>
        </w:numPr>
        <w:spacing w:before="120" w:after="120" w:line="276" w:lineRule="auto"/>
        <w:jc w:val="both"/>
        <w:outlineLvl w:val="1"/>
        <w:rPr>
          <w:rFonts w:eastAsia="Times New Roman"/>
          <w:noProof/>
          <w:lang w:val="sq-AL"/>
        </w:rPr>
      </w:pPr>
      <w:bookmarkStart w:id="63" w:name="_Toc465870942"/>
      <w:bookmarkStart w:id="64" w:name="_Toc465950360"/>
      <w:bookmarkStart w:id="65" w:name="_Toc466295656"/>
      <w:bookmarkStart w:id="66" w:name="_Toc466445452"/>
      <w:r w:rsidRPr="00D73F43">
        <w:rPr>
          <w:rFonts w:eastAsia="Times New Roman"/>
          <w:noProof/>
          <w:lang w:val="sq-AL"/>
        </w:rPr>
        <w:t>Sigurohet shërbimi për transportin e rreth 30,000 nxënësve që kanë vendbanimin mbi 2 km nga shkolla dhe 11,000 mësuesve që punojnë mbi 5 km nga vendbanimi/qendra e përhershme e punës.</w:t>
      </w:r>
      <w:bookmarkEnd w:id="63"/>
      <w:bookmarkEnd w:id="64"/>
      <w:bookmarkEnd w:id="65"/>
      <w:bookmarkEnd w:id="66"/>
      <w:r w:rsidRPr="00D73F43">
        <w:rPr>
          <w:rFonts w:eastAsia="Times New Roman"/>
          <w:noProof/>
          <w:lang w:val="sq-AL"/>
        </w:rPr>
        <w:t xml:space="preserve"> </w:t>
      </w:r>
    </w:p>
    <w:p w:rsidR="00B0121D" w:rsidRPr="00D73F43" w:rsidRDefault="00B0121D" w:rsidP="00534AA6">
      <w:pPr>
        <w:numPr>
          <w:ilvl w:val="0"/>
          <w:numId w:val="52"/>
        </w:numPr>
        <w:spacing w:before="120" w:after="120" w:line="276" w:lineRule="auto"/>
        <w:jc w:val="both"/>
        <w:outlineLvl w:val="1"/>
        <w:rPr>
          <w:rFonts w:eastAsia="Times New Roman"/>
          <w:noProof/>
          <w:lang w:val="sq-AL"/>
        </w:rPr>
      </w:pPr>
      <w:bookmarkStart w:id="67" w:name="_Toc465870943"/>
      <w:bookmarkStart w:id="68" w:name="_Toc465950361"/>
      <w:bookmarkStart w:id="69" w:name="_Toc466295657"/>
      <w:bookmarkStart w:id="70" w:name="_Toc466445453"/>
      <w:r w:rsidRPr="00D73F43">
        <w:rPr>
          <w:rFonts w:eastAsia="Times New Roman"/>
          <w:noProof/>
          <w:lang w:val="sq-AL"/>
        </w:rPr>
        <w:t>Sigurohet blerja e teksteve shkollore për nxënësit e sistemit para universitar, ku përfitojnë rreth 100 mijë nxënës nga kategoritë e përcaktuara në VKM (shtresat sociale në nevojë dhe kategori të tjera). Buxheti 2017, mundëson edhe përmbushjen e  angazhimit të programit Qeverisës, ku fëmija, i treti në radhë, për të dytin vit radhazi, përfiton tekste falas.</w:t>
      </w:r>
      <w:bookmarkEnd w:id="67"/>
      <w:bookmarkEnd w:id="68"/>
      <w:bookmarkEnd w:id="69"/>
      <w:bookmarkEnd w:id="70"/>
    </w:p>
    <w:p w:rsidR="00B0121D" w:rsidRPr="00D73F43" w:rsidRDefault="00B0121D" w:rsidP="00534AA6">
      <w:pPr>
        <w:numPr>
          <w:ilvl w:val="0"/>
          <w:numId w:val="52"/>
        </w:numPr>
        <w:spacing w:before="120" w:after="120" w:line="276" w:lineRule="auto"/>
        <w:jc w:val="both"/>
        <w:outlineLvl w:val="1"/>
        <w:rPr>
          <w:rFonts w:eastAsia="Times New Roman"/>
          <w:noProof/>
          <w:lang w:val="sq-AL"/>
        </w:rPr>
      </w:pPr>
      <w:bookmarkStart w:id="71" w:name="_Toc465870944"/>
      <w:bookmarkStart w:id="72" w:name="_Toc465950362"/>
      <w:bookmarkStart w:id="73" w:name="_Toc466295658"/>
      <w:bookmarkStart w:id="74" w:name="_Toc466445454"/>
      <w:r w:rsidRPr="00D73F43">
        <w:rPr>
          <w:rFonts w:eastAsia="Times New Roman"/>
          <w:noProof/>
          <w:lang w:val="sq-AL"/>
        </w:rPr>
        <w:t>Sigurohet shërbimi i in</w:t>
      </w:r>
      <w:r w:rsidR="008B2A81">
        <w:rPr>
          <w:rFonts w:eastAsia="Times New Roman"/>
          <w:noProof/>
          <w:lang w:val="sq-AL"/>
        </w:rPr>
        <w:t>ternetit për rreth 1,200 -1,350</w:t>
      </w:r>
      <w:r w:rsidRPr="00D73F43">
        <w:rPr>
          <w:rFonts w:eastAsia="Times New Roman"/>
          <w:noProof/>
          <w:lang w:val="sq-AL"/>
        </w:rPr>
        <w:t xml:space="preserve"> shkolla të arsimit para universitar, për implementimin e programeve të reja digjitale dhe Platformës E-learning.</w:t>
      </w:r>
      <w:bookmarkEnd w:id="71"/>
      <w:bookmarkEnd w:id="72"/>
      <w:bookmarkEnd w:id="73"/>
      <w:bookmarkEnd w:id="74"/>
    </w:p>
    <w:p w:rsidR="00B0121D" w:rsidRPr="00D73F43" w:rsidRDefault="00B0121D" w:rsidP="00534AA6">
      <w:pPr>
        <w:numPr>
          <w:ilvl w:val="0"/>
          <w:numId w:val="52"/>
        </w:numPr>
        <w:spacing w:before="120" w:after="120" w:line="276" w:lineRule="auto"/>
        <w:jc w:val="both"/>
        <w:outlineLvl w:val="1"/>
        <w:rPr>
          <w:rFonts w:eastAsia="Times New Roman"/>
          <w:noProof/>
          <w:lang w:val="sq-AL"/>
        </w:rPr>
      </w:pPr>
      <w:bookmarkStart w:id="75" w:name="_Toc465870945"/>
      <w:bookmarkStart w:id="76" w:name="_Toc465950363"/>
      <w:bookmarkStart w:id="77" w:name="_Toc466295659"/>
      <w:bookmarkStart w:id="78" w:name="_Toc466445455"/>
      <w:r w:rsidRPr="00D73F43">
        <w:rPr>
          <w:rFonts w:eastAsia="Times New Roman"/>
          <w:noProof/>
          <w:lang w:val="sq-AL"/>
        </w:rPr>
        <w:t>Trajnohen 10-15% e punonjësve mësimorë dhe sigurohen materiale didaktike mësimore për shkollat e arsimit para universitar;</w:t>
      </w:r>
      <w:bookmarkEnd w:id="75"/>
      <w:bookmarkEnd w:id="76"/>
      <w:bookmarkEnd w:id="77"/>
      <w:bookmarkEnd w:id="78"/>
    </w:p>
    <w:p w:rsidR="00B0121D" w:rsidRPr="00D73F43" w:rsidRDefault="00B0121D" w:rsidP="00534AA6">
      <w:pPr>
        <w:numPr>
          <w:ilvl w:val="0"/>
          <w:numId w:val="52"/>
        </w:numPr>
        <w:spacing w:before="120" w:after="120" w:line="276" w:lineRule="auto"/>
        <w:jc w:val="both"/>
        <w:outlineLvl w:val="1"/>
        <w:rPr>
          <w:rFonts w:eastAsia="Times New Roman"/>
          <w:noProof/>
          <w:lang w:val="sq-AL"/>
        </w:rPr>
      </w:pPr>
      <w:bookmarkStart w:id="79" w:name="_Toc465870946"/>
      <w:bookmarkStart w:id="80" w:name="_Toc465950364"/>
      <w:bookmarkStart w:id="81" w:name="_Toc466295660"/>
      <w:bookmarkStart w:id="82" w:name="_Toc466445456"/>
      <w:r w:rsidRPr="00D73F43">
        <w:rPr>
          <w:rFonts w:eastAsia="Times New Roman"/>
          <w:noProof/>
          <w:lang w:val="sq-AL"/>
        </w:rPr>
        <w:lastRenderedPageBreak/>
        <w:t>Vijon financimi i kontratave të punimeve në infrastrukturë në 35 objekte arsimore (shkolla/kopshte) të financuar nga Fondi i Zhvillimit të Rajoneve 2016-2017, si dhe projekte të reja infrastrukturore si më poshtë:</w:t>
      </w:r>
      <w:bookmarkEnd w:id="79"/>
      <w:bookmarkEnd w:id="80"/>
      <w:bookmarkEnd w:id="81"/>
      <w:bookmarkEnd w:id="82"/>
    </w:p>
    <w:p w:rsidR="00B0121D" w:rsidRPr="00D73F43" w:rsidRDefault="00B0121D" w:rsidP="00534AA6">
      <w:pPr>
        <w:numPr>
          <w:ilvl w:val="1"/>
          <w:numId w:val="101"/>
        </w:numPr>
        <w:spacing w:before="120" w:after="120" w:line="276" w:lineRule="auto"/>
        <w:jc w:val="both"/>
        <w:outlineLvl w:val="1"/>
        <w:rPr>
          <w:rFonts w:eastAsia="Times New Roman"/>
          <w:noProof/>
          <w:lang w:val="sq-AL"/>
        </w:rPr>
      </w:pPr>
      <w:bookmarkStart w:id="83" w:name="_Toc465950365"/>
      <w:bookmarkStart w:id="84" w:name="_Toc466295661"/>
      <w:bookmarkStart w:id="85" w:name="_Toc466445457"/>
      <w:r w:rsidRPr="00D73F43">
        <w:rPr>
          <w:rFonts w:eastAsia="Times New Roman"/>
          <w:noProof/>
          <w:lang w:val="sq-AL"/>
        </w:rPr>
        <w:t>Ndërtime të reja dhe shtesa objektesh, ku vlerësohet të financohen rreth 60 objekte shkollore me afro 372 klasa/laboratorë mësimorë ku parashikohet të përfitojnë 10.000 nxënës dhe 550-600 punonjës mësimorë.</w:t>
      </w:r>
      <w:bookmarkEnd w:id="83"/>
      <w:bookmarkEnd w:id="84"/>
      <w:bookmarkEnd w:id="85"/>
    </w:p>
    <w:p w:rsidR="00B0121D" w:rsidRPr="00D73F43" w:rsidRDefault="00B0121D" w:rsidP="00534AA6">
      <w:pPr>
        <w:numPr>
          <w:ilvl w:val="1"/>
          <w:numId w:val="101"/>
        </w:numPr>
        <w:spacing w:before="120" w:after="120" w:line="276" w:lineRule="auto"/>
        <w:jc w:val="both"/>
        <w:outlineLvl w:val="1"/>
        <w:rPr>
          <w:rFonts w:eastAsia="Times New Roman"/>
          <w:noProof/>
          <w:lang w:val="sq-AL"/>
        </w:rPr>
      </w:pPr>
      <w:bookmarkStart w:id="86" w:name="_Toc465950366"/>
      <w:bookmarkStart w:id="87" w:name="_Toc465950367"/>
      <w:bookmarkStart w:id="88" w:name="_Toc466295662"/>
      <w:bookmarkStart w:id="89" w:name="_Toc466445458"/>
      <w:bookmarkEnd w:id="86"/>
      <w:r w:rsidRPr="00D73F43">
        <w:rPr>
          <w:rFonts w:eastAsia="Times New Roman"/>
          <w:noProof/>
          <w:lang w:val="sq-AL"/>
        </w:rPr>
        <w:t>Rikonstruksione, ku vlerësohet të financohen afro 130 objekte shkollore me rreth 1,400 klasa/laboratorë mësimorë, ku parashikohet të përfitojnë rreth 30.000 nxënës dhe 1,500 punonjës mësimorë.</w:t>
      </w:r>
      <w:bookmarkEnd w:id="87"/>
      <w:bookmarkEnd w:id="88"/>
      <w:bookmarkEnd w:id="89"/>
    </w:p>
    <w:p w:rsidR="00B0121D" w:rsidRPr="00D73F43" w:rsidRDefault="00B0121D" w:rsidP="00534AA6">
      <w:pPr>
        <w:numPr>
          <w:ilvl w:val="1"/>
          <w:numId w:val="101"/>
        </w:numPr>
        <w:spacing w:before="120" w:after="120" w:line="276" w:lineRule="auto"/>
        <w:jc w:val="both"/>
        <w:outlineLvl w:val="1"/>
        <w:rPr>
          <w:rFonts w:eastAsia="Times New Roman"/>
          <w:noProof/>
          <w:lang w:val="sq-AL"/>
        </w:rPr>
      </w:pPr>
      <w:bookmarkStart w:id="90" w:name="_Toc465870947"/>
      <w:bookmarkStart w:id="91" w:name="_Toc465950368"/>
      <w:bookmarkStart w:id="92" w:name="_Toc466295663"/>
      <w:bookmarkStart w:id="93" w:name="_Toc466445459"/>
      <w:r w:rsidRPr="00D73F43">
        <w:rPr>
          <w:rFonts w:eastAsia="Times New Roman"/>
          <w:noProof/>
          <w:lang w:val="sq-AL"/>
        </w:rPr>
        <w:t>Sigurohen pajisjet me mobilje për ndërtimet e reja dhe rehabilitimet, laboratorët shkencorë (kimi, fizikë, biologji dhe kabinete informatike) duke përfituar rreth 200 objekte shkollore/1400 klasa/laboratorë mësimorë, si dhe rreth 20,000 nxënës dhe 1,000 punonjës mësimorë.</w:t>
      </w:r>
      <w:bookmarkEnd w:id="90"/>
      <w:bookmarkEnd w:id="91"/>
      <w:bookmarkEnd w:id="92"/>
      <w:bookmarkEnd w:id="93"/>
    </w:p>
    <w:p w:rsidR="00B0121D" w:rsidRPr="00D73F43" w:rsidRDefault="00B0121D" w:rsidP="00534AA6">
      <w:pPr>
        <w:numPr>
          <w:ilvl w:val="1"/>
          <w:numId w:val="101"/>
        </w:numPr>
        <w:spacing w:before="120" w:after="120" w:line="276" w:lineRule="auto"/>
        <w:jc w:val="both"/>
        <w:outlineLvl w:val="1"/>
        <w:rPr>
          <w:rFonts w:eastAsia="Times New Roman"/>
          <w:noProof/>
          <w:lang w:val="sq-AL"/>
        </w:rPr>
      </w:pPr>
      <w:bookmarkStart w:id="94" w:name="_Toc465870948"/>
      <w:bookmarkStart w:id="95" w:name="_Toc465950369"/>
      <w:bookmarkStart w:id="96" w:name="_Toc466295664"/>
      <w:bookmarkStart w:id="97" w:name="_Toc466445460"/>
      <w:r w:rsidRPr="00D73F43">
        <w:rPr>
          <w:rFonts w:eastAsia="Times New Roman"/>
          <w:noProof/>
          <w:lang w:val="sq-AL"/>
        </w:rPr>
        <w:t>Sigurohen laboratorë shkencorë (kimi, fizikë, biologji) për rreth 160 laboratorë/klasa mësimore, duke përfituar rreth 4,000 nxënës dhe punonjës mësimorë.</w:t>
      </w:r>
      <w:bookmarkEnd w:id="94"/>
      <w:bookmarkEnd w:id="95"/>
      <w:bookmarkEnd w:id="96"/>
      <w:bookmarkEnd w:id="97"/>
    </w:p>
    <w:p w:rsidR="00B0121D" w:rsidRPr="00D73F43" w:rsidRDefault="00B0121D" w:rsidP="00534AA6">
      <w:pPr>
        <w:numPr>
          <w:ilvl w:val="0"/>
          <w:numId w:val="102"/>
        </w:numPr>
        <w:spacing w:before="120" w:after="120" w:line="276" w:lineRule="auto"/>
        <w:jc w:val="both"/>
        <w:outlineLvl w:val="1"/>
        <w:rPr>
          <w:rFonts w:eastAsia="Times New Roman"/>
          <w:noProof/>
          <w:lang w:val="sq-AL"/>
        </w:rPr>
      </w:pPr>
      <w:bookmarkStart w:id="98" w:name="_Toc465870949"/>
      <w:bookmarkStart w:id="99" w:name="_Toc465950370"/>
      <w:bookmarkStart w:id="100" w:name="_Toc466295665"/>
      <w:bookmarkStart w:id="101" w:name="_Toc466445461"/>
      <w:r w:rsidRPr="00D73F43">
        <w:rPr>
          <w:rFonts w:eastAsia="Times New Roman"/>
          <w:noProof/>
          <w:lang w:val="sq-AL"/>
        </w:rPr>
        <w:t>Do të vijojë financimi i Platformës E-learning, në kuadër të projektit me Qeverinë Austriake, si dhe pajisja me laboratorë kompiuterikë për nxënësit e klasave të 10-11-12, në arsimin e mesëm të përgjithshëm, ku garantohet pajisja me laboratorë për pjesën e mbetur  të shkollave të arsimit të mesëm, duke përfituar edhe rreth 5,000 punonjës mësimorë të këtij programi.</w:t>
      </w:r>
      <w:bookmarkEnd w:id="98"/>
      <w:bookmarkEnd w:id="99"/>
      <w:bookmarkEnd w:id="100"/>
      <w:bookmarkEnd w:id="101"/>
    </w:p>
    <w:p w:rsidR="00B0121D" w:rsidRPr="00D73F43" w:rsidRDefault="00B0121D" w:rsidP="00B0121D">
      <w:pPr>
        <w:jc w:val="both"/>
        <w:rPr>
          <w:rFonts w:eastAsia="Times New Roman"/>
          <w:b/>
          <w:bCs/>
          <w:i/>
          <w:noProof/>
          <w:lang w:val="sq-AL"/>
        </w:rPr>
      </w:pPr>
    </w:p>
    <w:p w:rsidR="00B0121D" w:rsidRPr="00D73F43" w:rsidRDefault="00B0121D" w:rsidP="00B0121D">
      <w:pPr>
        <w:jc w:val="both"/>
        <w:rPr>
          <w:rFonts w:eastAsia="Times New Roman"/>
          <w:b/>
          <w:bCs/>
          <w:noProof/>
          <w:lang w:val="sq-AL"/>
        </w:rPr>
      </w:pPr>
      <w:r w:rsidRPr="00D73F43">
        <w:rPr>
          <w:rFonts w:eastAsia="Times New Roman"/>
          <w:b/>
          <w:bCs/>
          <w:noProof/>
          <w:lang w:val="sq-AL"/>
        </w:rPr>
        <w:t>Arsimi i lartë dhe kërkimi shkencor</w:t>
      </w:r>
    </w:p>
    <w:p w:rsidR="00B0121D" w:rsidRPr="00D73F43" w:rsidRDefault="00B0121D" w:rsidP="00534AA6">
      <w:pPr>
        <w:numPr>
          <w:ilvl w:val="0"/>
          <w:numId w:val="52"/>
        </w:numPr>
        <w:spacing w:before="120" w:after="120" w:line="276" w:lineRule="auto"/>
        <w:jc w:val="both"/>
        <w:outlineLvl w:val="1"/>
        <w:rPr>
          <w:rFonts w:eastAsia="Times New Roman"/>
          <w:noProof/>
          <w:lang w:val="sq-AL"/>
        </w:rPr>
      </w:pPr>
      <w:bookmarkStart w:id="102" w:name="_Toc465870950"/>
      <w:bookmarkStart w:id="103" w:name="_Toc465950371"/>
      <w:bookmarkStart w:id="104" w:name="_Toc466295666"/>
      <w:bookmarkStart w:id="105" w:name="_Toc466445462"/>
      <w:r w:rsidRPr="00D73F43">
        <w:rPr>
          <w:rFonts w:eastAsia="Times New Roman"/>
          <w:noProof/>
          <w:lang w:val="sq-AL"/>
        </w:rPr>
        <w:t>Sigurohen fondet e IAL-ve për financimin e veprimtarisë së IAL publike, si dhe fonde për shpenzime kapitale</w:t>
      </w:r>
      <w:bookmarkEnd w:id="102"/>
      <w:bookmarkEnd w:id="103"/>
      <w:r w:rsidRPr="00D73F43">
        <w:rPr>
          <w:rFonts w:eastAsia="Times New Roman"/>
          <w:noProof/>
          <w:lang w:val="sq-AL"/>
        </w:rPr>
        <w:t>.</w:t>
      </w:r>
      <w:bookmarkEnd w:id="104"/>
      <w:bookmarkEnd w:id="105"/>
    </w:p>
    <w:p w:rsidR="00B0121D" w:rsidRPr="00D73F43" w:rsidRDefault="00B0121D" w:rsidP="00534AA6">
      <w:pPr>
        <w:numPr>
          <w:ilvl w:val="0"/>
          <w:numId w:val="52"/>
        </w:numPr>
        <w:spacing w:before="120" w:after="120" w:line="276" w:lineRule="auto"/>
        <w:jc w:val="both"/>
        <w:outlineLvl w:val="1"/>
        <w:rPr>
          <w:rFonts w:eastAsia="Times New Roman"/>
          <w:noProof/>
          <w:lang w:val="sq-AL"/>
        </w:rPr>
      </w:pPr>
      <w:bookmarkStart w:id="106" w:name="_Toc465870951"/>
      <w:bookmarkStart w:id="107" w:name="_Toc465950372"/>
      <w:bookmarkStart w:id="108" w:name="_Toc466295667"/>
      <w:bookmarkStart w:id="109" w:name="_Toc466445463"/>
      <w:r w:rsidRPr="00D73F43">
        <w:rPr>
          <w:rFonts w:eastAsia="Times New Roman"/>
          <w:noProof/>
          <w:lang w:val="sq-AL"/>
        </w:rPr>
        <w:t>Garantohen bursat e studentëve nga shtresat sociale në nevojë dhe studentëve ekselentë në IAL-të publike</w:t>
      </w:r>
      <w:bookmarkEnd w:id="106"/>
      <w:bookmarkEnd w:id="107"/>
      <w:r w:rsidRPr="00D73F43">
        <w:rPr>
          <w:rFonts w:eastAsia="Times New Roman"/>
          <w:noProof/>
          <w:lang w:val="sq-AL"/>
        </w:rPr>
        <w:t>.</w:t>
      </w:r>
      <w:bookmarkEnd w:id="108"/>
      <w:bookmarkEnd w:id="109"/>
    </w:p>
    <w:p w:rsidR="00B0121D" w:rsidRPr="00D73F43" w:rsidRDefault="00B0121D" w:rsidP="00534AA6">
      <w:pPr>
        <w:numPr>
          <w:ilvl w:val="0"/>
          <w:numId w:val="52"/>
        </w:numPr>
        <w:spacing w:before="120" w:after="120" w:line="276" w:lineRule="auto"/>
        <w:jc w:val="both"/>
        <w:outlineLvl w:val="1"/>
        <w:rPr>
          <w:rFonts w:eastAsia="Times New Roman"/>
          <w:noProof/>
          <w:lang w:val="sq-AL"/>
        </w:rPr>
      </w:pPr>
      <w:bookmarkStart w:id="110" w:name="_Toc465870952"/>
      <w:bookmarkStart w:id="111" w:name="_Toc465950373"/>
      <w:bookmarkStart w:id="112" w:name="_Toc466295668"/>
      <w:bookmarkStart w:id="113" w:name="_Toc466445464"/>
      <w:r w:rsidRPr="00D73F43">
        <w:rPr>
          <w:rFonts w:eastAsia="Times New Roman"/>
          <w:noProof/>
          <w:lang w:val="sq-AL"/>
        </w:rPr>
        <w:t>Garantohet akomodimi i studentëve në “Shoqëritë e trajtimit të studentëve në Tiranë dhe rrethe”, ku do të akomodohen rreth 10,000-12,000  studentë</w:t>
      </w:r>
      <w:bookmarkEnd w:id="110"/>
      <w:bookmarkEnd w:id="111"/>
      <w:r w:rsidRPr="00D73F43">
        <w:rPr>
          <w:rFonts w:eastAsia="Times New Roman"/>
          <w:noProof/>
          <w:lang w:val="sq-AL"/>
        </w:rPr>
        <w:t>.</w:t>
      </w:r>
      <w:bookmarkEnd w:id="112"/>
      <w:bookmarkEnd w:id="113"/>
      <w:r w:rsidRPr="00D73F43">
        <w:rPr>
          <w:rFonts w:eastAsia="Times New Roman"/>
          <w:noProof/>
          <w:lang w:val="sq-AL"/>
        </w:rPr>
        <w:t xml:space="preserve"> </w:t>
      </w:r>
    </w:p>
    <w:p w:rsidR="00B0121D" w:rsidRPr="00D73F43" w:rsidRDefault="00B0121D" w:rsidP="00534AA6">
      <w:pPr>
        <w:numPr>
          <w:ilvl w:val="0"/>
          <w:numId w:val="52"/>
        </w:numPr>
        <w:spacing w:before="120" w:after="120" w:line="276" w:lineRule="auto"/>
        <w:jc w:val="both"/>
        <w:outlineLvl w:val="1"/>
        <w:rPr>
          <w:rFonts w:eastAsia="Times New Roman"/>
          <w:noProof/>
          <w:lang w:val="sq-AL"/>
        </w:rPr>
      </w:pPr>
      <w:bookmarkStart w:id="114" w:name="_Toc465870953"/>
      <w:bookmarkStart w:id="115" w:name="_Toc465950374"/>
      <w:bookmarkStart w:id="116" w:name="_Toc466295669"/>
      <w:bookmarkStart w:id="117" w:name="_Toc466445465"/>
      <w:r w:rsidRPr="00D73F43">
        <w:rPr>
          <w:rFonts w:eastAsia="Times New Roman"/>
          <w:noProof/>
          <w:lang w:val="sq-AL"/>
        </w:rPr>
        <w:t>Garantohen bursat e studentëve ekselentë që ndjekin studimet në 15 universitetet më të mira, referuar renditjes së “Times Higher Education”, si dhe punonjësve të Administratës Publike, të cilët përfitojnë trajnime/kualifikime apo studime të ciklit të dytë dhe tretë në 300 universitet më të mira të botës;</w:t>
      </w:r>
      <w:bookmarkEnd w:id="114"/>
      <w:bookmarkEnd w:id="115"/>
      <w:bookmarkEnd w:id="116"/>
      <w:bookmarkEnd w:id="117"/>
      <w:r w:rsidRPr="00D73F43">
        <w:rPr>
          <w:rFonts w:eastAsia="Times New Roman"/>
          <w:noProof/>
          <w:lang w:val="sq-AL"/>
        </w:rPr>
        <w:t xml:space="preserve"> </w:t>
      </w:r>
    </w:p>
    <w:p w:rsidR="00B0121D" w:rsidRPr="00D73F43" w:rsidRDefault="00B0121D" w:rsidP="00534AA6">
      <w:pPr>
        <w:numPr>
          <w:ilvl w:val="0"/>
          <w:numId w:val="52"/>
        </w:numPr>
        <w:spacing w:before="120" w:after="120" w:line="276" w:lineRule="auto"/>
        <w:jc w:val="both"/>
        <w:outlineLvl w:val="1"/>
        <w:rPr>
          <w:rFonts w:eastAsia="Times New Roman"/>
          <w:noProof/>
          <w:lang w:val="sq-AL"/>
        </w:rPr>
      </w:pPr>
      <w:bookmarkStart w:id="118" w:name="_Toc465870954"/>
      <w:bookmarkStart w:id="119" w:name="_Toc465950375"/>
      <w:bookmarkStart w:id="120" w:name="_Toc466295670"/>
      <w:bookmarkStart w:id="121" w:name="_Toc466445466"/>
      <w:r w:rsidRPr="00D73F43">
        <w:rPr>
          <w:rFonts w:eastAsia="Times New Roman"/>
          <w:noProof/>
          <w:lang w:val="sq-AL"/>
        </w:rPr>
        <w:t>Mbështetje financiare për studentët praktikantë dhe personelin akademik për të studiuar jashtë vendit, Siguruam mbështetje për sportin dhe aktivitetet rinore, duke e bërë Shqipërinë tashmë pjesëmarrëse me titull të plotë në programin Erasmus+, programi i BE-së për arsimin, trajnimin, rininë dhe sportin, propozuar nga Komisioni Evropian, që synon të nxisë modernizimin e sistemeve arsimore.</w:t>
      </w:r>
      <w:bookmarkEnd w:id="118"/>
      <w:bookmarkEnd w:id="119"/>
      <w:bookmarkEnd w:id="120"/>
      <w:bookmarkEnd w:id="121"/>
    </w:p>
    <w:p w:rsidR="00B0121D" w:rsidRPr="00D73F43" w:rsidRDefault="00B0121D" w:rsidP="00534AA6">
      <w:pPr>
        <w:numPr>
          <w:ilvl w:val="0"/>
          <w:numId w:val="52"/>
        </w:numPr>
        <w:spacing w:before="120" w:after="120" w:line="276" w:lineRule="auto"/>
        <w:jc w:val="both"/>
        <w:outlineLvl w:val="1"/>
        <w:rPr>
          <w:rFonts w:eastAsia="Times New Roman"/>
          <w:noProof/>
          <w:lang w:val="sq-AL"/>
        </w:rPr>
      </w:pPr>
      <w:bookmarkStart w:id="122" w:name="_Toc465870955"/>
      <w:bookmarkStart w:id="123" w:name="_Toc465950376"/>
      <w:bookmarkStart w:id="124" w:name="_Toc466295671"/>
      <w:bookmarkStart w:id="125" w:name="_Toc466445467"/>
      <w:r w:rsidRPr="00D73F43">
        <w:rPr>
          <w:rFonts w:eastAsia="Times New Roman"/>
          <w:noProof/>
          <w:lang w:val="sq-AL"/>
        </w:rPr>
        <w:t>Mbështetja financiare për marrëveshjen “Horizon 2020”, Programi i BE-së për Kërkim dhe Inovacion, i cili premton arritje të mëdha në kërkimin shkencor dhe synon sigurimin e konkurrueshmërisë së Europës në nivel global.</w:t>
      </w:r>
      <w:bookmarkEnd w:id="122"/>
      <w:bookmarkEnd w:id="123"/>
      <w:bookmarkEnd w:id="124"/>
      <w:bookmarkEnd w:id="125"/>
    </w:p>
    <w:p w:rsidR="00B0121D" w:rsidRPr="00D73F43" w:rsidRDefault="00B0121D" w:rsidP="00912447">
      <w:pPr>
        <w:spacing w:before="120" w:after="120" w:line="276" w:lineRule="auto"/>
        <w:ind w:left="630"/>
        <w:jc w:val="both"/>
        <w:outlineLvl w:val="1"/>
        <w:rPr>
          <w:rFonts w:eastAsia="Times New Roman"/>
          <w:noProof/>
          <w:lang w:val="sq-AL"/>
        </w:rPr>
      </w:pPr>
      <w:bookmarkStart w:id="126" w:name="_Toc465870956"/>
      <w:bookmarkStart w:id="127" w:name="_Toc465950377"/>
      <w:bookmarkStart w:id="128" w:name="_Toc466295672"/>
      <w:bookmarkStart w:id="129" w:name="_Toc466445468"/>
      <w:r w:rsidRPr="00D73F43">
        <w:rPr>
          <w:rFonts w:eastAsia="Times New Roman"/>
          <w:noProof/>
          <w:lang w:val="sq-AL"/>
        </w:rPr>
        <w:t>Financimin e programeve për kërkimin shkencor dhe ekselencën, ku janë parashikuar afro 450 - 500 milionë lekë për çdo vit, me synim trefishimin e këtij fondi;</w:t>
      </w:r>
      <w:bookmarkEnd w:id="126"/>
      <w:bookmarkEnd w:id="127"/>
      <w:bookmarkEnd w:id="128"/>
      <w:bookmarkEnd w:id="129"/>
    </w:p>
    <w:p w:rsidR="00B0121D" w:rsidRPr="00D73F43" w:rsidRDefault="00B0121D" w:rsidP="00534AA6">
      <w:pPr>
        <w:numPr>
          <w:ilvl w:val="0"/>
          <w:numId w:val="52"/>
        </w:numPr>
        <w:spacing w:line="276" w:lineRule="auto"/>
        <w:jc w:val="both"/>
        <w:rPr>
          <w:rFonts w:eastAsia="Times New Roman"/>
          <w:noProof/>
          <w:lang w:val="sq-AL"/>
        </w:rPr>
      </w:pPr>
      <w:r w:rsidRPr="00D73F43">
        <w:rPr>
          <w:rFonts w:eastAsia="Times New Roman"/>
          <w:noProof/>
          <w:lang w:val="sq-AL"/>
        </w:rPr>
        <w:lastRenderedPageBreak/>
        <w:t>Sigurohet rikonstruksioni/rindërtimi i objekteve arsimore, duke ofruar standarde të lartë mësimdhënie dhe kërkimi për Institucionet publike të Arsimit të Lartë, për ndërhyrje në 268 klasa /kabinete/laboratorë ku përfitues do të jenë rreth 9 mijë studentë që ndjekin studimet në tre ciklet e studimeve, si dhe punonjës kërkimorë shkencorë të brendshëm dhe të jashtëm të IAL publike.</w:t>
      </w:r>
    </w:p>
    <w:p w:rsidR="00B0121D" w:rsidRPr="00D73F43" w:rsidRDefault="00B0121D" w:rsidP="00B0121D">
      <w:pPr>
        <w:spacing w:line="276" w:lineRule="auto"/>
        <w:ind w:left="630"/>
        <w:jc w:val="both"/>
        <w:rPr>
          <w:rFonts w:eastAsia="Times New Roman"/>
          <w:noProof/>
          <w:lang w:val="sq-AL"/>
        </w:rPr>
      </w:pPr>
    </w:p>
    <w:p w:rsidR="00B0121D" w:rsidRPr="00D73F43" w:rsidRDefault="00B0121D" w:rsidP="00534AA6">
      <w:pPr>
        <w:numPr>
          <w:ilvl w:val="0"/>
          <w:numId w:val="52"/>
        </w:numPr>
        <w:spacing w:line="276" w:lineRule="auto"/>
        <w:jc w:val="both"/>
        <w:rPr>
          <w:rFonts w:eastAsia="Times New Roman"/>
          <w:noProof/>
          <w:lang w:val="sq-AL"/>
        </w:rPr>
      </w:pPr>
      <w:r w:rsidRPr="00D73F43">
        <w:rPr>
          <w:rFonts w:eastAsia="Times New Roman"/>
          <w:noProof/>
          <w:lang w:val="sq-AL"/>
        </w:rPr>
        <w:t>Blerje pajisjesh laboratori kërkimore-shkencore, si dhe ngritja dhe ristrukturimi i laboratorëve kërkimore -shkencore dhe/ose përmirësimin dhe zgjerimin e tyre. Është parashikuar  financim për 50 laboratorë mësimorë/ kërkimorë-shkencorë  ku parashikohet të përfitojnë rreth 1500 studentë.</w:t>
      </w:r>
    </w:p>
    <w:p w:rsidR="00B0121D" w:rsidRPr="00D73F43" w:rsidRDefault="00B0121D" w:rsidP="00534AA6">
      <w:pPr>
        <w:numPr>
          <w:ilvl w:val="0"/>
          <w:numId w:val="52"/>
        </w:numPr>
        <w:spacing w:line="276" w:lineRule="auto"/>
        <w:jc w:val="both"/>
        <w:rPr>
          <w:rFonts w:eastAsia="Times New Roman"/>
          <w:noProof/>
          <w:lang w:val="sq-AL"/>
        </w:rPr>
      </w:pPr>
      <w:r w:rsidRPr="00D73F43">
        <w:rPr>
          <w:rFonts w:eastAsia="Times New Roman"/>
          <w:noProof/>
          <w:lang w:val="sq-AL"/>
        </w:rPr>
        <w:t>Krijimi i laboratorëve IT, si dhe bibliotekave dixhitale për rritjen e cilësisë së mësimdhënies dhe kërkimit shkencor në IAL, si dhe laboratorëve virtualë të lëvizshëm.  Është parashikuar  financim për 30 kabinete/ laboratorë informatike mësimorë, ku parashikohet të përfitojnë rreth 1800 studentë.</w:t>
      </w:r>
    </w:p>
    <w:p w:rsidR="00B0121D" w:rsidRPr="00D73F43" w:rsidRDefault="00B0121D" w:rsidP="00534AA6">
      <w:pPr>
        <w:numPr>
          <w:ilvl w:val="0"/>
          <w:numId w:val="52"/>
        </w:numPr>
        <w:spacing w:line="276" w:lineRule="auto"/>
        <w:jc w:val="both"/>
        <w:rPr>
          <w:rFonts w:eastAsia="Times New Roman"/>
          <w:noProof/>
          <w:lang w:val="sq-AL"/>
        </w:rPr>
      </w:pPr>
      <w:r w:rsidRPr="00D73F43">
        <w:rPr>
          <w:rFonts w:eastAsia="Times New Roman"/>
          <w:noProof/>
          <w:lang w:val="sq-AL"/>
        </w:rPr>
        <w:t xml:space="preserve">Sigurohet financimi me kosto lokale dhe </w:t>
      </w:r>
      <w:r w:rsidRPr="00D73F43">
        <w:rPr>
          <w:rFonts w:eastAsia="Times New Roman"/>
          <w:caps/>
          <w:noProof/>
          <w:lang w:val="sq-AL"/>
        </w:rPr>
        <w:t>tvs</w:t>
      </w:r>
      <w:r w:rsidRPr="00D73F43">
        <w:rPr>
          <w:rFonts w:eastAsia="Times New Roman"/>
          <w:noProof/>
          <w:lang w:val="sq-AL"/>
        </w:rPr>
        <w:t>H për blerjen e platformës së shërbimeve elektronike “Për krijimin dhe funksionimin e Qendrës Ndëruniversitare e Shërbimeve të Rrjetit Telematik (granti i Qeverisë Italiane), ku parashikohet të përfitojnë rreth 140,000 studentë në 13 universitetet  publike</w:t>
      </w:r>
    </w:p>
    <w:p w:rsidR="00B0121D" w:rsidRPr="00D73F43" w:rsidRDefault="00B0121D" w:rsidP="00B0121D">
      <w:pPr>
        <w:jc w:val="both"/>
        <w:rPr>
          <w:rFonts w:eastAsia="Times New Roman"/>
          <w:b/>
          <w:bCs/>
          <w:i/>
          <w:noProof/>
          <w:lang w:val="sq-AL"/>
        </w:rPr>
      </w:pPr>
    </w:p>
    <w:p w:rsidR="00B0121D" w:rsidRPr="00D73F43" w:rsidRDefault="00B0121D" w:rsidP="00B0121D">
      <w:pPr>
        <w:ind w:left="360"/>
        <w:jc w:val="both"/>
        <w:rPr>
          <w:rFonts w:eastAsia="Times New Roman"/>
          <w:b/>
          <w:bCs/>
          <w:noProof/>
          <w:lang w:val="sq-AL"/>
        </w:rPr>
      </w:pPr>
      <w:r w:rsidRPr="00D73F43">
        <w:rPr>
          <w:rFonts w:eastAsia="Times New Roman"/>
          <w:b/>
          <w:bCs/>
          <w:noProof/>
          <w:lang w:val="sq-AL"/>
        </w:rPr>
        <w:t>Mbështetja për Sportin</w:t>
      </w:r>
    </w:p>
    <w:p w:rsidR="00B0121D" w:rsidRPr="00D73F43" w:rsidRDefault="00B0121D" w:rsidP="00B0121D">
      <w:pPr>
        <w:ind w:left="360"/>
        <w:jc w:val="both"/>
        <w:rPr>
          <w:rFonts w:eastAsia="Times New Roman"/>
          <w:bCs/>
          <w:noProof/>
          <w:lang w:val="sq-AL"/>
        </w:rPr>
      </w:pPr>
    </w:p>
    <w:p w:rsidR="00B0121D" w:rsidRPr="00D73F43" w:rsidRDefault="00B0121D" w:rsidP="00534AA6">
      <w:pPr>
        <w:numPr>
          <w:ilvl w:val="0"/>
          <w:numId w:val="53"/>
        </w:numPr>
        <w:spacing w:before="120" w:after="120" w:line="276" w:lineRule="auto"/>
        <w:jc w:val="both"/>
        <w:outlineLvl w:val="1"/>
        <w:rPr>
          <w:rFonts w:eastAsia="Times New Roman"/>
          <w:noProof/>
          <w:lang w:val="sq-AL"/>
        </w:rPr>
      </w:pPr>
      <w:bookmarkStart w:id="130" w:name="_Toc465870958"/>
      <w:bookmarkStart w:id="131" w:name="_Toc465950379"/>
      <w:bookmarkStart w:id="132" w:name="_Toc466295673"/>
      <w:bookmarkStart w:id="133" w:name="_Toc466445469"/>
      <w:r w:rsidRPr="00D73F43">
        <w:rPr>
          <w:rFonts w:eastAsia="Times New Roman"/>
          <w:noProof/>
          <w:lang w:val="sq-AL"/>
        </w:rPr>
        <w:t>Sigurohet financimi i federatave sportive, sipas kritereve dhe standardeve të përcaktuara;</w:t>
      </w:r>
      <w:bookmarkEnd w:id="130"/>
      <w:bookmarkEnd w:id="131"/>
      <w:bookmarkEnd w:id="132"/>
      <w:bookmarkEnd w:id="133"/>
      <w:r w:rsidRPr="00D73F43">
        <w:rPr>
          <w:rFonts w:eastAsia="Times New Roman"/>
          <w:noProof/>
          <w:lang w:val="sq-AL"/>
        </w:rPr>
        <w:t xml:space="preserve"> </w:t>
      </w:r>
    </w:p>
    <w:p w:rsidR="00B0121D" w:rsidRPr="00D73F43" w:rsidRDefault="00B0121D" w:rsidP="00534AA6">
      <w:pPr>
        <w:numPr>
          <w:ilvl w:val="0"/>
          <w:numId w:val="53"/>
        </w:numPr>
        <w:spacing w:before="120" w:after="120" w:line="276" w:lineRule="auto"/>
        <w:jc w:val="both"/>
        <w:outlineLvl w:val="1"/>
        <w:rPr>
          <w:rFonts w:eastAsia="Times New Roman"/>
          <w:noProof/>
          <w:lang w:val="sq-AL"/>
        </w:rPr>
      </w:pPr>
      <w:bookmarkStart w:id="134" w:name="_Toc465870959"/>
      <w:bookmarkStart w:id="135" w:name="_Toc465950380"/>
      <w:bookmarkStart w:id="136" w:name="_Toc466295674"/>
      <w:bookmarkStart w:id="137" w:name="_Toc466445470"/>
      <w:r w:rsidRPr="00D73F43">
        <w:rPr>
          <w:rFonts w:eastAsia="Times New Roman"/>
          <w:noProof/>
          <w:lang w:val="sq-AL"/>
        </w:rPr>
        <w:t>Mundësohet përmirësimi i infrastrukturës sportive me ndërtime/rehabilitime të rreth 20 terreneve sportive/palestra të mbyllura në shkollat e arsimit bazë dhe të mesëm, pjesë e projekteve ndërtimore të infrastrukturës shkollore në arsimin parauniversitar.</w:t>
      </w:r>
      <w:bookmarkEnd w:id="134"/>
      <w:bookmarkEnd w:id="135"/>
      <w:bookmarkEnd w:id="136"/>
      <w:bookmarkEnd w:id="137"/>
    </w:p>
    <w:p w:rsidR="00B0121D" w:rsidRPr="00D73F43" w:rsidRDefault="00B0121D" w:rsidP="00534AA6">
      <w:pPr>
        <w:numPr>
          <w:ilvl w:val="0"/>
          <w:numId w:val="53"/>
        </w:numPr>
        <w:spacing w:before="120" w:after="120" w:line="276" w:lineRule="auto"/>
        <w:jc w:val="both"/>
        <w:outlineLvl w:val="1"/>
        <w:rPr>
          <w:rFonts w:eastAsia="Times New Roman"/>
          <w:noProof/>
          <w:lang w:val="sq-AL"/>
        </w:rPr>
      </w:pPr>
      <w:bookmarkStart w:id="138" w:name="_Toc465870960"/>
      <w:bookmarkStart w:id="139" w:name="_Toc465950381"/>
      <w:bookmarkStart w:id="140" w:name="_Toc466295675"/>
      <w:bookmarkStart w:id="141" w:name="_Toc466445471"/>
      <w:r w:rsidRPr="00D73F43">
        <w:rPr>
          <w:rFonts w:eastAsia="Times New Roman"/>
          <w:noProof/>
          <w:lang w:val="sq-AL"/>
        </w:rPr>
        <w:t>Do të vijojë faza e dytë e ndërtimit të Parkut Olimpik të Tiranës.</w:t>
      </w:r>
      <w:bookmarkEnd w:id="138"/>
      <w:bookmarkEnd w:id="139"/>
      <w:bookmarkEnd w:id="140"/>
      <w:bookmarkEnd w:id="141"/>
    </w:p>
    <w:p w:rsidR="00AD09A8" w:rsidRPr="00D73F43" w:rsidRDefault="00AD09A8" w:rsidP="00B0121D">
      <w:pPr>
        <w:ind w:left="792"/>
        <w:rPr>
          <w:b/>
          <w:lang w:val="sq-AL"/>
        </w:rPr>
      </w:pPr>
    </w:p>
    <w:p w:rsidR="00B0121D" w:rsidRPr="006D51B9" w:rsidRDefault="00C610A8" w:rsidP="00534AA6">
      <w:pPr>
        <w:pStyle w:val="Heading2"/>
        <w:numPr>
          <w:ilvl w:val="1"/>
          <w:numId w:val="161"/>
        </w:numPr>
        <w:rPr>
          <w:rFonts w:ascii="Times New Roman" w:hAnsi="Times New Roman"/>
          <w:i w:val="0"/>
        </w:rPr>
      </w:pPr>
      <w:r>
        <w:rPr>
          <w:rFonts w:ascii="Times New Roman" w:hAnsi="Times New Roman"/>
          <w:i w:val="0"/>
        </w:rPr>
        <w:t xml:space="preserve"> </w:t>
      </w:r>
      <w:bookmarkStart w:id="142" w:name="_Toc466445472"/>
      <w:r w:rsidR="00B0121D" w:rsidRPr="006D51B9">
        <w:rPr>
          <w:rFonts w:ascii="Times New Roman" w:hAnsi="Times New Roman"/>
          <w:i w:val="0"/>
        </w:rPr>
        <w:t>SHËNDETËSIA</w:t>
      </w:r>
      <w:bookmarkEnd w:id="142"/>
    </w:p>
    <w:p w:rsidR="00B0121D" w:rsidRPr="00D73F43" w:rsidRDefault="00B0121D" w:rsidP="00B0121D">
      <w:pPr>
        <w:rPr>
          <w:b/>
          <w:lang w:val="sq-AL"/>
        </w:rPr>
      </w:pPr>
    </w:p>
    <w:p w:rsidR="00B0121D" w:rsidRPr="00AD09A8" w:rsidRDefault="00AD09A8" w:rsidP="00B0121D">
      <w:pPr>
        <w:rPr>
          <w:rFonts w:eastAsia="MS Mincho"/>
          <w:b/>
          <w:noProof/>
          <w:szCs w:val="20"/>
          <w:lang w:val="sq-AL"/>
        </w:rPr>
      </w:pPr>
      <w:r w:rsidRPr="00AD09A8">
        <w:rPr>
          <w:rFonts w:eastAsia="MS Mincho"/>
          <w:b/>
          <w:noProof/>
          <w:szCs w:val="20"/>
          <w:lang w:val="sq-AL"/>
        </w:rPr>
        <w:t xml:space="preserve"> 4.2.1 Situata e sektorit në 2013</w:t>
      </w:r>
    </w:p>
    <w:p w:rsidR="00B0121D" w:rsidRPr="00D73F43" w:rsidRDefault="00B0121D" w:rsidP="00B0121D">
      <w:pPr>
        <w:rPr>
          <w:rFonts w:eastAsia="MS Mincho"/>
          <w:b/>
          <w:noProof/>
          <w:szCs w:val="20"/>
          <w:u w:val="single"/>
          <w:lang w:val="sq-AL"/>
        </w:rPr>
      </w:pPr>
    </w:p>
    <w:p w:rsidR="00B0121D" w:rsidRPr="00D73F43" w:rsidRDefault="00B0121D" w:rsidP="00534AA6">
      <w:pPr>
        <w:numPr>
          <w:ilvl w:val="0"/>
          <w:numId w:val="48"/>
        </w:numPr>
        <w:spacing w:line="276" w:lineRule="auto"/>
        <w:jc w:val="both"/>
        <w:rPr>
          <w:lang w:val="sq-AL"/>
        </w:rPr>
      </w:pPr>
      <w:r w:rsidRPr="00D73F43">
        <w:rPr>
          <w:lang w:val="sq-AL"/>
        </w:rPr>
        <w:t>Në vitin 2013, 600 mijë vetë të pasiguruar duhet të paguanin nga xhepi i tyre për çdo nevojë kujdesi shëndetësor.</w:t>
      </w:r>
    </w:p>
    <w:p w:rsidR="00B0121D" w:rsidRPr="00D73F43" w:rsidRDefault="00B0121D" w:rsidP="00534AA6">
      <w:pPr>
        <w:numPr>
          <w:ilvl w:val="0"/>
          <w:numId w:val="48"/>
        </w:numPr>
        <w:spacing w:line="276" w:lineRule="auto"/>
        <w:jc w:val="both"/>
        <w:rPr>
          <w:lang w:val="sq-AL"/>
        </w:rPr>
      </w:pPr>
      <w:r w:rsidRPr="00D73F43">
        <w:rPr>
          <w:lang w:val="sq-AL"/>
        </w:rPr>
        <w:t>Financimi publik i shëndetësisë mbulonte vetëm 43 % të shpenzimeve të shqiptarëve për shëndetin.</w:t>
      </w:r>
    </w:p>
    <w:p w:rsidR="00B0121D" w:rsidRPr="00D73F43" w:rsidRDefault="00B0121D" w:rsidP="00534AA6">
      <w:pPr>
        <w:numPr>
          <w:ilvl w:val="0"/>
          <w:numId w:val="48"/>
        </w:numPr>
        <w:spacing w:line="276" w:lineRule="auto"/>
        <w:jc w:val="both"/>
        <w:rPr>
          <w:lang w:val="sq-AL"/>
        </w:rPr>
      </w:pPr>
      <w:r w:rsidRPr="00D73F43">
        <w:rPr>
          <w:lang w:val="sq-AL"/>
        </w:rPr>
        <w:t>Për barnat dhe shërbimet mjekësore aplikohej Tatim mbi Vlerën e Shtuar në masën10%.</w:t>
      </w:r>
    </w:p>
    <w:p w:rsidR="00B0121D" w:rsidRPr="00D73F43" w:rsidRDefault="00B0121D" w:rsidP="00534AA6">
      <w:pPr>
        <w:numPr>
          <w:ilvl w:val="0"/>
          <w:numId w:val="48"/>
        </w:numPr>
        <w:spacing w:line="276" w:lineRule="auto"/>
        <w:jc w:val="both"/>
        <w:rPr>
          <w:lang w:val="sq-AL"/>
        </w:rPr>
      </w:pPr>
      <w:r w:rsidRPr="00D73F43">
        <w:rPr>
          <w:lang w:val="sq-AL"/>
        </w:rPr>
        <w:t xml:space="preserve"> </w:t>
      </w:r>
      <w:r w:rsidR="00B97DC1">
        <w:rPr>
          <w:lang w:val="sq-AL"/>
        </w:rPr>
        <w:t>Çmimet e barnave të importuara</w:t>
      </w:r>
      <w:r w:rsidRPr="00D73F43">
        <w:rPr>
          <w:lang w:val="sq-AL"/>
        </w:rPr>
        <w:t>, në Shqipëri ishin ndjëshëm më larta se  në vendet e origjinës.</w:t>
      </w:r>
    </w:p>
    <w:p w:rsidR="00B0121D" w:rsidRPr="00D73F43" w:rsidRDefault="00B0121D" w:rsidP="00534AA6">
      <w:pPr>
        <w:numPr>
          <w:ilvl w:val="0"/>
          <w:numId w:val="48"/>
        </w:numPr>
        <w:spacing w:line="276" w:lineRule="auto"/>
        <w:jc w:val="both"/>
        <w:rPr>
          <w:lang w:val="sq-AL"/>
        </w:rPr>
      </w:pPr>
      <w:r w:rsidRPr="00D73F43">
        <w:rPr>
          <w:lang w:val="sq-AL"/>
        </w:rPr>
        <w:t>Rradhë të gjata pritjeje për ekzaminime të rëndësishme shëndetësore.</w:t>
      </w:r>
    </w:p>
    <w:p w:rsidR="00B0121D" w:rsidRPr="00D73F43" w:rsidRDefault="00B0121D" w:rsidP="00534AA6">
      <w:pPr>
        <w:numPr>
          <w:ilvl w:val="0"/>
          <w:numId w:val="48"/>
        </w:numPr>
        <w:spacing w:line="276" w:lineRule="auto"/>
        <w:jc w:val="both"/>
        <w:rPr>
          <w:lang w:val="sq-AL"/>
        </w:rPr>
      </w:pPr>
      <w:r w:rsidRPr="00D73F43">
        <w:rPr>
          <w:lang w:val="sq-AL"/>
        </w:rPr>
        <w:t>6 muaj pritje për angiografi koronare.</w:t>
      </w:r>
    </w:p>
    <w:p w:rsidR="00B0121D" w:rsidRPr="00D73F43" w:rsidRDefault="00B0121D" w:rsidP="00534AA6">
      <w:pPr>
        <w:numPr>
          <w:ilvl w:val="0"/>
          <w:numId w:val="48"/>
        </w:numPr>
        <w:spacing w:line="276" w:lineRule="auto"/>
        <w:jc w:val="both"/>
        <w:rPr>
          <w:lang w:val="sq-AL"/>
        </w:rPr>
      </w:pPr>
      <w:r w:rsidRPr="00D73F43">
        <w:rPr>
          <w:lang w:val="sq-AL"/>
        </w:rPr>
        <w:t>6 muaj pritje për provën e ngarkesës së zemrës.</w:t>
      </w:r>
    </w:p>
    <w:p w:rsidR="00B0121D" w:rsidRPr="00D73F43" w:rsidRDefault="00B0121D" w:rsidP="00534AA6">
      <w:pPr>
        <w:numPr>
          <w:ilvl w:val="0"/>
          <w:numId w:val="48"/>
        </w:numPr>
        <w:spacing w:line="276" w:lineRule="auto"/>
        <w:jc w:val="both"/>
        <w:rPr>
          <w:lang w:val="sq-AL"/>
        </w:rPr>
      </w:pPr>
      <w:r w:rsidRPr="00D73F43">
        <w:rPr>
          <w:lang w:val="sq-AL"/>
        </w:rPr>
        <w:t>3 muaj pritje për rezonancë magnetike.</w:t>
      </w:r>
    </w:p>
    <w:p w:rsidR="00B0121D" w:rsidRPr="00D73F43" w:rsidRDefault="00B0121D" w:rsidP="00534AA6">
      <w:pPr>
        <w:numPr>
          <w:ilvl w:val="0"/>
          <w:numId w:val="48"/>
        </w:numPr>
        <w:spacing w:line="276" w:lineRule="auto"/>
        <w:jc w:val="both"/>
        <w:rPr>
          <w:lang w:val="sq-AL"/>
        </w:rPr>
      </w:pPr>
      <w:r w:rsidRPr="00D73F43">
        <w:rPr>
          <w:lang w:val="sq-AL"/>
        </w:rPr>
        <w:t>2 muaj pritje për skaner.</w:t>
      </w:r>
    </w:p>
    <w:p w:rsidR="00B0121D" w:rsidRPr="00D73F43" w:rsidRDefault="00B0121D" w:rsidP="00534AA6">
      <w:pPr>
        <w:numPr>
          <w:ilvl w:val="0"/>
          <w:numId w:val="48"/>
        </w:numPr>
        <w:spacing w:line="276" w:lineRule="auto"/>
        <w:jc w:val="both"/>
        <w:rPr>
          <w:lang w:val="sq-AL"/>
        </w:rPr>
      </w:pPr>
      <w:r w:rsidRPr="00D73F43">
        <w:rPr>
          <w:lang w:val="sq-AL"/>
        </w:rPr>
        <w:t>Në spitale mungonin barnat dhe materialet mjekësore.</w:t>
      </w:r>
    </w:p>
    <w:p w:rsidR="00B0121D" w:rsidRPr="00D73F43" w:rsidRDefault="00B0121D" w:rsidP="00534AA6">
      <w:pPr>
        <w:numPr>
          <w:ilvl w:val="0"/>
          <w:numId w:val="48"/>
        </w:numPr>
        <w:spacing w:line="276" w:lineRule="auto"/>
        <w:jc w:val="both"/>
        <w:rPr>
          <w:lang w:val="sq-AL"/>
        </w:rPr>
      </w:pPr>
      <w:r w:rsidRPr="00D73F43">
        <w:rPr>
          <w:lang w:val="sq-AL"/>
        </w:rPr>
        <w:t xml:space="preserve">Jeta e pacientëve cënohej nga inventari i vjetëruar i instrumentave kirurgjikal, si edhe nga autoklavat  e amortizuara. </w:t>
      </w:r>
    </w:p>
    <w:p w:rsidR="00B0121D" w:rsidRPr="00D73F43" w:rsidRDefault="00B0121D" w:rsidP="00534AA6">
      <w:pPr>
        <w:numPr>
          <w:ilvl w:val="0"/>
          <w:numId w:val="48"/>
        </w:numPr>
        <w:spacing w:line="276" w:lineRule="auto"/>
        <w:jc w:val="both"/>
        <w:rPr>
          <w:lang w:val="sq-AL"/>
        </w:rPr>
      </w:pPr>
      <w:r w:rsidRPr="00D73F43">
        <w:rPr>
          <w:lang w:val="sq-AL"/>
        </w:rPr>
        <w:t>Pajisjet mjekësore nuk funksio</w:t>
      </w:r>
      <w:r w:rsidR="00EE691D">
        <w:rPr>
          <w:lang w:val="sq-AL"/>
        </w:rPr>
        <w:t>nonin, sepse nuk mirëmbaheshin.</w:t>
      </w:r>
    </w:p>
    <w:p w:rsidR="00B0121D" w:rsidRPr="00D73F43" w:rsidRDefault="00B0121D" w:rsidP="00534AA6">
      <w:pPr>
        <w:numPr>
          <w:ilvl w:val="0"/>
          <w:numId w:val="48"/>
        </w:numPr>
        <w:spacing w:line="276" w:lineRule="auto"/>
        <w:jc w:val="both"/>
        <w:rPr>
          <w:lang w:val="sq-AL"/>
        </w:rPr>
      </w:pPr>
      <w:r w:rsidRPr="00D73F43">
        <w:rPr>
          <w:lang w:val="sq-AL"/>
        </w:rPr>
        <w:lastRenderedPageBreak/>
        <w:t>Shërbimi i urgjencës ishte shumë i ngadaltë dhe  kaotik.</w:t>
      </w:r>
    </w:p>
    <w:p w:rsidR="00B0121D" w:rsidRPr="00D73F43" w:rsidRDefault="00B0121D" w:rsidP="00534AA6">
      <w:pPr>
        <w:numPr>
          <w:ilvl w:val="0"/>
          <w:numId w:val="48"/>
        </w:numPr>
        <w:spacing w:line="276" w:lineRule="auto"/>
        <w:jc w:val="both"/>
        <w:rPr>
          <w:lang w:val="sq-AL"/>
        </w:rPr>
      </w:pPr>
      <w:r w:rsidRPr="00D73F43">
        <w:rPr>
          <w:lang w:val="sq-AL"/>
        </w:rPr>
        <w:t xml:space="preserve">Nuk ofrohej urgjenca kardiake 24/7 </w:t>
      </w:r>
    </w:p>
    <w:p w:rsidR="00B0121D" w:rsidRPr="00D73F43" w:rsidRDefault="00B0121D" w:rsidP="00534AA6">
      <w:pPr>
        <w:numPr>
          <w:ilvl w:val="0"/>
          <w:numId w:val="48"/>
        </w:numPr>
        <w:spacing w:line="276" w:lineRule="auto"/>
        <w:jc w:val="both"/>
        <w:rPr>
          <w:lang w:val="sq-AL"/>
        </w:rPr>
      </w:pPr>
      <w:r w:rsidRPr="00D73F43">
        <w:rPr>
          <w:lang w:val="sq-AL"/>
        </w:rPr>
        <w:t xml:space="preserve">Nuk ofrohej urgjencë vaskulare-cerebrale 24/7 </w:t>
      </w:r>
    </w:p>
    <w:p w:rsidR="00B0121D" w:rsidRPr="00D73F43" w:rsidRDefault="00B0121D" w:rsidP="00534AA6">
      <w:pPr>
        <w:numPr>
          <w:ilvl w:val="0"/>
          <w:numId w:val="48"/>
        </w:numPr>
        <w:spacing w:line="276" w:lineRule="auto"/>
        <w:jc w:val="both"/>
        <w:rPr>
          <w:lang w:val="sq-AL"/>
        </w:rPr>
      </w:pPr>
      <w:r w:rsidRPr="00D73F43">
        <w:rPr>
          <w:lang w:val="sq-AL"/>
        </w:rPr>
        <w:t>Pacientët që kishin nevojë për proteza ortopedike duhet t’i blenin vetë.</w:t>
      </w:r>
    </w:p>
    <w:p w:rsidR="00B0121D" w:rsidRPr="00D73F43" w:rsidRDefault="00B0121D" w:rsidP="00534AA6">
      <w:pPr>
        <w:numPr>
          <w:ilvl w:val="0"/>
          <w:numId w:val="48"/>
        </w:numPr>
        <w:spacing w:line="276" w:lineRule="auto"/>
        <w:jc w:val="both"/>
        <w:rPr>
          <w:lang w:val="sq-AL"/>
        </w:rPr>
      </w:pPr>
      <w:r w:rsidRPr="00D73F43">
        <w:rPr>
          <w:lang w:val="sq-AL"/>
        </w:rPr>
        <w:t>Pacientët në nevojë për transplant veshke, pasi gjenin dhuruesduhet të paguanin shpenzimet e operacionit nga xhepi i tyre.</w:t>
      </w:r>
    </w:p>
    <w:p w:rsidR="00B0121D" w:rsidRPr="00D73F43" w:rsidRDefault="00B0121D" w:rsidP="00534AA6">
      <w:pPr>
        <w:numPr>
          <w:ilvl w:val="0"/>
          <w:numId w:val="48"/>
        </w:numPr>
        <w:spacing w:line="276" w:lineRule="auto"/>
        <w:jc w:val="both"/>
        <w:rPr>
          <w:lang w:val="sq-AL"/>
        </w:rPr>
      </w:pPr>
      <w:r w:rsidRPr="00D73F43">
        <w:rPr>
          <w:lang w:val="sq-AL"/>
        </w:rPr>
        <w:t>Shërbimi i hemodializës ofrohej larg vendbanimit dhe pacientët duhet të prisnin deri në orët  e vona të natës.</w:t>
      </w:r>
    </w:p>
    <w:p w:rsidR="00B0121D" w:rsidRPr="00D73F43" w:rsidRDefault="00B0121D" w:rsidP="00534AA6">
      <w:pPr>
        <w:numPr>
          <w:ilvl w:val="0"/>
          <w:numId w:val="48"/>
        </w:numPr>
        <w:spacing w:line="276" w:lineRule="auto"/>
        <w:jc w:val="both"/>
        <w:rPr>
          <w:lang w:val="sq-AL"/>
        </w:rPr>
      </w:pPr>
      <w:r w:rsidRPr="00D73F43">
        <w:rPr>
          <w:lang w:val="sq-AL"/>
        </w:rPr>
        <w:t>Ministria i detyrohej 4 miliardë lekë borxhe furnitorëve të barnave dhe materialeve mjekësore.</w:t>
      </w:r>
    </w:p>
    <w:p w:rsidR="00B0121D" w:rsidRPr="00D73F43" w:rsidRDefault="00B0121D" w:rsidP="00534AA6">
      <w:pPr>
        <w:numPr>
          <w:ilvl w:val="0"/>
          <w:numId w:val="48"/>
        </w:numPr>
        <w:spacing w:line="276" w:lineRule="auto"/>
        <w:jc w:val="both"/>
        <w:rPr>
          <w:lang w:val="sq-AL"/>
        </w:rPr>
      </w:pPr>
      <w:r w:rsidRPr="00D73F43">
        <w:rPr>
          <w:lang w:val="sq-AL"/>
        </w:rPr>
        <w:t xml:space="preserve">Taksa e sheshtë kishte rezultuar në uljen e pagës reale të mjekëve dhe infermierëve.  </w:t>
      </w:r>
    </w:p>
    <w:p w:rsidR="00B0121D" w:rsidRPr="00D73F43" w:rsidRDefault="00B0121D" w:rsidP="00B0121D">
      <w:pPr>
        <w:ind w:left="432"/>
        <w:rPr>
          <w:b/>
          <w:lang w:val="sq-AL"/>
        </w:rPr>
      </w:pPr>
    </w:p>
    <w:p w:rsidR="00B0121D" w:rsidRPr="00D73F43" w:rsidRDefault="00B0121D" w:rsidP="00B0121D">
      <w:pPr>
        <w:ind w:left="432"/>
        <w:rPr>
          <w:b/>
          <w:lang w:val="sq-AL"/>
        </w:rPr>
      </w:pPr>
    </w:p>
    <w:p w:rsidR="00B0121D" w:rsidRPr="00D73F43" w:rsidRDefault="00642658" w:rsidP="00B0121D">
      <w:pPr>
        <w:rPr>
          <w:b/>
          <w:lang w:val="sq-AL"/>
        </w:rPr>
      </w:pPr>
      <w:r>
        <w:rPr>
          <w:b/>
          <w:lang w:val="sq-AL"/>
        </w:rPr>
        <w:t>4</w:t>
      </w:r>
      <w:r w:rsidR="00B0121D" w:rsidRPr="00D73F43">
        <w:rPr>
          <w:b/>
          <w:lang w:val="sq-AL"/>
        </w:rPr>
        <w:t>.2.2 Reformat e ndërmarra 2013-2016</w:t>
      </w:r>
    </w:p>
    <w:p w:rsidR="00B0121D" w:rsidRPr="00D73F43" w:rsidRDefault="00B0121D" w:rsidP="00B0121D">
      <w:pPr>
        <w:rPr>
          <w:b/>
          <w:lang w:val="sq-AL"/>
        </w:rPr>
      </w:pPr>
    </w:p>
    <w:p w:rsidR="00B0121D" w:rsidRPr="00D73F43" w:rsidRDefault="00B0121D" w:rsidP="00534AA6">
      <w:pPr>
        <w:numPr>
          <w:ilvl w:val="0"/>
          <w:numId w:val="54"/>
        </w:numPr>
        <w:spacing w:line="276" w:lineRule="auto"/>
        <w:jc w:val="both"/>
        <w:rPr>
          <w:lang w:val="sq-AL"/>
        </w:rPr>
      </w:pPr>
      <w:r w:rsidRPr="00D73F43">
        <w:rPr>
          <w:lang w:val="sq-AL"/>
        </w:rPr>
        <w:t xml:space="preserve">Financimi publik i shëndetësisë mbulon aktualisht 55% të shpenzimeve të shqiptarëve për shëndetin, 12% më shumë. </w:t>
      </w:r>
    </w:p>
    <w:p w:rsidR="00B0121D" w:rsidRPr="00D73F43" w:rsidRDefault="00B0121D" w:rsidP="00534AA6">
      <w:pPr>
        <w:numPr>
          <w:ilvl w:val="0"/>
          <w:numId w:val="54"/>
        </w:numPr>
        <w:spacing w:line="276" w:lineRule="auto"/>
        <w:jc w:val="both"/>
        <w:rPr>
          <w:lang w:val="sq-AL"/>
        </w:rPr>
      </w:pPr>
      <w:r w:rsidRPr="00D73F43">
        <w:rPr>
          <w:lang w:val="sq-AL"/>
        </w:rPr>
        <w:t>Është hequr Tatimi mbi Vlerën e Shtuar (TVSH) për barnat dhe materialet mjekësore.</w:t>
      </w:r>
    </w:p>
    <w:p w:rsidR="00B0121D" w:rsidRPr="00D73F43" w:rsidRDefault="00B0121D" w:rsidP="00534AA6">
      <w:pPr>
        <w:numPr>
          <w:ilvl w:val="0"/>
          <w:numId w:val="54"/>
        </w:numPr>
        <w:spacing w:line="276" w:lineRule="auto"/>
        <w:jc w:val="both"/>
        <w:rPr>
          <w:lang w:val="sq-AL"/>
        </w:rPr>
      </w:pPr>
      <w:r w:rsidRPr="00D73F43">
        <w:rPr>
          <w:lang w:val="sq-AL"/>
        </w:rPr>
        <w:t>Çmimet e barnave janë ulur ndjeshëm me rreth 30%.</w:t>
      </w:r>
    </w:p>
    <w:p w:rsidR="00B0121D" w:rsidRPr="00D73F43" w:rsidRDefault="00B0121D" w:rsidP="00534AA6">
      <w:pPr>
        <w:numPr>
          <w:ilvl w:val="0"/>
          <w:numId w:val="54"/>
        </w:numPr>
        <w:spacing w:line="276" w:lineRule="auto"/>
        <w:jc w:val="both"/>
        <w:rPr>
          <w:lang w:val="sq-AL"/>
        </w:rPr>
      </w:pPr>
      <w:r w:rsidRPr="00D73F43">
        <w:rPr>
          <w:lang w:val="sq-AL"/>
        </w:rPr>
        <w:t>Rradha e pritjes për ekzaminime të rëndësishme është ulur në:</w:t>
      </w:r>
    </w:p>
    <w:p w:rsidR="00B0121D" w:rsidRPr="00D73F43" w:rsidRDefault="00B0121D" w:rsidP="00534AA6">
      <w:pPr>
        <w:numPr>
          <w:ilvl w:val="0"/>
          <w:numId w:val="103"/>
        </w:numPr>
        <w:spacing w:line="276" w:lineRule="auto"/>
        <w:jc w:val="both"/>
        <w:rPr>
          <w:lang w:val="sq-AL"/>
        </w:rPr>
      </w:pPr>
      <w:r w:rsidRPr="00D73F43">
        <w:rPr>
          <w:lang w:val="sq-AL"/>
        </w:rPr>
        <w:t>2 javë për angiografi koronare;</w:t>
      </w:r>
    </w:p>
    <w:p w:rsidR="00B0121D" w:rsidRPr="00D73F43" w:rsidRDefault="00B0121D" w:rsidP="00534AA6">
      <w:pPr>
        <w:numPr>
          <w:ilvl w:val="0"/>
          <w:numId w:val="103"/>
        </w:numPr>
        <w:spacing w:line="276" w:lineRule="auto"/>
        <w:jc w:val="both"/>
        <w:rPr>
          <w:lang w:val="sq-AL"/>
        </w:rPr>
      </w:pPr>
      <w:r w:rsidRPr="00D73F43">
        <w:rPr>
          <w:lang w:val="sq-AL"/>
        </w:rPr>
        <w:t>2 javë për provën e ngarkesës së zemrës;</w:t>
      </w:r>
    </w:p>
    <w:p w:rsidR="00B0121D" w:rsidRPr="00D73F43" w:rsidRDefault="00B0121D" w:rsidP="00534AA6">
      <w:pPr>
        <w:numPr>
          <w:ilvl w:val="0"/>
          <w:numId w:val="103"/>
        </w:numPr>
        <w:spacing w:line="276" w:lineRule="auto"/>
        <w:jc w:val="both"/>
        <w:rPr>
          <w:lang w:val="sq-AL"/>
        </w:rPr>
      </w:pPr>
      <w:r w:rsidRPr="00D73F43">
        <w:rPr>
          <w:lang w:val="sq-AL"/>
        </w:rPr>
        <w:t>1 muaj për rezonancë magnetike;</w:t>
      </w:r>
    </w:p>
    <w:p w:rsidR="00B0121D" w:rsidRPr="00D73F43" w:rsidRDefault="00B0121D" w:rsidP="00534AA6">
      <w:pPr>
        <w:numPr>
          <w:ilvl w:val="0"/>
          <w:numId w:val="103"/>
        </w:numPr>
        <w:spacing w:line="276" w:lineRule="auto"/>
        <w:jc w:val="both"/>
        <w:rPr>
          <w:lang w:val="sq-AL"/>
        </w:rPr>
      </w:pPr>
      <w:r w:rsidRPr="00D73F43">
        <w:rPr>
          <w:lang w:val="sq-AL"/>
        </w:rPr>
        <w:t>2 javë për skaner.</w:t>
      </w:r>
    </w:p>
    <w:p w:rsidR="00B0121D" w:rsidRPr="00D73F43" w:rsidRDefault="00B0121D" w:rsidP="00534AA6">
      <w:pPr>
        <w:numPr>
          <w:ilvl w:val="0"/>
          <w:numId w:val="55"/>
        </w:numPr>
        <w:spacing w:line="276" w:lineRule="auto"/>
        <w:jc w:val="both"/>
        <w:rPr>
          <w:lang w:val="sq-AL"/>
        </w:rPr>
      </w:pPr>
      <w:r w:rsidRPr="00D73F43">
        <w:rPr>
          <w:lang w:val="sq-AL"/>
        </w:rPr>
        <w:t xml:space="preserve">Shërbimi i Urgjencës Mjekësore është rithemeluar duke përqendruar komandën dhe dekoncentruar vendndodhjen e flotës së autoambulancave në territor:   </w:t>
      </w:r>
    </w:p>
    <w:p w:rsidR="00B0121D" w:rsidRPr="00D73F43" w:rsidRDefault="00B0121D" w:rsidP="00534AA6">
      <w:pPr>
        <w:numPr>
          <w:ilvl w:val="0"/>
          <w:numId w:val="103"/>
        </w:numPr>
        <w:spacing w:line="276" w:lineRule="auto"/>
        <w:jc w:val="both"/>
        <w:rPr>
          <w:lang w:val="sq-AL"/>
        </w:rPr>
      </w:pPr>
      <w:r w:rsidRPr="00D73F43">
        <w:rPr>
          <w:lang w:val="sq-AL"/>
        </w:rPr>
        <w:t>Janë shtuar 20 autoambulanca dhe 1 helikopter mjekësor;</w:t>
      </w:r>
    </w:p>
    <w:p w:rsidR="00B0121D" w:rsidRPr="00D73F43" w:rsidRDefault="00B0121D" w:rsidP="00534AA6">
      <w:pPr>
        <w:numPr>
          <w:ilvl w:val="0"/>
          <w:numId w:val="103"/>
        </w:numPr>
        <w:spacing w:line="276" w:lineRule="auto"/>
        <w:jc w:val="both"/>
        <w:rPr>
          <w:lang w:val="sq-AL"/>
        </w:rPr>
      </w:pPr>
      <w:r w:rsidRPr="00D73F43">
        <w:rPr>
          <w:lang w:val="sq-AL"/>
        </w:rPr>
        <w:t xml:space="preserve">Është ngritur Qendra Kombëtare e Urgjencës Mjekësore dhe po punohet për vënien në punë të sistemit të komandës dhe kontrollit; </w:t>
      </w:r>
    </w:p>
    <w:p w:rsidR="00B0121D" w:rsidRPr="00D73F43" w:rsidRDefault="00B0121D" w:rsidP="00534AA6">
      <w:pPr>
        <w:numPr>
          <w:ilvl w:val="0"/>
          <w:numId w:val="103"/>
        </w:numPr>
        <w:spacing w:line="276" w:lineRule="auto"/>
        <w:jc w:val="both"/>
        <w:rPr>
          <w:lang w:val="sq-AL"/>
        </w:rPr>
      </w:pPr>
      <w:r w:rsidRPr="00D73F43">
        <w:rPr>
          <w:lang w:val="sq-AL"/>
        </w:rPr>
        <w:t xml:space="preserve">Janë hapur 25 qendra shëndetësore 24/7 në mbështetje të sezonit turistik veror; </w:t>
      </w:r>
    </w:p>
    <w:p w:rsidR="00B0121D" w:rsidRPr="00D73F43" w:rsidRDefault="00B0121D" w:rsidP="00534AA6">
      <w:pPr>
        <w:numPr>
          <w:ilvl w:val="0"/>
          <w:numId w:val="103"/>
        </w:numPr>
        <w:spacing w:line="276" w:lineRule="auto"/>
        <w:jc w:val="both"/>
        <w:rPr>
          <w:lang w:val="sq-AL"/>
        </w:rPr>
      </w:pPr>
      <w:r w:rsidRPr="00D73F43">
        <w:rPr>
          <w:lang w:val="sq-AL"/>
        </w:rPr>
        <w:t xml:space="preserve">Funksionon urgjenca kardiake 24 orëshe dhe në pranverë 2017 do të  vihet në funksion urgjenca vaskulare-cerebrale 24 orëshe; </w:t>
      </w:r>
    </w:p>
    <w:p w:rsidR="00B0121D" w:rsidRPr="00D73F43" w:rsidRDefault="00B0121D" w:rsidP="00534AA6">
      <w:pPr>
        <w:numPr>
          <w:ilvl w:val="0"/>
          <w:numId w:val="103"/>
        </w:numPr>
        <w:spacing w:line="276" w:lineRule="auto"/>
        <w:jc w:val="both"/>
        <w:rPr>
          <w:lang w:val="sq-AL"/>
        </w:rPr>
      </w:pPr>
      <w:r w:rsidRPr="00D73F43">
        <w:rPr>
          <w:lang w:val="sq-AL"/>
        </w:rPr>
        <w:t>Është zëvendësuar Libreza e shëndetit me Kartën e Shëndetit, ndërsa receta është kthyer nga 1-mujore në 2-mujore.</w:t>
      </w:r>
    </w:p>
    <w:p w:rsidR="00B0121D" w:rsidRPr="00D73F43" w:rsidRDefault="00B0121D" w:rsidP="00534AA6">
      <w:pPr>
        <w:numPr>
          <w:ilvl w:val="0"/>
          <w:numId w:val="55"/>
        </w:numPr>
        <w:spacing w:line="276" w:lineRule="auto"/>
        <w:jc w:val="both"/>
        <w:rPr>
          <w:lang w:val="sq-AL"/>
        </w:rPr>
      </w:pPr>
      <w:r w:rsidRPr="00D73F43">
        <w:rPr>
          <w:lang w:val="sq-AL"/>
        </w:rPr>
        <w:t>Po zbatohet dosja elektronike e shëndetit, receta elektronike, referimi elektronik i pacientëve dhe nënshkrimi elektronik i profesionistëve të shëndetësisë.</w:t>
      </w:r>
    </w:p>
    <w:p w:rsidR="00B0121D" w:rsidRPr="00D73F43" w:rsidRDefault="00B0121D" w:rsidP="00534AA6">
      <w:pPr>
        <w:numPr>
          <w:ilvl w:val="0"/>
          <w:numId w:val="55"/>
        </w:numPr>
        <w:spacing w:line="276" w:lineRule="auto"/>
        <w:jc w:val="both"/>
        <w:rPr>
          <w:lang w:val="sq-AL"/>
        </w:rPr>
      </w:pPr>
      <w:r w:rsidRPr="00D73F43">
        <w:rPr>
          <w:lang w:val="sq-AL"/>
        </w:rPr>
        <w:t>Janë vendosur dy njësi moderne të radioterapisë për të përmirësuar kujdesin për të sëmurët me kancer.</w:t>
      </w:r>
    </w:p>
    <w:p w:rsidR="00B0121D" w:rsidRPr="00D73F43" w:rsidRDefault="00B0121D" w:rsidP="00534AA6">
      <w:pPr>
        <w:numPr>
          <w:ilvl w:val="0"/>
          <w:numId w:val="55"/>
        </w:numPr>
        <w:spacing w:line="276" w:lineRule="auto"/>
        <w:jc w:val="both"/>
        <w:rPr>
          <w:lang w:val="sq-AL"/>
        </w:rPr>
      </w:pPr>
      <w:r w:rsidRPr="00D73F43">
        <w:rPr>
          <w:lang w:val="sq-AL"/>
        </w:rPr>
        <w:t>Janë hapur 14 kabinete kardiologjie dhe 6 kabinete diabeti.</w:t>
      </w:r>
    </w:p>
    <w:p w:rsidR="00B0121D" w:rsidRPr="00D73F43" w:rsidRDefault="00B0121D" w:rsidP="00534AA6">
      <w:pPr>
        <w:numPr>
          <w:ilvl w:val="0"/>
          <w:numId w:val="55"/>
        </w:numPr>
        <w:spacing w:line="276" w:lineRule="auto"/>
        <w:jc w:val="both"/>
        <w:rPr>
          <w:lang w:val="sq-AL"/>
        </w:rPr>
      </w:pPr>
      <w:r w:rsidRPr="00D73F43">
        <w:rPr>
          <w:lang w:val="sq-AL"/>
        </w:rPr>
        <w:t>Janë hapur disa qendra të reja të shërbimit të dializës, duke shmangur udhëtimet e përjavshme të pacientëve dhe marrjen e shërbimit në orët e vona të mbrëmjes.</w:t>
      </w:r>
    </w:p>
    <w:p w:rsidR="00B0121D" w:rsidRPr="00D73F43" w:rsidRDefault="00B0121D" w:rsidP="00534AA6">
      <w:pPr>
        <w:numPr>
          <w:ilvl w:val="0"/>
          <w:numId w:val="55"/>
        </w:numPr>
        <w:spacing w:line="276" w:lineRule="auto"/>
        <w:jc w:val="both"/>
        <w:rPr>
          <w:lang w:val="sq-AL"/>
        </w:rPr>
      </w:pPr>
      <w:r w:rsidRPr="00D73F43">
        <w:rPr>
          <w:lang w:val="sq-AL"/>
        </w:rPr>
        <w:t>Mundësohet furnizimi falas i protezave ortopedike në spitalet universitare dhe rajonale.</w:t>
      </w:r>
    </w:p>
    <w:p w:rsidR="00B0121D" w:rsidRPr="00D73F43" w:rsidRDefault="00B0121D" w:rsidP="00534AA6">
      <w:pPr>
        <w:numPr>
          <w:ilvl w:val="0"/>
          <w:numId w:val="55"/>
        </w:numPr>
        <w:spacing w:line="276" w:lineRule="auto"/>
        <w:jc w:val="both"/>
        <w:rPr>
          <w:lang w:val="sq-AL"/>
        </w:rPr>
      </w:pPr>
      <w:r w:rsidRPr="00D73F43">
        <w:rPr>
          <w:lang w:val="sq-AL"/>
        </w:rPr>
        <w:t>Lista e barnave të rimbursueshme është zgjeruar me 81 principe të reja aktive dhe 141 alternativa të reja.</w:t>
      </w:r>
    </w:p>
    <w:p w:rsidR="00B0121D" w:rsidRPr="00D73F43" w:rsidRDefault="00B0121D" w:rsidP="00B0121D">
      <w:pPr>
        <w:rPr>
          <w:b/>
          <w:lang w:val="sq-AL"/>
        </w:rPr>
      </w:pPr>
    </w:p>
    <w:p w:rsidR="00B0121D" w:rsidRPr="00D73F43" w:rsidRDefault="00642658" w:rsidP="00B0121D">
      <w:pPr>
        <w:rPr>
          <w:b/>
          <w:lang w:val="sq-AL"/>
        </w:rPr>
      </w:pPr>
      <w:r>
        <w:rPr>
          <w:b/>
          <w:lang w:val="sq-AL"/>
        </w:rPr>
        <w:t>4.</w:t>
      </w:r>
      <w:r w:rsidR="00B0121D" w:rsidRPr="00D73F43">
        <w:rPr>
          <w:b/>
          <w:lang w:val="sq-AL"/>
        </w:rPr>
        <w:t>2.3 Prioritetet e projekt-buxhetit 2017</w:t>
      </w:r>
    </w:p>
    <w:p w:rsidR="00B0121D" w:rsidRPr="00D73F43" w:rsidRDefault="00B0121D" w:rsidP="00B0121D">
      <w:pPr>
        <w:rPr>
          <w:b/>
          <w:lang w:val="sq-AL"/>
        </w:rPr>
      </w:pPr>
    </w:p>
    <w:p w:rsidR="00B0121D" w:rsidRPr="00D73F43" w:rsidRDefault="00B0121D" w:rsidP="00534AA6">
      <w:pPr>
        <w:numPr>
          <w:ilvl w:val="0"/>
          <w:numId w:val="56"/>
        </w:numPr>
        <w:spacing w:line="276" w:lineRule="auto"/>
        <w:rPr>
          <w:lang w:val="sq-AL"/>
        </w:rPr>
      </w:pPr>
      <w:r w:rsidRPr="00D73F43">
        <w:rPr>
          <w:lang w:val="sq-AL"/>
        </w:rPr>
        <w:lastRenderedPageBreak/>
        <w:t>Në vitin 2017, financimi publik për shëndetësinë parashikohet të jetë rreth 2,9 % e PBB-së, ndër nivelet më të larta të financimit në 25 vjet.</w:t>
      </w:r>
    </w:p>
    <w:p w:rsidR="00B0121D" w:rsidRPr="00D73F43" w:rsidRDefault="00B0121D" w:rsidP="00534AA6">
      <w:pPr>
        <w:numPr>
          <w:ilvl w:val="0"/>
          <w:numId w:val="56"/>
        </w:numPr>
        <w:spacing w:line="276" w:lineRule="auto"/>
        <w:rPr>
          <w:lang w:val="sq-AL"/>
        </w:rPr>
      </w:pPr>
      <w:r w:rsidRPr="00D73F43">
        <w:rPr>
          <w:lang w:val="sq-AL"/>
        </w:rPr>
        <w:t>Shpenzimet publike të shëndetësisë për banorë, do të rriten nga 12,295 lekë në 2013 në 16,000 le</w:t>
      </w:r>
      <w:r w:rsidR="00EE691D">
        <w:rPr>
          <w:lang w:val="sq-AL"/>
        </w:rPr>
        <w:t>kë në 2017, pra rritje me 30.1</w:t>
      </w:r>
      <w:r w:rsidRPr="00D73F43">
        <w:rPr>
          <w:lang w:val="sq-AL"/>
        </w:rPr>
        <w:t xml:space="preserve"> %</w:t>
      </w:r>
      <w:r w:rsidR="003159E4">
        <w:rPr>
          <w:lang w:val="sq-AL"/>
        </w:rPr>
        <w:t>.</w:t>
      </w:r>
      <w:r w:rsidRPr="00D73F43">
        <w:rPr>
          <w:lang w:val="sq-AL"/>
        </w:rPr>
        <w:t xml:space="preserve">      </w:t>
      </w:r>
    </w:p>
    <w:p w:rsidR="00B0121D" w:rsidRPr="00D73F43" w:rsidRDefault="00B0121D" w:rsidP="00534AA6">
      <w:pPr>
        <w:numPr>
          <w:ilvl w:val="0"/>
          <w:numId w:val="56"/>
        </w:numPr>
        <w:spacing w:line="276" w:lineRule="auto"/>
        <w:rPr>
          <w:lang w:val="sq-AL"/>
        </w:rPr>
      </w:pPr>
      <w:r w:rsidRPr="00D73F43">
        <w:rPr>
          <w:lang w:val="sq-AL"/>
        </w:rPr>
        <w:t>Është përfshirë në kujdesin shëndetësor parësor kontrolli bazë për grupmoshën 35 – 70 vjeç duke i dhënë këtë mundësi 1,260 mijë rezidentëve në Shqipëri.</w:t>
      </w:r>
    </w:p>
    <w:p w:rsidR="00B0121D" w:rsidRPr="00D73F43" w:rsidRDefault="00B0121D" w:rsidP="00534AA6">
      <w:pPr>
        <w:numPr>
          <w:ilvl w:val="0"/>
          <w:numId w:val="56"/>
        </w:numPr>
        <w:spacing w:line="276" w:lineRule="auto"/>
        <w:rPr>
          <w:lang w:val="sq-AL"/>
        </w:rPr>
      </w:pPr>
      <w:r w:rsidRPr="00D73F43">
        <w:rPr>
          <w:lang w:val="sq-AL"/>
        </w:rPr>
        <w:t>Mjeku i familjes është falas për këdo, përfshirë edhe 600 mijë persona të pasiguruar.</w:t>
      </w:r>
    </w:p>
    <w:p w:rsidR="00B0121D" w:rsidRPr="00D73F43" w:rsidRDefault="00B0121D" w:rsidP="00534AA6">
      <w:pPr>
        <w:numPr>
          <w:ilvl w:val="0"/>
          <w:numId w:val="56"/>
        </w:numPr>
        <w:spacing w:line="276" w:lineRule="auto"/>
        <w:rPr>
          <w:lang w:val="sq-AL"/>
        </w:rPr>
      </w:pPr>
      <w:r w:rsidRPr="00D73F43">
        <w:rPr>
          <w:lang w:val="sq-AL"/>
        </w:rPr>
        <w:t>Tarifat e vizitave dhe ekzaminimeve për personat e pasiguruar që ndjekin sistemin e referimit janë ulur në jo më shumë se 300 lekë, nga deri 5 mijë lekë që ishte.</w:t>
      </w:r>
    </w:p>
    <w:p w:rsidR="00B0121D" w:rsidRPr="00D73F43" w:rsidRDefault="00B0121D" w:rsidP="00534AA6">
      <w:pPr>
        <w:numPr>
          <w:ilvl w:val="0"/>
          <w:numId w:val="56"/>
        </w:numPr>
        <w:rPr>
          <w:lang w:val="sq-AL"/>
        </w:rPr>
      </w:pPr>
      <w:r w:rsidRPr="00D73F43">
        <w:rPr>
          <w:lang w:val="sq-AL"/>
        </w:rPr>
        <w:t xml:space="preserve">600 mijë persona të pasiguruar përfitojnë nga rimbursimi i barnave. </w:t>
      </w:r>
    </w:p>
    <w:p w:rsidR="00B0121D" w:rsidRPr="00D73F43" w:rsidRDefault="00B0121D" w:rsidP="00B0121D">
      <w:pPr>
        <w:rPr>
          <w:b/>
          <w:lang w:val="sq-AL"/>
        </w:rPr>
      </w:pPr>
    </w:p>
    <w:p w:rsidR="00B0121D" w:rsidRPr="00D73F43" w:rsidRDefault="00B0121D" w:rsidP="00B0121D">
      <w:pPr>
        <w:ind w:left="432"/>
        <w:rPr>
          <w:b/>
          <w:lang w:val="sq-AL"/>
        </w:rPr>
      </w:pPr>
    </w:p>
    <w:p w:rsidR="00B0121D" w:rsidRPr="006D51B9" w:rsidRDefault="00C610A8" w:rsidP="00534AA6">
      <w:pPr>
        <w:pStyle w:val="Heading2"/>
        <w:numPr>
          <w:ilvl w:val="1"/>
          <w:numId w:val="161"/>
        </w:numPr>
        <w:rPr>
          <w:rFonts w:ascii="Times New Roman" w:hAnsi="Times New Roman"/>
          <w:i w:val="0"/>
        </w:rPr>
      </w:pPr>
      <w:r>
        <w:rPr>
          <w:rFonts w:ascii="Times New Roman" w:hAnsi="Times New Roman"/>
          <w:i w:val="0"/>
        </w:rPr>
        <w:t xml:space="preserve"> </w:t>
      </w:r>
      <w:bookmarkStart w:id="143" w:name="_Toc466445473"/>
      <w:r w:rsidR="00B0121D" w:rsidRPr="006D51B9">
        <w:rPr>
          <w:rFonts w:ascii="Times New Roman" w:hAnsi="Times New Roman"/>
          <w:i w:val="0"/>
        </w:rPr>
        <w:t>BUJQËSIA</w:t>
      </w:r>
      <w:bookmarkEnd w:id="143"/>
    </w:p>
    <w:p w:rsidR="00B0121D" w:rsidRPr="00D73F43" w:rsidRDefault="00B0121D" w:rsidP="00B0121D">
      <w:pPr>
        <w:spacing w:line="276" w:lineRule="auto"/>
        <w:jc w:val="both"/>
        <w:rPr>
          <w:rFonts w:eastAsia="MS Mincho"/>
          <w:b/>
          <w:lang w:val="sq-AL"/>
        </w:rPr>
      </w:pPr>
    </w:p>
    <w:p w:rsidR="00B0121D" w:rsidRPr="00D73F43" w:rsidRDefault="00642658" w:rsidP="00B0121D">
      <w:pPr>
        <w:rPr>
          <w:rFonts w:eastAsia="MS Mincho"/>
          <w:b/>
          <w:noProof/>
          <w:szCs w:val="20"/>
          <w:lang w:val="sq-AL"/>
        </w:rPr>
      </w:pPr>
      <w:r>
        <w:rPr>
          <w:rFonts w:eastAsia="MS Mincho"/>
          <w:b/>
          <w:noProof/>
          <w:szCs w:val="20"/>
          <w:lang w:val="sq-AL"/>
        </w:rPr>
        <w:t>4.</w:t>
      </w:r>
      <w:r w:rsidR="00B0121D" w:rsidRPr="00D73F43">
        <w:rPr>
          <w:rFonts w:eastAsia="MS Mincho"/>
          <w:b/>
          <w:noProof/>
          <w:szCs w:val="20"/>
          <w:lang w:val="sq-AL"/>
        </w:rPr>
        <w:t>3.1 Situata e sektorit në 2013</w:t>
      </w:r>
    </w:p>
    <w:p w:rsidR="00B0121D" w:rsidRPr="00D73F43" w:rsidRDefault="00B0121D" w:rsidP="00B0121D">
      <w:pPr>
        <w:tabs>
          <w:tab w:val="left" w:pos="8306"/>
        </w:tabs>
        <w:spacing w:line="276" w:lineRule="auto"/>
        <w:jc w:val="both"/>
        <w:rPr>
          <w:b/>
          <w:lang w:val="sq-AL"/>
        </w:rPr>
      </w:pPr>
    </w:p>
    <w:p w:rsidR="00B0121D" w:rsidRPr="00D73F43" w:rsidRDefault="00B0121D" w:rsidP="00534AA6">
      <w:pPr>
        <w:numPr>
          <w:ilvl w:val="0"/>
          <w:numId w:val="58"/>
        </w:numPr>
        <w:spacing w:line="276" w:lineRule="auto"/>
        <w:jc w:val="both"/>
        <w:rPr>
          <w:lang w:val="sq-AL"/>
        </w:rPr>
      </w:pPr>
      <w:r w:rsidRPr="00D73F43">
        <w:rPr>
          <w:lang w:val="sq-AL"/>
        </w:rPr>
        <w:t>Në vitet 2013-2014, ishte emergjente të kryhej pastrimi i rrjetit të kanaleve ujitëse e kulluese dhe rritja e sigurisë së punës së hidrovorëve. Kjo për të mundësuar ujitjen në sipërfaqen egzistuese të ujitshme të rreth 120 000 ha, si edhe mbajtjen në gatishmëri të sistemeve të kullimit.</w:t>
      </w:r>
    </w:p>
    <w:p w:rsidR="00B0121D" w:rsidRPr="00D73F43" w:rsidRDefault="00B0121D" w:rsidP="00534AA6">
      <w:pPr>
        <w:numPr>
          <w:ilvl w:val="0"/>
          <w:numId w:val="58"/>
        </w:numPr>
        <w:spacing w:line="276" w:lineRule="auto"/>
        <w:jc w:val="both"/>
        <w:rPr>
          <w:lang w:val="sq-AL"/>
        </w:rPr>
      </w:pPr>
      <w:r w:rsidRPr="00D73F43">
        <w:rPr>
          <w:lang w:val="sq-AL"/>
        </w:rPr>
        <w:t xml:space="preserve">Sektori i peshkimit trashëgoi nga viti 2013 një administratë me strukturë të fragmentarizuar, një kuadër të mangët e të pasaktë ligjor, mungesë pothuajse totale të sistemit të inspektimit si dhe të grumbullimit të të dhënave statistikore në sektorin e peshkimit dhe akua-kulturës. </w:t>
      </w:r>
    </w:p>
    <w:p w:rsidR="00B0121D" w:rsidRPr="00D73F43" w:rsidRDefault="00B0121D" w:rsidP="00534AA6">
      <w:pPr>
        <w:numPr>
          <w:ilvl w:val="0"/>
          <w:numId w:val="58"/>
        </w:numPr>
        <w:spacing w:line="276" w:lineRule="auto"/>
        <w:jc w:val="both"/>
        <w:rPr>
          <w:lang w:val="sq-AL"/>
        </w:rPr>
      </w:pPr>
      <w:r w:rsidRPr="00D73F43">
        <w:rPr>
          <w:lang w:val="sq-AL"/>
        </w:rPr>
        <w:t xml:space="preserve">Vështirësitë në sektorin e peshkimit ishin krijuar edhe për shkak të transferimeve të shpeshta të strukturës së peshkimit nga një ministri në tjetrën si dhe ristrukturimeve e copëzimeve të vazhdueshme të strukturës së Drejtorisë së Peshkimit. </w:t>
      </w:r>
    </w:p>
    <w:p w:rsidR="00B0121D" w:rsidRPr="00D73F43" w:rsidRDefault="00B0121D" w:rsidP="00534AA6">
      <w:pPr>
        <w:numPr>
          <w:ilvl w:val="0"/>
          <w:numId w:val="58"/>
        </w:numPr>
        <w:spacing w:line="276" w:lineRule="auto"/>
        <w:jc w:val="both"/>
        <w:rPr>
          <w:lang w:val="sq-AL"/>
        </w:rPr>
      </w:pPr>
      <w:r w:rsidRPr="00D73F43">
        <w:rPr>
          <w:lang w:val="sq-AL"/>
        </w:rPr>
        <w:t>Ekzistonin mangësi në ndarjen e burimeve të baseneve ujore, e cila sillte si pasojë mungesën e njohjes së burimeve alternative tradicionale për përdorimin e tyre në bujqësi.</w:t>
      </w:r>
    </w:p>
    <w:p w:rsidR="00B0121D" w:rsidRPr="00D73F43" w:rsidRDefault="00B0121D" w:rsidP="00534AA6">
      <w:pPr>
        <w:numPr>
          <w:ilvl w:val="0"/>
          <w:numId w:val="58"/>
        </w:numPr>
        <w:spacing w:line="276" w:lineRule="auto"/>
        <w:jc w:val="both"/>
        <w:rPr>
          <w:lang w:val="sq-AL"/>
        </w:rPr>
      </w:pPr>
      <w:r w:rsidRPr="00D73F43">
        <w:rPr>
          <w:lang w:val="sq-AL"/>
        </w:rPr>
        <w:t xml:space="preserve">Kuadri ligjor në fushën e menaxhimit të ujërave ka qënë i paplotësuar me aktet nënligjore. </w:t>
      </w:r>
    </w:p>
    <w:p w:rsidR="00B0121D" w:rsidRPr="00D73F43" w:rsidRDefault="00B0121D" w:rsidP="00534AA6">
      <w:pPr>
        <w:numPr>
          <w:ilvl w:val="0"/>
          <w:numId w:val="58"/>
        </w:numPr>
        <w:spacing w:line="276" w:lineRule="auto"/>
        <w:jc w:val="both"/>
        <w:rPr>
          <w:lang w:val="sq-AL"/>
        </w:rPr>
      </w:pPr>
      <w:r w:rsidRPr="00D73F43">
        <w:rPr>
          <w:lang w:val="sq-AL"/>
        </w:rPr>
        <w:t xml:space="preserve">Prej vitit 2013 organet vendimmarrëse në fushën e ujit, në nivel vendor, kishin ndaluar së funksionuari. </w:t>
      </w:r>
    </w:p>
    <w:p w:rsidR="00B0121D" w:rsidRPr="00D73F43" w:rsidRDefault="00B0121D" w:rsidP="00B0121D">
      <w:pPr>
        <w:rPr>
          <w:rFonts w:eastAsia="MS Mincho"/>
          <w:b/>
          <w:noProof/>
          <w:szCs w:val="20"/>
          <w:lang w:val="sq-AL"/>
        </w:rPr>
      </w:pPr>
    </w:p>
    <w:p w:rsidR="00B0121D" w:rsidRPr="00D73F43" w:rsidRDefault="00B0121D" w:rsidP="00B0121D">
      <w:pPr>
        <w:rPr>
          <w:rFonts w:eastAsia="MS Mincho"/>
          <w:b/>
          <w:noProof/>
          <w:szCs w:val="20"/>
          <w:lang w:val="sq-AL"/>
        </w:rPr>
      </w:pPr>
    </w:p>
    <w:p w:rsidR="00B0121D" w:rsidRPr="00D73F43" w:rsidRDefault="00642658" w:rsidP="00B0121D">
      <w:pPr>
        <w:rPr>
          <w:rFonts w:eastAsia="MS Mincho"/>
          <w:b/>
          <w:noProof/>
          <w:szCs w:val="20"/>
          <w:lang w:val="sq-AL"/>
        </w:rPr>
      </w:pPr>
      <w:r>
        <w:rPr>
          <w:rFonts w:eastAsia="MS Mincho"/>
          <w:b/>
          <w:noProof/>
          <w:szCs w:val="20"/>
          <w:lang w:val="sq-AL"/>
        </w:rPr>
        <w:t>4.</w:t>
      </w:r>
      <w:r w:rsidR="00B0121D" w:rsidRPr="00D73F43">
        <w:rPr>
          <w:rFonts w:eastAsia="MS Mincho"/>
          <w:b/>
          <w:noProof/>
          <w:szCs w:val="20"/>
          <w:lang w:val="sq-AL"/>
        </w:rPr>
        <w:t>3.2 Reformat e ndërmarra 2013-2016</w:t>
      </w:r>
    </w:p>
    <w:p w:rsidR="00B0121D" w:rsidRPr="00D73F43" w:rsidRDefault="00B0121D" w:rsidP="00B0121D">
      <w:pPr>
        <w:rPr>
          <w:rFonts w:eastAsia="MS Mincho"/>
          <w:b/>
          <w:noProof/>
          <w:szCs w:val="20"/>
          <w:lang w:val="sq-AL"/>
        </w:rPr>
      </w:pPr>
    </w:p>
    <w:p w:rsidR="00B0121D" w:rsidRPr="00D73F43" w:rsidRDefault="00B0121D" w:rsidP="00534AA6">
      <w:pPr>
        <w:numPr>
          <w:ilvl w:val="0"/>
          <w:numId w:val="59"/>
        </w:numPr>
        <w:spacing w:line="276" w:lineRule="auto"/>
        <w:jc w:val="both"/>
        <w:rPr>
          <w:noProof/>
          <w:lang w:val="sq-AL"/>
        </w:rPr>
      </w:pPr>
      <w:r w:rsidRPr="00D73F43">
        <w:rPr>
          <w:noProof/>
          <w:lang w:val="sq-AL"/>
        </w:rPr>
        <w:t xml:space="preserve">Është rritur financimi për skemat mbështetëse nga 847 milionë lekë në vitin 2013 në 1 miliard e 435 milionë lekë të disbursuara në vitin 2015. Ndërkohe, janë planifikuar 1 miliard e 520 milionë lekë për vitin 2016, gati 200% rritje krahasuar me vitin 2013. </w:t>
      </w:r>
    </w:p>
    <w:p w:rsidR="00B0121D" w:rsidRPr="00D73F43" w:rsidRDefault="00B0121D" w:rsidP="00534AA6">
      <w:pPr>
        <w:numPr>
          <w:ilvl w:val="0"/>
          <w:numId w:val="59"/>
        </w:numPr>
        <w:spacing w:line="276" w:lineRule="auto"/>
        <w:jc w:val="both"/>
        <w:rPr>
          <w:noProof/>
          <w:lang w:val="sq-AL"/>
        </w:rPr>
      </w:pPr>
      <w:r w:rsidRPr="00D73F43">
        <w:rPr>
          <w:noProof/>
          <w:lang w:val="sq-AL"/>
        </w:rPr>
        <w:t>Numri i përfituesve nga skemat financiare është rritur me 37% në vit.</w:t>
      </w:r>
    </w:p>
    <w:p w:rsidR="00B0121D" w:rsidRPr="00D73F43" w:rsidRDefault="00B0121D" w:rsidP="00534AA6">
      <w:pPr>
        <w:numPr>
          <w:ilvl w:val="0"/>
          <w:numId w:val="59"/>
        </w:numPr>
        <w:spacing w:line="276" w:lineRule="auto"/>
        <w:jc w:val="both"/>
        <w:rPr>
          <w:noProof/>
          <w:lang w:val="sq-AL"/>
        </w:rPr>
      </w:pPr>
      <w:r w:rsidRPr="00D73F43">
        <w:rPr>
          <w:noProof/>
          <w:lang w:val="sq-AL"/>
        </w:rPr>
        <w:t xml:space="preserve">Përgjatë periudhës 2014-2016 janë rritur ndjeshëm eksportet në sektorin e bujqësisë në rang vendi me rreth 60%: </w:t>
      </w:r>
    </w:p>
    <w:p w:rsidR="00B0121D" w:rsidRPr="00D73F43" w:rsidRDefault="00B0121D" w:rsidP="00534AA6">
      <w:pPr>
        <w:numPr>
          <w:ilvl w:val="0"/>
          <w:numId w:val="59"/>
        </w:numPr>
        <w:spacing w:line="276" w:lineRule="auto"/>
        <w:jc w:val="both"/>
        <w:rPr>
          <w:noProof/>
          <w:lang w:val="sq-AL"/>
        </w:rPr>
      </w:pPr>
      <w:r w:rsidRPr="00D73F43">
        <w:rPr>
          <w:noProof/>
          <w:lang w:val="sq-AL"/>
        </w:rPr>
        <w:t xml:space="preserve">Në qarqet e Lushnjës dhe Beratit eksportet e prodhimit janë dyfishuar. </w:t>
      </w:r>
    </w:p>
    <w:p w:rsidR="00B0121D" w:rsidRPr="00D73F43" w:rsidRDefault="00B0121D" w:rsidP="00534AA6">
      <w:pPr>
        <w:numPr>
          <w:ilvl w:val="0"/>
          <w:numId w:val="59"/>
        </w:numPr>
        <w:spacing w:line="276" w:lineRule="auto"/>
        <w:jc w:val="both"/>
        <w:rPr>
          <w:noProof/>
          <w:lang w:val="sq-AL"/>
        </w:rPr>
      </w:pPr>
      <w:r w:rsidRPr="00D73F43">
        <w:rPr>
          <w:noProof/>
          <w:lang w:val="sq-AL"/>
        </w:rPr>
        <w:t>Në nivel kombëtar eksportet janë rritur  55% më shumë krahasuar me 2013.</w:t>
      </w:r>
    </w:p>
    <w:p w:rsidR="00B0121D" w:rsidRPr="00D73F43" w:rsidRDefault="00B0121D" w:rsidP="00534AA6">
      <w:pPr>
        <w:numPr>
          <w:ilvl w:val="0"/>
          <w:numId w:val="59"/>
        </w:numPr>
        <w:spacing w:line="276" w:lineRule="auto"/>
        <w:jc w:val="both"/>
        <w:rPr>
          <w:noProof/>
          <w:lang w:val="sq-AL"/>
        </w:rPr>
      </w:pPr>
      <w:r w:rsidRPr="00D73F43">
        <w:rPr>
          <w:noProof/>
          <w:lang w:val="sq-AL"/>
        </w:rPr>
        <w:t>Në të gjithë territorin e vendit janë ngritur 25 “Dritare unike” në shërbim të fermerëve.</w:t>
      </w:r>
    </w:p>
    <w:p w:rsidR="00B0121D" w:rsidRPr="00D73F43" w:rsidRDefault="00B0121D" w:rsidP="00534AA6">
      <w:pPr>
        <w:numPr>
          <w:ilvl w:val="0"/>
          <w:numId w:val="59"/>
        </w:numPr>
        <w:spacing w:line="276" w:lineRule="auto"/>
        <w:jc w:val="both"/>
        <w:rPr>
          <w:noProof/>
          <w:lang w:val="sq-AL"/>
        </w:rPr>
      </w:pPr>
      <w:r w:rsidRPr="00D73F43">
        <w:rPr>
          <w:noProof/>
          <w:lang w:val="sq-AL"/>
        </w:rPr>
        <w:t>Është rritur me 19.7% sipërfaqja e mbjellë me sera, krahasuar me vitin 2013, duke rritur  për pasojë dhe prodhimin me rreth 30%.</w:t>
      </w:r>
    </w:p>
    <w:p w:rsidR="00B0121D" w:rsidRPr="00D73F43" w:rsidRDefault="00B0121D" w:rsidP="00534AA6">
      <w:pPr>
        <w:numPr>
          <w:ilvl w:val="0"/>
          <w:numId w:val="59"/>
        </w:numPr>
        <w:spacing w:line="276" w:lineRule="auto"/>
        <w:jc w:val="both"/>
        <w:rPr>
          <w:noProof/>
          <w:lang w:val="sq-AL"/>
        </w:rPr>
      </w:pPr>
      <w:r w:rsidRPr="00D73F43">
        <w:rPr>
          <w:noProof/>
          <w:lang w:val="sq-AL"/>
        </w:rPr>
        <w:lastRenderedPageBreak/>
        <w:t>Në mbështetje të formalizimit të prodhimit bujqësor janë nxitur dhe veprojnë aktualisht 152 pika grumbullimi dhe ruajtje të shtrira në të gjithë territorin e vendit ku 120 prej tyre janë kryesisht për fruta dhe perime dhe pjesa tjetër për bimë medicinale, etj.</w:t>
      </w:r>
    </w:p>
    <w:p w:rsidR="00B0121D" w:rsidRPr="00D73F43" w:rsidRDefault="00B0121D" w:rsidP="00534AA6">
      <w:pPr>
        <w:numPr>
          <w:ilvl w:val="0"/>
          <w:numId w:val="59"/>
        </w:numPr>
        <w:spacing w:line="276" w:lineRule="auto"/>
        <w:jc w:val="both"/>
        <w:rPr>
          <w:noProof/>
          <w:lang w:val="sq-AL"/>
        </w:rPr>
      </w:pPr>
      <w:r w:rsidRPr="00D73F43">
        <w:rPr>
          <w:noProof/>
          <w:lang w:val="sq-AL"/>
        </w:rPr>
        <w:t>Rimëkëmbje nga përmbytjet në 6 qarqet e përmbytura në vitin 2015 duke zhdëmtuar rreth 4100 familje në shumën totale prej 3.4 milionë Euro, si dhe është ende në zbatim e sipër Granti prej 2.7 milionë eurosh për rimëkëmbjen dhe zhvillimin e zonave të përmbytura.</w:t>
      </w:r>
    </w:p>
    <w:p w:rsidR="00B0121D" w:rsidRPr="00D73F43" w:rsidRDefault="00B0121D" w:rsidP="00534AA6">
      <w:pPr>
        <w:numPr>
          <w:ilvl w:val="0"/>
          <w:numId w:val="59"/>
        </w:numPr>
        <w:spacing w:line="276" w:lineRule="auto"/>
        <w:jc w:val="both"/>
        <w:rPr>
          <w:noProof/>
          <w:lang w:val="sq-AL"/>
        </w:rPr>
      </w:pPr>
      <w:r w:rsidRPr="00D73F43">
        <w:rPr>
          <w:noProof/>
          <w:lang w:val="sq-AL"/>
        </w:rPr>
        <w:t xml:space="preserve">Sipërfaqja e ujitshme nga 120,000 ha, është rritur në 156,369 ha, duke futur në ujitje për herë të parë 35,369 ha, ndërsa në 56,846 ha, është përmirësuar ujitja nëpërmjet rehabilitimit. </w:t>
      </w:r>
    </w:p>
    <w:p w:rsidR="00B0121D" w:rsidRPr="00D73F43" w:rsidRDefault="00B0121D" w:rsidP="00534AA6">
      <w:pPr>
        <w:numPr>
          <w:ilvl w:val="0"/>
          <w:numId w:val="59"/>
        </w:numPr>
        <w:spacing w:line="276" w:lineRule="auto"/>
        <w:jc w:val="both"/>
        <w:rPr>
          <w:noProof/>
          <w:lang w:val="sq-AL"/>
        </w:rPr>
      </w:pPr>
      <w:r w:rsidRPr="00D73F43">
        <w:rPr>
          <w:noProof/>
          <w:lang w:val="sq-AL"/>
        </w:rPr>
        <w:t>Janë pastruar rreth 930 km kanale ujitëse dhe larguar 1.7 milionë m</w:t>
      </w:r>
      <w:r w:rsidRPr="00D73F43">
        <w:rPr>
          <w:noProof/>
          <w:vertAlign w:val="superscript"/>
          <w:lang w:val="sq-AL"/>
        </w:rPr>
        <w:t>3</w:t>
      </w:r>
      <w:r w:rsidRPr="00D73F43">
        <w:rPr>
          <w:noProof/>
          <w:lang w:val="sq-AL"/>
        </w:rPr>
        <w:t xml:space="preserve"> dhera.</w:t>
      </w:r>
    </w:p>
    <w:p w:rsidR="00B0121D" w:rsidRPr="00D73F43" w:rsidRDefault="00B0121D" w:rsidP="00534AA6">
      <w:pPr>
        <w:numPr>
          <w:ilvl w:val="0"/>
          <w:numId w:val="59"/>
        </w:numPr>
        <w:spacing w:line="276" w:lineRule="auto"/>
        <w:jc w:val="both"/>
        <w:rPr>
          <w:noProof/>
          <w:lang w:val="sq-AL"/>
        </w:rPr>
      </w:pPr>
      <w:r w:rsidRPr="00D73F43">
        <w:rPr>
          <w:noProof/>
          <w:lang w:val="sq-AL"/>
        </w:rPr>
        <w:t xml:space="preserve">Janë rehabilituar 32 diga të rezervuarëve, nga të cilat 11 janë financuar nga projekti i Bankës Botërore. </w:t>
      </w:r>
    </w:p>
    <w:p w:rsidR="00B0121D" w:rsidRPr="00D73F43" w:rsidRDefault="00B0121D" w:rsidP="00534AA6">
      <w:pPr>
        <w:numPr>
          <w:ilvl w:val="0"/>
          <w:numId w:val="59"/>
        </w:numPr>
        <w:spacing w:line="276" w:lineRule="auto"/>
        <w:jc w:val="both"/>
        <w:rPr>
          <w:noProof/>
          <w:lang w:val="sq-AL"/>
        </w:rPr>
      </w:pPr>
      <w:r w:rsidRPr="00D73F43">
        <w:rPr>
          <w:noProof/>
          <w:lang w:val="sq-AL"/>
        </w:rPr>
        <w:t>Janë përfshirë investime për Bashkitë në vitin 2016  për rehabilitimin e plotë/pjesshëm të 66 skemave ujitëse dhe  janë furnizuar me 61 ekskavatorë të rinj me një aftësi të largimit të dherave rreth 6 milionë m</w:t>
      </w:r>
      <w:r w:rsidRPr="00D73F43">
        <w:rPr>
          <w:noProof/>
          <w:vertAlign w:val="superscript"/>
          <w:lang w:val="sq-AL"/>
        </w:rPr>
        <w:t>3</w:t>
      </w:r>
      <w:r w:rsidRPr="00D73F43">
        <w:rPr>
          <w:noProof/>
          <w:lang w:val="sq-AL"/>
        </w:rPr>
        <w:t xml:space="preserve"> dhera në vit. </w:t>
      </w:r>
    </w:p>
    <w:p w:rsidR="00B0121D" w:rsidRPr="00D73F43" w:rsidRDefault="00B0121D" w:rsidP="00534AA6">
      <w:pPr>
        <w:numPr>
          <w:ilvl w:val="0"/>
          <w:numId w:val="59"/>
        </w:numPr>
        <w:spacing w:line="276" w:lineRule="auto"/>
        <w:jc w:val="both"/>
        <w:rPr>
          <w:noProof/>
          <w:lang w:val="sq-AL"/>
        </w:rPr>
      </w:pPr>
      <w:r w:rsidRPr="00D73F43">
        <w:rPr>
          <w:noProof/>
          <w:lang w:val="sq-AL"/>
        </w:rPr>
        <w:t>Janë përmirësuar treguesit e kullimit në rreth 190,000 ha duke pastruar 1000 km kanale kryesore kullues dhe larguar 5.8 milionë m3 dhera. Janë rehabilituar dhe ndërtuar përgjatë lumenjve kryesore rreth 32 km argjinatura mbrojtëse.</w:t>
      </w:r>
    </w:p>
    <w:p w:rsidR="00B0121D" w:rsidRPr="00D73F43" w:rsidRDefault="00B0121D" w:rsidP="00534AA6">
      <w:pPr>
        <w:numPr>
          <w:ilvl w:val="0"/>
          <w:numId w:val="59"/>
        </w:numPr>
        <w:spacing w:line="276" w:lineRule="auto"/>
        <w:jc w:val="both"/>
        <w:rPr>
          <w:noProof/>
          <w:lang w:val="sq-AL"/>
        </w:rPr>
      </w:pPr>
      <w:r w:rsidRPr="00D73F43">
        <w:rPr>
          <w:noProof/>
          <w:lang w:val="sq-AL"/>
        </w:rPr>
        <w:t>Janë vaksinuar çdo vit mbi 2,470,581  krerë bagëti të imta. (rreth 2,5 milionë krerë bagëti të imta)</w:t>
      </w:r>
    </w:p>
    <w:p w:rsidR="00B0121D" w:rsidRPr="00D73F43" w:rsidRDefault="00B0121D" w:rsidP="00534AA6">
      <w:pPr>
        <w:numPr>
          <w:ilvl w:val="0"/>
          <w:numId w:val="59"/>
        </w:numPr>
        <w:spacing w:line="276" w:lineRule="auto"/>
        <w:jc w:val="both"/>
        <w:rPr>
          <w:noProof/>
          <w:lang w:val="sq-AL"/>
        </w:rPr>
      </w:pPr>
      <w:r w:rsidRPr="00D73F43">
        <w:rPr>
          <w:noProof/>
          <w:lang w:val="sq-AL"/>
        </w:rPr>
        <w:t xml:space="preserve">Është rritur siguria ushqimore dhe mbrojtja e konsumatorit vendas, si edhe janë krijuar baza të sigurta për eksportin e produkteve me origjinë shtazore nëpërmjet fondit shtesë prej 100 milionë lekë  për blerjen e matrikujve për identifikimin e kafshëve. </w:t>
      </w:r>
    </w:p>
    <w:p w:rsidR="00B0121D" w:rsidRPr="00D73F43" w:rsidRDefault="00B0121D" w:rsidP="00534AA6">
      <w:pPr>
        <w:numPr>
          <w:ilvl w:val="0"/>
          <w:numId w:val="59"/>
        </w:numPr>
        <w:spacing w:line="276" w:lineRule="auto"/>
        <w:jc w:val="both"/>
        <w:rPr>
          <w:noProof/>
          <w:lang w:val="sq-AL"/>
        </w:rPr>
      </w:pPr>
      <w:r w:rsidRPr="00D73F43">
        <w:rPr>
          <w:noProof/>
          <w:szCs w:val="20"/>
          <w:lang w:val="sq-AL"/>
        </w:rPr>
        <w:t>Janë ndërmarrë hapa të rëndësishëm në promovimin dhe nxitjen e produkteve dhe teknologjive në peshkim e akua-kulturë përmes aktiviteteve promovuese dhe informuese.</w:t>
      </w:r>
    </w:p>
    <w:p w:rsidR="00B0121D" w:rsidRPr="00D73F43" w:rsidRDefault="00B0121D" w:rsidP="00B0121D">
      <w:pPr>
        <w:rPr>
          <w:noProof/>
          <w:lang w:val="sq-AL"/>
        </w:rPr>
      </w:pPr>
    </w:p>
    <w:p w:rsidR="00B0121D" w:rsidRPr="00D73F43" w:rsidRDefault="00642658" w:rsidP="00B0121D">
      <w:pPr>
        <w:rPr>
          <w:rFonts w:eastAsia="MS Mincho"/>
          <w:b/>
          <w:noProof/>
          <w:szCs w:val="20"/>
          <w:lang w:val="sq-AL"/>
        </w:rPr>
      </w:pPr>
      <w:r>
        <w:rPr>
          <w:rFonts w:eastAsia="MS Mincho"/>
          <w:b/>
          <w:noProof/>
          <w:szCs w:val="20"/>
          <w:lang w:val="sq-AL"/>
        </w:rPr>
        <w:t>4.</w:t>
      </w:r>
      <w:r w:rsidR="00B0121D" w:rsidRPr="00D73F43">
        <w:rPr>
          <w:rFonts w:eastAsia="MS Mincho"/>
          <w:b/>
          <w:noProof/>
          <w:szCs w:val="20"/>
          <w:lang w:val="sq-AL"/>
        </w:rPr>
        <w:t>3.3 Prioritetet e projekt-buxhetit 2017</w:t>
      </w:r>
    </w:p>
    <w:p w:rsidR="00B0121D" w:rsidRPr="00D73F43" w:rsidRDefault="00B0121D" w:rsidP="00B0121D">
      <w:pPr>
        <w:rPr>
          <w:rFonts w:eastAsia="MS Mincho"/>
          <w:b/>
          <w:noProof/>
          <w:szCs w:val="20"/>
          <w:lang w:val="sq-AL"/>
        </w:rPr>
      </w:pPr>
    </w:p>
    <w:p w:rsidR="00B0121D" w:rsidRPr="00D73F43" w:rsidRDefault="00B0121D" w:rsidP="00534AA6">
      <w:pPr>
        <w:numPr>
          <w:ilvl w:val="0"/>
          <w:numId w:val="60"/>
        </w:numPr>
        <w:spacing w:line="276" w:lineRule="auto"/>
        <w:jc w:val="both"/>
        <w:rPr>
          <w:noProof/>
          <w:szCs w:val="20"/>
          <w:lang w:val="sq-AL"/>
        </w:rPr>
      </w:pPr>
      <w:r w:rsidRPr="00D73F43">
        <w:rPr>
          <w:noProof/>
          <w:szCs w:val="20"/>
          <w:lang w:val="sq-AL"/>
        </w:rPr>
        <w:t>Parashikohet kompletimi i proceseve të rehabilitimit të skemave ujitëse kryesore (një pjesë vazhdim nga viti 2016) me projektin e Bankës Botërore dhe investimet e brendshme, në koherencë të plotë me investimet nga vetë Bashkitë, për të mundësuar objektivin për ujitje në 225,000 ha tokë bujqësore.</w:t>
      </w:r>
    </w:p>
    <w:p w:rsidR="00B0121D" w:rsidRPr="00D73F43" w:rsidRDefault="00B0121D" w:rsidP="00534AA6">
      <w:pPr>
        <w:numPr>
          <w:ilvl w:val="0"/>
          <w:numId w:val="60"/>
        </w:numPr>
        <w:spacing w:line="276" w:lineRule="auto"/>
        <w:jc w:val="both"/>
        <w:rPr>
          <w:noProof/>
          <w:szCs w:val="20"/>
          <w:lang w:val="sq-AL"/>
        </w:rPr>
      </w:pPr>
      <w:r w:rsidRPr="00D73F43">
        <w:rPr>
          <w:noProof/>
          <w:szCs w:val="20"/>
          <w:lang w:val="sq-AL"/>
        </w:rPr>
        <w:t xml:space="preserve">Do të vazhdojë procesi i identifikimit dhe regjistrimit të kafshëve. </w:t>
      </w:r>
    </w:p>
    <w:p w:rsidR="00B0121D" w:rsidRPr="00D73F43" w:rsidRDefault="00B0121D" w:rsidP="00534AA6">
      <w:pPr>
        <w:numPr>
          <w:ilvl w:val="0"/>
          <w:numId w:val="60"/>
        </w:numPr>
        <w:spacing w:line="276" w:lineRule="auto"/>
        <w:jc w:val="both"/>
        <w:rPr>
          <w:noProof/>
          <w:szCs w:val="20"/>
          <w:lang w:val="sq-AL"/>
        </w:rPr>
      </w:pPr>
      <w:r w:rsidRPr="00D73F43">
        <w:rPr>
          <w:noProof/>
          <w:szCs w:val="20"/>
          <w:lang w:val="sq-AL"/>
        </w:rPr>
        <w:t>Do të kryhet vaksinimi i kafshëve gjedh kundër Dermatozës Nodulare (LSD).</w:t>
      </w:r>
    </w:p>
    <w:p w:rsidR="00B0121D" w:rsidRPr="00D73F43" w:rsidRDefault="00B0121D" w:rsidP="00534AA6">
      <w:pPr>
        <w:numPr>
          <w:ilvl w:val="0"/>
          <w:numId w:val="60"/>
        </w:numPr>
        <w:spacing w:line="276" w:lineRule="auto"/>
        <w:jc w:val="both"/>
        <w:rPr>
          <w:noProof/>
          <w:szCs w:val="20"/>
          <w:lang w:val="sq-AL"/>
        </w:rPr>
      </w:pPr>
      <w:r w:rsidRPr="00D73F43">
        <w:rPr>
          <w:noProof/>
          <w:szCs w:val="20"/>
          <w:lang w:val="sq-AL"/>
        </w:rPr>
        <w:t xml:space="preserve">Do të kryhet vaksinimi i kafshëve kundër sëmundjes së plasjes (Antrax). </w:t>
      </w:r>
    </w:p>
    <w:p w:rsidR="00B0121D" w:rsidRPr="00D73F43" w:rsidRDefault="00B0121D" w:rsidP="00534AA6">
      <w:pPr>
        <w:numPr>
          <w:ilvl w:val="0"/>
          <w:numId w:val="60"/>
        </w:numPr>
        <w:spacing w:line="276" w:lineRule="auto"/>
        <w:jc w:val="both"/>
        <w:rPr>
          <w:noProof/>
          <w:szCs w:val="20"/>
          <w:lang w:val="sq-AL"/>
        </w:rPr>
      </w:pPr>
      <w:r w:rsidRPr="00D73F43">
        <w:rPr>
          <w:noProof/>
          <w:szCs w:val="20"/>
          <w:lang w:val="sq-AL"/>
        </w:rPr>
        <w:t xml:space="preserve">Do të bëhet gjurmimi i sëmundjes së Brucelozës dhe TBC në gjedhë. </w:t>
      </w:r>
    </w:p>
    <w:p w:rsidR="00B0121D" w:rsidRPr="00D73F43" w:rsidRDefault="00B0121D" w:rsidP="00534AA6">
      <w:pPr>
        <w:numPr>
          <w:ilvl w:val="0"/>
          <w:numId w:val="60"/>
        </w:numPr>
        <w:spacing w:line="276" w:lineRule="auto"/>
        <w:jc w:val="both"/>
        <w:rPr>
          <w:noProof/>
          <w:szCs w:val="20"/>
          <w:lang w:val="sq-AL"/>
        </w:rPr>
      </w:pPr>
      <w:r w:rsidRPr="00D73F43">
        <w:rPr>
          <w:noProof/>
          <w:szCs w:val="20"/>
          <w:lang w:val="sq-AL"/>
        </w:rPr>
        <w:t xml:space="preserve">Do të kryhet vaksinimi i kafshëve të imta kundër sëmundjes së brucelozës (Brucella Melitensis). </w:t>
      </w:r>
    </w:p>
    <w:p w:rsidR="00B0121D" w:rsidRPr="00D73F43" w:rsidRDefault="00B0121D" w:rsidP="00534AA6">
      <w:pPr>
        <w:numPr>
          <w:ilvl w:val="0"/>
          <w:numId w:val="60"/>
        </w:numPr>
        <w:spacing w:line="276" w:lineRule="auto"/>
        <w:jc w:val="both"/>
        <w:rPr>
          <w:noProof/>
          <w:szCs w:val="20"/>
          <w:lang w:val="sq-AL"/>
        </w:rPr>
      </w:pPr>
      <w:r w:rsidRPr="00D73F43">
        <w:rPr>
          <w:noProof/>
          <w:szCs w:val="20"/>
          <w:lang w:val="sq-AL"/>
        </w:rPr>
        <w:t>Do të ristrukturohet dhe modernizohet flota e peshkimit nëpërmjet projektit IPA II</w:t>
      </w:r>
    </w:p>
    <w:p w:rsidR="00B0121D" w:rsidRPr="00D73F43" w:rsidRDefault="00B0121D" w:rsidP="00534AA6">
      <w:pPr>
        <w:numPr>
          <w:ilvl w:val="0"/>
          <w:numId w:val="60"/>
        </w:numPr>
        <w:spacing w:line="276" w:lineRule="auto"/>
        <w:jc w:val="both"/>
        <w:rPr>
          <w:noProof/>
          <w:szCs w:val="20"/>
          <w:lang w:val="sq-AL"/>
        </w:rPr>
      </w:pPr>
      <w:r w:rsidRPr="00D73F43">
        <w:rPr>
          <w:noProof/>
          <w:szCs w:val="20"/>
          <w:lang w:val="sq-AL"/>
        </w:rPr>
        <w:t>Do të iniciojnë punimet për ndërtimin e tregut të shitjes me shumicë të peshkut në Shëngjin;</w:t>
      </w:r>
    </w:p>
    <w:p w:rsidR="00B0121D" w:rsidRPr="00D73F43" w:rsidRDefault="00B0121D" w:rsidP="00B0121D">
      <w:pPr>
        <w:ind w:left="432"/>
        <w:rPr>
          <w:b/>
          <w:lang w:val="sq-AL"/>
        </w:rPr>
      </w:pPr>
    </w:p>
    <w:p w:rsidR="00B0121D" w:rsidRDefault="00C610A8" w:rsidP="00534AA6">
      <w:pPr>
        <w:pStyle w:val="Heading2"/>
        <w:numPr>
          <w:ilvl w:val="1"/>
          <w:numId w:val="161"/>
        </w:numPr>
        <w:rPr>
          <w:rFonts w:ascii="Times New Roman" w:hAnsi="Times New Roman"/>
          <w:i w:val="0"/>
        </w:rPr>
      </w:pPr>
      <w:r>
        <w:rPr>
          <w:rFonts w:ascii="Times New Roman" w:hAnsi="Times New Roman"/>
          <w:i w:val="0"/>
        </w:rPr>
        <w:t xml:space="preserve"> </w:t>
      </w:r>
      <w:bookmarkStart w:id="144" w:name="_Toc466445474"/>
      <w:r w:rsidR="00B0121D" w:rsidRPr="006D51B9">
        <w:rPr>
          <w:rFonts w:ascii="Times New Roman" w:hAnsi="Times New Roman"/>
          <w:i w:val="0"/>
        </w:rPr>
        <w:t>TRANSPORTI</w:t>
      </w:r>
      <w:bookmarkEnd w:id="144"/>
    </w:p>
    <w:p w:rsidR="006D51B9" w:rsidRPr="006D51B9" w:rsidRDefault="006D51B9" w:rsidP="006D51B9"/>
    <w:p w:rsidR="006D51B9" w:rsidRPr="00D73F43" w:rsidRDefault="006D51B9" w:rsidP="006D51B9">
      <w:pPr>
        <w:rPr>
          <w:rFonts w:eastAsia="MS Mincho"/>
          <w:b/>
          <w:noProof/>
          <w:szCs w:val="20"/>
          <w:lang w:val="sq-AL"/>
        </w:rPr>
      </w:pPr>
      <w:r>
        <w:rPr>
          <w:rFonts w:eastAsia="MS Mincho"/>
          <w:b/>
          <w:noProof/>
          <w:szCs w:val="20"/>
          <w:lang w:val="sq-AL"/>
        </w:rPr>
        <w:t>4.4</w:t>
      </w:r>
      <w:r w:rsidRPr="00D73F43">
        <w:rPr>
          <w:rFonts w:eastAsia="MS Mincho"/>
          <w:b/>
          <w:noProof/>
          <w:szCs w:val="20"/>
          <w:lang w:val="sq-AL"/>
        </w:rPr>
        <w:t>.1 Situata e sektorit në 2013</w:t>
      </w:r>
    </w:p>
    <w:p w:rsidR="00B0121D" w:rsidRPr="00D73F43" w:rsidRDefault="00B0121D" w:rsidP="00B0121D">
      <w:pPr>
        <w:rPr>
          <w:b/>
          <w:lang w:val="sq-AL"/>
        </w:rPr>
      </w:pPr>
    </w:p>
    <w:p w:rsidR="00F43050" w:rsidRPr="00AB477F" w:rsidRDefault="00F43050" w:rsidP="00534AA6">
      <w:pPr>
        <w:pStyle w:val="ListParagraph"/>
        <w:numPr>
          <w:ilvl w:val="0"/>
          <w:numId w:val="145"/>
        </w:numPr>
        <w:spacing w:line="276" w:lineRule="auto"/>
        <w:contextualSpacing/>
        <w:jc w:val="both"/>
        <w:rPr>
          <w:lang w:val="sq-AL"/>
        </w:rPr>
      </w:pPr>
      <w:r w:rsidRPr="00AB477F">
        <w:rPr>
          <w:lang w:val="sq-AL"/>
        </w:rPr>
        <w:t>Autoriteti Rrugor Shqiptar trashëgoi një borxh prej 15 mld lekë, të akumuluara gjatë viteve deri në vitin 2013.</w:t>
      </w:r>
    </w:p>
    <w:p w:rsidR="00F43050" w:rsidRPr="00AB477F" w:rsidRDefault="00F43050" w:rsidP="00534AA6">
      <w:pPr>
        <w:pStyle w:val="ListParagraph"/>
        <w:numPr>
          <w:ilvl w:val="0"/>
          <w:numId w:val="145"/>
        </w:numPr>
        <w:spacing w:line="276" w:lineRule="auto"/>
        <w:contextualSpacing/>
        <w:jc w:val="both"/>
        <w:rPr>
          <w:lang w:val="sq-AL"/>
        </w:rPr>
      </w:pPr>
      <w:r w:rsidRPr="00AB477F">
        <w:rPr>
          <w:lang w:val="sq-AL"/>
        </w:rPr>
        <w:lastRenderedPageBreak/>
        <w:t>Akse rrugësh nacionale të papërfunduara dhe të pa-pajisuara me sinjalistikën rrugore të domosdoshme</w:t>
      </w:r>
    </w:p>
    <w:p w:rsidR="00F43050" w:rsidRDefault="00F43050" w:rsidP="00F43050">
      <w:pPr>
        <w:spacing w:line="276" w:lineRule="auto"/>
        <w:jc w:val="both"/>
        <w:rPr>
          <w:lang w:val="sq-AL"/>
        </w:rPr>
      </w:pPr>
    </w:p>
    <w:p w:rsidR="00F43050" w:rsidRPr="00F43050" w:rsidRDefault="006D51B9" w:rsidP="00F43050">
      <w:pPr>
        <w:spacing w:line="276" w:lineRule="auto"/>
        <w:jc w:val="both"/>
        <w:rPr>
          <w:b/>
          <w:lang w:val="sq-AL"/>
        </w:rPr>
      </w:pPr>
      <w:r>
        <w:rPr>
          <w:b/>
          <w:lang w:val="sq-AL"/>
        </w:rPr>
        <w:t xml:space="preserve">4.4.2 </w:t>
      </w:r>
      <w:r w:rsidR="00F43050" w:rsidRPr="00F43050">
        <w:rPr>
          <w:b/>
          <w:lang w:val="sq-AL"/>
        </w:rPr>
        <w:t>Reformat e Ndërmarra 2014-2016</w:t>
      </w:r>
    </w:p>
    <w:p w:rsidR="00F43050" w:rsidRDefault="00F43050" w:rsidP="00F43050">
      <w:pPr>
        <w:spacing w:line="276" w:lineRule="auto"/>
        <w:jc w:val="both"/>
        <w:rPr>
          <w:lang w:val="sq-AL"/>
        </w:rPr>
      </w:pPr>
      <w:r>
        <w:rPr>
          <w:lang w:val="sq-AL"/>
        </w:rPr>
        <w:t>Objektivi i përgjithshëm për këtë sektor është (i) zhvillimi më</w:t>
      </w:r>
      <w:r w:rsidRPr="00C87E21">
        <w:rPr>
          <w:lang w:val="sq-AL"/>
        </w:rPr>
        <w:t xml:space="preserve"> tej</w:t>
      </w:r>
      <w:r>
        <w:rPr>
          <w:lang w:val="sq-AL"/>
        </w:rPr>
        <w:t xml:space="preserve"> i sistemit</w:t>
      </w:r>
      <w:r w:rsidRPr="00C87E21">
        <w:rPr>
          <w:lang w:val="sq-AL"/>
        </w:rPr>
        <w:t xml:space="preserve"> kombëtar të transportit të S</w:t>
      </w:r>
      <w:r>
        <w:rPr>
          <w:lang w:val="sq-AL"/>
        </w:rPr>
        <w:t>hqipërisë dhe përveç kësaj (ii) të përmirësohet ndjeshëm qëndrueshmëria, ndërlidhjea, ndërveprimi dhe integrimi i</w:t>
      </w:r>
      <w:r w:rsidRPr="00C87E21">
        <w:rPr>
          <w:lang w:val="sq-AL"/>
        </w:rPr>
        <w:t xml:space="preserve"> tij me sistemin më të gjerë ndërkombëtar dhe evr</w:t>
      </w:r>
      <w:r>
        <w:rPr>
          <w:lang w:val="sq-AL"/>
        </w:rPr>
        <w:t>opian të transportit dhe rajonit</w:t>
      </w:r>
      <w:r w:rsidRPr="00C87E21">
        <w:rPr>
          <w:lang w:val="sq-AL"/>
        </w:rPr>
        <w:t>.</w:t>
      </w:r>
    </w:p>
    <w:p w:rsidR="00F43050" w:rsidRDefault="00F43050" w:rsidP="00F43050">
      <w:pPr>
        <w:spacing w:line="276" w:lineRule="auto"/>
        <w:jc w:val="both"/>
        <w:rPr>
          <w:lang w:val="sq-AL"/>
        </w:rPr>
      </w:pPr>
      <w:r>
        <w:rPr>
          <w:lang w:val="sq-AL"/>
        </w:rPr>
        <w:t>Në vijim të strategjive, politikave, programeve dhe projekteve në këtë sektor, gatë periudhës 2014-2016 është arritur të realizohen objektivat kryesorë për këtë sektor. Më konkretisht sipas llojeve kryesore të trasportit, po i paraqesim sa më poshtë vijon:</w:t>
      </w:r>
    </w:p>
    <w:p w:rsidR="00F43050" w:rsidRPr="00726EEB" w:rsidRDefault="00F43050" w:rsidP="00534AA6">
      <w:pPr>
        <w:pStyle w:val="ListParagraph"/>
        <w:numPr>
          <w:ilvl w:val="0"/>
          <w:numId w:val="144"/>
        </w:numPr>
        <w:spacing w:line="276" w:lineRule="auto"/>
        <w:contextualSpacing/>
        <w:jc w:val="both"/>
      </w:pPr>
      <w:r w:rsidRPr="00726EEB">
        <w:t>Janë ndërtuar sipas standardeve bashkë</w:t>
      </w:r>
      <w:r>
        <w:t xml:space="preserve">kohore i 232 </w:t>
      </w:r>
      <w:r w:rsidRPr="00726EEB">
        <w:t xml:space="preserve"> km rrugë;</w:t>
      </w:r>
    </w:p>
    <w:p w:rsidR="00F43050" w:rsidRPr="00726EEB" w:rsidRDefault="00F43050" w:rsidP="00534AA6">
      <w:pPr>
        <w:pStyle w:val="ListParagraph"/>
        <w:numPr>
          <w:ilvl w:val="0"/>
          <w:numId w:val="144"/>
        </w:numPr>
        <w:spacing w:line="276" w:lineRule="auto"/>
        <w:contextualSpacing/>
        <w:jc w:val="both"/>
      </w:pPr>
      <w:r w:rsidRPr="00726EEB">
        <w:t xml:space="preserve">Janë rikonstruktuar </w:t>
      </w:r>
      <w:r>
        <w:t>167</w:t>
      </w:r>
      <w:r w:rsidRPr="005F484E">
        <w:t>.4 km rrugë;</w:t>
      </w:r>
    </w:p>
    <w:p w:rsidR="00F43050" w:rsidRPr="00726EEB" w:rsidRDefault="00F43050" w:rsidP="00534AA6">
      <w:pPr>
        <w:pStyle w:val="ListParagraph"/>
        <w:numPr>
          <w:ilvl w:val="0"/>
          <w:numId w:val="144"/>
        </w:numPr>
        <w:contextualSpacing/>
        <w:jc w:val="both"/>
      </w:pPr>
      <w:r>
        <w:t>Janë ndërtuar 79 310</w:t>
      </w:r>
      <w:r w:rsidRPr="00726EEB">
        <w:t xml:space="preserve"> ml “Lidhje të reja të furnizimit me ujë”;</w:t>
      </w:r>
    </w:p>
    <w:p w:rsidR="00F43050" w:rsidRPr="00726EEB" w:rsidRDefault="00F43050" w:rsidP="00534AA6">
      <w:pPr>
        <w:pStyle w:val="ListParagraph"/>
        <w:numPr>
          <w:ilvl w:val="0"/>
          <w:numId w:val="144"/>
        </w:numPr>
        <w:contextualSpacing/>
        <w:jc w:val="both"/>
      </w:pPr>
      <w:r>
        <w:t>Janë ndërtuar 264 802</w:t>
      </w:r>
      <w:r w:rsidRPr="00726EEB">
        <w:t xml:space="preserve"> ml “Rrjet kanalizimesh të ujërave të zeza i shtruar”;</w:t>
      </w:r>
    </w:p>
    <w:p w:rsidR="00F43050" w:rsidRPr="00397BB9" w:rsidRDefault="00F43050" w:rsidP="00F43050">
      <w:pPr>
        <w:pStyle w:val="ListParagraph"/>
        <w:spacing w:line="276" w:lineRule="auto"/>
        <w:jc w:val="both"/>
      </w:pPr>
    </w:p>
    <w:p w:rsidR="00F43050" w:rsidRDefault="00F43050" w:rsidP="00F43050">
      <w:pPr>
        <w:spacing w:line="276" w:lineRule="auto"/>
        <w:jc w:val="both"/>
        <w:rPr>
          <w:lang w:val="sq-AL"/>
        </w:rPr>
      </w:pPr>
    </w:p>
    <w:p w:rsidR="00F43050" w:rsidRPr="00F43050" w:rsidRDefault="006D51B9" w:rsidP="00F43050">
      <w:pPr>
        <w:spacing w:line="276" w:lineRule="auto"/>
        <w:jc w:val="both"/>
        <w:rPr>
          <w:b/>
          <w:lang w:val="sq-AL"/>
        </w:rPr>
      </w:pPr>
      <w:r>
        <w:rPr>
          <w:b/>
          <w:lang w:val="sq-AL"/>
        </w:rPr>
        <w:t xml:space="preserve">4.4.3 </w:t>
      </w:r>
      <w:r w:rsidR="00F43050" w:rsidRPr="00F43050">
        <w:rPr>
          <w:b/>
          <w:lang w:val="sq-AL"/>
        </w:rPr>
        <w:t>Prioritetet e vitit 2017</w:t>
      </w:r>
    </w:p>
    <w:p w:rsidR="00F43050" w:rsidRDefault="00F43050" w:rsidP="00F43050">
      <w:pPr>
        <w:spacing w:line="276" w:lineRule="auto"/>
        <w:jc w:val="both"/>
        <w:rPr>
          <w:lang w:val="sq-AL"/>
        </w:rPr>
      </w:pPr>
      <w:r>
        <w:rPr>
          <w:lang w:val="sq-AL"/>
        </w:rPr>
        <w:t>Buxheti i vitit 2017</w:t>
      </w:r>
      <w:r w:rsidRPr="00EB71F1">
        <w:rPr>
          <w:lang w:val="sq-AL"/>
        </w:rPr>
        <w:t xml:space="preserve"> synon përmirësimin e cilësisë </w:t>
      </w:r>
      <w:r>
        <w:rPr>
          <w:lang w:val="sq-AL"/>
        </w:rPr>
        <w:t>infrastrukturore në të gjitha nivelet transportit</w:t>
      </w:r>
      <w:r w:rsidRPr="00EB71F1">
        <w:rPr>
          <w:lang w:val="sq-AL"/>
        </w:rPr>
        <w:t>,</w:t>
      </w:r>
      <w:r>
        <w:rPr>
          <w:lang w:val="sq-AL"/>
        </w:rPr>
        <w:t xml:space="preserve"> atë rrugor, hekurudhor, detar, ajror, si dhe në përmirësimin e rrjetit të ujësjellës-kanalizimeve. Duke kontribuar kështu, në rrritjen e sigurisë në transport dhe përmirësimin e jetës së qytetarëve.</w:t>
      </w:r>
    </w:p>
    <w:p w:rsidR="00F43050" w:rsidRPr="00A75361" w:rsidRDefault="00F43050" w:rsidP="00F43050">
      <w:pPr>
        <w:pStyle w:val="ListParagraph"/>
        <w:spacing w:after="60" w:line="276" w:lineRule="auto"/>
        <w:ind w:left="0"/>
        <w:jc w:val="both"/>
        <w:rPr>
          <w:rFonts w:eastAsia="SimSun"/>
        </w:rPr>
      </w:pPr>
      <w:r w:rsidRPr="00A75361">
        <w:rPr>
          <w:rFonts w:eastAsia="SimSun"/>
        </w:rPr>
        <w:t>Për</w:t>
      </w:r>
      <w:r>
        <w:rPr>
          <w:rFonts w:eastAsia="SimSun"/>
        </w:rPr>
        <w:t xml:space="preserve"> vitin 2017, </w:t>
      </w:r>
      <w:r w:rsidRPr="00A75361">
        <w:rPr>
          <w:rFonts w:eastAsia="SimSun"/>
        </w:rPr>
        <w:t xml:space="preserve">politika e transportit </w:t>
      </w:r>
      <w:r>
        <w:rPr>
          <w:rFonts w:eastAsia="SimSun"/>
        </w:rPr>
        <w:t>do të fokusohet</w:t>
      </w:r>
      <w:r w:rsidRPr="00A75361">
        <w:rPr>
          <w:rFonts w:eastAsia="SimSun"/>
        </w:rPr>
        <w:t>:</w:t>
      </w:r>
    </w:p>
    <w:p w:rsidR="00F43050" w:rsidRPr="00A75361" w:rsidRDefault="00F43050" w:rsidP="00534AA6">
      <w:pPr>
        <w:pStyle w:val="ListParagraph"/>
        <w:numPr>
          <w:ilvl w:val="0"/>
          <w:numId w:val="138"/>
        </w:numPr>
        <w:spacing w:after="60" w:line="276" w:lineRule="auto"/>
        <w:jc w:val="both"/>
        <w:rPr>
          <w:rFonts w:eastAsia="SimSun"/>
        </w:rPr>
      </w:pPr>
      <w:r>
        <w:rPr>
          <w:rFonts w:eastAsia="SimSun"/>
        </w:rPr>
        <w:t>Në përshpejtimin e përpjekjeve</w:t>
      </w:r>
      <w:r w:rsidRPr="00A75361">
        <w:rPr>
          <w:rFonts w:eastAsia="SimSun"/>
        </w:rPr>
        <w:t xml:space="preserve"> për të zbatuar reformën e sektorit hekurudhor, në veçanti duke siguruar pavarësinë e nevojshme të operacioneve të trenave nga menaxhimi</w:t>
      </w:r>
      <w:r>
        <w:rPr>
          <w:rFonts w:eastAsia="SimSun"/>
        </w:rPr>
        <w:t xml:space="preserve"> i</w:t>
      </w:r>
      <w:r w:rsidRPr="00A75361">
        <w:rPr>
          <w:rFonts w:eastAsia="SimSun"/>
        </w:rPr>
        <w:t xml:space="preserve"> infrastrukturës në përputhje me acquis;</w:t>
      </w:r>
    </w:p>
    <w:p w:rsidR="00F43050" w:rsidRPr="00A75361" w:rsidRDefault="00F43050" w:rsidP="00534AA6">
      <w:pPr>
        <w:pStyle w:val="ListParagraph"/>
        <w:numPr>
          <w:ilvl w:val="0"/>
          <w:numId w:val="138"/>
        </w:numPr>
        <w:spacing w:after="60" w:line="276" w:lineRule="auto"/>
        <w:jc w:val="both"/>
        <w:rPr>
          <w:rFonts w:eastAsia="SimSun"/>
        </w:rPr>
      </w:pPr>
      <w:r>
        <w:rPr>
          <w:rFonts w:eastAsia="SimSun"/>
        </w:rPr>
        <w:t>Në forcimin e kapaciteteve</w:t>
      </w:r>
      <w:r w:rsidRPr="00A75361">
        <w:rPr>
          <w:rFonts w:eastAsia="SimSun"/>
        </w:rPr>
        <w:t xml:space="preserve"> administrative për të gjitha llojet e transportit, në veçanti për të siguruar zbatimin e legjislacionit për mallrat e rrezikshme;</w:t>
      </w:r>
    </w:p>
    <w:p w:rsidR="00F43050" w:rsidRPr="00AB477F" w:rsidRDefault="00F43050" w:rsidP="00534AA6">
      <w:pPr>
        <w:pStyle w:val="ListParagraph"/>
        <w:numPr>
          <w:ilvl w:val="0"/>
          <w:numId w:val="138"/>
        </w:numPr>
        <w:spacing w:after="120" w:line="276" w:lineRule="auto"/>
        <w:contextualSpacing/>
        <w:jc w:val="both"/>
        <w:rPr>
          <w:rFonts w:eastAsia="SimSun"/>
          <w:lang w:val="it-IT"/>
        </w:rPr>
      </w:pPr>
      <w:r w:rsidRPr="00AB477F">
        <w:rPr>
          <w:rFonts w:eastAsia="SimSun"/>
          <w:lang w:val="it-IT"/>
        </w:rPr>
        <w:t>Në miratimin dhe zbatimin e strategjinë së transportit.</w:t>
      </w:r>
    </w:p>
    <w:p w:rsidR="00F43050" w:rsidRDefault="00F43050" w:rsidP="00F43050">
      <w:pPr>
        <w:spacing w:line="276" w:lineRule="auto"/>
        <w:jc w:val="both"/>
        <w:rPr>
          <w:b/>
          <w:lang w:val="sq-AL"/>
        </w:rPr>
      </w:pPr>
    </w:p>
    <w:p w:rsidR="00F43050" w:rsidRPr="00CA0B7F" w:rsidRDefault="00F43050" w:rsidP="00F43050">
      <w:pPr>
        <w:spacing w:line="276" w:lineRule="auto"/>
        <w:jc w:val="both"/>
        <w:rPr>
          <w:b/>
          <w:lang w:val="sq-AL"/>
        </w:rPr>
      </w:pPr>
      <w:r w:rsidRPr="00CA0B7F">
        <w:rPr>
          <w:b/>
          <w:lang w:val="sq-AL"/>
        </w:rPr>
        <w:t>Transporti Rrugor</w:t>
      </w:r>
      <w:r>
        <w:rPr>
          <w:b/>
          <w:lang w:val="sq-AL"/>
        </w:rPr>
        <w:t>:</w:t>
      </w:r>
    </w:p>
    <w:p w:rsidR="00F43050" w:rsidRPr="004C6FF8" w:rsidRDefault="00F43050" w:rsidP="00F43050">
      <w:pPr>
        <w:spacing w:line="276" w:lineRule="auto"/>
        <w:ind w:firstLine="720"/>
        <w:jc w:val="both"/>
        <w:rPr>
          <w:lang w:val="it-IT"/>
        </w:rPr>
      </w:pPr>
      <w:r w:rsidRPr="004C6FF8">
        <w:rPr>
          <w:lang w:val="sq-AL"/>
        </w:rPr>
        <w:t xml:space="preserve">Gjatë vitit </w:t>
      </w:r>
      <w:r w:rsidRPr="00AB477F">
        <w:rPr>
          <w:lang w:val="sq-AL"/>
        </w:rPr>
        <w:t xml:space="preserve">2017 në këtë sektor synohet ulja ndjeshëm e aksidenteve rrugore, duke përmirësuar sinjalistikën dhe mirëmbajtjen e njollave të zeza, si dhe përfundimi i punimeve në disa akse dhe segmente rrugore kryesore. </w:t>
      </w:r>
      <w:r w:rsidRPr="004C6FF8">
        <w:rPr>
          <w:lang w:val="it-IT"/>
        </w:rPr>
        <w:t>Prioritet do të jenë:</w:t>
      </w:r>
    </w:p>
    <w:p w:rsidR="00F43050" w:rsidRDefault="00F43050" w:rsidP="00534AA6">
      <w:pPr>
        <w:numPr>
          <w:ilvl w:val="0"/>
          <w:numId w:val="137"/>
        </w:numPr>
        <w:spacing w:line="276" w:lineRule="auto"/>
        <w:jc w:val="both"/>
        <w:rPr>
          <w:lang w:val="sq-AL"/>
        </w:rPr>
      </w:pPr>
      <w:r w:rsidRPr="004C6FF8">
        <w:rPr>
          <w:lang w:val="sq-AL"/>
        </w:rPr>
        <w:t>Rritja dhe përmirësimi i sistemit të mirëmbajtjes së rrjetit rrugor kombëtar; rritjen e sigurisë së qarkullimit rrugor, duke synuar arritjen e standardeve evropiane dhe uljen e aksidenteve rrugorë, si: përmirësimin e komponentëve të sigurisë rrugore me sinjalistikë dhe përmirësimin e pikave të rrezikut.</w:t>
      </w:r>
    </w:p>
    <w:p w:rsidR="00F43050" w:rsidRPr="00706E52" w:rsidRDefault="00F43050" w:rsidP="00534AA6">
      <w:pPr>
        <w:numPr>
          <w:ilvl w:val="0"/>
          <w:numId w:val="137"/>
        </w:numPr>
        <w:spacing w:line="276" w:lineRule="auto"/>
        <w:jc w:val="both"/>
        <w:rPr>
          <w:lang w:val="sq-AL"/>
        </w:rPr>
      </w:pPr>
      <w:r>
        <w:rPr>
          <w:lang w:val="sq-AL"/>
        </w:rPr>
        <w:t>Me ndryshimin e Kodit R</w:t>
      </w:r>
      <w:r w:rsidRPr="00706E52">
        <w:rPr>
          <w:lang w:val="sq-AL"/>
        </w:rPr>
        <w:t>rugor</w:t>
      </w:r>
      <w:r>
        <w:rPr>
          <w:lang w:val="sq-AL"/>
        </w:rPr>
        <w:t xml:space="preserve"> synohet hamornizimi i plotë</w:t>
      </w:r>
      <w:r w:rsidRPr="00706E52">
        <w:rPr>
          <w:lang w:val="sq-AL"/>
        </w:rPr>
        <w:t xml:space="preserve"> me direktivën e BE-së për </w:t>
      </w:r>
      <w:r>
        <w:rPr>
          <w:lang w:val="sq-AL"/>
        </w:rPr>
        <w:t>lejet e drejtimit te mjeteve</w:t>
      </w:r>
      <w:r w:rsidRPr="00706E52">
        <w:rPr>
          <w:lang w:val="sq-AL"/>
        </w:rPr>
        <w:t>.</w:t>
      </w:r>
    </w:p>
    <w:p w:rsidR="00F43050" w:rsidRPr="00706E52" w:rsidRDefault="00F43050" w:rsidP="00534AA6">
      <w:pPr>
        <w:numPr>
          <w:ilvl w:val="0"/>
          <w:numId w:val="137"/>
        </w:numPr>
        <w:spacing w:line="276" w:lineRule="auto"/>
        <w:jc w:val="both"/>
        <w:rPr>
          <w:lang w:val="sq-AL"/>
        </w:rPr>
      </w:pPr>
      <w:r>
        <w:rPr>
          <w:lang w:val="sq-AL"/>
        </w:rPr>
        <w:t xml:space="preserve">Zbatimi i plotë i </w:t>
      </w:r>
      <w:r w:rsidRPr="00706E52">
        <w:rPr>
          <w:lang w:val="sq-AL"/>
        </w:rPr>
        <w:t>legjislacioni</w:t>
      </w:r>
      <w:r>
        <w:rPr>
          <w:lang w:val="sq-AL"/>
        </w:rPr>
        <w:t>t</w:t>
      </w:r>
      <w:r w:rsidRPr="00706E52">
        <w:rPr>
          <w:lang w:val="sq-AL"/>
        </w:rPr>
        <w:t xml:space="preserve"> për trans</w:t>
      </w:r>
      <w:r>
        <w:rPr>
          <w:lang w:val="sq-AL"/>
        </w:rPr>
        <w:t xml:space="preserve">portin e mallrave të rrezikshme, i cili </w:t>
      </w:r>
      <w:r w:rsidRPr="00706E52">
        <w:rPr>
          <w:lang w:val="sq-AL"/>
        </w:rPr>
        <w:t xml:space="preserve">është në përputhje të plotë me </w:t>
      </w:r>
      <w:r w:rsidRPr="00706E52">
        <w:rPr>
          <w:i/>
          <w:lang w:val="sq-AL"/>
        </w:rPr>
        <w:t>acquis</w:t>
      </w:r>
      <w:r w:rsidRPr="00706E52">
        <w:rPr>
          <w:lang w:val="sq-AL"/>
        </w:rPr>
        <w:t>.</w:t>
      </w:r>
    </w:p>
    <w:p w:rsidR="00F43050" w:rsidRPr="00706E52" w:rsidRDefault="00F43050" w:rsidP="00534AA6">
      <w:pPr>
        <w:numPr>
          <w:ilvl w:val="0"/>
          <w:numId w:val="137"/>
        </w:numPr>
        <w:spacing w:line="276" w:lineRule="auto"/>
        <w:jc w:val="both"/>
        <w:rPr>
          <w:lang w:val="sq-AL"/>
        </w:rPr>
      </w:pPr>
      <w:r>
        <w:rPr>
          <w:lang w:val="sq-AL"/>
        </w:rPr>
        <w:t xml:space="preserve">Harmonizimi i mëtejshëm me </w:t>
      </w:r>
      <w:r w:rsidRPr="00706E52">
        <w:rPr>
          <w:i/>
          <w:lang w:val="sq-AL"/>
        </w:rPr>
        <w:t>acquis</w:t>
      </w:r>
      <w:r>
        <w:rPr>
          <w:lang w:val="sq-AL"/>
        </w:rPr>
        <w:t xml:space="preserve"> i l</w:t>
      </w:r>
      <w:r w:rsidRPr="00706E52">
        <w:rPr>
          <w:lang w:val="sq-AL"/>
        </w:rPr>
        <w:t>egjislacioni</w:t>
      </w:r>
      <w:r>
        <w:rPr>
          <w:lang w:val="sq-AL"/>
        </w:rPr>
        <w:t>t</w:t>
      </w:r>
      <w:r w:rsidRPr="00706E52">
        <w:rPr>
          <w:lang w:val="sq-AL"/>
        </w:rPr>
        <w:t xml:space="preserve"> mbi inspektimet e infrastrukturës rrugore dhe të automjeteve.</w:t>
      </w:r>
    </w:p>
    <w:p w:rsidR="00F43050" w:rsidRDefault="00F43050" w:rsidP="00534AA6">
      <w:pPr>
        <w:numPr>
          <w:ilvl w:val="0"/>
          <w:numId w:val="137"/>
        </w:numPr>
        <w:spacing w:line="276" w:lineRule="auto"/>
        <w:jc w:val="both"/>
        <w:rPr>
          <w:lang w:val="sq-AL"/>
        </w:rPr>
      </w:pPr>
      <w:r>
        <w:rPr>
          <w:lang w:val="sq-AL"/>
        </w:rPr>
        <w:t xml:space="preserve">Harmonizimi dhe përafrimi me </w:t>
      </w:r>
      <w:r w:rsidRPr="00776973">
        <w:rPr>
          <w:i/>
          <w:lang w:val="sq-AL"/>
        </w:rPr>
        <w:t>acquis</w:t>
      </w:r>
      <w:r>
        <w:rPr>
          <w:lang w:val="sq-AL"/>
        </w:rPr>
        <w:t xml:space="preserve"> i lëgjislacionit për </w:t>
      </w:r>
      <w:r w:rsidRPr="00706E52">
        <w:rPr>
          <w:lang w:val="sq-AL"/>
        </w:rPr>
        <w:t>pranimin në profesionin e sipërmarrësit të transportit dhe akses</w:t>
      </w:r>
      <w:r>
        <w:rPr>
          <w:lang w:val="sq-AL"/>
        </w:rPr>
        <w:t>it</w:t>
      </w:r>
      <w:r w:rsidRPr="00706E52">
        <w:rPr>
          <w:lang w:val="sq-AL"/>
        </w:rPr>
        <w:t xml:space="preserve"> në tregun e transportit rrugor.</w:t>
      </w:r>
    </w:p>
    <w:p w:rsidR="00F43050" w:rsidRDefault="00F43050" w:rsidP="00534AA6">
      <w:pPr>
        <w:numPr>
          <w:ilvl w:val="0"/>
          <w:numId w:val="137"/>
        </w:numPr>
        <w:spacing w:line="276" w:lineRule="auto"/>
        <w:jc w:val="both"/>
        <w:rPr>
          <w:lang w:val="sq-AL"/>
        </w:rPr>
      </w:pPr>
      <w:r>
        <w:rPr>
          <w:lang w:val="sq-AL"/>
        </w:rPr>
        <w:lastRenderedPageBreak/>
        <w:t>Vijueshmëria e procesit të krijimit të kufijve për shkarkimet e gazrave, proces ky i filluar në mars të vitit 2015.</w:t>
      </w:r>
    </w:p>
    <w:p w:rsidR="00F43050" w:rsidRPr="00AB477F" w:rsidRDefault="00F43050" w:rsidP="00534AA6">
      <w:pPr>
        <w:pStyle w:val="ListParagraph"/>
        <w:numPr>
          <w:ilvl w:val="0"/>
          <w:numId w:val="137"/>
        </w:numPr>
        <w:spacing w:line="276" w:lineRule="auto"/>
        <w:contextualSpacing/>
        <w:jc w:val="both"/>
        <w:rPr>
          <w:rFonts w:eastAsia="SimSun"/>
          <w:lang w:val="sq-AL"/>
        </w:rPr>
      </w:pPr>
      <w:r w:rsidRPr="00AB477F">
        <w:rPr>
          <w:rFonts w:eastAsia="SimSun"/>
          <w:lang w:val="sq-AL"/>
        </w:rPr>
        <w:t>Përmirësimin e mëtejshëm në procesin e projektimit, ndërtimit dhe mbikëqyrjen e rrugëve shqiptare, i cili do të sigurojë punime rrugore me cilësi më të mirë dhe përdorimin më efikas të parave publike, veçanërisht për projektet e financuara nga burimet e brendshme.</w:t>
      </w:r>
    </w:p>
    <w:p w:rsidR="00F43050" w:rsidRPr="00AB477F" w:rsidRDefault="00F43050" w:rsidP="00534AA6">
      <w:pPr>
        <w:pStyle w:val="ListParagraph"/>
        <w:numPr>
          <w:ilvl w:val="0"/>
          <w:numId w:val="137"/>
        </w:numPr>
        <w:contextualSpacing/>
        <w:jc w:val="both"/>
        <w:rPr>
          <w:rFonts w:eastAsia="SimSun"/>
          <w:lang w:val="sq-AL"/>
        </w:rPr>
      </w:pPr>
      <w:r w:rsidRPr="00AB477F">
        <w:rPr>
          <w:rFonts w:eastAsia="SimSun"/>
          <w:lang w:val="sq-AL"/>
        </w:rPr>
        <w:t>Përmirësimi i mëtejshëm në përdorimin efikas të burimeve dhe zgjerimin e pjesëmarrjes private në aktivitete e ARRSH-së.</w:t>
      </w:r>
    </w:p>
    <w:p w:rsidR="00F43050" w:rsidRDefault="00F43050" w:rsidP="00534AA6">
      <w:pPr>
        <w:numPr>
          <w:ilvl w:val="0"/>
          <w:numId w:val="137"/>
        </w:numPr>
        <w:spacing w:line="276" w:lineRule="auto"/>
        <w:jc w:val="both"/>
        <w:rPr>
          <w:lang w:val="sq-AL"/>
        </w:rPr>
      </w:pPr>
      <w:r>
        <w:rPr>
          <w:lang w:val="sq-AL"/>
        </w:rPr>
        <w:t>Avancimi i mëtejshëm në procesin e</w:t>
      </w:r>
      <w:r w:rsidRPr="001B7203">
        <w:rPr>
          <w:lang w:val="sq-AL"/>
        </w:rPr>
        <w:t xml:space="preserve"> l</w:t>
      </w:r>
      <w:r>
        <w:rPr>
          <w:lang w:val="sq-AL"/>
        </w:rPr>
        <w:t>idhjes së</w:t>
      </w:r>
      <w:r w:rsidRPr="001B7203">
        <w:rPr>
          <w:lang w:val="sq-AL"/>
        </w:rPr>
        <w:t xml:space="preserve"> të gjitha llojeve të transportit dhe </w:t>
      </w:r>
      <w:r>
        <w:rPr>
          <w:lang w:val="sq-AL"/>
        </w:rPr>
        <w:t>n</w:t>
      </w:r>
      <w:r w:rsidRPr="001B7203">
        <w:rPr>
          <w:lang w:val="sq-AL"/>
        </w:rPr>
        <w:t xml:space="preserve">ë </w:t>
      </w:r>
      <w:r>
        <w:rPr>
          <w:lang w:val="sq-AL"/>
        </w:rPr>
        <w:t>përmirësimin e intermodaliteteve të</w:t>
      </w:r>
      <w:r w:rsidRPr="001B7203">
        <w:rPr>
          <w:lang w:val="sq-AL"/>
        </w:rPr>
        <w:t xml:space="preserve"> infrastrukturës së transportit që i shërbejnë qe</w:t>
      </w:r>
      <w:r>
        <w:rPr>
          <w:lang w:val="sq-AL"/>
        </w:rPr>
        <w:t>ndrave ekonomike të Shqipërisë.</w:t>
      </w:r>
    </w:p>
    <w:p w:rsidR="00F43050" w:rsidRPr="001B7203" w:rsidRDefault="00F43050" w:rsidP="00534AA6">
      <w:pPr>
        <w:numPr>
          <w:ilvl w:val="0"/>
          <w:numId w:val="137"/>
        </w:numPr>
        <w:spacing w:line="276" w:lineRule="auto"/>
        <w:jc w:val="both"/>
        <w:rPr>
          <w:lang w:val="sq-AL"/>
        </w:rPr>
      </w:pPr>
      <w:r>
        <w:rPr>
          <w:lang w:val="sq-AL"/>
        </w:rPr>
        <w:t xml:space="preserve">Vazhdimësia në ndërtimin e akseve rrugore kryesore si: </w:t>
      </w:r>
      <w:r w:rsidRPr="003E03FE">
        <w:rPr>
          <w:lang w:val="sq-AL"/>
        </w:rPr>
        <w:t>Ndërtimi i rrugës Qukës-Qafë Plloçë</w:t>
      </w:r>
      <w:r>
        <w:rPr>
          <w:lang w:val="sq-AL"/>
        </w:rPr>
        <w:t xml:space="preserve">; </w:t>
      </w:r>
      <w:r w:rsidRPr="00604647">
        <w:rPr>
          <w:lang w:val="sq-AL"/>
        </w:rPr>
        <w:t xml:space="preserve">Ndërtimi i rrugës Fushë Krujë - </w:t>
      </w:r>
      <w:r>
        <w:rPr>
          <w:lang w:val="sq-AL"/>
        </w:rPr>
        <w:t>Thumanë</w:t>
      </w:r>
      <w:r w:rsidRPr="00604647">
        <w:rPr>
          <w:lang w:val="sq-AL"/>
        </w:rPr>
        <w:t xml:space="preserve"> (dyfishimi) rrugë me 4 korsi</w:t>
      </w:r>
      <w:r>
        <w:rPr>
          <w:lang w:val="sq-AL"/>
        </w:rPr>
        <w:t>,</w:t>
      </w:r>
      <w:r w:rsidRPr="00AB477F">
        <w:rPr>
          <w:lang w:val="sq-AL"/>
        </w:rPr>
        <w:t xml:space="preserve"> </w:t>
      </w:r>
      <w:r w:rsidRPr="003E03FE">
        <w:rPr>
          <w:lang w:val="sq-AL"/>
        </w:rPr>
        <w:t>Ndërtimi i by-pass-it të Vlorës</w:t>
      </w:r>
      <w:r>
        <w:rPr>
          <w:lang w:val="sq-AL"/>
        </w:rPr>
        <w:t>,</w:t>
      </w:r>
      <w:r w:rsidRPr="00AB477F">
        <w:rPr>
          <w:lang w:val="sq-AL"/>
        </w:rPr>
        <w:t xml:space="preserve"> </w:t>
      </w:r>
      <w:r w:rsidRPr="003E03FE">
        <w:rPr>
          <w:lang w:val="sq-AL"/>
        </w:rPr>
        <w:t>Ndërtimi i by-pass-it të Fierit</w:t>
      </w:r>
      <w:r>
        <w:rPr>
          <w:lang w:val="sq-AL"/>
        </w:rPr>
        <w:t>;</w:t>
      </w:r>
      <w:r w:rsidRPr="00AB477F">
        <w:rPr>
          <w:lang w:val="sq-AL"/>
        </w:rPr>
        <w:t xml:space="preserve"> </w:t>
      </w:r>
      <w:r w:rsidRPr="003E03FE">
        <w:rPr>
          <w:lang w:val="sq-AL"/>
        </w:rPr>
        <w:t>Ndërtimi i rrugës Skrapar-Përmet</w:t>
      </w:r>
      <w:r>
        <w:rPr>
          <w:lang w:val="sq-AL"/>
        </w:rPr>
        <w:t xml:space="preserve"> etj.</w:t>
      </w:r>
    </w:p>
    <w:p w:rsidR="00F43050" w:rsidRPr="004C6FF8" w:rsidRDefault="00F43050" w:rsidP="00534AA6">
      <w:pPr>
        <w:numPr>
          <w:ilvl w:val="0"/>
          <w:numId w:val="137"/>
        </w:numPr>
        <w:spacing w:line="276" w:lineRule="auto"/>
        <w:jc w:val="both"/>
        <w:rPr>
          <w:lang w:val="sq-AL"/>
        </w:rPr>
      </w:pPr>
      <w:r w:rsidRPr="004C6FF8">
        <w:rPr>
          <w:lang w:val="sq-AL"/>
        </w:rPr>
        <w:t xml:space="preserve">Mbulimi me TVSH, kosto lokale dhe i shpronësimeve të projekteve me financim të huaj. </w:t>
      </w:r>
    </w:p>
    <w:p w:rsidR="00F43050" w:rsidRPr="00CA0B7F" w:rsidRDefault="00F43050" w:rsidP="00534AA6">
      <w:pPr>
        <w:numPr>
          <w:ilvl w:val="0"/>
          <w:numId w:val="137"/>
        </w:numPr>
        <w:spacing w:line="276" w:lineRule="auto"/>
        <w:jc w:val="both"/>
        <w:rPr>
          <w:lang w:val="sq-AL"/>
        </w:rPr>
      </w:pPr>
      <w:r w:rsidRPr="009437AD">
        <w:rPr>
          <w:lang w:val="sq-AL"/>
        </w:rPr>
        <w:t>Me planifikimin e bërë për vitin 2017, mbyllen totalisht  me financim  29  kontrata për objekte rrugore</w:t>
      </w:r>
      <w:r>
        <w:rPr>
          <w:lang w:val="sq-AL"/>
        </w:rPr>
        <w:t>, sa në vijim akset kryesore</w:t>
      </w:r>
      <w:r w:rsidRPr="009437AD">
        <w:rPr>
          <w:lang w:val="sq-AL"/>
        </w:rPr>
        <w:t>:</w:t>
      </w:r>
    </w:p>
    <w:p w:rsidR="00F43050" w:rsidRPr="009437AD" w:rsidRDefault="00F43050" w:rsidP="00534AA6">
      <w:pPr>
        <w:numPr>
          <w:ilvl w:val="1"/>
          <w:numId w:val="137"/>
        </w:numPr>
        <w:spacing w:line="276" w:lineRule="auto"/>
        <w:jc w:val="both"/>
        <w:rPr>
          <w:lang w:val="sq-AL"/>
        </w:rPr>
      </w:pPr>
      <w:r w:rsidRPr="009437AD">
        <w:rPr>
          <w:lang w:val="sq-AL"/>
        </w:rPr>
        <w:t>Ndërtim rruga Kukës-Morinë Loti1 (V.Arti të mëdha) dublimi</w:t>
      </w:r>
    </w:p>
    <w:p w:rsidR="00F43050" w:rsidRPr="009437AD" w:rsidRDefault="00F43050" w:rsidP="00534AA6">
      <w:pPr>
        <w:numPr>
          <w:ilvl w:val="1"/>
          <w:numId w:val="137"/>
        </w:numPr>
        <w:spacing w:line="276" w:lineRule="auto"/>
        <w:jc w:val="both"/>
        <w:rPr>
          <w:lang w:val="sq-AL"/>
        </w:rPr>
      </w:pPr>
      <w:r w:rsidRPr="009437AD">
        <w:rPr>
          <w:lang w:val="sq-AL"/>
        </w:rPr>
        <w:t>Vendosja e mbikalimeve për këmbësore në aksin Plepa-Kavajë-Rrogozhinë</w:t>
      </w:r>
    </w:p>
    <w:p w:rsidR="00F43050" w:rsidRPr="009437AD" w:rsidRDefault="00F43050" w:rsidP="00534AA6">
      <w:pPr>
        <w:numPr>
          <w:ilvl w:val="1"/>
          <w:numId w:val="137"/>
        </w:numPr>
        <w:spacing w:line="276" w:lineRule="auto"/>
        <w:jc w:val="both"/>
        <w:rPr>
          <w:lang w:val="sq-AL"/>
        </w:rPr>
      </w:pPr>
      <w:r w:rsidRPr="009437AD">
        <w:rPr>
          <w:lang w:val="sq-AL"/>
        </w:rPr>
        <w:t xml:space="preserve">Ndërtim rruga Unaza e Re e Tiranës (segmenti Komuna e Parisit - rruga e re  Tiranë- Elbasan), Shtesë punimesh </w:t>
      </w:r>
    </w:p>
    <w:p w:rsidR="00F43050" w:rsidRPr="009437AD" w:rsidRDefault="00F43050" w:rsidP="00534AA6">
      <w:pPr>
        <w:numPr>
          <w:ilvl w:val="1"/>
          <w:numId w:val="137"/>
        </w:numPr>
        <w:spacing w:line="276" w:lineRule="auto"/>
        <w:jc w:val="both"/>
        <w:rPr>
          <w:lang w:val="sq-AL"/>
        </w:rPr>
      </w:pPr>
      <w:r w:rsidRPr="009437AD">
        <w:rPr>
          <w:lang w:val="sq-AL"/>
        </w:rPr>
        <w:t>Ndërt</w:t>
      </w:r>
      <w:r w:rsidR="00B062A0">
        <w:rPr>
          <w:lang w:val="sq-AL"/>
        </w:rPr>
        <w:t>im rruga Unaza e Re e Tiranës (</w:t>
      </w:r>
      <w:r w:rsidRPr="009437AD">
        <w:rPr>
          <w:lang w:val="sq-AL"/>
        </w:rPr>
        <w:t>segmenti Komuna e Parisit - rruga e re  Tiranë- Elbasan), Shtesë punimesh nr.2</w:t>
      </w:r>
    </w:p>
    <w:p w:rsidR="00F43050" w:rsidRPr="009437AD" w:rsidRDefault="00F43050" w:rsidP="00534AA6">
      <w:pPr>
        <w:numPr>
          <w:ilvl w:val="1"/>
          <w:numId w:val="137"/>
        </w:numPr>
        <w:spacing w:line="276" w:lineRule="auto"/>
        <w:jc w:val="both"/>
        <w:rPr>
          <w:lang w:val="sq-AL"/>
        </w:rPr>
      </w:pPr>
      <w:r w:rsidRPr="009437AD">
        <w:rPr>
          <w:lang w:val="sq-AL"/>
        </w:rPr>
        <w:t xml:space="preserve">Ndërtim rruga Unaza e Re </w:t>
      </w:r>
      <w:r w:rsidR="00B062A0">
        <w:rPr>
          <w:lang w:val="sq-AL"/>
        </w:rPr>
        <w:t>e Tiranës (</w:t>
      </w:r>
      <w:r w:rsidRPr="009437AD">
        <w:rPr>
          <w:lang w:val="sq-AL"/>
        </w:rPr>
        <w:t>segmenti Kom</w:t>
      </w:r>
      <w:r w:rsidR="00B062A0">
        <w:rPr>
          <w:lang w:val="sq-AL"/>
        </w:rPr>
        <w:t>una e Parisit - rruga e Kavajës</w:t>
      </w:r>
      <w:r w:rsidRPr="009437AD">
        <w:rPr>
          <w:lang w:val="sq-AL"/>
        </w:rPr>
        <w:t xml:space="preserve">) </w:t>
      </w:r>
    </w:p>
    <w:p w:rsidR="00F43050" w:rsidRPr="009437AD" w:rsidRDefault="00F43050" w:rsidP="00534AA6">
      <w:pPr>
        <w:numPr>
          <w:ilvl w:val="1"/>
          <w:numId w:val="137"/>
        </w:numPr>
        <w:spacing w:line="276" w:lineRule="auto"/>
        <w:jc w:val="both"/>
        <w:rPr>
          <w:lang w:val="sq-AL"/>
        </w:rPr>
      </w:pPr>
      <w:r w:rsidRPr="009437AD">
        <w:rPr>
          <w:lang w:val="sq-AL"/>
        </w:rPr>
        <w:t>Ndërtim i rrugës së Arberit (Dalja e urës së Vashës Bulqizë) Loti 2 Shtesë punimesh</w:t>
      </w:r>
    </w:p>
    <w:p w:rsidR="00F43050" w:rsidRPr="009437AD" w:rsidRDefault="00F43050" w:rsidP="00534AA6">
      <w:pPr>
        <w:numPr>
          <w:ilvl w:val="1"/>
          <w:numId w:val="137"/>
        </w:numPr>
        <w:spacing w:line="276" w:lineRule="auto"/>
        <w:jc w:val="both"/>
        <w:rPr>
          <w:lang w:val="sq-AL"/>
        </w:rPr>
      </w:pPr>
      <w:r w:rsidRPr="009437AD">
        <w:rPr>
          <w:lang w:val="sq-AL"/>
        </w:rPr>
        <w:t xml:space="preserve">Sistemim asfaltim rruga Buzuq - Corovodë </w:t>
      </w:r>
    </w:p>
    <w:p w:rsidR="00F43050" w:rsidRPr="009437AD" w:rsidRDefault="00F43050" w:rsidP="00534AA6">
      <w:pPr>
        <w:numPr>
          <w:ilvl w:val="1"/>
          <w:numId w:val="137"/>
        </w:numPr>
        <w:spacing w:line="276" w:lineRule="auto"/>
        <w:jc w:val="both"/>
        <w:rPr>
          <w:lang w:val="sq-AL"/>
        </w:rPr>
      </w:pPr>
      <w:r w:rsidRPr="009437AD">
        <w:rPr>
          <w:lang w:val="sq-AL"/>
        </w:rPr>
        <w:t>Masa inxhinierike në segmentin rrugor Buzuq-Corovodë</w:t>
      </w:r>
    </w:p>
    <w:p w:rsidR="00F43050" w:rsidRPr="009437AD" w:rsidRDefault="00F43050" w:rsidP="00534AA6">
      <w:pPr>
        <w:numPr>
          <w:ilvl w:val="1"/>
          <w:numId w:val="137"/>
        </w:numPr>
        <w:spacing w:line="276" w:lineRule="auto"/>
        <w:jc w:val="both"/>
        <w:rPr>
          <w:lang w:val="sq-AL"/>
        </w:rPr>
      </w:pPr>
      <w:r w:rsidRPr="009437AD">
        <w:rPr>
          <w:lang w:val="sq-AL"/>
        </w:rPr>
        <w:t>Riveshje Sistemim asfaltim rruga  Elbasan-Banjë Loti 1</w:t>
      </w:r>
    </w:p>
    <w:p w:rsidR="00F43050" w:rsidRPr="009437AD" w:rsidRDefault="00F43050" w:rsidP="00534AA6">
      <w:pPr>
        <w:numPr>
          <w:ilvl w:val="1"/>
          <w:numId w:val="137"/>
        </w:numPr>
        <w:spacing w:line="276" w:lineRule="auto"/>
        <w:jc w:val="both"/>
        <w:rPr>
          <w:lang w:val="sq-AL"/>
        </w:rPr>
      </w:pPr>
      <w:r w:rsidRPr="009437AD">
        <w:rPr>
          <w:lang w:val="sq-AL"/>
        </w:rPr>
        <w:t xml:space="preserve">Riveshje Sistemim asfaltim rruga  Elbasan-Banjë Loti 2 </w:t>
      </w:r>
      <w:r w:rsidR="00890180">
        <w:rPr>
          <w:lang w:val="sq-AL"/>
        </w:rPr>
        <w:t>(</w:t>
      </w:r>
      <w:r w:rsidR="00890180" w:rsidRPr="009437AD">
        <w:rPr>
          <w:lang w:val="sq-AL"/>
        </w:rPr>
        <w:t>shtese punimesh</w:t>
      </w:r>
      <w:r w:rsidR="00890180">
        <w:rPr>
          <w:lang w:val="sq-AL"/>
        </w:rPr>
        <w:t>)</w:t>
      </w:r>
    </w:p>
    <w:p w:rsidR="00F43050" w:rsidRPr="009437AD" w:rsidRDefault="00F43050" w:rsidP="00534AA6">
      <w:pPr>
        <w:numPr>
          <w:ilvl w:val="1"/>
          <w:numId w:val="137"/>
        </w:numPr>
        <w:spacing w:line="276" w:lineRule="auto"/>
        <w:jc w:val="both"/>
        <w:rPr>
          <w:lang w:val="sq-AL"/>
        </w:rPr>
      </w:pPr>
      <w:r w:rsidRPr="009437AD">
        <w:rPr>
          <w:lang w:val="sq-AL"/>
        </w:rPr>
        <w:t>Riveshje Sistemim asfaltim rruga  Elbasan-Banjë Loti 3 (shtese punimesh)</w:t>
      </w:r>
    </w:p>
    <w:p w:rsidR="00F43050" w:rsidRPr="009437AD" w:rsidRDefault="00F43050" w:rsidP="00534AA6">
      <w:pPr>
        <w:numPr>
          <w:ilvl w:val="1"/>
          <w:numId w:val="137"/>
        </w:numPr>
        <w:spacing w:line="276" w:lineRule="auto"/>
        <w:jc w:val="both"/>
        <w:rPr>
          <w:lang w:val="sq-AL"/>
        </w:rPr>
      </w:pPr>
      <w:r w:rsidRPr="009437AD">
        <w:rPr>
          <w:lang w:val="sq-AL"/>
        </w:rPr>
        <w:t xml:space="preserve">Ndërtim rrugët paralele superstrada Tiranë-Vorë krahu i  Majtë (vazhdimi)  shtesë kontrate </w:t>
      </w:r>
    </w:p>
    <w:p w:rsidR="00F43050" w:rsidRPr="009437AD" w:rsidRDefault="00F43050" w:rsidP="00534AA6">
      <w:pPr>
        <w:numPr>
          <w:ilvl w:val="1"/>
          <w:numId w:val="137"/>
        </w:numPr>
        <w:spacing w:line="276" w:lineRule="auto"/>
        <w:jc w:val="both"/>
        <w:rPr>
          <w:lang w:val="sq-AL"/>
        </w:rPr>
      </w:pPr>
      <w:r w:rsidRPr="009437AD">
        <w:rPr>
          <w:lang w:val="sq-AL"/>
        </w:rPr>
        <w:t>Ndërtim rruga Mbingritja e Viroit dhe hyrje e qytetit Gjirokastër (vazhdimi)</w:t>
      </w:r>
    </w:p>
    <w:p w:rsidR="00F43050" w:rsidRPr="009437AD" w:rsidRDefault="00F43050" w:rsidP="00534AA6">
      <w:pPr>
        <w:numPr>
          <w:ilvl w:val="1"/>
          <w:numId w:val="137"/>
        </w:numPr>
        <w:spacing w:line="276" w:lineRule="auto"/>
        <w:jc w:val="both"/>
        <w:rPr>
          <w:lang w:val="sq-AL"/>
        </w:rPr>
      </w:pPr>
      <w:r w:rsidRPr="009437AD">
        <w:rPr>
          <w:lang w:val="sq-AL"/>
        </w:rPr>
        <w:t>Ndërtim rruga Mbingritja e Viroit dhe hyrje e qytetit Gjirokastër (vazhdimi), Shtese punime</w:t>
      </w:r>
    </w:p>
    <w:p w:rsidR="00F43050" w:rsidRPr="009437AD" w:rsidRDefault="00F43050" w:rsidP="00534AA6">
      <w:pPr>
        <w:numPr>
          <w:ilvl w:val="1"/>
          <w:numId w:val="137"/>
        </w:numPr>
        <w:spacing w:line="276" w:lineRule="auto"/>
        <w:jc w:val="both"/>
        <w:rPr>
          <w:lang w:val="sq-AL"/>
        </w:rPr>
      </w:pPr>
      <w:r w:rsidRPr="009437AD">
        <w:rPr>
          <w:lang w:val="sq-AL"/>
        </w:rPr>
        <w:t>Ndërtim rruga e Porto Romanos, Durrës Loti 1</w:t>
      </w:r>
    </w:p>
    <w:p w:rsidR="00F43050" w:rsidRPr="009437AD" w:rsidRDefault="00F43050" w:rsidP="00534AA6">
      <w:pPr>
        <w:numPr>
          <w:ilvl w:val="1"/>
          <w:numId w:val="137"/>
        </w:numPr>
        <w:spacing w:line="276" w:lineRule="auto"/>
        <w:jc w:val="both"/>
        <w:rPr>
          <w:lang w:val="sq-AL"/>
        </w:rPr>
      </w:pPr>
      <w:r w:rsidRPr="009437AD">
        <w:rPr>
          <w:lang w:val="sq-AL"/>
        </w:rPr>
        <w:t>Ndërtim Unaza Kavajë (</w:t>
      </w:r>
      <w:r w:rsidR="00B062A0">
        <w:rPr>
          <w:lang w:val="sq-AL"/>
        </w:rPr>
        <w:t>v</w:t>
      </w:r>
      <w:r w:rsidRPr="009437AD">
        <w:rPr>
          <w:lang w:val="sq-AL"/>
        </w:rPr>
        <w:t xml:space="preserve">azhdimi)  </w:t>
      </w:r>
    </w:p>
    <w:p w:rsidR="00F43050" w:rsidRPr="009437AD" w:rsidRDefault="00F43050" w:rsidP="00534AA6">
      <w:pPr>
        <w:numPr>
          <w:ilvl w:val="1"/>
          <w:numId w:val="137"/>
        </w:numPr>
        <w:spacing w:line="276" w:lineRule="auto"/>
        <w:jc w:val="both"/>
        <w:rPr>
          <w:lang w:val="sq-AL"/>
        </w:rPr>
      </w:pPr>
      <w:r w:rsidRPr="009437AD">
        <w:rPr>
          <w:lang w:val="sq-AL"/>
        </w:rPr>
        <w:t>Rikonstruksion i rrugës Shkodër</w:t>
      </w:r>
      <w:r w:rsidR="00B062A0">
        <w:rPr>
          <w:lang w:val="sq-AL"/>
        </w:rPr>
        <w:t xml:space="preserve"> </w:t>
      </w:r>
      <w:r w:rsidRPr="009437AD">
        <w:rPr>
          <w:lang w:val="sq-AL"/>
        </w:rPr>
        <w:t>(mbikalimi i trenit)- Mes</w:t>
      </w:r>
    </w:p>
    <w:p w:rsidR="00F43050" w:rsidRDefault="00F43050" w:rsidP="00534AA6">
      <w:pPr>
        <w:numPr>
          <w:ilvl w:val="1"/>
          <w:numId w:val="137"/>
        </w:numPr>
        <w:spacing w:line="276" w:lineRule="auto"/>
        <w:jc w:val="both"/>
        <w:rPr>
          <w:lang w:val="sq-AL"/>
        </w:rPr>
      </w:pPr>
      <w:r>
        <w:rPr>
          <w:lang w:val="sq-AL"/>
        </w:rPr>
        <w:t>Sistemim asfaltim rruga e Peshko</w:t>
      </w:r>
      <w:r w:rsidRPr="009437AD">
        <w:rPr>
          <w:lang w:val="sq-AL"/>
        </w:rPr>
        <w:t>pi - Ura e Drashovic</w:t>
      </w:r>
      <w:r w:rsidR="006E1DB0">
        <w:rPr>
          <w:lang w:val="sq-AL"/>
        </w:rPr>
        <w:t>ë</w:t>
      </w:r>
      <w:r w:rsidRPr="009437AD">
        <w:rPr>
          <w:lang w:val="sq-AL"/>
        </w:rPr>
        <w:t>s</w:t>
      </w:r>
    </w:p>
    <w:p w:rsidR="00F43050" w:rsidRPr="009437AD" w:rsidRDefault="00F43050" w:rsidP="00F43050">
      <w:pPr>
        <w:spacing w:line="276" w:lineRule="auto"/>
        <w:ind w:left="1440"/>
        <w:jc w:val="both"/>
        <w:rPr>
          <w:lang w:val="sq-AL"/>
        </w:rPr>
      </w:pPr>
    </w:p>
    <w:p w:rsidR="00F43050" w:rsidRPr="00CA0B7F" w:rsidRDefault="00F43050" w:rsidP="00F43050">
      <w:pPr>
        <w:spacing w:line="276" w:lineRule="auto"/>
        <w:jc w:val="both"/>
        <w:rPr>
          <w:b/>
          <w:lang w:val="sq-AL"/>
        </w:rPr>
      </w:pPr>
      <w:r w:rsidRPr="00CA0B7F">
        <w:rPr>
          <w:b/>
          <w:lang w:val="sq-AL"/>
        </w:rPr>
        <w:t>Transporti Hekurudhor:</w:t>
      </w:r>
    </w:p>
    <w:p w:rsidR="00F43050" w:rsidRPr="00EB6BC6" w:rsidRDefault="00F43050" w:rsidP="00F43050">
      <w:pPr>
        <w:spacing w:line="276" w:lineRule="auto"/>
        <w:jc w:val="both"/>
        <w:rPr>
          <w:lang w:val="sq-AL"/>
        </w:rPr>
      </w:pPr>
      <w:r w:rsidRPr="00EA1B95">
        <w:rPr>
          <w:lang w:val="sq-AL"/>
        </w:rPr>
        <w:t>Gjat</w:t>
      </w:r>
      <w:r>
        <w:rPr>
          <w:lang w:val="sq-AL"/>
        </w:rPr>
        <w:t>ë</w:t>
      </w:r>
      <w:r w:rsidRPr="00EA1B95">
        <w:rPr>
          <w:lang w:val="sq-AL"/>
        </w:rPr>
        <w:t xml:space="preserve"> vitit 2017 n</w:t>
      </w:r>
      <w:r>
        <w:rPr>
          <w:lang w:val="sq-AL"/>
        </w:rPr>
        <w:t>ë</w:t>
      </w:r>
      <w:r w:rsidRPr="00EA1B95">
        <w:rPr>
          <w:lang w:val="sq-AL"/>
        </w:rPr>
        <w:t xml:space="preserve"> k</w:t>
      </w:r>
      <w:r>
        <w:rPr>
          <w:lang w:val="sq-AL"/>
        </w:rPr>
        <w:t>ë</w:t>
      </w:r>
      <w:r w:rsidRPr="00EA1B95">
        <w:rPr>
          <w:lang w:val="sq-AL"/>
        </w:rPr>
        <w:t>t</w:t>
      </w:r>
      <w:r>
        <w:rPr>
          <w:lang w:val="sq-AL"/>
        </w:rPr>
        <w:t>ë</w:t>
      </w:r>
      <w:r w:rsidRPr="00EA1B95">
        <w:rPr>
          <w:lang w:val="sq-AL"/>
        </w:rPr>
        <w:t xml:space="preserve"> sektor do t</w:t>
      </w:r>
      <w:r>
        <w:rPr>
          <w:lang w:val="sq-AL"/>
        </w:rPr>
        <w:t>ë</w:t>
      </w:r>
      <w:r w:rsidRPr="00EA1B95">
        <w:rPr>
          <w:lang w:val="sq-AL"/>
        </w:rPr>
        <w:t xml:space="preserve"> synohet:</w:t>
      </w:r>
    </w:p>
    <w:p w:rsidR="00F43050" w:rsidRPr="00AB477F" w:rsidRDefault="00F43050" w:rsidP="00534AA6">
      <w:pPr>
        <w:pStyle w:val="ListParagraph"/>
        <w:numPr>
          <w:ilvl w:val="0"/>
          <w:numId w:val="139"/>
        </w:numPr>
        <w:spacing w:after="60" w:line="276" w:lineRule="auto"/>
        <w:contextualSpacing/>
        <w:jc w:val="both"/>
        <w:rPr>
          <w:rFonts w:eastAsia="SimSun"/>
          <w:lang w:val="it-IT"/>
        </w:rPr>
      </w:pPr>
      <w:r w:rsidRPr="00AB477F">
        <w:rPr>
          <w:lang w:val="it-IT"/>
        </w:rPr>
        <w:t>Finalizimi i ligjit të ri hekurudhor. Pas miratimit, ai do</w:t>
      </w:r>
      <w:r w:rsidRPr="00AB477F">
        <w:rPr>
          <w:rFonts w:eastAsia="SimSun"/>
          <w:lang w:val="it-IT"/>
        </w:rPr>
        <w:t xml:space="preserve"> të hapë rrugën për ndarjen hekurudhave shqiptare ekzistuese, duke veçuar veprimtarinë e hekurudhave nga menaxhimi i infrastrukturës në përputhje me acquis të BE-së, si dhe ngritjen e autoriteteve të mëposhtme hekurudhore të pavarura: Autoritetin Hekurudhor Rregullator, Autoritetin Hekurudhor të Licencimit, Autoritetin Hekurudhor për Sigurinë dhe Autoritetin Kombëtar të Investigimit për Aksidentet dhe Incidentet në Hekurudha;</w:t>
      </w:r>
    </w:p>
    <w:p w:rsidR="00F43050" w:rsidRPr="00AB477F" w:rsidRDefault="00F43050" w:rsidP="00534AA6">
      <w:pPr>
        <w:pStyle w:val="ListParagraph"/>
        <w:numPr>
          <w:ilvl w:val="0"/>
          <w:numId w:val="139"/>
        </w:numPr>
        <w:spacing w:after="60" w:line="276" w:lineRule="auto"/>
        <w:contextualSpacing/>
        <w:jc w:val="both"/>
        <w:rPr>
          <w:lang w:val="it-IT"/>
        </w:rPr>
      </w:pPr>
      <w:r w:rsidRPr="00AB477F">
        <w:rPr>
          <w:lang w:val="it-IT"/>
        </w:rPr>
        <w:lastRenderedPageBreak/>
        <w:t>Rritja e n</w:t>
      </w:r>
      <w:r w:rsidRPr="00AB477F">
        <w:rPr>
          <w:rFonts w:eastAsia="SimSun"/>
          <w:lang w:val="it-IT"/>
        </w:rPr>
        <w:t>iveli</w:t>
      </w:r>
      <w:r w:rsidRPr="00AB477F">
        <w:rPr>
          <w:lang w:val="it-IT"/>
        </w:rPr>
        <w:t>t të</w:t>
      </w:r>
      <w:r w:rsidRPr="00AB477F">
        <w:rPr>
          <w:rFonts w:eastAsia="SimSun"/>
          <w:lang w:val="it-IT"/>
        </w:rPr>
        <w:t xml:space="preserve"> investimeve në infrastrukturën hekurudhore</w:t>
      </w:r>
      <w:r w:rsidRPr="00AB477F">
        <w:rPr>
          <w:lang w:val="it-IT"/>
        </w:rPr>
        <w:t xml:space="preserve"> në krahasim me vitin 2016</w:t>
      </w:r>
      <w:r w:rsidRPr="00AB477F">
        <w:rPr>
          <w:rFonts w:eastAsia="SimSun"/>
          <w:lang w:val="it-IT"/>
        </w:rPr>
        <w:t>, du</w:t>
      </w:r>
      <w:r w:rsidRPr="00AB477F">
        <w:rPr>
          <w:lang w:val="it-IT"/>
        </w:rPr>
        <w:t>ke çuar në përmirësimin e shërbimeve të transportit hekurudhor.</w:t>
      </w:r>
    </w:p>
    <w:p w:rsidR="00F43050" w:rsidRPr="00EA1B95" w:rsidRDefault="00F43050" w:rsidP="00F43050">
      <w:pPr>
        <w:spacing w:after="60" w:line="276" w:lineRule="auto"/>
        <w:jc w:val="both"/>
        <w:rPr>
          <w:lang w:val="sq-AL"/>
        </w:rPr>
      </w:pPr>
      <w:r w:rsidRPr="00EA1B95">
        <w:rPr>
          <w:lang w:val="sq-AL"/>
        </w:rPr>
        <w:t>Me financim t</w:t>
      </w:r>
      <w:r>
        <w:rPr>
          <w:lang w:val="sq-AL"/>
        </w:rPr>
        <w:t>ë</w:t>
      </w:r>
      <w:r w:rsidRPr="00EA1B95">
        <w:rPr>
          <w:lang w:val="sq-AL"/>
        </w:rPr>
        <w:t xml:space="preserve"> huaj jan</w:t>
      </w:r>
      <w:r>
        <w:rPr>
          <w:lang w:val="sq-AL"/>
        </w:rPr>
        <w:t>ë</w:t>
      </w:r>
      <w:r w:rsidRPr="00EA1B95">
        <w:rPr>
          <w:lang w:val="sq-AL"/>
        </w:rPr>
        <w:t xml:space="preserve"> planifikuar p</w:t>
      </w:r>
      <w:r>
        <w:rPr>
          <w:lang w:val="sq-AL"/>
        </w:rPr>
        <w:t>ë</w:t>
      </w:r>
      <w:r w:rsidRPr="00EA1B95">
        <w:rPr>
          <w:lang w:val="sq-AL"/>
        </w:rPr>
        <w:t xml:space="preserve">r t’u financuar nga Programi </w:t>
      </w:r>
      <w:r w:rsidR="00912447">
        <w:rPr>
          <w:lang w:val="sq-AL"/>
        </w:rPr>
        <w:t>W</w:t>
      </w:r>
      <w:r w:rsidRPr="00EA1B95">
        <w:rPr>
          <w:lang w:val="sq-AL"/>
        </w:rPr>
        <w:t>BIF/EC, projektet si m</w:t>
      </w:r>
      <w:r>
        <w:rPr>
          <w:lang w:val="sq-AL"/>
        </w:rPr>
        <w:t>ë</w:t>
      </w:r>
      <w:r w:rsidRPr="00EA1B95">
        <w:rPr>
          <w:lang w:val="sq-AL"/>
        </w:rPr>
        <w:t xml:space="preserve"> posht</w:t>
      </w:r>
      <w:r>
        <w:rPr>
          <w:lang w:val="sq-AL"/>
        </w:rPr>
        <w:t>ë</w:t>
      </w:r>
      <w:r w:rsidRPr="00EA1B95">
        <w:rPr>
          <w:lang w:val="sq-AL"/>
        </w:rPr>
        <w:t>:</w:t>
      </w:r>
    </w:p>
    <w:p w:rsidR="00F43050" w:rsidRPr="00EA1B95" w:rsidRDefault="00F43050" w:rsidP="00534AA6">
      <w:pPr>
        <w:pStyle w:val="ListParagraph"/>
        <w:numPr>
          <w:ilvl w:val="0"/>
          <w:numId w:val="140"/>
        </w:numPr>
        <w:spacing w:after="60" w:line="276" w:lineRule="auto"/>
        <w:contextualSpacing/>
        <w:jc w:val="both"/>
      </w:pPr>
      <w:r w:rsidRPr="00AB477F">
        <w:rPr>
          <w:lang w:val="sq-AL"/>
        </w:rPr>
        <w:t xml:space="preserve">Rehabilitim i linjës hekurudhore Durrës - Terminali i pasagjerëve Tiranë dhe Ndërtimi i një linje të re hekurudhore Tiranë – Rinas, me vlerë totale 9.5 miliard lekë. </w:t>
      </w:r>
      <w:r w:rsidRPr="00EA1B95">
        <w:t>Projekti përfundon në vitin 2019.</w:t>
      </w:r>
    </w:p>
    <w:p w:rsidR="00F43050" w:rsidRPr="00EA1B95" w:rsidRDefault="00F43050" w:rsidP="00534AA6">
      <w:pPr>
        <w:pStyle w:val="ListParagraph"/>
        <w:numPr>
          <w:ilvl w:val="0"/>
          <w:numId w:val="140"/>
        </w:numPr>
        <w:spacing w:after="60" w:line="276" w:lineRule="auto"/>
        <w:contextualSpacing/>
        <w:jc w:val="both"/>
      </w:pPr>
      <w:r w:rsidRPr="00EA1B95">
        <w:t>Studim fizibiliteti për rehabilitimin e linjës Durrës-Pogradec-Lin dhe studimi i lidhjes me kufirin Maqedonas, me vlerë 100.8 milion lekë.</w:t>
      </w:r>
    </w:p>
    <w:p w:rsidR="00F43050" w:rsidRPr="00DF5EFF" w:rsidRDefault="00F43050" w:rsidP="00534AA6">
      <w:pPr>
        <w:pStyle w:val="ListParagraph"/>
        <w:numPr>
          <w:ilvl w:val="0"/>
          <w:numId w:val="140"/>
        </w:numPr>
        <w:spacing w:after="60" w:line="276" w:lineRule="auto"/>
        <w:contextualSpacing/>
        <w:jc w:val="both"/>
        <w:rPr>
          <w:rFonts w:eastAsia="SimSun"/>
        </w:rPr>
      </w:pPr>
      <w:r w:rsidRPr="00EA1B95">
        <w:t>Projektim i detajuar i rehabilitimit të linjës Vorë - Hani i Hotit, me vlerë 112 milion lekë</w:t>
      </w:r>
    </w:p>
    <w:p w:rsidR="00F43050" w:rsidRPr="00EA1B95" w:rsidRDefault="00F43050" w:rsidP="00F43050">
      <w:pPr>
        <w:pStyle w:val="ListParagraph"/>
        <w:spacing w:after="60" w:line="276" w:lineRule="auto"/>
        <w:jc w:val="both"/>
        <w:rPr>
          <w:rFonts w:eastAsia="SimSun"/>
        </w:rPr>
      </w:pPr>
    </w:p>
    <w:p w:rsidR="00F43050" w:rsidRPr="00CA0B7F" w:rsidRDefault="00F43050" w:rsidP="00F43050">
      <w:pPr>
        <w:spacing w:line="276" w:lineRule="auto"/>
        <w:jc w:val="both"/>
        <w:rPr>
          <w:b/>
          <w:lang w:val="sq-AL"/>
        </w:rPr>
      </w:pPr>
      <w:r w:rsidRPr="00CA0B7F">
        <w:rPr>
          <w:b/>
          <w:lang w:val="sq-AL"/>
        </w:rPr>
        <w:t xml:space="preserve">Transporti </w:t>
      </w:r>
      <w:r>
        <w:rPr>
          <w:b/>
          <w:lang w:val="sq-AL"/>
        </w:rPr>
        <w:t>D</w:t>
      </w:r>
      <w:r w:rsidRPr="00CA0B7F">
        <w:rPr>
          <w:b/>
          <w:lang w:val="sq-AL"/>
        </w:rPr>
        <w:t xml:space="preserve">etar: </w:t>
      </w:r>
    </w:p>
    <w:p w:rsidR="00F43050" w:rsidRPr="00EB6BC6" w:rsidRDefault="00F43050" w:rsidP="00F43050">
      <w:pPr>
        <w:spacing w:line="276" w:lineRule="auto"/>
        <w:jc w:val="both"/>
        <w:rPr>
          <w:lang w:val="sq-AL"/>
        </w:rPr>
      </w:pPr>
      <w:r>
        <w:rPr>
          <w:lang w:val="sq-AL"/>
        </w:rPr>
        <w:t>Gjatë vitit 2017 në këtë sektor do të synohet:</w:t>
      </w:r>
    </w:p>
    <w:p w:rsidR="00F43050" w:rsidRPr="00AB477F" w:rsidRDefault="00F43050" w:rsidP="00534AA6">
      <w:pPr>
        <w:pStyle w:val="ListParagraph"/>
        <w:numPr>
          <w:ilvl w:val="0"/>
          <w:numId w:val="142"/>
        </w:numPr>
        <w:spacing w:after="60" w:line="276" w:lineRule="auto"/>
        <w:contextualSpacing/>
        <w:jc w:val="both"/>
        <w:rPr>
          <w:lang w:val="sq-AL"/>
        </w:rPr>
      </w:pPr>
      <w:r w:rsidRPr="00AB477F">
        <w:rPr>
          <w:lang w:val="sq-AL"/>
        </w:rPr>
        <w:t>Si rezultat i heqjes nga shërbimi të një numri anijesh, numri i ndalimit të anijeve që mbajnë flamurin shqiptar ra ndjeshëm dhe flota kombëtare hyri në listën Gri të Memorandumit të Mirëkuptimit të Parisit (MM) për Kontrollin Portual Shtetëror . Shqipëria duhet të vazhdojë përpjekjet e saja për të ulur më tej normën e ndalimit të anijeve dhe përmirësuar klasifikimin e saj në Memorandumin e Mirëkuptimit të Parisit.</w:t>
      </w:r>
    </w:p>
    <w:p w:rsidR="00F43050" w:rsidRPr="00AB477F" w:rsidRDefault="00F43050" w:rsidP="00534AA6">
      <w:pPr>
        <w:pStyle w:val="ListParagraph"/>
        <w:numPr>
          <w:ilvl w:val="0"/>
          <w:numId w:val="142"/>
        </w:numPr>
        <w:spacing w:after="60" w:line="276" w:lineRule="auto"/>
        <w:contextualSpacing/>
        <w:jc w:val="both"/>
        <w:rPr>
          <w:rFonts w:eastAsia="SimSun"/>
          <w:lang w:val="sq-AL"/>
        </w:rPr>
      </w:pPr>
      <w:r w:rsidRPr="00AB477F">
        <w:rPr>
          <w:lang w:val="sq-AL"/>
        </w:rPr>
        <w:t>Nevojitet ecuri e mëtejshme për të përafruar legjislacionin për raportimin e formaliteteve të anijeve me acquis</w:t>
      </w:r>
      <w:r w:rsidRPr="00AB477F">
        <w:rPr>
          <w:rFonts w:eastAsia="SimSun"/>
          <w:lang w:val="sq-AL"/>
        </w:rPr>
        <w:t>.</w:t>
      </w:r>
    </w:p>
    <w:p w:rsidR="00F43050" w:rsidRPr="00DF5EFF" w:rsidRDefault="00F43050" w:rsidP="00F43050">
      <w:pPr>
        <w:spacing w:after="60" w:line="276" w:lineRule="auto"/>
        <w:jc w:val="both"/>
        <w:rPr>
          <w:rFonts w:eastAsia="Times New Roman"/>
          <w:lang w:val="sq-AL" w:eastAsia="sq-AL" w:bidi="sq-AL"/>
        </w:rPr>
      </w:pPr>
      <w:r w:rsidRPr="00DF5EFF">
        <w:rPr>
          <w:rFonts w:eastAsia="Times New Roman"/>
          <w:lang w:val="sq-AL" w:eastAsia="sq-AL" w:bidi="sq-AL"/>
        </w:rPr>
        <w:t>Për vitin 2017 në k</w:t>
      </w:r>
      <w:r>
        <w:rPr>
          <w:rFonts w:eastAsia="Times New Roman"/>
          <w:lang w:val="sq-AL" w:eastAsia="sq-AL" w:bidi="sq-AL"/>
        </w:rPr>
        <w:t>ë</w:t>
      </w:r>
      <w:r w:rsidRPr="00DF5EFF">
        <w:rPr>
          <w:rFonts w:eastAsia="Times New Roman"/>
          <w:lang w:val="sq-AL" w:eastAsia="sq-AL" w:bidi="sq-AL"/>
        </w:rPr>
        <w:t>t</w:t>
      </w:r>
      <w:r>
        <w:rPr>
          <w:rFonts w:eastAsia="Times New Roman"/>
          <w:lang w:val="sq-AL" w:eastAsia="sq-AL" w:bidi="sq-AL"/>
        </w:rPr>
        <w:t>ë</w:t>
      </w:r>
      <w:r w:rsidRPr="00DF5EFF">
        <w:rPr>
          <w:rFonts w:eastAsia="Times New Roman"/>
          <w:lang w:val="sq-AL" w:eastAsia="sq-AL" w:bidi="sq-AL"/>
        </w:rPr>
        <w:t xml:space="preserve"> sektor janë planifikuar për të vazhduar punimet në projektet, si m</w:t>
      </w:r>
      <w:r>
        <w:rPr>
          <w:rFonts w:eastAsia="Times New Roman"/>
          <w:lang w:val="sq-AL" w:eastAsia="sq-AL" w:bidi="sq-AL"/>
        </w:rPr>
        <w:t>ë</w:t>
      </w:r>
      <w:r w:rsidRPr="00DF5EFF">
        <w:rPr>
          <w:rFonts w:eastAsia="Times New Roman"/>
          <w:lang w:val="sq-AL" w:eastAsia="sq-AL" w:bidi="sq-AL"/>
        </w:rPr>
        <w:t xml:space="preserve"> posht</w:t>
      </w:r>
      <w:r>
        <w:rPr>
          <w:rFonts w:eastAsia="Times New Roman"/>
          <w:lang w:val="sq-AL" w:eastAsia="sq-AL" w:bidi="sq-AL"/>
        </w:rPr>
        <w:t>ë</w:t>
      </w:r>
      <w:r w:rsidRPr="00DF5EFF">
        <w:rPr>
          <w:rFonts w:eastAsia="Times New Roman"/>
          <w:lang w:val="sq-AL" w:eastAsia="sq-AL" w:bidi="sq-AL"/>
        </w:rPr>
        <w:t>:</w:t>
      </w:r>
    </w:p>
    <w:p w:rsidR="00F43050" w:rsidRPr="00AB477F" w:rsidRDefault="00F43050" w:rsidP="00534AA6">
      <w:pPr>
        <w:pStyle w:val="ListParagraph"/>
        <w:numPr>
          <w:ilvl w:val="0"/>
          <w:numId w:val="143"/>
        </w:numPr>
        <w:spacing w:after="60" w:line="276" w:lineRule="auto"/>
        <w:contextualSpacing/>
        <w:jc w:val="both"/>
        <w:rPr>
          <w:lang w:val="sq-AL"/>
        </w:rPr>
      </w:pPr>
      <w:r w:rsidRPr="00AB477F">
        <w:rPr>
          <w:lang w:val="sq-AL"/>
        </w:rPr>
        <w:t>Kosto Lokale  për projektin e rehabilitimit të kalatës së Portit Vlorë, me vlerë 82.5 milion lekë, si pjesë e bashkëfinancimit, detyrim i Qeverisë Shqiptare në marrëveshje.</w:t>
      </w:r>
    </w:p>
    <w:p w:rsidR="00F43050" w:rsidRPr="00AB477F" w:rsidRDefault="00F43050" w:rsidP="00534AA6">
      <w:pPr>
        <w:pStyle w:val="ListParagraph"/>
        <w:numPr>
          <w:ilvl w:val="0"/>
          <w:numId w:val="143"/>
        </w:numPr>
        <w:spacing w:after="60" w:line="276" w:lineRule="auto"/>
        <w:contextualSpacing/>
        <w:jc w:val="both"/>
        <w:rPr>
          <w:lang w:val="sq-AL"/>
        </w:rPr>
      </w:pPr>
      <w:r w:rsidRPr="00AB477F">
        <w:rPr>
          <w:lang w:val="sq-AL"/>
        </w:rPr>
        <w:t>Ndërtim i sistemit LRIT, me vlerë 40 milion lekë. Ky investim për Drejtorinë e Përgjithshme Detare është mjaft i rëndësishëm për plotësimin e standardeve të vendosura nga IMO.</w:t>
      </w:r>
    </w:p>
    <w:p w:rsidR="00F43050" w:rsidRPr="00AB477F" w:rsidRDefault="00F43050" w:rsidP="00534AA6">
      <w:pPr>
        <w:pStyle w:val="ListParagraph"/>
        <w:numPr>
          <w:ilvl w:val="0"/>
          <w:numId w:val="143"/>
        </w:numPr>
        <w:spacing w:after="60" w:line="276" w:lineRule="auto"/>
        <w:contextualSpacing/>
        <w:jc w:val="both"/>
        <w:rPr>
          <w:lang w:val="it-IT"/>
        </w:rPr>
      </w:pPr>
      <w:r w:rsidRPr="00AB477F">
        <w:rPr>
          <w:lang w:val="it-IT"/>
        </w:rPr>
        <w:t>Thellimi i kalatës së Roro-ve, me vlerë 28 milion lekë. Thellimi i kalatës vjen si domosdoshmëri e krijimit të kushteve të nevojshme për përballimin e fluksit të madh të udhëtarëve në Portin e Sarandës si dhe ankorimin e anijeve të udhëtarëve afër terminalit të ri të pasagjerëve.</w:t>
      </w:r>
    </w:p>
    <w:p w:rsidR="00F43050" w:rsidRPr="00AB477F" w:rsidRDefault="00F43050" w:rsidP="00534AA6">
      <w:pPr>
        <w:pStyle w:val="ListParagraph"/>
        <w:numPr>
          <w:ilvl w:val="0"/>
          <w:numId w:val="143"/>
        </w:numPr>
        <w:spacing w:after="60" w:line="276" w:lineRule="auto"/>
        <w:contextualSpacing/>
        <w:jc w:val="both"/>
        <w:rPr>
          <w:lang w:val="it-IT"/>
        </w:rPr>
      </w:pPr>
      <w:r w:rsidRPr="00AB477F">
        <w:rPr>
          <w:lang w:val="it-IT"/>
        </w:rPr>
        <w:t>Rikonstruksion i Godinës së Kapitenerisë Sarandë dhe Shëngjin, përkatësisht me vlerë 25 milion dhe 21 milion lekë. Godinat e kapitenerive janë tej mase të amortizuara duke mos plotësuar standardet ndërkombëtare detare.</w:t>
      </w:r>
    </w:p>
    <w:p w:rsidR="00F43050" w:rsidRPr="00AB477F" w:rsidRDefault="00F43050" w:rsidP="00F43050">
      <w:pPr>
        <w:pStyle w:val="ListParagraph"/>
        <w:spacing w:after="60" w:line="276" w:lineRule="auto"/>
        <w:jc w:val="both"/>
        <w:rPr>
          <w:lang w:val="it-IT"/>
        </w:rPr>
      </w:pPr>
    </w:p>
    <w:p w:rsidR="00F43050" w:rsidRPr="00CA0B7F" w:rsidRDefault="00F43050" w:rsidP="00F43050">
      <w:pPr>
        <w:spacing w:line="276" w:lineRule="auto"/>
        <w:jc w:val="both"/>
        <w:rPr>
          <w:b/>
          <w:lang w:val="sq-AL"/>
        </w:rPr>
      </w:pPr>
      <w:r w:rsidRPr="00CA0B7F">
        <w:rPr>
          <w:b/>
          <w:lang w:val="sq-AL"/>
        </w:rPr>
        <w:t xml:space="preserve">Transporti </w:t>
      </w:r>
      <w:r>
        <w:rPr>
          <w:b/>
          <w:lang w:val="sq-AL"/>
        </w:rPr>
        <w:t>A</w:t>
      </w:r>
      <w:r w:rsidRPr="00CA0B7F">
        <w:rPr>
          <w:b/>
          <w:lang w:val="sq-AL"/>
        </w:rPr>
        <w:t>jror:</w:t>
      </w:r>
    </w:p>
    <w:p w:rsidR="00F43050" w:rsidRPr="00EB6BC6" w:rsidRDefault="00F43050" w:rsidP="00F43050">
      <w:pPr>
        <w:spacing w:line="276" w:lineRule="auto"/>
        <w:jc w:val="both"/>
        <w:rPr>
          <w:lang w:val="sq-AL"/>
        </w:rPr>
      </w:pPr>
      <w:r w:rsidRPr="00456511">
        <w:rPr>
          <w:lang w:val="sq-AL"/>
        </w:rPr>
        <w:t>Gjat</w:t>
      </w:r>
      <w:r>
        <w:rPr>
          <w:lang w:val="sq-AL"/>
        </w:rPr>
        <w:t>ë</w:t>
      </w:r>
      <w:r w:rsidRPr="00456511">
        <w:rPr>
          <w:lang w:val="sq-AL"/>
        </w:rPr>
        <w:t xml:space="preserve"> vitit 2017 n</w:t>
      </w:r>
      <w:r>
        <w:rPr>
          <w:lang w:val="sq-AL"/>
        </w:rPr>
        <w:t>ë</w:t>
      </w:r>
      <w:r w:rsidRPr="00456511">
        <w:rPr>
          <w:lang w:val="sq-AL"/>
        </w:rPr>
        <w:t xml:space="preserve"> k</w:t>
      </w:r>
      <w:r>
        <w:rPr>
          <w:lang w:val="sq-AL"/>
        </w:rPr>
        <w:t>ë</w:t>
      </w:r>
      <w:r w:rsidRPr="00456511">
        <w:rPr>
          <w:lang w:val="sq-AL"/>
        </w:rPr>
        <w:t>t</w:t>
      </w:r>
      <w:r>
        <w:rPr>
          <w:lang w:val="sq-AL"/>
        </w:rPr>
        <w:t>ë</w:t>
      </w:r>
      <w:r w:rsidRPr="00456511">
        <w:rPr>
          <w:lang w:val="sq-AL"/>
        </w:rPr>
        <w:t xml:space="preserve"> sektor do t</w:t>
      </w:r>
      <w:r>
        <w:rPr>
          <w:lang w:val="sq-AL"/>
        </w:rPr>
        <w:t>ë</w:t>
      </w:r>
      <w:r w:rsidRPr="00456511">
        <w:rPr>
          <w:lang w:val="sq-AL"/>
        </w:rPr>
        <w:t xml:space="preserve"> synohet</w:t>
      </w:r>
      <w:r>
        <w:rPr>
          <w:lang w:val="sq-AL"/>
        </w:rPr>
        <w:t>:</w:t>
      </w:r>
    </w:p>
    <w:p w:rsidR="00F43050" w:rsidRPr="00AB477F" w:rsidRDefault="00F43050" w:rsidP="00534AA6">
      <w:pPr>
        <w:pStyle w:val="ListParagraph"/>
        <w:numPr>
          <w:ilvl w:val="0"/>
          <w:numId w:val="142"/>
        </w:numPr>
        <w:spacing w:after="60" w:line="276" w:lineRule="auto"/>
        <w:contextualSpacing/>
        <w:jc w:val="both"/>
        <w:rPr>
          <w:lang w:val="sq-AL"/>
        </w:rPr>
      </w:pPr>
      <w:r w:rsidRPr="00AB477F">
        <w:rPr>
          <w:lang w:val="sq-AL"/>
        </w:rPr>
        <w:t>Përfundimi i kërkesave të mbetura të Shqipërisë angazhimet e saj ndaj Qiellit të Vetëm Evropian për periudhën e parë tranzitore sipas Marrëveshjes për Hapësirën e Përbashkët Evropiane të Aviacionit.</w:t>
      </w:r>
    </w:p>
    <w:p w:rsidR="00F43050" w:rsidRPr="00AB477F" w:rsidRDefault="00F43050" w:rsidP="00534AA6">
      <w:pPr>
        <w:pStyle w:val="ListParagraph"/>
        <w:numPr>
          <w:ilvl w:val="0"/>
          <w:numId w:val="142"/>
        </w:numPr>
        <w:spacing w:after="60" w:line="276" w:lineRule="auto"/>
        <w:contextualSpacing/>
        <w:jc w:val="both"/>
        <w:rPr>
          <w:lang w:val="sq-AL"/>
        </w:rPr>
      </w:pPr>
      <w:r w:rsidRPr="00AB477F">
        <w:rPr>
          <w:lang w:val="sq-AL"/>
        </w:rPr>
        <w:t>Adresimi i gjetjeve mbi mosrespektimin nga inspektimi i Agjencisë Evropiane të Sigurisë së Aviacionit në lidhje me menaxhimin e trafikut ajror dhe shërbimet e navigacionit ajror nga Autoriteti i Aviacionit Civil Shqiptar (ACAA)</w:t>
      </w:r>
    </w:p>
    <w:p w:rsidR="00F43050" w:rsidRPr="00AB477F" w:rsidRDefault="00F43050" w:rsidP="00534AA6">
      <w:pPr>
        <w:pStyle w:val="ListParagraph"/>
        <w:numPr>
          <w:ilvl w:val="0"/>
          <w:numId w:val="142"/>
        </w:numPr>
        <w:spacing w:after="60" w:line="276" w:lineRule="auto"/>
        <w:contextualSpacing/>
        <w:jc w:val="both"/>
        <w:rPr>
          <w:lang w:val="sq-AL"/>
        </w:rPr>
      </w:pPr>
      <w:r w:rsidRPr="00AB477F">
        <w:rPr>
          <w:lang w:val="sq-AL"/>
        </w:rPr>
        <w:t xml:space="preserve">Kapaciteti i plotë i ACAA-s për të siguruar mbikëqyrjen e të gjitha organizatave që veprojnë nën mbikëqyrjen e tij, në zbatim të ligjit të ACAA-s, i ndryshuar në dhjetor 2014, duke bërë të mundur rritjen e autonomisë institucionale, organizative dhe  menaxheriale të ACAA-s. </w:t>
      </w:r>
    </w:p>
    <w:p w:rsidR="00F43050" w:rsidRPr="00AB477F" w:rsidRDefault="00F43050" w:rsidP="00534AA6">
      <w:pPr>
        <w:pStyle w:val="ListParagraph"/>
        <w:numPr>
          <w:ilvl w:val="0"/>
          <w:numId w:val="142"/>
        </w:numPr>
        <w:spacing w:after="60" w:line="276" w:lineRule="auto"/>
        <w:contextualSpacing/>
        <w:jc w:val="both"/>
        <w:rPr>
          <w:lang w:val="sq-AL"/>
        </w:rPr>
      </w:pPr>
      <w:r w:rsidRPr="00AB477F">
        <w:rPr>
          <w:lang w:val="sq-AL"/>
        </w:rPr>
        <w:t>Pjesëmarja në mënyrë aktive e Shqipërisë në nismën e shërbimit të përbashkët të zonës provizionale (JSPA).</w:t>
      </w:r>
    </w:p>
    <w:p w:rsidR="00F43050" w:rsidRPr="00456511" w:rsidRDefault="00F43050" w:rsidP="00F43050">
      <w:pPr>
        <w:spacing w:after="60" w:line="276" w:lineRule="auto"/>
        <w:jc w:val="both"/>
        <w:rPr>
          <w:lang w:val="sq-AL"/>
        </w:rPr>
      </w:pPr>
      <w:r w:rsidRPr="00456511">
        <w:rPr>
          <w:lang w:val="sq-AL"/>
        </w:rPr>
        <w:lastRenderedPageBreak/>
        <w:t>Investimet e brendshme për sektorin e transportit ajror</w:t>
      </w:r>
      <w:r>
        <w:rPr>
          <w:lang w:val="sq-AL"/>
        </w:rPr>
        <w:t xml:space="preserve"> për vitin 2017 janë si më poshtë</w:t>
      </w:r>
      <w:r w:rsidRPr="00456511">
        <w:rPr>
          <w:lang w:val="sq-AL"/>
        </w:rPr>
        <w:t>:</w:t>
      </w:r>
    </w:p>
    <w:p w:rsidR="00F43050" w:rsidRPr="00456511" w:rsidRDefault="00F43050" w:rsidP="00534AA6">
      <w:pPr>
        <w:numPr>
          <w:ilvl w:val="0"/>
          <w:numId w:val="141"/>
        </w:numPr>
        <w:spacing w:after="60" w:line="276" w:lineRule="auto"/>
        <w:ind w:left="720"/>
        <w:jc w:val="both"/>
        <w:rPr>
          <w:lang w:val="sq-AL"/>
        </w:rPr>
      </w:pPr>
      <w:r w:rsidRPr="00456511">
        <w:rPr>
          <w:lang w:val="sq-AL"/>
        </w:rPr>
        <w:t>5 milion  lekë investime për OKKIA.</w:t>
      </w:r>
    </w:p>
    <w:p w:rsidR="00F43050" w:rsidRPr="00456511" w:rsidRDefault="00F43050" w:rsidP="00534AA6">
      <w:pPr>
        <w:numPr>
          <w:ilvl w:val="0"/>
          <w:numId w:val="141"/>
        </w:numPr>
        <w:spacing w:after="60" w:line="276" w:lineRule="auto"/>
        <w:ind w:left="720"/>
        <w:jc w:val="both"/>
        <w:rPr>
          <w:lang w:val="sq-AL"/>
        </w:rPr>
      </w:pPr>
      <w:r w:rsidRPr="00456511">
        <w:rPr>
          <w:lang w:val="sq-AL"/>
        </w:rPr>
        <w:t>420 milion lekë për Përmirësimin e Infrastrukturës operacionale të Aeroportit të Kukësit i cil</w:t>
      </w:r>
      <w:r>
        <w:rPr>
          <w:lang w:val="sq-AL"/>
        </w:rPr>
        <w:t xml:space="preserve">i pritet të vihet në funksionim gjatë </w:t>
      </w:r>
      <w:r w:rsidRPr="005F484E">
        <w:rPr>
          <w:lang w:val="sq-AL"/>
        </w:rPr>
        <w:t>vitit 2017.</w:t>
      </w:r>
    </w:p>
    <w:p w:rsidR="00B0121D" w:rsidRPr="00D73F43" w:rsidRDefault="00B0121D" w:rsidP="00B0121D">
      <w:pPr>
        <w:rPr>
          <w:b/>
          <w:lang w:val="sq-AL"/>
        </w:rPr>
      </w:pPr>
    </w:p>
    <w:p w:rsidR="00B0121D" w:rsidRPr="006D51B9" w:rsidRDefault="006D51B9" w:rsidP="00534AA6">
      <w:pPr>
        <w:pStyle w:val="Heading2"/>
        <w:numPr>
          <w:ilvl w:val="1"/>
          <w:numId w:val="161"/>
        </w:numPr>
        <w:rPr>
          <w:rFonts w:ascii="Times New Roman" w:hAnsi="Times New Roman"/>
          <w:i w:val="0"/>
        </w:rPr>
      </w:pPr>
      <w:r>
        <w:rPr>
          <w:rFonts w:ascii="Times New Roman" w:hAnsi="Times New Roman"/>
          <w:i w:val="0"/>
        </w:rPr>
        <w:t xml:space="preserve"> </w:t>
      </w:r>
      <w:bookmarkStart w:id="145" w:name="_Toc466445475"/>
      <w:r w:rsidR="00B0121D" w:rsidRPr="006D51B9">
        <w:rPr>
          <w:rFonts w:ascii="Times New Roman" w:hAnsi="Times New Roman"/>
          <w:i w:val="0"/>
        </w:rPr>
        <w:t>FORMIMI PROFESIONAL DHE PËRKUJDESI SOCIAL</w:t>
      </w:r>
      <w:bookmarkEnd w:id="145"/>
    </w:p>
    <w:p w:rsidR="00B0121D" w:rsidRPr="00D73F43" w:rsidRDefault="00B0121D" w:rsidP="00B0121D">
      <w:pPr>
        <w:rPr>
          <w:rFonts w:eastAsia="MS Mincho"/>
          <w:b/>
          <w:noProof/>
          <w:szCs w:val="20"/>
          <w:lang w:val="sq-AL"/>
        </w:rPr>
      </w:pPr>
    </w:p>
    <w:p w:rsidR="00B0121D" w:rsidRPr="00952AD0" w:rsidRDefault="00642658" w:rsidP="00B0121D">
      <w:pPr>
        <w:rPr>
          <w:rFonts w:eastAsia="MS Mincho"/>
          <w:b/>
          <w:noProof/>
          <w:szCs w:val="20"/>
          <w:lang w:val="sq-AL"/>
        </w:rPr>
      </w:pPr>
      <w:r w:rsidRPr="00952AD0">
        <w:rPr>
          <w:rFonts w:eastAsia="MS Mincho"/>
          <w:b/>
          <w:noProof/>
          <w:szCs w:val="20"/>
          <w:lang w:val="sq-AL"/>
        </w:rPr>
        <w:t>4.</w:t>
      </w:r>
      <w:r w:rsidR="00B0121D" w:rsidRPr="00952AD0">
        <w:rPr>
          <w:rFonts w:eastAsia="MS Mincho"/>
          <w:b/>
          <w:noProof/>
          <w:szCs w:val="20"/>
          <w:lang w:val="sq-AL"/>
        </w:rPr>
        <w:t>5.1 Situata e sektorit në 2013</w:t>
      </w:r>
    </w:p>
    <w:p w:rsidR="00B0121D" w:rsidRPr="00D73F43" w:rsidRDefault="00B0121D" w:rsidP="00B0121D">
      <w:pPr>
        <w:jc w:val="both"/>
        <w:rPr>
          <w:rFonts w:eastAsia="Times New Roman"/>
          <w:b/>
          <w:noProof/>
          <w:lang w:val="sq-AL"/>
        </w:rPr>
      </w:pPr>
    </w:p>
    <w:p w:rsidR="00B0121D" w:rsidRPr="00D73F43" w:rsidRDefault="00B0121D" w:rsidP="00B0121D">
      <w:pPr>
        <w:jc w:val="both"/>
        <w:rPr>
          <w:rFonts w:eastAsia="Times New Roman"/>
          <w:b/>
          <w:noProof/>
          <w:szCs w:val="20"/>
          <w:lang w:val="sq-AL"/>
        </w:rPr>
      </w:pPr>
      <w:r w:rsidRPr="00D73F43">
        <w:rPr>
          <w:rFonts w:eastAsia="Times New Roman"/>
          <w:noProof/>
          <w:szCs w:val="20"/>
          <w:lang w:val="sq-AL"/>
        </w:rPr>
        <w:t>Ministria e Mirëqenies Sociale dhe Rinisë në vitin 2013, vetëm në programin e Mbrojtjes Sociale (për pagesat e Ndihmës Ekonomike dhe Pagesën e Personave me Aftësi të Kufizuar) ka trashëguar një borxh në vlerën 5.2 miliardë lekë. Ndërkohë që u trashëguan borxhe të akumuluara për mospagesën e vendimeve gjyqësore për personat e larguar nga puna, për faturat e papaguara të ujit e të energjisë elektrike me vlerën 286 milionë lekë, si dhe për detyrime të prapambetura në shlyerjen e faturave të investimeve publike në vlerën 19.6 milionë lekë.</w:t>
      </w:r>
      <w:r w:rsidRPr="00D73F43">
        <w:rPr>
          <w:rFonts w:eastAsia="Times New Roman"/>
          <w:b/>
          <w:noProof/>
          <w:szCs w:val="20"/>
          <w:lang w:val="sq-AL"/>
        </w:rPr>
        <w:t xml:space="preserve"> </w:t>
      </w:r>
    </w:p>
    <w:p w:rsidR="00B0121D" w:rsidRPr="00D73F43" w:rsidRDefault="00B0121D" w:rsidP="00B0121D">
      <w:pPr>
        <w:jc w:val="both"/>
        <w:rPr>
          <w:rFonts w:eastAsia="Times New Roman"/>
          <w:b/>
          <w:noProof/>
          <w:lang w:val="sq-AL"/>
        </w:rPr>
      </w:pPr>
    </w:p>
    <w:p w:rsidR="00B0121D" w:rsidRPr="00D73F43" w:rsidRDefault="00B0121D" w:rsidP="00B0121D">
      <w:pPr>
        <w:jc w:val="both"/>
        <w:rPr>
          <w:rFonts w:eastAsia="Times New Roman"/>
          <w:b/>
          <w:noProof/>
          <w:lang w:val="sq-AL"/>
        </w:rPr>
      </w:pPr>
    </w:p>
    <w:p w:rsidR="00B0121D" w:rsidRPr="00D73F43" w:rsidRDefault="00642658" w:rsidP="00B0121D">
      <w:pPr>
        <w:rPr>
          <w:rFonts w:eastAsia="MS Mincho"/>
          <w:b/>
          <w:noProof/>
          <w:szCs w:val="20"/>
          <w:lang w:val="sq-AL"/>
        </w:rPr>
      </w:pPr>
      <w:r>
        <w:rPr>
          <w:rFonts w:eastAsia="MS Mincho"/>
          <w:b/>
          <w:noProof/>
          <w:szCs w:val="20"/>
          <w:lang w:val="sq-AL"/>
        </w:rPr>
        <w:t>4.</w:t>
      </w:r>
      <w:r w:rsidR="00B0121D" w:rsidRPr="00D73F43">
        <w:rPr>
          <w:rFonts w:eastAsia="MS Mincho"/>
          <w:b/>
          <w:noProof/>
          <w:szCs w:val="20"/>
          <w:lang w:val="sq-AL"/>
        </w:rPr>
        <w:t>5.2 Reformat e ndërmarra 2013-2016</w:t>
      </w:r>
    </w:p>
    <w:p w:rsidR="00B0121D" w:rsidRPr="00D73F43" w:rsidRDefault="00B0121D" w:rsidP="00B0121D">
      <w:pPr>
        <w:rPr>
          <w:rFonts w:eastAsia="MS Mincho"/>
          <w:b/>
          <w:noProof/>
          <w:szCs w:val="20"/>
          <w:lang w:val="sq-AL"/>
        </w:rPr>
      </w:pPr>
    </w:p>
    <w:p w:rsidR="00B0121D" w:rsidRPr="00D73F43" w:rsidRDefault="00B0121D" w:rsidP="00534AA6">
      <w:pPr>
        <w:numPr>
          <w:ilvl w:val="0"/>
          <w:numId w:val="61"/>
        </w:numPr>
        <w:spacing w:after="200" w:line="276" w:lineRule="auto"/>
        <w:contextualSpacing/>
        <w:jc w:val="both"/>
        <w:rPr>
          <w:rFonts w:eastAsia="Times New Roman"/>
          <w:noProof/>
          <w:lang w:val="sq-AL"/>
        </w:rPr>
      </w:pPr>
      <w:r w:rsidRPr="00D73F43">
        <w:rPr>
          <w:rFonts w:eastAsia="Times New Roman"/>
          <w:noProof/>
          <w:lang w:val="sq-AL"/>
        </w:rPr>
        <w:t>U arrit transformimi i Arsimit dhe Formimit Profesional, duke e shndërruar në një mundësi të punësimit real:</w:t>
      </w:r>
    </w:p>
    <w:p w:rsidR="00B0121D" w:rsidRPr="00D73F43" w:rsidRDefault="00B0121D" w:rsidP="00534AA6">
      <w:pPr>
        <w:numPr>
          <w:ilvl w:val="1"/>
          <w:numId w:val="104"/>
        </w:numPr>
        <w:spacing w:after="200" w:line="276" w:lineRule="auto"/>
        <w:contextualSpacing/>
        <w:jc w:val="both"/>
        <w:rPr>
          <w:rFonts w:eastAsia="Times New Roman"/>
          <w:noProof/>
          <w:lang w:val="sq-AL"/>
        </w:rPr>
      </w:pPr>
      <w:r w:rsidRPr="00D73F43">
        <w:rPr>
          <w:rFonts w:eastAsia="Times New Roman"/>
          <w:noProof/>
          <w:lang w:val="sq-AL"/>
        </w:rPr>
        <w:t xml:space="preserve">Është investuar për krijimin e kushteve bashkëkohore mësimore në 33 shkolla të arsimit të mesëm profesional dhe 10 Qendra të Formimit Profesional, në mbarë vendin, në të cilat studiojnë rreth 17 mijë nxënës. </w:t>
      </w:r>
    </w:p>
    <w:p w:rsidR="00B0121D" w:rsidRPr="00D73F43" w:rsidRDefault="00B0121D" w:rsidP="00534AA6">
      <w:pPr>
        <w:numPr>
          <w:ilvl w:val="1"/>
          <w:numId w:val="104"/>
        </w:numPr>
        <w:spacing w:after="200" w:line="276" w:lineRule="auto"/>
        <w:contextualSpacing/>
        <w:jc w:val="both"/>
        <w:rPr>
          <w:rFonts w:eastAsia="Times New Roman"/>
          <w:noProof/>
          <w:lang w:val="sq-AL"/>
        </w:rPr>
      </w:pPr>
      <w:r w:rsidRPr="00D73F43">
        <w:rPr>
          <w:rFonts w:eastAsia="Times New Roman"/>
          <w:noProof/>
          <w:lang w:val="sq-AL"/>
        </w:rPr>
        <w:t xml:space="preserve">Në qendrat e formimit profesional janë certifikuar deri në fund të prillit 2016, mbi 5,500 kursantë. </w:t>
      </w:r>
    </w:p>
    <w:p w:rsidR="00B0121D" w:rsidRPr="00D73F43" w:rsidRDefault="00B0121D" w:rsidP="00534AA6">
      <w:pPr>
        <w:numPr>
          <w:ilvl w:val="1"/>
          <w:numId w:val="104"/>
        </w:numPr>
        <w:spacing w:after="200" w:line="276" w:lineRule="auto"/>
        <w:contextualSpacing/>
        <w:jc w:val="both"/>
        <w:rPr>
          <w:rFonts w:eastAsia="Times New Roman"/>
          <w:noProof/>
          <w:lang w:val="sq-AL"/>
        </w:rPr>
      </w:pPr>
      <w:r w:rsidRPr="00D73F43">
        <w:rPr>
          <w:rFonts w:eastAsia="Times New Roman"/>
          <w:noProof/>
          <w:lang w:val="sq-AL"/>
        </w:rPr>
        <w:t>Është rritur me 40% numri i personave që zgjedhin sot rrugën e profesionit dhe zanatit.</w:t>
      </w:r>
    </w:p>
    <w:p w:rsidR="00B0121D" w:rsidRPr="00D73F43" w:rsidRDefault="00B0121D" w:rsidP="00B0121D">
      <w:pPr>
        <w:spacing w:after="200" w:line="276" w:lineRule="auto"/>
        <w:ind w:left="720"/>
        <w:contextualSpacing/>
        <w:jc w:val="both"/>
        <w:rPr>
          <w:rFonts w:eastAsia="Times New Roman"/>
          <w:noProof/>
          <w:lang w:val="sq-AL"/>
        </w:rPr>
      </w:pPr>
    </w:p>
    <w:p w:rsidR="00B0121D" w:rsidRPr="00D73F43" w:rsidRDefault="00B0121D" w:rsidP="00534AA6">
      <w:pPr>
        <w:numPr>
          <w:ilvl w:val="0"/>
          <w:numId w:val="61"/>
        </w:numPr>
        <w:spacing w:after="200" w:line="276" w:lineRule="auto"/>
        <w:contextualSpacing/>
        <w:jc w:val="both"/>
        <w:rPr>
          <w:rFonts w:eastAsia="Times New Roman"/>
          <w:noProof/>
          <w:lang w:val="sq-AL"/>
        </w:rPr>
      </w:pPr>
      <w:r w:rsidRPr="00D73F43">
        <w:rPr>
          <w:rFonts w:eastAsia="Times New Roman"/>
          <w:noProof/>
          <w:lang w:val="sq-AL"/>
        </w:rPr>
        <w:t xml:space="preserve">Në programin e Përkujdesit Social janë në proces 3 reforma madhore: </w:t>
      </w:r>
    </w:p>
    <w:p w:rsidR="00B0121D" w:rsidRPr="00D73F43" w:rsidRDefault="00B0121D" w:rsidP="00B0121D">
      <w:pPr>
        <w:spacing w:after="200" w:line="276" w:lineRule="auto"/>
        <w:ind w:left="720"/>
        <w:contextualSpacing/>
        <w:jc w:val="both"/>
        <w:rPr>
          <w:rFonts w:eastAsia="Times New Roman"/>
          <w:noProof/>
          <w:lang w:val="sq-AL"/>
        </w:rPr>
      </w:pPr>
    </w:p>
    <w:p w:rsidR="00B0121D" w:rsidRPr="00D73F43" w:rsidRDefault="00B0121D" w:rsidP="00534AA6">
      <w:pPr>
        <w:numPr>
          <w:ilvl w:val="1"/>
          <w:numId w:val="61"/>
        </w:numPr>
        <w:spacing w:after="200" w:line="276" w:lineRule="auto"/>
        <w:contextualSpacing/>
        <w:jc w:val="both"/>
        <w:rPr>
          <w:rFonts w:eastAsia="Times New Roman"/>
          <w:noProof/>
          <w:lang w:val="sq-AL"/>
        </w:rPr>
      </w:pPr>
      <w:r w:rsidRPr="00D73F43">
        <w:rPr>
          <w:rFonts w:eastAsia="Times New Roman"/>
          <w:b/>
          <w:noProof/>
          <w:lang w:val="sq-AL"/>
        </w:rPr>
        <w:t>Reforma e ndihmës ekonomike</w:t>
      </w:r>
      <w:r w:rsidRPr="00D73F43">
        <w:rPr>
          <w:rFonts w:eastAsia="Times New Roman"/>
          <w:noProof/>
          <w:lang w:val="sq-AL"/>
        </w:rPr>
        <w:t>, e cila ka rezultuar me:</w:t>
      </w:r>
    </w:p>
    <w:p w:rsidR="00B0121D" w:rsidRPr="00D73F43" w:rsidRDefault="00B0121D" w:rsidP="00534AA6">
      <w:pPr>
        <w:numPr>
          <w:ilvl w:val="2"/>
          <w:numId w:val="61"/>
        </w:numPr>
        <w:spacing w:after="200" w:line="276" w:lineRule="auto"/>
        <w:contextualSpacing/>
        <w:jc w:val="both"/>
        <w:rPr>
          <w:rFonts w:eastAsia="Times New Roman"/>
          <w:noProof/>
          <w:lang w:val="sq-AL"/>
        </w:rPr>
      </w:pPr>
      <w:r w:rsidRPr="00D73F43">
        <w:rPr>
          <w:rFonts w:eastAsia="Times New Roman"/>
          <w:noProof/>
          <w:lang w:val="sq-AL"/>
        </w:rPr>
        <w:t xml:space="preserve">Vënien në funksion të plotë të një sistemi menaxhimit të informacionit në tre zonat pilot (Tiranë, Durrës, Elbasan), i cili ka mundësuar transparencën e skemës, shmangien e abuzivitetit, përdorimin më të mirë të fondeve, targetimin më të mirë të familjeve të varfëra dhe rritjen e eficiencës e barazisë në skemën e ndihmës ekonomike. </w:t>
      </w:r>
    </w:p>
    <w:p w:rsidR="00B0121D" w:rsidRPr="00D73F43" w:rsidRDefault="00B0121D" w:rsidP="00534AA6">
      <w:pPr>
        <w:numPr>
          <w:ilvl w:val="2"/>
          <w:numId w:val="61"/>
        </w:numPr>
        <w:spacing w:after="200" w:line="276" w:lineRule="auto"/>
        <w:contextualSpacing/>
        <w:jc w:val="both"/>
        <w:rPr>
          <w:rFonts w:eastAsia="Times New Roman"/>
          <w:noProof/>
          <w:lang w:val="sq-AL"/>
        </w:rPr>
      </w:pPr>
      <w:r w:rsidRPr="00D73F43">
        <w:rPr>
          <w:rFonts w:eastAsia="Times New Roman"/>
          <w:noProof/>
          <w:lang w:val="sq-AL"/>
        </w:rPr>
        <w:t xml:space="preserve">Trefishimin e nivelit të Ndihmës Ekonomike nga 1.5 mijë - 3 mijë lekë që ishte në vitin 2013, në 4.5 mijë - 8 mijë lekë që alokohen aktualisht. </w:t>
      </w:r>
    </w:p>
    <w:p w:rsidR="00B0121D" w:rsidRPr="00D73F43" w:rsidRDefault="00B0121D" w:rsidP="00534AA6">
      <w:pPr>
        <w:numPr>
          <w:ilvl w:val="2"/>
          <w:numId w:val="61"/>
        </w:numPr>
        <w:spacing w:after="200" w:line="276" w:lineRule="auto"/>
        <w:contextualSpacing/>
        <w:jc w:val="both"/>
        <w:rPr>
          <w:rFonts w:eastAsia="Times New Roman"/>
          <w:noProof/>
          <w:lang w:val="sq-AL"/>
        </w:rPr>
      </w:pPr>
      <w:r w:rsidRPr="00D73F43">
        <w:rPr>
          <w:rFonts w:eastAsia="Times New Roman"/>
          <w:noProof/>
          <w:lang w:val="sq-AL"/>
        </w:rPr>
        <w:t>Pastrimin e listës së përfituesve të ndihmës ekonomike nga abuzuesit, duke e reduktuar atë në rreth 81 mijë përfitues, të cilët marrin një pagesë mujore 25% më të lartë së në vitin 2013.</w:t>
      </w:r>
    </w:p>
    <w:p w:rsidR="00B0121D" w:rsidRPr="00D73F43" w:rsidRDefault="00B0121D" w:rsidP="00534AA6">
      <w:pPr>
        <w:numPr>
          <w:ilvl w:val="2"/>
          <w:numId w:val="61"/>
        </w:numPr>
        <w:contextualSpacing/>
        <w:rPr>
          <w:rFonts w:eastAsia="Times New Roman"/>
          <w:noProof/>
          <w:lang w:val="sq-AL"/>
        </w:rPr>
      </w:pPr>
      <w:r w:rsidRPr="00D73F43">
        <w:rPr>
          <w:rFonts w:eastAsia="Times New Roman"/>
          <w:noProof/>
          <w:lang w:val="sq-AL"/>
        </w:rPr>
        <w:t xml:space="preserve">Rreth 59 mijë fëmijë të familjeve që trajtohen me ndihmë ekonomike, të cilët kanë përfituar kompensim monetar për shkollim. </w:t>
      </w:r>
    </w:p>
    <w:p w:rsidR="00B0121D" w:rsidRPr="00D73F43" w:rsidRDefault="00B0121D" w:rsidP="00534AA6">
      <w:pPr>
        <w:numPr>
          <w:ilvl w:val="2"/>
          <w:numId w:val="61"/>
        </w:numPr>
        <w:contextualSpacing/>
        <w:rPr>
          <w:rFonts w:eastAsia="Times New Roman"/>
          <w:noProof/>
          <w:lang w:val="sq-AL"/>
        </w:rPr>
      </w:pPr>
      <w:r w:rsidRPr="00D73F43">
        <w:rPr>
          <w:rFonts w:eastAsia="Times New Roman"/>
          <w:noProof/>
          <w:lang w:val="sq-AL"/>
        </w:rPr>
        <w:t>Rreth 18 mijë fëmijë të familjeve që përfitojnë ndihmë ekonomike, të cilët janë kompensuar për vaksinimin.</w:t>
      </w:r>
    </w:p>
    <w:p w:rsidR="00B0121D" w:rsidRPr="00D73F43" w:rsidRDefault="00B0121D" w:rsidP="00B0121D">
      <w:pPr>
        <w:spacing w:after="200" w:line="276" w:lineRule="auto"/>
        <w:ind w:left="2160"/>
        <w:contextualSpacing/>
        <w:jc w:val="both"/>
        <w:rPr>
          <w:rFonts w:eastAsia="Times New Roman"/>
          <w:noProof/>
          <w:lang w:val="sq-AL"/>
        </w:rPr>
      </w:pPr>
    </w:p>
    <w:p w:rsidR="00B0121D" w:rsidRPr="00D73F43" w:rsidRDefault="00B0121D" w:rsidP="00534AA6">
      <w:pPr>
        <w:numPr>
          <w:ilvl w:val="1"/>
          <w:numId w:val="61"/>
        </w:numPr>
        <w:spacing w:after="200" w:line="276" w:lineRule="auto"/>
        <w:contextualSpacing/>
        <w:jc w:val="both"/>
        <w:rPr>
          <w:rFonts w:eastAsia="Times New Roman"/>
          <w:noProof/>
          <w:lang w:val="sq-AL"/>
        </w:rPr>
      </w:pPr>
      <w:r w:rsidRPr="00D73F43">
        <w:rPr>
          <w:rFonts w:eastAsia="Times New Roman"/>
          <w:b/>
          <w:noProof/>
          <w:lang w:val="sq-AL"/>
        </w:rPr>
        <w:t>Reforma e sistemit të vlerësimit të aftësisë së kufizuar</w:t>
      </w:r>
      <w:r w:rsidRPr="00D73F43">
        <w:rPr>
          <w:rFonts w:eastAsia="Times New Roman"/>
          <w:noProof/>
          <w:lang w:val="sq-AL"/>
        </w:rPr>
        <w:t>, ku është arritur që:</w:t>
      </w:r>
    </w:p>
    <w:p w:rsidR="00B0121D" w:rsidRPr="00D73F43" w:rsidRDefault="00B0121D" w:rsidP="00534AA6">
      <w:pPr>
        <w:numPr>
          <w:ilvl w:val="2"/>
          <w:numId w:val="61"/>
        </w:numPr>
        <w:spacing w:after="200" w:line="276" w:lineRule="auto"/>
        <w:contextualSpacing/>
        <w:jc w:val="both"/>
        <w:rPr>
          <w:rFonts w:eastAsia="Times New Roman"/>
          <w:noProof/>
          <w:lang w:val="sq-AL"/>
        </w:rPr>
      </w:pPr>
      <w:r w:rsidRPr="00D73F43">
        <w:rPr>
          <w:rFonts w:eastAsia="Times New Roman"/>
          <w:noProof/>
          <w:lang w:val="sq-AL"/>
        </w:rPr>
        <w:lastRenderedPageBreak/>
        <w:t>Të ngrihet sistemi i dixhitalizuar për Sistemin e Vlerësimit të Personave me Aftësi të Kufizuar, me qëllim eleminimin e plotë të abuzimeve me dhënien e këtij statusi.</w:t>
      </w:r>
    </w:p>
    <w:p w:rsidR="00B0121D" w:rsidRPr="00D73F43" w:rsidRDefault="00B0121D" w:rsidP="00534AA6">
      <w:pPr>
        <w:numPr>
          <w:ilvl w:val="2"/>
          <w:numId w:val="61"/>
        </w:numPr>
        <w:spacing w:after="200" w:line="276" w:lineRule="auto"/>
        <w:contextualSpacing/>
        <w:jc w:val="both"/>
        <w:rPr>
          <w:rFonts w:eastAsia="Times New Roman"/>
          <w:noProof/>
          <w:lang w:val="sq-AL"/>
        </w:rPr>
      </w:pPr>
      <w:r w:rsidRPr="00D73F43">
        <w:rPr>
          <w:rFonts w:eastAsia="Times New Roman"/>
          <w:caps/>
          <w:noProof/>
          <w:lang w:val="sq-AL"/>
        </w:rPr>
        <w:t>ë</w:t>
      </w:r>
      <w:r w:rsidRPr="00D73F43">
        <w:rPr>
          <w:rFonts w:eastAsia="Times New Roman"/>
          <w:noProof/>
          <w:lang w:val="sq-AL"/>
        </w:rPr>
        <w:t>shtë rritur me 25% pagesa mujore për Personat me Aftësi të Kufizuara, krahasuar me vitin 2013.</w:t>
      </w:r>
    </w:p>
    <w:p w:rsidR="00B0121D" w:rsidRPr="00D73F43" w:rsidRDefault="00B0121D" w:rsidP="00B0121D">
      <w:pPr>
        <w:spacing w:after="200" w:line="276" w:lineRule="auto"/>
        <w:ind w:left="2160"/>
        <w:contextualSpacing/>
        <w:jc w:val="both"/>
        <w:rPr>
          <w:rFonts w:eastAsia="Times New Roman"/>
          <w:noProof/>
          <w:lang w:val="sq-AL"/>
        </w:rPr>
      </w:pPr>
    </w:p>
    <w:p w:rsidR="00B0121D" w:rsidRPr="00D73F43" w:rsidRDefault="00B0121D" w:rsidP="00534AA6">
      <w:pPr>
        <w:numPr>
          <w:ilvl w:val="1"/>
          <w:numId w:val="61"/>
        </w:numPr>
        <w:spacing w:after="200" w:line="276" w:lineRule="auto"/>
        <w:contextualSpacing/>
        <w:jc w:val="both"/>
        <w:rPr>
          <w:rFonts w:eastAsia="Times New Roman"/>
          <w:noProof/>
          <w:lang w:val="sq-AL"/>
        </w:rPr>
      </w:pPr>
      <w:r w:rsidRPr="00D73F43">
        <w:rPr>
          <w:rFonts w:eastAsia="Times New Roman"/>
          <w:b/>
          <w:noProof/>
          <w:lang w:val="sq-AL"/>
        </w:rPr>
        <w:t>Reforma e shërbimeve shoqërore</w:t>
      </w:r>
      <w:r w:rsidRPr="00D73F43">
        <w:rPr>
          <w:rFonts w:eastAsia="Times New Roman"/>
          <w:noProof/>
          <w:lang w:val="sq-AL"/>
        </w:rPr>
        <w:t xml:space="preserve">, ku është arritur: </w:t>
      </w:r>
    </w:p>
    <w:p w:rsidR="00B0121D" w:rsidRPr="00D73F43" w:rsidRDefault="00B0121D" w:rsidP="00534AA6">
      <w:pPr>
        <w:numPr>
          <w:ilvl w:val="2"/>
          <w:numId w:val="61"/>
        </w:numPr>
        <w:spacing w:after="200" w:line="276" w:lineRule="auto"/>
        <w:contextualSpacing/>
        <w:jc w:val="both"/>
        <w:rPr>
          <w:rFonts w:eastAsia="Times New Roman"/>
          <w:noProof/>
          <w:lang w:val="sq-AL"/>
        </w:rPr>
      </w:pPr>
      <w:r w:rsidRPr="00D73F43">
        <w:rPr>
          <w:rFonts w:eastAsia="Times New Roman"/>
          <w:noProof/>
          <w:lang w:val="sq-AL"/>
        </w:rPr>
        <w:t>Krijimi i një pakete të shërbimeve bazë minimale për çdo bashki</w:t>
      </w:r>
    </w:p>
    <w:p w:rsidR="00B0121D" w:rsidRPr="00D73F43" w:rsidRDefault="00B0121D" w:rsidP="00534AA6">
      <w:pPr>
        <w:numPr>
          <w:ilvl w:val="2"/>
          <w:numId w:val="61"/>
        </w:numPr>
        <w:spacing w:after="200" w:line="276" w:lineRule="auto"/>
        <w:contextualSpacing/>
        <w:jc w:val="both"/>
        <w:rPr>
          <w:rFonts w:eastAsia="Times New Roman"/>
          <w:noProof/>
          <w:lang w:val="sq-AL"/>
        </w:rPr>
      </w:pPr>
      <w:r w:rsidRPr="00D73F43">
        <w:rPr>
          <w:rFonts w:eastAsia="Times New Roman"/>
          <w:noProof/>
          <w:lang w:val="sq-AL"/>
        </w:rPr>
        <w:t>Ngritja e Fondit Social</w:t>
      </w:r>
    </w:p>
    <w:p w:rsidR="00B0121D" w:rsidRPr="00D73F43" w:rsidRDefault="00B0121D" w:rsidP="00534AA6">
      <w:pPr>
        <w:numPr>
          <w:ilvl w:val="2"/>
          <w:numId w:val="61"/>
        </w:numPr>
        <w:spacing w:after="200" w:line="276" w:lineRule="auto"/>
        <w:contextualSpacing/>
        <w:jc w:val="both"/>
        <w:rPr>
          <w:rFonts w:eastAsia="Times New Roman"/>
          <w:noProof/>
          <w:lang w:val="sq-AL"/>
        </w:rPr>
      </w:pPr>
      <w:r w:rsidRPr="00D73F43">
        <w:rPr>
          <w:rFonts w:eastAsia="Times New Roman"/>
          <w:noProof/>
          <w:lang w:val="sq-AL"/>
        </w:rPr>
        <w:t xml:space="preserve"> Hartimi i një kuadri ligjor me qëllim për të pasur një strukturë të veçantë shërbimesh socialë në çdo bashki</w:t>
      </w:r>
    </w:p>
    <w:p w:rsidR="00B0121D" w:rsidRPr="00D73F43" w:rsidRDefault="00B0121D" w:rsidP="00534AA6">
      <w:pPr>
        <w:numPr>
          <w:ilvl w:val="2"/>
          <w:numId w:val="61"/>
        </w:numPr>
        <w:spacing w:after="200" w:line="276" w:lineRule="auto"/>
        <w:contextualSpacing/>
        <w:jc w:val="both"/>
        <w:rPr>
          <w:rFonts w:eastAsia="Times New Roman"/>
          <w:noProof/>
          <w:lang w:val="sq-AL"/>
        </w:rPr>
      </w:pPr>
      <w:r w:rsidRPr="00D73F43">
        <w:rPr>
          <w:rFonts w:eastAsia="Times New Roman"/>
          <w:noProof/>
          <w:lang w:val="sq-AL"/>
        </w:rPr>
        <w:t xml:space="preserve">Hartimi i një plani 3-vjeçar për deinstitucionalizimin dhe fillimin e procesit të transformimit të institucioneve. </w:t>
      </w:r>
    </w:p>
    <w:p w:rsidR="00B0121D" w:rsidRPr="00D73F43" w:rsidRDefault="00B0121D" w:rsidP="00B0121D">
      <w:pPr>
        <w:spacing w:after="200" w:line="276" w:lineRule="auto"/>
        <w:ind w:left="2160"/>
        <w:contextualSpacing/>
        <w:jc w:val="both"/>
        <w:rPr>
          <w:rFonts w:eastAsia="Times New Roman"/>
          <w:noProof/>
          <w:lang w:val="sq-AL"/>
        </w:rPr>
      </w:pPr>
    </w:p>
    <w:p w:rsidR="00B0121D" w:rsidRPr="00D73F43" w:rsidRDefault="00B0121D" w:rsidP="00534AA6">
      <w:pPr>
        <w:numPr>
          <w:ilvl w:val="0"/>
          <w:numId w:val="61"/>
        </w:numPr>
        <w:spacing w:after="200" w:line="276" w:lineRule="auto"/>
        <w:contextualSpacing/>
        <w:jc w:val="both"/>
        <w:rPr>
          <w:rFonts w:eastAsia="Times New Roman"/>
          <w:noProof/>
          <w:lang w:val="sq-AL"/>
        </w:rPr>
      </w:pPr>
      <w:r w:rsidRPr="00D73F43">
        <w:rPr>
          <w:rFonts w:eastAsia="Times New Roman"/>
          <w:noProof/>
          <w:lang w:val="sq-AL"/>
        </w:rPr>
        <w:t>Është rritur me 1.2 miliardë lekë fondi i pensioneve për zbatimin e reformës historike të pensioneve:</w:t>
      </w:r>
    </w:p>
    <w:p w:rsidR="00B0121D" w:rsidRPr="00D73F43" w:rsidRDefault="00B0121D" w:rsidP="00534AA6">
      <w:pPr>
        <w:numPr>
          <w:ilvl w:val="1"/>
          <w:numId w:val="61"/>
        </w:numPr>
        <w:spacing w:after="200" w:line="276" w:lineRule="auto"/>
        <w:contextualSpacing/>
        <w:jc w:val="both"/>
        <w:rPr>
          <w:rFonts w:eastAsia="Times New Roman"/>
          <w:noProof/>
          <w:lang w:val="sq-AL"/>
        </w:rPr>
      </w:pPr>
      <w:r w:rsidRPr="00D73F43">
        <w:rPr>
          <w:rFonts w:eastAsia="Times New Roman"/>
          <w:noProof/>
          <w:lang w:val="sq-AL"/>
        </w:rPr>
        <w:t>Me skemën e re është hequr pensioni tavan dhe është realizuar rritja e pensioneve për të gjithë përfituesit nga 2%-4%.</w:t>
      </w:r>
    </w:p>
    <w:p w:rsidR="00B0121D" w:rsidRPr="00D73F43" w:rsidRDefault="00B0121D" w:rsidP="00534AA6">
      <w:pPr>
        <w:numPr>
          <w:ilvl w:val="1"/>
          <w:numId w:val="61"/>
        </w:numPr>
        <w:spacing w:after="200" w:line="276" w:lineRule="auto"/>
        <w:contextualSpacing/>
        <w:jc w:val="both"/>
        <w:rPr>
          <w:rFonts w:eastAsia="Times New Roman"/>
          <w:noProof/>
          <w:lang w:val="sq-AL"/>
        </w:rPr>
      </w:pPr>
      <w:r w:rsidRPr="00D73F43">
        <w:rPr>
          <w:rFonts w:eastAsia="Times New Roman"/>
          <w:noProof/>
          <w:lang w:val="sq-AL"/>
        </w:rPr>
        <w:t>U vendos pensioni social për të moshuarit që nuk plotësonin kushtet në masën 6.700 lekë.</w:t>
      </w:r>
    </w:p>
    <w:p w:rsidR="00B0121D" w:rsidRPr="00D73F43" w:rsidRDefault="00B0121D" w:rsidP="00534AA6">
      <w:pPr>
        <w:numPr>
          <w:ilvl w:val="1"/>
          <w:numId w:val="61"/>
        </w:numPr>
        <w:spacing w:after="200" w:line="276" w:lineRule="auto"/>
        <w:contextualSpacing/>
        <w:jc w:val="both"/>
        <w:rPr>
          <w:rFonts w:eastAsia="Times New Roman"/>
          <w:noProof/>
          <w:lang w:val="sq-AL"/>
        </w:rPr>
      </w:pPr>
      <w:r w:rsidRPr="00D73F43">
        <w:rPr>
          <w:rFonts w:eastAsia="Times New Roman"/>
          <w:noProof/>
          <w:lang w:val="sq-AL"/>
        </w:rPr>
        <w:t xml:space="preserve">U ul mosha e daljes në pension për minatorët nga 60 në 55 vjeç; 2,280 ish-minatorë që deri përpara dy vjetësh përfitonin vetëm 8 mijë lekë, tashmë përfitojnë pension të plotë, të rritur dyfish. Pjesa tjetër përfitojnë një pension më të lartë, deri në 21,000 lekë. </w:t>
      </w:r>
    </w:p>
    <w:p w:rsidR="00B0121D" w:rsidRPr="00D73F43" w:rsidRDefault="00B0121D" w:rsidP="00534AA6">
      <w:pPr>
        <w:numPr>
          <w:ilvl w:val="1"/>
          <w:numId w:val="61"/>
        </w:numPr>
        <w:spacing w:after="200" w:line="276" w:lineRule="auto"/>
        <w:contextualSpacing/>
        <w:jc w:val="both"/>
        <w:rPr>
          <w:rFonts w:eastAsia="Times New Roman"/>
          <w:noProof/>
          <w:lang w:val="sq-AL"/>
        </w:rPr>
      </w:pPr>
      <w:r w:rsidRPr="00D73F43">
        <w:rPr>
          <w:rFonts w:eastAsia="Times New Roman"/>
          <w:noProof/>
          <w:lang w:val="sq-AL"/>
        </w:rPr>
        <w:t>U rritën pensionet e 6,600 veteranëve të luftës në masën 15.6%.</w:t>
      </w:r>
    </w:p>
    <w:p w:rsidR="00B0121D" w:rsidRPr="00D73F43" w:rsidRDefault="00B0121D" w:rsidP="00B0121D">
      <w:pPr>
        <w:jc w:val="both"/>
        <w:rPr>
          <w:rFonts w:eastAsia="Times New Roman"/>
          <w:noProof/>
          <w:lang w:val="sq-AL"/>
        </w:rPr>
      </w:pPr>
    </w:p>
    <w:p w:rsidR="00B0121D" w:rsidRPr="00D73F43" w:rsidRDefault="00B0121D" w:rsidP="00534AA6">
      <w:pPr>
        <w:numPr>
          <w:ilvl w:val="0"/>
          <w:numId w:val="61"/>
        </w:numPr>
        <w:spacing w:after="200" w:line="276" w:lineRule="auto"/>
        <w:contextualSpacing/>
        <w:jc w:val="both"/>
        <w:rPr>
          <w:rFonts w:eastAsia="Times New Roman"/>
          <w:noProof/>
          <w:lang w:val="sq-AL"/>
        </w:rPr>
      </w:pPr>
      <w:r w:rsidRPr="00D73F43">
        <w:rPr>
          <w:rFonts w:eastAsia="Times New Roman"/>
          <w:noProof/>
          <w:lang w:val="sq-AL"/>
        </w:rPr>
        <w:t>Fondet e Nxitjes së Punësimit janë shumëfishuar vetëm në tre vitet e kësaj qeverisje. Kështu, fondet e nxitjes së punësimit që nga viti 2013 janë pesëfishuar, nga 90 milionë lekë (që ishin në vitin  2013) në 490 milionë lekë në vitin 2016. Me këtë financim është arritur që:</w:t>
      </w:r>
    </w:p>
    <w:p w:rsidR="00B0121D" w:rsidRPr="00D73F43" w:rsidRDefault="00B0121D" w:rsidP="00B0121D">
      <w:pPr>
        <w:spacing w:after="200" w:line="276" w:lineRule="auto"/>
        <w:ind w:left="720"/>
        <w:contextualSpacing/>
        <w:jc w:val="both"/>
        <w:rPr>
          <w:rFonts w:eastAsia="Times New Roman"/>
          <w:noProof/>
          <w:lang w:val="sq-AL"/>
        </w:rPr>
      </w:pPr>
    </w:p>
    <w:p w:rsidR="00B0121D" w:rsidRPr="00D73F43" w:rsidRDefault="00B0121D" w:rsidP="00534AA6">
      <w:pPr>
        <w:numPr>
          <w:ilvl w:val="1"/>
          <w:numId w:val="61"/>
        </w:numPr>
        <w:spacing w:after="200" w:line="276" w:lineRule="auto"/>
        <w:contextualSpacing/>
        <w:jc w:val="both"/>
        <w:rPr>
          <w:rFonts w:eastAsia="Times New Roman"/>
          <w:noProof/>
          <w:lang w:val="sq-AL"/>
        </w:rPr>
      </w:pPr>
      <w:r w:rsidRPr="00D73F43">
        <w:rPr>
          <w:rFonts w:eastAsia="Times New Roman"/>
          <w:noProof/>
          <w:lang w:val="sq-AL"/>
        </w:rPr>
        <w:t xml:space="preserve">Numri i punëkërkuesve të papunë që trajtohen nga skemat e nxitjes së punësimit të rritet konsiderueshëm, nga 834 punëkërkues në vitin 2013, në mbi 6000 në vitin 2016. </w:t>
      </w:r>
    </w:p>
    <w:p w:rsidR="00B0121D" w:rsidRPr="00D73F43" w:rsidRDefault="00B0121D" w:rsidP="00534AA6">
      <w:pPr>
        <w:numPr>
          <w:ilvl w:val="1"/>
          <w:numId w:val="61"/>
        </w:numPr>
        <w:spacing w:after="200" w:line="276" w:lineRule="auto"/>
        <w:contextualSpacing/>
        <w:jc w:val="both"/>
        <w:rPr>
          <w:rFonts w:eastAsia="Times New Roman"/>
          <w:noProof/>
          <w:lang w:val="sq-AL"/>
        </w:rPr>
      </w:pPr>
      <w:r w:rsidRPr="00D73F43">
        <w:rPr>
          <w:rFonts w:eastAsia="Times New Roman"/>
          <w:noProof/>
          <w:lang w:val="sq-AL"/>
        </w:rPr>
        <w:t>Janë zgjeruar fushat e zbatimit të programeve të nxitjes së punësimit deri në vitin 2016 në fusha të tilla si: industria prodhuese, industria e turizmit, teknologjia e informacionit, aktivitete të lidhura me bujqësinë dhe blektorinë, dhe industritë të tjera prioritare.</w:t>
      </w:r>
    </w:p>
    <w:p w:rsidR="00B0121D" w:rsidRPr="00D73F43" w:rsidRDefault="00B0121D" w:rsidP="00B0121D">
      <w:pPr>
        <w:spacing w:after="200" w:line="276" w:lineRule="auto"/>
        <w:ind w:left="720"/>
        <w:contextualSpacing/>
        <w:jc w:val="both"/>
        <w:rPr>
          <w:rFonts w:eastAsia="Times New Roman"/>
          <w:noProof/>
          <w:lang w:val="sq-AL"/>
        </w:rPr>
      </w:pPr>
    </w:p>
    <w:p w:rsidR="00B0121D" w:rsidRPr="00D73F43" w:rsidRDefault="00B0121D" w:rsidP="00534AA6">
      <w:pPr>
        <w:numPr>
          <w:ilvl w:val="0"/>
          <w:numId w:val="61"/>
        </w:numPr>
        <w:spacing w:after="200" w:line="276" w:lineRule="auto"/>
        <w:contextualSpacing/>
        <w:jc w:val="both"/>
        <w:rPr>
          <w:rFonts w:eastAsia="Times New Roman"/>
          <w:noProof/>
          <w:lang w:val="sq-AL"/>
        </w:rPr>
      </w:pPr>
      <w:r w:rsidRPr="00D73F43">
        <w:rPr>
          <w:rFonts w:eastAsia="Times New Roman"/>
          <w:noProof/>
          <w:lang w:val="sq-AL"/>
        </w:rPr>
        <w:t>Është bërë e mundur njohja e viteve të punës së emigrantëve shqiptarë duke nënshkruar marrëveshjet përkatëse “Për mbrojtjen shoqërore të emigrantëve” me Republikën e Maqedonisë, Luksemburgut, Rumanisë, Hungarisë, Republikën Çeke, Gjermaninë dhe është gati për t’u nënshkruar me Austrinë dhe Kanadanë.</w:t>
      </w:r>
    </w:p>
    <w:p w:rsidR="00B0121D" w:rsidRPr="00D73F43" w:rsidRDefault="00B0121D" w:rsidP="00B0121D">
      <w:pPr>
        <w:spacing w:after="200" w:line="276" w:lineRule="auto"/>
        <w:ind w:left="720"/>
        <w:contextualSpacing/>
        <w:jc w:val="both"/>
        <w:rPr>
          <w:rFonts w:eastAsia="Times New Roman"/>
          <w:noProof/>
          <w:lang w:val="sq-AL"/>
        </w:rPr>
      </w:pPr>
    </w:p>
    <w:p w:rsidR="00910D26" w:rsidRPr="00C610A8" w:rsidRDefault="00B0121D" w:rsidP="00534AA6">
      <w:pPr>
        <w:numPr>
          <w:ilvl w:val="0"/>
          <w:numId w:val="61"/>
        </w:numPr>
        <w:spacing w:after="200" w:line="276" w:lineRule="auto"/>
        <w:contextualSpacing/>
        <w:jc w:val="both"/>
        <w:rPr>
          <w:rFonts w:eastAsia="Times New Roman"/>
          <w:noProof/>
          <w:lang w:val="sq-AL"/>
        </w:rPr>
      </w:pPr>
      <w:r w:rsidRPr="00D73F43">
        <w:rPr>
          <w:rFonts w:eastAsia="Times New Roman"/>
          <w:noProof/>
          <w:lang w:val="sq-AL"/>
        </w:rPr>
        <w:t>Brenda vitit 2015, u shlyen 100% borxhet e akumuluara deri në vitin 2013.</w:t>
      </w:r>
    </w:p>
    <w:p w:rsidR="00910D26" w:rsidRDefault="00910D26" w:rsidP="00B0121D">
      <w:pPr>
        <w:jc w:val="both"/>
        <w:rPr>
          <w:rFonts w:eastAsia="Times New Roman"/>
          <w:noProof/>
          <w:lang w:val="sq-AL"/>
        </w:rPr>
      </w:pPr>
    </w:p>
    <w:p w:rsidR="00910D26" w:rsidRPr="00D73F43" w:rsidRDefault="00910D26" w:rsidP="00B0121D">
      <w:pPr>
        <w:jc w:val="both"/>
        <w:rPr>
          <w:rFonts w:eastAsia="Times New Roman"/>
          <w:noProof/>
          <w:lang w:val="sq-AL"/>
        </w:rPr>
      </w:pPr>
    </w:p>
    <w:p w:rsidR="00B0121D" w:rsidRPr="00D73F43" w:rsidRDefault="00642658" w:rsidP="00B0121D">
      <w:pPr>
        <w:rPr>
          <w:rFonts w:eastAsia="MS Mincho"/>
          <w:b/>
          <w:noProof/>
          <w:szCs w:val="20"/>
          <w:lang w:val="sq-AL"/>
        </w:rPr>
      </w:pPr>
      <w:r>
        <w:rPr>
          <w:rFonts w:eastAsia="MS Mincho"/>
          <w:b/>
          <w:noProof/>
          <w:szCs w:val="20"/>
          <w:lang w:val="sq-AL"/>
        </w:rPr>
        <w:t>4.</w:t>
      </w:r>
      <w:r w:rsidR="00B0121D" w:rsidRPr="00D73F43">
        <w:rPr>
          <w:rFonts w:eastAsia="MS Mincho"/>
          <w:b/>
          <w:noProof/>
          <w:szCs w:val="20"/>
          <w:lang w:val="sq-AL"/>
        </w:rPr>
        <w:t>5.3 Prioritetet e projekt-buxhetit 2017</w:t>
      </w:r>
    </w:p>
    <w:p w:rsidR="00B0121D" w:rsidRPr="00D73F43" w:rsidRDefault="00B0121D" w:rsidP="00B0121D">
      <w:pPr>
        <w:spacing w:line="276" w:lineRule="auto"/>
        <w:contextualSpacing/>
        <w:jc w:val="both"/>
        <w:rPr>
          <w:rFonts w:eastAsia="Times New Roman"/>
          <w:b/>
          <w:noProof/>
          <w:lang w:val="sq-AL"/>
        </w:rPr>
      </w:pPr>
    </w:p>
    <w:p w:rsidR="00B0121D" w:rsidRPr="00D73F43" w:rsidRDefault="00B0121D" w:rsidP="00534AA6">
      <w:pPr>
        <w:numPr>
          <w:ilvl w:val="0"/>
          <w:numId w:val="62"/>
        </w:numPr>
        <w:spacing w:line="276" w:lineRule="auto"/>
        <w:contextualSpacing/>
        <w:jc w:val="both"/>
        <w:rPr>
          <w:rFonts w:eastAsia="Times New Roman"/>
          <w:noProof/>
          <w:lang w:val="sq-AL"/>
        </w:rPr>
      </w:pPr>
      <w:r w:rsidRPr="00D73F43">
        <w:rPr>
          <w:rFonts w:eastAsia="Times New Roman"/>
          <w:noProof/>
          <w:lang w:val="sq-AL"/>
        </w:rPr>
        <w:t>Rritja e aksesit dhe  cilësisë së ofruesve të Arsimit dhe Formimit Profesional:</w:t>
      </w:r>
    </w:p>
    <w:p w:rsidR="00B0121D" w:rsidRPr="00D73F43" w:rsidRDefault="00B0121D" w:rsidP="00534AA6">
      <w:pPr>
        <w:numPr>
          <w:ilvl w:val="1"/>
          <w:numId w:val="105"/>
        </w:numPr>
        <w:spacing w:line="276" w:lineRule="auto"/>
        <w:contextualSpacing/>
        <w:jc w:val="both"/>
        <w:rPr>
          <w:rFonts w:eastAsia="Times New Roman"/>
          <w:noProof/>
          <w:lang w:val="sq-AL"/>
        </w:rPr>
      </w:pPr>
      <w:r w:rsidRPr="00D73F43">
        <w:rPr>
          <w:rFonts w:eastAsia="Times New Roman"/>
          <w:noProof/>
          <w:lang w:val="sq-AL"/>
        </w:rPr>
        <w:t xml:space="preserve">25% më shumë pjesëmarrës në sistem se viti 2016.  </w:t>
      </w:r>
    </w:p>
    <w:p w:rsidR="00B0121D" w:rsidRPr="00D73F43" w:rsidRDefault="00B0121D" w:rsidP="00534AA6">
      <w:pPr>
        <w:numPr>
          <w:ilvl w:val="1"/>
          <w:numId w:val="105"/>
        </w:numPr>
        <w:spacing w:line="276" w:lineRule="auto"/>
        <w:contextualSpacing/>
        <w:jc w:val="both"/>
        <w:rPr>
          <w:rFonts w:eastAsia="Times New Roman"/>
          <w:noProof/>
          <w:lang w:val="sq-AL"/>
        </w:rPr>
      </w:pPr>
      <w:r w:rsidRPr="00D73F43">
        <w:rPr>
          <w:rFonts w:eastAsia="Times New Roman"/>
          <w:noProof/>
          <w:lang w:val="sq-AL"/>
        </w:rPr>
        <w:lastRenderedPageBreak/>
        <w:t>8 Shkolla të AMP të ndërtuara/rikonstruktuara dhe të kompletuara me bazë prodhuese dhe pajisjet e nevojshme.</w:t>
      </w:r>
    </w:p>
    <w:p w:rsidR="00B0121D" w:rsidRPr="00D73F43" w:rsidRDefault="00B0121D" w:rsidP="00534AA6">
      <w:pPr>
        <w:numPr>
          <w:ilvl w:val="1"/>
          <w:numId w:val="105"/>
        </w:numPr>
        <w:spacing w:line="276" w:lineRule="auto"/>
        <w:contextualSpacing/>
        <w:jc w:val="both"/>
        <w:rPr>
          <w:rFonts w:eastAsia="Times New Roman"/>
          <w:noProof/>
          <w:lang w:val="sq-AL"/>
        </w:rPr>
      </w:pPr>
      <w:r w:rsidRPr="00D73F43">
        <w:rPr>
          <w:rFonts w:eastAsia="Times New Roman"/>
          <w:noProof/>
          <w:lang w:val="sq-AL"/>
        </w:rPr>
        <w:t xml:space="preserve">Skelet-kurrikula dhe Programe për kurse, të hartuara në përputhje me nevojat tregut të punës, Kornizën kombëtare dhe europiane të kualifikimeve. </w:t>
      </w:r>
    </w:p>
    <w:p w:rsidR="00B0121D" w:rsidRPr="00D73F43" w:rsidRDefault="00B0121D" w:rsidP="00534AA6">
      <w:pPr>
        <w:numPr>
          <w:ilvl w:val="1"/>
          <w:numId w:val="105"/>
        </w:numPr>
        <w:spacing w:line="276" w:lineRule="auto"/>
        <w:contextualSpacing/>
        <w:jc w:val="both"/>
        <w:rPr>
          <w:rFonts w:eastAsia="Times New Roman"/>
          <w:noProof/>
          <w:lang w:val="sq-AL"/>
        </w:rPr>
      </w:pPr>
      <w:r w:rsidRPr="00D73F43">
        <w:rPr>
          <w:rFonts w:eastAsia="Times New Roman"/>
          <w:noProof/>
          <w:lang w:val="sq-AL"/>
        </w:rPr>
        <w:t>Përmirësim i vazhdueshëm i cilësisë së trupës mësimore të AFP për t’iu përshtatur zhvillimeve të reja teknologjike</w:t>
      </w:r>
    </w:p>
    <w:p w:rsidR="00B0121D" w:rsidRPr="00D73F43" w:rsidRDefault="00B0121D" w:rsidP="00B0121D">
      <w:pPr>
        <w:spacing w:line="276" w:lineRule="auto"/>
        <w:ind w:left="1440"/>
        <w:contextualSpacing/>
        <w:jc w:val="both"/>
        <w:rPr>
          <w:rFonts w:eastAsia="Times New Roman"/>
          <w:noProof/>
          <w:lang w:val="sq-AL"/>
        </w:rPr>
      </w:pPr>
    </w:p>
    <w:p w:rsidR="00B0121D" w:rsidRPr="00D73F43" w:rsidRDefault="00B0121D" w:rsidP="00534AA6">
      <w:pPr>
        <w:numPr>
          <w:ilvl w:val="0"/>
          <w:numId w:val="62"/>
        </w:numPr>
        <w:spacing w:line="276" w:lineRule="auto"/>
        <w:contextualSpacing/>
        <w:jc w:val="both"/>
        <w:rPr>
          <w:rFonts w:eastAsia="Times New Roman"/>
          <w:noProof/>
          <w:lang w:val="sq-AL"/>
        </w:rPr>
      </w:pPr>
      <w:r w:rsidRPr="00D73F43">
        <w:rPr>
          <w:rFonts w:eastAsia="Times New Roman"/>
          <w:noProof/>
          <w:lang w:val="sq-AL"/>
        </w:rPr>
        <w:t>Zgjerimi i numrit të familjeve që do të trajtohen në skemën e ndihmës ekonomike, nga 79. mijë familje të trajtuara në 2016 në  rreth 83 mijë familje përgjatë 2017. Kjo rritje vjen si rezultat i shtrirjes së sistemit të menaxhimit të informacionit dhe përdorimit të formulës së pikëzuar në të gjithë vendin për targetimin më të mirë të familjeve që trajtohen me ndihmë ekonomike.</w:t>
      </w:r>
    </w:p>
    <w:p w:rsidR="00B0121D" w:rsidRPr="00D73F43" w:rsidRDefault="00B0121D" w:rsidP="00B0121D">
      <w:pPr>
        <w:spacing w:line="276" w:lineRule="auto"/>
        <w:ind w:left="720"/>
        <w:contextualSpacing/>
        <w:jc w:val="both"/>
        <w:rPr>
          <w:rFonts w:eastAsia="Times New Roman"/>
          <w:noProof/>
          <w:lang w:val="sq-AL"/>
        </w:rPr>
      </w:pPr>
    </w:p>
    <w:p w:rsidR="00B0121D" w:rsidRPr="00D73F43" w:rsidRDefault="00B0121D" w:rsidP="00534AA6">
      <w:pPr>
        <w:numPr>
          <w:ilvl w:val="0"/>
          <w:numId w:val="62"/>
        </w:numPr>
        <w:spacing w:line="276" w:lineRule="auto"/>
        <w:contextualSpacing/>
        <w:jc w:val="both"/>
        <w:rPr>
          <w:rFonts w:eastAsia="Times New Roman"/>
          <w:noProof/>
          <w:lang w:val="sq-AL"/>
        </w:rPr>
      </w:pPr>
      <w:r w:rsidRPr="00D73F43">
        <w:rPr>
          <w:rFonts w:eastAsia="Times New Roman"/>
          <w:noProof/>
          <w:szCs w:val="20"/>
          <w:lang w:val="sq-AL"/>
        </w:rPr>
        <w:t>Do të trajtohen rreth 164,734 persona me PAK,</w:t>
      </w:r>
      <w:r w:rsidRPr="00D73F43">
        <w:rPr>
          <w:rFonts w:eastAsia="Times New Roman"/>
          <w:iCs/>
          <w:noProof/>
          <w:szCs w:val="20"/>
          <w:lang w:val="sq-AL"/>
        </w:rPr>
        <w:t xml:space="preserve"> nga </w:t>
      </w:r>
      <w:r w:rsidRPr="00D73F43">
        <w:rPr>
          <w:rFonts w:eastAsia="Times New Roman"/>
          <w:noProof/>
          <w:szCs w:val="20"/>
          <w:lang w:val="sq-AL"/>
        </w:rPr>
        <w:t xml:space="preserve">164,000 persona që po trajtohen në vitin 2016. Rritja e lehtë vjen si rezultat i zbatimit të reformës mbi sistemin e ri të vlerësimit të aftësisë të kufizuar bazuar në Modelin Social,  </w:t>
      </w:r>
    </w:p>
    <w:p w:rsidR="00B0121D" w:rsidRPr="00D73F43" w:rsidRDefault="00B0121D" w:rsidP="00B0121D">
      <w:pPr>
        <w:spacing w:line="276" w:lineRule="auto"/>
        <w:ind w:left="720"/>
        <w:contextualSpacing/>
        <w:rPr>
          <w:rFonts w:eastAsia="Times New Roman"/>
          <w:noProof/>
          <w:lang w:val="sq-AL"/>
        </w:rPr>
      </w:pPr>
    </w:p>
    <w:p w:rsidR="00B0121D" w:rsidRPr="00D73F43" w:rsidRDefault="00B0121D" w:rsidP="00534AA6">
      <w:pPr>
        <w:numPr>
          <w:ilvl w:val="0"/>
          <w:numId w:val="62"/>
        </w:numPr>
        <w:spacing w:line="276" w:lineRule="auto"/>
        <w:contextualSpacing/>
        <w:jc w:val="both"/>
        <w:rPr>
          <w:rFonts w:eastAsia="Times New Roman"/>
          <w:noProof/>
          <w:lang w:val="sq-AL"/>
        </w:rPr>
      </w:pPr>
      <w:r w:rsidRPr="00D73F43">
        <w:rPr>
          <w:rFonts w:eastAsia="Times New Roman"/>
          <w:bCs/>
          <w:noProof/>
          <w:szCs w:val="20"/>
          <w:lang w:val="sq-AL"/>
        </w:rPr>
        <w:t>Garantimi i standardeve të shërbimeve sipas kuotave të përcaktuara me ligj (ushqim, veshmbathje, aktivitetet integruese, kushte materiale dhe infrastrukturën e nevojshme) për 1,094 klientët rezidencialë e ditorë të 28 institucioneve të përkujdesit shoqëror, në të cilat trajtohen fëmijet jetim, të moshuar të braktisur, viktima të trafikimit, si dhe fëmijët me aftësi të kufizuar, si dhe viktima të dhunës në familje.</w:t>
      </w:r>
    </w:p>
    <w:p w:rsidR="00B0121D" w:rsidRPr="00D73F43" w:rsidRDefault="00B0121D" w:rsidP="00B0121D">
      <w:pPr>
        <w:spacing w:line="276" w:lineRule="auto"/>
        <w:contextualSpacing/>
        <w:jc w:val="both"/>
        <w:rPr>
          <w:rFonts w:eastAsia="Times New Roman"/>
          <w:noProof/>
          <w:lang w:val="sq-AL"/>
        </w:rPr>
      </w:pPr>
    </w:p>
    <w:p w:rsidR="00B0121D" w:rsidRPr="00D73F43" w:rsidRDefault="00B0121D" w:rsidP="00534AA6">
      <w:pPr>
        <w:numPr>
          <w:ilvl w:val="0"/>
          <w:numId w:val="62"/>
        </w:numPr>
        <w:spacing w:line="276" w:lineRule="auto"/>
        <w:contextualSpacing/>
        <w:jc w:val="both"/>
        <w:rPr>
          <w:rFonts w:eastAsia="Times New Roman"/>
          <w:bCs/>
          <w:noProof/>
          <w:szCs w:val="20"/>
          <w:lang w:val="sq-AL"/>
        </w:rPr>
      </w:pPr>
      <w:r w:rsidRPr="00D73F43">
        <w:rPr>
          <w:rFonts w:eastAsia="Times New Roman"/>
          <w:bCs/>
          <w:noProof/>
          <w:szCs w:val="20"/>
          <w:lang w:val="sq-AL"/>
        </w:rPr>
        <w:t>Në Programet e Nxitjes së Punësimit do të marrin pjesë rreth  6 mijë punëkërkues të papunë.</w:t>
      </w:r>
    </w:p>
    <w:p w:rsidR="00B0121D" w:rsidRPr="00D73F43" w:rsidRDefault="00B0121D" w:rsidP="00B0121D">
      <w:pPr>
        <w:spacing w:line="276" w:lineRule="auto"/>
        <w:contextualSpacing/>
        <w:jc w:val="both"/>
        <w:rPr>
          <w:rFonts w:eastAsia="Times New Roman"/>
          <w:bCs/>
          <w:noProof/>
          <w:szCs w:val="20"/>
          <w:lang w:val="sq-AL"/>
        </w:rPr>
      </w:pPr>
    </w:p>
    <w:p w:rsidR="00B0121D" w:rsidRPr="00D73F43" w:rsidRDefault="00B0121D" w:rsidP="00534AA6">
      <w:pPr>
        <w:numPr>
          <w:ilvl w:val="0"/>
          <w:numId w:val="62"/>
        </w:numPr>
        <w:spacing w:line="276" w:lineRule="auto"/>
        <w:contextualSpacing/>
        <w:jc w:val="both"/>
        <w:rPr>
          <w:rFonts w:eastAsia="Times New Roman"/>
          <w:bCs/>
          <w:noProof/>
          <w:szCs w:val="20"/>
          <w:lang w:val="sq-AL"/>
        </w:rPr>
      </w:pPr>
      <w:r w:rsidRPr="00D73F43">
        <w:rPr>
          <w:rFonts w:eastAsia="Times New Roman"/>
          <w:bCs/>
          <w:noProof/>
          <w:szCs w:val="20"/>
          <w:lang w:val="sq-AL"/>
        </w:rPr>
        <w:t>Do të trajtohen me pagesë papunësie rreth  6 mijë persona në vit.</w:t>
      </w:r>
    </w:p>
    <w:p w:rsidR="00B0121D" w:rsidRPr="00D73F43" w:rsidRDefault="00B0121D" w:rsidP="00B0121D">
      <w:pPr>
        <w:spacing w:line="276" w:lineRule="auto"/>
        <w:ind w:left="720"/>
        <w:contextualSpacing/>
        <w:rPr>
          <w:rFonts w:eastAsia="Times New Roman"/>
          <w:bCs/>
          <w:noProof/>
          <w:szCs w:val="20"/>
          <w:lang w:val="sq-AL"/>
        </w:rPr>
      </w:pPr>
    </w:p>
    <w:p w:rsidR="00B0121D" w:rsidRPr="00D73F43" w:rsidRDefault="00B0121D" w:rsidP="00534AA6">
      <w:pPr>
        <w:numPr>
          <w:ilvl w:val="0"/>
          <w:numId w:val="62"/>
        </w:numPr>
        <w:spacing w:line="276" w:lineRule="auto"/>
        <w:contextualSpacing/>
        <w:jc w:val="both"/>
        <w:rPr>
          <w:rFonts w:eastAsia="Times New Roman"/>
          <w:bCs/>
          <w:noProof/>
          <w:szCs w:val="20"/>
          <w:lang w:val="sq-AL"/>
        </w:rPr>
      </w:pPr>
      <w:r w:rsidRPr="00D73F43">
        <w:rPr>
          <w:rFonts w:eastAsia="Times New Roman"/>
          <w:bCs/>
          <w:noProof/>
          <w:lang w:val="sq-AL"/>
        </w:rPr>
        <w:t>Nga trajnimet e formimit profesional do të përfitojnë rreth 16.200 persona.</w:t>
      </w:r>
    </w:p>
    <w:p w:rsidR="00B0121D" w:rsidRPr="00D73F43" w:rsidRDefault="00B0121D" w:rsidP="00B0121D">
      <w:pPr>
        <w:spacing w:line="276" w:lineRule="auto"/>
        <w:ind w:left="720"/>
        <w:contextualSpacing/>
        <w:rPr>
          <w:rFonts w:eastAsia="Times New Roman"/>
          <w:bCs/>
          <w:noProof/>
          <w:szCs w:val="20"/>
          <w:lang w:val="sq-AL"/>
        </w:rPr>
      </w:pPr>
    </w:p>
    <w:p w:rsidR="00B0121D" w:rsidRPr="00D73F43" w:rsidRDefault="00B0121D" w:rsidP="00534AA6">
      <w:pPr>
        <w:numPr>
          <w:ilvl w:val="0"/>
          <w:numId w:val="62"/>
        </w:numPr>
        <w:spacing w:line="276" w:lineRule="auto"/>
        <w:contextualSpacing/>
        <w:jc w:val="both"/>
        <w:rPr>
          <w:rFonts w:eastAsia="Times New Roman"/>
          <w:bCs/>
          <w:noProof/>
          <w:szCs w:val="20"/>
          <w:lang w:val="sq-AL"/>
        </w:rPr>
      </w:pPr>
      <w:r w:rsidRPr="00D73F43">
        <w:rPr>
          <w:rFonts w:eastAsia="Times New Roman"/>
          <w:noProof/>
          <w:szCs w:val="20"/>
          <w:lang w:val="sq-AL"/>
        </w:rPr>
        <w:t>Për punëkërkuesit e papunë, do të kryhen rreth 16.700 ndërmjetësime për punë.</w:t>
      </w:r>
    </w:p>
    <w:p w:rsidR="00B0121D" w:rsidRPr="00D73F43" w:rsidRDefault="00B0121D" w:rsidP="00B0121D">
      <w:pPr>
        <w:ind w:left="432"/>
        <w:rPr>
          <w:b/>
          <w:lang w:val="sq-AL"/>
        </w:rPr>
      </w:pPr>
    </w:p>
    <w:p w:rsidR="00B0121D" w:rsidRPr="00D73F43" w:rsidRDefault="00B0121D" w:rsidP="00B0121D">
      <w:pPr>
        <w:ind w:left="792"/>
        <w:rPr>
          <w:b/>
          <w:lang w:val="sq-AL"/>
        </w:rPr>
      </w:pPr>
      <w:r w:rsidRPr="00D73F43">
        <w:rPr>
          <w:rFonts w:eastAsia="Times New Roman"/>
          <w:lang w:val="sq-AL"/>
        </w:rPr>
        <w:t xml:space="preserve">                                      </w:t>
      </w:r>
    </w:p>
    <w:p w:rsidR="00B0121D" w:rsidRPr="006D51B9" w:rsidRDefault="006D51B9" w:rsidP="00534AA6">
      <w:pPr>
        <w:pStyle w:val="Heading2"/>
        <w:numPr>
          <w:ilvl w:val="1"/>
          <w:numId w:val="161"/>
        </w:numPr>
        <w:rPr>
          <w:rFonts w:ascii="Times New Roman" w:hAnsi="Times New Roman"/>
          <w:i w:val="0"/>
        </w:rPr>
      </w:pPr>
      <w:r>
        <w:rPr>
          <w:rFonts w:ascii="Times New Roman" w:hAnsi="Times New Roman"/>
          <w:i w:val="0"/>
        </w:rPr>
        <w:t xml:space="preserve"> </w:t>
      </w:r>
      <w:bookmarkStart w:id="146" w:name="_Toc466445476"/>
      <w:r w:rsidR="00B0121D" w:rsidRPr="006D51B9">
        <w:rPr>
          <w:rFonts w:ascii="Times New Roman" w:hAnsi="Times New Roman"/>
          <w:i w:val="0"/>
        </w:rPr>
        <w:t>RENDI DHE SIGURIA PUBLIKE</w:t>
      </w:r>
      <w:bookmarkEnd w:id="146"/>
    </w:p>
    <w:p w:rsidR="00B0121D" w:rsidRPr="00D73F43" w:rsidRDefault="00B0121D" w:rsidP="00B0121D">
      <w:pPr>
        <w:ind w:left="432"/>
        <w:rPr>
          <w:rFonts w:eastAsia="MS Mincho"/>
          <w:b/>
          <w:lang w:val="sq-AL"/>
        </w:rPr>
      </w:pPr>
    </w:p>
    <w:p w:rsidR="00B0121D" w:rsidRPr="00952AD0" w:rsidRDefault="00952AD0" w:rsidP="006D51B9">
      <w:pPr>
        <w:ind w:left="375"/>
        <w:rPr>
          <w:rFonts w:eastAsia="MS Mincho"/>
          <w:b/>
          <w:noProof/>
          <w:szCs w:val="20"/>
          <w:lang w:val="sq-AL"/>
        </w:rPr>
      </w:pPr>
      <w:r w:rsidRPr="00952AD0">
        <w:rPr>
          <w:rFonts w:eastAsia="MS Mincho"/>
          <w:b/>
          <w:noProof/>
          <w:szCs w:val="20"/>
          <w:lang w:val="sq-AL"/>
        </w:rPr>
        <w:t xml:space="preserve">4.6.1 </w:t>
      </w:r>
      <w:r w:rsidR="00B0121D" w:rsidRPr="00952AD0">
        <w:rPr>
          <w:rFonts w:eastAsia="MS Mincho"/>
          <w:b/>
          <w:noProof/>
          <w:szCs w:val="20"/>
          <w:lang w:val="sq-AL"/>
        </w:rPr>
        <w:t>Situata e sektorit në 2013</w:t>
      </w:r>
    </w:p>
    <w:p w:rsidR="00B0121D" w:rsidRPr="00D73F43" w:rsidRDefault="00B0121D" w:rsidP="00B0121D">
      <w:pPr>
        <w:ind w:left="1620"/>
        <w:rPr>
          <w:rFonts w:eastAsia="MS Mincho"/>
          <w:b/>
          <w:lang w:val="sq-AL"/>
        </w:rPr>
      </w:pPr>
    </w:p>
    <w:p w:rsidR="00B0121D" w:rsidRPr="00D73F43" w:rsidRDefault="00B0121D" w:rsidP="00B0121D">
      <w:pPr>
        <w:spacing w:line="276" w:lineRule="auto"/>
        <w:ind w:left="432"/>
        <w:jc w:val="both"/>
        <w:rPr>
          <w:rFonts w:eastAsia="MS Mincho"/>
          <w:bCs/>
          <w:lang w:val="sq-AL"/>
        </w:rPr>
      </w:pPr>
      <w:r w:rsidRPr="00D73F43">
        <w:rPr>
          <w:rFonts w:eastAsia="MS Mincho"/>
          <w:bCs/>
          <w:lang w:val="sq-AL"/>
        </w:rPr>
        <w:t xml:space="preserve">Në vitin 2013,  Ministria e Punëve të Brendshme ndodhej në një situatë kaotike, në shumë prej institucioneve që ajo kishte në varësi. Problematika e trashëguar konsistonte në sa më poshtë </w:t>
      </w:r>
    </w:p>
    <w:p w:rsidR="00B0121D" w:rsidRPr="00D73F43" w:rsidRDefault="00B0121D" w:rsidP="00B0121D">
      <w:pPr>
        <w:spacing w:line="276" w:lineRule="auto"/>
        <w:ind w:left="432"/>
        <w:jc w:val="both"/>
        <w:rPr>
          <w:rFonts w:eastAsia="MS Mincho"/>
          <w:b/>
          <w:bCs/>
          <w:lang w:val="sq-AL"/>
        </w:rPr>
      </w:pPr>
      <w:r w:rsidRPr="00D73F43">
        <w:rPr>
          <w:rFonts w:eastAsia="MS Mincho"/>
          <w:b/>
          <w:bCs/>
          <w:lang w:val="sq-AL"/>
        </w:rPr>
        <w:t>Policia e Shtetit</w:t>
      </w:r>
    </w:p>
    <w:p w:rsidR="00B0121D" w:rsidRPr="00D73F43" w:rsidRDefault="00B0121D" w:rsidP="00534AA6">
      <w:pPr>
        <w:numPr>
          <w:ilvl w:val="0"/>
          <w:numId w:val="65"/>
        </w:numPr>
        <w:spacing w:line="276" w:lineRule="auto"/>
        <w:jc w:val="both"/>
        <w:rPr>
          <w:rFonts w:eastAsia="MS Mincho"/>
          <w:lang w:val="sq-AL"/>
        </w:rPr>
      </w:pPr>
      <w:r w:rsidRPr="00D73F43">
        <w:rPr>
          <w:rFonts w:eastAsia="MS Mincho"/>
          <w:lang w:val="sq-AL"/>
        </w:rPr>
        <w:t xml:space="preserve">Rezultonte një mjedis social i mbushur me konflikte pronësie dhe familjare, konflikte me origjinë ekonomike dhe kulturore.  Ndiqeshin traditat e vjetra të hakmarrjes dhe gjakmarrjes. </w:t>
      </w:r>
    </w:p>
    <w:p w:rsidR="00B0121D" w:rsidRPr="00D73F43" w:rsidRDefault="00B0121D" w:rsidP="00534AA6">
      <w:pPr>
        <w:numPr>
          <w:ilvl w:val="0"/>
          <w:numId w:val="65"/>
        </w:numPr>
        <w:spacing w:line="276" w:lineRule="auto"/>
        <w:jc w:val="both"/>
        <w:rPr>
          <w:rFonts w:eastAsia="MS Mincho"/>
          <w:lang w:val="sq-AL"/>
        </w:rPr>
      </w:pPr>
      <w:r w:rsidRPr="00D73F43">
        <w:rPr>
          <w:rFonts w:eastAsia="MS Mincho"/>
          <w:lang w:val="sq-AL"/>
        </w:rPr>
        <w:t>Respektimi i të drejtave të njeriut ishte problematik.</w:t>
      </w:r>
    </w:p>
    <w:p w:rsidR="00B0121D" w:rsidRPr="00D73F43" w:rsidRDefault="00B0121D" w:rsidP="00534AA6">
      <w:pPr>
        <w:numPr>
          <w:ilvl w:val="0"/>
          <w:numId w:val="65"/>
        </w:numPr>
        <w:spacing w:line="276" w:lineRule="auto"/>
        <w:jc w:val="both"/>
        <w:rPr>
          <w:rFonts w:eastAsia="MS Mincho"/>
          <w:lang w:val="sq-AL"/>
        </w:rPr>
      </w:pPr>
      <w:r w:rsidRPr="00D73F43">
        <w:rPr>
          <w:rFonts w:eastAsia="MS Mincho"/>
          <w:lang w:val="sq-AL"/>
        </w:rPr>
        <w:t>Mungesë besimi të publikut tek Policia e Shtetit.</w:t>
      </w:r>
    </w:p>
    <w:p w:rsidR="00B0121D" w:rsidRPr="00D73F43" w:rsidRDefault="00B0121D" w:rsidP="00534AA6">
      <w:pPr>
        <w:numPr>
          <w:ilvl w:val="0"/>
          <w:numId w:val="65"/>
        </w:numPr>
        <w:spacing w:line="276" w:lineRule="auto"/>
        <w:jc w:val="both"/>
        <w:rPr>
          <w:rFonts w:eastAsia="MS Mincho"/>
          <w:lang w:val="sq-AL"/>
        </w:rPr>
      </w:pPr>
      <w:r w:rsidRPr="00D73F43">
        <w:rPr>
          <w:rFonts w:eastAsia="MS Mincho"/>
          <w:lang w:val="sq-AL"/>
        </w:rPr>
        <w:t>Nivel i lartë i korrupsionit në radhët e policies.</w:t>
      </w:r>
    </w:p>
    <w:p w:rsidR="00B0121D" w:rsidRPr="00D73F43" w:rsidRDefault="00B0121D" w:rsidP="00534AA6">
      <w:pPr>
        <w:numPr>
          <w:ilvl w:val="0"/>
          <w:numId w:val="65"/>
        </w:numPr>
        <w:spacing w:line="276" w:lineRule="auto"/>
        <w:jc w:val="both"/>
        <w:rPr>
          <w:rFonts w:eastAsia="MS Mincho"/>
          <w:lang w:val="sq-AL"/>
        </w:rPr>
      </w:pPr>
      <w:r w:rsidRPr="00D73F43">
        <w:rPr>
          <w:rFonts w:eastAsia="MS Mincho"/>
          <w:lang w:val="sq-AL"/>
        </w:rPr>
        <w:t>Policia e Shtetit kishte një strukturë organizative të pastabilizuar me ndryshime të shpeshta, ku piramida e hierarkisë ishte kokëposhtë.</w:t>
      </w:r>
    </w:p>
    <w:p w:rsidR="00B0121D" w:rsidRPr="00D73F43" w:rsidRDefault="00B0121D" w:rsidP="00534AA6">
      <w:pPr>
        <w:numPr>
          <w:ilvl w:val="0"/>
          <w:numId w:val="65"/>
        </w:numPr>
        <w:spacing w:line="276" w:lineRule="auto"/>
        <w:jc w:val="both"/>
        <w:rPr>
          <w:rFonts w:eastAsia="MS Mincho"/>
          <w:lang w:val="sq-AL"/>
        </w:rPr>
      </w:pPr>
      <w:r w:rsidRPr="00D73F43">
        <w:rPr>
          <w:rFonts w:eastAsia="MS Mincho"/>
          <w:lang w:val="sq-AL"/>
        </w:rPr>
        <w:lastRenderedPageBreak/>
        <w:t>Ulja e nivelit organik në përpjestim të zhdrejtë me rritjen e kriminalitetit, i cili ishte rritur 3.5 herë më shumë. Limiti organik i personelit i reduktuar nga 12,394 punonjës në vitin 2003, në 9,915 punonjës në 2013 ose 20% më pak. Trajtimi financiar i punonjësve të policisë ishte shumë i dobët nuk i përligjte detyrimet që rridhnin nga aktet ndërkombëtare dhe nga ligjet e vendit. Në disa vite jo vetëm që nuk ka pasur rritje të pagës neto, por rezulton se pagat neto janë ulur  0.3 % në vitin 2004 dhe  4% në vitin 2011.</w:t>
      </w:r>
    </w:p>
    <w:p w:rsidR="00B0121D" w:rsidRPr="00D73F43" w:rsidRDefault="00B0121D" w:rsidP="00534AA6">
      <w:pPr>
        <w:numPr>
          <w:ilvl w:val="0"/>
          <w:numId w:val="65"/>
        </w:numPr>
        <w:spacing w:line="276" w:lineRule="auto"/>
        <w:jc w:val="both"/>
        <w:rPr>
          <w:rFonts w:eastAsia="MS Mincho"/>
          <w:lang w:val="sq-AL"/>
        </w:rPr>
      </w:pPr>
      <w:r w:rsidRPr="00D73F43">
        <w:rPr>
          <w:rFonts w:eastAsia="MS Mincho"/>
          <w:lang w:val="sq-AL"/>
        </w:rPr>
        <w:t>Përveç pagave të ulëta, punonjësve të Policisë së Shtetit, kryesisht punonjësve të forcave speciale nuk u paguheshin orët jashtë orarit, dietat, shpërblimet për largësinë nga vendbanimi për rreth 2 vjet. Gjithashtu nuk janë paguar detyrimet në vite nga Vendimet Gjyqësore që rrjedhin nga pushimet masive nga puna, të punonjësve të Policisë së Shtetit</w:t>
      </w:r>
    </w:p>
    <w:p w:rsidR="00B0121D" w:rsidRPr="00D73F43" w:rsidRDefault="00B0121D" w:rsidP="00534AA6">
      <w:pPr>
        <w:numPr>
          <w:ilvl w:val="0"/>
          <w:numId w:val="65"/>
        </w:numPr>
        <w:spacing w:line="276" w:lineRule="auto"/>
        <w:jc w:val="both"/>
        <w:rPr>
          <w:rFonts w:eastAsia="MS Mincho"/>
          <w:lang w:val="sq-AL"/>
        </w:rPr>
      </w:pPr>
      <w:r w:rsidRPr="00D73F43">
        <w:rPr>
          <w:rFonts w:eastAsia="MS Mincho"/>
          <w:lang w:val="sq-AL"/>
        </w:rPr>
        <w:t>Ecuria në karrierë e mbështetur në kurrikulat për gradë dëmtoi profesionalizmin duke ulur performancën e shumë funksioneve, sidomos të nivelit të bazës.</w:t>
      </w:r>
    </w:p>
    <w:p w:rsidR="00B0121D" w:rsidRPr="00D73F43" w:rsidRDefault="00B0121D" w:rsidP="00534AA6">
      <w:pPr>
        <w:numPr>
          <w:ilvl w:val="0"/>
          <w:numId w:val="65"/>
        </w:numPr>
        <w:spacing w:line="276" w:lineRule="auto"/>
        <w:jc w:val="both"/>
        <w:rPr>
          <w:rFonts w:eastAsia="MS Mincho"/>
          <w:lang w:val="sq-AL"/>
        </w:rPr>
      </w:pPr>
      <w:r w:rsidRPr="00D73F43">
        <w:rPr>
          <w:rFonts w:eastAsia="MS Mincho"/>
          <w:lang w:val="sq-AL"/>
        </w:rPr>
        <w:t>Profesionalizmi i efektivëve të Poilicisë së Shtetit ishte tepër i dobët, si rezultat i ndryshimit të sistemit arsimor policor në vitin 2007.</w:t>
      </w:r>
    </w:p>
    <w:p w:rsidR="00B0121D" w:rsidRPr="00D73F43" w:rsidRDefault="00B0121D" w:rsidP="00534AA6">
      <w:pPr>
        <w:numPr>
          <w:ilvl w:val="0"/>
          <w:numId w:val="65"/>
        </w:numPr>
        <w:spacing w:line="276" w:lineRule="auto"/>
        <w:jc w:val="both"/>
        <w:rPr>
          <w:rFonts w:eastAsia="MS Mincho"/>
          <w:lang w:val="sq-AL"/>
        </w:rPr>
      </w:pPr>
      <w:r w:rsidRPr="00D73F43">
        <w:rPr>
          <w:rFonts w:eastAsia="MS Mincho"/>
          <w:lang w:val="sq-AL"/>
        </w:rPr>
        <w:t>U trashëguan struktura të dobëta në nivel vendor, sidomos në nivelin e shërbimeve të kontrollit të territorit, gjë që  ndikoi dukshëm në vështirësinë e njohjes së situatës në terren, si dhe bashkëpunimin  për menaxhim e informacionit dhe mbështetjes së komunitetit</w:t>
      </w:r>
    </w:p>
    <w:p w:rsidR="00B0121D" w:rsidRPr="00D73F43" w:rsidRDefault="00B0121D" w:rsidP="00534AA6">
      <w:pPr>
        <w:numPr>
          <w:ilvl w:val="0"/>
          <w:numId w:val="65"/>
        </w:numPr>
        <w:spacing w:line="276" w:lineRule="auto"/>
        <w:jc w:val="both"/>
        <w:rPr>
          <w:rFonts w:eastAsia="MS Mincho"/>
          <w:lang w:val="sq-AL"/>
        </w:rPr>
      </w:pPr>
      <w:r w:rsidRPr="00D73F43">
        <w:rPr>
          <w:rFonts w:eastAsia="MS Mincho"/>
          <w:lang w:val="sq-AL"/>
        </w:rPr>
        <w:t>Vlerësimi i Transparency Internacional (2013) tregoi që në perceptimin publik policia renditej në vendin e 6-të për korrupsionin, me një nivel prej 3.7 nga 5 që ishte maksimumi.</w:t>
      </w:r>
    </w:p>
    <w:p w:rsidR="00B0121D" w:rsidRPr="00D73F43" w:rsidRDefault="00B0121D" w:rsidP="00B0121D">
      <w:pPr>
        <w:spacing w:line="276" w:lineRule="auto"/>
        <w:ind w:left="432"/>
        <w:jc w:val="both"/>
        <w:rPr>
          <w:rFonts w:eastAsia="MS Mincho"/>
          <w:bCs/>
          <w:lang w:val="sq-AL"/>
        </w:rPr>
      </w:pPr>
    </w:p>
    <w:p w:rsidR="00B0121D" w:rsidRPr="00D73F43" w:rsidRDefault="00B0121D" w:rsidP="00B0121D">
      <w:pPr>
        <w:spacing w:line="276" w:lineRule="auto"/>
        <w:ind w:left="432"/>
        <w:jc w:val="both"/>
        <w:rPr>
          <w:rFonts w:eastAsia="MS Mincho"/>
          <w:b/>
          <w:bCs/>
          <w:lang w:val="sq-AL"/>
        </w:rPr>
      </w:pPr>
      <w:r w:rsidRPr="00D73F43">
        <w:rPr>
          <w:rFonts w:eastAsia="MS Mincho"/>
          <w:b/>
          <w:bCs/>
          <w:lang w:val="sq-AL"/>
        </w:rPr>
        <w:t>Gjendja Civile</w:t>
      </w:r>
    </w:p>
    <w:p w:rsidR="00B0121D" w:rsidRPr="00D73F43" w:rsidRDefault="00B0121D" w:rsidP="00534AA6">
      <w:pPr>
        <w:numPr>
          <w:ilvl w:val="0"/>
          <w:numId w:val="64"/>
        </w:numPr>
        <w:spacing w:line="276" w:lineRule="auto"/>
        <w:jc w:val="both"/>
        <w:rPr>
          <w:rFonts w:eastAsia="MS Mincho"/>
          <w:lang w:val="sq-AL"/>
        </w:rPr>
      </w:pPr>
      <w:r w:rsidRPr="00D73F43">
        <w:rPr>
          <w:rFonts w:eastAsia="MS Mincho"/>
          <w:lang w:val="sq-AL"/>
        </w:rPr>
        <w:t xml:space="preserve">Gjatë periudhës Prill 2009 – Qershor 2010 u prodhuan 154,843 pasaporta biometrike me afat vlefshmërie 10- vjeçare, jo të saktë, për shtetasit nën moshën 16 vjeç. </w:t>
      </w:r>
    </w:p>
    <w:p w:rsidR="00B0121D" w:rsidRPr="00D73F43" w:rsidRDefault="00B0121D" w:rsidP="00534AA6">
      <w:pPr>
        <w:numPr>
          <w:ilvl w:val="0"/>
          <w:numId w:val="64"/>
        </w:numPr>
        <w:spacing w:line="276" w:lineRule="auto"/>
        <w:jc w:val="both"/>
        <w:rPr>
          <w:rFonts w:eastAsia="MS Mincho"/>
          <w:lang w:val="sq-AL"/>
        </w:rPr>
      </w:pPr>
      <w:r w:rsidRPr="00D73F43">
        <w:rPr>
          <w:rFonts w:eastAsia="MS Mincho"/>
          <w:lang w:val="sq-AL"/>
        </w:rPr>
        <w:t>Problematika e reflektimit të toponimeve në dokumentet e udhëtimit dhe certifikatat e lëshuara për autoritet e huaja nga shërbimi i Gjendjes Civile.</w:t>
      </w:r>
    </w:p>
    <w:p w:rsidR="00B0121D" w:rsidRPr="00D73F43" w:rsidRDefault="00B0121D" w:rsidP="00534AA6">
      <w:pPr>
        <w:numPr>
          <w:ilvl w:val="0"/>
          <w:numId w:val="64"/>
        </w:numPr>
        <w:spacing w:line="276" w:lineRule="auto"/>
        <w:jc w:val="both"/>
        <w:rPr>
          <w:rFonts w:eastAsia="MS Mincho"/>
          <w:lang w:val="sq-AL"/>
        </w:rPr>
      </w:pPr>
      <w:r w:rsidRPr="00D73F43">
        <w:rPr>
          <w:rFonts w:eastAsia="MS Mincho"/>
          <w:lang w:val="sq-AL"/>
        </w:rPr>
        <w:t>Infrastruktura e ruajtjes së informacionit dhe të dhënave dhe ICT të sistemit RKGjC kishte rrezik të jashtëzakonshëm të korruptimit/humbjes aksidentale të tyre.</w:t>
      </w:r>
    </w:p>
    <w:p w:rsidR="00B0121D" w:rsidRPr="00D73F43" w:rsidRDefault="00B0121D" w:rsidP="00B0121D">
      <w:pPr>
        <w:spacing w:line="276" w:lineRule="auto"/>
        <w:ind w:left="432"/>
        <w:jc w:val="both"/>
        <w:rPr>
          <w:rFonts w:eastAsia="MS Mincho"/>
          <w:lang w:val="sq-AL"/>
        </w:rPr>
      </w:pPr>
    </w:p>
    <w:p w:rsidR="00B0121D" w:rsidRPr="00D73F43" w:rsidRDefault="00B0121D" w:rsidP="00B0121D">
      <w:pPr>
        <w:spacing w:line="276" w:lineRule="auto"/>
        <w:ind w:left="432"/>
        <w:jc w:val="both"/>
        <w:rPr>
          <w:rFonts w:eastAsia="MS Mincho"/>
          <w:b/>
          <w:bCs/>
          <w:lang w:val="sq-AL"/>
        </w:rPr>
      </w:pPr>
      <w:r w:rsidRPr="00D73F43">
        <w:rPr>
          <w:rFonts w:eastAsia="MS Mincho"/>
          <w:b/>
          <w:bCs/>
          <w:lang w:val="sq-AL"/>
        </w:rPr>
        <w:t>Emergjencat Civile</w:t>
      </w:r>
    </w:p>
    <w:p w:rsidR="00B0121D" w:rsidRPr="00D73F43" w:rsidRDefault="00B0121D" w:rsidP="00534AA6">
      <w:pPr>
        <w:numPr>
          <w:ilvl w:val="0"/>
          <w:numId w:val="63"/>
        </w:numPr>
        <w:spacing w:line="276" w:lineRule="auto"/>
        <w:jc w:val="both"/>
        <w:rPr>
          <w:rFonts w:eastAsia="MS Mincho"/>
          <w:lang w:val="sq-AL"/>
        </w:rPr>
      </w:pPr>
      <w:r w:rsidRPr="00D73F43">
        <w:rPr>
          <w:rFonts w:eastAsia="MS Mincho"/>
          <w:lang w:val="sq-AL"/>
        </w:rPr>
        <w:t>Plani fillestar i vitit 2013 akorduar për “emergjencat civile”, për dëmshpërblimin e banorëve dhe investime në infrastrukturën kritike, në njësitë e qeverisjes vendore ishtë 773 milionë lekë (773 mijë USD). Gjatë muajit prill janë transferuar në këtë zë rreth 406 milionë lekë.</w:t>
      </w:r>
    </w:p>
    <w:p w:rsidR="00B0121D" w:rsidRPr="00D73F43" w:rsidRDefault="00B0121D" w:rsidP="00534AA6">
      <w:pPr>
        <w:numPr>
          <w:ilvl w:val="0"/>
          <w:numId w:val="63"/>
        </w:numPr>
        <w:spacing w:line="276" w:lineRule="auto"/>
        <w:jc w:val="both"/>
        <w:rPr>
          <w:rFonts w:eastAsia="MS Mincho"/>
          <w:lang w:val="sq-AL"/>
        </w:rPr>
      </w:pPr>
      <w:r w:rsidRPr="00D73F43">
        <w:rPr>
          <w:rFonts w:eastAsia="MS Mincho"/>
          <w:lang w:val="sq-AL"/>
        </w:rPr>
        <w:t>Në buxhetin e MPB në programin e Emergjencave Civile fondi i mbetur në Shtator 2013 ishte vetëm 57 mijë lekë (570 USD).</w:t>
      </w:r>
    </w:p>
    <w:p w:rsidR="00B0121D" w:rsidRPr="00D73F43" w:rsidRDefault="00B0121D" w:rsidP="00534AA6">
      <w:pPr>
        <w:numPr>
          <w:ilvl w:val="0"/>
          <w:numId w:val="63"/>
        </w:numPr>
        <w:spacing w:line="276" w:lineRule="auto"/>
        <w:jc w:val="both"/>
        <w:rPr>
          <w:rFonts w:eastAsia="MS Mincho"/>
          <w:lang w:val="sq-AL"/>
        </w:rPr>
      </w:pPr>
      <w:r w:rsidRPr="00D73F43">
        <w:rPr>
          <w:rFonts w:eastAsia="MS Mincho"/>
          <w:lang w:val="sq-AL"/>
        </w:rPr>
        <w:t>Numri i familjeve me banesa të dëmtuara, që trajtohen me ndihmë financiare me fonde të Emergjencave Civile ishtë 9,252 familje. Ishin shpërblyer jo në vlerën e plotë të dëmit, për vitet 2004 – 2013 vetëm 1,229 familje ose 13.3%.</w:t>
      </w:r>
    </w:p>
    <w:p w:rsidR="00B0121D" w:rsidRPr="00D73F43" w:rsidRDefault="00B0121D" w:rsidP="00534AA6">
      <w:pPr>
        <w:numPr>
          <w:ilvl w:val="0"/>
          <w:numId w:val="63"/>
        </w:numPr>
        <w:spacing w:line="276" w:lineRule="auto"/>
        <w:jc w:val="both"/>
        <w:rPr>
          <w:rFonts w:eastAsia="MS Mincho"/>
          <w:lang w:val="sq-AL"/>
        </w:rPr>
      </w:pPr>
      <w:r w:rsidRPr="00D73F43">
        <w:rPr>
          <w:rFonts w:eastAsia="MS Mincho"/>
          <w:lang w:val="sq-AL"/>
        </w:rPr>
        <w:t xml:space="preserve">Për dëmet e shkaktuara nga përmbytjet në Qarkun e Shkodrës gjatë periudhës Dhjetor 2010- Janar 2011, dëmet e vlerësuara për familjet e prekura nga përmbytjet ishin 32 miliardë lekë. Ishin dëmshpërblyer me VKM vetëm 11.6 miliardë lekë (11.6 milionë USD) ose 36%. </w:t>
      </w:r>
    </w:p>
    <w:p w:rsidR="00B0121D" w:rsidRPr="00D73F43" w:rsidRDefault="00B0121D" w:rsidP="00534AA6">
      <w:pPr>
        <w:numPr>
          <w:ilvl w:val="0"/>
          <w:numId w:val="63"/>
        </w:numPr>
        <w:spacing w:line="276" w:lineRule="auto"/>
        <w:jc w:val="both"/>
        <w:rPr>
          <w:rFonts w:eastAsia="MS Mincho"/>
          <w:lang w:val="sq-AL"/>
        </w:rPr>
      </w:pPr>
      <w:r w:rsidRPr="00D73F43">
        <w:rPr>
          <w:rFonts w:eastAsia="MS Mincho"/>
          <w:lang w:val="sq-AL"/>
        </w:rPr>
        <w:t>Gjendja e mallrave dhe materialeve në magazinat e rezervave të shtetit për të përballuar emergjencat e dimrit që po afrohej, ishte në nivel kritik, poshtë limitit minimal të përcaktuar me VKM nr.1128, datë 05.08.2008.</w:t>
      </w:r>
    </w:p>
    <w:p w:rsidR="00B0121D" w:rsidRPr="00D73F43" w:rsidRDefault="00B0121D" w:rsidP="00B0121D">
      <w:pPr>
        <w:spacing w:line="276" w:lineRule="auto"/>
        <w:ind w:left="432"/>
        <w:jc w:val="both"/>
        <w:rPr>
          <w:rFonts w:eastAsia="MS Mincho"/>
          <w:lang w:val="sq-AL"/>
        </w:rPr>
      </w:pPr>
    </w:p>
    <w:p w:rsidR="00B0121D" w:rsidRPr="00D73F43" w:rsidRDefault="00B0121D" w:rsidP="00B0121D">
      <w:pPr>
        <w:spacing w:line="276" w:lineRule="auto"/>
        <w:ind w:left="432"/>
        <w:jc w:val="both"/>
        <w:rPr>
          <w:rFonts w:eastAsia="MS Mincho"/>
          <w:b/>
          <w:bCs/>
          <w:lang w:val="sq-AL"/>
        </w:rPr>
      </w:pPr>
      <w:r w:rsidRPr="00D73F43">
        <w:rPr>
          <w:rFonts w:eastAsia="MS Mincho"/>
          <w:b/>
          <w:bCs/>
          <w:lang w:val="sq-AL"/>
        </w:rPr>
        <w:t>Anti-trafikimi</w:t>
      </w:r>
    </w:p>
    <w:p w:rsidR="00B0121D" w:rsidRPr="00D73F43" w:rsidRDefault="00B0121D" w:rsidP="00534AA6">
      <w:pPr>
        <w:numPr>
          <w:ilvl w:val="0"/>
          <w:numId w:val="63"/>
        </w:numPr>
        <w:spacing w:line="276" w:lineRule="auto"/>
        <w:jc w:val="both"/>
        <w:rPr>
          <w:rFonts w:eastAsia="MS Mincho"/>
          <w:lang w:val="sq-AL"/>
        </w:rPr>
      </w:pPr>
      <w:r w:rsidRPr="00D73F43">
        <w:rPr>
          <w:rFonts w:eastAsia="MS Mincho"/>
          <w:lang w:val="sq-AL"/>
        </w:rPr>
        <w:t xml:space="preserve">Departamenti i Amerikan i Shtetit e kishte listuar Shqipërinë në Tier II </w:t>
      </w:r>
      <w:r w:rsidR="006E1DB0">
        <w:rPr>
          <w:rFonts w:eastAsia="MS Mincho"/>
          <w:lang w:val="sq-AL"/>
        </w:rPr>
        <w:t>W</w:t>
      </w:r>
      <w:r w:rsidRPr="00D73F43">
        <w:rPr>
          <w:rFonts w:eastAsia="MS Mincho"/>
          <w:lang w:val="sq-AL"/>
        </w:rPr>
        <w:t>atchlist.</w:t>
      </w:r>
    </w:p>
    <w:p w:rsidR="00B0121D" w:rsidRPr="00D73F43" w:rsidRDefault="00B0121D" w:rsidP="00B0121D">
      <w:pPr>
        <w:spacing w:line="276" w:lineRule="auto"/>
        <w:ind w:left="432"/>
        <w:jc w:val="both"/>
        <w:rPr>
          <w:rFonts w:eastAsia="MS Mincho"/>
          <w:b/>
          <w:lang w:val="sq-AL"/>
        </w:rPr>
      </w:pPr>
    </w:p>
    <w:p w:rsidR="00B0121D" w:rsidRPr="00D73F43" w:rsidRDefault="00642658" w:rsidP="00B0121D">
      <w:pPr>
        <w:spacing w:line="276" w:lineRule="auto"/>
        <w:ind w:left="432"/>
        <w:jc w:val="both"/>
        <w:rPr>
          <w:rFonts w:eastAsia="MS Mincho"/>
          <w:lang w:val="sq-AL"/>
        </w:rPr>
      </w:pPr>
      <w:r>
        <w:rPr>
          <w:rFonts w:eastAsia="MS Mincho"/>
          <w:b/>
          <w:lang w:val="sq-AL"/>
        </w:rPr>
        <w:t>4.</w:t>
      </w:r>
      <w:r w:rsidR="00B0121D" w:rsidRPr="00D73F43">
        <w:rPr>
          <w:rFonts w:eastAsia="MS Mincho"/>
          <w:b/>
          <w:lang w:val="sq-AL"/>
        </w:rPr>
        <w:t>6.2 Reformat e ndërmarra 2013-2016</w:t>
      </w:r>
    </w:p>
    <w:p w:rsidR="00B0121D" w:rsidRPr="00D73F43" w:rsidRDefault="00B0121D" w:rsidP="00B0121D">
      <w:pPr>
        <w:spacing w:line="276" w:lineRule="auto"/>
        <w:ind w:left="432"/>
        <w:jc w:val="both"/>
        <w:rPr>
          <w:rFonts w:eastAsia="MS Mincho"/>
          <w:lang w:val="sq-AL"/>
        </w:rPr>
      </w:pPr>
    </w:p>
    <w:p w:rsidR="00B0121D" w:rsidRPr="00D73F43" w:rsidRDefault="00B0121D" w:rsidP="00B0121D">
      <w:pPr>
        <w:spacing w:line="276" w:lineRule="auto"/>
        <w:ind w:left="432"/>
        <w:jc w:val="both"/>
        <w:rPr>
          <w:rFonts w:eastAsia="MS Mincho"/>
          <w:b/>
          <w:bCs/>
          <w:lang w:val="sq-AL"/>
        </w:rPr>
      </w:pPr>
      <w:r w:rsidRPr="00D73F43">
        <w:rPr>
          <w:rFonts w:eastAsia="MS Mincho"/>
          <w:b/>
          <w:bCs/>
          <w:lang w:val="sq-AL"/>
        </w:rPr>
        <w:t>Policia e Shtetit</w:t>
      </w:r>
    </w:p>
    <w:p w:rsidR="00B0121D" w:rsidRPr="00D73F43" w:rsidRDefault="00B0121D" w:rsidP="00B0121D">
      <w:pPr>
        <w:spacing w:line="276" w:lineRule="auto"/>
        <w:ind w:left="432"/>
        <w:jc w:val="both"/>
        <w:rPr>
          <w:rFonts w:eastAsia="MS Mincho"/>
          <w:lang w:val="sq-AL"/>
        </w:rPr>
      </w:pPr>
    </w:p>
    <w:p w:rsidR="00B0121D" w:rsidRPr="00D73F43" w:rsidRDefault="00B0121D" w:rsidP="00534AA6">
      <w:pPr>
        <w:numPr>
          <w:ilvl w:val="0"/>
          <w:numId w:val="66"/>
        </w:numPr>
        <w:spacing w:line="276" w:lineRule="auto"/>
        <w:jc w:val="both"/>
        <w:rPr>
          <w:rFonts w:eastAsia="MS Mincho"/>
          <w:lang w:val="sq-AL"/>
        </w:rPr>
      </w:pPr>
      <w:r w:rsidRPr="00D73F43">
        <w:rPr>
          <w:rFonts w:eastAsia="MS Mincho"/>
          <w:lang w:val="sq-AL"/>
        </w:rPr>
        <w:t>U realizua reformimi i strukturës së Policisë së Shtetit duke arritur:</w:t>
      </w:r>
    </w:p>
    <w:p w:rsidR="00B0121D" w:rsidRPr="00D73F43" w:rsidRDefault="00B0121D" w:rsidP="00534AA6">
      <w:pPr>
        <w:numPr>
          <w:ilvl w:val="1"/>
          <w:numId w:val="106"/>
        </w:numPr>
        <w:spacing w:line="276" w:lineRule="auto"/>
        <w:jc w:val="both"/>
        <w:rPr>
          <w:rFonts w:eastAsia="MS Mincho"/>
          <w:lang w:val="sq-AL"/>
        </w:rPr>
      </w:pPr>
      <w:r w:rsidRPr="00D73F43">
        <w:rPr>
          <w:rFonts w:eastAsia="MS Mincho"/>
          <w:lang w:val="sq-AL"/>
        </w:rPr>
        <w:t xml:space="preserve">Përmirësimin e shërbimit dhe ndryshimin e mentalitetit represiv. </w:t>
      </w:r>
    </w:p>
    <w:p w:rsidR="00B0121D" w:rsidRPr="00D73F43" w:rsidRDefault="00B0121D" w:rsidP="00534AA6">
      <w:pPr>
        <w:numPr>
          <w:ilvl w:val="1"/>
          <w:numId w:val="106"/>
        </w:numPr>
        <w:spacing w:line="276" w:lineRule="auto"/>
        <w:jc w:val="both"/>
        <w:rPr>
          <w:rFonts w:eastAsia="MS Mincho"/>
          <w:lang w:val="sq-AL"/>
        </w:rPr>
      </w:pPr>
      <w:r w:rsidRPr="00D73F43">
        <w:rPr>
          <w:rFonts w:eastAsia="MS Mincho"/>
          <w:lang w:val="sq-AL"/>
        </w:rPr>
        <w:t>Rritëm më 15% numrin e punonjësve të policisë në terren, duke e sjellë policinë më afër me qytetarin, për të garantuar shërbim eficent, të shpejtë në kohë, si dhe duke forcuar mentalitetin e partneritetit me publikun.</w:t>
      </w:r>
    </w:p>
    <w:p w:rsidR="00B0121D" w:rsidRPr="00D73F43" w:rsidRDefault="00B0121D" w:rsidP="00534AA6">
      <w:pPr>
        <w:numPr>
          <w:ilvl w:val="1"/>
          <w:numId w:val="106"/>
        </w:numPr>
        <w:spacing w:line="276" w:lineRule="auto"/>
        <w:jc w:val="both"/>
        <w:rPr>
          <w:rFonts w:eastAsia="MS Mincho"/>
          <w:lang w:val="sq-AL"/>
        </w:rPr>
      </w:pPr>
      <w:r w:rsidRPr="00D73F43">
        <w:rPr>
          <w:rFonts w:eastAsia="MS Mincho"/>
          <w:lang w:val="sq-AL"/>
        </w:rPr>
        <w:t>Mundësuam shtrirjen e shërbimit policor në bazë, si element themelor për zgjidhjen fillestare të konfliktit, parandalimin e kriminalitetit, por dhe shkëmbimin e informacionit të domosdoshëm me qytetarët. </w:t>
      </w:r>
    </w:p>
    <w:p w:rsidR="00B0121D" w:rsidRPr="00D73F43" w:rsidRDefault="00B0121D" w:rsidP="00534AA6">
      <w:pPr>
        <w:numPr>
          <w:ilvl w:val="1"/>
          <w:numId w:val="106"/>
        </w:numPr>
        <w:spacing w:line="276" w:lineRule="auto"/>
        <w:jc w:val="both"/>
        <w:rPr>
          <w:rFonts w:eastAsia="MS Mincho"/>
          <w:lang w:val="sq-AL"/>
        </w:rPr>
      </w:pPr>
      <w:r w:rsidRPr="00D73F43">
        <w:rPr>
          <w:rFonts w:eastAsia="MS Mincho"/>
          <w:lang w:val="sq-AL"/>
        </w:rPr>
        <w:t>Rritjen e nivelit të arsimimit të punonjësve të policisë dhe uljen e moshës mesatare.</w:t>
      </w:r>
    </w:p>
    <w:p w:rsidR="00B0121D" w:rsidRPr="00D73F43" w:rsidRDefault="00B0121D" w:rsidP="00534AA6">
      <w:pPr>
        <w:numPr>
          <w:ilvl w:val="1"/>
          <w:numId w:val="106"/>
        </w:numPr>
        <w:spacing w:line="276" w:lineRule="auto"/>
        <w:jc w:val="both"/>
        <w:rPr>
          <w:rFonts w:eastAsia="MS Mincho"/>
          <w:lang w:val="sq-AL"/>
        </w:rPr>
      </w:pPr>
      <w:r w:rsidRPr="00D73F43">
        <w:rPr>
          <w:rFonts w:eastAsia="MS Mincho"/>
          <w:lang w:val="sq-AL"/>
        </w:rPr>
        <w:t>Përmirësimin e trajtimit financiar të punonjësve të Policisë së Shtetit:</w:t>
      </w:r>
    </w:p>
    <w:p w:rsidR="00B0121D" w:rsidRPr="00D73F43" w:rsidRDefault="00B0121D" w:rsidP="00534AA6">
      <w:pPr>
        <w:numPr>
          <w:ilvl w:val="2"/>
          <w:numId w:val="107"/>
        </w:numPr>
        <w:spacing w:line="276" w:lineRule="auto"/>
        <w:jc w:val="both"/>
        <w:rPr>
          <w:rFonts w:eastAsia="MS Mincho"/>
          <w:lang w:val="sq-AL"/>
        </w:rPr>
      </w:pPr>
      <w:r w:rsidRPr="00D73F43">
        <w:rPr>
          <w:rFonts w:eastAsia="MS Mincho"/>
          <w:lang w:val="sq-AL"/>
        </w:rPr>
        <w:t>Gjatë vitit 2014 u rrit me rreth 25% pagat e punonjësve të nivelit bazë të Policisë së Shtetit, ndërkohë që vendosja e taksës progresive ndikoi në rritjen e pagës neto të punonjësve të nivelit bazë të Policisë me rreth 2.3%;</w:t>
      </w:r>
    </w:p>
    <w:p w:rsidR="00B0121D" w:rsidRPr="00D73F43" w:rsidRDefault="00B0121D" w:rsidP="00534AA6">
      <w:pPr>
        <w:numPr>
          <w:ilvl w:val="2"/>
          <w:numId w:val="107"/>
        </w:numPr>
        <w:spacing w:line="276" w:lineRule="auto"/>
        <w:jc w:val="both"/>
        <w:rPr>
          <w:rFonts w:eastAsia="MS Mincho"/>
          <w:lang w:val="sq-AL"/>
        </w:rPr>
      </w:pPr>
      <w:r w:rsidRPr="00D73F43">
        <w:rPr>
          <w:rFonts w:eastAsia="MS Mincho"/>
          <w:lang w:val="sq-AL"/>
        </w:rPr>
        <w:t>Iu akordua sigurimi shëndetësor i veçantë punonjësve të strukturave speciale operacionale të Policisë së Shtetit;</w:t>
      </w:r>
    </w:p>
    <w:p w:rsidR="00B0121D" w:rsidRPr="00D73F43" w:rsidRDefault="00B0121D" w:rsidP="00534AA6">
      <w:pPr>
        <w:numPr>
          <w:ilvl w:val="2"/>
          <w:numId w:val="107"/>
        </w:numPr>
        <w:spacing w:line="276" w:lineRule="auto"/>
        <w:jc w:val="both"/>
        <w:rPr>
          <w:rFonts w:eastAsia="MS Mincho"/>
          <w:lang w:val="sq-AL"/>
        </w:rPr>
      </w:pPr>
      <w:r w:rsidRPr="00D73F43">
        <w:rPr>
          <w:rFonts w:eastAsia="MS Mincho"/>
          <w:lang w:val="sq-AL"/>
        </w:rPr>
        <w:t>U shlyen të gjitha detyrimet e prapambetura ndaj punonjësve të Policisë së Shtetit ndër vite (325.9 milionë lekë), të cilat konsistonin në pagesa të orëve jashtë orarit, si dhe pagesa për vendimet gjyqësore.</w:t>
      </w:r>
    </w:p>
    <w:p w:rsidR="00B0121D" w:rsidRPr="00D73F43" w:rsidRDefault="00B0121D" w:rsidP="00534AA6">
      <w:pPr>
        <w:numPr>
          <w:ilvl w:val="1"/>
          <w:numId w:val="108"/>
        </w:numPr>
        <w:spacing w:line="276" w:lineRule="auto"/>
        <w:jc w:val="both"/>
        <w:rPr>
          <w:rFonts w:eastAsia="MS Mincho"/>
          <w:lang w:val="sq-AL"/>
        </w:rPr>
      </w:pPr>
      <w:r w:rsidRPr="00D73F43">
        <w:rPr>
          <w:rFonts w:eastAsia="MS Mincho"/>
          <w:lang w:val="sq-AL"/>
        </w:rPr>
        <w:t>Pastrimin e rradhëve të policisë nga të korruptuarit dhe abuzuesit, ku rreth 1,972 punonjës policie (ose rreth 18% e totalit të efektivit policor) i janë nënshtruar procedimit penal dhe masave disiplinore.</w:t>
      </w:r>
    </w:p>
    <w:p w:rsidR="00B0121D" w:rsidRPr="00D73F43" w:rsidRDefault="00B0121D" w:rsidP="00B0121D">
      <w:pPr>
        <w:spacing w:line="276" w:lineRule="auto"/>
        <w:ind w:left="432"/>
        <w:jc w:val="both"/>
        <w:rPr>
          <w:rFonts w:eastAsia="MS Mincho"/>
          <w:lang w:val="sq-AL"/>
        </w:rPr>
      </w:pPr>
    </w:p>
    <w:p w:rsidR="00B0121D" w:rsidRPr="00D73F43" w:rsidRDefault="00B0121D" w:rsidP="00534AA6">
      <w:pPr>
        <w:numPr>
          <w:ilvl w:val="0"/>
          <w:numId w:val="66"/>
        </w:numPr>
        <w:spacing w:line="276" w:lineRule="auto"/>
        <w:jc w:val="both"/>
        <w:rPr>
          <w:rFonts w:eastAsia="MS Mincho"/>
          <w:lang w:val="sq-AL"/>
        </w:rPr>
      </w:pPr>
      <w:r w:rsidRPr="00D73F43">
        <w:rPr>
          <w:rFonts w:eastAsia="MS Mincho"/>
          <w:lang w:val="sq-AL"/>
        </w:rPr>
        <w:t>U arritën rezultate të larta në luftën kundër krimit:</w:t>
      </w:r>
    </w:p>
    <w:p w:rsidR="00B0121D" w:rsidRPr="00D73F43" w:rsidRDefault="00B0121D" w:rsidP="00534AA6">
      <w:pPr>
        <w:numPr>
          <w:ilvl w:val="0"/>
          <w:numId w:val="109"/>
        </w:numPr>
        <w:spacing w:line="276" w:lineRule="auto"/>
        <w:jc w:val="both"/>
        <w:rPr>
          <w:rFonts w:eastAsia="MS Mincho"/>
          <w:lang w:val="sq-AL"/>
        </w:rPr>
      </w:pPr>
      <w:r w:rsidRPr="00D73F43">
        <w:rPr>
          <w:rFonts w:eastAsia="MS Mincho"/>
          <w:lang w:val="sq-AL"/>
        </w:rPr>
        <w:t>Në vitin 2015 numri i vrasjeve arriti minimumin historik, me rreth 50% vrasje më pak se viti 2013.</w:t>
      </w:r>
    </w:p>
    <w:p w:rsidR="00B0121D" w:rsidRPr="00D73F43" w:rsidRDefault="00B0121D" w:rsidP="00534AA6">
      <w:pPr>
        <w:numPr>
          <w:ilvl w:val="0"/>
          <w:numId w:val="109"/>
        </w:numPr>
        <w:spacing w:line="276" w:lineRule="auto"/>
        <w:jc w:val="both"/>
        <w:rPr>
          <w:rFonts w:eastAsia="MS Mincho"/>
          <w:lang w:val="sq-AL"/>
        </w:rPr>
      </w:pPr>
      <w:r w:rsidRPr="00D73F43">
        <w:rPr>
          <w:rFonts w:eastAsia="MS Mincho"/>
          <w:lang w:val="sq-AL"/>
        </w:rPr>
        <w:t>Numri i vrasjeve për gjakmarrje në vitin 2015 ishte 0 (zero).</w:t>
      </w:r>
    </w:p>
    <w:p w:rsidR="00B0121D" w:rsidRPr="00D73F43" w:rsidRDefault="00B0121D" w:rsidP="00534AA6">
      <w:pPr>
        <w:numPr>
          <w:ilvl w:val="0"/>
          <w:numId w:val="109"/>
        </w:numPr>
        <w:spacing w:line="276" w:lineRule="auto"/>
        <w:jc w:val="both"/>
        <w:rPr>
          <w:rFonts w:eastAsia="MS Mincho"/>
          <w:lang w:val="sq-AL"/>
        </w:rPr>
      </w:pPr>
      <w:r w:rsidRPr="00D73F43">
        <w:rPr>
          <w:rFonts w:eastAsia="MS Mincho"/>
          <w:lang w:val="sq-AL"/>
        </w:rPr>
        <w:t>Mbi 100 milionë Euro të sekuestruara me burim kriminal, duke hequr nga duart e krimit mundësi financiare, krahasuar me vetëm 1,2 milionë Euro të sekuestruara në vit nga qeverisja e mëparshme.</w:t>
      </w:r>
    </w:p>
    <w:p w:rsidR="00B0121D" w:rsidRPr="00D73F43" w:rsidRDefault="00B0121D" w:rsidP="00534AA6">
      <w:pPr>
        <w:numPr>
          <w:ilvl w:val="0"/>
          <w:numId w:val="109"/>
        </w:numPr>
        <w:spacing w:line="276" w:lineRule="auto"/>
        <w:jc w:val="both"/>
        <w:rPr>
          <w:rFonts w:eastAsia="MS Mincho"/>
          <w:lang w:val="sq-AL"/>
        </w:rPr>
      </w:pPr>
      <w:r w:rsidRPr="00D73F43">
        <w:rPr>
          <w:rFonts w:eastAsia="MS Mincho"/>
          <w:lang w:val="sq-AL"/>
        </w:rPr>
        <w:t>Numri i vjedhjeve me armë është me ulur 53% krahasuar me vitin 2013.</w:t>
      </w:r>
    </w:p>
    <w:p w:rsidR="00B0121D" w:rsidRPr="00D73F43" w:rsidRDefault="00B0121D" w:rsidP="00534AA6">
      <w:pPr>
        <w:numPr>
          <w:ilvl w:val="0"/>
          <w:numId w:val="109"/>
        </w:numPr>
        <w:spacing w:line="276" w:lineRule="auto"/>
        <w:jc w:val="both"/>
        <w:rPr>
          <w:rFonts w:eastAsia="MS Mincho"/>
          <w:lang w:val="sq-AL"/>
        </w:rPr>
      </w:pPr>
      <w:r w:rsidRPr="00D73F43">
        <w:rPr>
          <w:rFonts w:eastAsia="MS Mincho"/>
          <w:lang w:val="sq-AL"/>
        </w:rPr>
        <w:t>U rifitua besimi i humbur nga ndërkombëtarët. Vetëm në vitin 2015, u shkëmbyen 12,534 informacione me partnerët, përfshirë Interpol dhe Europol. </w:t>
      </w:r>
    </w:p>
    <w:p w:rsidR="00B0121D" w:rsidRPr="00D73F43" w:rsidRDefault="00B0121D" w:rsidP="00534AA6">
      <w:pPr>
        <w:numPr>
          <w:ilvl w:val="0"/>
          <w:numId w:val="109"/>
        </w:numPr>
        <w:spacing w:line="276" w:lineRule="auto"/>
        <w:jc w:val="both"/>
        <w:rPr>
          <w:rFonts w:eastAsia="MS Mincho"/>
          <w:lang w:val="sq-AL"/>
        </w:rPr>
      </w:pPr>
      <w:r w:rsidRPr="00D73F43">
        <w:rPr>
          <w:rFonts w:eastAsia="MS Mincho"/>
          <w:lang w:val="sq-AL"/>
        </w:rPr>
        <w:t>Numri i luftëtarëve të huaj nisur nga Shqipëria drejt vendeve në konflikt me qëllim terrorizmin është 0 (zero) për të dytin vit radhazi.</w:t>
      </w:r>
    </w:p>
    <w:p w:rsidR="00B0121D" w:rsidRPr="00D73F43" w:rsidRDefault="00B0121D" w:rsidP="00534AA6">
      <w:pPr>
        <w:numPr>
          <w:ilvl w:val="0"/>
          <w:numId w:val="109"/>
        </w:numPr>
        <w:spacing w:line="276" w:lineRule="auto"/>
        <w:jc w:val="both"/>
        <w:rPr>
          <w:rFonts w:eastAsia="MS Mincho"/>
          <w:lang w:val="sq-AL"/>
        </w:rPr>
      </w:pPr>
      <w:r w:rsidRPr="00D73F43">
        <w:rPr>
          <w:rFonts w:eastAsia="MS Mincho"/>
          <w:lang w:val="sq-AL"/>
        </w:rPr>
        <w:t>Për të tretin vit radhazi sipërfaqja e kultivuar me bimë narkotike e shkatërruar nga Policia e Shtetit është mbi 99% e asaj të raportuar, krahasuar me 0-7,5% që shkatërronte qeveria e mëparshme. Në 2016 policia shkatërroi 99.8% të sipërfaqes së kultivuar me bimë narkotike, të identifikuar sipas “Guardia di Finanza”. </w:t>
      </w:r>
    </w:p>
    <w:p w:rsidR="00B0121D" w:rsidRPr="00D73F43" w:rsidRDefault="00B0121D" w:rsidP="00534AA6">
      <w:pPr>
        <w:numPr>
          <w:ilvl w:val="0"/>
          <w:numId w:val="66"/>
        </w:numPr>
        <w:spacing w:line="276" w:lineRule="auto"/>
        <w:jc w:val="both"/>
        <w:rPr>
          <w:rFonts w:eastAsia="MS Mincho"/>
          <w:lang w:val="sq-AL"/>
        </w:rPr>
      </w:pPr>
      <w:r w:rsidRPr="00D73F43">
        <w:rPr>
          <w:rFonts w:eastAsia="MS Mincho"/>
          <w:lang w:val="sq-AL"/>
        </w:rPr>
        <w:t>U përmirësua cilësia e shërbimit ndaj qytetarëve:</w:t>
      </w:r>
    </w:p>
    <w:p w:rsidR="00B0121D" w:rsidRPr="00D73F43" w:rsidRDefault="00B0121D" w:rsidP="00534AA6">
      <w:pPr>
        <w:numPr>
          <w:ilvl w:val="0"/>
          <w:numId w:val="109"/>
        </w:numPr>
        <w:spacing w:line="276" w:lineRule="auto"/>
        <w:jc w:val="both"/>
        <w:rPr>
          <w:rFonts w:eastAsia="MS Mincho"/>
          <w:lang w:val="sq-AL"/>
        </w:rPr>
      </w:pPr>
      <w:r w:rsidRPr="00D73F43">
        <w:rPr>
          <w:rFonts w:eastAsia="MS Mincho"/>
          <w:lang w:val="sq-AL"/>
        </w:rPr>
        <w:t xml:space="preserve">Në bashkëpunim me biznesin dhe partnerët ndërkombëtar u arrit krijimi i 14 Zyrave Unike të Shërbimit ndaj Qytetarit në Policinë e Shtetit duke eliminuar burokracinë, </w:t>
      </w:r>
      <w:r w:rsidRPr="00D73F43">
        <w:rPr>
          <w:rFonts w:eastAsia="MS Mincho"/>
          <w:lang w:val="sq-AL"/>
        </w:rPr>
        <w:lastRenderedPageBreak/>
        <w:t>praktikat korruptive dhe duke krijuar mundësinë që kushdo të marrë një shërbim cilësor dhe modern pranë Policisë së Shtetit dhe Ministrisë së Punëve të Brendshme.</w:t>
      </w:r>
    </w:p>
    <w:p w:rsidR="00B0121D" w:rsidRPr="00D73F43" w:rsidRDefault="00B0121D" w:rsidP="00534AA6">
      <w:pPr>
        <w:numPr>
          <w:ilvl w:val="0"/>
          <w:numId w:val="109"/>
        </w:numPr>
        <w:spacing w:line="276" w:lineRule="auto"/>
        <w:jc w:val="both"/>
        <w:rPr>
          <w:rFonts w:eastAsia="MS Mincho"/>
          <w:lang w:val="sq-AL"/>
        </w:rPr>
      </w:pPr>
      <w:r w:rsidRPr="00D73F43">
        <w:rPr>
          <w:rFonts w:eastAsia="MS Mincho"/>
          <w:lang w:val="sq-AL"/>
        </w:rPr>
        <w:t>Zyrat e Shërbimit Qytetar aktualisht ofrojnë 1200 shërbime në ditë.</w:t>
      </w:r>
    </w:p>
    <w:p w:rsidR="00B0121D" w:rsidRPr="00D73F43" w:rsidRDefault="00B0121D" w:rsidP="00B0121D">
      <w:pPr>
        <w:spacing w:line="276" w:lineRule="auto"/>
        <w:ind w:left="1800"/>
        <w:jc w:val="both"/>
        <w:rPr>
          <w:rFonts w:eastAsia="MS Mincho"/>
          <w:lang w:val="sq-AL"/>
        </w:rPr>
      </w:pPr>
    </w:p>
    <w:p w:rsidR="00B0121D" w:rsidRPr="00D73F43" w:rsidRDefault="00B0121D" w:rsidP="00B0121D">
      <w:pPr>
        <w:spacing w:line="276" w:lineRule="auto"/>
        <w:ind w:left="432"/>
        <w:jc w:val="both"/>
        <w:rPr>
          <w:rFonts w:eastAsia="MS Mincho"/>
          <w:b/>
          <w:bCs/>
          <w:lang w:val="sq-AL"/>
        </w:rPr>
      </w:pPr>
      <w:r w:rsidRPr="00D73F43">
        <w:rPr>
          <w:rFonts w:eastAsia="MS Mincho"/>
          <w:b/>
          <w:bCs/>
          <w:lang w:val="sq-AL"/>
        </w:rPr>
        <w:t>Gjendja Civile</w:t>
      </w:r>
    </w:p>
    <w:p w:rsidR="00B0121D" w:rsidRPr="00D73F43" w:rsidRDefault="00B0121D" w:rsidP="00B0121D">
      <w:pPr>
        <w:spacing w:line="276" w:lineRule="auto"/>
        <w:ind w:left="432"/>
        <w:jc w:val="both"/>
        <w:rPr>
          <w:rFonts w:eastAsia="MS Mincho"/>
          <w:lang w:val="sq-AL"/>
        </w:rPr>
      </w:pPr>
      <w:r w:rsidRPr="00D73F43">
        <w:rPr>
          <w:rFonts w:eastAsia="MS Mincho"/>
          <w:lang w:val="sq-AL"/>
        </w:rPr>
        <w:tab/>
      </w:r>
    </w:p>
    <w:p w:rsidR="00B0121D" w:rsidRPr="00D73F43" w:rsidRDefault="00B0121D" w:rsidP="00534AA6">
      <w:pPr>
        <w:numPr>
          <w:ilvl w:val="0"/>
          <w:numId w:val="67"/>
        </w:numPr>
        <w:spacing w:line="276" w:lineRule="auto"/>
        <w:ind w:left="990"/>
        <w:jc w:val="both"/>
        <w:rPr>
          <w:rFonts w:eastAsia="MS Mincho"/>
          <w:lang w:val="sq-AL"/>
        </w:rPr>
      </w:pPr>
      <w:r w:rsidRPr="00D73F43">
        <w:rPr>
          <w:rFonts w:eastAsia="MS Mincho"/>
          <w:lang w:val="sq-AL"/>
        </w:rPr>
        <w:t>Me buxhetin e vitit 2015 u akorduan 144 milionë lekë më shumë për përmirësimin e Shërbimit të Gjendjes Civile.</w:t>
      </w:r>
    </w:p>
    <w:p w:rsidR="00B0121D" w:rsidRPr="00D73F43" w:rsidRDefault="00B0121D" w:rsidP="00534AA6">
      <w:pPr>
        <w:numPr>
          <w:ilvl w:val="0"/>
          <w:numId w:val="67"/>
        </w:numPr>
        <w:spacing w:line="276" w:lineRule="auto"/>
        <w:ind w:left="990"/>
        <w:jc w:val="both"/>
        <w:rPr>
          <w:rFonts w:eastAsia="MS Mincho"/>
          <w:lang w:val="sq-AL"/>
        </w:rPr>
      </w:pPr>
      <w:r w:rsidRPr="00D73F43">
        <w:rPr>
          <w:rFonts w:eastAsia="MS Mincho"/>
          <w:lang w:val="sq-AL"/>
        </w:rPr>
        <w:t xml:space="preserve">Një projekt shumë i rëndësishëm filloi me buxhetin e vitit 2015. U akorduan 235 milionë lekë për projektin “Ndërtim i një sistemi funksional adresash, dhe integrimi me Regjistrin Kombëtar të Adresave”.  </w:t>
      </w:r>
    </w:p>
    <w:p w:rsidR="00B0121D" w:rsidRPr="00D73F43" w:rsidRDefault="00B0121D" w:rsidP="00534AA6">
      <w:pPr>
        <w:numPr>
          <w:ilvl w:val="0"/>
          <w:numId w:val="67"/>
        </w:numPr>
        <w:spacing w:line="276" w:lineRule="auto"/>
        <w:ind w:left="990"/>
        <w:jc w:val="both"/>
        <w:rPr>
          <w:rFonts w:eastAsia="MS Mincho"/>
          <w:lang w:val="sq-AL"/>
        </w:rPr>
      </w:pPr>
      <w:r w:rsidRPr="00D73F43">
        <w:rPr>
          <w:rFonts w:eastAsia="MS Mincho"/>
          <w:lang w:val="sq-AL"/>
        </w:rPr>
        <w:t>Gjatë vitit 2016 vazhdoi projekti për Popullimin, ndërkohë që pritet që së shpejti të fillojë fazën e regjistrimit derë më derë, e cila do të finalizohet në Mars 2017.</w:t>
      </w:r>
    </w:p>
    <w:p w:rsidR="00B0121D" w:rsidRPr="00D73F43" w:rsidRDefault="00B0121D" w:rsidP="00534AA6">
      <w:pPr>
        <w:numPr>
          <w:ilvl w:val="0"/>
          <w:numId w:val="67"/>
        </w:numPr>
        <w:spacing w:line="276" w:lineRule="auto"/>
        <w:ind w:left="990"/>
        <w:jc w:val="both"/>
        <w:rPr>
          <w:rFonts w:eastAsia="MS Mincho"/>
          <w:lang w:val="sq-AL"/>
        </w:rPr>
      </w:pPr>
      <w:r w:rsidRPr="00D73F43">
        <w:rPr>
          <w:rFonts w:eastAsia="MS Mincho"/>
          <w:lang w:val="sq-AL"/>
        </w:rPr>
        <w:t xml:space="preserve">U miratua kuadri ligjor për regjistrimin e emigrantëve </w:t>
      </w:r>
    </w:p>
    <w:p w:rsidR="00B0121D" w:rsidRPr="00D73F43" w:rsidRDefault="00B0121D" w:rsidP="00B0121D">
      <w:pPr>
        <w:spacing w:line="276" w:lineRule="auto"/>
        <w:ind w:left="432"/>
        <w:jc w:val="both"/>
        <w:rPr>
          <w:rFonts w:eastAsia="MS Mincho"/>
          <w:b/>
          <w:lang w:val="sq-AL"/>
        </w:rPr>
      </w:pPr>
    </w:p>
    <w:p w:rsidR="00B0121D" w:rsidRPr="00D73F43" w:rsidRDefault="00B0121D" w:rsidP="00B0121D">
      <w:pPr>
        <w:spacing w:line="276" w:lineRule="auto"/>
        <w:ind w:left="432"/>
        <w:jc w:val="both"/>
        <w:rPr>
          <w:rFonts w:eastAsia="MS Mincho"/>
          <w:b/>
          <w:bCs/>
          <w:lang w:val="sq-AL"/>
        </w:rPr>
      </w:pPr>
      <w:r w:rsidRPr="00D73F43">
        <w:rPr>
          <w:rFonts w:eastAsia="MS Mincho"/>
          <w:b/>
          <w:bCs/>
          <w:lang w:val="sq-AL"/>
        </w:rPr>
        <w:t>Emergjencat Civile</w:t>
      </w:r>
    </w:p>
    <w:p w:rsidR="00B0121D" w:rsidRPr="00D73F43" w:rsidRDefault="00B0121D" w:rsidP="00534AA6">
      <w:pPr>
        <w:numPr>
          <w:ilvl w:val="0"/>
          <w:numId w:val="67"/>
        </w:numPr>
        <w:spacing w:line="276" w:lineRule="auto"/>
        <w:ind w:left="990"/>
        <w:jc w:val="both"/>
        <w:rPr>
          <w:rFonts w:eastAsia="MS Mincho"/>
          <w:lang w:val="sq-AL"/>
        </w:rPr>
      </w:pPr>
      <w:r w:rsidRPr="00D73F43">
        <w:rPr>
          <w:rFonts w:eastAsia="MS Mincho"/>
          <w:lang w:val="sq-AL"/>
        </w:rPr>
        <w:t>Startimi dhe zbatimi i projektit për përdorimin e numrit 112, i cili ofron lehtësi, efikasitet dhe transparencë në dhënien e ndihmës nga policia dhe strukturat e tjera të emergjencave civile.</w:t>
      </w:r>
    </w:p>
    <w:p w:rsidR="00B0121D" w:rsidRPr="00D73F43" w:rsidRDefault="00B0121D" w:rsidP="00B0121D">
      <w:pPr>
        <w:spacing w:line="276" w:lineRule="auto"/>
        <w:ind w:left="990"/>
        <w:jc w:val="both"/>
        <w:rPr>
          <w:rFonts w:eastAsia="MS Mincho"/>
          <w:lang w:val="sq-AL"/>
        </w:rPr>
      </w:pPr>
    </w:p>
    <w:p w:rsidR="00B0121D" w:rsidRPr="00D73F43" w:rsidRDefault="00B0121D" w:rsidP="00B0121D">
      <w:pPr>
        <w:spacing w:line="276" w:lineRule="auto"/>
        <w:ind w:left="432"/>
        <w:jc w:val="both"/>
        <w:rPr>
          <w:rFonts w:eastAsia="MS Mincho"/>
          <w:lang w:val="sq-AL"/>
        </w:rPr>
      </w:pPr>
      <w:r w:rsidRPr="00D73F43">
        <w:rPr>
          <w:rFonts w:eastAsia="MS Mincho"/>
          <w:b/>
          <w:lang w:val="sq-AL"/>
        </w:rPr>
        <w:t>Anti-trafikimi</w:t>
      </w:r>
    </w:p>
    <w:p w:rsidR="00B0121D" w:rsidRPr="00D73F43" w:rsidRDefault="00B0121D" w:rsidP="00534AA6">
      <w:pPr>
        <w:numPr>
          <w:ilvl w:val="0"/>
          <w:numId w:val="67"/>
        </w:numPr>
        <w:spacing w:line="276" w:lineRule="auto"/>
        <w:ind w:left="990"/>
        <w:jc w:val="both"/>
        <w:rPr>
          <w:rFonts w:eastAsia="MS Mincho"/>
          <w:lang w:val="sq-AL"/>
        </w:rPr>
      </w:pPr>
      <w:r w:rsidRPr="00D73F43">
        <w:rPr>
          <w:rFonts w:eastAsia="MS Mincho"/>
          <w:lang w:val="sq-AL"/>
        </w:rPr>
        <w:t xml:space="preserve">U arrit që Shqipëria të dilte nga lista e vendeve në vëzhgim e Departamentit Amerikan të Shtetit për trafikimin e qenieve njerëzore. </w:t>
      </w:r>
    </w:p>
    <w:p w:rsidR="00B0121D" w:rsidRPr="00D73F43" w:rsidRDefault="00B0121D" w:rsidP="00B0121D">
      <w:pPr>
        <w:spacing w:line="276" w:lineRule="auto"/>
        <w:ind w:left="990"/>
        <w:jc w:val="both"/>
        <w:rPr>
          <w:rFonts w:eastAsia="MS Mincho"/>
          <w:lang w:val="sq-AL"/>
        </w:rPr>
      </w:pPr>
    </w:p>
    <w:p w:rsidR="00B0121D" w:rsidRPr="00D73F43" w:rsidRDefault="00642658" w:rsidP="00B0121D">
      <w:pPr>
        <w:spacing w:line="276" w:lineRule="auto"/>
        <w:ind w:left="432"/>
        <w:jc w:val="both"/>
        <w:rPr>
          <w:rFonts w:eastAsia="MS Mincho"/>
          <w:b/>
          <w:lang w:val="sq-AL"/>
        </w:rPr>
      </w:pPr>
      <w:r>
        <w:rPr>
          <w:rFonts w:eastAsia="MS Mincho"/>
          <w:b/>
          <w:lang w:val="sq-AL"/>
        </w:rPr>
        <w:t>4.</w:t>
      </w:r>
      <w:r w:rsidR="00B0121D" w:rsidRPr="00D73F43">
        <w:rPr>
          <w:rFonts w:eastAsia="MS Mincho"/>
          <w:b/>
          <w:lang w:val="sq-AL"/>
        </w:rPr>
        <w:t>6.3 Prioritetet e projekt-buxhetit 2017</w:t>
      </w:r>
    </w:p>
    <w:p w:rsidR="00B0121D" w:rsidRPr="00D73F43" w:rsidRDefault="00B0121D" w:rsidP="00B0121D">
      <w:pPr>
        <w:spacing w:line="276" w:lineRule="auto"/>
        <w:ind w:left="432"/>
        <w:jc w:val="both"/>
        <w:rPr>
          <w:rFonts w:eastAsia="MS Mincho"/>
          <w:b/>
          <w:lang w:val="sq-AL"/>
        </w:rPr>
      </w:pPr>
    </w:p>
    <w:p w:rsidR="00B0121D" w:rsidRPr="00D73F43" w:rsidRDefault="00B0121D" w:rsidP="00B0121D">
      <w:pPr>
        <w:spacing w:line="276" w:lineRule="auto"/>
        <w:ind w:left="432"/>
        <w:jc w:val="both"/>
        <w:rPr>
          <w:rFonts w:eastAsia="MS Mincho"/>
          <w:b/>
          <w:lang w:val="sq-AL"/>
        </w:rPr>
      </w:pPr>
      <w:r w:rsidRPr="00D73F43">
        <w:rPr>
          <w:rFonts w:eastAsia="MS Mincho"/>
          <w:b/>
          <w:lang w:val="sq-AL"/>
        </w:rPr>
        <w:t>Policia e Shtetit</w:t>
      </w:r>
    </w:p>
    <w:p w:rsidR="00B0121D" w:rsidRPr="00D73F43" w:rsidRDefault="00B0121D" w:rsidP="00B0121D">
      <w:pPr>
        <w:spacing w:line="276" w:lineRule="auto"/>
        <w:ind w:left="432"/>
        <w:jc w:val="both"/>
        <w:rPr>
          <w:rFonts w:eastAsia="MS Mincho"/>
          <w:lang w:val="sq-AL"/>
        </w:rPr>
      </w:pPr>
    </w:p>
    <w:p w:rsidR="00B0121D" w:rsidRPr="00D73F43" w:rsidRDefault="00B0121D" w:rsidP="00534AA6">
      <w:pPr>
        <w:numPr>
          <w:ilvl w:val="0"/>
          <w:numId w:val="67"/>
        </w:numPr>
        <w:spacing w:line="276" w:lineRule="auto"/>
        <w:ind w:left="990"/>
        <w:jc w:val="both"/>
        <w:rPr>
          <w:rFonts w:eastAsia="MS Mincho"/>
          <w:lang w:val="sq-AL"/>
        </w:rPr>
      </w:pPr>
      <w:r w:rsidRPr="00D73F43">
        <w:rPr>
          <w:rFonts w:eastAsia="MS Mincho"/>
          <w:lang w:val="sq-AL"/>
        </w:rPr>
        <w:t>Synohet një “Polici e Gjeneratës së Re” nëpërmjet aplikimit gjithnjë e më të zgjeruar të teknologjive bashkëkohore, e cila ndihmon në përmirësimin e shërbimeve të policisë dhe në hetimin cilësor të veprave penale. Më konkretisht:</w:t>
      </w:r>
    </w:p>
    <w:p w:rsidR="00B0121D" w:rsidRPr="00D73F43" w:rsidRDefault="00B0121D" w:rsidP="00534AA6">
      <w:pPr>
        <w:numPr>
          <w:ilvl w:val="0"/>
          <w:numId w:val="110"/>
        </w:numPr>
        <w:spacing w:line="276" w:lineRule="auto"/>
        <w:jc w:val="both"/>
        <w:rPr>
          <w:rFonts w:eastAsia="MS Mincho"/>
          <w:lang w:val="sq-AL"/>
        </w:rPr>
      </w:pPr>
      <w:r w:rsidRPr="00D73F43">
        <w:rPr>
          <w:rFonts w:eastAsia="MS Mincho"/>
          <w:lang w:val="sq-AL"/>
        </w:rPr>
        <w:t>Do të përmirësohet rrjeti i komunikimit kombëtar, i cili transmeton në kohë reale të dhënat në Drejtoritë e Qarqeve, Komisariatet dhe Pikat Kufitare</w:t>
      </w:r>
    </w:p>
    <w:p w:rsidR="00B0121D" w:rsidRPr="00D73F43" w:rsidRDefault="00B0121D" w:rsidP="00534AA6">
      <w:pPr>
        <w:numPr>
          <w:ilvl w:val="0"/>
          <w:numId w:val="110"/>
        </w:numPr>
        <w:spacing w:line="276" w:lineRule="auto"/>
        <w:jc w:val="both"/>
        <w:rPr>
          <w:rFonts w:eastAsia="MS Mincho"/>
          <w:lang w:val="sq-AL"/>
        </w:rPr>
      </w:pPr>
      <w:r w:rsidRPr="00D73F43">
        <w:rPr>
          <w:rFonts w:eastAsia="MS Mincho"/>
          <w:lang w:val="sq-AL"/>
        </w:rPr>
        <w:t>Do të përmirësohen kapacitetet për komunikimin dhe transmetimin e informacionit policor, nëpërmjet përmirësimeve teknologjike, në funksion të realizimit të detyrimeve Operacionale</w:t>
      </w:r>
    </w:p>
    <w:p w:rsidR="00B0121D" w:rsidRPr="00D73F43" w:rsidRDefault="00B0121D" w:rsidP="00534AA6">
      <w:pPr>
        <w:numPr>
          <w:ilvl w:val="0"/>
          <w:numId w:val="110"/>
        </w:numPr>
        <w:spacing w:line="276" w:lineRule="auto"/>
        <w:jc w:val="both"/>
        <w:rPr>
          <w:rFonts w:eastAsia="MS Mincho"/>
          <w:lang w:val="sq-AL"/>
        </w:rPr>
      </w:pPr>
      <w:r w:rsidRPr="00D73F43">
        <w:rPr>
          <w:rFonts w:eastAsia="MS Mincho"/>
          <w:lang w:val="sq-AL"/>
        </w:rPr>
        <w:t>Reduktimi i korrupsionit në rradhët e punonjësve të Policisë së Shtetit dhe rritja e transparencës, nëpërmjet implementimit gradual të sistemit multifunksional të kamerave të trupit për patrullat e policisë.</w:t>
      </w:r>
    </w:p>
    <w:p w:rsidR="00B0121D" w:rsidRPr="00D73F43" w:rsidRDefault="00B0121D" w:rsidP="00B0121D">
      <w:pPr>
        <w:spacing w:line="276" w:lineRule="auto"/>
        <w:ind w:left="432"/>
        <w:jc w:val="both"/>
        <w:rPr>
          <w:rFonts w:eastAsia="MS Mincho"/>
          <w:lang w:val="sq-AL"/>
        </w:rPr>
      </w:pPr>
    </w:p>
    <w:p w:rsidR="00B0121D" w:rsidRPr="00D73F43" w:rsidRDefault="00B0121D" w:rsidP="00534AA6">
      <w:pPr>
        <w:numPr>
          <w:ilvl w:val="0"/>
          <w:numId w:val="68"/>
        </w:numPr>
        <w:spacing w:line="276" w:lineRule="auto"/>
        <w:jc w:val="both"/>
        <w:rPr>
          <w:rFonts w:eastAsia="MS Mincho"/>
          <w:lang w:val="sq-AL"/>
        </w:rPr>
      </w:pPr>
      <w:r w:rsidRPr="00D73F43">
        <w:rPr>
          <w:rFonts w:eastAsia="MS Mincho"/>
          <w:lang w:val="sq-AL"/>
        </w:rPr>
        <w:t>Synohet një infrastrukturë më moderne dhe më efikase, e cila krijon kushte më të mira për punonjësin e policisë për kryerjen me efektivitet të detyrës. Më konkretisht:</w:t>
      </w:r>
    </w:p>
    <w:p w:rsidR="00B0121D" w:rsidRPr="00D73F43" w:rsidRDefault="00B0121D" w:rsidP="00B0121D">
      <w:pPr>
        <w:spacing w:line="276" w:lineRule="auto"/>
        <w:ind w:left="720"/>
        <w:jc w:val="both"/>
        <w:rPr>
          <w:rFonts w:eastAsia="MS Mincho"/>
          <w:lang w:val="sq-AL"/>
        </w:rPr>
      </w:pPr>
    </w:p>
    <w:p w:rsidR="00B0121D" w:rsidRPr="00D73F43" w:rsidRDefault="00B0121D" w:rsidP="00534AA6">
      <w:pPr>
        <w:numPr>
          <w:ilvl w:val="0"/>
          <w:numId w:val="110"/>
        </w:numPr>
        <w:spacing w:line="276" w:lineRule="auto"/>
        <w:jc w:val="both"/>
        <w:rPr>
          <w:rFonts w:eastAsia="MS Mincho"/>
          <w:lang w:val="sq-AL"/>
        </w:rPr>
      </w:pPr>
      <w:r w:rsidRPr="00D73F43">
        <w:rPr>
          <w:rFonts w:eastAsia="MS Mincho"/>
          <w:lang w:val="sq-AL"/>
        </w:rPr>
        <w:t>Do të përmirësohen kapacitetet logjistike për transport dhe lëvizshmëri nëpërmjet furnizimit të mjeteve me kalueshmëri të lartë dhe furgonë, në shërbim të strukturave policore, në funksion të realizimit të detyrimeve Operacionale;</w:t>
      </w:r>
    </w:p>
    <w:p w:rsidR="00B0121D" w:rsidRPr="00D73F43" w:rsidRDefault="00B0121D" w:rsidP="00534AA6">
      <w:pPr>
        <w:numPr>
          <w:ilvl w:val="0"/>
          <w:numId w:val="110"/>
        </w:numPr>
        <w:spacing w:line="276" w:lineRule="auto"/>
        <w:jc w:val="both"/>
        <w:rPr>
          <w:rFonts w:eastAsia="MS Mincho"/>
          <w:lang w:val="sq-AL"/>
        </w:rPr>
      </w:pPr>
      <w:r w:rsidRPr="00D73F43">
        <w:rPr>
          <w:rFonts w:eastAsia="MS Mincho"/>
          <w:lang w:val="sq-AL"/>
        </w:rPr>
        <w:lastRenderedPageBreak/>
        <w:t>Do të vazhdojë rinovimi i armatimit të Policisë së Shtetit duke e përshtatur me standardet e policive të vendeve të BE, në përputhje me konventat ndërkombëtare;</w:t>
      </w:r>
    </w:p>
    <w:p w:rsidR="00B0121D" w:rsidRPr="00D73F43" w:rsidRDefault="00B0121D" w:rsidP="00534AA6">
      <w:pPr>
        <w:numPr>
          <w:ilvl w:val="0"/>
          <w:numId w:val="110"/>
        </w:numPr>
        <w:spacing w:line="276" w:lineRule="auto"/>
        <w:jc w:val="both"/>
        <w:rPr>
          <w:rFonts w:eastAsia="MS Mincho"/>
          <w:lang w:val="sq-AL"/>
        </w:rPr>
      </w:pPr>
      <w:r w:rsidRPr="00D73F43">
        <w:rPr>
          <w:rFonts w:eastAsia="MS Mincho"/>
          <w:lang w:val="sq-AL"/>
        </w:rPr>
        <w:t>Do të sigurohen pajisje speciale për Policinë e Shtetit, të cilat synojnë zhvillimin e mëtejshëm të kapaciteteve operacionale dhe profesionale të strukturave të policies.</w:t>
      </w:r>
    </w:p>
    <w:p w:rsidR="00B0121D" w:rsidRPr="00D73F43" w:rsidRDefault="00B0121D" w:rsidP="00B0121D">
      <w:pPr>
        <w:spacing w:line="276" w:lineRule="auto"/>
        <w:ind w:left="432"/>
        <w:jc w:val="both"/>
        <w:rPr>
          <w:rFonts w:eastAsia="MS Mincho"/>
          <w:lang w:val="sq-AL"/>
        </w:rPr>
      </w:pPr>
    </w:p>
    <w:p w:rsidR="00B0121D" w:rsidRPr="00D73F43" w:rsidRDefault="00B0121D" w:rsidP="00B0121D">
      <w:pPr>
        <w:spacing w:line="276" w:lineRule="auto"/>
        <w:ind w:left="432"/>
        <w:jc w:val="both"/>
        <w:rPr>
          <w:rFonts w:eastAsia="MS Mincho"/>
          <w:b/>
          <w:lang w:val="sq-AL"/>
        </w:rPr>
      </w:pPr>
      <w:r w:rsidRPr="00D73F43">
        <w:rPr>
          <w:rFonts w:eastAsia="MS Mincho"/>
          <w:b/>
          <w:lang w:val="sq-AL"/>
        </w:rPr>
        <w:t>Gjendja Civile</w:t>
      </w:r>
    </w:p>
    <w:p w:rsidR="00B0121D" w:rsidRPr="00D73F43" w:rsidRDefault="00B0121D" w:rsidP="00534AA6">
      <w:pPr>
        <w:numPr>
          <w:ilvl w:val="0"/>
          <w:numId w:val="69"/>
        </w:numPr>
        <w:spacing w:line="276" w:lineRule="auto"/>
        <w:jc w:val="both"/>
        <w:rPr>
          <w:rFonts w:eastAsia="MS Mincho"/>
          <w:lang w:val="sq-AL"/>
        </w:rPr>
      </w:pPr>
      <w:r w:rsidRPr="00D73F43">
        <w:rPr>
          <w:rFonts w:eastAsia="MS Mincho"/>
          <w:lang w:val="sq-AL"/>
        </w:rPr>
        <w:t xml:space="preserve">Zbatimi i projektit të ngritjes së sistemit funksional të adresave dhe integrimi tij me Regjistrin Kombëtar të Gjendjes Civile (RKGJC).    </w:t>
      </w:r>
    </w:p>
    <w:p w:rsidR="00B0121D" w:rsidRPr="00D73F43" w:rsidRDefault="00B0121D" w:rsidP="00534AA6">
      <w:pPr>
        <w:numPr>
          <w:ilvl w:val="0"/>
          <w:numId w:val="69"/>
        </w:numPr>
        <w:spacing w:line="276" w:lineRule="auto"/>
        <w:jc w:val="both"/>
        <w:rPr>
          <w:rFonts w:eastAsia="MS Mincho"/>
          <w:lang w:val="sq-AL"/>
        </w:rPr>
      </w:pPr>
      <w:r w:rsidRPr="00D73F43">
        <w:rPr>
          <w:rFonts w:eastAsia="MS Mincho"/>
          <w:lang w:val="sq-AL"/>
        </w:rPr>
        <w:t xml:space="preserve">Do të vazhdojë projekti i dixhitalizimit të arkivave të Shërbimit të Gjendjes Civile.   </w:t>
      </w:r>
    </w:p>
    <w:p w:rsidR="00B0121D" w:rsidRPr="00D73F43" w:rsidRDefault="00B0121D" w:rsidP="00534AA6">
      <w:pPr>
        <w:numPr>
          <w:ilvl w:val="0"/>
          <w:numId w:val="69"/>
        </w:numPr>
        <w:spacing w:line="276" w:lineRule="auto"/>
        <w:jc w:val="both"/>
        <w:rPr>
          <w:rFonts w:eastAsia="MS Mincho"/>
          <w:lang w:val="sq-AL"/>
        </w:rPr>
      </w:pPr>
      <w:r w:rsidRPr="00D73F43">
        <w:rPr>
          <w:rFonts w:eastAsia="MS Mincho"/>
          <w:lang w:val="sq-AL"/>
        </w:rPr>
        <w:t>Do të ngrihet infrastruktura TIK e nevojshme për ndërveprimin me RKGJC dhe do të ndërtohet ndërfaqja e ndërveprimit me sistemet qeveritare.</w:t>
      </w:r>
    </w:p>
    <w:p w:rsidR="00B0121D" w:rsidRPr="00D73F43" w:rsidRDefault="00B0121D" w:rsidP="00B0121D">
      <w:pPr>
        <w:spacing w:line="276" w:lineRule="auto"/>
        <w:ind w:left="432"/>
        <w:jc w:val="both"/>
        <w:rPr>
          <w:rFonts w:eastAsia="MS Mincho"/>
          <w:lang w:val="sq-AL"/>
        </w:rPr>
      </w:pPr>
    </w:p>
    <w:p w:rsidR="00B0121D" w:rsidRPr="00D73F43" w:rsidRDefault="00B0121D" w:rsidP="00B0121D">
      <w:pPr>
        <w:spacing w:line="276" w:lineRule="auto"/>
        <w:ind w:left="432"/>
        <w:jc w:val="both"/>
        <w:rPr>
          <w:rFonts w:eastAsia="MS Mincho"/>
          <w:b/>
          <w:lang w:val="sq-AL"/>
        </w:rPr>
      </w:pPr>
      <w:r w:rsidRPr="00D73F43">
        <w:rPr>
          <w:rFonts w:eastAsia="MS Mincho"/>
          <w:b/>
          <w:lang w:val="sq-AL"/>
        </w:rPr>
        <w:t>Emergjencat Civile</w:t>
      </w:r>
    </w:p>
    <w:p w:rsidR="00B0121D" w:rsidRPr="00D73F43" w:rsidRDefault="00B0121D" w:rsidP="00534AA6">
      <w:pPr>
        <w:numPr>
          <w:ilvl w:val="0"/>
          <w:numId w:val="69"/>
        </w:numPr>
        <w:spacing w:line="276" w:lineRule="auto"/>
        <w:jc w:val="both"/>
        <w:rPr>
          <w:rFonts w:eastAsia="MS Mincho"/>
          <w:lang w:val="sq-AL"/>
        </w:rPr>
      </w:pPr>
      <w:r w:rsidRPr="00D73F43">
        <w:rPr>
          <w:rFonts w:eastAsia="MS Mincho"/>
          <w:lang w:val="sq-AL"/>
        </w:rPr>
        <w:t>Do të mundësohet zgjerimi i përdorimit të numrit 112 në qytetet e Fierit dhe Vlorës, duke mundësuar sallat operative dhe zgjerimin e sistemit.</w:t>
      </w:r>
    </w:p>
    <w:p w:rsidR="00B0121D" w:rsidRPr="00D73F43" w:rsidRDefault="00B0121D" w:rsidP="00B0121D">
      <w:pPr>
        <w:rPr>
          <w:b/>
          <w:sz w:val="22"/>
          <w:lang w:val="sq-AL"/>
        </w:rPr>
      </w:pPr>
    </w:p>
    <w:p w:rsidR="00B0121D" w:rsidRPr="006D51B9" w:rsidRDefault="006D51B9" w:rsidP="00534AA6">
      <w:pPr>
        <w:pStyle w:val="Heading2"/>
        <w:numPr>
          <w:ilvl w:val="1"/>
          <w:numId w:val="161"/>
        </w:numPr>
        <w:rPr>
          <w:rFonts w:ascii="Times New Roman" w:hAnsi="Times New Roman"/>
          <w:i w:val="0"/>
        </w:rPr>
      </w:pPr>
      <w:r>
        <w:rPr>
          <w:rFonts w:ascii="Times New Roman" w:hAnsi="Times New Roman"/>
          <w:i w:val="0"/>
        </w:rPr>
        <w:t xml:space="preserve"> </w:t>
      </w:r>
      <w:bookmarkStart w:id="147" w:name="_Toc466445477"/>
      <w:r w:rsidR="00B0121D" w:rsidRPr="006D51B9">
        <w:rPr>
          <w:rFonts w:ascii="Times New Roman" w:hAnsi="Times New Roman"/>
          <w:i w:val="0"/>
        </w:rPr>
        <w:t>MBROJTJA</w:t>
      </w:r>
      <w:bookmarkEnd w:id="147"/>
    </w:p>
    <w:p w:rsidR="00B0121D" w:rsidRPr="00D73F43" w:rsidRDefault="00B0121D" w:rsidP="00B0121D">
      <w:pPr>
        <w:rPr>
          <w:rFonts w:eastAsia="MS Mincho"/>
          <w:b/>
          <w:noProof/>
          <w:szCs w:val="20"/>
          <w:lang w:val="sq-AL"/>
        </w:rPr>
      </w:pPr>
    </w:p>
    <w:p w:rsidR="00B0121D" w:rsidRPr="00952AD0" w:rsidRDefault="00642658" w:rsidP="00B0121D">
      <w:pPr>
        <w:rPr>
          <w:rFonts w:eastAsia="MS Mincho"/>
          <w:b/>
          <w:noProof/>
          <w:szCs w:val="20"/>
          <w:lang w:val="sq-AL"/>
        </w:rPr>
      </w:pPr>
      <w:r w:rsidRPr="00952AD0">
        <w:rPr>
          <w:rFonts w:eastAsia="MS Mincho"/>
          <w:b/>
          <w:noProof/>
          <w:szCs w:val="20"/>
          <w:lang w:val="sq-AL"/>
        </w:rPr>
        <w:t>4.</w:t>
      </w:r>
      <w:r w:rsidR="00B0121D" w:rsidRPr="00952AD0">
        <w:rPr>
          <w:rFonts w:eastAsia="MS Mincho"/>
          <w:b/>
          <w:noProof/>
          <w:szCs w:val="20"/>
          <w:lang w:val="sq-AL"/>
        </w:rPr>
        <w:t>7.1 Situata e sektorit në 2013</w:t>
      </w:r>
    </w:p>
    <w:p w:rsidR="00B0121D" w:rsidRPr="00D73F43" w:rsidRDefault="00B0121D" w:rsidP="00B0121D">
      <w:pPr>
        <w:spacing w:before="120" w:after="120" w:line="276" w:lineRule="auto"/>
        <w:jc w:val="both"/>
        <w:rPr>
          <w:rFonts w:eastAsia="Times New Roman"/>
          <w:noProof/>
          <w:lang w:val="sq-AL"/>
        </w:rPr>
      </w:pPr>
    </w:p>
    <w:p w:rsidR="00B0121D" w:rsidRPr="00D73F43" w:rsidRDefault="00B0121D" w:rsidP="00B0121D">
      <w:pPr>
        <w:spacing w:before="120" w:after="120" w:line="276" w:lineRule="auto"/>
        <w:jc w:val="both"/>
        <w:rPr>
          <w:rFonts w:eastAsia="Times New Roman"/>
          <w:noProof/>
          <w:lang w:val="sq-AL"/>
        </w:rPr>
      </w:pPr>
      <w:r w:rsidRPr="00D73F43">
        <w:rPr>
          <w:rFonts w:eastAsia="Times New Roman"/>
          <w:noProof/>
          <w:lang w:val="sq-AL"/>
        </w:rPr>
        <w:t>Me gjithë rezultatet, në përmbushjen e misionit kushtetues dhe detyrimeve të Forcave të Armatosura për mbështetjen e popullsisë dhe përmbushjen e detyrimeve në kuadër të Aleancës Euro-Atlantike, në marrjen e mandatit kishte mangësi të dukshme, të cilat konsistonin në:</w:t>
      </w:r>
    </w:p>
    <w:p w:rsidR="00B0121D" w:rsidRPr="00D73F43" w:rsidRDefault="00B0121D" w:rsidP="00534AA6">
      <w:pPr>
        <w:numPr>
          <w:ilvl w:val="0"/>
          <w:numId w:val="70"/>
        </w:numPr>
        <w:spacing w:before="120" w:after="120" w:line="276" w:lineRule="auto"/>
        <w:contextualSpacing/>
        <w:jc w:val="both"/>
        <w:rPr>
          <w:rFonts w:eastAsia="Times New Roman"/>
          <w:noProof/>
          <w:lang w:val="sq-AL"/>
        </w:rPr>
      </w:pPr>
      <w:r w:rsidRPr="00D73F43">
        <w:rPr>
          <w:rFonts w:eastAsia="Times New Roman"/>
          <w:noProof/>
          <w:lang w:val="sq-AL"/>
        </w:rPr>
        <w:t>Mos-përditësimin e dokumenteve kryesore strategjikë të sigurisë dhe mbrojtjes (dokumentet ekzistuese ishin hartuar para anëtarësimit të RSH-së në NATO);</w:t>
      </w:r>
    </w:p>
    <w:p w:rsidR="00B0121D" w:rsidRPr="00D73F43" w:rsidRDefault="00B0121D" w:rsidP="00534AA6">
      <w:pPr>
        <w:numPr>
          <w:ilvl w:val="0"/>
          <w:numId w:val="70"/>
        </w:numPr>
        <w:spacing w:before="120" w:after="120" w:line="276" w:lineRule="auto"/>
        <w:contextualSpacing/>
        <w:jc w:val="both"/>
        <w:rPr>
          <w:rFonts w:eastAsia="Times New Roman"/>
          <w:noProof/>
          <w:lang w:val="sq-AL"/>
        </w:rPr>
      </w:pPr>
      <w:r w:rsidRPr="00D73F43">
        <w:rPr>
          <w:rFonts w:eastAsia="Times New Roman"/>
          <w:noProof/>
          <w:lang w:val="sq-AL"/>
        </w:rPr>
        <w:t>Ecuri e ulët në zhvillimin e kapaciteteve për shkak të ndryshimit të shpeshtë të prioriteteve, keqadministrim të burimeve të mbrojtjes, të cilat rezultuan në një situatë të rënduar financiare dhe krijimin e një borxhi të konsiderueshëm për strukturat e Ministrisë së Mbrojtjes, i cili kapte vlerën 14.5 milionë Euro ose 15% të buxhetit të vitit aktual.</w:t>
      </w:r>
    </w:p>
    <w:p w:rsidR="00B0121D" w:rsidRPr="00D73F43" w:rsidRDefault="00B0121D" w:rsidP="00534AA6">
      <w:pPr>
        <w:numPr>
          <w:ilvl w:val="0"/>
          <w:numId w:val="70"/>
        </w:numPr>
        <w:spacing w:before="120" w:after="120" w:line="276" w:lineRule="auto"/>
        <w:contextualSpacing/>
        <w:jc w:val="both"/>
        <w:rPr>
          <w:rFonts w:eastAsia="Times New Roman"/>
          <w:noProof/>
          <w:lang w:val="sq-AL"/>
        </w:rPr>
      </w:pPr>
      <w:r w:rsidRPr="00D73F43">
        <w:rPr>
          <w:rFonts w:eastAsia="Times New Roman"/>
          <w:noProof/>
          <w:lang w:val="sq-AL"/>
        </w:rPr>
        <w:t xml:space="preserve">Mangësi në investime, pajisje kritike dhe mbështetëse në funksion të sigurisë dhe të mbrojtjes. </w:t>
      </w:r>
    </w:p>
    <w:p w:rsidR="00B0121D" w:rsidRPr="00D73F43" w:rsidRDefault="00B0121D" w:rsidP="00534AA6">
      <w:pPr>
        <w:numPr>
          <w:ilvl w:val="0"/>
          <w:numId w:val="70"/>
        </w:numPr>
        <w:spacing w:before="120" w:after="120" w:line="276" w:lineRule="auto"/>
        <w:contextualSpacing/>
        <w:jc w:val="both"/>
        <w:rPr>
          <w:rFonts w:eastAsia="Times New Roman"/>
          <w:noProof/>
          <w:lang w:val="sq-AL"/>
        </w:rPr>
      </w:pPr>
      <w:r w:rsidRPr="00D73F43">
        <w:rPr>
          <w:rFonts w:eastAsia="Times New Roman"/>
          <w:noProof/>
          <w:lang w:val="sq-AL"/>
        </w:rPr>
        <w:t>Probleme në përkujdesje dhe trajtim financiar të ushtarakëve aktivë dhe të atyre në rezervë e lirim,  si dhe problematika në procesin e vlerësimit dhe promovimit në karrierë e gradë. </w:t>
      </w:r>
    </w:p>
    <w:p w:rsidR="00B0121D" w:rsidRPr="00D73F43" w:rsidRDefault="00B0121D" w:rsidP="00B0121D">
      <w:pPr>
        <w:spacing w:line="276" w:lineRule="auto"/>
        <w:rPr>
          <w:rFonts w:eastAsia="Times New Roman"/>
          <w:noProof/>
          <w:lang w:val="sq-AL"/>
        </w:rPr>
      </w:pPr>
    </w:p>
    <w:p w:rsidR="00B0121D" w:rsidRPr="00D73F43" w:rsidRDefault="00642658" w:rsidP="00B0121D">
      <w:pPr>
        <w:spacing w:line="276" w:lineRule="auto"/>
        <w:rPr>
          <w:rFonts w:eastAsia="MS Mincho"/>
          <w:b/>
          <w:noProof/>
          <w:szCs w:val="20"/>
          <w:lang w:val="sq-AL"/>
        </w:rPr>
      </w:pPr>
      <w:r>
        <w:rPr>
          <w:rFonts w:eastAsia="MS Mincho"/>
          <w:b/>
          <w:noProof/>
          <w:szCs w:val="20"/>
          <w:lang w:val="sq-AL"/>
        </w:rPr>
        <w:t>4</w:t>
      </w:r>
      <w:r w:rsidR="00B0121D" w:rsidRPr="00D73F43">
        <w:rPr>
          <w:rFonts w:eastAsia="MS Mincho"/>
          <w:b/>
          <w:noProof/>
          <w:szCs w:val="20"/>
          <w:lang w:val="sq-AL"/>
        </w:rPr>
        <w:t>.7.2 Reformat e ndërmarra 2013-2016</w:t>
      </w:r>
    </w:p>
    <w:p w:rsidR="00B0121D" w:rsidRPr="00D73F43" w:rsidRDefault="00B0121D" w:rsidP="00B0121D">
      <w:pPr>
        <w:spacing w:before="120" w:after="120" w:line="276" w:lineRule="auto"/>
        <w:jc w:val="both"/>
        <w:rPr>
          <w:rFonts w:eastAsia="Times New Roman"/>
          <w:noProof/>
          <w:lang w:val="sq-AL"/>
        </w:rPr>
      </w:pPr>
      <w:r w:rsidRPr="00D73F43">
        <w:rPr>
          <w:rFonts w:eastAsia="Times New Roman"/>
          <w:noProof/>
          <w:lang w:val="sq-AL"/>
        </w:rPr>
        <w:t>Gjatë periudhës 2013-2016, Ministria e Mbrojtjes ka shënuar arritje cilësore në gjithë veprimtarinë dhe angazhimet, të cilat janë produkt i përpjekjeve të përbashkëta të gjithë strukturave dhe lidershipit të Ministrisë së Mbrojtjes dhe Forcave të Armatosura të Republikës së Shqipërisë (FARSH).</w:t>
      </w:r>
    </w:p>
    <w:p w:rsidR="00B0121D" w:rsidRPr="00D73F43" w:rsidRDefault="00B0121D" w:rsidP="00B0121D">
      <w:pPr>
        <w:spacing w:before="120" w:after="120" w:line="276" w:lineRule="auto"/>
        <w:jc w:val="both"/>
        <w:rPr>
          <w:rFonts w:eastAsia="Times New Roman"/>
          <w:noProof/>
          <w:lang w:val="sq-AL"/>
        </w:rPr>
      </w:pPr>
      <w:r w:rsidRPr="00D73F43">
        <w:rPr>
          <w:rFonts w:eastAsia="Times New Roman"/>
          <w:noProof/>
          <w:lang w:val="sq-AL"/>
        </w:rPr>
        <w:t xml:space="preserve">Mjedisi kompleks i sigurisë, ka sfiduar vlerat që përfaqëson vendi dhe demokracitë perëndimore. Përballja me sulmet terroriste, ekstremizmi, emergjencat civile, lufta kibernetike, kërcënimet hibride dhe konvencionale në lindje dhe jug të Aleancës, kërkonin tejkalimin e problematikave dhe përshpejtimin e reformimit të FA: </w:t>
      </w:r>
    </w:p>
    <w:p w:rsidR="00B0121D" w:rsidRPr="00D73F43" w:rsidRDefault="00B0121D" w:rsidP="00B0121D">
      <w:pPr>
        <w:spacing w:line="276" w:lineRule="auto"/>
        <w:contextualSpacing/>
        <w:jc w:val="both"/>
        <w:rPr>
          <w:rFonts w:eastAsia="Times New Roman"/>
          <w:lang w:val="sq-AL"/>
        </w:rPr>
      </w:pPr>
    </w:p>
    <w:p w:rsidR="00B0121D" w:rsidRPr="00D73F43" w:rsidRDefault="00B0121D" w:rsidP="00534AA6">
      <w:pPr>
        <w:numPr>
          <w:ilvl w:val="0"/>
          <w:numId w:val="71"/>
        </w:numPr>
        <w:spacing w:line="276" w:lineRule="auto"/>
        <w:contextualSpacing/>
        <w:jc w:val="both"/>
        <w:rPr>
          <w:rFonts w:eastAsia="Times New Roman"/>
          <w:lang w:val="sq-AL"/>
        </w:rPr>
      </w:pPr>
      <w:r w:rsidRPr="00D73F43">
        <w:rPr>
          <w:rFonts w:eastAsia="Times New Roman"/>
          <w:lang w:val="sq-AL"/>
        </w:rPr>
        <w:lastRenderedPageBreak/>
        <w:t>Rishikim i dokumenteve Strategjikë të Mbrojtjes dhe i kuadrit ligjor të Forcave të Armatosura, angazhim i cili është i realizuar në nivelin 100%. Progresi i shënuar është materializuar tek dokumentet strategjike të rishikuara, (Strategjia e Sigurisë Kombëtare (SSK), Strategjia Ushtarake (SU), Plani Afatgjatë i Zhvillimit të FA (PAZH)), legjislacioni i përmirësuar, struktura e përditësuar dhe kapacitetet e zhvilluara. Dokumentet strategjikë orientojnë transformimin e FARSH për garantimin e sigurisë dhe përballimin e të gjithë skenarëve të kërcënimeve.</w:t>
      </w:r>
    </w:p>
    <w:p w:rsidR="00B0121D" w:rsidRPr="00D73F43" w:rsidRDefault="00B0121D" w:rsidP="00B0121D">
      <w:pPr>
        <w:spacing w:line="276" w:lineRule="auto"/>
        <w:ind w:left="360"/>
        <w:contextualSpacing/>
        <w:jc w:val="both"/>
        <w:rPr>
          <w:rFonts w:eastAsia="Times New Roman"/>
          <w:lang w:val="sq-AL"/>
        </w:rPr>
      </w:pPr>
    </w:p>
    <w:p w:rsidR="00B0121D" w:rsidRPr="00D73F43" w:rsidRDefault="00B0121D" w:rsidP="00534AA6">
      <w:pPr>
        <w:numPr>
          <w:ilvl w:val="0"/>
          <w:numId w:val="71"/>
        </w:numPr>
        <w:spacing w:line="276" w:lineRule="auto"/>
        <w:contextualSpacing/>
        <w:jc w:val="both"/>
        <w:rPr>
          <w:rFonts w:eastAsia="Times New Roman"/>
          <w:lang w:val="sq-AL"/>
        </w:rPr>
      </w:pPr>
      <w:r w:rsidRPr="00D73F43">
        <w:rPr>
          <w:rFonts w:eastAsia="Times New Roman"/>
          <w:lang w:val="sq-AL"/>
        </w:rPr>
        <w:t>Përmbushje e angazhimeve si vend anëtar i NATO-s: është rritur roli dhe kontributi i Shqipërisë në Aleancë nëpërmjet përfaqësimit më dinjitoz, qëndrimit aktiv e konstruktiv, angazhimit në operacione, si dhe ofrimit të infrastrukturës dhe kapaciteteve fizike kombëtare. Pjesëmarrja aktive në misione të përbashkëta me NATO, BE, OKB, nё stёrvitje tё NATO-s në kuadër tё bashkёpunimit dypalёsh dhe rajonal, si dhe kontributi në luftën kundër ISIS/DAESH me armë dhe municione në ndihmë të qeverisë së Irakut (Forcat Peshmerge Kurde). Ky angazhim është i realizuar në nivelin 100% .</w:t>
      </w:r>
    </w:p>
    <w:p w:rsidR="00B0121D" w:rsidRPr="00D73F43" w:rsidRDefault="00B0121D" w:rsidP="00B0121D">
      <w:pPr>
        <w:spacing w:line="276" w:lineRule="auto"/>
        <w:ind w:left="360"/>
        <w:contextualSpacing/>
        <w:jc w:val="both"/>
        <w:rPr>
          <w:rFonts w:eastAsia="Times New Roman"/>
          <w:lang w:val="sq-AL"/>
        </w:rPr>
      </w:pPr>
    </w:p>
    <w:p w:rsidR="00B0121D" w:rsidRPr="00D73F43" w:rsidRDefault="00B0121D" w:rsidP="00534AA6">
      <w:pPr>
        <w:numPr>
          <w:ilvl w:val="0"/>
          <w:numId w:val="71"/>
        </w:numPr>
        <w:spacing w:line="276" w:lineRule="auto"/>
        <w:contextualSpacing/>
        <w:jc w:val="both"/>
        <w:rPr>
          <w:rFonts w:eastAsia="Times New Roman"/>
          <w:lang w:val="sq-AL"/>
        </w:rPr>
      </w:pPr>
      <w:r w:rsidRPr="00D73F43">
        <w:rPr>
          <w:rFonts w:eastAsia="Times New Roman"/>
          <w:lang w:val="sq-AL"/>
        </w:rPr>
        <w:t>Në ndihmesë të komunitetit, Ministria e Mbrojtjes ka kryer realizimin e një sërë punimesh.</w:t>
      </w:r>
      <w:r w:rsidRPr="00D73F43">
        <w:rPr>
          <w:rFonts w:eastAsia="Times New Roman"/>
          <w:b/>
          <w:lang w:val="sq-AL"/>
        </w:rPr>
        <w:t xml:space="preserve"> </w:t>
      </w:r>
      <w:r w:rsidRPr="00D73F43">
        <w:rPr>
          <w:rFonts w:eastAsia="Times New Roman"/>
          <w:lang w:val="sq-AL"/>
        </w:rPr>
        <w:t>Konkretisht</w:t>
      </w:r>
      <w:r w:rsidRPr="00D73F43">
        <w:rPr>
          <w:rFonts w:eastAsia="Times New Roman"/>
          <w:b/>
          <w:lang w:val="sq-AL"/>
        </w:rPr>
        <w:t xml:space="preserve"> </w:t>
      </w:r>
      <w:r w:rsidRPr="00D73F43">
        <w:rPr>
          <w:rFonts w:eastAsia="Times New Roman"/>
          <w:lang w:val="sq-AL"/>
        </w:rPr>
        <w:t>janë ndërtuar 26 ura Bayli në ndihmë të komunitetit, janë kryer 54 operacione në mbështetje të popullsisë civile dhe autoriteteve qëndrore dhe lokale. Ndërkohë, vendi është çliruar nga rreziqet që paraqisnin municionet e tepërta. U arrit progres i ndjeshëm në asgjësimin e mbetjeve të rrezikshme kimike dhe është në përfundim pastrimi i “hot-spoteve”, 9 prej të cilave janë certifikuar dhe dorëzuar pranë komunitetit.</w:t>
      </w:r>
    </w:p>
    <w:p w:rsidR="00B0121D" w:rsidRPr="00D73F43" w:rsidRDefault="00B0121D" w:rsidP="00B0121D">
      <w:pPr>
        <w:spacing w:line="276" w:lineRule="auto"/>
        <w:ind w:left="720"/>
        <w:contextualSpacing/>
        <w:rPr>
          <w:rFonts w:eastAsia="Times New Roman"/>
          <w:noProof/>
          <w:szCs w:val="20"/>
          <w:lang w:val="sq-AL"/>
        </w:rPr>
      </w:pPr>
    </w:p>
    <w:p w:rsidR="00B0121D" w:rsidRPr="00D73F43" w:rsidRDefault="00B0121D" w:rsidP="00534AA6">
      <w:pPr>
        <w:numPr>
          <w:ilvl w:val="0"/>
          <w:numId w:val="71"/>
        </w:numPr>
        <w:spacing w:line="276" w:lineRule="auto"/>
        <w:contextualSpacing/>
        <w:jc w:val="both"/>
        <w:rPr>
          <w:rFonts w:eastAsia="Times New Roman"/>
          <w:lang w:val="sq-AL"/>
        </w:rPr>
      </w:pPr>
      <w:r w:rsidRPr="00D73F43">
        <w:rPr>
          <w:rFonts w:eastAsia="Times New Roman"/>
          <w:lang w:val="sq-AL"/>
        </w:rPr>
        <w:t xml:space="preserve">Lartësimi i figurës dhe integritetit të ushtarakut, nëpërmjet zhvillimit të politikave të nevojshme në fushën e personelit, promovimit në karrierë, trajtimit të ushtarakut, rritjes së transparencës, llogaridhënies, si dhe eliminimin e korrupsionit në Forcat e Armatosura. </w:t>
      </w:r>
    </w:p>
    <w:p w:rsidR="00B0121D" w:rsidRPr="00D73F43" w:rsidRDefault="00B0121D" w:rsidP="00B0121D">
      <w:pPr>
        <w:spacing w:line="276" w:lineRule="auto"/>
        <w:ind w:left="1080"/>
        <w:contextualSpacing/>
        <w:jc w:val="both"/>
        <w:rPr>
          <w:rFonts w:eastAsia="Times New Roman"/>
          <w:lang w:val="sq-AL"/>
        </w:rPr>
      </w:pPr>
    </w:p>
    <w:p w:rsidR="00B0121D" w:rsidRPr="00D73F43" w:rsidRDefault="00B0121D" w:rsidP="00534AA6">
      <w:pPr>
        <w:numPr>
          <w:ilvl w:val="0"/>
          <w:numId w:val="71"/>
        </w:numPr>
        <w:spacing w:line="276" w:lineRule="auto"/>
        <w:contextualSpacing/>
        <w:jc w:val="both"/>
        <w:rPr>
          <w:rFonts w:eastAsia="Times New Roman"/>
          <w:lang w:val="sq-AL"/>
        </w:rPr>
      </w:pPr>
      <w:r w:rsidRPr="00D73F43">
        <w:rPr>
          <w:rFonts w:eastAsia="Times New Roman"/>
          <w:lang w:val="sq-AL"/>
        </w:rPr>
        <w:t xml:space="preserve">Me një menaxhim të kujdesshëm, të burimeve financiare ne bëmë të mundur, që për herë të parë të pajisim Forcat tona të Armatosura me armatime dhe mjete transporti rrugore e ajrore nga më modernet sipas standardeve të NATO-s. </w:t>
      </w:r>
    </w:p>
    <w:p w:rsidR="00B0121D" w:rsidRPr="00D73F43" w:rsidRDefault="00B0121D" w:rsidP="00B0121D">
      <w:pPr>
        <w:spacing w:line="276" w:lineRule="auto"/>
        <w:contextualSpacing/>
        <w:jc w:val="both"/>
        <w:rPr>
          <w:rFonts w:eastAsia="Times New Roman"/>
          <w:lang w:val="sq-AL"/>
        </w:rPr>
      </w:pPr>
    </w:p>
    <w:p w:rsidR="00B2514A" w:rsidRPr="006D51B9" w:rsidRDefault="00B0121D" w:rsidP="00534AA6">
      <w:pPr>
        <w:numPr>
          <w:ilvl w:val="0"/>
          <w:numId w:val="71"/>
        </w:numPr>
        <w:spacing w:line="276" w:lineRule="auto"/>
        <w:contextualSpacing/>
        <w:jc w:val="both"/>
        <w:rPr>
          <w:rFonts w:eastAsia="Times New Roman"/>
          <w:lang w:val="sq-AL"/>
        </w:rPr>
      </w:pPr>
      <w:r w:rsidRPr="00D73F43">
        <w:rPr>
          <w:rFonts w:eastAsia="Times New Roman"/>
          <w:lang w:val="sq-AL"/>
        </w:rPr>
        <w:t>Detyrimet e</w:t>
      </w:r>
      <w:r w:rsidRPr="00D73F43">
        <w:rPr>
          <w:rFonts w:eastAsia="Times New Roman"/>
          <w:b/>
          <w:bCs/>
          <w:lang w:val="sq-AL"/>
        </w:rPr>
        <w:t xml:space="preserve"> </w:t>
      </w:r>
      <w:r w:rsidRPr="00D73F43">
        <w:rPr>
          <w:rFonts w:eastAsia="Times New Roman"/>
          <w:lang w:val="sq-AL"/>
        </w:rPr>
        <w:t xml:space="preserve">prapambetura të Ministrisë së Mbrojtjes deri në 31 Dhjetor 2013 kanë qenë në shumën 2 miliardë lekë  ose 14.5 milionë Euro. Për një periudhë kohore prej 2 vitesh, pra në , fund të vitit 2015, </w:t>
      </w:r>
      <w:r w:rsidRPr="00D73F43">
        <w:rPr>
          <w:rFonts w:eastAsia="Times New Roman"/>
          <w:bCs/>
          <w:lang w:val="sq-AL"/>
        </w:rPr>
        <w:t>99.77%</w:t>
      </w:r>
      <w:r w:rsidRPr="00D73F43">
        <w:rPr>
          <w:rFonts w:eastAsia="Times New Roman"/>
          <w:lang w:val="sq-AL"/>
        </w:rPr>
        <w:t xml:space="preserve"> e kësaj shume është shlyer krejtësisht, duke lënë pa paguar vetëm  4.7 milionë lekë, si rezultat i mosplotësimit të dokumentacionit të kërkuar nga palët e treta.</w:t>
      </w:r>
    </w:p>
    <w:p w:rsidR="00B2514A" w:rsidRPr="00D73F43" w:rsidRDefault="00B2514A" w:rsidP="00B0121D">
      <w:pPr>
        <w:spacing w:line="276" w:lineRule="auto"/>
        <w:rPr>
          <w:rFonts w:eastAsia="MS Mincho"/>
          <w:b/>
          <w:noProof/>
          <w:szCs w:val="20"/>
          <w:lang w:val="sq-AL"/>
        </w:rPr>
      </w:pPr>
    </w:p>
    <w:p w:rsidR="00B0121D" w:rsidRPr="00D73F43" w:rsidRDefault="00642658" w:rsidP="00B0121D">
      <w:pPr>
        <w:spacing w:line="276" w:lineRule="auto"/>
        <w:rPr>
          <w:rFonts w:eastAsia="MS Mincho"/>
          <w:b/>
          <w:noProof/>
          <w:szCs w:val="20"/>
          <w:lang w:val="sq-AL"/>
        </w:rPr>
      </w:pPr>
      <w:r>
        <w:rPr>
          <w:rFonts w:eastAsia="MS Mincho"/>
          <w:b/>
          <w:noProof/>
          <w:szCs w:val="20"/>
          <w:lang w:val="sq-AL"/>
        </w:rPr>
        <w:t>4.</w:t>
      </w:r>
      <w:r w:rsidR="00B0121D" w:rsidRPr="00D73F43">
        <w:rPr>
          <w:rFonts w:eastAsia="MS Mincho"/>
          <w:b/>
          <w:noProof/>
          <w:szCs w:val="20"/>
          <w:lang w:val="sq-AL"/>
        </w:rPr>
        <w:t>7.3 Prioritetet e projekt-buxhetit 2017</w:t>
      </w:r>
    </w:p>
    <w:p w:rsidR="00B0121D" w:rsidRPr="00D73F43" w:rsidRDefault="00B0121D" w:rsidP="00B0121D">
      <w:pPr>
        <w:spacing w:line="276" w:lineRule="auto"/>
        <w:jc w:val="both"/>
        <w:rPr>
          <w:rFonts w:eastAsia="Times New Roman"/>
          <w:noProof/>
          <w:lang w:val="sq-AL"/>
        </w:rPr>
      </w:pPr>
    </w:p>
    <w:p w:rsidR="00B0121D" w:rsidRPr="00D73F43" w:rsidRDefault="00B0121D" w:rsidP="00B0121D">
      <w:pPr>
        <w:spacing w:before="120" w:after="120" w:line="276" w:lineRule="auto"/>
        <w:jc w:val="both"/>
        <w:rPr>
          <w:rFonts w:eastAsia="Times New Roman"/>
          <w:noProof/>
          <w:lang w:val="sq-AL"/>
        </w:rPr>
      </w:pPr>
      <w:r w:rsidRPr="00D73F43">
        <w:rPr>
          <w:rFonts w:eastAsia="Times New Roman"/>
          <w:noProof/>
          <w:lang w:val="sq-AL"/>
        </w:rPr>
        <w:t>Prioritetet e Ministrisë së Mbrojtjes për vitin 2017 do të fokusohen në:</w:t>
      </w:r>
    </w:p>
    <w:p w:rsidR="00B0121D" w:rsidRPr="00D73F43" w:rsidRDefault="00B0121D" w:rsidP="00534AA6">
      <w:pPr>
        <w:numPr>
          <w:ilvl w:val="0"/>
          <w:numId w:val="72"/>
        </w:numPr>
        <w:spacing w:before="120" w:after="120" w:line="276" w:lineRule="auto"/>
        <w:contextualSpacing/>
        <w:jc w:val="both"/>
        <w:rPr>
          <w:rFonts w:eastAsia="Times New Roman"/>
          <w:noProof/>
          <w:lang w:val="sq-AL"/>
        </w:rPr>
      </w:pPr>
      <w:r w:rsidRPr="00D73F43">
        <w:rPr>
          <w:rFonts w:eastAsia="Times New Roman"/>
          <w:noProof/>
          <w:lang w:val="sq-AL"/>
        </w:rPr>
        <w:t>Rritjen e operacionalitetit të FARSH në përmbushje të angazhimeve në kuadër të Aleancës. Më konkretisht:</w:t>
      </w:r>
    </w:p>
    <w:p w:rsidR="00B0121D" w:rsidRPr="00D73F43" w:rsidRDefault="00B0121D" w:rsidP="00534AA6">
      <w:pPr>
        <w:numPr>
          <w:ilvl w:val="1"/>
          <w:numId w:val="111"/>
        </w:numPr>
        <w:spacing w:before="120" w:after="120" w:line="276" w:lineRule="auto"/>
        <w:contextualSpacing/>
        <w:jc w:val="both"/>
        <w:rPr>
          <w:rFonts w:eastAsia="Times New Roman"/>
          <w:noProof/>
          <w:lang w:val="sq-AL"/>
        </w:rPr>
      </w:pPr>
      <w:r w:rsidRPr="00D73F43">
        <w:rPr>
          <w:rFonts w:eastAsia="Times New Roman"/>
          <w:noProof/>
          <w:lang w:val="sq-AL"/>
        </w:rPr>
        <w:t>Do të vijojë pjesëmarrja në operacionet e NATO-s duke rritur nivelin e angazhimit të FA, në operacionet e Aleancës në Afganistan dhe Kosovë apo në operacionet e BE-së në Bosnjë-Hercegovinë dhe Malin e Zi, si dhe pjesëmarrja në misionet e iniciativat e reja që NATO mund të ndërmarrë, në Irak/Detin Egje, etj.</w:t>
      </w:r>
    </w:p>
    <w:p w:rsidR="00B0121D" w:rsidRPr="00D73F43" w:rsidRDefault="00B0121D" w:rsidP="00534AA6">
      <w:pPr>
        <w:numPr>
          <w:ilvl w:val="0"/>
          <w:numId w:val="72"/>
        </w:numPr>
        <w:spacing w:before="120" w:after="120" w:line="276" w:lineRule="auto"/>
        <w:contextualSpacing/>
        <w:jc w:val="both"/>
        <w:rPr>
          <w:rFonts w:eastAsia="Times New Roman"/>
          <w:noProof/>
          <w:lang w:val="sq-AL"/>
        </w:rPr>
      </w:pPr>
      <w:r w:rsidRPr="00D73F43">
        <w:rPr>
          <w:rFonts w:eastAsia="Times New Roman"/>
          <w:noProof/>
          <w:lang w:val="sq-AL"/>
        </w:rPr>
        <w:lastRenderedPageBreak/>
        <w:t>Modernizimin e kapaciteteve dhe infrastrukturës së FA dhe rritja e dinjitetit dhe mbështetjes për ushtarakët. Më konkretisht synohet:</w:t>
      </w:r>
    </w:p>
    <w:p w:rsidR="00B0121D" w:rsidRPr="00D73F43" w:rsidRDefault="00B0121D" w:rsidP="00534AA6">
      <w:pPr>
        <w:numPr>
          <w:ilvl w:val="1"/>
          <w:numId w:val="112"/>
        </w:numPr>
        <w:spacing w:before="120" w:after="120" w:line="276" w:lineRule="auto"/>
        <w:contextualSpacing/>
        <w:jc w:val="both"/>
        <w:rPr>
          <w:rFonts w:eastAsia="Times New Roman"/>
          <w:noProof/>
          <w:lang w:val="sq-AL"/>
        </w:rPr>
      </w:pPr>
      <w:r w:rsidRPr="00D73F43">
        <w:rPr>
          <w:rFonts w:eastAsia="Times New Roman"/>
          <w:noProof/>
          <w:lang w:val="sq-AL"/>
        </w:rPr>
        <w:t>Zhvillimi i kapaciteteve të FA në përputhje me Planin Afatgjatë të Zhvillimit;</w:t>
      </w:r>
    </w:p>
    <w:p w:rsidR="00B0121D" w:rsidRPr="00D73F43" w:rsidRDefault="00B0121D" w:rsidP="00534AA6">
      <w:pPr>
        <w:numPr>
          <w:ilvl w:val="1"/>
          <w:numId w:val="112"/>
        </w:numPr>
        <w:spacing w:before="120" w:after="120" w:line="276" w:lineRule="auto"/>
        <w:contextualSpacing/>
        <w:jc w:val="both"/>
        <w:rPr>
          <w:rFonts w:eastAsia="Times New Roman"/>
          <w:noProof/>
          <w:lang w:val="sq-AL"/>
        </w:rPr>
      </w:pPr>
      <w:r w:rsidRPr="00D73F43">
        <w:rPr>
          <w:rFonts w:eastAsia="Times New Roman"/>
          <w:noProof/>
          <w:lang w:val="sq-AL"/>
        </w:rPr>
        <w:t xml:space="preserve">Vijimi i modernizimit dhe pajisjes së Forcave Tokësore me armatim të ri të ndërveprueshëm me aleatët në NATO; </w:t>
      </w:r>
    </w:p>
    <w:p w:rsidR="00B0121D" w:rsidRPr="00D73F43" w:rsidRDefault="00B0121D" w:rsidP="00534AA6">
      <w:pPr>
        <w:numPr>
          <w:ilvl w:val="1"/>
          <w:numId w:val="112"/>
        </w:numPr>
        <w:spacing w:before="120" w:after="120" w:line="276" w:lineRule="auto"/>
        <w:contextualSpacing/>
        <w:jc w:val="both"/>
        <w:rPr>
          <w:rFonts w:eastAsia="Times New Roman"/>
          <w:noProof/>
          <w:lang w:val="sq-AL"/>
        </w:rPr>
      </w:pPr>
      <w:r w:rsidRPr="00D73F43">
        <w:rPr>
          <w:rFonts w:eastAsia="Times New Roman"/>
          <w:noProof/>
          <w:lang w:val="sq-AL"/>
        </w:rPr>
        <w:t>Investime në infrastrukturë për përmirësimin e mjediseve të punës dhe ushtarake;</w:t>
      </w:r>
    </w:p>
    <w:p w:rsidR="00B0121D" w:rsidRPr="00D73F43" w:rsidRDefault="00B0121D" w:rsidP="00534AA6">
      <w:pPr>
        <w:numPr>
          <w:ilvl w:val="1"/>
          <w:numId w:val="112"/>
        </w:numPr>
        <w:spacing w:before="120" w:after="120" w:line="276" w:lineRule="auto"/>
        <w:contextualSpacing/>
        <w:jc w:val="both"/>
        <w:rPr>
          <w:rFonts w:eastAsia="Times New Roman"/>
          <w:noProof/>
          <w:lang w:val="sq-AL"/>
        </w:rPr>
      </w:pPr>
      <w:r w:rsidRPr="00D73F43">
        <w:rPr>
          <w:rFonts w:eastAsia="Times New Roman"/>
          <w:noProof/>
          <w:lang w:val="sq-AL"/>
        </w:rPr>
        <w:t xml:space="preserve">Modernizimi i pajisjeve dhe sistemeve kompjuterike. </w:t>
      </w:r>
    </w:p>
    <w:p w:rsidR="00B0121D" w:rsidRPr="00D73F43" w:rsidRDefault="00B0121D" w:rsidP="00B0121D">
      <w:pPr>
        <w:spacing w:before="120" w:after="120" w:line="276" w:lineRule="auto"/>
        <w:ind w:left="1440"/>
        <w:contextualSpacing/>
        <w:jc w:val="both"/>
        <w:rPr>
          <w:rFonts w:eastAsia="Times New Roman"/>
          <w:noProof/>
          <w:lang w:val="sq-AL"/>
        </w:rPr>
      </w:pPr>
    </w:p>
    <w:p w:rsidR="00B0121D" w:rsidRPr="00D73F43" w:rsidRDefault="00B0121D" w:rsidP="00534AA6">
      <w:pPr>
        <w:numPr>
          <w:ilvl w:val="0"/>
          <w:numId w:val="72"/>
        </w:numPr>
        <w:spacing w:before="120" w:after="120" w:line="276" w:lineRule="auto"/>
        <w:contextualSpacing/>
        <w:jc w:val="both"/>
        <w:rPr>
          <w:rFonts w:eastAsia="Times New Roman"/>
          <w:noProof/>
          <w:lang w:val="sq-AL"/>
        </w:rPr>
      </w:pPr>
      <w:r w:rsidRPr="00D73F43">
        <w:rPr>
          <w:rFonts w:eastAsia="Times New Roman"/>
          <w:noProof/>
          <w:lang w:val="sq-AL"/>
        </w:rPr>
        <w:t xml:space="preserve">Zhvillimin dhe mbajtjen në gatishmëri të kapaciteteve të FARSH për operacione të mbrojtjes kombëtare dhe kolektive, operacione në përgjigje të krizave, si dhe kapacitetet për përballimin e Emergjencave Civile. </w:t>
      </w:r>
    </w:p>
    <w:p w:rsidR="00B0121D" w:rsidRPr="00D73F43" w:rsidRDefault="00B0121D" w:rsidP="00B0121D">
      <w:pPr>
        <w:spacing w:before="120" w:after="120" w:line="276" w:lineRule="auto"/>
        <w:ind w:left="720"/>
        <w:contextualSpacing/>
        <w:jc w:val="both"/>
        <w:rPr>
          <w:rFonts w:eastAsia="Times New Roman"/>
          <w:noProof/>
          <w:lang w:val="sq-AL"/>
        </w:rPr>
      </w:pPr>
      <w:r w:rsidRPr="00D73F43">
        <w:rPr>
          <w:rFonts w:eastAsia="Times New Roman"/>
          <w:noProof/>
          <w:lang w:val="sq-AL"/>
        </w:rPr>
        <w:t xml:space="preserve"> </w:t>
      </w:r>
    </w:p>
    <w:p w:rsidR="00B0121D" w:rsidRPr="00D73F43" w:rsidRDefault="00B0121D" w:rsidP="00534AA6">
      <w:pPr>
        <w:numPr>
          <w:ilvl w:val="0"/>
          <w:numId w:val="72"/>
        </w:numPr>
        <w:spacing w:before="120" w:after="120" w:line="276" w:lineRule="auto"/>
        <w:contextualSpacing/>
        <w:jc w:val="both"/>
        <w:rPr>
          <w:rFonts w:eastAsia="Times New Roman"/>
          <w:noProof/>
          <w:lang w:val="sq-AL"/>
        </w:rPr>
      </w:pPr>
      <w:r w:rsidRPr="00D73F43">
        <w:rPr>
          <w:rFonts w:eastAsia="Times New Roman"/>
          <w:noProof/>
          <w:lang w:val="sq-AL"/>
        </w:rPr>
        <w:t xml:space="preserve">Ngritjen dhe akreditimin e Qendrës së Ekselencës për adresimin e fenomenit të Luftëtarëve të Huaj terroristë. </w:t>
      </w:r>
    </w:p>
    <w:p w:rsidR="00B0121D" w:rsidRPr="00D73F43" w:rsidRDefault="00B0121D" w:rsidP="00B0121D">
      <w:pPr>
        <w:rPr>
          <w:rFonts w:eastAsia="MS Mincho"/>
          <w:b/>
          <w:lang w:val="sq-AL"/>
        </w:rPr>
      </w:pPr>
    </w:p>
    <w:p w:rsidR="00B0121D" w:rsidRPr="006D51B9" w:rsidRDefault="00B0121D" w:rsidP="00534AA6">
      <w:pPr>
        <w:pStyle w:val="Heading2"/>
        <w:numPr>
          <w:ilvl w:val="1"/>
          <w:numId w:val="161"/>
        </w:numPr>
        <w:rPr>
          <w:rFonts w:ascii="Times New Roman" w:hAnsi="Times New Roman"/>
          <w:i w:val="0"/>
        </w:rPr>
      </w:pPr>
      <w:r w:rsidRPr="006D51B9">
        <w:rPr>
          <w:rFonts w:ascii="Times New Roman" w:hAnsi="Times New Roman"/>
          <w:i w:val="0"/>
          <w:lang w:val="sq-AL"/>
        </w:rPr>
        <w:t xml:space="preserve"> </w:t>
      </w:r>
      <w:bookmarkStart w:id="148" w:name="_Toc466445478"/>
      <w:r w:rsidRPr="006D51B9">
        <w:rPr>
          <w:rFonts w:ascii="Times New Roman" w:hAnsi="Times New Roman"/>
          <w:i w:val="0"/>
        </w:rPr>
        <w:t>ZHVILLIMI EKONOMIK</w:t>
      </w:r>
      <w:bookmarkEnd w:id="148"/>
    </w:p>
    <w:p w:rsidR="00B0121D" w:rsidRPr="00D73F43" w:rsidRDefault="00B0121D" w:rsidP="00B0121D">
      <w:pPr>
        <w:rPr>
          <w:rFonts w:eastAsia="MS Mincho"/>
          <w:b/>
          <w:lang w:val="sq-AL"/>
        </w:rPr>
      </w:pPr>
    </w:p>
    <w:p w:rsidR="00B0121D" w:rsidRPr="00952AD0" w:rsidRDefault="00642658" w:rsidP="00B0121D">
      <w:pPr>
        <w:rPr>
          <w:rFonts w:eastAsia="MS Mincho"/>
          <w:b/>
          <w:noProof/>
          <w:szCs w:val="20"/>
          <w:lang w:val="sq-AL"/>
        </w:rPr>
      </w:pPr>
      <w:r>
        <w:rPr>
          <w:rFonts w:eastAsia="MS Mincho"/>
          <w:b/>
          <w:noProof/>
          <w:szCs w:val="20"/>
          <w:lang w:val="sq-AL"/>
        </w:rPr>
        <w:t>4.</w:t>
      </w:r>
      <w:r w:rsidR="00B0121D" w:rsidRPr="00D73F43">
        <w:rPr>
          <w:rFonts w:eastAsia="MS Mincho"/>
          <w:b/>
          <w:noProof/>
          <w:szCs w:val="20"/>
          <w:lang w:val="sq-AL"/>
        </w:rPr>
        <w:t xml:space="preserve">8.1 </w:t>
      </w:r>
      <w:r w:rsidR="00B0121D" w:rsidRPr="00952AD0">
        <w:rPr>
          <w:rFonts w:eastAsia="MS Mincho"/>
          <w:b/>
          <w:noProof/>
          <w:szCs w:val="20"/>
          <w:lang w:val="sq-AL"/>
        </w:rPr>
        <w:t>Situata e sektorit në 2013</w:t>
      </w:r>
    </w:p>
    <w:p w:rsidR="00B0121D" w:rsidRPr="00D73F43" w:rsidRDefault="00B0121D" w:rsidP="00B0121D">
      <w:pPr>
        <w:tabs>
          <w:tab w:val="left" w:pos="8306"/>
        </w:tabs>
        <w:jc w:val="both"/>
        <w:rPr>
          <w:rFonts w:eastAsia="Times New Roman"/>
          <w:b/>
          <w:noProof/>
          <w:lang w:val="sq-AL"/>
        </w:rPr>
      </w:pPr>
    </w:p>
    <w:p w:rsidR="00B0121D" w:rsidRPr="00D73F43" w:rsidRDefault="00B0121D" w:rsidP="00534AA6">
      <w:pPr>
        <w:numPr>
          <w:ilvl w:val="0"/>
          <w:numId w:val="73"/>
        </w:numPr>
        <w:spacing w:line="276" w:lineRule="auto"/>
        <w:contextualSpacing/>
        <w:jc w:val="both"/>
        <w:rPr>
          <w:rFonts w:eastAsia="Times New Roman"/>
          <w:lang w:val="sq-AL"/>
        </w:rPr>
      </w:pPr>
      <w:r w:rsidRPr="00D73F43">
        <w:rPr>
          <w:rFonts w:eastAsia="Times New Roman"/>
          <w:lang w:val="sq-AL"/>
        </w:rPr>
        <w:t>Në vitin 2013, ekonomia shqiptare ishtë në ritmet më të ulta të zhvillimit, me rritjen ekonomike në kufijtë e 1%, burimet tradicionalë të rritjes ekonomike si ndërtimi apo remitancat, nuk mbë</w:t>
      </w:r>
      <w:r w:rsidR="006E1DB0">
        <w:rPr>
          <w:rFonts w:eastAsia="Times New Roman"/>
          <w:lang w:val="sq-AL"/>
        </w:rPr>
        <w:t>s</w:t>
      </w:r>
      <w:r w:rsidRPr="00D73F43">
        <w:rPr>
          <w:rFonts w:eastAsia="Times New Roman"/>
          <w:lang w:val="sq-AL"/>
        </w:rPr>
        <w:t>htesnin më zhvillimin e vendit dhe nevoja për një model të ri ekonomik, të orientuar nga sektorë me kontribut në rritjen afatgjatë, nxitjen e prodhimit vendas dhe punësimit, ishte the</w:t>
      </w:r>
      <w:r w:rsidR="006E1DB0">
        <w:rPr>
          <w:rFonts w:eastAsia="Times New Roman"/>
          <w:lang w:val="sq-AL"/>
        </w:rPr>
        <w:t>l</w:t>
      </w:r>
      <w:r w:rsidRPr="00D73F43">
        <w:rPr>
          <w:rFonts w:eastAsia="Times New Roman"/>
          <w:lang w:val="sq-AL"/>
        </w:rPr>
        <w:t>bësore.</w:t>
      </w:r>
    </w:p>
    <w:p w:rsidR="00B0121D" w:rsidRPr="00D73F43" w:rsidRDefault="00B0121D" w:rsidP="00534AA6">
      <w:pPr>
        <w:numPr>
          <w:ilvl w:val="0"/>
          <w:numId w:val="73"/>
        </w:numPr>
        <w:spacing w:line="276" w:lineRule="auto"/>
        <w:contextualSpacing/>
        <w:jc w:val="both"/>
        <w:rPr>
          <w:rFonts w:eastAsia="Times New Roman"/>
          <w:lang w:val="sq-AL"/>
        </w:rPr>
      </w:pPr>
      <w:r w:rsidRPr="00D73F43">
        <w:rPr>
          <w:rFonts w:eastAsia="Times New Roman"/>
          <w:lang w:val="sq-AL"/>
        </w:rPr>
        <w:t>Nga ana tjetër, klima e biznesit karakterizohej nga një marrëdhënie e thyer besimi mes qeverisë dhe sipërmarrjes. 720 milinë dollarë borxhe të prapambetura për investime publike të kontraktuara e të papaguara, dhe rreth 30 milionë dollarë të tjerë, gjoba elektorale të periudhës para dhe pas-zgjedhore.</w:t>
      </w:r>
    </w:p>
    <w:p w:rsidR="00B0121D" w:rsidRPr="006E1DB0" w:rsidRDefault="00B0121D" w:rsidP="00B0121D">
      <w:pPr>
        <w:numPr>
          <w:ilvl w:val="0"/>
          <w:numId w:val="73"/>
        </w:numPr>
        <w:spacing w:line="276" w:lineRule="auto"/>
        <w:contextualSpacing/>
        <w:jc w:val="both"/>
        <w:rPr>
          <w:rFonts w:eastAsia="Times New Roman"/>
          <w:lang w:val="sq-AL"/>
        </w:rPr>
      </w:pPr>
      <w:r w:rsidRPr="00D73F43">
        <w:rPr>
          <w:rFonts w:eastAsia="Times New Roman"/>
          <w:lang w:val="sq-AL"/>
        </w:rPr>
        <w:t>Një ndër pengesat e rëndësishme që kanë ndikuar në klimën e biznesit, ishte aksesi në financim. Megjithëse me mbështetjen e donatorëve ekzistonin linja kredie favorizuese, fondet në dispozicion nga buxheti i shtetit kanë qenë të pamjaftueshme për mbulimin e nevojave që kishin SME, sidomos bizneset e vogla dhe ato start-up.</w:t>
      </w:r>
    </w:p>
    <w:p w:rsidR="00B0121D" w:rsidRPr="006E1DB0" w:rsidRDefault="00B0121D" w:rsidP="00B0121D">
      <w:pPr>
        <w:numPr>
          <w:ilvl w:val="0"/>
          <w:numId w:val="73"/>
        </w:numPr>
        <w:spacing w:line="276" w:lineRule="auto"/>
        <w:contextualSpacing/>
        <w:jc w:val="both"/>
        <w:rPr>
          <w:rFonts w:eastAsia="Times New Roman"/>
          <w:lang w:val="sq-AL"/>
        </w:rPr>
      </w:pPr>
      <w:r w:rsidRPr="00D73F43">
        <w:rPr>
          <w:rFonts w:eastAsia="Times New Roman"/>
          <w:lang w:val="sq-AL"/>
        </w:rPr>
        <w:t xml:space="preserve">Mosrealizmi i vazhdueshëm i fondeve të programuara nga AIDA pjesë e “Fondit të Konkurueshmerisë” dhe “Fondit të Inovacionit”, të cilat nëse do të ishin përdorur plotësisht, do të nxisnin më tej konkurueshmërinë dhe inovacionin në SME.   </w:t>
      </w:r>
    </w:p>
    <w:p w:rsidR="00B0121D" w:rsidRPr="00D73F43" w:rsidRDefault="00B0121D" w:rsidP="00534AA6">
      <w:pPr>
        <w:numPr>
          <w:ilvl w:val="0"/>
          <w:numId w:val="73"/>
        </w:numPr>
        <w:contextualSpacing/>
        <w:jc w:val="both"/>
        <w:rPr>
          <w:rFonts w:eastAsia="Times New Roman"/>
          <w:lang w:val="sq-AL"/>
        </w:rPr>
      </w:pPr>
      <w:r w:rsidRPr="00D73F43">
        <w:rPr>
          <w:rFonts w:eastAsia="Times New Roman"/>
          <w:lang w:val="sq-AL"/>
        </w:rPr>
        <w:t>Ka pasur mangësi në financim për arritjen e objektivave në kuadër të detyrimeve të MSA, për këtë sektor. Si pasojë nuk ka pasur një mbikëqyrje efektive të tregut për produktet joushqimore, duke ndikuar negativisht në mbrojtjen e konsumatorëve dhe në promovimin e konkurrencës së ndershme.</w:t>
      </w:r>
    </w:p>
    <w:p w:rsidR="00B0121D" w:rsidRPr="00D73F43" w:rsidRDefault="00B0121D" w:rsidP="00B0121D">
      <w:pPr>
        <w:ind w:left="720"/>
        <w:contextualSpacing/>
        <w:jc w:val="both"/>
        <w:rPr>
          <w:rFonts w:eastAsia="Times New Roman"/>
          <w:lang w:val="sq-AL"/>
        </w:rPr>
      </w:pPr>
    </w:p>
    <w:p w:rsidR="00B0121D" w:rsidRDefault="00B0121D" w:rsidP="00B0121D">
      <w:pPr>
        <w:jc w:val="both"/>
        <w:rPr>
          <w:rFonts w:eastAsia="Times New Roman"/>
          <w:lang w:val="sq-AL"/>
        </w:rPr>
      </w:pPr>
    </w:p>
    <w:p w:rsidR="006E1DB0" w:rsidRPr="00D73F43" w:rsidRDefault="006E1DB0" w:rsidP="00B0121D">
      <w:pPr>
        <w:jc w:val="both"/>
        <w:rPr>
          <w:rFonts w:eastAsia="Times New Roman"/>
          <w:lang w:val="sq-AL"/>
        </w:rPr>
      </w:pPr>
    </w:p>
    <w:p w:rsidR="00B0121D" w:rsidRPr="00D73F43" w:rsidRDefault="00642658" w:rsidP="00B0121D">
      <w:pPr>
        <w:rPr>
          <w:rFonts w:eastAsia="MS Mincho"/>
          <w:b/>
          <w:noProof/>
          <w:szCs w:val="20"/>
          <w:lang w:val="sq-AL"/>
        </w:rPr>
      </w:pPr>
      <w:r>
        <w:rPr>
          <w:rFonts w:eastAsia="MS Mincho"/>
          <w:b/>
          <w:noProof/>
          <w:szCs w:val="20"/>
          <w:lang w:val="sq-AL"/>
        </w:rPr>
        <w:t>4.</w:t>
      </w:r>
      <w:r w:rsidR="00B0121D" w:rsidRPr="00D73F43">
        <w:rPr>
          <w:rFonts w:eastAsia="MS Mincho"/>
          <w:b/>
          <w:noProof/>
          <w:szCs w:val="20"/>
          <w:lang w:val="sq-AL"/>
        </w:rPr>
        <w:t>8.2 Reformat e ndërmarra gjatë viteve 2013-2016</w:t>
      </w:r>
    </w:p>
    <w:p w:rsidR="00B0121D" w:rsidRPr="00D73F43" w:rsidRDefault="00B0121D" w:rsidP="00B0121D">
      <w:pPr>
        <w:rPr>
          <w:rFonts w:eastAsia="MS Mincho"/>
          <w:b/>
          <w:noProof/>
          <w:szCs w:val="20"/>
          <w:lang w:val="sq-AL"/>
        </w:rPr>
      </w:pPr>
    </w:p>
    <w:p w:rsidR="00B0121D" w:rsidRPr="00D73F43" w:rsidRDefault="00B0121D" w:rsidP="006E1DB0">
      <w:pPr>
        <w:numPr>
          <w:ilvl w:val="0"/>
          <w:numId w:val="113"/>
        </w:numPr>
        <w:jc w:val="both"/>
        <w:rPr>
          <w:rFonts w:eastAsia="MS Mincho"/>
          <w:noProof/>
          <w:szCs w:val="20"/>
          <w:lang w:val="sq-AL"/>
        </w:rPr>
      </w:pPr>
      <w:r w:rsidRPr="00D73F43">
        <w:rPr>
          <w:rFonts w:eastAsia="MS Mincho"/>
          <w:noProof/>
          <w:szCs w:val="20"/>
          <w:lang w:val="sq-AL"/>
        </w:rPr>
        <w:t>Vumë në jetë një model të ri ekonomik për zhvillimin e vendit, mbështetjen e sektorëve me potencial rritjeje, promovimin e prodhimit vendas dhe investimet e huaja direkte, me një fokus të posa</w:t>
      </w:r>
      <w:r w:rsidR="006E1DB0">
        <w:rPr>
          <w:rFonts w:eastAsia="MS Mincho"/>
          <w:noProof/>
          <w:szCs w:val="20"/>
          <w:lang w:val="sq-AL"/>
        </w:rPr>
        <w:t>çë</w:t>
      </w:r>
      <w:r w:rsidRPr="00D73F43">
        <w:rPr>
          <w:rFonts w:eastAsia="MS Mincho"/>
          <w:noProof/>
          <w:szCs w:val="20"/>
          <w:lang w:val="sq-AL"/>
        </w:rPr>
        <w:t>m tek rritja e punësimit.</w:t>
      </w:r>
    </w:p>
    <w:p w:rsidR="00B0121D" w:rsidRPr="00D73F43" w:rsidRDefault="00B0121D" w:rsidP="00B0121D">
      <w:pPr>
        <w:spacing w:line="276" w:lineRule="auto"/>
        <w:jc w:val="both"/>
        <w:rPr>
          <w:rFonts w:eastAsia="Times New Roman"/>
          <w:lang w:val="sq-AL"/>
        </w:rPr>
      </w:pPr>
    </w:p>
    <w:p w:rsidR="00B0121D" w:rsidRPr="00D73F43" w:rsidRDefault="00B0121D" w:rsidP="00534AA6">
      <w:pPr>
        <w:numPr>
          <w:ilvl w:val="0"/>
          <w:numId w:val="73"/>
        </w:numPr>
        <w:spacing w:line="276" w:lineRule="auto"/>
        <w:jc w:val="both"/>
        <w:rPr>
          <w:rFonts w:eastAsia="Times New Roman"/>
          <w:lang w:val="sq-AL"/>
        </w:rPr>
      </w:pPr>
      <w:r w:rsidRPr="00D73F43">
        <w:rPr>
          <w:rFonts w:eastAsia="Times New Roman"/>
          <w:lang w:val="sq-AL"/>
        </w:rPr>
        <w:t>Mbështetja sektoriale - U zbatua me sukses paketa mbështetëse për sektorin e Industrisë Fasone, e cila ka rezultuar me:</w:t>
      </w:r>
    </w:p>
    <w:p w:rsidR="00B0121D" w:rsidRPr="00D73F43" w:rsidRDefault="00B0121D" w:rsidP="00534AA6">
      <w:pPr>
        <w:numPr>
          <w:ilvl w:val="1"/>
          <w:numId w:val="114"/>
        </w:numPr>
        <w:spacing w:line="276" w:lineRule="auto"/>
        <w:jc w:val="both"/>
        <w:rPr>
          <w:rFonts w:eastAsia="Times New Roman"/>
          <w:lang w:val="sq-AL"/>
        </w:rPr>
      </w:pPr>
      <w:r w:rsidRPr="00D73F43">
        <w:rPr>
          <w:rFonts w:eastAsia="Times New Roman"/>
          <w:lang w:val="sq-AL"/>
        </w:rPr>
        <w:t xml:space="preserve">Rritje e eksportit me 26.08%  krahasuar me vitin 2013; </w:t>
      </w:r>
    </w:p>
    <w:p w:rsidR="00B0121D" w:rsidRPr="00D73F43" w:rsidRDefault="00B0121D" w:rsidP="00534AA6">
      <w:pPr>
        <w:numPr>
          <w:ilvl w:val="1"/>
          <w:numId w:val="114"/>
        </w:numPr>
        <w:spacing w:line="276" w:lineRule="auto"/>
        <w:jc w:val="both"/>
        <w:rPr>
          <w:rFonts w:eastAsia="Times New Roman"/>
          <w:lang w:val="sq-AL"/>
        </w:rPr>
      </w:pPr>
      <w:r w:rsidRPr="00D73F43">
        <w:rPr>
          <w:rFonts w:eastAsia="Times New Roman"/>
          <w:lang w:val="sq-AL"/>
        </w:rPr>
        <w:t xml:space="preserve">Rritje e punësimit të industrisë fason me mbi 5000 vende të reja pune; </w:t>
      </w:r>
    </w:p>
    <w:p w:rsidR="00B0121D" w:rsidRPr="00D73F43" w:rsidRDefault="00B0121D" w:rsidP="00534AA6">
      <w:pPr>
        <w:numPr>
          <w:ilvl w:val="1"/>
          <w:numId w:val="114"/>
        </w:numPr>
        <w:spacing w:line="276" w:lineRule="auto"/>
        <w:jc w:val="both"/>
        <w:rPr>
          <w:rFonts w:eastAsia="Times New Roman"/>
          <w:lang w:val="sq-AL"/>
        </w:rPr>
      </w:pPr>
      <w:r w:rsidRPr="00D73F43">
        <w:rPr>
          <w:rFonts w:eastAsia="Times New Roman"/>
          <w:lang w:val="sq-AL"/>
        </w:rPr>
        <w:t xml:space="preserve">60% e punëkërkuesve janë punësuar në industrinë fason; </w:t>
      </w:r>
    </w:p>
    <w:p w:rsidR="00B0121D" w:rsidRPr="00D73F43" w:rsidRDefault="00B0121D" w:rsidP="00534AA6">
      <w:pPr>
        <w:numPr>
          <w:ilvl w:val="1"/>
          <w:numId w:val="114"/>
        </w:numPr>
        <w:spacing w:line="276" w:lineRule="auto"/>
        <w:jc w:val="both"/>
        <w:rPr>
          <w:rFonts w:eastAsia="Times New Roman"/>
          <w:lang w:val="sq-AL"/>
        </w:rPr>
      </w:pPr>
      <w:r w:rsidRPr="00D73F43">
        <w:rPr>
          <w:rFonts w:eastAsia="Times New Roman"/>
          <w:lang w:val="sq-AL"/>
        </w:rPr>
        <w:t xml:space="preserve">Rritje e numrit të subjekteve të industrisë fason me 3.8% krahasuar me 2013; </w:t>
      </w:r>
    </w:p>
    <w:p w:rsidR="00B0121D" w:rsidRPr="00D73F43" w:rsidRDefault="00B0121D" w:rsidP="00534AA6">
      <w:pPr>
        <w:numPr>
          <w:ilvl w:val="1"/>
          <w:numId w:val="114"/>
        </w:numPr>
        <w:spacing w:line="276" w:lineRule="auto"/>
        <w:jc w:val="both"/>
        <w:rPr>
          <w:rFonts w:eastAsia="Times New Roman"/>
          <w:lang w:val="sq-AL"/>
        </w:rPr>
      </w:pPr>
      <w:r w:rsidRPr="00D73F43">
        <w:rPr>
          <w:rFonts w:eastAsia="Times New Roman"/>
          <w:lang w:val="sq-AL"/>
        </w:rPr>
        <w:t>Hapjen e sportelit “One stop-shop” pranë AIDA-s për industrinë e fasoneve, duke krijuar një database prej 275 kompani ne fushën e fasonit.</w:t>
      </w:r>
    </w:p>
    <w:p w:rsidR="00B0121D" w:rsidRPr="00D73F43" w:rsidRDefault="00B0121D" w:rsidP="00B0121D">
      <w:pPr>
        <w:spacing w:line="276" w:lineRule="auto"/>
        <w:ind w:firstLine="360"/>
        <w:jc w:val="both"/>
        <w:rPr>
          <w:rFonts w:eastAsia="Times New Roman"/>
          <w:lang w:val="sq-AL"/>
        </w:rPr>
      </w:pPr>
    </w:p>
    <w:p w:rsidR="00B0121D" w:rsidRPr="00D73F43" w:rsidRDefault="00B0121D" w:rsidP="00534AA6">
      <w:pPr>
        <w:numPr>
          <w:ilvl w:val="0"/>
          <w:numId w:val="73"/>
        </w:numPr>
        <w:spacing w:line="276" w:lineRule="auto"/>
        <w:jc w:val="both"/>
        <w:rPr>
          <w:rFonts w:eastAsia="Times New Roman"/>
          <w:lang w:val="sq-AL"/>
        </w:rPr>
      </w:pPr>
      <w:r w:rsidRPr="00D73F43">
        <w:rPr>
          <w:rFonts w:eastAsia="Times New Roman"/>
          <w:lang w:val="sq-AL"/>
        </w:rPr>
        <w:t>Në lehtësimin e biznesit:</w:t>
      </w:r>
    </w:p>
    <w:p w:rsidR="00B0121D" w:rsidRPr="00D73F43" w:rsidRDefault="00B0121D" w:rsidP="00534AA6">
      <w:pPr>
        <w:numPr>
          <w:ilvl w:val="1"/>
          <w:numId w:val="115"/>
        </w:numPr>
        <w:spacing w:line="276" w:lineRule="auto"/>
        <w:jc w:val="both"/>
        <w:rPr>
          <w:rFonts w:eastAsia="Times New Roman"/>
          <w:lang w:val="sq-AL"/>
        </w:rPr>
      </w:pPr>
      <w:r w:rsidRPr="00D73F43">
        <w:rPr>
          <w:rFonts w:eastAsia="Times New Roman"/>
          <w:lang w:val="sq-AL"/>
        </w:rPr>
        <w:t xml:space="preserve">Janë krijuar lehtësi për hapjen dhe fillimin e një biznesi për 12,900 bizneseve të reja dhe dhënies së 3,700 licensave. </w:t>
      </w:r>
    </w:p>
    <w:p w:rsidR="00B0121D" w:rsidRPr="00D73F43" w:rsidRDefault="00B0121D" w:rsidP="00534AA6">
      <w:pPr>
        <w:numPr>
          <w:ilvl w:val="1"/>
          <w:numId w:val="115"/>
        </w:numPr>
        <w:spacing w:line="276" w:lineRule="auto"/>
        <w:jc w:val="both"/>
        <w:rPr>
          <w:rFonts w:eastAsia="Times New Roman"/>
          <w:lang w:val="sq-AL"/>
        </w:rPr>
      </w:pPr>
      <w:r w:rsidRPr="00D73F43">
        <w:rPr>
          <w:rFonts w:eastAsia="Times New Roman"/>
          <w:lang w:val="sq-AL"/>
        </w:rPr>
        <w:t xml:space="preserve">Janë ofruar 10 shërbime të reja on-line, për regjistrimin e biznesit, nëpërmjet ndërtimit të Sistemit të aplikimeve online për shërbimet e QKR-së. </w:t>
      </w:r>
    </w:p>
    <w:p w:rsidR="00B0121D" w:rsidRPr="00D73F43" w:rsidRDefault="00B0121D" w:rsidP="00534AA6">
      <w:pPr>
        <w:numPr>
          <w:ilvl w:val="1"/>
          <w:numId w:val="115"/>
        </w:numPr>
        <w:spacing w:line="276" w:lineRule="auto"/>
        <w:jc w:val="both"/>
        <w:rPr>
          <w:rFonts w:eastAsia="Times New Roman"/>
          <w:lang w:val="sq-AL"/>
        </w:rPr>
      </w:pPr>
      <w:r w:rsidRPr="00D73F43">
        <w:rPr>
          <w:rFonts w:eastAsia="Times New Roman"/>
          <w:lang w:val="sq-AL"/>
        </w:rPr>
        <w:t>U ndërtuan Sistemet e Vazhdueshmërisë së Punës dhe Pajisjeve Kompjuterike “Business Continuity dhe Backup”, të cilat sigurojnë që të dhënat e regjistrit tregtar janë gjithmonë të disponueshme.</w:t>
      </w:r>
    </w:p>
    <w:p w:rsidR="00B0121D" w:rsidRPr="00D73F43" w:rsidRDefault="00B0121D" w:rsidP="00B0121D">
      <w:pPr>
        <w:spacing w:line="276" w:lineRule="auto"/>
        <w:ind w:firstLine="360"/>
        <w:jc w:val="both"/>
        <w:rPr>
          <w:rFonts w:eastAsia="Times New Roman"/>
          <w:lang w:val="sq-AL"/>
        </w:rPr>
      </w:pPr>
    </w:p>
    <w:p w:rsidR="00B0121D" w:rsidRPr="00D73F43" w:rsidRDefault="00B0121D" w:rsidP="00534AA6">
      <w:pPr>
        <w:numPr>
          <w:ilvl w:val="0"/>
          <w:numId w:val="73"/>
        </w:numPr>
        <w:spacing w:line="276" w:lineRule="auto"/>
        <w:jc w:val="both"/>
        <w:rPr>
          <w:rFonts w:eastAsia="Times New Roman"/>
          <w:lang w:val="sq-AL"/>
        </w:rPr>
      </w:pPr>
      <w:r w:rsidRPr="00D73F43">
        <w:rPr>
          <w:rFonts w:eastAsia="Times New Roman"/>
          <w:lang w:val="sq-AL"/>
        </w:rPr>
        <w:t>Është siguruar një mbështetje më e lartë financiare për bizneset, ku:</w:t>
      </w:r>
    </w:p>
    <w:p w:rsidR="00B0121D" w:rsidRPr="00D73F43" w:rsidRDefault="00B0121D" w:rsidP="00534AA6">
      <w:pPr>
        <w:numPr>
          <w:ilvl w:val="1"/>
          <w:numId w:val="115"/>
        </w:numPr>
        <w:spacing w:line="276" w:lineRule="auto"/>
        <w:jc w:val="both"/>
        <w:rPr>
          <w:rFonts w:eastAsia="Times New Roman"/>
          <w:lang w:val="sq-AL"/>
        </w:rPr>
      </w:pPr>
      <w:r w:rsidRPr="00D73F43">
        <w:rPr>
          <w:rFonts w:eastAsia="Times New Roman"/>
          <w:lang w:val="sq-AL"/>
        </w:rPr>
        <w:t>49 SME janë mbështetur nga “Fondi i Konkurueshmërisë” ;</w:t>
      </w:r>
    </w:p>
    <w:p w:rsidR="00B0121D" w:rsidRPr="00D73F43" w:rsidRDefault="00B0121D" w:rsidP="00534AA6">
      <w:pPr>
        <w:numPr>
          <w:ilvl w:val="1"/>
          <w:numId w:val="115"/>
        </w:numPr>
        <w:spacing w:line="276" w:lineRule="auto"/>
        <w:jc w:val="both"/>
        <w:rPr>
          <w:rFonts w:eastAsia="Times New Roman"/>
          <w:lang w:val="sq-AL"/>
        </w:rPr>
      </w:pPr>
      <w:r w:rsidRPr="00D73F43">
        <w:rPr>
          <w:rFonts w:eastAsia="Times New Roman"/>
          <w:lang w:val="sq-AL"/>
        </w:rPr>
        <w:t>10 SME janë mbështetur nga “Fondi i Inovacionit”;</w:t>
      </w:r>
    </w:p>
    <w:p w:rsidR="00B0121D" w:rsidRPr="00D73F43" w:rsidRDefault="00B0121D" w:rsidP="00534AA6">
      <w:pPr>
        <w:numPr>
          <w:ilvl w:val="1"/>
          <w:numId w:val="115"/>
        </w:numPr>
        <w:spacing w:line="276" w:lineRule="auto"/>
        <w:jc w:val="both"/>
        <w:rPr>
          <w:rFonts w:eastAsia="Times New Roman"/>
          <w:lang w:val="sq-AL"/>
        </w:rPr>
      </w:pPr>
      <w:r w:rsidRPr="00D73F43">
        <w:rPr>
          <w:rFonts w:eastAsia="Times New Roman"/>
          <w:lang w:val="sq-AL"/>
        </w:rPr>
        <w:t xml:space="preserve">15 SME janë mbështetur nga “Fondi i Ekonomisë Kreative”; </w:t>
      </w:r>
    </w:p>
    <w:p w:rsidR="00B0121D" w:rsidRPr="00D73F43" w:rsidRDefault="00B0121D" w:rsidP="00534AA6">
      <w:pPr>
        <w:numPr>
          <w:ilvl w:val="1"/>
          <w:numId w:val="115"/>
        </w:numPr>
        <w:spacing w:line="276" w:lineRule="auto"/>
        <w:jc w:val="both"/>
        <w:rPr>
          <w:rFonts w:eastAsia="Times New Roman"/>
          <w:lang w:val="sq-AL"/>
        </w:rPr>
      </w:pPr>
      <w:r w:rsidRPr="00D73F43">
        <w:rPr>
          <w:rFonts w:eastAsia="Times New Roman"/>
          <w:lang w:val="sq-AL"/>
        </w:rPr>
        <w:t>21 biznese start-up janë mbështetur financiarisht.</w:t>
      </w:r>
    </w:p>
    <w:p w:rsidR="00B0121D" w:rsidRPr="00D73F43" w:rsidRDefault="00B0121D" w:rsidP="00B0121D">
      <w:pPr>
        <w:spacing w:line="276" w:lineRule="auto"/>
        <w:ind w:left="1440"/>
        <w:jc w:val="both"/>
        <w:rPr>
          <w:rFonts w:eastAsia="Times New Roman"/>
          <w:lang w:val="sq-AL"/>
        </w:rPr>
      </w:pPr>
    </w:p>
    <w:p w:rsidR="00B0121D" w:rsidRPr="00D73F43" w:rsidRDefault="00B0121D" w:rsidP="00534AA6">
      <w:pPr>
        <w:numPr>
          <w:ilvl w:val="0"/>
          <w:numId w:val="73"/>
        </w:numPr>
        <w:spacing w:line="276" w:lineRule="auto"/>
        <w:jc w:val="both"/>
        <w:rPr>
          <w:rFonts w:eastAsia="Times New Roman"/>
          <w:lang w:val="sq-AL"/>
        </w:rPr>
      </w:pPr>
      <w:r w:rsidRPr="00D73F43">
        <w:rPr>
          <w:rFonts w:eastAsia="Times New Roman"/>
          <w:lang w:val="sq-AL"/>
        </w:rPr>
        <w:t xml:space="preserve">Është arritur Adoptimi 100% i totalit të standardeve  EN (CEN/CNL),  60% i totalit të ETSI, 16% i totalit të standardeve të publikuara nga IEC dhe 19% i totalit të standardeve të publikuara nga ISO </w:t>
      </w:r>
    </w:p>
    <w:p w:rsidR="00B0121D" w:rsidRPr="00D73F43" w:rsidRDefault="00B0121D" w:rsidP="00B0121D">
      <w:pPr>
        <w:spacing w:line="276" w:lineRule="auto"/>
        <w:ind w:left="720"/>
        <w:jc w:val="both"/>
        <w:rPr>
          <w:rFonts w:eastAsia="Times New Roman"/>
          <w:lang w:val="sq-AL"/>
        </w:rPr>
      </w:pPr>
      <w:r w:rsidRPr="00D73F43">
        <w:rPr>
          <w:rFonts w:eastAsia="Times New Roman"/>
          <w:lang w:val="sq-AL"/>
        </w:rPr>
        <w:t xml:space="preserve"> </w:t>
      </w:r>
    </w:p>
    <w:p w:rsidR="00B0121D" w:rsidRPr="00D73F43" w:rsidRDefault="00B0121D" w:rsidP="00534AA6">
      <w:pPr>
        <w:numPr>
          <w:ilvl w:val="0"/>
          <w:numId w:val="73"/>
        </w:numPr>
        <w:spacing w:line="276" w:lineRule="auto"/>
        <w:jc w:val="both"/>
        <w:rPr>
          <w:rFonts w:eastAsia="Times New Roman"/>
          <w:lang w:val="sq-AL"/>
        </w:rPr>
      </w:pPr>
      <w:r w:rsidRPr="00D73F43">
        <w:rPr>
          <w:rFonts w:eastAsia="Times New Roman"/>
          <w:lang w:val="sq-AL"/>
        </w:rPr>
        <w:t>Është rritur numri aplikimeve për marka me 35.4% më shumë se në vitin 2013, me rreth 87.5% më shumë aplikime për Dizenjo Industriale, si dhe 21.6% më shumë aplikime për patenta. Për rrjedhojë, janë regjistruar 496 marka, 386 patenta dhe 7 dizenjo industrial.</w:t>
      </w:r>
    </w:p>
    <w:p w:rsidR="00B0121D" w:rsidRPr="00D73F43" w:rsidRDefault="00B0121D" w:rsidP="00B0121D">
      <w:pPr>
        <w:spacing w:line="276" w:lineRule="auto"/>
        <w:jc w:val="both"/>
        <w:rPr>
          <w:rFonts w:eastAsia="Times New Roman"/>
          <w:lang w:val="sq-AL"/>
        </w:rPr>
      </w:pPr>
    </w:p>
    <w:p w:rsidR="00B0121D" w:rsidRPr="00D73F43" w:rsidRDefault="00B0121D" w:rsidP="00534AA6">
      <w:pPr>
        <w:numPr>
          <w:ilvl w:val="0"/>
          <w:numId w:val="57"/>
        </w:numPr>
        <w:spacing w:line="276" w:lineRule="auto"/>
        <w:jc w:val="both"/>
        <w:rPr>
          <w:rFonts w:eastAsia="Times New Roman"/>
          <w:lang w:val="sq-AL"/>
        </w:rPr>
      </w:pPr>
      <w:r w:rsidRPr="00D73F43">
        <w:rPr>
          <w:rFonts w:eastAsia="Times New Roman"/>
          <w:lang w:val="sq-AL"/>
        </w:rPr>
        <w:t>Janë implementuar me sukses rreth 11 projekte për zhvillimin e Turizmit, ku ndër kryesorët janë:</w:t>
      </w:r>
    </w:p>
    <w:p w:rsidR="00B0121D" w:rsidRPr="00D73F43" w:rsidRDefault="00B0121D" w:rsidP="00534AA6">
      <w:pPr>
        <w:numPr>
          <w:ilvl w:val="1"/>
          <w:numId w:val="116"/>
        </w:numPr>
        <w:spacing w:line="276" w:lineRule="auto"/>
        <w:jc w:val="both"/>
        <w:rPr>
          <w:rFonts w:eastAsia="Times New Roman"/>
          <w:lang w:val="sq-AL"/>
        </w:rPr>
      </w:pPr>
      <w:r w:rsidRPr="00D73F43">
        <w:rPr>
          <w:rFonts w:eastAsia="Times New Roman"/>
          <w:lang w:val="sq-AL"/>
        </w:rPr>
        <w:t>Fondi për mbështetjen e Turizmit;</w:t>
      </w:r>
    </w:p>
    <w:p w:rsidR="00B0121D" w:rsidRPr="00D73F43" w:rsidRDefault="00B0121D" w:rsidP="00534AA6">
      <w:pPr>
        <w:numPr>
          <w:ilvl w:val="1"/>
          <w:numId w:val="116"/>
        </w:numPr>
        <w:spacing w:line="276" w:lineRule="auto"/>
        <w:jc w:val="both"/>
        <w:rPr>
          <w:rFonts w:eastAsia="Times New Roman"/>
          <w:lang w:val="sq-AL"/>
        </w:rPr>
      </w:pPr>
      <w:r w:rsidRPr="00D73F43">
        <w:rPr>
          <w:rFonts w:eastAsia="Times New Roman"/>
          <w:lang w:val="sq-AL"/>
        </w:rPr>
        <w:t>Projekti për zbatimin e Brand-it Shqiptar "Go Your O</w:t>
      </w:r>
      <w:r w:rsidR="006E1DB0">
        <w:rPr>
          <w:rFonts w:eastAsia="Times New Roman"/>
          <w:lang w:val="sq-AL"/>
        </w:rPr>
        <w:t>w</w:t>
      </w:r>
      <w:r w:rsidRPr="00D73F43">
        <w:rPr>
          <w:rFonts w:eastAsia="Times New Roman"/>
          <w:lang w:val="sq-AL"/>
        </w:rPr>
        <w:t xml:space="preserve">n </w:t>
      </w:r>
      <w:r w:rsidR="006E1DB0">
        <w:rPr>
          <w:rFonts w:eastAsia="Times New Roman"/>
          <w:lang w:val="sq-AL"/>
        </w:rPr>
        <w:t>W</w:t>
      </w:r>
      <w:r w:rsidRPr="00D73F43">
        <w:rPr>
          <w:rFonts w:eastAsia="Times New Roman"/>
          <w:lang w:val="sq-AL"/>
        </w:rPr>
        <w:t>ay";</w:t>
      </w:r>
    </w:p>
    <w:p w:rsidR="00B0121D" w:rsidRPr="00D73F43" w:rsidRDefault="00B0121D" w:rsidP="00534AA6">
      <w:pPr>
        <w:numPr>
          <w:ilvl w:val="1"/>
          <w:numId w:val="116"/>
        </w:numPr>
        <w:spacing w:line="276" w:lineRule="auto"/>
        <w:jc w:val="both"/>
        <w:rPr>
          <w:rFonts w:eastAsia="Times New Roman"/>
          <w:lang w:val="sq-AL"/>
        </w:rPr>
      </w:pPr>
      <w:r w:rsidRPr="00D73F43">
        <w:rPr>
          <w:rFonts w:eastAsia="Times New Roman"/>
          <w:lang w:val="sq-AL"/>
        </w:rPr>
        <w:t>Promovimi i Strategjive për Nxitjen e Turizmit;</w:t>
      </w:r>
    </w:p>
    <w:p w:rsidR="00B0121D" w:rsidRPr="00D73F43" w:rsidRDefault="00B0121D" w:rsidP="00534AA6">
      <w:pPr>
        <w:numPr>
          <w:ilvl w:val="1"/>
          <w:numId w:val="116"/>
        </w:numPr>
        <w:spacing w:line="276" w:lineRule="auto"/>
        <w:jc w:val="both"/>
        <w:rPr>
          <w:rFonts w:eastAsia="Times New Roman"/>
          <w:lang w:val="sq-AL"/>
        </w:rPr>
      </w:pPr>
      <w:r w:rsidRPr="00D73F43">
        <w:rPr>
          <w:rFonts w:eastAsia="Times New Roman"/>
          <w:lang w:val="sq-AL"/>
        </w:rPr>
        <w:t>Ngritja e Pikave "InfoPoint";</w:t>
      </w:r>
    </w:p>
    <w:p w:rsidR="00B0121D" w:rsidRPr="00D73F43" w:rsidRDefault="00B0121D" w:rsidP="00534AA6">
      <w:pPr>
        <w:numPr>
          <w:ilvl w:val="1"/>
          <w:numId w:val="116"/>
        </w:numPr>
        <w:spacing w:line="276" w:lineRule="auto"/>
        <w:jc w:val="both"/>
        <w:rPr>
          <w:rFonts w:eastAsia="Times New Roman"/>
          <w:lang w:val="sq-AL"/>
        </w:rPr>
      </w:pPr>
      <w:r w:rsidRPr="00D73F43">
        <w:rPr>
          <w:rFonts w:eastAsia="Times New Roman"/>
          <w:lang w:val="sq-AL"/>
        </w:rPr>
        <w:t>Krijimi i Infrastrukturës turistike midis zonave bregdetare dhe malore.</w:t>
      </w:r>
    </w:p>
    <w:p w:rsidR="00B0121D" w:rsidRPr="00D73F43" w:rsidRDefault="00B0121D" w:rsidP="00534AA6">
      <w:pPr>
        <w:numPr>
          <w:ilvl w:val="0"/>
          <w:numId w:val="116"/>
        </w:numPr>
        <w:spacing w:line="276" w:lineRule="auto"/>
        <w:jc w:val="both"/>
        <w:rPr>
          <w:rFonts w:eastAsia="Times New Roman"/>
          <w:lang w:val="sq-AL"/>
        </w:rPr>
      </w:pPr>
      <w:r w:rsidRPr="00D73F43">
        <w:rPr>
          <w:rFonts w:eastAsia="Times New Roman"/>
          <w:lang w:val="sq-AL"/>
        </w:rPr>
        <w:t>U hartua dhe miratua ligji i ri për Koncesionet /PPP  duke rregulluar kornizën ligjore të munguar, dhe duke i dhënë MZHETTS rolin e njësisë iniciuese dhe monitoruese të projekteve të koncesioneve. Ka nisur puna për hartimin e regjistrit elektronik të PPP.</w:t>
      </w:r>
    </w:p>
    <w:p w:rsidR="00B0121D" w:rsidRPr="00D73F43" w:rsidRDefault="00B0121D" w:rsidP="00534AA6">
      <w:pPr>
        <w:numPr>
          <w:ilvl w:val="0"/>
          <w:numId w:val="116"/>
        </w:numPr>
        <w:spacing w:line="276" w:lineRule="auto"/>
        <w:jc w:val="both"/>
        <w:rPr>
          <w:rFonts w:eastAsia="Times New Roman"/>
          <w:lang w:val="sq-AL"/>
        </w:rPr>
      </w:pPr>
      <w:r w:rsidRPr="00D73F43">
        <w:rPr>
          <w:rFonts w:eastAsia="Times New Roman"/>
          <w:lang w:val="sq-AL"/>
        </w:rPr>
        <w:t xml:space="preserve">U hartua dhe miratua ligji i ri për Zonat Ekonomike, u skanuan zonat ekzistuese fiktive dhe problematikat që i shoqëronin ato dhe u përgatit ftesa për ofertë për zonën e parë në Spitallë. </w:t>
      </w:r>
    </w:p>
    <w:p w:rsidR="00B0121D" w:rsidRPr="00D73F43" w:rsidRDefault="00B0121D" w:rsidP="00534AA6">
      <w:pPr>
        <w:numPr>
          <w:ilvl w:val="0"/>
          <w:numId w:val="116"/>
        </w:numPr>
        <w:spacing w:line="276" w:lineRule="auto"/>
        <w:jc w:val="both"/>
        <w:rPr>
          <w:rFonts w:eastAsia="Times New Roman"/>
          <w:lang w:val="sq-AL"/>
        </w:rPr>
      </w:pPr>
      <w:r w:rsidRPr="00D73F43">
        <w:rPr>
          <w:rFonts w:eastAsia="Times New Roman"/>
          <w:lang w:val="sq-AL"/>
        </w:rPr>
        <w:t xml:space="preserve">U hartua dhe miratua ligji për Investimet strategjike, një hap i rëndësishëm për kompletimin e kuadrit ligjor në favor të klimës së biznesit dhe tërheqjes së investimeve të huaja, duke </w:t>
      </w:r>
      <w:r w:rsidRPr="00D73F43">
        <w:rPr>
          <w:rFonts w:eastAsia="Times New Roman"/>
          <w:lang w:val="sq-AL"/>
        </w:rPr>
        <w:lastRenderedPageBreak/>
        <w:t>parashikuar procedura të qarta, të shpejta dhe të thjeshtuara për projektet e investimeve strategjike, duke përforcuar rolin e AIDAs dhe duke ofruar incentiva të rëndësishme për investitorët.</w:t>
      </w:r>
    </w:p>
    <w:p w:rsidR="00B0121D" w:rsidRPr="00D73F43" w:rsidRDefault="00B0121D" w:rsidP="00534AA6">
      <w:pPr>
        <w:numPr>
          <w:ilvl w:val="0"/>
          <w:numId w:val="116"/>
        </w:numPr>
        <w:spacing w:line="276" w:lineRule="auto"/>
        <w:jc w:val="both"/>
        <w:rPr>
          <w:rFonts w:eastAsia="Times New Roman"/>
          <w:lang w:val="sq-AL"/>
        </w:rPr>
      </w:pPr>
      <w:r w:rsidRPr="00D73F43">
        <w:rPr>
          <w:rFonts w:eastAsia="Times New Roman"/>
          <w:lang w:val="sq-AL"/>
        </w:rPr>
        <w:t>U hartua dhe miratua në Parlament Ligji i Turizmit, që prezantoi për herë të parë koncepte të rëndëishme rregullese për industrinë, nga klasifikimi, certifikimi i yjeve, licensimi I guidave turistike, zhvillimi i produktit turistik etj., dhe filloi puna për hartimin e paketës së turizmit, me qëllim rritjen e produktivitetit të industrisë.</w:t>
      </w:r>
    </w:p>
    <w:p w:rsidR="00B0121D" w:rsidRPr="00D73F43" w:rsidRDefault="00B0121D" w:rsidP="00534AA6">
      <w:pPr>
        <w:numPr>
          <w:ilvl w:val="0"/>
          <w:numId w:val="116"/>
        </w:numPr>
        <w:spacing w:line="276" w:lineRule="auto"/>
        <w:jc w:val="both"/>
        <w:rPr>
          <w:rFonts w:eastAsia="Times New Roman"/>
          <w:lang w:val="sq-AL"/>
        </w:rPr>
      </w:pPr>
      <w:r w:rsidRPr="00D73F43">
        <w:rPr>
          <w:rFonts w:eastAsia="Times New Roman"/>
          <w:lang w:val="sq-AL"/>
        </w:rPr>
        <w:t>U promovuan pronat shterëore dhe kontratat 1 euro për investitorët.</w:t>
      </w:r>
    </w:p>
    <w:p w:rsidR="00B0121D" w:rsidRPr="00D73F43" w:rsidRDefault="00B0121D" w:rsidP="00534AA6">
      <w:pPr>
        <w:numPr>
          <w:ilvl w:val="0"/>
          <w:numId w:val="116"/>
        </w:numPr>
        <w:spacing w:line="276" w:lineRule="auto"/>
        <w:jc w:val="both"/>
        <w:rPr>
          <w:rFonts w:eastAsia="Times New Roman"/>
          <w:lang w:val="sq-AL"/>
        </w:rPr>
      </w:pPr>
      <w:r w:rsidRPr="00D73F43">
        <w:rPr>
          <w:rFonts w:eastAsia="Times New Roman"/>
          <w:lang w:val="sq-AL"/>
        </w:rPr>
        <w:t>U ngrit përgatit baza ligjore për ngritjen e Inspektoriatit të Mbikqyrjes së Tregut.</w:t>
      </w:r>
    </w:p>
    <w:p w:rsidR="00B0121D" w:rsidRPr="00D73F43" w:rsidRDefault="00B0121D" w:rsidP="00B0121D">
      <w:pPr>
        <w:spacing w:line="276" w:lineRule="auto"/>
        <w:contextualSpacing/>
        <w:jc w:val="both"/>
        <w:rPr>
          <w:rFonts w:eastAsia="Times New Roman"/>
          <w:lang w:val="sq-AL"/>
        </w:rPr>
      </w:pPr>
      <w:r w:rsidRPr="00D73F43">
        <w:rPr>
          <w:rFonts w:eastAsia="Times New Roman"/>
          <w:lang w:val="sq-AL"/>
        </w:rPr>
        <w:t xml:space="preserve">  </w:t>
      </w:r>
    </w:p>
    <w:p w:rsidR="00B0121D" w:rsidRPr="00D73F43" w:rsidRDefault="00B0121D" w:rsidP="00B0121D">
      <w:pPr>
        <w:spacing w:line="276" w:lineRule="auto"/>
        <w:jc w:val="both"/>
        <w:rPr>
          <w:rFonts w:eastAsia="Times New Roman"/>
          <w:lang w:val="sq-AL"/>
        </w:rPr>
      </w:pPr>
    </w:p>
    <w:p w:rsidR="00B0121D" w:rsidRPr="00D73F43" w:rsidRDefault="00642658" w:rsidP="00B0121D">
      <w:pPr>
        <w:spacing w:line="276" w:lineRule="auto"/>
        <w:rPr>
          <w:rFonts w:eastAsia="MS Mincho"/>
          <w:b/>
          <w:noProof/>
          <w:szCs w:val="20"/>
          <w:lang w:val="sq-AL"/>
        </w:rPr>
      </w:pPr>
      <w:r>
        <w:rPr>
          <w:rFonts w:eastAsia="MS Mincho"/>
          <w:b/>
          <w:noProof/>
          <w:szCs w:val="20"/>
          <w:lang w:val="sq-AL"/>
        </w:rPr>
        <w:t>4.</w:t>
      </w:r>
      <w:r w:rsidR="00B0121D" w:rsidRPr="00D73F43">
        <w:rPr>
          <w:rFonts w:eastAsia="MS Mincho"/>
          <w:b/>
          <w:noProof/>
          <w:szCs w:val="20"/>
          <w:lang w:val="sq-AL"/>
        </w:rPr>
        <w:t>8.3 Prioritetet e projekt-buxhetit 2017</w:t>
      </w:r>
    </w:p>
    <w:p w:rsidR="00B0121D" w:rsidRPr="00D73F43" w:rsidRDefault="00B0121D" w:rsidP="00B0121D">
      <w:pPr>
        <w:tabs>
          <w:tab w:val="left" w:pos="8306"/>
        </w:tabs>
        <w:spacing w:line="276" w:lineRule="auto"/>
        <w:jc w:val="both"/>
        <w:rPr>
          <w:rFonts w:eastAsia="Times New Roman"/>
          <w:b/>
          <w:noProof/>
          <w:lang w:val="sq-AL"/>
        </w:rPr>
      </w:pPr>
    </w:p>
    <w:p w:rsidR="00B0121D" w:rsidRPr="00D73F43" w:rsidRDefault="00B0121D" w:rsidP="00534AA6">
      <w:pPr>
        <w:numPr>
          <w:ilvl w:val="0"/>
          <w:numId w:val="57"/>
        </w:numPr>
        <w:spacing w:line="276" w:lineRule="auto"/>
        <w:contextualSpacing/>
        <w:jc w:val="both"/>
        <w:rPr>
          <w:rFonts w:eastAsia="Times New Roman"/>
          <w:lang w:val="sq-AL"/>
        </w:rPr>
      </w:pPr>
      <w:r w:rsidRPr="00D73F43">
        <w:rPr>
          <w:rFonts w:eastAsia="Times New Roman"/>
          <w:lang w:val="sq-AL"/>
        </w:rPr>
        <w:t>Për klimën e biznesit:</w:t>
      </w:r>
    </w:p>
    <w:p w:rsidR="00B0121D" w:rsidRPr="00D73F43" w:rsidRDefault="00B0121D" w:rsidP="00534AA6">
      <w:pPr>
        <w:numPr>
          <w:ilvl w:val="1"/>
          <w:numId w:val="117"/>
        </w:numPr>
        <w:spacing w:line="276" w:lineRule="auto"/>
        <w:contextualSpacing/>
        <w:jc w:val="both"/>
        <w:rPr>
          <w:rFonts w:eastAsia="Times New Roman"/>
          <w:lang w:val="sq-AL"/>
        </w:rPr>
      </w:pPr>
      <w:r w:rsidRPr="00D73F43">
        <w:rPr>
          <w:rFonts w:eastAsia="Times New Roman"/>
          <w:lang w:val="sq-AL"/>
        </w:rPr>
        <w:t>QKB do të ulë me rreth 30% korrespondencën zyrtare që ka aktualisht me Drejtoritë e Tatimeve, Njësive të Qeverisjes Vendore dhe Autoritetit Kombëtar të Ushqimit (AKU).</w:t>
      </w:r>
    </w:p>
    <w:p w:rsidR="00B0121D" w:rsidRPr="00D73F43" w:rsidRDefault="00B0121D" w:rsidP="00534AA6">
      <w:pPr>
        <w:numPr>
          <w:ilvl w:val="1"/>
          <w:numId w:val="117"/>
        </w:numPr>
        <w:spacing w:line="276" w:lineRule="auto"/>
        <w:contextualSpacing/>
        <w:jc w:val="both"/>
        <w:rPr>
          <w:rFonts w:eastAsia="Times New Roman"/>
          <w:lang w:val="sq-AL"/>
        </w:rPr>
      </w:pPr>
      <w:r w:rsidRPr="00D73F43">
        <w:rPr>
          <w:rFonts w:eastAsia="Times New Roman"/>
          <w:lang w:val="sq-AL"/>
        </w:rPr>
        <w:t>QKB do të vërë në funksion një portal on-line lehtësisht të përdorshëm për qytetarët, bizneset dhe grupet e tjera të interesit.</w:t>
      </w:r>
    </w:p>
    <w:p w:rsidR="00B0121D" w:rsidRPr="00D73F43" w:rsidRDefault="00B0121D" w:rsidP="00B0121D">
      <w:pPr>
        <w:spacing w:line="276" w:lineRule="auto"/>
        <w:jc w:val="both"/>
        <w:rPr>
          <w:rFonts w:eastAsia="Times New Roman"/>
          <w:lang w:val="sq-AL"/>
        </w:rPr>
      </w:pPr>
    </w:p>
    <w:p w:rsidR="00B0121D" w:rsidRPr="00D73F43" w:rsidRDefault="00B0121D" w:rsidP="00534AA6">
      <w:pPr>
        <w:numPr>
          <w:ilvl w:val="0"/>
          <w:numId w:val="57"/>
        </w:numPr>
        <w:spacing w:line="276" w:lineRule="auto"/>
        <w:contextualSpacing/>
        <w:jc w:val="both"/>
        <w:rPr>
          <w:rFonts w:eastAsia="Times New Roman"/>
          <w:lang w:val="sq-AL"/>
        </w:rPr>
      </w:pPr>
      <w:r w:rsidRPr="00D73F43">
        <w:rPr>
          <w:rFonts w:eastAsia="Times New Roman"/>
          <w:lang w:val="sq-AL"/>
        </w:rPr>
        <w:t>Për nxitjen e konkurrueshmërisë dhe inovacionit:</w:t>
      </w:r>
    </w:p>
    <w:p w:rsidR="00B0121D" w:rsidRPr="00D73F43" w:rsidRDefault="00B0121D" w:rsidP="00534AA6">
      <w:pPr>
        <w:numPr>
          <w:ilvl w:val="1"/>
          <w:numId w:val="117"/>
        </w:numPr>
        <w:spacing w:line="276" w:lineRule="auto"/>
        <w:contextualSpacing/>
        <w:jc w:val="both"/>
        <w:rPr>
          <w:rFonts w:eastAsia="Times New Roman"/>
          <w:lang w:val="sq-AL"/>
        </w:rPr>
      </w:pPr>
      <w:r w:rsidRPr="00D73F43">
        <w:rPr>
          <w:rFonts w:eastAsia="Times New Roman"/>
          <w:lang w:val="sq-AL"/>
        </w:rPr>
        <w:t>Do të vazhdojë financimi i projekteve nga AIDA, për nxitjen e biznesit kryesisht për sektorët prodhues, nëpërmjet Fondit të Konkurueshmërise, Fondit start-up, Ekonomisë kreative, Inovacionit, etj.</w:t>
      </w:r>
      <w:r w:rsidRPr="00D73F43">
        <w:rPr>
          <w:rFonts w:eastAsia="Times New Roman"/>
          <w:lang w:val="sq-AL"/>
        </w:rPr>
        <w:tab/>
        <w:t xml:space="preserve"> </w:t>
      </w:r>
    </w:p>
    <w:p w:rsidR="00B0121D" w:rsidRPr="00D73F43" w:rsidRDefault="00B0121D" w:rsidP="00B0121D">
      <w:pPr>
        <w:spacing w:line="276" w:lineRule="auto"/>
        <w:contextualSpacing/>
        <w:jc w:val="both"/>
        <w:rPr>
          <w:rFonts w:eastAsia="Times New Roman"/>
          <w:lang w:val="sq-AL"/>
        </w:rPr>
      </w:pPr>
    </w:p>
    <w:p w:rsidR="00B0121D" w:rsidRPr="00D73F43" w:rsidRDefault="00B0121D" w:rsidP="00534AA6">
      <w:pPr>
        <w:numPr>
          <w:ilvl w:val="0"/>
          <w:numId w:val="57"/>
        </w:numPr>
        <w:spacing w:line="276" w:lineRule="auto"/>
        <w:contextualSpacing/>
        <w:jc w:val="both"/>
        <w:rPr>
          <w:rFonts w:eastAsia="Times New Roman"/>
          <w:lang w:val="sq-AL"/>
        </w:rPr>
      </w:pPr>
      <w:r w:rsidRPr="00D73F43">
        <w:rPr>
          <w:rFonts w:eastAsia="Times New Roman"/>
          <w:lang w:val="sq-AL"/>
        </w:rPr>
        <w:t>Do të mundësohet funksionimi i Inspektoratit të Mbikëqyrjes së Tregut (ISHMT), i cili në fokus të punës së tij do të ketë risitë e mëposhtme:</w:t>
      </w:r>
    </w:p>
    <w:p w:rsidR="00B0121D" w:rsidRPr="00D73F43" w:rsidRDefault="00B0121D" w:rsidP="00534AA6">
      <w:pPr>
        <w:numPr>
          <w:ilvl w:val="1"/>
          <w:numId w:val="117"/>
        </w:numPr>
        <w:spacing w:line="276" w:lineRule="auto"/>
        <w:contextualSpacing/>
        <w:jc w:val="both"/>
        <w:rPr>
          <w:rFonts w:eastAsia="Times New Roman"/>
          <w:lang w:val="sq-AL"/>
        </w:rPr>
      </w:pPr>
      <w:r w:rsidRPr="00D73F43">
        <w:rPr>
          <w:rFonts w:eastAsia="Times New Roman"/>
          <w:lang w:val="sq-AL"/>
        </w:rPr>
        <w:t xml:space="preserve">Mbrojtjen e pronësisë industriale në lidhje me markat tregtare; </w:t>
      </w:r>
    </w:p>
    <w:p w:rsidR="00B0121D" w:rsidRPr="00D73F43" w:rsidRDefault="00B0121D" w:rsidP="00534AA6">
      <w:pPr>
        <w:numPr>
          <w:ilvl w:val="1"/>
          <w:numId w:val="117"/>
        </w:numPr>
        <w:spacing w:line="276" w:lineRule="auto"/>
        <w:contextualSpacing/>
        <w:jc w:val="both"/>
        <w:rPr>
          <w:rFonts w:eastAsia="Times New Roman"/>
          <w:lang w:val="sq-AL"/>
        </w:rPr>
      </w:pPr>
      <w:r w:rsidRPr="00D73F43">
        <w:rPr>
          <w:rFonts w:eastAsia="Times New Roman"/>
          <w:lang w:val="sq-AL"/>
        </w:rPr>
        <w:t>Mbikëqyrjrn e patentave në aspektin e shkeljeve administrative.</w:t>
      </w:r>
    </w:p>
    <w:p w:rsidR="00B0121D" w:rsidRPr="00D73F43" w:rsidRDefault="00B0121D" w:rsidP="00B0121D">
      <w:pPr>
        <w:spacing w:line="276" w:lineRule="auto"/>
        <w:jc w:val="both"/>
        <w:rPr>
          <w:rFonts w:eastAsia="Times New Roman"/>
          <w:lang w:val="sq-AL"/>
        </w:rPr>
      </w:pPr>
    </w:p>
    <w:p w:rsidR="00B0121D" w:rsidRPr="00D73F43" w:rsidRDefault="00B0121D" w:rsidP="00534AA6">
      <w:pPr>
        <w:numPr>
          <w:ilvl w:val="0"/>
          <w:numId w:val="57"/>
        </w:numPr>
        <w:spacing w:line="276" w:lineRule="auto"/>
        <w:contextualSpacing/>
        <w:jc w:val="both"/>
        <w:rPr>
          <w:rFonts w:eastAsia="Times New Roman"/>
          <w:lang w:val="sq-AL"/>
        </w:rPr>
      </w:pPr>
      <w:r w:rsidRPr="00D73F43">
        <w:rPr>
          <w:rFonts w:eastAsia="Times New Roman"/>
          <w:lang w:val="sq-AL"/>
        </w:rPr>
        <w:t xml:space="preserve">Janë programuar fonde për mbështetje të sipërmarrjes së turizmit gjithëvjetor dhe për SME që ushtrojnë aktivitetin në zonat turistike/historike. </w:t>
      </w:r>
    </w:p>
    <w:p w:rsidR="00B0121D" w:rsidRPr="00D73F43" w:rsidRDefault="00B0121D" w:rsidP="00B0121D">
      <w:pPr>
        <w:spacing w:line="276" w:lineRule="auto"/>
        <w:ind w:left="720"/>
        <w:contextualSpacing/>
        <w:jc w:val="both"/>
        <w:rPr>
          <w:rFonts w:eastAsia="Times New Roman"/>
          <w:lang w:val="sq-AL"/>
        </w:rPr>
      </w:pPr>
    </w:p>
    <w:p w:rsidR="00B0121D" w:rsidRPr="00D73F43" w:rsidRDefault="00B0121D" w:rsidP="00534AA6">
      <w:pPr>
        <w:numPr>
          <w:ilvl w:val="0"/>
          <w:numId w:val="57"/>
        </w:numPr>
        <w:spacing w:line="276" w:lineRule="auto"/>
        <w:contextualSpacing/>
        <w:jc w:val="both"/>
        <w:rPr>
          <w:rFonts w:eastAsia="Times New Roman"/>
          <w:lang w:val="sq-AL"/>
        </w:rPr>
      </w:pPr>
      <w:r w:rsidRPr="00D73F43">
        <w:rPr>
          <w:rFonts w:eastAsia="Times New Roman"/>
          <w:lang w:val="sq-AL"/>
        </w:rPr>
        <w:t>Një rol të rëndësishëm në zbatimin e politikave të Turizmit do të vazhdojë të luajë edhe Agjencia Kombëtare e Turizmit dhe Agjencia Kombëtare e Bregdetit. Janë parashikuar fonde buxhetore në dispozicion të këtyre agjencive në masën 265 milionë lekë.</w:t>
      </w:r>
    </w:p>
    <w:p w:rsidR="00C05F2E" w:rsidRDefault="00C05F2E" w:rsidP="00B0121D">
      <w:pPr>
        <w:rPr>
          <w:rFonts w:eastAsia="MS Mincho"/>
          <w:b/>
          <w:lang w:val="sq-AL"/>
        </w:rPr>
      </w:pPr>
    </w:p>
    <w:p w:rsidR="00B0121D" w:rsidRPr="006D51B9" w:rsidRDefault="006D51B9" w:rsidP="00534AA6">
      <w:pPr>
        <w:pStyle w:val="Heading2"/>
        <w:numPr>
          <w:ilvl w:val="1"/>
          <w:numId w:val="161"/>
        </w:numPr>
        <w:rPr>
          <w:rFonts w:ascii="Times New Roman" w:hAnsi="Times New Roman"/>
          <w:i w:val="0"/>
        </w:rPr>
      </w:pPr>
      <w:r>
        <w:rPr>
          <w:rFonts w:ascii="Times New Roman" w:hAnsi="Times New Roman"/>
          <w:i w:val="0"/>
        </w:rPr>
        <w:t xml:space="preserve"> </w:t>
      </w:r>
      <w:bookmarkStart w:id="149" w:name="_Toc466445479"/>
      <w:r w:rsidR="00B0121D" w:rsidRPr="006D51B9">
        <w:rPr>
          <w:rFonts w:ascii="Times New Roman" w:hAnsi="Times New Roman"/>
          <w:i w:val="0"/>
        </w:rPr>
        <w:t>ENERGJIA</w:t>
      </w:r>
      <w:bookmarkEnd w:id="149"/>
    </w:p>
    <w:p w:rsidR="00B0121D" w:rsidRPr="00D73F43" w:rsidRDefault="00B0121D" w:rsidP="00B0121D">
      <w:pPr>
        <w:rPr>
          <w:rFonts w:eastAsia="MS Mincho"/>
          <w:b/>
          <w:noProof/>
          <w:szCs w:val="20"/>
          <w:lang w:val="sq-AL"/>
        </w:rPr>
      </w:pPr>
    </w:p>
    <w:p w:rsidR="00B0121D" w:rsidRPr="00D73F43" w:rsidRDefault="00642658" w:rsidP="00B0121D">
      <w:pPr>
        <w:rPr>
          <w:rFonts w:eastAsia="MS Mincho"/>
          <w:b/>
          <w:noProof/>
          <w:szCs w:val="20"/>
          <w:lang w:val="sq-AL"/>
        </w:rPr>
      </w:pPr>
      <w:r>
        <w:rPr>
          <w:rFonts w:eastAsia="MS Mincho"/>
          <w:b/>
          <w:noProof/>
          <w:szCs w:val="20"/>
          <w:lang w:val="sq-AL"/>
        </w:rPr>
        <w:t>4.</w:t>
      </w:r>
      <w:r w:rsidR="00B0121D" w:rsidRPr="00D73F43">
        <w:rPr>
          <w:rFonts w:eastAsia="MS Mincho"/>
          <w:b/>
          <w:noProof/>
          <w:szCs w:val="20"/>
          <w:lang w:val="sq-AL"/>
        </w:rPr>
        <w:t xml:space="preserve">9.1 </w:t>
      </w:r>
      <w:r w:rsidR="00B0121D" w:rsidRPr="00952AD0">
        <w:rPr>
          <w:rFonts w:eastAsia="MS Mincho"/>
          <w:b/>
          <w:noProof/>
          <w:szCs w:val="20"/>
          <w:lang w:val="sq-AL"/>
        </w:rPr>
        <w:t>Situata e sektorit në 2013</w:t>
      </w:r>
    </w:p>
    <w:p w:rsidR="00B0121D" w:rsidRPr="00D73F43" w:rsidRDefault="00B0121D" w:rsidP="00B0121D">
      <w:pPr>
        <w:spacing w:line="276" w:lineRule="auto"/>
        <w:jc w:val="both"/>
        <w:rPr>
          <w:rFonts w:eastAsia="Times New Roman"/>
          <w:noProof/>
          <w:lang w:val="sq-AL"/>
        </w:rPr>
      </w:pPr>
    </w:p>
    <w:p w:rsidR="00B0121D" w:rsidRPr="00D73F43" w:rsidRDefault="00B0121D" w:rsidP="00B0121D">
      <w:pPr>
        <w:spacing w:line="276" w:lineRule="auto"/>
        <w:jc w:val="both"/>
        <w:rPr>
          <w:rFonts w:eastAsia="Times New Roman"/>
          <w:noProof/>
          <w:lang w:val="sq-AL"/>
        </w:rPr>
      </w:pPr>
      <w:r w:rsidRPr="00D73F43">
        <w:rPr>
          <w:rFonts w:eastAsia="Times New Roman"/>
          <w:noProof/>
          <w:lang w:val="sq-AL"/>
        </w:rPr>
        <w:t>Ministria e Energjisë dhe Industrisë u krijua në vitin 2013 pas ndarjes së Ministrisë të Ekonomisë, Tregtisë dhe Energjitikës për të mbuluar në mënyrë specifike energjinë dhe industrinë, duke marrë parasysh situatën e rëndë të këtyre sektorëve. Problematikat e trashëguara, si dhe situata me të cilën duhej të përballej MEI konsistonte në:</w:t>
      </w:r>
    </w:p>
    <w:p w:rsidR="00B0121D" w:rsidRPr="00D73F43" w:rsidRDefault="00B0121D" w:rsidP="00B0121D">
      <w:pPr>
        <w:spacing w:line="276" w:lineRule="auto"/>
        <w:jc w:val="both"/>
        <w:rPr>
          <w:rFonts w:eastAsia="Times New Roman"/>
          <w:noProof/>
          <w:lang w:val="sq-AL"/>
        </w:rPr>
      </w:pPr>
    </w:p>
    <w:p w:rsidR="00B0121D" w:rsidRPr="00D73F43" w:rsidRDefault="00B0121D" w:rsidP="00534AA6">
      <w:pPr>
        <w:numPr>
          <w:ilvl w:val="0"/>
          <w:numId w:val="74"/>
        </w:numPr>
        <w:spacing w:after="200" w:line="276" w:lineRule="auto"/>
        <w:contextualSpacing/>
        <w:jc w:val="both"/>
        <w:rPr>
          <w:rFonts w:eastAsia="Times New Roman"/>
          <w:b/>
          <w:noProof/>
          <w:lang w:val="sq-AL"/>
        </w:rPr>
      </w:pPr>
      <w:r w:rsidRPr="00D73F43">
        <w:rPr>
          <w:rFonts w:eastAsia="Times New Roman"/>
          <w:noProof/>
          <w:lang w:val="sq-AL"/>
        </w:rPr>
        <w:lastRenderedPageBreak/>
        <w:t>Në sektorin e industrisë gjendja ishte tejet kaotike, sidomos në industrinë minerare, ku kishte një shkallë të lartë informaliteti, detyrime të pashlyera për më shumë se 2 milionë Euro të lidhura me lejet dhe aktivitetin minerar, projekte të pa zbatuara sipas planit të miratuar në momentin e licensimit, investime të parealizuara sipas kërkesave të lejeve minerare, mos zbatim të detyrimeve që lidheshin me rikuperimin e mjedisit sipas planeve të shfrytëzimit - galeritë shfrytëzoheshin jashtë çdo parametri teknik  për sigurinë fizike  duke përbërë një rrezik të madh jete për zonën.  Të gjitha këto kishin sjellë një rënie të theksuar të prodhimit minerar, por edhe të kontributit të tyre në të ardhurat kombëtare e në buxhetin e shtetit.</w:t>
      </w:r>
    </w:p>
    <w:p w:rsidR="00B0121D" w:rsidRPr="00D73F43" w:rsidRDefault="00B0121D" w:rsidP="00534AA6">
      <w:pPr>
        <w:numPr>
          <w:ilvl w:val="0"/>
          <w:numId w:val="74"/>
        </w:numPr>
        <w:spacing w:after="200" w:line="276" w:lineRule="auto"/>
        <w:contextualSpacing/>
        <w:jc w:val="both"/>
        <w:rPr>
          <w:rFonts w:eastAsia="Times New Roman"/>
          <w:b/>
          <w:noProof/>
          <w:lang w:val="sq-AL"/>
        </w:rPr>
      </w:pPr>
      <w:r w:rsidRPr="00D73F43">
        <w:rPr>
          <w:rFonts w:eastAsia="Times New Roman"/>
          <w:noProof/>
          <w:lang w:val="sq-AL"/>
        </w:rPr>
        <w:t xml:space="preserve">Në sektorin e hidrokarbureve  vihej re një shmangie e shtetit nga funksionet e tij regulluese dhe të mbrojtjes së interesave të qytetarëve: </w:t>
      </w:r>
    </w:p>
    <w:p w:rsidR="00B0121D" w:rsidRPr="00D73F43" w:rsidRDefault="00B0121D" w:rsidP="00534AA6">
      <w:pPr>
        <w:numPr>
          <w:ilvl w:val="0"/>
          <w:numId w:val="75"/>
        </w:numPr>
        <w:spacing w:after="200" w:line="276" w:lineRule="auto"/>
        <w:ind w:left="1080"/>
        <w:contextualSpacing/>
        <w:jc w:val="both"/>
        <w:rPr>
          <w:rFonts w:eastAsia="Times New Roman"/>
          <w:b/>
          <w:noProof/>
          <w:lang w:val="sq-AL"/>
        </w:rPr>
      </w:pPr>
      <w:r w:rsidRPr="00D73F43">
        <w:rPr>
          <w:rFonts w:eastAsia="Times New Roman"/>
          <w:noProof/>
          <w:lang w:val="sq-AL"/>
        </w:rPr>
        <w:t xml:space="preserve">Prodhimi i naftës bruto ishte 1.2 milion ton/vit, dhe ky sektor paguante vetëm rentë për të ardhurat kombëtare, pasi akoma nuk ishte rentabël (bazuar në marrëveshjet hidrokarbure). Vetëm Bankers Petroleum kishte performancë në rritje ndër vite nga fillimi i kontratës, ndërsa kompanitë e tjera luhateshin në nivele minimale prodhimi. </w:t>
      </w:r>
    </w:p>
    <w:p w:rsidR="00B0121D" w:rsidRPr="00D73F43" w:rsidRDefault="00B0121D" w:rsidP="00534AA6">
      <w:pPr>
        <w:numPr>
          <w:ilvl w:val="0"/>
          <w:numId w:val="75"/>
        </w:numPr>
        <w:spacing w:after="200" w:line="276" w:lineRule="auto"/>
        <w:ind w:left="1080"/>
        <w:contextualSpacing/>
        <w:jc w:val="both"/>
        <w:rPr>
          <w:rFonts w:eastAsia="Times New Roman"/>
          <w:b/>
          <w:noProof/>
          <w:lang w:val="sq-AL"/>
        </w:rPr>
      </w:pPr>
      <w:r w:rsidRPr="00D73F43">
        <w:rPr>
          <w:rFonts w:eastAsia="Times New Roman"/>
          <w:noProof/>
          <w:lang w:val="sq-AL"/>
        </w:rPr>
        <w:t>Ndërkaq përpunimi i naftës në vend ishte në krizë totale.</w:t>
      </w:r>
    </w:p>
    <w:p w:rsidR="00B0121D" w:rsidRPr="00D73F43" w:rsidRDefault="00B0121D" w:rsidP="00534AA6">
      <w:pPr>
        <w:numPr>
          <w:ilvl w:val="0"/>
          <w:numId w:val="75"/>
        </w:numPr>
        <w:spacing w:after="200" w:line="276" w:lineRule="auto"/>
        <w:ind w:left="1080"/>
        <w:contextualSpacing/>
        <w:jc w:val="both"/>
        <w:rPr>
          <w:rFonts w:eastAsia="Times New Roman"/>
          <w:b/>
          <w:noProof/>
          <w:lang w:val="sq-AL"/>
        </w:rPr>
      </w:pPr>
      <w:r w:rsidRPr="00D73F43">
        <w:rPr>
          <w:rFonts w:eastAsia="Times New Roman"/>
          <w:noProof/>
          <w:lang w:val="sq-AL"/>
        </w:rPr>
        <w:t>Tregtimi i produkteve të naftës dhe të gazit ishte në shkallë të lartë informaliteti dhe pothuajse jashtë kontrollit të shtetit lidhur me matjen dhe me cilësinë e këtyre produkteve.</w:t>
      </w:r>
    </w:p>
    <w:p w:rsidR="00B0121D" w:rsidRPr="00D73F43" w:rsidRDefault="00B0121D" w:rsidP="00534AA6">
      <w:pPr>
        <w:numPr>
          <w:ilvl w:val="0"/>
          <w:numId w:val="75"/>
        </w:numPr>
        <w:spacing w:after="200" w:line="276" w:lineRule="auto"/>
        <w:ind w:left="1080"/>
        <w:contextualSpacing/>
        <w:jc w:val="both"/>
        <w:rPr>
          <w:rFonts w:eastAsia="Times New Roman"/>
          <w:b/>
          <w:noProof/>
          <w:lang w:val="sq-AL"/>
        </w:rPr>
      </w:pPr>
      <w:r w:rsidRPr="00D73F43">
        <w:rPr>
          <w:rFonts w:eastAsia="Times New Roman"/>
          <w:noProof/>
          <w:lang w:val="sq-AL"/>
        </w:rPr>
        <w:t>Ishim në konflikt në disa marrëveshje dhe qeveria e mëparshme, për shkak të mos angazhimit të saj në përmbushjen e detyrimeve ligjore dhe kontraktuale, kishte krijuar disa situata të dëmshme  për buxhetin e shtetit. Pasojë shtesë e kësaj paaftësie ishte dhe amendimi shpesh i disa marrëveshjeve në mënyrë mjaft diskriminuese për qeverinë (P.sh. me VKM nr110, datë 26.01.2010 i ishin dhënë të drejta PIA - Petroliferës së Vlorës - kompetenca mbi të gjithë bregun duke përjashtuar mundësinë që Qeveria të administronte të drejtat e saj).</w:t>
      </w:r>
    </w:p>
    <w:p w:rsidR="00B0121D" w:rsidRPr="00D73F43" w:rsidRDefault="00B0121D" w:rsidP="00534AA6">
      <w:pPr>
        <w:numPr>
          <w:ilvl w:val="0"/>
          <w:numId w:val="75"/>
        </w:numPr>
        <w:spacing w:after="200" w:line="276" w:lineRule="auto"/>
        <w:ind w:left="1080"/>
        <w:contextualSpacing/>
        <w:jc w:val="both"/>
        <w:rPr>
          <w:rFonts w:eastAsia="Times New Roman"/>
          <w:b/>
          <w:noProof/>
          <w:lang w:val="sq-AL"/>
        </w:rPr>
      </w:pPr>
      <w:r w:rsidRPr="00D73F43">
        <w:rPr>
          <w:rFonts w:eastAsia="Times New Roman"/>
          <w:noProof/>
          <w:lang w:val="sq-AL"/>
        </w:rPr>
        <w:t>Përpunohej naftë bruto në rafineri informale jashtë kontrollit të shtetit dhe manipulohej tregu me produkte jocilësore që dëmtonin konsumatorët dhe pakësonin të ardhurat kombëtare nëpërmjet shmangies nga tatime e taksa.</w:t>
      </w:r>
    </w:p>
    <w:p w:rsidR="00B0121D" w:rsidRPr="00D73F43" w:rsidRDefault="00B0121D" w:rsidP="00534AA6">
      <w:pPr>
        <w:numPr>
          <w:ilvl w:val="0"/>
          <w:numId w:val="75"/>
        </w:numPr>
        <w:spacing w:after="200" w:line="276" w:lineRule="auto"/>
        <w:ind w:left="1080"/>
        <w:contextualSpacing/>
        <w:jc w:val="both"/>
        <w:rPr>
          <w:rFonts w:eastAsia="Times New Roman"/>
          <w:b/>
          <w:noProof/>
          <w:lang w:val="sq-AL"/>
        </w:rPr>
      </w:pPr>
      <w:r w:rsidRPr="00D73F43">
        <w:rPr>
          <w:rFonts w:eastAsia="Times New Roman"/>
          <w:noProof/>
          <w:lang w:val="sq-AL"/>
        </w:rPr>
        <w:t>Teknologjia e nxjerrjes së naftës nga nëntoka ishte jashtë kontrollit dhe fushat naftëmbajtëse vuanin pasigurinë e krijuar nga tërmetet që dëmtonin shtëpitë e banorëve dhe infrastrukturën publike në zonë.</w:t>
      </w:r>
    </w:p>
    <w:p w:rsidR="00B0121D" w:rsidRPr="00D73F43" w:rsidRDefault="00B0121D" w:rsidP="00534AA6">
      <w:pPr>
        <w:numPr>
          <w:ilvl w:val="0"/>
          <w:numId w:val="75"/>
        </w:numPr>
        <w:spacing w:after="200" w:line="276" w:lineRule="auto"/>
        <w:ind w:left="1080"/>
        <w:contextualSpacing/>
        <w:jc w:val="both"/>
        <w:rPr>
          <w:rFonts w:eastAsia="Times New Roman"/>
          <w:b/>
          <w:noProof/>
          <w:lang w:val="sq-AL"/>
        </w:rPr>
      </w:pPr>
      <w:r w:rsidRPr="00D73F43">
        <w:rPr>
          <w:rFonts w:eastAsia="Times New Roman"/>
          <w:noProof/>
          <w:lang w:val="sq-AL"/>
        </w:rPr>
        <w:t>Kontratat hidrokarbure nuk ishin respektuar për detyrimin e rikuperimit të mjedisit sipas standardeve të kërkuara nga kontratat hidrokarbure dhe ligjet në fuqi për mbrojtjen e mjedisit.</w:t>
      </w:r>
    </w:p>
    <w:p w:rsidR="00B0121D" w:rsidRPr="00D73F43" w:rsidRDefault="00B0121D" w:rsidP="00B0121D">
      <w:pPr>
        <w:spacing w:after="200" w:line="276" w:lineRule="auto"/>
        <w:ind w:left="1080"/>
        <w:contextualSpacing/>
        <w:jc w:val="both"/>
        <w:rPr>
          <w:rFonts w:eastAsia="Times New Roman"/>
          <w:b/>
          <w:noProof/>
          <w:lang w:val="sq-AL"/>
        </w:rPr>
      </w:pPr>
    </w:p>
    <w:p w:rsidR="00B0121D" w:rsidRPr="00D73F43" w:rsidRDefault="00B0121D" w:rsidP="00534AA6">
      <w:pPr>
        <w:numPr>
          <w:ilvl w:val="0"/>
          <w:numId w:val="76"/>
        </w:numPr>
        <w:spacing w:after="200" w:line="276" w:lineRule="auto"/>
        <w:contextualSpacing/>
        <w:jc w:val="both"/>
        <w:rPr>
          <w:rFonts w:eastAsia="Times New Roman"/>
          <w:noProof/>
          <w:lang w:val="sq-AL"/>
        </w:rPr>
      </w:pPr>
      <w:r w:rsidRPr="00D73F43">
        <w:rPr>
          <w:rFonts w:eastAsia="Times New Roman"/>
          <w:noProof/>
          <w:lang w:val="sq-AL"/>
        </w:rPr>
        <w:t>Në sektorin e energjisë elektrike situata ishte akoma më e rëndë. Kuadri ligjor nuk i përgjigjej nevojave të sektorit, privatizimi i CEZ kishte dështuar dhe kishte çuar në prag të kolapsit të gjithë sektorin e energjisë elektrike me një ndikim katastrofik në ekonominë kombëtare, KESH ishte i mbytur në borxhe dhe me mungesë likuiditeti (arkëtonte vetëm 44% të energjisë së shitur në shpërndarje), cilësia e furnizimit të tregut me energji elektrike ishte shumë e ulët (më e ulëta në Europë), sektori vuante prej kohësh mungesën e investimeve sipas nevojave që kishte, energjia elektrike vidhej, shpërdorohej dhe nuk paguhej në masë (mbi 78% e konsumatorëve familjarë ishin debitorë për më shumë se tre muaj faturim dhe arkëtimet tek familjarët për faturën korrente ishin më pak se 60% dhe ato totale 72%, ndërsa institucionet e organizatat buxhetore e jo-buxhetore, si edhe ato private paguanin më pak se 86% të faturës së energjisë së faturuar). Niveli i humbjeve në shpërndarje ishte mesatarisht 45%, ndërkohë që tarifa mesatare e asaj periudhe mbulonte vetëm 76.7% të kostove.</w:t>
      </w:r>
    </w:p>
    <w:p w:rsidR="00B0121D" w:rsidRPr="00D73F43" w:rsidRDefault="00B0121D" w:rsidP="00B0121D">
      <w:pPr>
        <w:spacing w:after="200" w:line="276" w:lineRule="auto"/>
        <w:ind w:left="720"/>
        <w:contextualSpacing/>
        <w:jc w:val="both"/>
        <w:rPr>
          <w:rFonts w:eastAsia="Times New Roman"/>
          <w:noProof/>
          <w:lang w:val="sq-AL"/>
        </w:rPr>
      </w:pPr>
      <w:r w:rsidRPr="00D73F43">
        <w:rPr>
          <w:rFonts w:eastAsia="Times New Roman"/>
          <w:noProof/>
          <w:lang w:val="sq-AL"/>
        </w:rPr>
        <w:t xml:space="preserve"> </w:t>
      </w:r>
    </w:p>
    <w:p w:rsidR="00B0121D" w:rsidRPr="00D73F43" w:rsidRDefault="00B0121D" w:rsidP="00534AA6">
      <w:pPr>
        <w:numPr>
          <w:ilvl w:val="0"/>
          <w:numId w:val="76"/>
        </w:numPr>
        <w:spacing w:after="200" w:line="276" w:lineRule="auto"/>
        <w:contextualSpacing/>
        <w:jc w:val="both"/>
        <w:rPr>
          <w:rFonts w:eastAsia="Times New Roman"/>
          <w:noProof/>
          <w:lang w:val="sq-AL"/>
        </w:rPr>
      </w:pPr>
      <w:r w:rsidRPr="00D73F43">
        <w:rPr>
          <w:rFonts w:eastAsia="Times New Roman"/>
          <w:noProof/>
          <w:lang w:val="sq-AL"/>
        </w:rPr>
        <w:lastRenderedPageBreak/>
        <w:t>Shqipëria rrezikonte përjashtimin nga EITI (Iniciativa e Transparencës së Industrive Nxjerrëse) për shkak të mospërmbushjes së detyrimeve të saj për hartimin e raporteve për këto industri që nga viti 2011, pavarësisht se kishte qenë e financuar rregullisht si nga buxheti i shtetit, ashtu edhe nga Banka Botërore.</w:t>
      </w:r>
    </w:p>
    <w:p w:rsidR="00B0121D" w:rsidRPr="00D73F43" w:rsidRDefault="00B0121D" w:rsidP="00B0121D">
      <w:pPr>
        <w:spacing w:line="276" w:lineRule="auto"/>
        <w:rPr>
          <w:rFonts w:eastAsia="MS Mincho"/>
          <w:b/>
          <w:noProof/>
          <w:szCs w:val="20"/>
          <w:lang w:val="sq-AL"/>
        </w:rPr>
      </w:pPr>
    </w:p>
    <w:p w:rsidR="00B0121D" w:rsidRPr="006E1DB0" w:rsidRDefault="00B0121D" w:rsidP="006E1DB0">
      <w:pPr>
        <w:pStyle w:val="ListParagraph"/>
        <w:numPr>
          <w:ilvl w:val="2"/>
          <w:numId w:val="163"/>
        </w:numPr>
        <w:spacing w:line="276" w:lineRule="auto"/>
        <w:rPr>
          <w:rFonts w:eastAsia="MS Mincho"/>
          <w:b/>
          <w:noProof/>
          <w:szCs w:val="20"/>
          <w:lang w:val="sq-AL"/>
        </w:rPr>
      </w:pPr>
      <w:r w:rsidRPr="006E1DB0">
        <w:rPr>
          <w:rFonts w:eastAsia="MS Mincho"/>
          <w:b/>
          <w:noProof/>
          <w:szCs w:val="20"/>
          <w:lang w:val="sq-AL"/>
        </w:rPr>
        <w:t>Reformat e ndërmarra 2013-2016</w:t>
      </w:r>
    </w:p>
    <w:p w:rsidR="00B0121D" w:rsidRPr="00D73F43" w:rsidRDefault="00B0121D" w:rsidP="00B0121D">
      <w:pPr>
        <w:spacing w:line="276" w:lineRule="auto"/>
        <w:rPr>
          <w:rFonts w:eastAsia="MS Mincho"/>
          <w:b/>
          <w:noProof/>
          <w:szCs w:val="20"/>
          <w:lang w:val="sq-AL"/>
        </w:rPr>
      </w:pPr>
    </w:p>
    <w:p w:rsidR="006E1DB0" w:rsidRDefault="00B0121D" w:rsidP="006E1DB0">
      <w:pPr>
        <w:spacing w:after="200" w:line="276" w:lineRule="auto"/>
        <w:contextualSpacing/>
        <w:jc w:val="both"/>
        <w:rPr>
          <w:rFonts w:eastAsia="Times New Roman"/>
          <w:noProof/>
          <w:lang w:val="sq-AL"/>
        </w:rPr>
      </w:pPr>
      <w:r w:rsidRPr="00D73F43">
        <w:rPr>
          <w:rFonts w:eastAsia="Times New Roman"/>
          <w:noProof/>
          <w:lang w:val="sq-AL"/>
        </w:rPr>
        <w:t xml:space="preserve"> Gjatë 3 viteve të shkuara janë përgatitur dhe implementuar masa të ndryshme si më poshtë: </w:t>
      </w:r>
    </w:p>
    <w:p w:rsidR="00B0121D" w:rsidRPr="006E1DB0" w:rsidRDefault="00B0121D" w:rsidP="006E1DB0">
      <w:pPr>
        <w:pStyle w:val="ListParagraph"/>
        <w:numPr>
          <w:ilvl w:val="0"/>
          <w:numId w:val="164"/>
        </w:numPr>
        <w:spacing w:after="200" w:line="276" w:lineRule="auto"/>
        <w:contextualSpacing/>
        <w:jc w:val="both"/>
        <w:rPr>
          <w:rFonts w:eastAsia="Times New Roman"/>
          <w:noProof/>
          <w:lang w:val="sq-AL"/>
        </w:rPr>
      </w:pPr>
      <w:r w:rsidRPr="006E1DB0">
        <w:rPr>
          <w:rFonts w:eastAsia="Times New Roman"/>
          <w:noProof/>
          <w:lang w:val="sq-AL"/>
        </w:rPr>
        <w:t>Më shumë se 450 milionë Euro investime të garantuara nga Qeveria gjatë periudhës 2013-2016.</w:t>
      </w:r>
    </w:p>
    <w:p w:rsidR="00B0121D" w:rsidRPr="00D73F43" w:rsidRDefault="00B0121D" w:rsidP="00534AA6">
      <w:pPr>
        <w:numPr>
          <w:ilvl w:val="1"/>
          <w:numId w:val="118"/>
        </w:numPr>
        <w:spacing w:after="200" w:line="276" w:lineRule="auto"/>
        <w:contextualSpacing/>
        <w:jc w:val="both"/>
        <w:rPr>
          <w:rFonts w:eastAsia="Times New Roman"/>
          <w:noProof/>
          <w:lang w:val="sq-AL"/>
        </w:rPr>
      </w:pPr>
      <w:r w:rsidRPr="00D73F43">
        <w:rPr>
          <w:rFonts w:eastAsia="Times New Roman"/>
          <w:noProof/>
          <w:lang w:val="sq-AL"/>
        </w:rPr>
        <w:t>Mbi 18 miliardë lekë investime të gjeneruara nga vetë sektori, kryesisht ai i shpërndarjes, gjatë periudhës 2015-2016.</w:t>
      </w:r>
    </w:p>
    <w:p w:rsidR="00B0121D" w:rsidRPr="00D73F43" w:rsidRDefault="00B0121D" w:rsidP="00534AA6">
      <w:pPr>
        <w:numPr>
          <w:ilvl w:val="1"/>
          <w:numId w:val="118"/>
        </w:numPr>
        <w:spacing w:after="200" w:line="276" w:lineRule="auto"/>
        <w:contextualSpacing/>
        <w:jc w:val="both"/>
        <w:rPr>
          <w:rFonts w:eastAsia="Times New Roman"/>
          <w:noProof/>
          <w:lang w:val="sq-AL"/>
        </w:rPr>
      </w:pPr>
      <w:r w:rsidRPr="00D73F43">
        <w:rPr>
          <w:rFonts w:eastAsia="Times New Roman"/>
          <w:noProof/>
          <w:lang w:val="sq-AL"/>
        </w:rPr>
        <w:t xml:space="preserve">9.1 miliardë lekë detyrime të prapambetura të shlyera ndaj HEC-eve private në KESH, duke mos krijuar njëkohësisht detyrime të reja. </w:t>
      </w:r>
    </w:p>
    <w:p w:rsidR="00B0121D" w:rsidRPr="00D73F43" w:rsidRDefault="00B0121D" w:rsidP="00534AA6">
      <w:pPr>
        <w:numPr>
          <w:ilvl w:val="1"/>
          <w:numId w:val="118"/>
        </w:numPr>
        <w:spacing w:after="200" w:line="276" w:lineRule="auto"/>
        <w:contextualSpacing/>
        <w:jc w:val="both"/>
        <w:rPr>
          <w:rFonts w:eastAsia="Times New Roman"/>
          <w:noProof/>
          <w:lang w:val="sq-AL"/>
        </w:rPr>
      </w:pPr>
      <w:r w:rsidRPr="00D73F43">
        <w:rPr>
          <w:rFonts w:eastAsia="Times New Roman"/>
          <w:noProof/>
          <w:lang w:val="sq-AL"/>
        </w:rPr>
        <w:t>Është shlyer i gjithë detyrimi i rrjedhur nga zgjidhja e konfliktit me CEZ.</w:t>
      </w:r>
    </w:p>
    <w:p w:rsidR="00B0121D" w:rsidRPr="00D73F43" w:rsidRDefault="00B0121D" w:rsidP="00534AA6">
      <w:pPr>
        <w:numPr>
          <w:ilvl w:val="1"/>
          <w:numId w:val="118"/>
        </w:numPr>
        <w:spacing w:after="200" w:line="276" w:lineRule="auto"/>
        <w:contextualSpacing/>
        <w:jc w:val="both"/>
        <w:rPr>
          <w:rFonts w:eastAsia="Times New Roman"/>
          <w:noProof/>
          <w:lang w:val="sq-AL"/>
        </w:rPr>
      </w:pPr>
      <w:r w:rsidRPr="00D73F43">
        <w:rPr>
          <w:rFonts w:eastAsia="Times New Roman"/>
          <w:noProof/>
          <w:lang w:val="sq-AL"/>
        </w:rPr>
        <w:t>6.5 milionë Euro të shlyera si detyrim nga konflikti mes Dalekovod dhe OST sh.a. pas zgjidhjes së tij me mirëkuptim.</w:t>
      </w:r>
    </w:p>
    <w:p w:rsidR="00B0121D" w:rsidRPr="00D73F43" w:rsidRDefault="00B0121D" w:rsidP="00534AA6">
      <w:pPr>
        <w:numPr>
          <w:ilvl w:val="1"/>
          <w:numId w:val="118"/>
        </w:numPr>
        <w:spacing w:after="200" w:line="276" w:lineRule="auto"/>
        <w:contextualSpacing/>
        <w:jc w:val="both"/>
        <w:rPr>
          <w:rFonts w:eastAsia="Times New Roman"/>
          <w:noProof/>
          <w:lang w:val="sq-AL"/>
        </w:rPr>
      </w:pPr>
      <w:r w:rsidRPr="00D73F43">
        <w:rPr>
          <w:rFonts w:eastAsia="Times New Roman"/>
          <w:noProof/>
          <w:lang w:val="sq-AL"/>
        </w:rPr>
        <w:t xml:space="preserve">Është ulur ekspozimi i buxhetit të shtetit ndaj sektorit të energjisë elektrike nga viti në vit (18.5 miliardë në vitin 2014, 13.5 miliardë në vitin 2015, 8.5 miliardë në 2016 dhe planifikojmë për 5.5 miliardë në vitin 2017), duke krijuar hapësira për financim të sektorëve të tjerë të ekonomisë. </w:t>
      </w:r>
    </w:p>
    <w:p w:rsidR="00B0121D" w:rsidRPr="00D73F43" w:rsidRDefault="00B0121D" w:rsidP="00534AA6">
      <w:pPr>
        <w:numPr>
          <w:ilvl w:val="1"/>
          <w:numId w:val="118"/>
        </w:numPr>
        <w:spacing w:after="200" w:line="276" w:lineRule="auto"/>
        <w:contextualSpacing/>
        <w:jc w:val="both"/>
        <w:rPr>
          <w:rFonts w:eastAsia="Times New Roman"/>
          <w:noProof/>
          <w:lang w:val="sq-AL"/>
        </w:rPr>
      </w:pPr>
      <w:r w:rsidRPr="00D73F43">
        <w:rPr>
          <w:rFonts w:eastAsia="Times New Roman"/>
          <w:noProof/>
          <w:lang w:val="sq-AL"/>
        </w:rPr>
        <w:t>Planifikojmë të shlyejmë rreth 8 milardë lekë kredi të maturuara në sektor në 2016, duke çliruar po kaq garanci qeveritare për vitin 2017 për buxhetin e shtetit.</w:t>
      </w:r>
    </w:p>
    <w:p w:rsidR="00B0121D" w:rsidRPr="00D73F43" w:rsidRDefault="00B0121D" w:rsidP="00534AA6">
      <w:pPr>
        <w:numPr>
          <w:ilvl w:val="1"/>
          <w:numId w:val="118"/>
        </w:numPr>
        <w:spacing w:after="200" w:line="276" w:lineRule="auto"/>
        <w:contextualSpacing/>
        <w:jc w:val="both"/>
        <w:rPr>
          <w:rFonts w:eastAsia="Times New Roman"/>
          <w:noProof/>
          <w:lang w:val="sq-AL"/>
        </w:rPr>
      </w:pPr>
      <w:r w:rsidRPr="00D73F43">
        <w:rPr>
          <w:rFonts w:eastAsia="Times New Roman"/>
          <w:noProof/>
          <w:lang w:val="sq-AL"/>
        </w:rPr>
        <w:t>Është arritur një marrëveshje ri-financimi të overdraft-eve të KESH sh.a. me financim të BERZH duke bërë të mundur skedulimin e tyre në vite dhe ulur ndjeshëm koston e ripagesës së tyre.</w:t>
      </w:r>
    </w:p>
    <w:p w:rsidR="00B0121D" w:rsidRPr="00D73F43" w:rsidRDefault="00B0121D" w:rsidP="00534AA6">
      <w:pPr>
        <w:numPr>
          <w:ilvl w:val="1"/>
          <w:numId w:val="118"/>
        </w:numPr>
        <w:spacing w:after="200" w:line="276" w:lineRule="auto"/>
        <w:contextualSpacing/>
        <w:jc w:val="both"/>
        <w:rPr>
          <w:rFonts w:eastAsia="Times New Roman"/>
          <w:noProof/>
          <w:lang w:val="sq-AL"/>
        </w:rPr>
      </w:pPr>
      <w:r w:rsidRPr="00D73F43">
        <w:rPr>
          <w:rFonts w:eastAsia="Times New Roman"/>
          <w:noProof/>
          <w:lang w:val="sq-AL"/>
        </w:rPr>
        <w:t>Nëpërmjet financimeve me buxhetin dhe në një PPP me Devoll Hydropo</w:t>
      </w:r>
      <w:r w:rsidR="006E1DB0">
        <w:rPr>
          <w:rFonts w:eastAsia="Times New Roman"/>
          <w:noProof/>
          <w:lang w:val="sq-AL"/>
        </w:rPr>
        <w:t>w</w:t>
      </w:r>
      <w:r w:rsidRPr="00D73F43">
        <w:rPr>
          <w:rFonts w:eastAsia="Times New Roman"/>
          <w:noProof/>
          <w:lang w:val="sq-AL"/>
        </w:rPr>
        <w:t>er është arritur të ndërtohet infrastruktura e re zëvendësuese  e transportit në luginën e lumit Devoll nga Banja në Moglicë për një shifër prej afërsisht 56 milionë Euro, ku 10.55 milionë Euro janë financim i Devoll Hydropo</w:t>
      </w:r>
      <w:r w:rsidR="006E1DB0">
        <w:rPr>
          <w:rFonts w:eastAsia="Times New Roman"/>
          <w:noProof/>
          <w:lang w:val="sq-AL"/>
        </w:rPr>
        <w:t>w</w:t>
      </w:r>
      <w:r w:rsidRPr="00D73F43">
        <w:rPr>
          <w:rFonts w:eastAsia="Times New Roman"/>
          <w:noProof/>
          <w:lang w:val="sq-AL"/>
        </w:rPr>
        <w:t>er (DHP), si detyrim që rrjedh nga marrëveshja e Koncesionit për ndërtimin e HEC-eve Banjë e Moglicë. Gjithashtu, është ndërtuar e gjithë infrastruktura tjetër zëvendësuese lokale e nacionale në të gjithë zonën e hidrocentralit nga Banja në Moglicë në bashkëpunim dhe kontribut të DHP dhe të qeverisë.</w:t>
      </w:r>
    </w:p>
    <w:p w:rsidR="00B0121D" w:rsidRPr="00D73F43" w:rsidRDefault="00B0121D" w:rsidP="00534AA6">
      <w:pPr>
        <w:numPr>
          <w:ilvl w:val="1"/>
          <w:numId w:val="118"/>
        </w:numPr>
        <w:spacing w:after="200" w:line="276" w:lineRule="auto"/>
        <w:contextualSpacing/>
        <w:jc w:val="both"/>
        <w:rPr>
          <w:rFonts w:eastAsia="Times New Roman"/>
          <w:noProof/>
          <w:lang w:val="sq-AL"/>
        </w:rPr>
      </w:pPr>
      <w:r w:rsidRPr="00D73F43">
        <w:rPr>
          <w:rFonts w:eastAsia="Times New Roman"/>
          <w:noProof/>
          <w:lang w:val="sq-AL"/>
        </w:rPr>
        <w:t>Është futur nën kontroll ndërtimi i HEC-eve në vend dhe tashmë  po avancohet me projekte të planifikuara  me rigorozitet në respektim të interesave të qytetarëve në komunitetet lokale dhe të mjedisit.</w:t>
      </w:r>
    </w:p>
    <w:p w:rsidR="00B0121D" w:rsidRPr="00D73F43" w:rsidRDefault="00B0121D" w:rsidP="00534AA6">
      <w:pPr>
        <w:numPr>
          <w:ilvl w:val="1"/>
          <w:numId w:val="118"/>
        </w:numPr>
        <w:spacing w:after="200" w:line="276" w:lineRule="auto"/>
        <w:contextualSpacing/>
        <w:jc w:val="both"/>
        <w:rPr>
          <w:rFonts w:eastAsia="Times New Roman"/>
          <w:noProof/>
          <w:lang w:val="sq-AL"/>
        </w:rPr>
      </w:pPr>
      <w:r w:rsidRPr="00D73F43">
        <w:rPr>
          <w:rFonts w:eastAsia="Times New Roman"/>
          <w:noProof/>
          <w:lang w:val="sq-AL"/>
        </w:rPr>
        <w:t>Është ndërtuar linja e Interkonjeksionit 400 kVA me Kosovën dhe Qendrën e re Dispeçer në sistemin e transmetimit në OST me një vlerë totale prej afërsisht 60 milionë Euro.</w:t>
      </w:r>
    </w:p>
    <w:p w:rsidR="00B0121D" w:rsidRPr="00D73F43" w:rsidRDefault="00B0121D" w:rsidP="00534AA6">
      <w:pPr>
        <w:numPr>
          <w:ilvl w:val="1"/>
          <w:numId w:val="118"/>
        </w:numPr>
        <w:spacing w:after="200" w:line="276" w:lineRule="auto"/>
        <w:contextualSpacing/>
        <w:jc w:val="both"/>
        <w:rPr>
          <w:rFonts w:eastAsia="Times New Roman"/>
          <w:noProof/>
          <w:lang w:val="sq-AL"/>
        </w:rPr>
      </w:pPr>
      <w:r w:rsidRPr="00D73F43">
        <w:rPr>
          <w:rFonts w:eastAsia="Times New Roman"/>
          <w:noProof/>
          <w:lang w:val="sq-AL"/>
        </w:rPr>
        <w:t>Jemi duke bërë remontin e turbinave në HEC Koman dhe së shpejti do fillojmë edhe me HEC Fierza, si edhe po vazhdojmë me projektin e sigurisë së digave në Koman dhe Fierzë me financim të Bankës Botërore.</w:t>
      </w:r>
    </w:p>
    <w:p w:rsidR="00B0121D" w:rsidRPr="00D73F43" w:rsidRDefault="00A3010C" w:rsidP="00534AA6">
      <w:pPr>
        <w:numPr>
          <w:ilvl w:val="1"/>
          <w:numId w:val="118"/>
        </w:numPr>
        <w:spacing w:after="200" w:line="276" w:lineRule="auto"/>
        <w:contextualSpacing/>
        <w:jc w:val="both"/>
        <w:rPr>
          <w:rFonts w:eastAsia="Times New Roman"/>
          <w:noProof/>
          <w:lang w:val="sq-AL"/>
        </w:rPr>
      </w:pPr>
      <w:r>
        <w:rPr>
          <w:rFonts w:eastAsia="Times New Roman"/>
          <w:noProof/>
          <w:lang w:val="sq-AL"/>
        </w:rPr>
        <w:t>Kemi menaxhuar</w:t>
      </w:r>
      <w:r w:rsidR="00B0121D" w:rsidRPr="00D73F43">
        <w:rPr>
          <w:rFonts w:eastAsia="Times New Roman"/>
          <w:noProof/>
          <w:lang w:val="sq-AL"/>
        </w:rPr>
        <w:t xml:space="preserve"> kaskadën e Drinit duke maksimizuar prodhimin dhe eficencën, edhe në kushte të prurjeve vjetore nën mesataren dhe me luahtje të mëdha stinore, duke u kujdesur që cdo metër kub ujë do të përdoret me eficencë për prodhimin e energjisë.  </w:t>
      </w:r>
    </w:p>
    <w:p w:rsidR="00B0121D" w:rsidRPr="00D73F43" w:rsidRDefault="00B0121D" w:rsidP="00534AA6">
      <w:pPr>
        <w:numPr>
          <w:ilvl w:val="1"/>
          <w:numId w:val="118"/>
        </w:numPr>
        <w:spacing w:after="200" w:line="276" w:lineRule="auto"/>
        <w:contextualSpacing/>
        <w:jc w:val="both"/>
        <w:rPr>
          <w:rFonts w:eastAsia="Times New Roman"/>
          <w:noProof/>
          <w:lang w:val="sq-AL"/>
        </w:rPr>
      </w:pPr>
      <w:r w:rsidRPr="00D73F43">
        <w:rPr>
          <w:rFonts w:eastAsia="Times New Roman"/>
          <w:noProof/>
          <w:lang w:val="sq-AL"/>
        </w:rPr>
        <w:lastRenderedPageBreak/>
        <w:t>Është arritur një marrëveshje bashkëpunimi mes KESH sh.a. dhe OSHEE sh.a. për shit-blerjen e energjisë elektrike gjatë sezonit të shirave duke maksimizuar të ardhurat e të dy ndërmarrjeve me rreth 72 milionë Euro në vitin 2015 dhe afërsisht me të njëjtin rezultat pritet edhe për vitin 2016.</w:t>
      </w:r>
    </w:p>
    <w:p w:rsidR="00B0121D" w:rsidRPr="00D73F43" w:rsidRDefault="00B0121D" w:rsidP="00534AA6">
      <w:pPr>
        <w:numPr>
          <w:ilvl w:val="1"/>
          <w:numId w:val="118"/>
        </w:numPr>
        <w:spacing w:after="200" w:line="276" w:lineRule="auto"/>
        <w:contextualSpacing/>
        <w:jc w:val="both"/>
        <w:rPr>
          <w:rFonts w:eastAsia="Times New Roman"/>
          <w:noProof/>
          <w:lang w:val="sq-AL"/>
        </w:rPr>
      </w:pPr>
      <w:r w:rsidRPr="00D73F43">
        <w:rPr>
          <w:rFonts w:eastAsia="Times New Roman"/>
          <w:noProof/>
          <w:lang w:val="sq-AL"/>
        </w:rPr>
        <w:t xml:space="preserve">Janë dyfishuar të ardhurat në OSHEE sh.a. në krahasim me vitin 2013, pavarësisht uljes së nivelit të </w:t>
      </w:r>
      <w:r w:rsidR="00642658">
        <w:rPr>
          <w:rFonts w:eastAsia="Times New Roman"/>
          <w:noProof/>
          <w:lang w:val="sq-AL"/>
        </w:rPr>
        <w:t>blerjes së energjisë nga 7.3 TWh në 6.4 TW</w:t>
      </w:r>
      <w:r w:rsidRPr="00D73F43">
        <w:rPr>
          <w:rFonts w:eastAsia="Times New Roman"/>
          <w:noProof/>
          <w:lang w:val="sq-AL"/>
        </w:rPr>
        <w:t>h në vit.</w:t>
      </w:r>
    </w:p>
    <w:p w:rsidR="00B0121D" w:rsidRPr="00D73F43" w:rsidRDefault="00B0121D" w:rsidP="00534AA6">
      <w:pPr>
        <w:numPr>
          <w:ilvl w:val="1"/>
          <w:numId w:val="118"/>
        </w:numPr>
        <w:spacing w:after="200" w:line="276" w:lineRule="auto"/>
        <w:contextualSpacing/>
        <w:jc w:val="both"/>
        <w:rPr>
          <w:rFonts w:eastAsia="Times New Roman"/>
          <w:noProof/>
          <w:lang w:val="sq-AL"/>
        </w:rPr>
      </w:pPr>
      <w:r w:rsidRPr="00D73F43">
        <w:rPr>
          <w:rFonts w:eastAsia="Times New Roman"/>
          <w:noProof/>
          <w:lang w:val="sq-AL"/>
        </w:rPr>
        <w:t>Që prej vitit 2015, OSHEE sh.a. rezulton me fluks neto të parasë pozitive, objektiv i arritur tre vjet më herët se parashikimi në Planin e Rikuperimit Financiar të Sektorit të Energjisë Elektrike.</w:t>
      </w:r>
    </w:p>
    <w:p w:rsidR="00B0121D" w:rsidRPr="00D73F43" w:rsidRDefault="00B0121D" w:rsidP="00534AA6">
      <w:pPr>
        <w:numPr>
          <w:ilvl w:val="1"/>
          <w:numId w:val="118"/>
        </w:numPr>
        <w:spacing w:after="200" w:line="276" w:lineRule="auto"/>
        <w:contextualSpacing/>
        <w:jc w:val="both"/>
        <w:rPr>
          <w:rFonts w:eastAsia="Times New Roman"/>
          <w:noProof/>
          <w:lang w:val="sq-AL"/>
        </w:rPr>
      </w:pPr>
      <w:r w:rsidRPr="00D73F43">
        <w:rPr>
          <w:rFonts w:eastAsia="Times New Roman"/>
          <w:noProof/>
          <w:lang w:val="sq-AL"/>
        </w:rPr>
        <w:t>Nga Janari 2015 OSHEE paguan 100% të faturës korrente dhe të shërbimeve të rrjetit duke mos gjeneruar më borxhe të reja.</w:t>
      </w:r>
    </w:p>
    <w:p w:rsidR="00B0121D" w:rsidRPr="00D73F43" w:rsidRDefault="00B0121D" w:rsidP="00534AA6">
      <w:pPr>
        <w:numPr>
          <w:ilvl w:val="1"/>
          <w:numId w:val="118"/>
        </w:numPr>
        <w:spacing w:after="200" w:line="276" w:lineRule="auto"/>
        <w:contextualSpacing/>
        <w:jc w:val="both"/>
        <w:rPr>
          <w:rFonts w:eastAsia="Times New Roman"/>
          <w:noProof/>
          <w:lang w:val="sq-AL"/>
        </w:rPr>
      </w:pPr>
      <w:r w:rsidRPr="00D73F43">
        <w:rPr>
          <w:rFonts w:eastAsia="Times New Roman"/>
          <w:noProof/>
          <w:lang w:val="sq-AL"/>
        </w:rPr>
        <w:t>Kanë hyrë në akt-marrëveshje mbi 330 mijë abonentë familjarë dhe mbi 18 mijë jo-familjarë për debitë e prapambetura duke krijuar një të ardhur konstante, e cila do të ristrukturohet për likuidimin e detyrimeve të prapambetura të OSHEE sh.a. ndaj KESH sh.a. dhe OST sh.a..</w:t>
      </w:r>
    </w:p>
    <w:p w:rsidR="00B0121D" w:rsidRPr="00D73F43" w:rsidRDefault="00B0121D" w:rsidP="00534AA6">
      <w:pPr>
        <w:numPr>
          <w:ilvl w:val="1"/>
          <w:numId w:val="118"/>
        </w:numPr>
        <w:spacing w:after="200" w:line="276" w:lineRule="auto"/>
        <w:contextualSpacing/>
        <w:jc w:val="both"/>
        <w:rPr>
          <w:rFonts w:eastAsia="Times New Roman"/>
          <w:noProof/>
          <w:lang w:val="sq-AL"/>
        </w:rPr>
      </w:pPr>
      <w:r w:rsidRPr="00D73F43">
        <w:rPr>
          <w:rFonts w:eastAsia="Times New Roman"/>
          <w:noProof/>
          <w:lang w:val="sq-AL"/>
        </w:rPr>
        <w:t>Janë krijuar kushtet e duhura për të patur një performancë pozitive të qëndrueshmërisë së sektorit të energjisë elektrike duke krijuar siguri për mos-rritje tarifash për energjinë elektrike për konsumatorin fundor në vitet në vijim.</w:t>
      </w:r>
    </w:p>
    <w:p w:rsidR="00B0121D" w:rsidRPr="00D73F43" w:rsidRDefault="00B0121D" w:rsidP="00B0121D">
      <w:pPr>
        <w:spacing w:after="200" w:line="276" w:lineRule="auto"/>
        <w:ind w:left="1440"/>
        <w:contextualSpacing/>
        <w:jc w:val="both"/>
        <w:rPr>
          <w:rFonts w:eastAsia="Times New Roman"/>
          <w:noProof/>
          <w:lang w:val="sq-AL"/>
        </w:rPr>
      </w:pPr>
    </w:p>
    <w:p w:rsidR="00B0121D" w:rsidRPr="00D73F43" w:rsidRDefault="00B0121D" w:rsidP="006E1DB0">
      <w:pPr>
        <w:spacing w:after="200" w:line="276" w:lineRule="auto"/>
        <w:contextualSpacing/>
        <w:jc w:val="both"/>
        <w:rPr>
          <w:rFonts w:eastAsia="Times New Roman"/>
          <w:noProof/>
          <w:lang w:val="sq-AL"/>
        </w:rPr>
      </w:pPr>
      <w:r w:rsidRPr="00D73F43">
        <w:rPr>
          <w:rFonts w:eastAsia="Times New Roman"/>
          <w:noProof/>
          <w:lang w:val="sq-AL"/>
        </w:rPr>
        <w:t>Sektori minerar dhe i industrisë nxjerrëse iu nënshtrua një reforme si nga ana ligjore e fiskale, ashtu edhe nga ana e formalizimit të tij:</w:t>
      </w:r>
    </w:p>
    <w:p w:rsidR="00B0121D" w:rsidRPr="00D73F43" w:rsidRDefault="00B0121D" w:rsidP="00534AA6">
      <w:pPr>
        <w:numPr>
          <w:ilvl w:val="1"/>
          <w:numId w:val="119"/>
        </w:numPr>
        <w:spacing w:line="276" w:lineRule="auto"/>
        <w:contextualSpacing/>
        <w:jc w:val="both"/>
        <w:rPr>
          <w:rFonts w:eastAsia="Times New Roman"/>
          <w:noProof/>
          <w:lang w:val="sq-AL"/>
        </w:rPr>
      </w:pPr>
      <w:r w:rsidRPr="00D73F43">
        <w:rPr>
          <w:rFonts w:eastAsia="Times New Roman"/>
          <w:noProof/>
          <w:lang w:val="sq-AL"/>
        </w:rPr>
        <w:t>Janë anuluar dhe revokuar mbi 70 leje minerare në kushte rreziku dhe me mbivendosje pa shkaktuar efekte negative në volumin e përgjithshëm të prodhimit të kësaj industrie. Kjo ka sjellë rritje 100% të formalizimit të bizneseve në këtë sektor, si dhe përmirësim të kushteve teknike dhe të punës sipas standardeve të kërkuara nga ligji dhe rregulloret në sektor.</w:t>
      </w:r>
    </w:p>
    <w:p w:rsidR="00B0121D" w:rsidRPr="00D73F43" w:rsidRDefault="00B0121D" w:rsidP="00534AA6">
      <w:pPr>
        <w:numPr>
          <w:ilvl w:val="1"/>
          <w:numId w:val="119"/>
        </w:numPr>
        <w:spacing w:line="276" w:lineRule="auto"/>
        <w:contextualSpacing/>
        <w:jc w:val="both"/>
        <w:rPr>
          <w:rFonts w:eastAsia="Times New Roman"/>
          <w:noProof/>
          <w:lang w:val="sq-AL"/>
        </w:rPr>
      </w:pPr>
      <w:r w:rsidRPr="00D73F43">
        <w:rPr>
          <w:rFonts w:eastAsia="Times New Roman"/>
          <w:noProof/>
          <w:lang w:val="sq-AL"/>
        </w:rPr>
        <w:t>Është vënë nën kontroll i gjithë tregu i karburanteve për sa i takon kontrollit të cilësisë, duke garantuar në të njëjtën kohë edhe konkurrencë të lirë në treg e barazi para ligjit.</w:t>
      </w:r>
    </w:p>
    <w:p w:rsidR="00B0121D" w:rsidRPr="00D73F43" w:rsidRDefault="00B0121D" w:rsidP="00534AA6">
      <w:pPr>
        <w:numPr>
          <w:ilvl w:val="1"/>
          <w:numId w:val="119"/>
        </w:numPr>
        <w:spacing w:line="276" w:lineRule="auto"/>
        <w:contextualSpacing/>
        <w:jc w:val="both"/>
        <w:rPr>
          <w:rFonts w:eastAsia="Times New Roman"/>
          <w:noProof/>
          <w:lang w:val="sq-AL"/>
        </w:rPr>
      </w:pPr>
      <w:r w:rsidRPr="00D73F43">
        <w:rPr>
          <w:rFonts w:eastAsia="Times New Roman"/>
          <w:noProof/>
          <w:lang w:val="sq-AL"/>
        </w:rPr>
        <w:t>Është formalizuar nëpërmjet vënies nën kontroll të prodhimit dhe përpunimit të hidrokarbureve të gjithë sektorin hidrokarbur duke rritur ndjeshëm prodhimin e naftës bruto me 1.4 milionë ton/vit, edhe pse tregu i saj ndërkombëtar nuk ka qenë i favorshëm.</w:t>
      </w:r>
    </w:p>
    <w:p w:rsidR="00C05F2E" w:rsidRPr="006D51B9" w:rsidRDefault="00B0121D" w:rsidP="00534AA6">
      <w:pPr>
        <w:numPr>
          <w:ilvl w:val="1"/>
          <w:numId w:val="119"/>
        </w:numPr>
        <w:spacing w:line="276" w:lineRule="auto"/>
        <w:contextualSpacing/>
        <w:jc w:val="both"/>
        <w:rPr>
          <w:rFonts w:eastAsia="Times New Roman"/>
          <w:noProof/>
          <w:lang w:val="sq-AL"/>
        </w:rPr>
      </w:pPr>
      <w:r w:rsidRPr="00D73F43">
        <w:rPr>
          <w:rFonts w:eastAsia="Times New Roman"/>
          <w:noProof/>
          <w:lang w:val="sq-AL"/>
        </w:rPr>
        <w:t>Është arritur të vendoset kontroll i plotë mbi operacionet hidrokarbure në kërkim dhe zhvillim duke ndaluar aplikimin e metodave që shtojnë rrezikun nga tërmetet në fushat e naftës dhe gazit.</w:t>
      </w:r>
    </w:p>
    <w:p w:rsidR="00C05F2E" w:rsidRPr="00D73F43" w:rsidRDefault="00C05F2E" w:rsidP="00B0121D">
      <w:pPr>
        <w:spacing w:line="276" w:lineRule="auto"/>
        <w:ind w:left="1440"/>
        <w:contextualSpacing/>
        <w:jc w:val="both"/>
        <w:rPr>
          <w:rFonts w:eastAsia="Times New Roman"/>
          <w:noProof/>
          <w:lang w:val="sq-AL"/>
        </w:rPr>
      </w:pPr>
    </w:p>
    <w:p w:rsidR="00B0121D" w:rsidRPr="00D73F43" w:rsidRDefault="00642658" w:rsidP="00B0121D">
      <w:pPr>
        <w:spacing w:line="276" w:lineRule="auto"/>
        <w:rPr>
          <w:rFonts w:eastAsia="MS Mincho"/>
          <w:b/>
          <w:noProof/>
          <w:szCs w:val="20"/>
          <w:lang w:val="sq-AL"/>
        </w:rPr>
      </w:pPr>
      <w:r>
        <w:rPr>
          <w:rFonts w:eastAsia="MS Mincho"/>
          <w:b/>
          <w:noProof/>
          <w:szCs w:val="20"/>
          <w:lang w:val="sq-AL"/>
        </w:rPr>
        <w:t>4.</w:t>
      </w:r>
      <w:r w:rsidR="00B0121D" w:rsidRPr="00D73F43">
        <w:rPr>
          <w:rFonts w:eastAsia="MS Mincho"/>
          <w:b/>
          <w:noProof/>
          <w:szCs w:val="20"/>
          <w:lang w:val="sq-AL"/>
        </w:rPr>
        <w:t>9.3 Prioritetet e projekt-buxhetit 2017</w:t>
      </w:r>
    </w:p>
    <w:p w:rsidR="00B0121D" w:rsidRPr="00D73F43" w:rsidRDefault="00B0121D" w:rsidP="00B0121D">
      <w:pPr>
        <w:spacing w:line="276" w:lineRule="auto"/>
        <w:rPr>
          <w:rFonts w:eastAsia="MS Mincho"/>
          <w:b/>
          <w:noProof/>
          <w:szCs w:val="20"/>
          <w:lang w:val="sq-AL"/>
        </w:rPr>
      </w:pPr>
    </w:p>
    <w:p w:rsidR="00B0121D" w:rsidRPr="00D73F43" w:rsidRDefault="00B0121D" w:rsidP="00B0121D">
      <w:pPr>
        <w:spacing w:after="200" w:line="276" w:lineRule="auto"/>
        <w:jc w:val="both"/>
        <w:rPr>
          <w:rFonts w:eastAsia="Times New Roman"/>
          <w:noProof/>
          <w:lang w:val="sq-AL"/>
        </w:rPr>
      </w:pPr>
      <w:r w:rsidRPr="00D73F43">
        <w:rPr>
          <w:rFonts w:eastAsia="Times New Roman"/>
          <w:noProof/>
          <w:lang w:val="sq-AL"/>
        </w:rPr>
        <w:t>Në sektorin e Energjisë synohet:</w:t>
      </w:r>
    </w:p>
    <w:p w:rsidR="00B0121D" w:rsidRPr="00D73F43" w:rsidRDefault="00B0121D" w:rsidP="00534AA6">
      <w:pPr>
        <w:numPr>
          <w:ilvl w:val="0"/>
          <w:numId w:val="61"/>
        </w:numPr>
        <w:spacing w:after="200" w:line="276" w:lineRule="auto"/>
        <w:contextualSpacing/>
        <w:jc w:val="both"/>
        <w:rPr>
          <w:rFonts w:eastAsia="Times New Roman"/>
          <w:noProof/>
          <w:lang w:val="sq-AL"/>
        </w:rPr>
      </w:pPr>
      <w:r w:rsidRPr="00D73F43">
        <w:rPr>
          <w:rFonts w:eastAsia="Times New Roman"/>
          <w:noProof/>
          <w:lang w:val="sq-AL"/>
        </w:rPr>
        <w:t>Përfundimi i rrugës Banjë-Moglicë me të gjithë segmentet e saj si pjesë e projektit më të madh energjitik në vend, HEC Banjë-Moglicë.</w:t>
      </w:r>
    </w:p>
    <w:p w:rsidR="00B0121D" w:rsidRPr="00D73F43" w:rsidRDefault="00B0121D" w:rsidP="00534AA6">
      <w:pPr>
        <w:numPr>
          <w:ilvl w:val="0"/>
          <w:numId w:val="61"/>
        </w:numPr>
        <w:spacing w:after="200" w:line="276" w:lineRule="auto"/>
        <w:contextualSpacing/>
        <w:jc w:val="both"/>
        <w:rPr>
          <w:rFonts w:eastAsia="Times New Roman"/>
          <w:noProof/>
          <w:lang w:val="sq-AL"/>
        </w:rPr>
      </w:pPr>
      <w:r w:rsidRPr="00D73F43">
        <w:rPr>
          <w:rFonts w:eastAsia="Times New Roman"/>
          <w:noProof/>
          <w:lang w:val="sq-AL"/>
        </w:rPr>
        <w:t>Rehabilitim i Qytetit Studenti në kushtet e eficencës së energjisë, faza e dytë.</w:t>
      </w:r>
    </w:p>
    <w:p w:rsidR="00B0121D" w:rsidRPr="00D73F43" w:rsidRDefault="00B0121D" w:rsidP="00534AA6">
      <w:pPr>
        <w:numPr>
          <w:ilvl w:val="0"/>
          <w:numId w:val="61"/>
        </w:numPr>
        <w:spacing w:after="200" w:line="276" w:lineRule="auto"/>
        <w:contextualSpacing/>
        <w:jc w:val="both"/>
        <w:rPr>
          <w:rFonts w:eastAsia="Times New Roman"/>
          <w:noProof/>
          <w:lang w:val="sq-AL"/>
        </w:rPr>
      </w:pPr>
      <w:r w:rsidRPr="00D73F43">
        <w:rPr>
          <w:rFonts w:eastAsia="Times New Roman"/>
          <w:noProof/>
          <w:lang w:val="sq-AL"/>
        </w:rPr>
        <w:t>Fillimi i fazës së parë të projektit “Rimëkëmbje e sektorit elektro-energjitik” për ngritje kapacitetesh në sistemin elektro-energjitik shqiptar.</w:t>
      </w:r>
    </w:p>
    <w:p w:rsidR="00B0121D" w:rsidRPr="00D73F43" w:rsidRDefault="00B0121D" w:rsidP="00534AA6">
      <w:pPr>
        <w:numPr>
          <w:ilvl w:val="0"/>
          <w:numId w:val="61"/>
        </w:numPr>
        <w:spacing w:after="200" w:line="276" w:lineRule="auto"/>
        <w:contextualSpacing/>
        <w:jc w:val="both"/>
        <w:rPr>
          <w:rFonts w:eastAsia="Times New Roman"/>
          <w:noProof/>
          <w:lang w:val="sq-AL"/>
        </w:rPr>
      </w:pPr>
      <w:r w:rsidRPr="00D73F43">
        <w:rPr>
          <w:rFonts w:eastAsia="Times New Roman"/>
          <w:noProof/>
          <w:lang w:val="sq-AL"/>
        </w:rPr>
        <w:t>Do të ngrihet Agjencia e Eficencës së Energjisë bazuar ne ligjin 124/2015 me një kërkesë për financim  së bashku me krijimin e udhëzuesit për prokurimin e gjelbërt dhe procesin e auditimit për disa prej konsumatorëve më të mëdhenj publikë të energjisë.</w:t>
      </w:r>
    </w:p>
    <w:p w:rsidR="00B0121D" w:rsidRPr="00D73F43" w:rsidRDefault="00B0121D" w:rsidP="00534AA6">
      <w:pPr>
        <w:numPr>
          <w:ilvl w:val="0"/>
          <w:numId w:val="61"/>
        </w:numPr>
        <w:spacing w:after="200" w:line="276" w:lineRule="auto"/>
        <w:contextualSpacing/>
        <w:jc w:val="both"/>
        <w:rPr>
          <w:rFonts w:eastAsia="Times New Roman"/>
          <w:noProof/>
          <w:lang w:val="sq-AL"/>
        </w:rPr>
      </w:pPr>
      <w:r w:rsidRPr="00D73F43">
        <w:rPr>
          <w:rFonts w:eastAsia="Times New Roman"/>
          <w:noProof/>
          <w:lang w:val="sq-AL"/>
        </w:rPr>
        <w:lastRenderedPageBreak/>
        <w:t>Do të fillojë aplikimi i përdorimit të sistemeve alternative me eficiencë të lartë për sistemet teknike në një qendër rezidenciale për personat me aftësi të kufizuar ose e ngjashme me vlerë 18.9 milionë lekë.</w:t>
      </w:r>
    </w:p>
    <w:p w:rsidR="00B0121D" w:rsidRPr="00D73F43" w:rsidRDefault="00B0121D" w:rsidP="00534AA6">
      <w:pPr>
        <w:numPr>
          <w:ilvl w:val="0"/>
          <w:numId w:val="61"/>
        </w:numPr>
        <w:spacing w:after="200" w:line="276" w:lineRule="auto"/>
        <w:contextualSpacing/>
        <w:jc w:val="both"/>
        <w:rPr>
          <w:rFonts w:eastAsia="Times New Roman"/>
          <w:noProof/>
          <w:lang w:val="sq-AL"/>
        </w:rPr>
      </w:pPr>
      <w:r w:rsidRPr="00D73F43">
        <w:rPr>
          <w:rFonts w:eastAsia="Times New Roman"/>
          <w:noProof/>
          <w:lang w:val="sq-AL"/>
        </w:rPr>
        <w:t>Ngritja e kapaciteteve për zhvillimin e infrastrukturave të gazit në Shqipëri, faza e dytë e tij.</w:t>
      </w:r>
    </w:p>
    <w:p w:rsidR="00B0121D" w:rsidRPr="00D73F43" w:rsidRDefault="00B0121D" w:rsidP="00534AA6">
      <w:pPr>
        <w:numPr>
          <w:ilvl w:val="0"/>
          <w:numId w:val="61"/>
        </w:numPr>
        <w:spacing w:after="200" w:line="276" w:lineRule="auto"/>
        <w:contextualSpacing/>
        <w:jc w:val="both"/>
        <w:rPr>
          <w:rFonts w:eastAsia="Times New Roman"/>
          <w:noProof/>
          <w:lang w:val="sq-AL"/>
        </w:rPr>
      </w:pPr>
      <w:r w:rsidRPr="00D73F43">
        <w:rPr>
          <w:rFonts w:eastAsia="Times New Roman"/>
          <w:noProof/>
          <w:lang w:val="sq-AL"/>
        </w:rPr>
        <w:t>Do të vijojë zbatimi i projektit të interkonjeksionit me Maqedoninë me një vlerë prej afërsisht 72 milionë Euro.</w:t>
      </w:r>
    </w:p>
    <w:p w:rsidR="00B0121D" w:rsidRPr="00D73F43" w:rsidRDefault="00B0121D" w:rsidP="00B0121D">
      <w:pPr>
        <w:spacing w:after="200" w:line="276" w:lineRule="auto"/>
        <w:jc w:val="both"/>
        <w:rPr>
          <w:rFonts w:eastAsia="Times New Roman"/>
          <w:noProof/>
          <w:lang w:val="sq-AL"/>
        </w:rPr>
      </w:pPr>
    </w:p>
    <w:p w:rsidR="00B0121D" w:rsidRPr="00D73F43" w:rsidRDefault="00B0121D" w:rsidP="00B0121D">
      <w:pPr>
        <w:spacing w:after="200" w:line="276" w:lineRule="auto"/>
        <w:jc w:val="both"/>
        <w:rPr>
          <w:rFonts w:eastAsia="Times New Roman"/>
          <w:noProof/>
          <w:lang w:val="sq-AL"/>
        </w:rPr>
      </w:pPr>
      <w:r w:rsidRPr="00D73F43">
        <w:rPr>
          <w:rFonts w:eastAsia="Times New Roman"/>
          <w:noProof/>
          <w:lang w:val="sq-AL"/>
        </w:rPr>
        <w:t>Në programin “Mbështetje për burimet natyrore” synohet:</w:t>
      </w:r>
    </w:p>
    <w:p w:rsidR="00B0121D" w:rsidRPr="00D73F43" w:rsidRDefault="00B0121D" w:rsidP="00534AA6">
      <w:pPr>
        <w:numPr>
          <w:ilvl w:val="0"/>
          <w:numId w:val="61"/>
        </w:numPr>
        <w:spacing w:after="200" w:line="276" w:lineRule="auto"/>
        <w:contextualSpacing/>
        <w:jc w:val="both"/>
        <w:rPr>
          <w:rFonts w:eastAsia="Times New Roman"/>
          <w:noProof/>
          <w:lang w:val="sq-AL"/>
        </w:rPr>
      </w:pPr>
      <w:r w:rsidRPr="00D73F43">
        <w:rPr>
          <w:rFonts w:eastAsia="Times New Roman"/>
          <w:noProof/>
          <w:lang w:val="sq-AL"/>
        </w:rPr>
        <w:t>Vazhdimi i konservimit dhe mbylljes së minierave të braktisura dhe në të cilat ka mbaruar shfrytëzimi, si një rrezik i vazhdueshëm</w:t>
      </w:r>
      <w:r w:rsidR="006E1DB0">
        <w:rPr>
          <w:rFonts w:eastAsia="Times New Roman"/>
          <w:noProof/>
          <w:lang w:val="sq-AL"/>
        </w:rPr>
        <w:t xml:space="preserve"> për jetën në zonën ku ndodhen</w:t>
      </w:r>
      <w:r w:rsidRPr="00D73F43">
        <w:rPr>
          <w:rFonts w:eastAsia="Times New Roman"/>
          <w:noProof/>
          <w:lang w:val="sq-AL"/>
        </w:rPr>
        <w:t>. Objektivi është të mbyllen më shumë se 150 galeri. Kjo është pjesë e programit të Qeverisë për sigurinë e jetës së qytetarëve dhe për rikuperimin e mjedisit të dëmtuar nga veprimtaria minerare.</w:t>
      </w:r>
    </w:p>
    <w:p w:rsidR="00B0121D" w:rsidRPr="00D73F43" w:rsidRDefault="00B0121D" w:rsidP="00534AA6">
      <w:pPr>
        <w:numPr>
          <w:ilvl w:val="0"/>
          <w:numId w:val="61"/>
        </w:numPr>
        <w:spacing w:after="200" w:line="276" w:lineRule="auto"/>
        <w:contextualSpacing/>
        <w:jc w:val="both"/>
        <w:rPr>
          <w:rFonts w:eastAsia="Times New Roman"/>
          <w:noProof/>
          <w:lang w:val="sq-AL"/>
        </w:rPr>
      </w:pPr>
      <w:r w:rsidRPr="00D73F43">
        <w:rPr>
          <w:rFonts w:eastAsia="Times New Roman"/>
          <w:noProof/>
          <w:lang w:val="sq-AL"/>
        </w:rPr>
        <w:t>Dixhitalizimi i të dhënave minerare nëpërmjet instalimit dhe hedhjes së tyre në sistem në AKBN, faza e dytë.</w:t>
      </w:r>
    </w:p>
    <w:p w:rsidR="00B0121D" w:rsidRPr="00D73F43" w:rsidRDefault="00B0121D" w:rsidP="00534AA6">
      <w:pPr>
        <w:numPr>
          <w:ilvl w:val="0"/>
          <w:numId w:val="61"/>
        </w:numPr>
        <w:spacing w:after="200" w:line="276" w:lineRule="auto"/>
        <w:contextualSpacing/>
        <w:jc w:val="both"/>
        <w:rPr>
          <w:rFonts w:eastAsia="Times New Roman"/>
          <w:noProof/>
          <w:lang w:val="sq-AL"/>
        </w:rPr>
      </w:pPr>
      <w:r w:rsidRPr="00D73F43">
        <w:rPr>
          <w:rFonts w:eastAsia="Times New Roman"/>
          <w:noProof/>
          <w:lang w:val="sq-AL"/>
        </w:rPr>
        <w:t>Vazhdimi i procesit të mbikëqyrjes dhe monitorimit të shfrytëzimit të burimeve minerare dhe kujdesit për mjedisin.</w:t>
      </w:r>
    </w:p>
    <w:p w:rsidR="00B0121D" w:rsidRPr="00D73F43" w:rsidRDefault="00B0121D" w:rsidP="00534AA6">
      <w:pPr>
        <w:numPr>
          <w:ilvl w:val="0"/>
          <w:numId w:val="61"/>
        </w:numPr>
        <w:spacing w:after="200" w:line="276" w:lineRule="auto"/>
        <w:contextualSpacing/>
        <w:jc w:val="both"/>
        <w:rPr>
          <w:rFonts w:eastAsia="Times New Roman"/>
          <w:noProof/>
          <w:lang w:val="sq-AL"/>
        </w:rPr>
      </w:pPr>
      <w:r w:rsidRPr="00D73F43">
        <w:rPr>
          <w:rFonts w:eastAsia="Times New Roman"/>
          <w:noProof/>
          <w:lang w:val="sq-AL"/>
        </w:rPr>
        <w:t>Vazhdimi i procesit të kontrollit të ecurisë së HEC-eve private me koncesion dhe marrja në dorëzim e tyre sipas kontratave respektive në favor të shtetit.</w:t>
      </w:r>
    </w:p>
    <w:p w:rsidR="00B0121D" w:rsidRPr="00D73F43" w:rsidRDefault="00B0121D" w:rsidP="00B0121D">
      <w:pPr>
        <w:spacing w:after="200" w:line="276" w:lineRule="auto"/>
        <w:jc w:val="both"/>
        <w:rPr>
          <w:rFonts w:eastAsia="Times New Roman"/>
          <w:noProof/>
          <w:lang w:val="sq-AL"/>
        </w:rPr>
      </w:pPr>
    </w:p>
    <w:p w:rsidR="00B0121D" w:rsidRPr="00D73F43" w:rsidRDefault="00B0121D" w:rsidP="00B0121D">
      <w:pPr>
        <w:spacing w:after="200" w:line="276" w:lineRule="auto"/>
        <w:jc w:val="both"/>
        <w:rPr>
          <w:rFonts w:eastAsia="Times New Roman"/>
          <w:noProof/>
          <w:lang w:val="sq-AL"/>
        </w:rPr>
      </w:pPr>
      <w:r w:rsidRPr="00D73F43">
        <w:rPr>
          <w:rFonts w:eastAsia="Times New Roman"/>
          <w:noProof/>
          <w:lang w:val="sq-AL"/>
        </w:rPr>
        <w:t>Në programin “Mbështetje për industrinë” synohet:</w:t>
      </w:r>
    </w:p>
    <w:p w:rsidR="00B0121D" w:rsidRPr="00D73F43" w:rsidRDefault="00B0121D" w:rsidP="00534AA6">
      <w:pPr>
        <w:numPr>
          <w:ilvl w:val="0"/>
          <w:numId w:val="77"/>
        </w:numPr>
        <w:spacing w:after="200" w:line="276" w:lineRule="auto"/>
        <w:contextualSpacing/>
        <w:jc w:val="both"/>
        <w:rPr>
          <w:rFonts w:eastAsia="Times New Roman"/>
          <w:noProof/>
          <w:lang w:val="sq-AL"/>
        </w:rPr>
      </w:pPr>
      <w:r w:rsidRPr="00D73F43">
        <w:rPr>
          <w:rFonts w:eastAsia="Times New Roman"/>
          <w:noProof/>
          <w:lang w:val="sq-AL"/>
        </w:rPr>
        <w:t>Rikonstruksioni dhe grumbullim i përqëndruar i kimikateve të industrisë, të trashëguara dhe mbetura në ish-ndërmarrjet shtetërore të industrisë në Qendrën e Grumbullimit dhe Trajtimit të Kimikateve të Rrezikshme në Elbasan. Ky proces ka filluar me rikrijimin dhe vendosjen e kësaj qendre nga ish NFIM sipas standardeve për trajtimin dhe eleminimin e rrezikshmërisë së këtyre kimikateve për publikun dhe mjedisin, si edhe për komercializimin e një pjese të tyre që janë të kërkuara në treg.</w:t>
      </w:r>
    </w:p>
    <w:p w:rsidR="00B0121D" w:rsidRPr="00D73F43" w:rsidRDefault="00B0121D" w:rsidP="00534AA6">
      <w:pPr>
        <w:numPr>
          <w:ilvl w:val="0"/>
          <w:numId w:val="77"/>
        </w:numPr>
        <w:spacing w:after="200" w:line="276" w:lineRule="auto"/>
        <w:contextualSpacing/>
        <w:jc w:val="both"/>
        <w:rPr>
          <w:rFonts w:eastAsia="Times New Roman"/>
          <w:noProof/>
          <w:lang w:val="sq-AL"/>
        </w:rPr>
      </w:pPr>
      <w:r w:rsidRPr="00D73F43">
        <w:rPr>
          <w:rFonts w:eastAsia="Times New Roman"/>
          <w:noProof/>
          <w:lang w:val="sq-AL"/>
        </w:rPr>
        <w:t>Kompletim i laboratorit dhe blerje pajisjesh specifike në ISHTI për garantimin e standardeve të tregut dhe të konsumit për karburantet dhe enët nën presion.</w:t>
      </w:r>
    </w:p>
    <w:p w:rsidR="00B0121D" w:rsidRPr="00D73F43" w:rsidRDefault="00B0121D" w:rsidP="00534AA6">
      <w:pPr>
        <w:numPr>
          <w:ilvl w:val="0"/>
          <w:numId w:val="77"/>
        </w:numPr>
        <w:spacing w:after="200" w:line="276" w:lineRule="auto"/>
        <w:contextualSpacing/>
        <w:jc w:val="both"/>
        <w:rPr>
          <w:rFonts w:eastAsia="Times New Roman"/>
          <w:noProof/>
          <w:lang w:val="sq-AL"/>
        </w:rPr>
      </w:pPr>
      <w:r w:rsidRPr="00D73F43">
        <w:rPr>
          <w:rFonts w:eastAsia="Times New Roman"/>
          <w:noProof/>
          <w:lang w:val="sq-AL"/>
        </w:rPr>
        <w:t xml:space="preserve">Do të rehabilitohen zona dhe hapësira industriale në ish-ndërmarrjet industriale, me qëllim hapjen e  një procesi të ri zhvillimi për këto zona ekonomike në funksion të iniciativës së biznesit, projekt i cili është zhvilluar edhe me ndihmën e MZHETTS. </w:t>
      </w:r>
    </w:p>
    <w:p w:rsidR="00B0121D" w:rsidRPr="00D73F43" w:rsidRDefault="00B0121D" w:rsidP="00534AA6">
      <w:pPr>
        <w:numPr>
          <w:ilvl w:val="1"/>
          <w:numId w:val="120"/>
        </w:numPr>
        <w:spacing w:after="200" w:line="276" w:lineRule="auto"/>
        <w:contextualSpacing/>
        <w:jc w:val="both"/>
        <w:rPr>
          <w:rFonts w:eastAsia="Times New Roman"/>
          <w:noProof/>
          <w:lang w:val="sq-AL"/>
        </w:rPr>
      </w:pPr>
      <w:r w:rsidRPr="00D73F43">
        <w:rPr>
          <w:rFonts w:eastAsia="Times New Roman"/>
          <w:noProof/>
          <w:lang w:val="sq-AL"/>
        </w:rPr>
        <w:t>Efektet e menjëhershme të rritjes së interesit të bizneseve për zonën e Elbasanit me më shumë se 6 kërkesa për privatizim dhe zhvillim industrial në këtë territor brenda viti 2016, tregojnë për një sukses të garantuar të këtij projekti.</w:t>
      </w:r>
    </w:p>
    <w:p w:rsidR="00B0121D" w:rsidRPr="00D73F43" w:rsidRDefault="00B0121D" w:rsidP="00B0121D">
      <w:pPr>
        <w:ind w:left="432"/>
        <w:rPr>
          <w:rFonts w:eastAsia="MS Mincho"/>
          <w:b/>
          <w:lang w:val="sq-AL"/>
        </w:rPr>
      </w:pPr>
    </w:p>
    <w:p w:rsidR="00B0121D" w:rsidRPr="00D73F43" w:rsidRDefault="00B0121D" w:rsidP="006D51B9">
      <w:pPr>
        <w:rPr>
          <w:rFonts w:eastAsia="MS Mincho"/>
          <w:b/>
          <w:lang w:val="sq-AL"/>
        </w:rPr>
      </w:pPr>
    </w:p>
    <w:p w:rsidR="00B0121D" w:rsidRPr="006D51B9" w:rsidRDefault="00B0121D" w:rsidP="006E1DB0">
      <w:pPr>
        <w:pStyle w:val="Heading2"/>
        <w:numPr>
          <w:ilvl w:val="1"/>
          <w:numId w:val="163"/>
        </w:numPr>
        <w:rPr>
          <w:rFonts w:ascii="Times New Roman" w:hAnsi="Times New Roman"/>
          <w:i w:val="0"/>
        </w:rPr>
      </w:pPr>
      <w:bookmarkStart w:id="150" w:name="_Toc466445480"/>
      <w:r w:rsidRPr="006D51B9">
        <w:rPr>
          <w:rFonts w:ascii="Times New Roman" w:hAnsi="Times New Roman"/>
          <w:i w:val="0"/>
        </w:rPr>
        <w:t>DREJTËSIA</w:t>
      </w:r>
      <w:bookmarkEnd w:id="150"/>
    </w:p>
    <w:p w:rsidR="00B0121D" w:rsidRPr="00D73F43" w:rsidRDefault="00B0121D" w:rsidP="00B0121D">
      <w:pPr>
        <w:rPr>
          <w:rFonts w:eastAsia="MS Mincho"/>
          <w:b/>
          <w:noProof/>
          <w:szCs w:val="20"/>
          <w:lang w:val="sq-AL"/>
        </w:rPr>
      </w:pPr>
    </w:p>
    <w:p w:rsidR="00B0121D" w:rsidRPr="00D73F43" w:rsidRDefault="00642658" w:rsidP="00B0121D">
      <w:pPr>
        <w:rPr>
          <w:rFonts w:eastAsia="MS Mincho"/>
          <w:b/>
          <w:noProof/>
          <w:szCs w:val="20"/>
          <w:lang w:val="sq-AL"/>
        </w:rPr>
      </w:pPr>
      <w:r>
        <w:rPr>
          <w:rFonts w:eastAsia="MS Mincho"/>
          <w:b/>
          <w:noProof/>
          <w:szCs w:val="20"/>
          <w:lang w:val="sq-AL"/>
        </w:rPr>
        <w:t>4.</w:t>
      </w:r>
      <w:r w:rsidR="00B0121D" w:rsidRPr="00D73F43">
        <w:rPr>
          <w:rFonts w:eastAsia="MS Mincho"/>
          <w:b/>
          <w:noProof/>
          <w:szCs w:val="20"/>
          <w:lang w:val="sq-AL"/>
        </w:rPr>
        <w:t>10.1 Situata e sketorit në 2013</w:t>
      </w:r>
    </w:p>
    <w:p w:rsidR="00B0121D" w:rsidRPr="00D73F43" w:rsidRDefault="00B0121D" w:rsidP="00B0121D">
      <w:pPr>
        <w:rPr>
          <w:rFonts w:eastAsia="MS Mincho"/>
          <w:b/>
          <w:noProof/>
          <w:szCs w:val="20"/>
          <w:lang w:val="sq-AL"/>
        </w:rPr>
      </w:pPr>
    </w:p>
    <w:p w:rsidR="00B0121D" w:rsidRPr="00D73F43" w:rsidRDefault="00B0121D" w:rsidP="00B0121D">
      <w:pPr>
        <w:spacing w:line="300" w:lineRule="exact"/>
        <w:jc w:val="both"/>
        <w:rPr>
          <w:rFonts w:eastAsia="Calibri"/>
          <w:lang w:val="sq-AL"/>
        </w:rPr>
      </w:pPr>
    </w:p>
    <w:p w:rsidR="00B0121D" w:rsidRDefault="00B0121D" w:rsidP="00B0121D">
      <w:pPr>
        <w:spacing w:line="300" w:lineRule="exact"/>
        <w:jc w:val="both"/>
        <w:rPr>
          <w:rFonts w:eastAsia="Calibri"/>
          <w:lang w:val="sq-AL"/>
        </w:rPr>
      </w:pPr>
      <w:r w:rsidRPr="00D73F43">
        <w:rPr>
          <w:rFonts w:eastAsia="Calibri"/>
          <w:lang w:val="sq-AL"/>
        </w:rPr>
        <w:lastRenderedPageBreak/>
        <w:t xml:space="preserve">Në vitin 2013 Ministria e Drejtësisë përballej me një sërë problematikash serioze duke nisur që nga mungesa e besimit tek organet gjyqësore e deri tek akumulimi i detyrimeve të prapambetura për një sërë institucionesh të varësisë. </w:t>
      </w:r>
    </w:p>
    <w:p w:rsidR="006D51B9" w:rsidRPr="00D73F43" w:rsidRDefault="006D51B9" w:rsidP="00B0121D">
      <w:pPr>
        <w:spacing w:line="300" w:lineRule="exact"/>
        <w:jc w:val="both"/>
        <w:rPr>
          <w:rFonts w:eastAsia="Calibri"/>
          <w:lang w:val="sq-AL"/>
        </w:rPr>
      </w:pPr>
    </w:p>
    <w:p w:rsidR="00B0121D" w:rsidRPr="00D73F43" w:rsidRDefault="00642658" w:rsidP="00B0121D">
      <w:pPr>
        <w:rPr>
          <w:rFonts w:eastAsia="MS Mincho"/>
          <w:b/>
          <w:noProof/>
          <w:szCs w:val="20"/>
          <w:lang w:val="sq-AL"/>
        </w:rPr>
      </w:pPr>
      <w:r>
        <w:rPr>
          <w:rFonts w:eastAsia="MS Mincho"/>
          <w:b/>
          <w:noProof/>
          <w:szCs w:val="20"/>
          <w:lang w:val="sq-AL"/>
        </w:rPr>
        <w:t>4.</w:t>
      </w:r>
      <w:r w:rsidR="00B0121D" w:rsidRPr="00D73F43">
        <w:rPr>
          <w:rFonts w:eastAsia="MS Mincho"/>
          <w:b/>
          <w:noProof/>
          <w:szCs w:val="20"/>
          <w:lang w:val="sq-AL"/>
        </w:rPr>
        <w:t>10.2 Reformat e ndërmarra 2013-2016</w:t>
      </w:r>
    </w:p>
    <w:p w:rsidR="00B0121D" w:rsidRPr="00D73F43" w:rsidRDefault="00B0121D" w:rsidP="00B0121D">
      <w:pPr>
        <w:spacing w:line="300" w:lineRule="exact"/>
        <w:contextualSpacing/>
        <w:jc w:val="both"/>
        <w:rPr>
          <w:rFonts w:eastAsia="Calibri"/>
          <w:b/>
          <w:lang w:val="sq-AL"/>
        </w:rPr>
      </w:pPr>
    </w:p>
    <w:p w:rsidR="00B0121D" w:rsidRPr="00D73F43" w:rsidRDefault="00B0121D" w:rsidP="00534AA6">
      <w:pPr>
        <w:numPr>
          <w:ilvl w:val="0"/>
          <w:numId w:val="83"/>
        </w:numPr>
        <w:spacing w:after="200" w:line="300" w:lineRule="exact"/>
        <w:contextualSpacing/>
        <w:jc w:val="both"/>
        <w:rPr>
          <w:rFonts w:eastAsia="Calibri"/>
          <w:lang w:val="sq-AL"/>
        </w:rPr>
      </w:pPr>
      <w:r w:rsidRPr="00D73F43">
        <w:rPr>
          <w:rFonts w:eastAsia="Calibri"/>
          <w:lang w:val="sq-AL"/>
        </w:rPr>
        <w:t xml:space="preserve">Reforma në sistemin gjyqësor përmes projektit </w:t>
      </w:r>
      <w:r w:rsidRPr="00D73F43">
        <w:rPr>
          <w:rFonts w:eastAsia="Calibri"/>
          <w:i/>
          <w:lang w:val="sq-AL"/>
        </w:rPr>
        <w:t>“Konsolidimi i Sistemit Gjyqësor në Shqipëri- EURALIUS IV”</w:t>
      </w:r>
      <w:r w:rsidRPr="00D73F43">
        <w:rPr>
          <w:rFonts w:eastAsia="Calibri"/>
          <w:lang w:val="sq-AL"/>
        </w:rPr>
        <w:t xml:space="preserve">, ka nisur nga Shtatori i vitit 2014 dhe parashikohet të përfundojë në Dhjetor 2017. Ky projekt synon të përmirësojë pavarësinë, transparencën, efikasitetin dhe efektivitetin e sistemit shqiptar të drejtësisë në bazë të një strategjie të qartë dhe gjithëpërfshirëse  të reformave të zhvilluara nga Ministria  e Drejtësisë. </w:t>
      </w:r>
    </w:p>
    <w:p w:rsidR="00B0121D" w:rsidRPr="00D73F43" w:rsidRDefault="00B0121D" w:rsidP="00B0121D">
      <w:pPr>
        <w:spacing w:after="200" w:line="300" w:lineRule="exact"/>
        <w:ind w:left="360"/>
        <w:contextualSpacing/>
        <w:jc w:val="both"/>
        <w:rPr>
          <w:rFonts w:eastAsia="Calibri"/>
          <w:lang w:val="sq-AL"/>
        </w:rPr>
      </w:pPr>
    </w:p>
    <w:p w:rsidR="00B0121D" w:rsidRPr="00D73F43" w:rsidRDefault="00B0121D" w:rsidP="00534AA6">
      <w:pPr>
        <w:numPr>
          <w:ilvl w:val="0"/>
          <w:numId w:val="83"/>
        </w:numPr>
        <w:spacing w:after="200" w:line="300" w:lineRule="exact"/>
        <w:contextualSpacing/>
        <w:jc w:val="both"/>
        <w:rPr>
          <w:rFonts w:eastAsia="Calibri"/>
          <w:lang w:val="sq-AL"/>
        </w:rPr>
      </w:pPr>
      <w:r w:rsidRPr="00D73F43">
        <w:rPr>
          <w:rFonts w:eastAsia="Calibri"/>
          <w:lang w:val="sq-AL"/>
        </w:rPr>
        <w:t>Rritja e efikasitetit dhe vetë-qëndrueshmërisë në dhënien e zgjidhjeve alternative të mosmarrëveshjeve (ndërmjetësimit) në Shqipëri përmes konsolidimit të kuadrit ligjor, forcimit të Dhomës Kombëtare të Ndërmjetësimit, si dhe ndërgjegjësimit publik mbi rolin e ndërmjetësimit dhe bashkëpunimit ndër-institucional.</w:t>
      </w:r>
    </w:p>
    <w:p w:rsidR="00B0121D" w:rsidRPr="00D73F43" w:rsidRDefault="00B0121D" w:rsidP="00B0121D">
      <w:pPr>
        <w:spacing w:after="200" w:line="300" w:lineRule="exact"/>
        <w:contextualSpacing/>
        <w:jc w:val="both"/>
        <w:rPr>
          <w:rFonts w:eastAsia="Calibri"/>
          <w:lang w:val="sq-AL"/>
        </w:rPr>
      </w:pPr>
    </w:p>
    <w:p w:rsidR="00B0121D" w:rsidRPr="00D73F43" w:rsidRDefault="00B0121D" w:rsidP="00534AA6">
      <w:pPr>
        <w:numPr>
          <w:ilvl w:val="0"/>
          <w:numId w:val="83"/>
        </w:numPr>
        <w:spacing w:after="200" w:line="300" w:lineRule="exact"/>
        <w:contextualSpacing/>
        <w:jc w:val="both"/>
        <w:rPr>
          <w:rFonts w:eastAsia="Calibri"/>
          <w:lang w:val="sq-AL"/>
        </w:rPr>
      </w:pPr>
      <w:r w:rsidRPr="00D73F43">
        <w:rPr>
          <w:rFonts w:eastAsia="Calibri"/>
          <w:bCs/>
          <w:iCs/>
          <w:shd w:val="clear" w:color="auto" w:fill="FFFFFF"/>
          <w:lang w:val="sq-AL"/>
        </w:rPr>
        <w:t xml:space="preserve">Përmirësimi i Shërbimit Përmbarimor në Shqipëri përmes një projekti binjakëzimi me BE-në në periudhën 2015-2016. </w:t>
      </w:r>
      <w:r w:rsidRPr="00D73F43">
        <w:rPr>
          <w:rFonts w:eastAsia="Times New Roman"/>
          <w:lang w:val="sq-AL" w:eastAsia="ro-RO"/>
        </w:rPr>
        <w:t>Objektivi kryesor</w:t>
      </w:r>
      <w:r w:rsidRPr="00D73F43">
        <w:rPr>
          <w:rFonts w:eastAsia="Times New Roman"/>
          <w:i/>
          <w:lang w:val="sq-AL" w:eastAsia="ro-RO"/>
        </w:rPr>
        <w:t xml:space="preserve"> </w:t>
      </w:r>
      <w:r w:rsidRPr="00D73F43">
        <w:rPr>
          <w:rFonts w:eastAsia="Times New Roman"/>
          <w:lang w:val="sq-AL" w:eastAsia="ro-RO"/>
        </w:rPr>
        <w:t xml:space="preserve">i projektit ishte zhvillimi i një sistemi përmbarimor efikas dhe efektiv përmes </w:t>
      </w:r>
      <w:r w:rsidRPr="00D73F43">
        <w:rPr>
          <w:rFonts w:eastAsia="Calibri"/>
          <w:noProof/>
          <w:lang w:val="sq-AL"/>
        </w:rPr>
        <w:t>thjeshtimit të procedurës përmbarimore, shkurtimit të kohëzgjatjes së procedurës përmbarimore, reduktimit të ngarkesës së punës së gjykatave dhe reduktimi i fluksit të rasteve përmbarimore dhe rasteve të prapambetura në gjykata.</w:t>
      </w:r>
    </w:p>
    <w:p w:rsidR="00B0121D" w:rsidRPr="00D73F43" w:rsidRDefault="00B0121D" w:rsidP="00B0121D">
      <w:pPr>
        <w:spacing w:after="200" w:line="300" w:lineRule="exact"/>
        <w:ind w:left="360"/>
        <w:contextualSpacing/>
        <w:jc w:val="both"/>
        <w:rPr>
          <w:rFonts w:eastAsia="Calibri"/>
          <w:lang w:val="sq-AL"/>
        </w:rPr>
      </w:pPr>
    </w:p>
    <w:p w:rsidR="00B0121D" w:rsidRPr="00D73F43" w:rsidRDefault="00B0121D" w:rsidP="00534AA6">
      <w:pPr>
        <w:numPr>
          <w:ilvl w:val="0"/>
          <w:numId w:val="83"/>
        </w:numPr>
        <w:spacing w:after="200" w:line="300" w:lineRule="exact"/>
        <w:contextualSpacing/>
        <w:jc w:val="both"/>
        <w:rPr>
          <w:rFonts w:eastAsia="Calibri"/>
          <w:lang w:val="sq-AL"/>
        </w:rPr>
      </w:pPr>
      <w:r w:rsidRPr="00D73F43">
        <w:rPr>
          <w:rFonts w:eastAsia="Calibri"/>
          <w:noProof/>
          <w:lang w:val="sq-AL"/>
        </w:rPr>
        <w:t xml:space="preserve">Në Tetor 2014, u realizua kompletimi me </w:t>
      </w:r>
      <w:r w:rsidRPr="00D73F43">
        <w:rPr>
          <w:rFonts w:eastAsia="Times New Roman"/>
          <w:bCs/>
          <w:lang w:val="sq-AL"/>
        </w:rPr>
        <w:t>pajisje të kontrollit dhe sigurisë, IT-së dhe telefoni, radio, sistemi i kamerave dhe mbrojtjes ndaj zjarrit i qendrës së re të paraburgimit dhe burgut Fier</w:t>
      </w:r>
      <w:r w:rsidRPr="00D73F43">
        <w:rPr>
          <w:rFonts w:eastAsia="Calibri"/>
          <w:noProof/>
          <w:lang w:val="sq-AL"/>
        </w:rPr>
        <w:t>.</w:t>
      </w:r>
    </w:p>
    <w:p w:rsidR="00B0121D" w:rsidRPr="00D73F43" w:rsidRDefault="00B0121D" w:rsidP="00B0121D">
      <w:pPr>
        <w:tabs>
          <w:tab w:val="left" w:pos="2268"/>
        </w:tabs>
        <w:spacing w:after="200" w:line="300" w:lineRule="exact"/>
        <w:ind w:left="360"/>
        <w:contextualSpacing/>
        <w:jc w:val="both"/>
        <w:rPr>
          <w:rFonts w:eastAsia="Times New Roman"/>
          <w:lang w:val="sq-AL"/>
        </w:rPr>
      </w:pPr>
    </w:p>
    <w:p w:rsidR="00B0121D" w:rsidRPr="00D73F43" w:rsidRDefault="00B0121D" w:rsidP="00534AA6">
      <w:pPr>
        <w:numPr>
          <w:ilvl w:val="0"/>
          <w:numId w:val="83"/>
        </w:numPr>
        <w:spacing w:after="200" w:line="300" w:lineRule="exact"/>
        <w:contextualSpacing/>
        <w:jc w:val="both"/>
        <w:rPr>
          <w:rFonts w:eastAsia="Calibri"/>
          <w:noProof/>
          <w:lang w:val="sq-AL"/>
        </w:rPr>
      </w:pPr>
      <w:r w:rsidRPr="00D73F43">
        <w:rPr>
          <w:rFonts w:eastAsia="Calibri"/>
          <w:noProof/>
          <w:lang w:val="sq-AL"/>
        </w:rPr>
        <w:t>Rikonstruksioni i qendrës së paraburgimit dhe burgut Berat, në periudhën Janar 2011- Maj 2014. Kapaciteti i këtij paraburgimit është 120 të paraburgosur.U realizua hartimi i projekteve të rrjeteve inxhinierike të Qendrës së paraburgimit dhe burgut Shkodër. Punimet kanë filluar  në 15 Prill 2013 dhe priten të përfundojnë në Dhjetor 2016.</w:t>
      </w:r>
    </w:p>
    <w:p w:rsidR="00B0121D" w:rsidRPr="00D73F43" w:rsidRDefault="00B0121D" w:rsidP="006E1DB0">
      <w:pPr>
        <w:tabs>
          <w:tab w:val="left" w:pos="2268"/>
        </w:tabs>
        <w:spacing w:after="200" w:line="300" w:lineRule="exact"/>
        <w:ind w:left="360"/>
        <w:contextualSpacing/>
        <w:jc w:val="both"/>
        <w:rPr>
          <w:rFonts w:eastAsia="Times New Roman"/>
          <w:bCs/>
          <w:lang w:val="sq-AL"/>
        </w:rPr>
      </w:pPr>
    </w:p>
    <w:p w:rsidR="00B0121D" w:rsidRPr="00D73F43" w:rsidRDefault="00B0121D" w:rsidP="006E1DB0">
      <w:pPr>
        <w:numPr>
          <w:ilvl w:val="0"/>
          <w:numId w:val="83"/>
        </w:numPr>
        <w:jc w:val="both"/>
        <w:rPr>
          <w:lang w:val="sq-AL"/>
        </w:rPr>
      </w:pPr>
      <w:r w:rsidRPr="00D73F43">
        <w:rPr>
          <w:lang w:val="sq-AL" w:eastAsia="sq-AL"/>
        </w:rPr>
        <w:t>Ndërtimi dhe rritja e kapaciteteve të Burgut 313 me standardet e BE-së. Ky është një projekt kompleks i cili do të ulë mbipopullimin dhe do të sjellë përmirësim të ndjeshëm të kushteve të jetesës dhe sigurisë nëpër burgje.</w:t>
      </w:r>
    </w:p>
    <w:p w:rsidR="00B0121D" w:rsidRPr="00D73F43" w:rsidRDefault="00B0121D" w:rsidP="00B0121D">
      <w:pPr>
        <w:ind w:left="360"/>
        <w:rPr>
          <w:lang w:val="sq-AL"/>
        </w:rPr>
      </w:pPr>
    </w:p>
    <w:p w:rsidR="00B0121D" w:rsidRPr="00D73F43" w:rsidRDefault="00B0121D" w:rsidP="00534AA6">
      <w:pPr>
        <w:numPr>
          <w:ilvl w:val="0"/>
          <w:numId w:val="83"/>
        </w:numPr>
        <w:autoSpaceDE w:val="0"/>
        <w:autoSpaceDN w:val="0"/>
        <w:adjustRightInd w:val="0"/>
        <w:spacing w:after="200" w:line="300" w:lineRule="exact"/>
        <w:contextualSpacing/>
        <w:jc w:val="both"/>
        <w:rPr>
          <w:rFonts w:eastAsia="Times New Roman"/>
          <w:b/>
          <w:u w:val="single"/>
          <w:lang w:val="sq-AL" w:eastAsia="sq-AL"/>
        </w:rPr>
      </w:pPr>
      <w:r w:rsidRPr="00D73F43">
        <w:rPr>
          <w:rFonts w:eastAsia="Times New Roman"/>
          <w:lang w:val="sq-AL" w:eastAsia="sq-AL"/>
        </w:rPr>
        <w:t xml:space="preserve">Mbikëqyrja elektronike në fushën penale: </w:t>
      </w:r>
      <w:r w:rsidRPr="00D73F43">
        <w:rPr>
          <w:rFonts w:eastAsia="Times New Roman"/>
          <w:bCs/>
          <w:lang w:val="sq-AL" w:eastAsia="sq-AL"/>
        </w:rPr>
        <w:t xml:space="preserve">Mbikëqyrja Elektronike në Republikën e Shqipërisë funksionon me pajisje elektronike të instaluar në këmbën e të dënuarit, e cila komunikon me sallën operative. Kjo strukturë bën të mundur monitorimin e respektimit të urdhrave të gjykatës nga personat, ndaj  të cilëve ka një vendim gjyqësor, që ua kufizon atyre lirinë e lëvizjes. Në rast konstatimi të thyerjes së urdhrave të gjykatës, salla operative vepron sipas procedurave përkatëse të caktuara për këtë shkelje. Sistemi funksionon në përputhje me parimin e proporcionalitetit të ndërhyrjes. </w:t>
      </w:r>
    </w:p>
    <w:p w:rsidR="00B0121D" w:rsidRPr="00D73F43" w:rsidRDefault="00B0121D" w:rsidP="00B0121D">
      <w:pPr>
        <w:autoSpaceDE w:val="0"/>
        <w:autoSpaceDN w:val="0"/>
        <w:adjustRightInd w:val="0"/>
        <w:spacing w:after="200" w:line="300" w:lineRule="exact"/>
        <w:contextualSpacing/>
        <w:jc w:val="both"/>
        <w:rPr>
          <w:rFonts w:eastAsia="Times New Roman"/>
          <w:b/>
          <w:u w:val="single"/>
          <w:lang w:val="sq-AL" w:eastAsia="sq-AL"/>
        </w:rPr>
      </w:pPr>
    </w:p>
    <w:p w:rsidR="00B0121D" w:rsidRPr="00D73F43" w:rsidRDefault="00B0121D" w:rsidP="00534AA6">
      <w:pPr>
        <w:numPr>
          <w:ilvl w:val="0"/>
          <w:numId w:val="83"/>
        </w:numPr>
        <w:autoSpaceDE w:val="0"/>
        <w:autoSpaceDN w:val="0"/>
        <w:adjustRightInd w:val="0"/>
        <w:spacing w:after="200" w:line="300" w:lineRule="exact"/>
        <w:contextualSpacing/>
        <w:jc w:val="both"/>
        <w:rPr>
          <w:rFonts w:eastAsia="Calibri"/>
          <w:lang w:val="sq-AL"/>
        </w:rPr>
      </w:pPr>
      <w:r w:rsidRPr="00D73F43">
        <w:rPr>
          <w:rFonts w:eastAsia="Calibri"/>
          <w:lang w:val="sq-AL"/>
        </w:rPr>
        <w:t xml:space="preserve">Ngritja dhe vënia në funksionim me eficencë të plotë e gjykatave administrative. Aktualisht funksionojnë 7 gjykata administrative: 6 gjykata të shkallës së parë dhe 1 gjykatë apeli. </w:t>
      </w:r>
    </w:p>
    <w:p w:rsidR="00B0121D" w:rsidRPr="00D73F43" w:rsidRDefault="00B0121D" w:rsidP="00B0121D">
      <w:pPr>
        <w:autoSpaceDE w:val="0"/>
        <w:autoSpaceDN w:val="0"/>
        <w:adjustRightInd w:val="0"/>
        <w:spacing w:after="200" w:line="300" w:lineRule="exact"/>
        <w:contextualSpacing/>
        <w:jc w:val="both"/>
        <w:rPr>
          <w:rFonts w:eastAsia="Calibri"/>
          <w:lang w:val="sq-AL"/>
        </w:rPr>
      </w:pPr>
    </w:p>
    <w:p w:rsidR="00B0121D" w:rsidRPr="00D73F43" w:rsidRDefault="00B0121D" w:rsidP="00534AA6">
      <w:pPr>
        <w:numPr>
          <w:ilvl w:val="0"/>
          <w:numId w:val="83"/>
        </w:numPr>
        <w:autoSpaceDE w:val="0"/>
        <w:autoSpaceDN w:val="0"/>
        <w:adjustRightInd w:val="0"/>
        <w:spacing w:after="200" w:line="300" w:lineRule="exact"/>
        <w:contextualSpacing/>
        <w:jc w:val="both"/>
        <w:rPr>
          <w:rFonts w:eastAsia="Calibri"/>
          <w:lang w:val="sq-AL"/>
        </w:rPr>
      </w:pPr>
      <w:r w:rsidRPr="00D73F43">
        <w:rPr>
          <w:rFonts w:eastAsia="Calibri"/>
          <w:lang w:val="sq-AL"/>
        </w:rPr>
        <w:t>Përgjatë këtyre viteve është iniciuar numri më i lartë i procedimeve disiplinore ndaj gjyqtarëve. Për vitin 2013 – 2016, Ministria e Drejtësisë i ka përcjellë Këshillit të Lartë të Drejtësisë 52 kërkesa për procedim disiplinor.</w:t>
      </w:r>
    </w:p>
    <w:p w:rsidR="00B0121D" w:rsidRPr="00D73F43" w:rsidRDefault="00B0121D" w:rsidP="00B0121D">
      <w:pPr>
        <w:autoSpaceDE w:val="0"/>
        <w:autoSpaceDN w:val="0"/>
        <w:adjustRightInd w:val="0"/>
        <w:spacing w:after="200" w:line="300" w:lineRule="exact"/>
        <w:contextualSpacing/>
        <w:jc w:val="both"/>
        <w:rPr>
          <w:rFonts w:eastAsia="Calibri"/>
          <w:lang w:val="sq-AL"/>
        </w:rPr>
      </w:pPr>
    </w:p>
    <w:p w:rsidR="00B0121D" w:rsidRPr="00D73F43" w:rsidRDefault="00B0121D" w:rsidP="00534AA6">
      <w:pPr>
        <w:numPr>
          <w:ilvl w:val="0"/>
          <w:numId w:val="83"/>
        </w:numPr>
        <w:autoSpaceDE w:val="0"/>
        <w:autoSpaceDN w:val="0"/>
        <w:adjustRightInd w:val="0"/>
        <w:spacing w:after="200" w:line="300" w:lineRule="exact"/>
        <w:contextualSpacing/>
        <w:jc w:val="both"/>
        <w:rPr>
          <w:rFonts w:eastAsia="Calibri"/>
          <w:lang w:val="sq-AL"/>
        </w:rPr>
      </w:pPr>
      <w:r w:rsidRPr="00D73F43">
        <w:rPr>
          <w:rFonts w:eastAsia="Calibri"/>
          <w:lang w:val="sq-AL"/>
        </w:rPr>
        <w:t>Janë ushtruar mbi 63 inspektime në gjykata dhe 19 inspektime në Prokurori.</w:t>
      </w:r>
    </w:p>
    <w:p w:rsidR="00B0121D" w:rsidRPr="00D73F43" w:rsidRDefault="00B0121D" w:rsidP="00B0121D">
      <w:pPr>
        <w:autoSpaceDE w:val="0"/>
        <w:autoSpaceDN w:val="0"/>
        <w:adjustRightInd w:val="0"/>
        <w:spacing w:after="200" w:line="300" w:lineRule="exact"/>
        <w:contextualSpacing/>
        <w:jc w:val="both"/>
        <w:rPr>
          <w:rFonts w:eastAsia="Calibri"/>
          <w:lang w:val="sq-AL"/>
        </w:rPr>
      </w:pPr>
    </w:p>
    <w:p w:rsidR="00B0121D" w:rsidRPr="00D73F43" w:rsidRDefault="00B0121D" w:rsidP="00534AA6">
      <w:pPr>
        <w:numPr>
          <w:ilvl w:val="0"/>
          <w:numId w:val="83"/>
        </w:numPr>
        <w:autoSpaceDE w:val="0"/>
        <w:autoSpaceDN w:val="0"/>
        <w:adjustRightInd w:val="0"/>
        <w:spacing w:after="200" w:line="300" w:lineRule="exact"/>
        <w:contextualSpacing/>
        <w:jc w:val="both"/>
        <w:rPr>
          <w:rFonts w:eastAsia="Calibri"/>
          <w:lang w:val="sq-AL"/>
        </w:rPr>
      </w:pPr>
      <w:r w:rsidRPr="00D73F43">
        <w:rPr>
          <w:rFonts w:eastAsia="Calibri"/>
          <w:lang w:val="sq-AL"/>
        </w:rPr>
        <w:t>Janë forcuar marrëdhëniet ndërinstitucionale me ILDKPI,</w:t>
      </w:r>
      <w:r w:rsidRPr="00D73F43">
        <w:rPr>
          <w:rFonts w:eastAsia="Calibri"/>
          <w:b/>
          <w:lang w:val="sq-AL"/>
        </w:rPr>
        <w:t xml:space="preserve"> </w:t>
      </w:r>
      <w:r w:rsidRPr="00D73F43">
        <w:rPr>
          <w:rFonts w:eastAsia="Calibri"/>
          <w:lang w:val="sq-AL"/>
        </w:rPr>
        <w:t>e cila përgjatë kësaj periudhë ka përcjellë një numër të konsiderueshëm informacioni mbi verifikimet e kryera në pasurinë e gjyqtarëve. Në bazë të këtij informacioni, Ministri i Drejtësisë i ka përcjellë KLD-së 11 kërkesa për procedim disiplinor për shkarkimin e gjyqtarëve.</w:t>
      </w:r>
    </w:p>
    <w:p w:rsidR="00B0121D" w:rsidRPr="00D73F43" w:rsidRDefault="00B0121D" w:rsidP="00B0121D">
      <w:pPr>
        <w:autoSpaceDE w:val="0"/>
        <w:autoSpaceDN w:val="0"/>
        <w:adjustRightInd w:val="0"/>
        <w:spacing w:after="200" w:line="300" w:lineRule="exact"/>
        <w:contextualSpacing/>
        <w:jc w:val="both"/>
        <w:rPr>
          <w:rFonts w:eastAsia="Calibri"/>
          <w:lang w:val="sq-AL"/>
        </w:rPr>
      </w:pPr>
    </w:p>
    <w:p w:rsidR="00B0121D" w:rsidRPr="00D73F43" w:rsidRDefault="00B0121D" w:rsidP="00534AA6">
      <w:pPr>
        <w:numPr>
          <w:ilvl w:val="0"/>
          <w:numId w:val="83"/>
        </w:numPr>
        <w:autoSpaceDE w:val="0"/>
        <w:autoSpaceDN w:val="0"/>
        <w:adjustRightInd w:val="0"/>
        <w:spacing w:after="200" w:line="300" w:lineRule="exact"/>
        <w:contextualSpacing/>
        <w:jc w:val="both"/>
        <w:rPr>
          <w:rFonts w:eastAsia="Calibri"/>
          <w:lang w:val="sq-AL"/>
        </w:rPr>
      </w:pPr>
      <w:r w:rsidRPr="00D73F43">
        <w:rPr>
          <w:rFonts w:eastAsia="Calibri"/>
          <w:lang w:val="sq-AL"/>
        </w:rPr>
        <w:t xml:space="preserve">Janë vënë në zbatim ndryshimet kushtetuese për limitimin e imunitetit të gjyqtarëve, nëpërmjet ndryshimeve të nevojshme ligjore në Kodin e Procedurave Penale dhe Ligji Antimafia, ku kompetenca për gjykimin e veprave penale të korrupsionit për gjyqtarë i kaluan në kompetencë gjykatës së krimeve të rënda. </w:t>
      </w:r>
    </w:p>
    <w:p w:rsidR="00B0121D" w:rsidRPr="00D73F43" w:rsidRDefault="00B0121D" w:rsidP="00B0121D">
      <w:pPr>
        <w:autoSpaceDE w:val="0"/>
        <w:autoSpaceDN w:val="0"/>
        <w:adjustRightInd w:val="0"/>
        <w:spacing w:after="200" w:line="300" w:lineRule="exact"/>
        <w:contextualSpacing/>
        <w:jc w:val="both"/>
        <w:rPr>
          <w:rFonts w:eastAsia="Calibri"/>
          <w:lang w:val="sq-AL"/>
        </w:rPr>
      </w:pPr>
    </w:p>
    <w:p w:rsidR="00B0121D" w:rsidRPr="00D73F43" w:rsidRDefault="00B0121D" w:rsidP="00534AA6">
      <w:pPr>
        <w:numPr>
          <w:ilvl w:val="0"/>
          <w:numId w:val="83"/>
        </w:numPr>
        <w:autoSpaceDE w:val="0"/>
        <w:autoSpaceDN w:val="0"/>
        <w:adjustRightInd w:val="0"/>
        <w:spacing w:after="200" w:line="300" w:lineRule="exact"/>
        <w:contextualSpacing/>
        <w:jc w:val="both"/>
        <w:rPr>
          <w:rFonts w:eastAsia="Calibri"/>
          <w:lang w:val="sq-AL"/>
        </w:rPr>
      </w:pPr>
      <w:r w:rsidRPr="00D73F43">
        <w:rPr>
          <w:rFonts w:eastAsia="Calibri"/>
          <w:lang w:val="sq-AL"/>
        </w:rPr>
        <w:t>Janë forcuar marrëdhëniet ndërinstitucionale me Shkollën e Magjistraturës, me të cilën u nënshkrua një memorandum bashkëpunimi në vitin 2015 për të mundësuar edhe trajnimin e administratës gjyqësore. Gjatë vitit 2016, u realizua trajnimi i administratës gjyqësore në 2 sesione të veçanta.</w:t>
      </w:r>
    </w:p>
    <w:p w:rsidR="00B0121D" w:rsidRPr="00D73F43" w:rsidRDefault="00B0121D" w:rsidP="00B0121D">
      <w:pPr>
        <w:spacing w:line="300" w:lineRule="exact"/>
        <w:rPr>
          <w:rFonts w:eastAsia="Times New Roman"/>
          <w:b/>
          <w:u w:val="single"/>
          <w:lang w:val="sq-AL" w:eastAsia="sq-AL"/>
        </w:rPr>
      </w:pPr>
    </w:p>
    <w:p w:rsidR="00B0121D" w:rsidRPr="00D73F43" w:rsidRDefault="00642658" w:rsidP="00B0121D">
      <w:pPr>
        <w:rPr>
          <w:rFonts w:eastAsia="MS Mincho"/>
          <w:b/>
          <w:noProof/>
          <w:szCs w:val="20"/>
          <w:lang w:val="sq-AL"/>
        </w:rPr>
      </w:pPr>
      <w:r>
        <w:rPr>
          <w:rFonts w:eastAsia="MS Mincho"/>
          <w:b/>
          <w:noProof/>
          <w:szCs w:val="20"/>
          <w:lang w:val="sq-AL"/>
        </w:rPr>
        <w:t>4.</w:t>
      </w:r>
      <w:r w:rsidR="00B0121D" w:rsidRPr="00D73F43">
        <w:rPr>
          <w:rFonts w:eastAsia="MS Mincho"/>
          <w:b/>
          <w:noProof/>
          <w:szCs w:val="20"/>
          <w:lang w:val="sq-AL"/>
        </w:rPr>
        <w:t>10.3 Prioritetet e projekt-buxhetit 2017</w:t>
      </w:r>
    </w:p>
    <w:p w:rsidR="00B0121D" w:rsidRPr="00D73F43" w:rsidRDefault="00B0121D" w:rsidP="00B0121D">
      <w:pPr>
        <w:spacing w:line="300" w:lineRule="exact"/>
        <w:jc w:val="both"/>
        <w:rPr>
          <w:rFonts w:eastAsia="Calibri"/>
          <w:lang w:val="sq-AL"/>
        </w:rPr>
      </w:pPr>
    </w:p>
    <w:p w:rsidR="00B0121D" w:rsidRPr="00D73F43" w:rsidRDefault="00B0121D" w:rsidP="00B0121D">
      <w:pPr>
        <w:spacing w:line="300" w:lineRule="exact"/>
        <w:jc w:val="both"/>
        <w:rPr>
          <w:rFonts w:eastAsia="Calibri"/>
          <w:lang w:val="sq-AL"/>
        </w:rPr>
      </w:pPr>
      <w:r w:rsidRPr="00D73F43">
        <w:rPr>
          <w:rFonts w:eastAsia="Calibri"/>
          <w:lang w:val="sq-AL"/>
        </w:rPr>
        <w:t>Në funksion të përmbushjes së objektivave të politikave të saj, Ministria e Drejtësisë për vitin 2017 do të jetë e fokusuar në:</w:t>
      </w:r>
    </w:p>
    <w:p w:rsidR="00B0121D" w:rsidRPr="00D73F43" w:rsidRDefault="00B0121D" w:rsidP="00B0121D">
      <w:pPr>
        <w:spacing w:line="300" w:lineRule="exact"/>
        <w:jc w:val="both"/>
        <w:rPr>
          <w:rFonts w:eastAsia="Calibri"/>
          <w:lang w:val="sq-AL"/>
        </w:rPr>
      </w:pPr>
      <w:r w:rsidRPr="00D73F43">
        <w:rPr>
          <w:rFonts w:eastAsia="Calibri"/>
          <w:lang w:val="sq-AL"/>
        </w:rPr>
        <w:t xml:space="preserve"> </w:t>
      </w:r>
    </w:p>
    <w:p w:rsidR="00B0121D" w:rsidRPr="00D73F43" w:rsidRDefault="00B0121D" w:rsidP="00534AA6">
      <w:pPr>
        <w:numPr>
          <w:ilvl w:val="0"/>
          <w:numId w:val="82"/>
        </w:numPr>
        <w:spacing w:after="200" w:line="300" w:lineRule="exact"/>
        <w:contextualSpacing/>
        <w:jc w:val="both"/>
        <w:rPr>
          <w:rFonts w:eastAsia="Calibri"/>
          <w:lang w:val="sq-AL"/>
        </w:rPr>
      </w:pPr>
      <w:r w:rsidRPr="00D73F43">
        <w:rPr>
          <w:rFonts w:eastAsia="Calibri"/>
          <w:lang w:val="sq-AL"/>
        </w:rPr>
        <w:t xml:space="preserve">Shtrirjen dhe zgjerimin e shërbimeve  të institucioneve të sistemit të drejtësisë në të gjithë vendin; </w:t>
      </w:r>
    </w:p>
    <w:p w:rsidR="00B0121D" w:rsidRPr="00D73F43" w:rsidRDefault="00B0121D" w:rsidP="00534AA6">
      <w:pPr>
        <w:numPr>
          <w:ilvl w:val="0"/>
          <w:numId w:val="82"/>
        </w:numPr>
        <w:spacing w:after="200" w:line="300" w:lineRule="exact"/>
        <w:contextualSpacing/>
        <w:jc w:val="both"/>
        <w:rPr>
          <w:rFonts w:eastAsia="Calibri"/>
          <w:lang w:val="sq-AL"/>
        </w:rPr>
      </w:pPr>
      <w:r w:rsidRPr="00D73F43">
        <w:rPr>
          <w:rFonts w:eastAsia="Calibri"/>
          <w:lang w:val="sq-AL"/>
        </w:rPr>
        <w:t>Përmirësimin e kushteve të jetesës të të dënuarve në institucionet e vuajtjes së dënimit  për arritjen e standardeve  evropiane  në trajtimin e këtyre kategorive.</w:t>
      </w:r>
    </w:p>
    <w:p w:rsidR="00B0121D" w:rsidRPr="00D73F43" w:rsidRDefault="00B0121D" w:rsidP="00534AA6">
      <w:pPr>
        <w:numPr>
          <w:ilvl w:val="0"/>
          <w:numId w:val="82"/>
        </w:numPr>
        <w:spacing w:after="200" w:line="300" w:lineRule="exact"/>
        <w:contextualSpacing/>
        <w:jc w:val="both"/>
        <w:rPr>
          <w:rFonts w:eastAsia="Calibri"/>
          <w:lang w:val="sq-AL"/>
        </w:rPr>
      </w:pPr>
      <w:r w:rsidRPr="00D73F43">
        <w:rPr>
          <w:rFonts w:eastAsia="Calibri"/>
          <w:lang w:val="sq-AL"/>
        </w:rPr>
        <w:t>Rritjen e aksesit të publikut në legjislacionin e konsoliduar, përmes përmirësimit të procesit të publikimit dhe njohjes së legjislacionit Shqiptar dhe Njoftimeve Zyrtare Shqiptare.</w:t>
      </w:r>
    </w:p>
    <w:p w:rsidR="00B0121D" w:rsidRPr="00D73F43" w:rsidRDefault="00B0121D" w:rsidP="00534AA6">
      <w:pPr>
        <w:numPr>
          <w:ilvl w:val="0"/>
          <w:numId w:val="82"/>
        </w:numPr>
        <w:spacing w:after="200" w:line="300" w:lineRule="exact"/>
        <w:contextualSpacing/>
        <w:jc w:val="both"/>
        <w:rPr>
          <w:rFonts w:eastAsia="Calibri"/>
          <w:lang w:val="sq-AL"/>
        </w:rPr>
      </w:pPr>
      <w:r w:rsidRPr="00D73F43">
        <w:rPr>
          <w:rFonts w:eastAsia="Calibri"/>
          <w:lang w:val="sq-AL"/>
        </w:rPr>
        <w:t>Përmirësimin e cilësisë së legjislacionit, përmes dhënies së mendimit të specializuar për përmbajtjen e projekteve të akteve ligjore dhe nënligjore, si dhe marrëveshjeve ndërkombëtare, që lidhen në emër të Republikës së Shqipërisë ose të Këshillit të Ministrave.</w:t>
      </w:r>
    </w:p>
    <w:p w:rsidR="00B0121D" w:rsidRPr="00D73F43" w:rsidRDefault="00B0121D" w:rsidP="00534AA6">
      <w:pPr>
        <w:numPr>
          <w:ilvl w:val="0"/>
          <w:numId w:val="82"/>
        </w:numPr>
        <w:spacing w:after="200" w:line="300" w:lineRule="exact"/>
        <w:contextualSpacing/>
        <w:jc w:val="both"/>
        <w:rPr>
          <w:rFonts w:eastAsia="Calibri"/>
          <w:lang w:val="sq-AL"/>
        </w:rPr>
      </w:pPr>
      <w:r w:rsidRPr="00D73F43">
        <w:rPr>
          <w:rFonts w:eastAsia="Calibri"/>
          <w:lang w:val="sq-AL"/>
        </w:rPr>
        <w:t xml:space="preserve">Do të kujdeset për realizimin dhe bashkërendimin e veprimtarive në fushën e drejtësisë për të miturit, për mbrojtjen e të drejtave dhe të interesave të ligjshëm të tyre, edukimin ligjor dhe parandalimin e shkeljeve të ligjit nga ana e tyre, si dhe për ushtrimin e shërbimeve ndaj të miturve, nga strukturat përkatëse të sistemit të drejtësisë. </w:t>
      </w:r>
    </w:p>
    <w:p w:rsidR="00B0121D" w:rsidRPr="00D73F43" w:rsidRDefault="00B0121D" w:rsidP="00534AA6">
      <w:pPr>
        <w:numPr>
          <w:ilvl w:val="0"/>
          <w:numId w:val="82"/>
        </w:numPr>
        <w:spacing w:after="200" w:line="300" w:lineRule="exact"/>
        <w:contextualSpacing/>
        <w:jc w:val="both"/>
        <w:rPr>
          <w:rFonts w:eastAsia="Calibri"/>
          <w:lang w:val="sq-AL"/>
        </w:rPr>
      </w:pPr>
      <w:r w:rsidRPr="00D73F43">
        <w:rPr>
          <w:rFonts w:eastAsia="Calibri"/>
          <w:lang w:val="sq-AL"/>
        </w:rPr>
        <w:t xml:space="preserve">Do të kujdeset dhe mbështesë veprimtaritë shkencore në fushën e drejtësisë dhe përhapjen e edukatës juridike. </w:t>
      </w:r>
    </w:p>
    <w:p w:rsidR="00B0121D" w:rsidRPr="00D73F43" w:rsidRDefault="00B0121D" w:rsidP="00534AA6">
      <w:pPr>
        <w:numPr>
          <w:ilvl w:val="0"/>
          <w:numId w:val="82"/>
        </w:numPr>
        <w:spacing w:after="200" w:line="300" w:lineRule="exact"/>
        <w:contextualSpacing/>
        <w:jc w:val="both"/>
        <w:rPr>
          <w:rFonts w:eastAsia="Calibri"/>
          <w:lang w:val="sq-AL"/>
        </w:rPr>
      </w:pPr>
      <w:r w:rsidRPr="00D73F43">
        <w:rPr>
          <w:rFonts w:eastAsia="Calibri"/>
          <w:lang w:val="sq-AL"/>
        </w:rPr>
        <w:t xml:space="preserve">Do të ndjekë bashkëpunimin ndërkombëtar në fushën penale dhe civile dhe në përputhje me marrëveshjet ndërkombëtare, ku shteti shqiptar është palë, realizimin e marrëdhënieve juridiksionale me autoritetet kompetente të shteteve të tjera, si dhe me organizma ndërkombëtarë. </w:t>
      </w:r>
    </w:p>
    <w:p w:rsidR="00B0121D" w:rsidRPr="00D73F43" w:rsidRDefault="00B0121D" w:rsidP="00534AA6">
      <w:pPr>
        <w:numPr>
          <w:ilvl w:val="0"/>
          <w:numId w:val="82"/>
        </w:numPr>
        <w:spacing w:after="200" w:line="300" w:lineRule="exact"/>
        <w:contextualSpacing/>
        <w:jc w:val="both"/>
        <w:rPr>
          <w:rFonts w:eastAsia="Calibri"/>
          <w:lang w:val="sq-AL"/>
        </w:rPr>
      </w:pPr>
      <w:r w:rsidRPr="00D73F43">
        <w:rPr>
          <w:rFonts w:eastAsia="Calibri"/>
          <w:lang w:val="sq-AL"/>
        </w:rPr>
        <w:t>Do të ndërmarrë masa me qëllim konsolidimin e Shërbimit Përmbarimor Gjyqësor Shtetëror në shërbim të rritjes së efiçencës së tij;</w:t>
      </w:r>
    </w:p>
    <w:p w:rsidR="00B0121D" w:rsidRPr="00D73F43" w:rsidRDefault="00B0121D" w:rsidP="00534AA6">
      <w:pPr>
        <w:numPr>
          <w:ilvl w:val="0"/>
          <w:numId w:val="82"/>
        </w:numPr>
        <w:spacing w:after="200" w:line="300" w:lineRule="exact"/>
        <w:contextualSpacing/>
        <w:jc w:val="both"/>
        <w:rPr>
          <w:rFonts w:eastAsia="Calibri"/>
          <w:lang w:val="sq-AL"/>
        </w:rPr>
      </w:pPr>
      <w:r w:rsidRPr="00D73F43">
        <w:rPr>
          <w:rFonts w:eastAsia="Calibri"/>
          <w:lang w:val="sq-AL"/>
        </w:rPr>
        <w:t>Do të forcojë dhe përmirësojë kontrollin dhe monitorimin e ekzekutimit të titujve ekzekutive, përmes Drejtorisë së Përgjithshme të Përmbarimit.</w:t>
      </w:r>
    </w:p>
    <w:p w:rsidR="00B0121D" w:rsidRPr="00D73F43" w:rsidRDefault="00B0121D" w:rsidP="00534AA6">
      <w:pPr>
        <w:numPr>
          <w:ilvl w:val="0"/>
          <w:numId w:val="82"/>
        </w:numPr>
        <w:spacing w:after="200" w:line="300" w:lineRule="exact"/>
        <w:contextualSpacing/>
        <w:jc w:val="both"/>
        <w:rPr>
          <w:rFonts w:eastAsia="Calibri"/>
          <w:lang w:val="sq-AL"/>
        </w:rPr>
      </w:pPr>
      <w:r w:rsidRPr="00D73F43">
        <w:rPr>
          <w:rFonts w:eastAsia="Calibri"/>
          <w:lang w:val="sq-AL"/>
        </w:rPr>
        <w:t>Do të synojë rritjen e efikasitetit të zgjidhjeve alternative të mosmarrëveshjeve, përmes rritjes së kapaciteteve institucionale dhe përmirësimit të kuadrit ligjor.</w:t>
      </w:r>
    </w:p>
    <w:p w:rsidR="00B0121D" w:rsidRPr="00D73F43" w:rsidRDefault="00B0121D" w:rsidP="00534AA6">
      <w:pPr>
        <w:numPr>
          <w:ilvl w:val="0"/>
          <w:numId w:val="82"/>
        </w:numPr>
        <w:spacing w:after="200" w:line="300" w:lineRule="exact"/>
        <w:contextualSpacing/>
        <w:jc w:val="both"/>
        <w:rPr>
          <w:rFonts w:eastAsia="Times New Roman"/>
          <w:lang w:val="sq-AL"/>
        </w:rPr>
      </w:pPr>
      <w:r w:rsidRPr="00D73F43">
        <w:rPr>
          <w:rFonts w:eastAsia="Calibri"/>
          <w:lang w:val="sq-AL"/>
        </w:rPr>
        <w:t xml:space="preserve">Instituti i të Miturve (shkollë riedukimi për të miturit): Trajtimin e të miturve në sistemin e vuajtjes së dënimit, në përputhje me legjislacionin evropian, si dhe në respektim të politikave të BE-së për trajtimin e të miturve në sistemin e vuajtjes së dënimit. Rritja e kapaciteteve të stafeve </w:t>
      </w:r>
      <w:r w:rsidRPr="00D73F43">
        <w:rPr>
          <w:rFonts w:eastAsia="Calibri"/>
          <w:lang w:val="sq-AL"/>
        </w:rPr>
        <w:lastRenderedPageBreak/>
        <w:t>të IEVP-ve mbi instrumentet e punës për përgatitjen për ri-integrim të fëmijëve në konflikt me ligjin. Hartim i kurikulave për trajtimin e të miturve në shkolla riedukimi.</w:t>
      </w:r>
    </w:p>
    <w:p w:rsidR="00B0121D" w:rsidRPr="00D73F43" w:rsidRDefault="00B0121D" w:rsidP="00534AA6">
      <w:pPr>
        <w:numPr>
          <w:ilvl w:val="0"/>
          <w:numId w:val="82"/>
        </w:numPr>
        <w:spacing w:after="200" w:line="300" w:lineRule="exact"/>
        <w:contextualSpacing/>
        <w:jc w:val="both"/>
        <w:rPr>
          <w:rFonts w:eastAsia="Calibri"/>
          <w:lang w:val="sq-AL"/>
        </w:rPr>
      </w:pPr>
      <w:r w:rsidRPr="00D73F43">
        <w:rPr>
          <w:rFonts w:eastAsia="Calibri"/>
          <w:lang w:val="sq-AL"/>
        </w:rPr>
        <w:t>Së fundi, mbetet prioritare implementimi i reformës në drejtësi, e cila prek drejtpërdrejt sistemin gjyqësor dhe kompetencat e Ministrisë së Drejtësisë në funksionimin dhe organizimin e këtij sistemi.</w:t>
      </w:r>
      <w:r w:rsidRPr="00D73F43">
        <w:rPr>
          <w:rFonts w:eastAsia="Calibri"/>
          <w:b/>
          <w:lang w:val="sq-AL"/>
        </w:rPr>
        <w:t xml:space="preserve"> </w:t>
      </w:r>
    </w:p>
    <w:p w:rsidR="00B0121D" w:rsidRPr="00D73F43" w:rsidRDefault="00B0121D" w:rsidP="00B0121D">
      <w:pPr>
        <w:spacing w:after="200" w:line="300" w:lineRule="exact"/>
        <w:ind w:left="720"/>
        <w:contextualSpacing/>
        <w:jc w:val="both"/>
        <w:rPr>
          <w:rFonts w:eastAsia="Calibri"/>
          <w:lang w:val="sq-AL"/>
        </w:rPr>
      </w:pPr>
    </w:p>
    <w:p w:rsidR="00B0121D" w:rsidRPr="00D73F43" w:rsidRDefault="00B0121D" w:rsidP="00B0121D">
      <w:pPr>
        <w:spacing w:after="200" w:line="300" w:lineRule="exact"/>
        <w:ind w:left="720"/>
        <w:contextualSpacing/>
        <w:jc w:val="both"/>
        <w:rPr>
          <w:rFonts w:eastAsia="Calibri"/>
          <w:lang w:val="sq-AL"/>
        </w:rPr>
      </w:pPr>
      <w:r w:rsidRPr="00D73F43">
        <w:rPr>
          <w:rFonts w:eastAsia="Calibri"/>
          <w:lang w:val="sq-AL"/>
        </w:rPr>
        <w:t>Konkretisht:</w:t>
      </w:r>
    </w:p>
    <w:p w:rsidR="00B0121D" w:rsidRPr="00D73F43" w:rsidRDefault="00B0121D" w:rsidP="00534AA6">
      <w:pPr>
        <w:numPr>
          <w:ilvl w:val="0"/>
          <w:numId w:val="121"/>
        </w:numPr>
        <w:spacing w:after="200" w:line="300" w:lineRule="exact"/>
        <w:contextualSpacing/>
        <w:jc w:val="both"/>
        <w:rPr>
          <w:rFonts w:eastAsia="MS Mincho"/>
          <w:lang w:val="sq-AL"/>
        </w:rPr>
      </w:pPr>
      <w:r w:rsidRPr="00D73F43">
        <w:rPr>
          <w:rFonts w:eastAsia="MS Mincho"/>
          <w:lang w:val="sq-AL"/>
        </w:rPr>
        <w:t>Do të ndjekë përgatitjen, dhënien dhe zbatimin e rekomandimeve të Këshillit të Ministrave drejtuesve të prokurorive në përmirësimin e veprimtarisë së këtij organi;</w:t>
      </w:r>
    </w:p>
    <w:p w:rsidR="00B0121D" w:rsidRPr="00D73F43" w:rsidRDefault="00B0121D" w:rsidP="00534AA6">
      <w:pPr>
        <w:numPr>
          <w:ilvl w:val="0"/>
          <w:numId w:val="121"/>
        </w:numPr>
        <w:spacing w:after="200" w:line="300" w:lineRule="exact"/>
        <w:contextualSpacing/>
        <w:jc w:val="both"/>
        <w:rPr>
          <w:rFonts w:eastAsia="MS Mincho"/>
          <w:lang w:val="sq-AL"/>
        </w:rPr>
      </w:pPr>
      <w:r w:rsidRPr="00D73F43">
        <w:rPr>
          <w:rFonts w:eastAsia="MS Mincho"/>
          <w:lang w:val="sq-AL"/>
        </w:rPr>
        <w:t>Do të përgatisë materialet e nevojshme në lidhje me numrin e prokurorëve dhe nevojat buxhetore të Prokurorisë së Përgjithshëm, Prokurorisë së Posaçme dhe Këshillit të Lartë të Prokurorisë;</w:t>
      </w:r>
    </w:p>
    <w:p w:rsidR="00B0121D" w:rsidRPr="00D73F43" w:rsidRDefault="00B0121D" w:rsidP="00534AA6">
      <w:pPr>
        <w:numPr>
          <w:ilvl w:val="0"/>
          <w:numId w:val="121"/>
        </w:numPr>
        <w:spacing w:after="200" w:line="300" w:lineRule="exact"/>
        <w:contextualSpacing/>
        <w:jc w:val="both"/>
        <w:rPr>
          <w:rFonts w:eastAsia="MS Mincho"/>
          <w:lang w:val="sq-AL"/>
        </w:rPr>
      </w:pPr>
      <w:r w:rsidRPr="00D73F43">
        <w:rPr>
          <w:rFonts w:eastAsia="MS Mincho"/>
          <w:lang w:val="sq-AL"/>
        </w:rPr>
        <w:t>Do të depozitojë ankesat që paraqiten kundër prokurorëve pranë Inspektorit të Lartë të Drejtësisë</w:t>
      </w:r>
      <w:r w:rsidRPr="00D73F43">
        <w:rPr>
          <w:rFonts w:eastAsia="MS Mincho"/>
          <w:vertAlign w:val="superscript"/>
          <w:lang w:val="sq-AL"/>
        </w:rPr>
        <w:t>;</w:t>
      </w:r>
    </w:p>
    <w:p w:rsidR="00B0121D" w:rsidRPr="00D73F43" w:rsidRDefault="00B0121D" w:rsidP="00534AA6">
      <w:pPr>
        <w:numPr>
          <w:ilvl w:val="0"/>
          <w:numId w:val="121"/>
        </w:numPr>
        <w:spacing w:after="200" w:line="300" w:lineRule="exact"/>
        <w:contextualSpacing/>
        <w:jc w:val="both"/>
        <w:rPr>
          <w:rFonts w:eastAsia="MS Mincho"/>
          <w:lang w:val="sq-AL"/>
        </w:rPr>
      </w:pPr>
      <w:r w:rsidRPr="00D73F43">
        <w:rPr>
          <w:rFonts w:eastAsia="MS Mincho"/>
          <w:lang w:val="sq-AL"/>
        </w:rPr>
        <w:t>Do të hartojë së bashku me Këshillin e Lartë Gjyqësor hartën për riorganizimin e rretheve gjyqësore dhe kompetencave tokësore të gjykatave, në rast se nga vlerësimi rezulton se harta gjyqësore në fuqi nuk i përmbush objektivat, parimet dhe kriteret ligjore. Do të ndjekë procesin e miratimit të hartës gjyqësore nga Këshilli i Ministrave;</w:t>
      </w:r>
    </w:p>
    <w:p w:rsidR="00B0121D" w:rsidRPr="00D73F43" w:rsidRDefault="00B0121D" w:rsidP="00534AA6">
      <w:pPr>
        <w:numPr>
          <w:ilvl w:val="0"/>
          <w:numId w:val="122"/>
        </w:numPr>
        <w:spacing w:after="200" w:line="300" w:lineRule="exact"/>
        <w:contextualSpacing/>
        <w:jc w:val="both"/>
        <w:rPr>
          <w:rFonts w:eastAsia="MS Mincho"/>
          <w:lang w:val="sq-AL"/>
        </w:rPr>
      </w:pPr>
      <w:r w:rsidRPr="00D73F43">
        <w:rPr>
          <w:rFonts w:eastAsia="MS Mincho"/>
          <w:lang w:val="sq-AL"/>
        </w:rPr>
        <w:t>Do të ndjekë përgatitjen e opinionit mbi propozimet që do të paraqiten nga organet e qeverisjes së sistemit gjyqësor;</w:t>
      </w:r>
    </w:p>
    <w:p w:rsidR="00B0121D" w:rsidRPr="00D73F43" w:rsidRDefault="00B0121D" w:rsidP="00534AA6">
      <w:pPr>
        <w:numPr>
          <w:ilvl w:val="0"/>
          <w:numId w:val="122"/>
        </w:numPr>
        <w:spacing w:after="200" w:line="300" w:lineRule="exact"/>
        <w:contextualSpacing/>
        <w:jc w:val="both"/>
        <w:rPr>
          <w:rFonts w:eastAsia="MS Mincho"/>
          <w:lang w:val="sq-AL"/>
        </w:rPr>
      </w:pPr>
      <w:r w:rsidRPr="00D73F43">
        <w:rPr>
          <w:rFonts w:eastAsia="MS Mincho"/>
          <w:lang w:val="sq-AL"/>
        </w:rPr>
        <w:t>Do të kontribuojë në përgatitjen e kurrikulave dhe organizimin e trajnimeve për formimin profesional (fillestar dhe vazhdues) të kancelarëve, këshilltarëve ligjorë në Gjykatën e Lartë dhe ndihmësve të tjerë ligjorë, si dhe nëpunësve të tjerë civilë gjyqësorë të gjykatave;</w:t>
      </w:r>
    </w:p>
    <w:p w:rsidR="00B0121D" w:rsidRPr="00D73F43" w:rsidRDefault="00B0121D" w:rsidP="00534AA6">
      <w:pPr>
        <w:numPr>
          <w:ilvl w:val="0"/>
          <w:numId w:val="122"/>
        </w:numPr>
        <w:spacing w:after="200" w:line="300" w:lineRule="exact"/>
        <w:contextualSpacing/>
        <w:jc w:val="both"/>
        <w:rPr>
          <w:rFonts w:eastAsia="MS Mincho"/>
          <w:lang w:val="sq-AL"/>
        </w:rPr>
      </w:pPr>
      <w:r w:rsidRPr="00D73F43">
        <w:rPr>
          <w:rFonts w:eastAsia="MS Mincho"/>
          <w:lang w:val="sq-AL"/>
        </w:rPr>
        <w:t>Do të ushtrojë të drejtën e indicjes</w:t>
      </w:r>
      <w:r w:rsidRPr="00D73F43">
        <w:rPr>
          <w:rFonts w:eastAsia="Times New Roman"/>
          <w:lang w:val="sq-AL"/>
        </w:rPr>
        <w:t xml:space="preserve"> për zhvillimin e inspektimeve nga Inspektorati;</w:t>
      </w:r>
    </w:p>
    <w:p w:rsidR="00B0121D" w:rsidRPr="00D73F43" w:rsidRDefault="00B0121D" w:rsidP="00534AA6">
      <w:pPr>
        <w:numPr>
          <w:ilvl w:val="0"/>
          <w:numId w:val="122"/>
        </w:numPr>
        <w:spacing w:after="200" w:line="300" w:lineRule="exact"/>
        <w:contextualSpacing/>
        <w:jc w:val="both"/>
        <w:rPr>
          <w:rFonts w:eastAsia="Times New Roman"/>
          <w:lang w:val="sq-AL"/>
        </w:rPr>
      </w:pPr>
      <w:r w:rsidRPr="00D73F43">
        <w:rPr>
          <w:rFonts w:eastAsia="Times New Roman"/>
          <w:lang w:val="sq-AL"/>
        </w:rPr>
        <w:t>Do të ndjekë çdo veprimtari tjetër që do të autorizohet në kuadër të implementimit të reformës</w:t>
      </w:r>
      <w:r w:rsidRPr="00D73F43">
        <w:rPr>
          <w:rFonts w:eastAsia="MS Mincho"/>
          <w:lang w:val="sq-AL"/>
        </w:rPr>
        <w:t xml:space="preserve">. </w:t>
      </w:r>
    </w:p>
    <w:p w:rsidR="00B0121D" w:rsidRPr="00D73F43" w:rsidRDefault="00B0121D" w:rsidP="00B0121D">
      <w:pPr>
        <w:ind w:left="432"/>
        <w:rPr>
          <w:rFonts w:eastAsia="MS Mincho"/>
          <w:b/>
          <w:lang w:val="sq-AL"/>
        </w:rPr>
      </w:pPr>
    </w:p>
    <w:p w:rsidR="00B0121D" w:rsidRPr="00D73F43" w:rsidRDefault="00B0121D" w:rsidP="00B0121D">
      <w:pPr>
        <w:ind w:left="432"/>
        <w:rPr>
          <w:rFonts w:eastAsia="MS Mincho"/>
          <w:b/>
          <w:lang w:val="sq-AL"/>
        </w:rPr>
      </w:pPr>
    </w:p>
    <w:p w:rsidR="00B0121D" w:rsidRPr="006D51B9" w:rsidRDefault="00B0121D" w:rsidP="006E1DB0">
      <w:pPr>
        <w:pStyle w:val="Heading2"/>
        <w:numPr>
          <w:ilvl w:val="1"/>
          <w:numId w:val="163"/>
        </w:numPr>
        <w:rPr>
          <w:rFonts w:ascii="Times New Roman" w:hAnsi="Times New Roman"/>
          <w:i w:val="0"/>
        </w:rPr>
      </w:pPr>
      <w:bookmarkStart w:id="151" w:name="_Toc466445481"/>
      <w:r w:rsidRPr="006D51B9">
        <w:rPr>
          <w:rFonts w:ascii="Times New Roman" w:hAnsi="Times New Roman"/>
          <w:i w:val="0"/>
        </w:rPr>
        <w:t>MJEDISI</w:t>
      </w:r>
      <w:bookmarkEnd w:id="151"/>
    </w:p>
    <w:p w:rsidR="00B0121D" w:rsidRPr="00D73F43" w:rsidRDefault="00B0121D" w:rsidP="00B0121D">
      <w:pPr>
        <w:rPr>
          <w:rFonts w:eastAsia="MS Mincho"/>
          <w:b/>
          <w:lang w:val="sq-AL"/>
        </w:rPr>
      </w:pPr>
    </w:p>
    <w:p w:rsidR="00B0121D" w:rsidRPr="00952AD0" w:rsidRDefault="00642658" w:rsidP="00B0121D">
      <w:pPr>
        <w:rPr>
          <w:rFonts w:eastAsia="MS Mincho"/>
          <w:b/>
          <w:noProof/>
          <w:szCs w:val="20"/>
          <w:lang w:val="sq-AL"/>
        </w:rPr>
      </w:pPr>
      <w:r w:rsidRPr="00952AD0">
        <w:rPr>
          <w:rFonts w:eastAsia="MS Mincho"/>
          <w:b/>
          <w:noProof/>
          <w:szCs w:val="20"/>
          <w:lang w:val="sq-AL"/>
        </w:rPr>
        <w:t>4.</w:t>
      </w:r>
      <w:r w:rsidR="00B0121D" w:rsidRPr="00952AD0">
        <w:rPr>
          <w:rFonts w:eastAsia="MS Mincho"/>
          <w:b/>
          <w:noProof/>
          <w:szCs w:val="20"/>
          <w:lang w:val="sq-AL"/>
        </w:rPr>
        <w:t>11.1 Situata e sektorit në 2013</w:t>
      </w:r>
    </w:p>
    <w:p w:rsidR="00B0121D" w:rsidRPr="00D73F43" w:rsidRDefault="00B0121D" w:rsidP="00B0121D">
      <w:pPr>
        <w:rPr>
          <w:rFonts w:eastAsia="MS Mincho"/>
          <w:b/>
          <w:noProof/>
          <w:szCs w:val="20"/>
          <w:lang w:val="sq-AL"/>
        </w:rPr>
      </w:pPr>
    </w:p>
    <w:p w:rsidR="00B0121D" w:rsidRPr="00D73F43" w:rsidRDefault="00B0121D" w:rsidP="00534AA6">
      <w:pPr>
        <w:numPr>
          <w:ilvl w:val="0"/>
          <w:numId w:val="78"/>
        </w:numPr>
        <w:shd w:val="clear" w:color="auto" w:fill="FFFFFF"/>
        <w:spacing w:after="324" w:line="276" w:lineRule="auto"/>
        <w:contextualSpacing/>
        <w:jc w:val="both"/>
        <w:rPr>
          <w:rFonts w:eastAsia="Times New Roman"/>
          <w:noProof/>
          <w:lang w:val="sq-AL"/>
        </w:rPr>
      </w:pPr>
      <w:r w:rsidRPr="00D73F43">
        <w:rPr>
          <w:rFonts w:eastAsia="Times New Roman"/>
          <w:noProof/>
          <w:lang w:val="sq-AL"/>
        </w:rPr>
        <w:t>Në vitin 2013, situata në pyje ishte problematike, ku 250,000 ha pyje u gjetën të dëmtuar, ndërkohë që investimet e bëra për rehabilitimin e fondit pyjor ishin minimale. </w:t>
      </w:r>
    </w:p>
    <w:p w:rsidR="00B0121D" w:rsidRPr="00D73F43" w:rsidRDefault="00B0121D" w:rsidP="00534AA6">
      <w:pPr>
        <w:numPr>
          <w:ilvl w:val="0"/>
          <w:numId w:val="78"/>
        </w:numPr>
        <w:shd w:val="clear" w:color="auto" w:fill="FFFFFF"/>
        <w:spacing w:after="324" w:line="276" w:lineRule="auto"/>
        <w:contextualSpacing/>
        <w:jc w:val="both"/>
        <w:rPr>
          <w:rFonts w:eastAsia="Times New Roman"/>
          <w:noProof/>
          <w:lang w:val="sq-AL"/>
        </w:rPr>
      </w:pPr>
      <w:r w:rsidRPr="00D73F43">
        <w:rPr>
          <w:rFonts w:eastAsia="Times New Roman"/>
          <w:noProof/>
          <w:lang w:val="sq-AL"/>
        </w:rPr>
        <w:t>Mungonin investime për ndërtimin e impianteve që do të mund të shërbenin për depozitimin e mbetjeve. Grumbullimi i mbetjeve ishte i shpërndarë dhe jo i organizuar.</w:t>
      </w:r>
    </w:p>
    <w:p w:rsidR="00B0121D" w:rsidRPr="00D73F43" w:rsidRDefault="00B0121D" w:rsidP="00534AA6">
      <w:pPr>
        <w:numPr>
          <w:ilvl w:val="0"/>
          <w:numId w:val="78"/>
        </w:numPr>
        <w:shd w:val="clear" w:color="auto" w:fill="FFFFFF"/>
        <w:spacing w:after="324" w:line="276" w:lineRule="auto"/>
        <w:contextualSpacing/>
        <w:jc w:val="both"/>
        <w:rPr>
          <w:rFonts w:eastAsia="Times New Roman"/>
          <w:noProof/>
          <w:lang w:val="sq-AL"/>
        </w:rPr>
      </w:pPr>
      <w:r w:rsidRPr="00D73F43">
        <w:rPr>
          <w:rFonts w:eastAsia="Times New Roman"/>
          <w:noProof/>
          <w:shd w:val="clear" w:color="auto" w:fill="FFFFFF"/>
          <w:lang w:val="sq-AL"/>
        </w:rPr>
        <w:t xml:space="preserve">Mungonin investime për rehabilitim dhe zhvillim të qëndrueshëm të zonave të mbrojtura në të gjithë vendin. </w:t>
      </w:r>
    </w:p>
    <w:p w:rsidR="00B0121D" w:rsidRPr="00D73F43" w:rsidRDefault="00B0121D" w:rsidP="00534AA6">
      <w:pPr>
        <w:numPr>
          <w:ilvl w:val="0"/>
          <w:numId w:val="78"/>
        </w:numPr>
        <w:shd w:val="clear" w:color="auto" w:fill="FFFFFF"/>
        <w:spacing w:after="324" w:line="276" w:lineRule="auto"/>
        <w:contextualSpacing/>
        <w:jc w:val="both"/>
        <w:rPr>
          <w:rFonts w:eastAsia="Times New Roman"/>
          <w:noProof/>
          <w:lang w:val="sq-AL"/>
        </w:rPr>
      </w:pPr>
      <w:r w:rsidRPr="00D73F43">
        <w:rPr>
          <w:rFonts w:eastAsia="Times New Roman"/>
          <w:noProof/>
          <w:lang w:val="sq-AL"/>
        </w:rPr>
        <w:t>Fauna e egër, rrezikonte zhdukjen e plotë si rezultat i gjuetisë pa kriter.</w:t>
      </w:r>
    </w:p>
    <w:p w:rsidR="00B0121D" w:rsidRPr="00D73F43" w:rsidRDefault="00B0121D" w:rsidP="00534AA6">
      <w:pPr>
        <w:numPr>
          <w:ilvl w:val="0"/>
          <w:numId w:val="78"/>
        </w:numPr>
        <w:shd w:val="clear" w:color="auto" w:fill="FFFFFF"/>
        <w:spacing w:after="324" w:line="276" w:lineRule="auto"/>
        <w:contextualSpacing/>
        <w:jc w:val="both"/>
        <w:rPr>
          <w:rFonts w:eastAsia="Times New Roman"/>
          <w:noProof/>
          <w:lang w:val="sq-AL"/>
        </w:rPr>
      </w:pPr>
      <w:r w:rsidRPr="00D73F43">
        <w:rPr>
          <w:rFonts w:eastAsia="Times New Roman"/>
          <w:noProof/>
          <w:shd w:val="clear" w:color="auto" w:fill="FFFFFF"/>
          <w:lang w:val="sq-AL"/>
        </w:rPr>
        <w:t xml:space="preserve"> 90% e subjekteve me ndikim në mjedis ishin të pa pajisura me leje mjedisore, madje pjesa dërrmuese e tyre nuk ishin në dijeni mbi këtë detyrim ligjor.</w:t>
      </w:r>
      <w:r w:rsidRPr="00D73F43">
        <w:rPr>
          <w:rFonts w:eastAsia="Times New Roman"/>
          <w:noProof/>
          <w:lang w:val="sq-AL"/>
        </w:rPr>
        <w:t> </w:t>
      </w:r>
    </w:p>
    <w:p w:rsidR="00B0121D" w:rsidRPr="00D73F43" w:rsidRDefault="00B0121D" w:rsidP="00534AA6">
      <w:pPr>
        <w:numPr>
          <w:ilvl w:val="0"/>
          <w:numId w:val="78"/>
        </w:numPr>
        <w:shd w:val="clear" w:color="auto" w:fill="FFFFFF"/>
        <w:spacing w:after="324" w:line="276" w:lineRule="auto"/>
        <w:contextualSpacing/>
        <w:jc w:val="both"/>
        <w:rPr>
          <w:rFonts w:eastAsia="Times New Roman"/>
          <w:noProof/>
          <w:lang w:val="sq-AL"/>
        </w:rPr>
      </w:pPr>
      <w:r w:rsidRPr="00D73F43">
        <w:rPr>
          <w:rFonts w:eastAsia="Times New Roman"/>
          <w:noProof/>
          <w:lang w:val="sq-AL"/>
        </w:rPr>
        <w:t xml:space="preserve"> Laboratori i Agjencisë Kombëtare të Mjedisit ishte inekzistent dhe asnjë informacion nuk raportohej pranë Agjencisë Europiane të Mjedisit. </w:t>
      </w:r>
    </w:p>
    <w:p w:rsidR="00B0121D" w:rsidRPr="00D73F43" w:rsidRDefault="00B0121D" w:rsidP="00534AA6">
      <w:pPr>
        <w:numPr>
          <w:ilvl w:val="0"/>
          <w:numId w:val="78"/>
        </w:numPr>
        <w:shd w:val="clear" w:color="auto" w:fill="FFFFFF"/>
        <w:spacing w:after="324" w:line="276" w:lineRule="auto"/>
        <w:contextualSpacing/>
        <w:jc w:val="both"/>
        <w:rPr>
          <w:rFonts w:eastAsia="Times New Roman"/>
          <w:noProof/>
          <w:lang w:val="sq-AL"/>
        </w:rPr>
      </w:pPr>
      <w:r w:rsidRPr="00D73F43">
        <w:rPr>
          <w:rFonts w:eastAsia="Times New Roman"/>
          <w:noProof/>
          <w:lang w:val="sq-AL"/>
        </w:rPr>
        <w:t>Organizimi strukturor i lidhur me fushën e mjedisit dhe zonave të mbrojtura ishte i copëzuar me detyra dhe përgjegjësi të mbivendosura.</w:t>
      </w:r>
    </w:p>
    <w:p w:rsidR="00B0121D" w:rsidRPr="00D73F43" w:rsidRDefault="00B0121D" w:rsidP="00B0121D">
      <w:pPr>
        <w:ind w:left="360"/>
        <w:rPr>
          <w:rFonts w:eastAsia="Times New Roman"/>
          <w:noProof/>
          <w:lang w:val="sq-AL"/>
        </w:rPr>
      </w:pPr>
    </w:p>
    <w:p w:rsidR="00B0121D" w:rsidRPr="00D73F43" w:rsidRDefault="00642658" w:rsidP="00B0121D">
      <w:pPr>
        <w:rPr>
          <w:rFonts w:eastAsia="MS Mincho"/>
          <w:b/>
          <w:noProof/>
          <w:szCs w:val="20"/>
          <w:lang w:val="sq-AL"/>
        </w:rPr>
      </w:pPr>
      <w:r>
        <w:rPr>
          <w:rFonts w:eastAsia="MS Mincho"/>
          <w:b/>
          <w:noProof/>
          <w:szCs w:val="20"/>
          <w:lang w:val="sq-AL"/>
        </w:rPr>
        <w:t>4.</w:t>
      </w:r>
      <w:r w:rsidR="00B0121D" w:rsidRPr="00D73F43">
        <w:rPr>
          <w:rFonts w:eastAsia="MS Mincho"/>
          <w:b/>
          <w:noProof/>
          <w:szCs w:val="20"/>
          <w:lang w:val="sq-AL"/>
        </w:rPr>
        <w:t>11.2 Reformat e ndërmarra 2013-2016</w:t>
      </w:r>
    </w:p>
    <w:p w:rsidR="00B0121D" w:rsidRPr="00D73F43" w:rsidRDefault="00B0121D" w:rsidP="00B0121D">
      <w:pPr>
        <w:rPr>
          <w:rFonts w:eastAsia="MS Mincho"/>
          <w:b/>
          <w:noProof/>
          <w:szCs w:val="20"/>
          <w:lang w:val="sq-AL"/>
        </w:rPr>
      </w:pPr>
    </w:p>
    <w:p w:rsidR="00B0121D" w:rsidRPr="00D73F43" w:rsidRDefault="00B0121D" w:rsidP="00534AA6">
      <w:pPr>
        <w:numPr>
          <w:ilvl w:val="0"/>
          <w:numId w:val="79"/>
        </w:numPr>
        <w:shd w:val="clear" w:color="auto" w:fill="FFFFFF"/>
        <w:spacing w:line="276" w:lineRule="auto"/>
        <w:jc w:val="both"/>
        <w:rPr>
          <w:rFonts w:eastAsia="Times New Roman"/>
          <w:noProof/>
          <w:lang w:val="sq-AL" w:eastAsia="en-GB"/>
        </w:rPr>
      </w:pPr>
      <w:r w:rsidRPr="00D73F43">
        <w:rPr>
          <w:rFonts w:eastAsia="Times New Roman"/>
          <w:noProof/>
          <w:lang w:val="sq-AL" w:eastAsia="en-GB"/>
        </w:rPr>
        <w:lastRenderedPageBreak/>
        <w:t xml:space="preserve">Ministria e Mjedisit, vendosi për herë të parë në historinë e shtetit Shqiptar moratoriumin e gjuetisë në Mars 2014 për një periudhë dy- vjeçare, i cili në Mars të këtij viti u shty edhe për një periudhë tjetër 5- vjeçare. Në saj të moratoriumit të gjuetisë dhe të akteve ligjore/nënligjore të fushës të miratuara rishtazi, u mundësua rigjallërimi i ndjeshëm i faunës së egër. </w:t>
      </w:r>
    </w:p>
    <w:p w:rsidR="00B0121D" w:rsidRPr="00D73F43" w:rsidRDefault="00B0121D" w:rsidP="00534AA6">
      <w:pPr>
        <w:numPr>
          <w:ilvl w:val="0"/>
          <w:numId w:val="79"/>
        </w:numPr>
        <w:spacing w:line="276" w:lineRule="auto"/>
        <w:jc w:val="both"/>
        <w:rPr>
          <w:rFonts w:eastAsia="Times New Roman"/>
          <w:noProof/>
          <w:lang w:val="sq-AL" w:eastAsia="en-GB"/>
        </w:rPr>
      </w:pPr>
      <w:r w:rsidRPr="00D73F43">
        <w:rPr>
          <w:rFonts w:eastAsia="Times New Roman"/>
          <w:noProof/>
          <w:lang w:val="sq-AL" w:eastAsia="en-GB"/>
        </w:rPr>
        <w:t>Pyjet dhe hapësirat e gjelbra:</w:t>
      </w:r>
      <w:r w:rsidRPr="00D73F43">
        <w:rPr>
          <w:rFonts w:eastAsia="Times New Roman"/>
          <w:b/>
          <w:noProof/>
          <w:lang w:val="sq-AL" w:eastAsia="en-GB"/>
        </w:rPr>
        <w:t xml:space="preserve"> </w:t>
      </w:r>
      <w:r w:rsidRPr="00D73F43">
        <w:rPr>
          <w:rFonts w:eastAsia="Times New Roman"/>
          <w:noProof/>
          <w:lang w:val="sq-AL" w:eastAsia="en-GB"/>
        </w:rPr>
        <w:t xml:space="preserve">Që nga viti 2014, Ministria e Mjedisit, ka realizuar me sukses një fushatë pyllëzimesh të shtrirë në të gjithë vendin duke  mbjellë 2.5-3 milionë pemë të reja. Ndërkohë për vitin 2016, krahasuar me periudhën 2005-2013, janë reduktuar me 80.6 % prerjet ilegale në pyje. </w:t>
      </w:r>
    </w:p>
    <w:p w:rsidR="00B0121D" w:rsidRPr="00D73F43" w:rsidRDefault="00B0121D" w:rsidP="00534AA6">
      <w:pPr>
        <w:numPr>
          <w:ilvl w:val="0"/>
          <w:numId w:val="79"/>
        </w:numPr>
        <w:spacing w:line="276" w:lineRule="auto"/>
        <w:jc w:val="both"/>
        <w:rPr>
          <w:rFonts w:eastAsia="Times New Roman"/>
          <w:noProof/>
          <w:lang w:val="sq-AL" w:eastAsia="en-GB"/>
        </w:rPr>
      </w:pPr>
      <w:r w:rsidRPr="00D73F43">
        <w:rPr>
          <w:rFonts w:eastAsia="Times New Roman"/>
          <w:noProof/>
          <w:lang w:val="sq-AL" w:eastAsia="en-GB"/>
        </w:rPr>
        <w:t>Mbetjet: Është rehabilituar plotësisht vend-depozitimi ekzistues i mbetjeve në Elbasan, si dhe është ndërtuar një landfill i ri modern bashkë me impiantin e parë për prodhim energjie elektrike dhe termike. Krahas sa më sipër, menaxhimi i mbetjeve përmes landfilleve është shtrirë dhe në qarqe të tjera:</w:t>
      </w:r>
    </w:p>
    <w:p w:rsidR="00B0121D" w:rsidRPr="00D73F43" w:rsidRDefault="00B0121D" w:rsidP="00534AA6">
      <w:pPr>
        <w:numPr>
          <w:ilvl w:val="0"/>
          <w:numId w:val="123"/>
        </w:numPr>
        <w:spacing w:line="276" w:lineRule="auto"/>
        <w:jc w:val="both"/>
        <w:rPr>
          <w:rFonts w:eastAsia="Times New Roman"/>
          <w:noProof/>
          <w:lang w:val="sq-AL" w:eastAsia="en-GB"/>
        </w:rPr>
      </w:pPr>
      <w:r w:rsidRPr="00D73F43">
        <w:rPr>
          <w:rFonts w:eastAsia="Times New Roman"/>
          <w:noProof/>
          <w:lang w:val="sq-AL" w:eastAsia="en-GB"/>
        </w:rPr>
        <w:t xml:space="preserve">Ka filluar puna në Nëntor 2016 për ndërtimin e impiantit të dytë në vend për prodhim energjie nga mbetjet në Qarkun e Fierit; </w:t>
      </w:r>
    </w:p>
    <w:p w:rsidR="00B0121D" w:rsidRPr="00D73F43" w:rsidRDefault="00B0121D" w:rsidP="00534AA6">
      <w:pPr>
        <w:numPr>
          <w:ilvl w:val="0"/>
          <w:numId w:val="123"/>
        </w:numPr>
        <w:spacing w:line="276" w:lineRule="auto"/>
        <w:jc w:val="both"/>
        <w:rPr>
          <w:rFonts w:eastAsia="Times New Roman"/>
          <w:noProof/>
          <w:lang w:val="sq-AL" w:eastAsia="en-GB"/>
        </w:rPr>
      </w:pPr>
      <w:r w:rsidRPr="00D73F43">
        <w:rPr>
          <w:rFonts w:eastAsia="Times New Roman"/>
          <w:noProof/>
          <w:lang w:val="sq-AL" w:eastAsia="en-GB"/>
        </w:rPr>
        <w:t>Po ndërtohen landfille në Maliq, për qarkun e Korçës dhe në Vlorë, fal mbështetjes së donatorëve;</w:t>
      </w:r>
    </w:p>
    <w:p w:rsidR="00B0121D" w:rsidRPr="00D73F43" w:rsidRDefault="00B0121D" w:rsidP="00534AA6">
      <w:pPr>
        <w:numPr>
          <w:ilvl w:val="0"/>
          <w:numId w:val="123"/>
        </w:numPr>
        <w:spacing w:line="276" w:lineRule="auto"/>
        <w:jc w:val="both"/>
        <w:rPr>
          <w:rFonts w:eastAsia="Times New Roman"/>
          <w:noProof/>
          <w:lang w:val="sq-AL" w:eastAsia="en-GB"/>
        </w:rPr>
      </w:pPr>
      <w:r w:rsidRPr="00D73F43">
        <w:rPr>
          <w:rFonts w:eastAsia="Times New Roman"/>
          <w:noProof/>
          <w:lang w:val="sq-AL" w:eastAsia="en-GB"/>
        </w:rPr>
        <w:t xml:space="preserve">Ka përfunduar ndërtimi i Landfillit të Bajkajt kryesisht për zonën e Himarës dhe Sarandës; </w:t>
      </w:r>
    </w:p>
    <w:p w:rsidR="00B0121D" w:rsidRPr="00D73F43" w:rsidRDefault="00B0121D" w:rsidP="00534AA6">
      <w:pPr>
        <w:numPr>
          <w:ilvl w:val="0"/>
          <w:numId w:val="124"/>
        </w:numPr>
        <w:spacing w:line="276" w:lineRule="auto"/>
        <w:jc w:val="both"/>
        <w:rPr>
          <w:rFonts w:eastAsia="Times New Roman"/>
          <w:noProof/>
          <w:lang w:val="sq-AL" w:eastAsia="en-GB"/>
        </w:rPr>
      </w:pPr>
      <w:r w:rsidRPr="00D73F43">
        <w:rPr>
          <w:rFonts w:eastAsia="Times New Roman"/>
          <w:noProof/>
          <w:lang w:val="sq-AL" w:eastAsia="en-GB"/>
        </w:rPr>
        <w:t>Është ndërtuar impianti i parë modern për grumbullimin e mbetjeve në grykderdhjen e Shkumbinit dhe pritet të realizohet  një projekt i tillë dhe në grykderdhjen e Ishmit.</w:t>
      </w:r>
    </w:p>
    <w:p w:rsidR="00B0121D" w:rsidRPr="00D73F43" w:rsidRDefault="00B0121D" w:rsidP="00B0121D">
      <w:pPr>
        <w:spacing w:line="276" w:lineRule="auto"/>
        <w:ind w:left="1440"/>
        <w:jc w:val="both"/>
        <w:rPr>
          <w:rFonts w:eastAsia="Times New Roman"/>
          <w:noProof/>
          <w:lang w:val="sq-AL" w:eastAsia="en-GB"/>
        </w:rPr>
      </w:pPr>
    </w:p>
    <w:p w:rsidR="00B0121D" w:rsidRPr="00D73F43" w:rsidRDefault="00B0121D" w:rsidP="00534AA6">
      <w:pPr>
        <w:numPr>
          <w:ilvl w:val="0"/>
          <w:numId w:val="80"/>
        </w:numPr>
        <w:spacing w:line="276" w:lineRule="auto"/>
        <w:jc w:val="both"/>
        <w:rPr>
          <w:rFonts w:eastAsia="Times New Roman"/>
          <w:b/>
          <w:noProof/>
          <w:u w:val="single"/>
          <w:lang w:val="sq-AL" w:eastAsia="en-GB"/>
        </w:rPr>
      </w:pPr>
      <w:r w:rsidRPr="00D73F43">
        <w:rPr>
          <w:rFonts w:eastAsia="Times New Roman"/>
          <w:noProof/>
          <w:lang w:val="sq-AL" w:eastAsia="en-GB"/>
        </w:rPr>
        <w:t xml:space="preserve">  U ngrit Agjencia Kombëtare e Zonave të Mbrojtura. </w:t>
      </w:r>
      <w:r w:rsidRPr="00D73F43">
        <w:rPr>
          <w:rFonts w:eastAsia="Times New Roman"/>
          <w:noProof/>
          <w:shd w:val="clear" w:color="auto" w:fill="FFFFFF"/>
          <w:lang w:val="sq-AL"/>
        </w:rPr>
        <w:t xml:space="preserve">Kjo agjenci ka për qëllim menaxhimin, mbrojtjen, zhvillimin, zgjerimin dhe funksionimin e sipërfaqeve të zonave të mbrojtura në vendin tonë, që përbëjnë sot rreth 16.61% të territorit të Shqipërisë. </w:t>
      </w:r>
      <w:r w:rsidRPr="00D73F43">
        <w:rPr>
          <w:rFonts w:eastAsia="Times New Roman"/>
          <w:noProof/>
          <w:lang w:val="sq-AL" w:eastAsia="en-GB"/>
        </w:rPr>
        <w:t>Kjo agjenci krahas rritjes së shkallës së ruajtjes së zonave të mbrojtura, është në proces për të zgjeruar shtrirjen e tyre dhe në dy zona: (i) zona e mbrojtur detare e Porto Palermos dhe (ii) Parku Kombëtar i Alpeve (i cili përfshin zonën e Vermoshit, PK Theth, PK Lugina e Valbonës).</w:t>
      </w:r>
    </w:p>
    <w:p w:rsidR="00B0121D" w:rsidRPr="00D73F43" w:rsidRDefault="00B0121D" w:rsidP="00B0121D">
      <w:pPr>
        <w:spacing w:line="276" w:lineRule="auto"/>
        <w:ind w:left="810"/>
        <w:jc w:val="both"/>
        <w:rPr>
          <w:rFonts w:eastAsia="Times New Roman"/>
          <w:b/>
          <w:noProof/>
          <w:u w:val="single"/>
          <w:lang w:val="sq-AL" w:eastAsia="en-GB"/>
        </w:rPr>
      </w:pPr>
    </w:p>
    <w:p w:rsidR="00B0121D" w:rsidRPr="00D73F43" w:rsidRDefault="00B0121D" w:rsidP="00534AA6">
      <w:pPr>
        <w:numPr>
          <w:ilvl w:val="0"/>
          <w:numId w:val="80"/>
        </w:numPr>
        <w:spacing w:line="276" w:lineRule="auto"/>
        <w:jc w:val="both"/>
        <w:rPr>
          <w:rFonts w:eastAsia="Times New Roman"/>
          <w:noProof/>
          <w:lang w:val="sq-AL" w:eastAsia="en-GB"/>
        </w:rPr>
      </w:pPr>
      <w:r w:rsidRPr="00D73F43">
        <w:rPr>
          <w:rFonts w:eastAsia="Times New Roman"/>
          <w:noProof/>
          <w:lang w:val="sq-AL" w:eastAsia="en-GB"/>
        </w:rPr>
        <w:t xml:space="preserve"> Krijimi i Inspektoriati Shtetëror të Mjedisit dhe Pyjeve, ka mundësuar pajisjen me leje mjedisore të 95% të subjekteve.</w:t>
      </w:r>
      <w:r w:rsidRPr="00D73F43">
        <w:rPr>
          <w:rFonts w:eastAsia="Times New Roman"/>
          <w:b/>
          <w:noProof/>
          <w:lang w:val="sq-AL" w:eastAsia="en-GB"/>
        </w:rPr>
        <w:t xml:space="preserve"> </w:t>
      </w:r>
      <w:r w:rsidRPr="00D73F43">
        <w:rPr>
          <w:rFonts w:eastAsia="Times New Roman"/>
          <w:noProof/>
          <w:lang w:val="sq-AL" w:eastAsia="en-GB"/>
        </w:rPr>
        <w:t>Për të siguruar mbrojtjen kundër zjarreve në pyje dhe kullota, Inspektoriati ka investuar duke vendosur mbi 240 kamera monitoruese (24 orë) dhe 24 kamera termike në mbarë vendin, duke kontrolluar situatën në terren në kohë reale.</w:t>
      </w:r>
    </w:p>
    <w:p w:rsidR="00B0121D" w:rsidRPr="00D73F43" w:rsidRDefault="00B0121D" w:rsidP="00B0121D">
      <w:pPr>
        <w:rPr>
          <w:rFonts w:eastAsia="Times New Roman"/>
          <w:noProof/>
          <w:u w:val="single"/>
          <w:lang w:val="sq-AL" w:eastAsia="en-GB"/>
        </w:rPr>
      </w:pPr>
    </w:p>
    <w:p w:rsidR="00C05F2E" w:rsidRPr="00D73F43" w:rsidRDefault="00C05F2E" w:rsidP="00B0121D">
      <w:pPr>
        <w:rPr>
          <w:rFonts w:eastAsia="Times New Roman"/>
          <w:noProof/>
          <w:u w:val="single"/>
          <w:lang w:val="sq-AL" w:eastAsia="en-GB"/>
        </w:rPr>
      </w:pPr>
    </w:p>
    <w:p w:rsidR="00B0121D" w:rsidRPr="00D73F43" w:rsidRDefault="00642658" w:rsidP="00B0121D">
      <w:pPr>
        <w:rPr>
          <w:rFonts w:eastAsia="MS Mincho"/>
          <w:b/>
          <w:noProof/>
          <w:szCs w:val="20"/>
          <w:lang w:val="sq-AL"/>
        </w:rPr>
      </w:pPr>
      <w:r>
        <w:rPr>
          <w:rFonts w:eastAsia="MS Mincho"/>
          <w:b/>
          <w:noProof/>
          <w:szCs w:val="20"/>
          <w:lang w:val="sq-AL"/>
        </w:rPr>
        <w:t>4.</w:t>
      </w:r>
      <w:r w:rsidR="00B0121D" w:rsidRPr="00D73F43">
        <w:rPr>
          <w:rFonts w:eastAsia="MS Mincho"/>
          <w:b/>
          <w:noProof/>
          <w:szCs w:val="20"/>
          <w:lang w:val="sq-AL"/>
        </w:rPr>
        <w:t>11.3 Prioritetet e projekt-buxhetit 2017</w:t>
      </w:r>
    </w:p>
    <w:p w:rsidR="00B0121D" w:rsidRPr="00D73F43" w:rsidRDefault="00B0121D" w:rsidP="00B0121D">
      <w:pPr>
        <w:rPr>
          <w:rFonts w:eastAsia="MS Mincho"/>
          <w:b/>
          <w:noProof/>
          <w:szCs w:val="20"/>
          <w:lang w:val="sq-AL"/>
        </w:rPr>
      </w:pPr>
    </w:p>
    <w:p w:rsidR="00B0121D" w:rsidRPr="00D73F43" w:rsidRDefault="00B0121D" w:rsidP="00534AA6">
      <w:pPr>
        <w:numPr>
          <w:ilvl w:val="0"/>
          <w:numId w:val="81"/>
        </w:numPr>
        <w:spacing w:after="200" w:line="276" w:lineRule="auto"/>
        <w:contextualSpacing/>
        <w:rPr>
          <w:rFonts w:eastAsia="Times New Roman"/>
          <w:noProof/>
          <w:lang w:val="sq-AL"/>
        </w:rPr>
      </w:pPr>
      <w:r w:rsidRPr="00D73F43">
        <w:rPr>
          <w:rFonts w:eastAsia="Times New Roman"/>
          <w:noProof/>
          <w:lang w:val="sq-AL"/>
        </w:rPr>
        <w:t>Përmirësimi i Cilësisë së Ajrit të Mjedisit Urban;</w:t>
      </w:r>
    </w:p>
    <w:p w:rsidR="00B0121D" w:rsidRPr="00D73F43" w:rsidRDefault="00B0121D" w:rsidP="00534AA6">
      <w:pPr>
        <w:numPr>
          <w:ilvl w:val="0"/>
          <w:numId w:val="81"/>
        </w:numPr>
        <w:spacing w:after="200" w:line="276" w:lineRule="auto"/>
        <w:contextualSpacing/>
        <w:rPr>
          <w:rFonts w:eastAsia="Times New Roman"/>
          <w:noProof/>
          <w:lang w:val="sq-AL"/>
        </w:rPr>
      </w:pPr>
      <w:r w:rsidRPr="00D73F43">
        <w:rPr>
          <w:rFonts w:eastAsia="Times New Roman"/>
          <w:noProof/>
          <w:lang w:val="sq-AL"/>
        </w:rPr>
        <w:t>Monitorimi i Cilësisë së Ujërave;</w:t>
      </w:r>
    </w:p>
    <w:p w:rsidR="00B0121D" w:rsidRPr="00D73F43" w:rsidRDefault="00B0121D" w:rsidP="00534AA6">
      <w:pPr>
        <w:numPr>
          <w:ilvl w:val="0"/>
          <w:numId w:val="81"/>
        </w:numPr>
        <w:spacing w:after="200" w:line="276" w:lineRule="auto"/>
        <w:contextualSpacing/>
        <w:rPr>
          <w:rFonts w:eastAsia="Times New Roman"/>
          <w:noProof/>
          <w:lang w:val="sq-AL"/>
        </w:rPr>
      </w:pPr>
      <w:r w:rsidRPr="00D73F43">
        <w:rPr>
          <w:rFonts w:eastAsia="Times New Roman"/>
          <w:noProof/>
          <w:lang w:val="sq-AL"/>
        </w:rPr>
        <w:t>Hartimi dhe përmirësimin e legjislacionit për mbrojtjen e mjedisit dhe natyrës në kuadër të  përafrimit me kuadrin ligjor të Bashkimit Evropian;</w:t>
      </w:r>
    </w:p>
    <w:p w:rsidR="00B0121D" w:rsidRPr="00D73F43" w:rsidRDefault="00B0121D" w:rsidP="00534AA6">
      <w:pPr>
        <w:numPr>
          <w:ilvl w:val="0"/>
          <w:numId w:val="81"/>
        </w:numPr>
        <w:spacing w:after="200" w:line="276" w:lineRule="auto"/>
        <w:contextualSpacing/>
        <w:rPr>
          <w:rFonts w:eastAsia="Times New Roman"/>
          <w:noProof/>
          <w:lang w:val="sq-AL"/>
        </w:rPr>
      </w:pPr>
      <w:r w:rsidRPr="00D73F43">
        <w:rPr>
          <w:rFonts w:eastAsia="Times New Roman"/>
          <w:noProof/>
          <w:lang w:val="sq-AL"/>
        </w:rPr>
        <w:t>Edukimi i brezave të rinj për ruajtjen e mjedisit dhe minimizimin e ndotjes;</w:t>
      </w:r>
    </w:p>
    <w:p w:rsidR="00B0121D" w:rsidRPr="00D73F43" w:rsidRDefault="00B0121D" w:rsidP="00534AA6">
      <w:pPr>
        <w:numPr>
          <w:ilvl w:val="0"/>
          <w:numId w:val="81"/>
        </w:numPr>
        <w:spacing w:after="200" w:line="276" w:lineRule="auto"/>
        <w:contextualSpacing/>
        <w:rPr>
          <w:rFonts w:eastAsia="Times New Roman"/>
          <w:noProof/>
          <w:lang w:val="sq-AL"/>
        </w:rPr>
      </w:pPr>
      <w:r w:rsidRPr="00D73F43">
        <w:rPr>
          <w:rFonts w:eastAsia="Times New Roman"/>
          <w:noProof/>
          <w:lang w:val="sq-AL"/>
        </w:rPr>
        <w:t>Ndërgjegjësimi dhe ngritja e kapaciteteve të pushtetit vendor për rolin e tyre në mbrojtjen e mjedisit, natyrës dhe administrimit të pyjeve;</w:t>
      </w:r>
    </w:p>
    <w:p w:rsidR="00B0121D" w:rsidRPr="00D73F43" w:rsidRDefault="00B0121D" w:rsidP="00534AA6">
      <w:pPr>
        <w:numPr>
          <w:ilvl w:val="0"/>
          <w:numId w:val="81"/>
        </w:numPr>
        <w:spacing w:after="200" w:line="276" w:lineRule="auto"/>
        <w:contextualSpacing/>
        <w:rPr>
          <w:rFonts w:eastAsia="Times New Roman"/>
          <w:noProof/>
          <w:lang w:val="sq-AL"/>
        </w:rPr>
      </w:pPr>
      <w:r w:rsidRPr="00D73F43">
        <w:rPr>
          <w:rFonts w:eastAsia="Times New Roman"/>
          <w:noProof/>
          <w:lang w:val="sq-AL"/>
        </w:rPr>
        <w:t>Nxitja e partneritetit publik privat;</w:t>
      </w:r>
    </w:p>
    <w:p w:rsidR="00B0121D" w:rsidRPr="00D73F43" w:rsidRDefault="00B0121D" w:rsidP="00534AA6">
      <w:pPr>
        <w:numPr>
          <w:ilvl w:val="0"/>
          <w:numId w:val="81"/>
        </w:numPr>
        <w:spacing w:after="200" w:line="276" w:lineRule="auto"/>
        <w:contextualSpacing/>
        <w:rPr>
          <w:rFonts w:eastAsia="Times New Roman"/>
          <w:noProof/>
          <w:lang w:val="sq-AL"/>
        </w:rPr>
      </w:pPr>
      <w:r w:rsidRPr="00D73F43">
        <w:rPr>
          <w:rFonts w:eastAsia="Times New Roman"/>
          <w:noProof/>
          <w:lang w:val="sq-AL"/>
        </w:rPr>
        <w:t>Integrimi i ndryshimeve klimatike në sektorët e energjisë, ujërave, bujqësisë, zhvillimit urban dhe infrastrukturës;</w:t>
      </w:r>
    </w:p>
    <w:p w:rsidR="00B0121D" w:rsidRPr="00D73F43" w:rsidRDefault="00B0121D" w:rsidP="00534AA6">
      <w:pPr>
        <w:numPr>
          <w:ilvl w:val="0"/>
          <w:numId w:val="81"/>
        </w:numPr>
        <w:spacing w:after="200" w:line="276" w:lineRule="auto"/>
        <w:contextualSpacing/>
        <w:rPr>
          <w:rFonts w:eastAsia="Times New Roman"/>
          <w:noProof/>
          <w:lang w:val="sq-AL"/>
        </w:rPr>
      </w:pPr>
      <w:r w:rsidRPr="00D73F43">
        <w:rPr>
          <w:rFonts w:eastAsia="Times New Roman"/>
          <w:noProof/>
          <w:lang w:val="sq-AL"/>
        </w:rPr>
        <w:lastRenderedPageBreak/>
        <w:t>Mbrojtja dhe përmirësimi i menaxhimit të Zonave të Mbrojtura, si dhe rritja e sipërfaqes së Zonave të Mbrojtura Tokësore dhe Detare;</w:t>
      </w:r>
    </w:p>
    <w:p w:rsidR="00B0121D" w:rsidRPr="00D73F43" w:rsidRDefault="00B0121D" w:rsidP="00534AA6">
      <w:pPr>
        <w:numPr>
          <w:ilvl w:val="0"/>
          <w:numId w:val="81"/>
        </w:numPr>
        <w:spacing w:after="200" w:line="276" w:lineRule="auto"/>
        <w:contextualSpacing/>
        <w:rPr>
          <w:rFonts w:eastAsia="Times New Roman"/>
          <w:noProof/>
          <w:lang w:val="sq-AL"/>
        </w:rPr>
      </w:pPr>
      <w:r w:rsidRPr="00D73F43">
        <w:rPr>
          <w:rFonts w:eastAsia="Times New Roman"/>
          <w:noProof/>
          <w:lang w:val="sq-AL"/>
        </w:rPr>
        <w:t>Mbrojtja dhe menaxhimi i qëndrueshëm i biodiversitetit dhe eliminimi i gjuetisë së paligjshme;</w:t>
      </w:r>
    </w:p>
    <w:p w:rsidR="00B0121D" w:rsidRPr="00D73F43" w:rsidRDefault="00B0121D" w:rsidP="00534AA6">
      <w:pPr>
        <w:numPr>
          <w:ilvl w:val="0"/>
          <w:numId w:val="81"/>
        </w:numPr>
        <w:spacing w:after="200" w:line="276" w:lineRule="auto"/>
        <w:contextualSpacing/>
        <w:rPr>
          <w:rFonts w:eastAsia="Times New Roman"/>
          <w:noProof/>
          <w:lang w:val="sq-AL"/>
        </w:rPr>
      </w:pPr>
      <w:r w:rsidRPr="00D73F43">
        <w:rPr>
          <w:rFonts w:eastAsia="Times New Roman"/>
          <w:noProof/>
          <w:lang w:val="sq-AL"/>
        </w:rPr>
        <w:t>Hartimi i Inventarit Kombëtar të Pyjeve; Pyllëzimi i sipërfaqeve të degraduara nëpërmjet riciklimit në destinacion të të ardhurave nga fondi pyjor dhe detyrimeve të subjekteve që ushtrojnë aktivitet në fondin pyjor.</w:t>
      </w:r>
    </w:p>
    <w:p w:rsidR="00B0121D" w:rsidRPr="00D73F43" w:rsidRDefault="00B0121D" w:rsidP="00534AA6">
      <w:pPr>
        <w:numPr>
          <w:ilvl w:val="0"/>
          <w:numId w:val="81"/>
        </w:numPr>
        <w:spacing w:after="200" w:line="276" w:lineRule="auto"/>
        <w:contextualSpacing/>
        <w:rPr>
          <w:rFonts w:eastAsia="Times New Roman"/>
          <w:noProof/>
          <w:lang w:val="sq-AL"/>
        </w:rPr>
      </w:pPr>
      <w:r w:rsidRPr="00D73F43">
        <w:rPr>
          <w:rFonts w:eastAsia="Times New Roman"/>
          <w:noProof/>
          <w:lang w:val="sq-AL"/>
        </w:rPr>
        <w:t>Ndërtimi i Regjistrit unik kadastral kombëtar.</w:t>
      </w:r>
    </w:p>
    <w:p w:rsidR="00B0121D" w:rsidRPr="00D73F43" w:rsidRDefault="00B0121D" w:rsidP="006D51B9">
      <w:pPr>
        <w:rPr>
          <w:rFonts w:eastAsia="MS Mincho"/>
          <w:b/>
          <w:lang w:val="sq-AL"/>
        </w:rPr>
      </w:pPr>
    </w:p>
    <w:p w:rsidR="00B0121D" w:rsidRPr="006D51B9" w:rsidRDefault="00B0121D" w:rsidP="006E1DB0">
      <w:pPr>
        <w:pStyle w:val="Heading2"/>
        <w:numPr>
          <w:ilvl w:val="1"/>
          <w:numId w:val="163"/>
        </w:numPr>
        <w:rPr>
          <w:rFonts w:ascii="Times New Roman" w:hAnsi="Times New Roman"/>
          <w:i w:val="0"/>
        </w:rPr>
      </w:pPr>
      <w:bookmarkStart w:id="152" w:name="_Toc466445482"/>
      <w:r w:rsidRPr="006D51B9">
        <w:rPr>
          <w:rFonts w:ascii="Times New Roman" w:hAnsi="Times New Roman"/>
          <w:i w:val="0"/>
        </w:rPr>
        <w:t>ZHVILLIM URBAN DHE STREHIMI</w:t>
      </w:r>
      <w:bookmarkEnd w:id="152"/>
    </w:p>
    <w:p w:rsidR="00B0121D" w:rsidRPr="00D73F43" w:rsidRDefault="00B0121D" w:rsidP="00B0121D">
      <w:pPr>
        <w:rPr>
          <w:rFonts w:eastAsia="MS Mincho"/>
          <w:b/>
          <w:noProof/>
          <w:szCs w:val="20"/>
          <w:lang w:val="sq-AL"/>
        </w:rPr>
      </w:pPr>
    </w:p>
    <w:p w:rsidR="00B0121D" w:rsidRPr="00D73F43" w:rsidRDefault="00642658" w:rsidP="006D51B9">
      <w:pPr>
        <w:rPr>
          <w:rFonts w:eastAsia="MS Mincho"/>
          <w:b/>
          <w:noProof/>
          <w:szCs w:val="20"/>
          <w:lang w:val="sq-AL"/>
        </w:rPr>
      </w:pPr>
      <w:r>
        <w:rPr>
          <w:rFonts w:eastAsia="MS Mincho"/>
          <w:b/>
          <w:noProof/>
          <w:szCs w:val="20"/>
          <w:lang w:val="sq-AL"/>
        </w:rPr>
        <w:t>4.</w:t>
      </w:r>
      <w:r w:rsidR="006D51B9">
        <w:rPr>
          <w:rFonts w:eastAsia="MS Mincho"/>
          <w:b/>
          <w:noProof/>
          <w:szCs w:val="20"/>
          <w:lang w:val="sq-AL"/>
        </w:rPr>
        <w:t>12.1 Situata e sektorit në 2013</w:t>
      </w:r>
    </w:p>
    <w:p w:rsidR="00B0121D" w:rsidRPr="00D73F43" w:rsidRDefault="00B0121D" w:rsidP="00534AA6">
      <w:pPr>
        <w:numPr>
          <w:ilvl w:val="0"/>
          <w:numId w:val="32"/>
        </w:numPr>
        <w:spacing w:after="120" w:line="276" w:lineRule="auto"/>
        <w:ind w:left="270" w:hanging="270"/>
        <w:contextualSpacing/>
        <w:jc w:val="both"/>
        <w:rPr>
          <w:rFonts w:eastAsia="Times New Roman"/>
          <w:noProof/>
          <w:szCs w:val="20"/>
          <w:shd w:val="clear" w:color="auto" w:fill="FFFFFF"/>
          <w:lang w:val="sq-AL"/>
        </w:rPr>
      </w:pPr>
      <w:r w:rsidRPr="00D73F43">
        <w:rPr>
          <w:rFonts w:eastAsia="Times New Roman"/>
          <w:noProof/>
          <w:szCs w:val="20"/>
          <w:lang w:val="sq-AL"/>
        </w:rPr>
        <w:t>Në fushën e zhvillimit të territorit u trashëgua një informalitet i lartë, mangësi në instrumentet e planifikimit në nivel kombëtar, rajonal dhe vendor, ndryshime të shpeshta të ligjit “Për Planifikimin e Territorit”.</w:t>
      </w:r>
    </w:p>
    <w:p w:rsidR="00B0121D" w:rsidRPr="00D73F43" w:rsidRDefault="00B0121D" w:rsidP="00534AA6">
      <w:pPr>
        <w:numPr>
          <w:ilvl w:val="0"/>
          <w:numId w:val="32"/>
        </w:numPr>
        <w:spacing w:after="120" w:line="276" w:lineRule="auto"/>
        <w:ind w:left="270" w:hanging="270"/>
        <w:contextualSpacing/>
        <w:jc w:val="both"/>
        <w:rPr>
          <w:rFonts w:eastAsia="Times New Roman"/>
          <w:noProof/>
          <w:szCs w:val="20"/>
          <w:shd w:val="clear" w:color="auto" w:fill="FFFFFF"/>
          <w:lang w:val="sq-AL"/>
        </w:rPr>
      </w:pPr>
      <w:r w:rsidRPr="006E1DB0">
        <w:rPr>
          <w:rFonts w:eastAsia="Times New Roman"/>
          <w:noProof/>
          <w:szCs w:val="20"/>
          <w:lang w:val="sq-AL"/>
        </w:rPr>
        <w:t xml:space="preserve">Procedurat </w:t>
      </w:r>
      <w:r w:rsidRPr="006E1DB0">
        <w:rPr>
          <w:rFonts w:eastAsia="MS Mincho"/>
          <w:noProof/>
          <w:szCs w:val="20"/>
          <w:lang w:val="sq-AL"/>
        </w:rPr>
        <w:t>ekzistuese</w:t>
      </w:r>
      <w:r w:rsidRPr="00D73F43">
        <w:rPr>
          <w:rFonts w:eastAsia="Times New Roman"/>
          <w:noProof/>
          <w:szCs w:val="20"/>
          <w:lang w:val="sq-AL"/>
        </w:rPr>
        <w:t xml:space="preserve"> të legalizimit vononin dhe vështirësonin procesin e legalizimit të ndërtimeve pa leje. Si rrjedhojë ky proces ishte i ngadaltë, ku në 8 vitet e qeverisë së mëparshme u dhanë vetëm 21,750 leje legalizimi. </w:t>
      </w:r>
    </w:p>
    <w:p w:rsidR="00B0121D" w:rsidRPr="00D73F43" w:rsidRDefault="00B0121D" w:rsidP="00534AA6">
      <w:pPr>
        <w:numPr>
          <w:ilvl w:val="0"/>
          <w:numId w:val="32"/>
        </w:numPr>
        <w:spacing w:after="120" w:line="276" w:lineRule="auto"/>
        <w:ind w:left="270" w:hanging="270"/>
        <w:contextualSpacing/>
        <w:jc w:val="both"/>
        <w:rPr>
          <w:rFonts w:eastAsia="Times New Roman"/>
          <w:noProof/>
          <w:szCs w:val="20"/>
          <w:shd w:val="clear" w:color="auto" w:fill="FFFFFF"/>
          <w:lang w:val="sq-AL"/>
        </w:rPr>
      </w:pPr>
      <w:r w:rsidRPr="00D73F43">
        <w:rPr>
          <w:rFonts w:eastAsia="Times New Roman"/>
          <w:noProof/>
          <w:szCs w:val="20"/>
          <w:lang w:val="sq-AL"/>
        </w:rPr>
        <w:t>Në Agjencinë Kombëtare të Planifikimit të Territorit, gjetëm staf të pakualifikuar  që nuk plotësonte  kriteret e vendosura për vendin e punës.</w:t>
      </w:r>
    </w:p>
    <w:p w:rsidR="00B0121D" w:rsidRPr="00D73F43" w:rsidRDefault="00B0121D" w:rsidP="00534AA6">
      <w:pPr>
        <w:numPr>
          <w:ilvl w:val="0"/>
          <w:numId w:val="32"/>
        </w:numPr>
        <w:spacing w:after="120" w:line="276" w:lineRule="auto"/>
        <w:ind w:left="270" w:hanging="270"/>
        <w:contextualSpacing/>
        <w:jc w:val="both"/>
        <w:rPr>
          <w:rFonts w:eastAsia="Times New Roman"/>
          <w:noProof/>
          <w:szCs w:val="20"/>
          <w:shd w:val="clear" w:color="auto" w:fill="FFFFFF"/>
          <w:lang w:val="sq-AL"/>
        </w:rPr>
      </w:pPr>
      <w:r w:rsidRPr="00D73F43">
        <w:rPr>
          <w:rFonts w:eastAsia="Times New Roman"/>
          <w:noProof/>
          <w:szCs w:val="20"/>
          <w:lang w:val="sq-AL"/>
        </w:rPr>
        <w:t>Dosjet e miratuara nga Këshilli Kombëtar i Territorit u gjetën 100% jashtë arkive dhe 100% të pashpërndara në institucionet që përcakton ligji. Nga kontrolli i kryer 100% e dosjeve rezultonin në mangësi të dokumentacionit dhe 50% në shkelje të ligjeve në fuqi.</w:t>
      </w:r>
    </w:p>
    <w:p w:rsidR="00B0121D" w:rsidRPr="00D73F43" w:rsidRDefault="00B0121D" w:rsidP="00534AA6">
      <w:pPr>
        <w:numPr>
          <w:ilvl w:val="0"/>
          <w:numId w:val="32"/>
        </w:numPr>
        <w:spacing w:after="120" w:line="276" w:lineRule="auto"/>
        <w:ind w:left="270" w:hanging="270"/>
        <w:contextualSpacing/>
        <w:jc w:val="both"/>
        <w:rPr>
          <w:rFonts w:eastAsia="Times New Roman"/>
          <w:noProof/>
          <w:szCs w:val="20"/>
          <w:shd w:val="clear" w:color="auto" w:fill="FFFFFF"/>
          <w:lang w:val="sq-AL"/>
        </w:rPr>
      </w:pPr>
      <w:r w:rsidRPr="00D73F43">
        <w:rPr>
          <w:rFonts w:eastAsia="Times New Roman"/>
          <w:noProof/>
          <w:szCs w:val="20"/>
          <w:lang w:val="sq-AL"/>
        </w:rPr>
        <w:t xml:space="preserve">Fondi prej 6.98 miliardë lekë, që duhej të përdorej për kompesimin e ish pronarëve, në kundërshtim me ligjin u përdor pjesësisht për kompesimin e ish pronarëve (4 miliardë) dhe pjesa e mbetur për qëllime të tjera. Qindra punonjësve me kontratë nuk ju paguan kurrë sigurimet shoqërore dhe shëndetësore, ku vetëm për drejtoritë e Tiranës, Durrësit dhe Fierit, borxhi i akumuluar ishte 83 milionë lekë, ndërsa në rang vendi i kalonte 100 milionë lekë. </w:t>
      </w:r>
    </w:p>
    <w:p w:rsidR="00B0121D" w:rsidRPr="00D73F43" w:rsidRDefault="00B0121D" w:rsidP="00534AA6">
      <w:pPr>
        <w:numPr>
          <w:ilvl w:val="0"/>
          <w:numId w:val="32"/>
        </w:numPr>
        <w:spacing w:after="120" w:line="276" w:lineRule="auto"/>
        <w:ind w:left="270" w:hanging="270"/>
        <w:contextualSpacing/>
        <w:jc w:val="both"/>
        <w:rPr>
          <w:rFonts w:eastAsia="Times New Roman"/>
          <w:noProof/>
          <w:szCs w:val="20"/>
          <w:shd w:val="clear" w:color="auto" w:fill="FFFFFF"/>
          <w:lang w:val="sq-AL"/>
        </w:rPr>
      </w:pPr>
      <w:r w:rsidRPr="00D73F43">
        <w:rPr>
          <w:rFonts w:eastAsia="Times New Roman"/>
          <w:noProof/>
          <w:szCs w:val="20"/>
          <w:lang w:val="sq-AL"/>
        </w:rPr>
        <w:t>Në sektorin e strehimit gjetëm një borxh prej 285.9 milionë lekë, i krijuar në Projektin e Banesave me Kosto të Ulët si pasojë e tejkalimit me</w:t>
      </w:r>
      <w:r w:rsidR="006E1DB0">
        <w:rPr>
          <w:rFonts w:eastAsia="Times New Roman"/>
          <w:noProof/>
          <w:szCs w:val="20"/>
          <w:lang w:val="sq-AL"/>
        </w:rPr>
        <w:t xml:space="preserve"> </w:t>
      </w:r>
      <w:r w:rsidRPr="00D73F43">
        <w:rPr>
          <w:rFonts w:eastAsia="Times New Roman"/>
          <w:noProof/>
          <w:szCs w:val="20"/>
          <w:lang w:val="sq-AL"/>
        </w:rPr>
        <w:t xml:space="preserve">700 kontrata të lidhura mbi planin. Vetëm në vitin elektoral 2013, janё lidhur 1306 kontrata kredie, e barabartë me 40% të numrit të përgjithshëm të programit të kredive të lehtësuar. </w:t>
      </w:r>
    </w:p>
    <w:p w:rsidR="00B0121D" w:rsidRPr="00D73F43" w:rsidRDefault="00B0121D" w:rsidP="00534AA6">
      <w:pPr>
        <w:numPr>
          <w:ilvl w:val="0"/>
          <w:numId w:val="32"/>
        </w:numPr>
        <w:spacing w:after="120" w:line="276" w:lineRule="auto"/>
        <w:ind w:left="270" w:hanging="270"/>
        <w:contextualSpacing/>
        <w:jc w:val="both"/>
        <w:rPr>
          <w:rFonts w:eastAsia="Times New Roman"/>
          <w:noProof/>
          <w:szCs w:val="20"/>
          <w:shd w:val="clear" w:color="auto" w:fill="FFFFFF"/>
          <w:lang w:val="sq-AL"/>
        </w:rPr>
      </w:pPr>
      <w:r w:rsidRPr="00D73F43">
        <w:rPr>
          <w:rFonts w:eastAsia="Times New Roman"/>
          <w:noProof/>
          <w:szCs w:val="20"/>
          <w:lang w:val="sq-AL"/>
        </w:rPr>
        <w:t>Kanë munguar plotësisht projektet dhe investimet për minimizimin dhe zbutjen e problemeve të strehimit të komunitetit Rom dhe Egjiptian, si dhe ato në ofrimin e një strehimi të përballueshëm për shtresat në nevojë.</w:t>
      </w:r>
    </w:p>
    <w:p w:rsidR="00B0121D" w:rsidRPr="00D73F43" w:rsidRDefault="00B0121D" w:rsidP="00B0121D">
      <w:pPr>
        <w:spacing w:after="120" w:line="276" w:lineRule="auto"/>
        <w:contextualSpacing/>
        <w:jc w:val="both"/>
        <w:rPr>
          <w:rFonts w:eastAsia="Times New Roman"/>
          <w:noProof/>
          <w:szCs w:val="20"/>
          <w:shd w:val="clear" w:color="auto" w:fill="FFFFFF"/>
          <w:lang w:val="sq-AL"/>
        </w:rPr>
      </w:pPr>
    </w:p>
    <w:p w:rsidR="00B0121D" w:rsidRPr="00D73F43" w:rsidRDefault="00642658" w:rsidP="00B0121D">
      <w:pPr>
        <w:rPr>
          <w:rFonts w:eastAsia="MS Mincho"/>
          <w:b/>
          <w:noProof/>
          <w:szCs w:val="20"/>
          <w:lang w:val="sq-AL"/>
        </w:rPr>
      </w:pPr>
      <w:r>
        <w:rPr>
          <w:rFonts w:eastAsia="MS Mincho"/>
          <w:b/>
          <w:noProof/>
          <w:szCs w:val="20"/>
          <w:lang w:val="sq-AL"/>
        </w:rPr>
        <w:t>4.</w:t>
      </w:r>
      <w:r w:rsidR="00B0121D" w:rsidRPr="00D73F43">
        <w:rPr>
          <w:rFonts w:eastAsia="MS Mincho"/>
          <w:b/>
          <w:noProof/>
          <w:szCs w:val="20"/>
          <w:lang w:val="sq-AL"/>
        </w:rPr>
        <w:t>12.2 Reformat e ndërmarra 2013-2016</w:t>
      </w:r>
    </w:p>
    <w:p w:rsidR="00B0121D" w:rsidRPr="00D73F43" w:rsidRDefault="00B0121D" w:rsidP="00B0121D">
      <w:pPr>
        <w:spacing w:line="276" w:lineRule="auto"/>
        <w:jc w:val="both"/>
        <w:rPr>
          <w:rFonts w:eastAsia="Times New Roman"/>
          <w:noProof/>
          <w:szCs w:val="20"/>
          <w:lang w:val="sq-AL"/>
        </w:rPr>
      </w:pPr>
    </w:p>
    <w:p w:rsidR="00B0121D" w:rsidRPr="00D73F43" w:rsidRDefault="00B0121D" w:rsidP="00534AA6">
      <w:pPr>
        <w:numPr>
          <w:ilvl w:val="0"/>
          <w:numId w:val="33"/>
        </w:numPr>
        <w:spacing w:after="120" w:line="276" w:lineRule="auto"/>
        <w:contextualSpacing/>
        <w:jc w:val="both"/>
        <w:rPr>
          <w:rFonts w:eastAsia="Times New Roman"/>
          <w:noProof/>
          <w:szCs w:val="20"/>
          <w:lang w:val="sq-AL"/>
        </w:rPr>
      </w:pPr>
      <w:r w:rsidRPr="00D73F43">
        <w:rPr>
          <w:rFonts w:eastAsia="Times New Roman"/>
          <w:noProof/>
          <w:szCs w:val="20"/>
          <w:lang w:val="sq-AL"/>
        </w:rPr>
        <w:t xml:space="preserve">Forcuam mekanizmat e kontrollit të territorit përmes: vendosjes së 3 moratoriumeve në Qytetet Historike dhe Zonat e rëndësisë kombëtare (në Tetor 2013), si dhe rishikuam dhe miratuam ligjin për “Planifikimin dhe Zhvillimin e Territorit” në Korrik të vitit 2015, duke sjellë ndër të tjera thjeshtimin e procedurave për lejet e ndërtimit sipas parimit të shërbimit me një ndalesë (One Stop Shop); </w:t>
      </w:r>
    </w:p>
    <w:p w:rsidR="00B0121D" w:rsidRPr="00D73F43" w:rsidRDefault="00B0121D" w:rsidP="00534AA6">
      <w:pPr>
        <w:numPr>
          <w:ilvl w:val="0"/>
          <w:numId w:val="33"/>
        </w:numPr>
        <w:spacing w:after="120" w:line="276" w:lineRule="auto"/>
        <w:contextualSpacing/>
        <w:jc w:val="both"/>
        <w:rPr>
          <w:rFonts w:eastAsia="Times New Roman"/>
          <w:noProof/>
          <w:szCs w:val="20"/>
          <w:lang w:val="sq-AL"/>
        </w:rPr>
      </w:pPr>
      <w:r w:rsidRPr="00D73F43">
        <w:rPr>
          <w:rFonts w:eastAsia="Times New Roman"/>
          <w:noProof/>
          <w:szCs w:val="20"/>
          <w:lang w:val="sq-AL"/>
        </w:rPr>
        <w:t>Krijuam Sistemin Elektronik të Lejeve të Ndërtimit duke thjeshtësuar procedurat për marrjen e lejes, sistem i cili dha rezultate të menjëhershme duke përmirësuar renditjen në Raportin “Doing Business” të Bankës Botërore për vitin 2016 në këtë indikator me </w:t>
      </w:r>
      <w:r w:rsidRPr="00D73F43">
        <w:rPr>
          <w:rFonts w:eastAsia="Times New Roman"/>
          <w:bCs/>
          <w:noProof/>
          <w:szCs w:val="20"/>
          <w:lang w:val="sq-AL"/>
        </w:rPr>
        <w:t xml:space="preserve">83 vende. </w:t>
      </w:r>
      <w:r w:rsidRPr="00D73F43">
        <w:rPr>
          <w:rFonts w:eastAsia="Times New Roman"/>
          <w:noProof/>
          <w:szCs w:val="20"/>
          <w:lang w:val="sq-AL"/>
        </w:rPr>
        <w:t xml:space="preserve">Prej datës 1 Shtator, 2016 të gjithë </w:t>
      </w:r>
      <w:r w:rsidRPr="00D73F43">
        <w:rPr>
          <w:rFonts w:eastAsia="Times New Roman"/>
          <w:noProof/>
          <w:szCs w:val="20"/>
          <w:lang w:val="sq-AL"/>
        </w:rPr>
        <w:lastRenderedPageBreak/>
        <w:t xml:space="preserve">qytetarët dhe profesionistët e licensuar mund të aplikojnë  on-line në portalin e-Albania për t’u pajisur me leje ndërtimi. </w:t>
      </w:r>
    </w:p>
    <w:p w:rsidR="00B0121D" w:rsidRPr="00D73F43" w:rsidRDefault="00B0121D" w:rsidP="00534AA6">
      <w:pPr>
        <w:numPr>
          <w:ilvl w:val="0"/>
          <w:numId w:val="33"/>
        </w:numPr>
        <w:spacing w:after="120" w:line="276" w:lineRule="auto"/>
        <w:contextualSpacing/>
        <w:jc w:val="both"/>
        <w:rPr>
          <w:rFonts w:eastAsia="Times New Roman"/>
          <w:noProof/>
          <w:szCs w:val="20"/>
          <w:lang w:val="sq-AL"/>
        </w:rPr>
      </w:pPr>
      <w:r w:rsidRPr="00D73F43">
        <w:rPr>
          <w:rFonts w:eastAsia="Times New Roman"/>
          <w:noProof/>
          <w:szCs w:val="20"/>
          <w:lang w:val="sq-AL"/>
        </w:rPr>
        <w:t xml:space="preserve">Hartuam dhe miratuam Planin e Përgjithshëm Kombëtar, si dhe dy plane sektoriale, Planin e Integruar Ndërsektorial për Bregdetin dhe Planin e Integruar Ndërsektorial për zonën ekonomike Tiranë – Durrës, duke i dhënë fund epokës së informalitetit në zhvillimin e territorit, hapësirave urbane dhe rurale. </w:t>
      </w:r>
    </w:p>
    <w:p w:rsidR="00B0121D" w:rsidRPr="00D73F43" w:rsidRDefault="00B0121D" w:rsidP="00534AA6">
      <w:pPr>
        <w:numPr>
          <w:ilvl w:val="0"/>
          <w:numId w:val="33"/>
        </w:numPr>
        <w:spacing w:after="120" w:line="276" w:lineRule="auto"/>
        <w:contextualSpacing/>
        <w:jc w:val="both"/>
        <w:rPr>
          <w:rFonts w:eastAsia="Times New Roman"/>
          <w:noProof/>
          <w:szCs w:val="20"/>
          <w:lang w:val="sq-AL"/>
        </w:rPr>
      </w:pPr>
      <w:r w:rsidRPr="00D73F43">
        <w:rPr>
          <w:rFonts w:eastAsia="Times New Roman"/>
          <w:noProof/>
          <w:szCs w:val="20"/>
          <w:lang w:val="sq-AL"/>
        </w:rPr>
        <w:t>Realizuam hartimin e Planeve të Përgjithshme Vendore në 36 bashki të vendit me financim të buxhetit të shtetit për 26 bashki, financim të programit të USAID për Planifikim dhe Qeverisje Vendore për 5 bashki dhe financim të programit për Decentralizimin dhe Zhvillimin Lokal për 5 bashki të tjera.</w:t>
      </w:r>
    </w:p>
    <w:p w:rsidR="00B0121D" w:rsidRPr="00D73F43" w:rsidRDefault="00B0121D" w:rsidP="00534AA6">
      <w:pPr>
        <w:numPr>
          <w:ilvl w:val="0"/>
          <w:numId w:val="33"/>
        </w:numPr>
        <w:spacing w:after="120" w:line="276" w:lineRule="auto"/>
        <w:contextualSpacing/>
        <w:jc w:val="both"/>
        <w:rPr>
          <w:rFonts w:eastAsia="Times New Roman"/>
          <w:noProof/>
          <w:szCs w:val="20"/>
          <w:lang w:val="sq-AL"/>
        </w:rPr>
      </w:pPr>
      <w:r w:rsidRPr="00D73F43">
        <w:rPr>
          <w:rFonts w:eastAsia="Times New Roman"/>
          <w:noProof/>
          <w:szCs w:val="20"/>
          <w:lang w:val="sq-AL"/>
        </w:rPr>
        <w:t>Gjatë viteve 2014-2016, hartuam dhe realizuam projektet model të rigjinerimit urban në qendrat e qyteteve dhe zonat me potencial zhvillimin e turizmi, si qendra e Patosit, rehabilitimi i rrugës “Abaz Bej” dhe shtëpisë së Kongresit në Lushnjë.</w:t>
      </w:r>
    </w:p>
    <w:p w:rsidR="00B0121D" w:rsidRPr="00D73F43" w:rsidRDefault="00B0121D" w:rsidP="00534AA6">
      <w:pPr>
        <w:numPr>
          <w:ilvl w:val="0"/>
          <w:numId w:val="34"/>
        </w:numPr>
        <w:spacing w:after="120" w:line="276" w:lineRule="auto"/>
        <w:contextualSpacing/>
        <w:jc w:val="both"/>
        <w:rPr>
          <w:rFonts w:eastAsia="Times New Roman"/>
          <w:noProof/>
          <w:szCs w:val="20"/>
          <w:lang w:val="sq-AL"/>
        </w:rPr>
      </w:pPr>
      <w:r w:rsidRPr="00D73F43">
        <w:rPr>
          <w:rFonts w:eastAsia="Times New Roman"/>
          <w:noProof/>
          <w:szCs w:val="20"/>
          <w:lang w:val="sq-AL"/>
        </w:rPr>
        <w:t xml:space="preserve">Rishikuam dhe miratuam ligjin “Për Legalizimin, Urbanizimin dhe Integrimin e Ndërtimeve pa Leje” duke mbajtur premtimin tonë për legalizime falas. Gjatë periudhës 2014 –tetor 2016 falë një procesi të përshpejtuar dhe transparent legalizuam 70,274 objekte. </w:t>
      </w:r>
    </w:p>
    <w:p w:rsidR="00B0121D" w:rsidRPr="00D73F43" w:rsidRDefault="00B0121D" w:rsidP="00534AA6">
      <w:pPr>
        <w:numPr>
          <w:ilvl w:val="0"/>
          <w:numId w:val="34"/>
        </w:numPr>
        <w:spacing w:after="120" w:line="276" w:lineRule="auto"/>
        <w:contextualSpacing/>
        <w:jc w:val="both"/>
        <w:rPr>
          <w:rFonts w:eastAsia="Times New Roman"/>
          <w:noProof/>
          <w:szCs w:val="20"/>
          <w:lang w:val="sq-AL"/>
        </w:rPr>
      </w:pPr>
      <w:r w:rsidRPr="00D73F43">
        <w:rPr>
          <w:rFonts w:eastAsia="Times New Roman"/>
          <w:noProof/>
          <w:szCs w:val="20"/>
          <w:lang w:val="sq-AL"/>
        </w:rPr>
        <w:t>Në 2 vite arkëtuam rreth 1.9 miliardë lekë nëpërmjet kalimit të së drejtës së pronësisë së parcelës ndërtimore, prej të cilave rreth 1.3 miliardë lekë i transferuam në fondin special të kompensimit, nga ku kanë përfituar 2,767 pronarë.</w:t>
      </w:r>
    </w:p>
    <w:p w:rsidR="00B0121D" w:rsidRPr="00D73F43" w:rsidRDefault="00B0121D" w:rsidP="00534AA6">
      <w:pPr>
        <w:numPr>
          <w:ilvl w:val="0"/>
          <w:numId w:val="34"/>
        </w:numPr>
        <w:spacing w:after="120" w:line="276" w:lineRule="auto"/>
        <w:contextualSpacing/>
        <w:jc w:val="both"/>
        <w:rPr>
          <w:rFonts w:eastAsia="Times New Roman"/>
          <w:noProof/>
          <w:szCs w:val="20"/>
          <w:lang w:val="sq-AL"/>
        </w:rPr>
      </w:pPr>
      <w:r w:rsidRPr="00D73F43">
        <w:rPr>
          <w:rFonts w:eastAsia="Times New Roman"/>
          <w:noProof/>
          <w:szCs w:val="20"/>
          <w:lang w:val="sq-AL"/>
        </w:rPr>
        <w:t>Shlyem plotësisht borxhin e mbartur nga qeveria e mëparshme për subvencionimin e interesave të kredisë në shumën 285.9 milionë lekë.</w:t>
      </w:r>
    </w:p>
    <w:p w:rsidR="00B0121D" w:rsidRPr="00D73F43" w:rsidRDefault="00B0121D" w:rsidP="00534AA6">
      <w:pPr>
        <w:numPr>
          <w:ilvl w:val="0"/>
          <w:numId w:val="34"/>
        </w:numPr>
        <w:spacing w:after="120" w:line="276" w:lineRule="auto"/>
        <w:contextualSpacing/>
        <w:jc w:val="both"/>
        <w:rPr>
          <w:rFonts w:eastAsia="Times New Roman"/>
          <w:noProof/>
          <w:szCs w:val="20"/>
          <w:lang w:val="sq-AL"/>
        </w:rPr>
      </w:pPr>
      <w:r w:rsidRPr="00D73F43">
        <w:rPr>
          <w:rFonts w:eastAsia="Times New Roman"/>
          <w:noProof/>
          <w:szCs w:val="20"/>
          <w:lang w:val="sq-AL"/>
        </w:rPr>
        <w:t xml:space="preserve">Në vitet 2014 - 2016, janë financuar 931 milionë lekë për subvencionimin e kredive me interes 0%, 3%, 4% dhe me normë inflacioni për Programin e Kreditimit të Lehtësuar, nga i cili përfitojnë 4,176 familje. </w:t>
      </w:r>
    </w:p>
    <w:p w:rsidR="00B0121D" w:rsidRPr="00D73F43" w:rsidRDefault="00B0121D" w:rsidP="00534AA6">
      <w:pPr>
        <w:numPr>
          <w:ilvl w:val="0"/>
          <w:numId w:val="34"/>
        </w:numPr>
        <w:spacing w:after="120" w:line="276" w:lineRule="auto"/>
        <w:contextualSpacing/>
        <w:jc w:val="both"/>
        <w:rPr>
          <w:rFonts w:eastAsia="Times New Roman"/>
          <w:noProof/>
          <w:szCs w:val="20"/>
          <w:lang w:val="sq-AL"/>
        </w:rPr>
      </w:pPr>
      <w:r w:rsidRPr="00D73F43">
        <w:rPr>
          <w:rFonts w:eastAsia="Times New Roman"/>
          <w:noProof/>
          <w:szCs w:val="20"/>
          <w:lang w:val="sq-AL"/>
        </w:rPr>
        <w:t xml:space="preserve">Në vitet 2014 - 2016  investuam  247 milionë lekë për rikonstruksionin e plotë të 469 banesave të komunitetit Rom dhe Egjyptian, në 15 bashki të vendit. Nga zbatimi i këtyre projekteve përfituan 1,876 qytetarë të këtij komuniteti. </w:t>
      </w:r>
    </w:p>
    <w:p w:rsidR="00B0121D" w:rsidRPr="00D73F43" w:rsidRDefault="00B0121D" w:rsidP="00534AA6">
      <w:pPr>
        <w:numPr>
          <w:ilvl w:val="0"/>
          <w:numId w:val="34"/>
        </w:numPr>
        <w:spacing w:after="120" w:line="276" w:lineRule="auto"/>
        <w:contextualSpacing/>
        <w:jc w:val="both"/>
        <w:rPr>
          <w:rFonts w:eastAsia="Times New Roman"/>
          <w:noProof/>
          <w:szCs w:val="20"/>
          <w:lang w:val="sq-AL"/>
        </w:rPr>
      </w:pPr>
      <w:r w:rsidRPr="00D73F43">
        <w:rPr>
          <w:rFonts w:eastAsia="Times New Roman"/>
          <w:noProof/>
          <w:szCs w:val="20"/>
          <w:lang w:val="sq-AL"/>
        </w:rPr>
        <w:t>Në vitet 2014 – 2016 investuam 93 milionë lekë për “Rikonstruksionin e Banesave në Bashkëpronësi”, duke krijuar modelet e para për përmirësimin e banesave ekzistuese me elementë të eficiencës së energjisë në 9 bashki të vendit. Sot 151 familje paguajnë 50% më pak në faturat e tyre të energjisë.</w:t>
      </w:r>
    </w:p>
    <w:p w:rsidR="00B0121D" w:rsidRPr="00D73F43" w:rsidRDefault="00B0121D" w:rsidP="00534AA6">
      <w:pPr>
        <w:numPr>
          <w:ilvl w:val="0"/>
          <w:numId w:val="34"/>
        </w:numPr>
        <w:spacing w:after="120" w:line="276" w:lineRule="auto"/>
        <w:contextualSpacing/>
        <w:jc w:val="both"/>
        <w:rPr>
          <w:rFonts w:eastAsia="Times New Roman"/>
          <w:noProof/>
          <w:szCs w:val="20"/>
          <w:lang w:val="sq-AL"/>
        </w:rPr>
      </w:pPr>
      <w:r w:rsidRPr="00D73F43">
        <w:rPr>
          <w:rFonts w:eastAsia="Times New Roman"/>
          <w:noProof/>
          <w:szCs w:val="20"/>
          <w:lang w:val="sq-AL"/>
        </w:rPr>
        <w:t xml:space="preserve">Për vitin 2016 me fondin e alokuar në vlerën </w:t>
      </w:r>
      <w:r w:rsidRPr="00D73F43">
        <w:rPr>
          <w:rFonts w:eastAsia="Times New Roman"/>
          <w:bCs/>
          <w:noProof/>
          <w:szCs w:val="20"/>
          <w:lang w:val="sq-AL"/>
        </w:rPr>
        <w:t>28,236,581 lekë</w:t>
      </w:r>
      <w:r w:rsidRPr="00D73F43">
        <w:rPr>
          <w:rFonts w:eastAsia="Times New Roman"/>
          <w:noProof/>
          <w:szCs w:val="20"/>
          <w:lang w:val="sq-AL"/>
        </w:rPr>
        <w:t xml:space="preserve"> po zbatojmë projektin e parë pilot “Rehabilitimin e godinës (ish-konvikti i Shkollës pyjore), për trajtimin me strehim të grupit të jetimëve dhe familjeve një prindërore” në bashkinë Shkodër. Numri i apartamenteve që do të sigurohen mbas përfundimit të projektit është 24.</w:t>
      </w:r>
    </w:p>
    <w:p w:rsidR="00B0121D" w:rsidRPr="00D73F43" w:rsidRDefault="00B0121D" w:rsidP="00534AA6">
      <w:pPr>
        <w:numPr>
          <w:ilvl w:val="0"/>
          <w:numId w:val="34"/>
        </w:numPr>
        <w:spacing w:after="120" w:line="276" w:lineRule="auto"/>
        <w:contextualSpacing/>
        <w:jc w:val="both"/>
        <w:rPr>
          <w:rFonts w:eastAsia="Times New Roman"/>
          <w:noProof/>
          <w:szCs w:val="20"/>
          <w:lang w:val="sq-AL"/>
        </w:rPr>
      </w:pPr>
      <w:r w:rsidRPr="00D73F43">
        <w:rPr>
          <w:rFonts w:eastAsia="Times New Roman"/>
          <w:noProof/>
          <w:szCs w:val="20"/>
          <w:lang w:val="sq-AL"/>
        </w:rPr>
        <w:t>Me financim të Bankës Evropiane për Zhvillim (CEB) në bashkëpunim me Bashkinë Durrës mundësuam ndërtimin e 254 apartamenteve të reja për strehim social ku do të strehohen 254 familje në nevojë.</w:t>
      </w:r>
    </w:p>
    <w:p w:rsidR="00B0121D" w:rsidRPr="00D73F43" w:rsidRDefault="00B0121D" w:rsidP="00534AA6">
      <w:pPr>
        <w:numPr>
          <w:ilvl w:val="0"/>
          <w:numId w:val="34"/>
        </w:numPr>
        <w:spacing w:after="120" w:line="276" w:lineRule="auto"/>
        <w:contextualSpacing/>
        <w:jc w:val="both"/>
        <w:rPr>
          <w:rFonts w:eastAsia="Times New Roman"/>
          <w:noProof/>
          <w:szCs w:val="20"/>
          <w:lang w:val="sq-AL"/>
        </w:rPr>
      </w:pPr>
      <w:r w:rsidRPr="00D73F43">
        <w:rPr>
          <w:rFonts w:eastAsia="Times New Roman"/>
          <w:noProof/>
          <w:szCs w:val="20"/>
          <w:lang w:val="sq-AL"/>
        </w:rPr>
        <w:t>Për të garantuar cilësinë e jetës dhe sigurinë e qytetarëve kemi punuar për hartimin e standardeve dhe normativave në projektim dhe ndërtim, ku janë përfunduar, normativat e projektimit të banesave; normativat e projektimit të çerdheve; normativat e projektimit të kopshteve dhe shkollave; etj.</w:t>
      </w:r>
    </w:p>
    <w:p w:rsidR="00B0121D" w:rsidRPr="00D73F43" w:rsidRDefault="00B0121D" w:rsidP="00B0121D">
      <w:pPr>
        <w:rPr>
          <w:rFonts w:eastAsia="MS Mincho"/>
          <w:b/>
          <w:noProof/>
          <w:szCs w:val="20"/>
          <w:lang w:val="sq-AL"/>
        </w:rPr>
      </w:pPr>
    </w:p>
    <w:p w:rsidR="00B0121D" w:rsidRPr="00D73F43" w:rsidRDefault="00642658" w:rsidP="00B0121D">
      <w:pPr>
        <w:rPr>
          <w:rFonts w:eastAsia="MS Mincho"/>
          <w:b/>
          <w:noProof/>
          <w:szCs w:val="20"/>
          <w:lang w:val="sq-AL"/>
        </w:rPr>
      </w:pPr>
      <w:r>
        <w:rPr>
          <w:rFonts w:eastAsia="MS Mincho"/>
          <w:b/>
          <w:noProof/>
          <w:szCs w:val="20"/>
          <w:lang w:val="sq-AL"/>
        </w:rPr>
        <w:t>4.</w:t>
      </w:r>
      <w:r w:rsidR="00B0121D" w:rsidRPr="00D73F43">
        <w:rPr>
          <w:rFonts w:eastAsia="MS Mincho"/>
          <w:b/>
          <w:noProof/>
          <w:szCs w:val="20"/>
          <w:lang w:val="sq-AL"/>
        </w:rPr>
        <w:t>12.3 Prioritetet e projekt-buxhetit 2017</w:t>
      </w:r>
    </w:p>
    <w:p w:rsidR="00B0121D" w:rsidRPr="00D73F43" w:rsidRDefault="00B0121D" w:rsidP="00B0121D">
      <w:pPr>
        <w:spacing w:line="276" w:lineRule="auto"/>
        <w:jc w:val="both"/>
        <w:rPr>
          <w:rFonts w:eastAsia="Times New Roman"/>
          <w:noProof/>
          <w:szCs w:val="20"/>
          <w:u w:val="single"/>
          <w:lang w:val="sq-AL"/>
        </w:rPr>
      </w:pPr>
    </w:p>
    <w:p w:rsidR="00B0121D" w:rsidRPr="00D73F43" w:rsidRDefault="00B0121D" w:rsidP="00534AA6">
      <w:pPr>
        <w:numPr>
          <w:ilvl w:val="0"/>
          <w:numId w:val="84"/>
        </w:numPr>
        <w:spacing w:after="120" w:line="276" w:lineRule="auto"/>
        <w:jc w:val="both"/>
        <w:rPr>
          <w:rFonts w:eastAsia="Times New Roman"/>
          <w:noProof/>
          <w:szCs w:val="20"/>
          <w:lang w:val="sq-AL"/>
        </w:rPr>
      </w:pPr>
      <w:r w:rsidRPr="00D73F43">
        <w:rPr>
          <w:rFonts w:eastAsia="Times New Roman"/>
          <w:noProof/>
          <w:szCs w:val="20"/>
          <w:u w:val="single"/>
          <w:lang w:val="sq-AL"/>
        </w:rPr>
        <w:t>Në fushën e planifikimit urban</w:t>
      </w:r>
      <w:r w:rsidRPr="00D73F43">
        <w:rPr>
          <w:rFonts w:eastAsia="Times New Roman"/>
          <w:noProof/>
          <w:szCs w:val="20"/>
          <w:lang w:val="sq-AL"/>
        </w:rPr>
        <w:t xml:space="preserve"> do të vijojmë të mbështesim pushtetin vendor, nëpërmjet planifikimit të 180 milionë lekë për hartimin e planeve të përgjithshme vendore në 10 bashki të reja. Brenda vitit 2017, 46 bashki nga 61 do të kenë të hartuar dhe miratuar instrumentet e tyre </w:t>
      </w:r>
      <w:r w:rsidRPr="00D73F43">
        <w:rPr>
          <w:rFonts w:eastAsia="Times New Roman"/>
          <w:noProof/>
          <w:szCs w:val="20"/>
          <w:lang w:val="sq-AL"/>
        </w:rPr>
        <w:lastRenderedPageBreak/>
        <w:t xml:space="preserve">vendorë, duke garantuar zhvillimin e qëndrueshëm urban, ekonomik, social, mjedisor, duke i hapur rrugën investimeve strategjike.   </w:t>
      </w:r>
    </w:p>
    <w:p w:rsidR="00B0121D" w:rsidRPr="00D73F43" w:rsidRDefault="00B0121D" w:rsidP="00B0121D">
      <w:pPr>
        <w:spacing w:after="120" w:line="276" w:lineRule="auto"/>
        <w:ind w:left="720"/>
        <w:jc w:val="both"/>
        <w:rPr>
          <w:rFonts w:eastAsia="Times New Roman"/>
          <w:noProof/>
          <w:szCs w:val="20"/>
          <w:lang w:val="sq-AL"/>
        </w:rPr>
      </w:pPr>
      <w:r w:rsidRPr="00D73F43">
        <w:rPr>
          <w:rFonts w:eastAsia="Times New Roman"/>
          <w:noProof/>
          <w:szCs w:val="20"/>
          <w:lang w:val="sq-AL"/>
        </w:rPr>
        <w:t>Zbatimin e projekteve pilot në bashkitë: Tiranë, Korçë, Belsh dhe Himarë për rivitalizimin urban dhe rijetësimin e infrastrukturës (në bashkëpunim me CEBE) në vlerën 25 milionë lekë.</w:t>
      </w:r>
    </w:p>
    <w:p w:rsidR="00B0121D" w:rsidRPr="00D73F43" w:rsidRDefault="00B0121D" w:rsidP="00534AA6">
      <w:pPr>
        <w:numPr>
          <w:ilvl w:val="0"/>
          <w:numId w:val="84"/>
        </w:numPr>
        <w:spacing w:after="120" w:line="276" w:lineRule="auto"/>
        <w:jc w:val="both"/>
        <w:rPr>
          <w:rFonts w:eastAsia="Times New Roman"/>
          <w:noProof/>
          <w:szCs w:val="20"/>
          <w:lang w:val="sq-AL"/>
        </w:rPr>
      </w:pPr>
      <w:r w:rsidRPr="00D73F43">
        <w:rPr>
          <w:rFonts w:eastAsia="Times New Roman"/>
          <w:noProof/>
          <w:szCs w:val="20"/>
          <w:u w:val="single"/>
          <w:lang w:val="sq-AL"/>
        </w:rPr>
        <w:t>Në fushën e strehimit</w:t>
      </w:r>
      <w:r w:rsidRPr="00D73F43">
        <w:rPr>
          <w:rFonts w:eastAsia="Times New Roman"/>
          <w:noProof/>
          <w:szCs w:val="20"/>
          <w:lang w:val="sq-AL"/>
        </w:rPr>
        <w:t xml:space="preserve"> për të garantuar kushte të përmirësuara jetese dhe ofrimin e një strehimi të përballueshëm për qytetarët kemi parashikuar:</w:t>
      </w:r>
    </w:p>
    <w:p w:rsidR="00B0121D" w:rsidRPr="00D73F43" w:rsidRDefault="00B0121D" w:rsidP="00534AA6">
      <w:pPr>
        <w:numPr>
          <w:ilvl w:val="1"/>
          <w:numId w:val="125"/>
        </w:numPr>
        <w:spacing w:after="120" w:line="276" w:lineRule="auto"/>
        <w:contextualSpacing/>
        <w:jc w:val="both"/>
        <w:rPr>
          <w:rFonts w:eastAsia="Times New Roman"/>
          <w:noProof/>
          <w:szCs w:val="20"/>
          <w:lang w:val="sq-AL"/>
        </w:rPr>
      </w:pPr>
      <w:r w:rsidRPr="00D73F43">
        <w:rPr>
          <w:rFonts w:eastAsia="Times New Roman"/>
          <w:noProof/>
          <w:szCs w:val="20"/>
          <w:lang w:val="sq-AL"/>
        </w:rPr>
        <w:t>Rikonstruksionin e 185 banesave të komunitetit Rom dhe Egjyptian në bashki. Përfitues do të jenë rreth 740 qytetarë të komunitetit Romë dhe Egjiptianë.</w:t>
      </w:r>
    </w:p>
    <w:p w:rsidR="00B0121D" w:rsidRPr="00D73F43" w:rsidRDefault="00B0121D" w:rsidP="00534AA6">
      <w:pPr>
        <w:numPr>
          <w:ilvl w:val="1"/>
          <w:numId w:val="125"/>
        </w:numPr>
        <w:spacing w:after="120" w:line="276" w:lineRule="auto"/>
        <w:contextualSpacing/>
        <w:jc w:val="both"/>
        <w:rPr>
          <w:rFonts w:eastAsia="Times New Roman"/>
          <w:noProof/>
          <w:szCs w:val="20"/>
          <w:lang w:val="sq-AL"/>
        </w:rPr>
      </w:pPr>
      <w:r w:rsidRPr="00D73F43">
        <w:rPr>
          <w:rFonts w:eastAsia="Times New Roman"/>
          <w:noProof/>
          <w:szCs w:val="20"/>
          <w:lang w:val="sq-AL"/>
        </w:rPr>
        <w:t>Rehabilitimin e godinave ekzistuese të dala jashtë funksionit fillestar me qëllim strehimin e shtresave në nevojë për 162 familje të pastreha.</w:t>
      </w:r>
    </w:p>
    <w:p w:rsidR="00B0121D" w:rsidRPr="00D73F43" w:rsidRDefault="00B0121D" w:rsidP="00534AA6">
      <w:pPr>
        <w:numPr>
          <w:ilvl w:val="1"/>
          <w:numId w:val="125"/>
        </w:numPr>
        <w:spacing w:after="120" w:line="276" w:lineRule="auto"/>
        <w:contextualSpacing/>
        <w:jc w:val="both"/>
        <w:rPr>
          <w:rFonts w:eastAsia="Times New Roman"/>
          <w:noProof/>
          <w:szCs w:val="20"/>
          <w:lang w:val="sq-AL"/>
        </w:rPr>
      </w:pPr>
      <w:r w:rsidRPr="00D73F43">
        <w:rPr>
          <w:rFonts w:eastAsia="Times New Roman"/>
          <w:noProof/>
          <w:szCs w:val="20"/>
          <w:lang w:val="sq-AL"/>
        </w:rPr>
        <w:t>Subvencionimin e interesave të kredive me përfitues 4300 familje, të cilat janë trajtuar me kredi me kosto të ulët, duke zvogëluar numrin e të pastrehëve në mbarë vendin.</w:t>
      </w:r>
    </w:p>
    <w:p w:rsidR="00B0121D" w:rsidRPr="00D73F43" w:rsidRDefault="00B0121D" w:rsidP="00B0121D">
      <w:pPr>
        <w:spacing w:after="120" w:line="276" w:lineRule="auto"/>
        <w:ind w:left="1440"/>
        <w:contextualSpacing/>
        <w:jc w:val="both"/>
        <w:rPr>
          <w:rFonts w:eastAsia="Times New Roman"/>
          <w:noProof/>
          <w:szCs w:val="20"/>
          <w:lang w:val="sq-AL"/>
        </w:rPr>
      </w:pPr>
    </w:p>
    <w:p w:rsidR="00B0121D" w:rsidRPr="00D73F43" w:rsidRDefault="00B0121D" w:rsidP="00534AA6">
      <w:pPr>
        <w:numPr>
          <w:ilvl w:val="0"/>
          <w:numId w:val="84"/>
        </w:numPr>
        <w:spacing w:after="120" w:line="276" w:lineRule="auto"/>
        <w:jc w:val="both"/>
        <w:rPr>
          <w:rFonts w:eastAsia="Times New Roman"/>
          <w:noProof/>
          <w:szCs w:val="20"/>
          <w:lang w:val="sq-AL"/>
        </w:rPr>
      </w:pPr>
      <w:r w:rsidRPr="00D73F43">
        <w:rPr>
          <w:rFonts w:eastAsia="Times New Roman"/>
          <w:noProof/>
          <w:szCs w:val="20"/>
          <w:u w:val="single"/>
          <w:lang w:val="sq-AL"/>
        </w:rPr>
        <w:t>Në fushën e legalizimeve</w:t>
      </w:r>
      <w:r w:rsidRPr="00D73F43">
        <w:rPr>
          <w:rFonts w:eastAsia="Times New Roman"/>
          <w:noProof/>
          <w:szCs w:val="20"/>
          <w:lang w:val="sq-AL"/>
        </w:rPr>
        <w:t xml:space="preserve"> për vitin 2017, janë parashikuar  për ALUIZNI-n rreth 127 milionë lekë investime për intensifikimin e procesit për legalizimin e rreth 30.000 objekteve të reja në zonat masive informale deri në muajin Maj 2017, duke mundësuar legalizimin e mbi 100,000 objekteve për periudhën Qershor 2014 – Maj 2017.   </w:t>
      </w:r>
    </w:p>
    <w:p w:rsidR="00B0121D" w:rsidRPr="00D73F43" w:rsidRDefault="00B0121D" w:rsidP="00B0121D">
      <w:pPr>
        <w:ind w:left="792"/>
        <w:rPr>
          <w:rFonts w:eastAsia="MS Mincho"/>
          <w:b/>
          <w:lang w:val="sq-AL"/>
        </w:rPr>
      </w:pPr>
    </w:p>
    <w:p w:rsidR="00B0121D" w:rsidRPr="006D51B9" w:rsidRDefault="00B0121D" w:rsidP="006E1DB0">
      <w:pPr>
        <w:pStyle w:val="Heading2"/>
        <w:numPr>
          <w:ilvl w:val="1"/>
          <w:numId w:val="163"/>
        </w:numPr>
        <w:rPr>
          <w:rFonts w:ascii="Times New Roman" w:hAnsi="Times New Roman"/>
          <w:i w:val="0"/>
        </w:rPr>
      </w:pPr>
      <w:bookmarkStart w:id="153" w:name="_Toc466445483"/>
      <w:r w:rsidRPr="006D51B9">
        <w:rPr>
          <w:rFonts w:ascii="Times New Roman" w:hAnsi="Times New Roman"/>
          <w:i w:val="0"/>
        </w:rPr>
        <w:t>KULTURA</w:t>
      </w:r>
      <w:bookmarkEnd w:id="153"/>
    </w:p>
    <w:p w:rsidR="00B0121D" w:rsidRPr="00D73F43" w:rsidRDefault="00B0121D" w:rsidP="00B0121D">
      <w:pPr>
        <w:rPr>
          <w:rFonts w:eastAsia="MS Mincho"/>
          <w:b/>
          <w:lang w:val="sq-AL"/>
        </w:rPr>
      </w:pPr>
    </w:p>
    <w:p w:rsidR="00B0121D" w:rsidRPr="00D73F43" w:rsidRDefault="00642658" w:rsidP="00B0121D">
      <w:pPr>
        <w:rPr>
          <w:rFonts w:eastAsia="MS Mincho"/>
          <w:b/>
          <w:lang w:val="sq-AL"/>
        </w:rPr>
      </w:pPr>
      <w:r>
        <w:rPr>
          <w:rFonts w:eastAsia="MS Mincho"/>
          <w:b/>
          <w:lang w:val="sq-AL"/>
        </w:rPr>
        <w:t>4.</w:t>
      </w:r>
      <w:r w:rsidR="00B0121D" w:rsidRPr="00D73F43">
        <w:rPr>
          <w:rFonts w:eastAsia="MS Mincho"/>
          <w:b/>
          <w:lang w:val="sq-AL"/>
        </w:rPr>
        <w:t>13.1 Situata e sektorit në 2013</w:t>
      </w:r>
    </w:p>
    <w:p w:rsidR="00B0121D" w:rsidRPr="00D73F43" w:rsidRDefault="00B0121D" w:rsidP="00B0121D">
      <w:pPr>
        <w:jc w:val="both"/>
        <w:rPr>
          <w:lang w:val="sq-AL"/>
        </w:rPr>
      </w:pPr>
    </w:p>
    <w:p w:rsidR="00B0121D" w:rsidRPr="00D73F43" w:rsidRDefault="00B0121D" w:rsidP="00534AA6">
      <w:pPr>
        <w:pStyle w:val="ListParagraph"/>
        <w:numPr>
          <w:ilvl w:val="0"/>
          <w:numId w:val="85"/>
        </w:numPr>
        <w:spacing w:line="276" w:lineRule="auto"/>
        <w:contextualSpacing/>
        <w:jc w:val="both"/>
        <w:rPr>
          <w:lang w:val="sq-AL"/>
        </w:rPr>
      </w:pPr>
      <w:r w:rsidRPr="00D73F43">
        <w:rPr>
          <w:lang w:val="sq-AL"/>
        </w:rPr>
        <w:t xml:space="preserve">Në vitin 2013, Ministria e Kulturës përballej me problemin kryesor të borxheve të trashëguara me të tretët në të gjitha shërbimet si në </w:t>
      </w:r>
      <w:r w:rsidR="006E1DB0">
        <w:rPr>
          <w:lang w:val="sq-AL"/>
        </w:rPr>
        <w:t>p</w:t>
      </w:r>
      <w:r w:rsidRPr="00D73F43">
        <w:rPr>
          <w:lang w:val="sq-AL"/>
        </w:rPr>
        <w:t xml:space="preserve">rojekte, ashtu edhe në shërbime operative, vendime gjyqësore, etj. </w:t>
      </w:r>
    </w:p>
    <w:p w:rsidR="00B0121D" w:rsidRPr="00D73F43" w:rsidRDefault="00B0121D" w:rsidP="00534AA6">
      <w:pPr>
        <w:pStyle w:val="ListParagraph"/>
        <w:numPr>
          <w:ilvl w:val="0"/>
          <w:numId w:val="85"/>
        </w:numPr>
        <w:spacing w:line="276" w:lineRule="auto"/>
        <w:contextualSpacing/>
        <w:jc w:val="both"/>
        <w:rPr>
          <w:lang w:val="sq-AL"/>
        </w:rPr>
      </w:pPr>
      <w:r w:rsidRPr="00D73F43">
        <w:rPr>
          <w:lang w:val="sq-AL"/>
        </w:rPr>
        <w:t xml:space="preserve">Në Ministrinë e Kulturës dhe institucionet e saj të varësisë mungonte një inventar për pasuritë kulturore në nivel kombëtar dhe nuk ekzistonte një listë e emergjencës për të patur dhe verifikuar ato pasuri kulturore me rrezikshmëri për zhdukje dhe dëmtime serioze. </w:t>
      </w:r>
    </w:p>
    <w:p w:rsidR="00B0121D" w:rsidRPr="00D73F43" w:rsidRDefault="00B0121D" w:rsidP="00534AA6">
      <w:pPr>
        <w:pStyle w:val="ListParagraph"/>
        <w:numPr>
          <w:ilvl w:val="0"/>
          <w:numId w:val="85"/>
        </w:numPr>
        <w:spacing w:line="276" w:lineRule="auto"/>
        <w:contextualSpacing/>
        <w:jc w:val="both"/>
        <w:rPr>
          <w:lang w:val="sq-AL"/>
        </w:rPr>
      </w:pPr>
      <w:r w:rsidRPr="00D73F43">
        <w:rPr>
          <w:lang w:val="sq-AL"/>
        </w:rPr>
        <w:t>Në fushën e art-kulturës të gjitha projektet që mbështeteshin me fondet e MK jepeshin në mënyrë subjektive dhe me praktika të mangëta dhe pa asnjë lloj transparence në respektim të kushteve dhe kritereve përfituese.</w:t>
      </w:r>
    </w:p>
    <w:p w:rsidR="00E84AAE" w:rsidRPr="00D73F43" w:rsidRDefault="00E84AAE" w:rsidP="00E84AAE">
      <w:pPr>
        <w:spacing w:line="276" w:lineRule="auto"/>
        <w:contextualSpacing/>
        <w:jc w:val="both"/>
        <w:rPr>
          <w:lang w:val="sq-AL"/>
        </w:rPr>
      </w:pPr>
    </w:p>
    <w:p w:rsidR="00B0121D" w:rsidRPr="00D73F43" w:rsidRDefault="00642658" w:rsidP="00B0121D">
      <w:pPr>
        <w:spacing w:line="276" w:lineRule="auto"/>
        <w:rPr>
          <w:rFonts w:eastAsia="MS Mincho"/>
          <w:b/>
          <w:lang w:val="sq-AL"/>
        </w:rPr>
      </w:pPr>
      <w:r>
        <w:rPr>
          <w:rFonts w:eastAsia="MS Mincho"/>
          <w:b/>
          <w:lang w:val="sq-AL"/>
        </w:rPr>
        <w:t>4.</w:t>
      </w:r>
      <w:r w:rsidR="00B0121D" w:rsidRPr="00D73F43">
        <w:rPr>
          <w:rFonts w:eastAsia="MS Mincho"/>
          <w:b/>
          <w:lang w:val="sq-AL"/>
        </w:rPr>
        <w:t>13.2 Reformat e ndërmarra gjatë viteve 2013-2016</w:t>
      </w:r>
    </w:p>
    <w:p w:rsidR="00B0121D" w:rsidRPr="00D73F43" w:rsidRDefault="00B0121D" w:rsidP="00534AA6">
      <w:pPr>
        <w:pStyle w:val="ListParagraph"/>
        <w:numPr>
          <w:ilvl w:val="0"/>
          <w:numId w:val="85"/>
        </w:numPr>
        <w:spacing w:line="276" w:lineRule="auto"/>
        <w:contextualSpacing/>
        <w:jc w:val="both"/>
        <w:rPr>
          <w:lang w:val="sq-AL"/>
        </w:rPr>
      </w:pPr>
      <w:r w:rsidRPr="00D73F43">
        <w:rPr>
          <w:lang w:val="sq-AL"/>
        </w:rPr>
        <w:t>Reformimi i institucioneve të varësisë duke ristrukturuar Drejtoritë Rajonale me qëllim rritjen e numrin e specialistëve në terren, për të përmirësuar rezultatet e punës dhe arritur performancën e synuar.</w:t>
      </w:r>
    </w:p>
    <w:p w:rsidR="00B0121D" w:rsidRPr="00D73F43" w:rsidRDefault="00B0121D" w:rsidP="00534AA6">
      <w:pPr>
        <w:pStyle w:val="ListParagraph"/>
        <w:numPr>
          <w:ilvl w:val="0"/>
          <w:numId w:val="85"/>
        </w:numPr>
        <w:spacing w:line="276" w:lineRule="auto"/>
        <w:contextualSpacing/>
        <w:jc w:val="both"/>
        <w:rPr>
          <w:lang w:val="sq-AL"/>
        </w:rPr>
      </w:pPr>
      <w:r w:rsidRPr="00D73F43">
        <w:rPr>
          <w:lang w:val="sq-AL"/>
        </w:rPr>
        <w:t>Reformimi i mënyrës së miratimit të projekteve artistike. Konkretisht, ngritja dhe miratimi i projekteve të skenës së pavarur, me anë të thirrjeve të hapura për projekte ka shmangur padrejtësitë subjektive në shpërndarjen e tyre dhe gjithashtu ka mundësuar shtrirjen e tyre, si në territor dhe në grupmosha duke iu dhënë përparësi të rinjve.</w:t>
      </w:r>
    </w:p>
    <w:p w:rsidR="00B0121D" w:rsidRPr="00D73F43" w:rsidRDefault="00B0121D" w:rsidP="00534AA6">
      <w:pPr>
        <w:pStyle w:val="ListParagraph"/>
        <w:numPr>
          <w:ilvl w:val="0"/>
          <w:numId w:val="85"/>
        </w:numPr>
        <w:spacing w:line="276" w:lineRule="auto"/>
        <w:contextualSpacing/>
        <w:jc w:val="both"/>
        <w:rPr>
          <w:lang w:val="sq-AL"/>
        </w:rPr>
      </w:pPr>
      <w:r w:rsidRPr="00D73F43">
        <w:rPr>
          <w:lang w:val="sq-AL"/>
        </w:rPr>
        <w:t>Anëtarësimi në organizata ndërkombëtare ku për t’u përmendur janë anëtarësimi në “Traduki”dhe “Creative Europe”, ku çdo artist ka mundësinë të konkurrojë me projekte dhe të përfitojë financim prej këtyre organizatave.</w:t>
      </w:r>
    </w:p>
    <w:p w:rsidR="00B0121D" w:rsidRPr="00D73F43" w:rsidRDefault="00B0121D" w:rsidP="00534AA6">
      <w:pPr>
        <w:pStyle w:val="ListParagraph"/>
        <w:numPr>
          <w:ilvl w:val="0"/>
          <w:numId w:val="85"/>
        </w:numPr>
        <w:spacing w:line="276" w:lineRule="auto"/>
        <w:contextualSpacing/>
        <w:jc w:val="both"/>
        <w:rPr>
          <w:lang w:val="sq-AL"/>
        </w:rPr>
      </w:pPr>
      <w:r w:rsidRPr="00D73F43">
        <w:rPr>
          <w:lang w:val="sq-AL"/>
        </w:rPr>
        <w:lastRenderedPageBreak/>
        <w:t xml:space="preserve">Nënshkrimi i marrëveshjes me Ministrinë e Kulturës së Kosovës për aktivitete të përbashkëta në fushat Art&amp;Kulturë dhe Trashëgimi ka shënuar një arritje në fushën e bashkëpunimit rajonal. </w:t>
      </w:r>
    </w:p>
    <w:p w:rsidR="00B0121D" w:rsidRPr="00D73F43" w:rsidRDefault="00B0121D" w:rsidP="00534AA6">
      <w:pPr>
        <w:pStyle w:val="ListParagraph"/>
        <w:numPr>
          <w:ilvl w:val="0"/>
          <w:numId w:val="85"/>
        </w:numPr>
        <w:spacing w:line="276" w:lineRule="auto"/>
        <w:contextualSpacing/>
        <w:jc w:val="both"/>
        <w:rPr>
          <w:lang w:val="sq-AL"/>
        </w:rPr>
      </w:pPr>
      <w:r w:rsidRPr="00D73F43">
        <w:rPr>
          <w:lang w:val="sq-AL"/>
        </w:rPr>
        <w:t xml:space="preserve">Rëndësi të veçantë i është kushtuar pjesëmarrjes dhe organizimit të aktiviteteve të rëndësishme në Botë, ku për t’u përmendur janë: Bienalia Venecias, Panairi </w:t>
      </w:r>
      <w:r w:rsidR="006E1DB0">
        <w:rPr>
          <w:lang w:val="sq-AL"/>
        </w:rPr>
        <w:t>i</w:t>
      </w:r>
      <w:r w:rsidRPr="00D73F43">
        <w:rPr>
          <w:lang w:val="sq-AL"/>
        </w:rPr>
        <w:t xml:space="preserve"> Librit Lajpcig dhe Itali, etj të cilat kanë kontribuar në përmirësimin dhe promovimin e imazhit artistik të Shqipërisë në botë.</w:t>
      </w:r>
    </w:p>
    <w:p w:rsidR="00B0121D" w:rsidRPr="00D73F43" w:rsidRDefault="00B0121D" w:rsidP="00534AA6">
      <w:pPr>
        <w:pStyle w:val="ListParagraph"/>
        <w:numPr>
          <w:ilvl w:val="0"/>
          <w:numId w:val="85"/>
        </w:numPr>
        <w:spacing w:line="276" w:lineRule="auto"/>
        <w:contextualSpacing/>
        <w:jc w:val="both"/>
        <w:rPr>
          <w:lang w:val="sq-AL"/>
        </w:rPr>
      </w:pPr>
      <w:r w:rsidRPr="00D73F43">
        <w:rPr>
          <w:lang w:val="sq-AL"/>
        </w:rPr>
        <w:t xml:space="preserve">Evidentimi,  inventarizimi dhe kartelizimi i të gjithë pasurisë sonë kulturore në të gjithë territorin e vendit, detyrë e cila përfundoi me sukses në fund të vitit 2015. </w:t>
      </w:r>
    </w:p>
    <w:p w:rsidR="00B0121D" w:rsidRPr="00D73F43" w:rsidRDefault="00B0121D" w:rsidP="00534AA6">
      <w:pPr>
        <w:pStyle w:val="ListParagraph"/>
        <w:numPr>
          <w:ilvl w:val="0"/>
          <w:numId w:val="85"/>
        </w:numPr>
        <w:spacing w:line="276" w:lineRule="auto"/>
        <w:contextualSpacing/>
        <w:jc w:val="both"/>
        <w:rPr>
          <w:lang w:val="sq-AL"/>
        </w:rPr>
      </w:pPr>
      <w:r w:rsidRPr="00D73F43">
        <w:rPr>
          <w:lang w:val="sq-AL"/>
        </w:rPr>
        <w:t>Realizimi i Festivalit Folklorik të Gjirokastrës “Fest on” në vitin 2015 ku për disa javë Gjirokasta u përfshi në një arenë koncertesh, promovimesh dhe manifestimesh të kulturës dhe traditave kombëtare me pjesëmarrje të gjerë edhe nga diaspora.</w:t>
      </w:r>
    </w:p>
    <w:p w:rsidR="00B0121D" w:rsidRPr="00D73F43" w:rsidRDefault="00B0121D" w:rsidP="00534AA6">
      <w:pPr>
        <w:pStyle w:val="ListParagraph"/>
        <w:numPr>
          <w:ilvl w:val="0"/>
          <w:numId w:val="85"/>
        </w:numPr>
        <w:spacing w:line="276" w:lineRule="auto"/>
        <w:contextualSpacing/>
        <w:jc w:val="both"/>
        <w:rPr>
          <w:lang w:val="sq-AL"/>
        </w:rPr>
      </w:pPr>
      <w:r w:rsidRPr="00D73F43">
        <w:rPr>
          <w:lang w:val="sq-AL"/>
        </w:rPr>
        <w:t xml:space="preserve">Janë realizuar një sërë investimesh të rëndësishme në Muzeun Arkeologjik në Durrës, në restaurimin e kishave të ndryshme në të gjithë vendin si ajo e Ristozit në Korçë, Shën Spiridhonit në Vlorë, Karavastas në Divjakë të varrezave të </w:t>
      </w:r>
      <w:r w:rsidRPr="00D73F43">
        <w:rPr>
          <w:caps/>
          <w:lang w:val="sq-AL"/>
        </w:rPr>
        <w:t>ç</w:t>
      </w:r>
      <w:r w:rsidRPr="00D73F43">
        <w:rPr>
          <w:lang w:val="sq-AL"/>
        </w:rPr>
        <w:t xml:space="preserve">amëve dhe varrezave në Rrmaj Shkodër, etj. </w:t>
      </w:r>
    </w:p>
    <w:p w:rsidR="00B0121D" w:rsidRPr="00D73F43" w:rsidRDefault="00B0121D" w:rsidP="00534AA6">
      <w:pPr>
        <w:pStyle w:val="ListParagraph"/>
        <w:numPr>
          <w:ilvl w:val="0"/>
          <w:numId w:val="85"/>
        </w:numPr>
        <w:spacing w:line="276" w:lineRule="auto"/>
        <w:contextualSpacing/>
        <w:jc w:val="both"/>
        <w:rPr>
          <w:lang w:val="sq-AL"/>
        </w:rPr>
      </w:pPr>
      <w:r w:rsidRPr="00D73F43">
        <w:rPr>
          <w:lang w:val="sq-AL"/>
        </w:rPr>
        <w:t xml:space="preserve">Rikonstruksioni i Teatri “Migjeni” në Shkodër dhe i Teatrit “A.Z.Cajupi” Korçë, të cilat përfundojnë gjatë vitit 2016. </w:t>
      </w:r>
    </w:p>
    <w:p w:rsidR="00B0121D" w:rsidRPr="00D73F43" w:rsidRDefault="00B0121D" w:rsidP="00534AA6">
      <w:pPr>
        <w:pStyle w:val="ListParagraph"/>
        <w:numPr>
          <w:ilvl w:val="0"/>
          <w:numId w:val="85"/>
        </w:numPr>
        <w:spacing w:line="276" w:lineRule="auto"/>
        <w:contextualSpacing/>
        <w:jc w:val="both"/>
        <w:rPr>
          <w:lang w:val="sq-AL"/>
        </w:rPr>
      </w:pPr>
      <w:r w:rsidRPr="00D73F43">
        <w:rPr>
          <w:lang w:val="sq-AL"/>
        </w:rPr>
        <w:t xml:space="preserve">Dixhitalizimi i Qendrës Kombëtare të Inventarizimit, i cili shënon një hap përpara drejt dixhitalizimin të të gjithë pasurisë kulturore të vendit. </w:t>
      </w:r>
    </w:p>
    <w:p w:rsidR="00B0121D" w:rsidRPr="00D73F43" w:rsidRDefault="00B0121D" w:rsidP="00534AA6">
      <w:pPr>
        <w:pStyle w:val="ListParagraph"/>
        <w:numPr>
          <w:ilvl w:val="0"/>
          <w:numId w:val="85"/>
        </w:numPr>
        <w:spacing w:line="276" w:lineRule="auto"/>
        <w:contextualSpacing/>
        <w:jc w:val="both"/>
        <w:rPr>
          <w:lang w:val="sq-AL"/>
        </w:rPr>
      </w:pPr>
      <w:r w:rsidRPr="00D73F43">
        <w:rPr>
          <w:lang w:val="sq-AL"/>
        </w:rPr>
        <w:t xml:space="preserve">Hartimi dhe miratimi i dy ligjeve të rëndësishëm si ligji “Për të drejtën e autorit” dhe ligji “Për trashëgiminë kulturore”, përbëjnë garancitë e nevojshme për mbrojtjen dhe zhvillimin e punës së artistëve dhe krijuesve dhe mbrojten e trashëgimisë kulturore. </w:t>
      </w:r>
    </w:p>
    <w:p w:rsidR="00B0121D" w:rsidRPr="00D73F43" w:rsidRDefault="00B0121D" w:rsidP="00B0121D">
      <w:pPr>
        <w:spacing w:after="200" w:line="276" w:lineRule="auto"/>
        <w:jc w:val="both"/>
        <w:rPr>
          <w:b/>
          <w:lang w:val="sq-AL"/>
        </w:rPr>
      </w:pPr>
    </w:p>
    <w:p w:rsidR="00B0121D" w:rsidRPr="00D73F43" w:rsidRDefault="00642658" w:rsidP="00B0121D">
      <w:pPr>
        <w:spacing w:line="276" w:lineRule="auto"/>
        <w:rPr>
          <w:rFonts w:eastAsia="MS Mincho"/>
          <w:b/>
          <w:lang w:val="sq-AL"/>
        </w:rPr>
      </w:pPr>
      <w:r>
        <w:rPr>
          <w:rFonts w:eastAsia="MS Mincho"/>
          <w:b/>
          <w:lang w:val="sq-AL"/>
        </w:rPr>
        <w:t>4.</w:t>
      </w:r>
      <w:r w:rsidR="00B0121D" w:rsidRPr="00D73F43">
        <w:rPr>
          <w:rFonts w:eastAsia="MS Mincho"/>
          <w:b/>
          <w:lang w:val="sq-AL"/>
        </w:rPr>
        <w:t>13.3 Prioritetet e projekt-buxhetit 2017</w:t>
      </w:r>
    </w:p>
    <w:p w:rsidR="00B0121D" w:rsidRPr="00D73F43" w:rsidRDefault="00B0121D" w:rsidP="00B0121D">
      <w:pPr>
        <w:spacing w:line="276" w:lineRule="auto"/>
        <w:jc w:val="both"/>
        <w:rPr>
          <w:lang w:val="sq-AL"/>
        </w:rPr>
      </w:pPr>
    </w:p>
    <w:p w:rsidR="00B0121D" w:rsidRPr="00D73F43" w:rsidRDefault="00B0121D" w:rsidP="00B0121D">
      <w:pPr>
        <w:spacing w:line="276" w:lineRule="auto"/>
        <w:jc w:val="both"/>
        <w:rPr>
          <w:lang w:val="sq-AL"/>
        </w:rPr>
      </w:pPr>
      <w:r w:rsidRPr="00D73F43">
        <w:rPr>
          <w:lang w:val="sq-AL"/>
        </w:rPr>
        <w:t>Për vitin 2017, Ministria e Kulturës do të vijojë mbështetjen për projekte të rëndësishme transformuese të të gjithë territorin qoftë si ofrues dhe mbështetës në krijimi dhe hartimin e projekteve dhe asistencës teknike të zbatimit të tyre, ashtu edhe si financues i drejtpërdrejtë i projekteve madhore:</w:t>
      </w:r>
    </w:p>
    <w:p w:rsidR="00B0121D" w:rsidRPr="00D73F43" w:rsidRDefault="00B0121D" w:rsidP="00B0121D">
      <w:pPr>
        <w:spacing w:line="276" w:lineRule="auto"/>
        <w:jc w:val="both"/>
        <w:rPr>
          <w:lang w:val="sq-AL"/>
        </w:rPr>
      </w:pPr>
      <w:r w:rsidRPr="00D73F43">
        <w:rPr>
          <w:lang w:val="sq-AL"/>
        </w:rPr>
        <w:t xml:space="preserve"> </w:t>
      </w:r>
    </w:p>
    <w:p w:rsidR="00B0121D" w:rsidRPr="00D73F43" w:rsidRDefault="00B0121D" w:rsidP="00534AA6">
      <w:pPr>
        <w:pStyle w:val="ListParagraph"/>
        <w:numPr>
          <w:ilvl w:val="0"/>
          <w:numId w:val="85"/>
        </w:numPr>
        <w:spacing w:line="276" w:lineRule="auto"/>
        <w:contextualSpacing/>
        <w:jc w:val="both"/>
        <w:rPr>
          <w:lang w:val="sq-AL"/>
        </w:rPr>
      </w:pPr>
      <w:r w:rsidRPr="00D73F43">
        <w:rPr>
          <w:lang w:val="sq-AL"/>
        </w:rPr>
        <w:t xml:space="preserve">Muzealizimi dhe hapjen për publikun e Muzeut Gjethi, përmbylljen e fazës së tretë të Muzeut Arkeologjik në Durrës; </w:t>
      </w:r>
    </w:p>
    <w:p w:rsidR="00B0121D" w:rsidRPr="00D73F43" w:rsidRDefault="00B0121D" w:rsidP="00534AA6">
      <w:pPr>
        <w:pStyle w:val="ListParagraph"/>
        <w:numPr>
          <w:ilvl w:val="0"/>
          <w:numId w:val="85"/>
        </w:numPr>
        <w:spacing w:line="276" w:lineRule="auto"/>
        <w:contextualSpacing/>
        <w:jc w:val="both"/>
        <w:rPr>
          <w:lang w:val="sq-AL"/>
        </w:rPr>
      </w:pPr>
      <w:r w:rsidRPr="00D73F43">
        <w:rPr>
          <w:lang w:val="sq-AL"/>
        </w:rPr>
        <w:t xml:space="preserve">Ndërhyrja dhe rikonstruksioni i plotë modern të TOBAP 2017-2020, </w:t>
      </w:r>
    </w:p>
    <w:p w:rsidR="00B0121D" w:rsidRPr="00D73F43" w:rsidRDefault="00B0121D" w:rsidP="00534AA6">
      <w:pPr>
        <w:pStyle w:val="ListParagraph"/>
        <w:numPr>
          <w:ilvl w:val="0"/>
          <w:numId w:val="85"/>
        </w:numPr>
        <w:spacing w:line="276" w:lineRule="auto"/>
        <w:contextualSpacing/>
        <w:jc w:val="both"/>
        <w:rPr>
          <w:lang w:val="sq-AL"/>
        </w:rPr>
      </w:pPr>
      <w:r w:rsidRPr="00D73F43">
        <w:rPr>
          <w:lang w:val="sq-AL"/>
        </w:rPr>
        <w:t xml:space="preserve">Rikonstruksioni dhe ndërtimi të “Skenës së Re” Teatrit të ri Turbina në Tiranë, një projekt dinjitoz për kulturën kombëtare, i krahasueshëm në ofrimin e standardeve me skenat teatrore të vendeve të zhvilluara të Evropës. </w:t>
      </w:r>
    </w:p>
    <w:p w:rsidR="00B0121D" w:rsidRPr="00D73F43" w:rsidRDefault="00B0121D" w:rsidP="00534AA6">
      <w:pPr>
        <w:pStyle w:val="ListParagraph"/>
        <w:numPr>
          <w:ilvl w:val="0"/>
          <w:numId w:val="85"/>
        </w:numPr>
        <w:spacing w:line="276" w:lineRule="auto"/>
        <w:contextualSpacing/>
        <w:jc w:val="both"/>
        <w:rPr>
          <w:lang w:val="sq-AL"/>
        </w:rPr>
      </w:pPr>
      <w:r w:rsidRPr="00D73F43">
        <w:rPr>
          <w:lang w:val="sq-AL"/>
        </w:rPr>
        <w:t xml:space="preserve">Do të vazhdojnë me ritme të kënaqshme ndërhyrjet dhe rikualifikimi urban i Qafës së Pazarit dhe By pass-it në Gjirokastër në partneritet me operatorët  privatë. </w:t>
      </w:r>
    </w:p>
    <w:p w:rsidR="00B0121D" w:rsidRPr="00D73F43" w:rsidRDefault="00B0121D" w:rsidP="00534AA6">
      <w:pPr>
        <w:pStyle w:val="ListParagraph"/>
        <w:numPr>
          <w:ilvl w:val="0"/>
          <w:numId w:val="85"/>
        </w:numPr>
        <w:spacing w:line="276" w:lineRule="auto"/>
        <w:contextualSpacing/>
        <w:jc w:val="both"/>
        <w:rPr>
          <w:lang w:val="sq-AL"/>
        </w:rPr>
      </w:pPr>
      <w:r w:rsidRPr="00D73F43">
        <w:rPr>
          <w:lang w:val="sq-AL"/>
        </w:rPr>
        <w:t xml:space="preserve">Projekti në Apoloni në bashkëpunim me Delegacion e BE-së ku falë angazhimit dhe mbështetjes me fonde buxhetore, zbatimi i këtij projekti do të rris vlerën e një prej thesareve të trashëgimisë kulturore për tërheqjen e vizitorëve dhe prespektivave të zhvillimit të qëndrueshëm. </w:t>
      </w:r>
    </w:p>
    <w:p w:rsidR="00B0121D" w:rsidRPr="00D73F43" w:rsidRDefault="00B0121D" w:rsidP="00534AA6">
      <w:pPr>
        <w:pStyle w:val="ListParagraph"/>
        <w:numPr>
          <w:ilvl w:val="0"/>
          <w:numId w:val="85"/>
        </w:numPr>
        <w:spacing w:line="276" w:lineRule="auto"/>
        <w:contextualSpacing/>
        <w:jc w:val="both"/>
        <w:rPr>
          <w:lang w:val="sq-AL"/>
        </w:rPr>
      </w:pPr>
      <w:r w:rsidRPr="00D73F43">
        <w:rPr>
          <w:lang w:val="sq-AL"/>
        </w:rPr>
        <w:t xml:space="preserve">Është programuar pjesëmarrja në aktivitete kryesore ndërkombëtare si: </w:t>
      </w:r>
    </w:p>
    <w:p w:rsidR="00B0121D" w:rsidRPr="00D73F43" w:rsidRDefault="00B0121D" w:rsidP="00534AA6">
      <w:pPr>
        <w:pStyle w:val="ListParagraph"/>
        <w:numPr>
          <w:ilvl w:val="1"/>
          <w:numId w:val="126"/>
        </w:numPr>
        <w:spacing w:line="276" w:lineRule="auto"/>
        <w:contextualSpacing/>
        <w:jc w:val="both"/>
        <w:rPr>
          <w:lang w:val="sq-AL"/>
        </w:rPr>
      </w:pPr>
      <w:r w:rsidRPr="00D73F43">
        <w:rPr>
          <w:lang w:val="sq-AL"/>
        </w:rPr>
        <w:t xml:space="preserve">Forumi i tretë i CoMoCoSEE në Tiranë në kuadër të kryesimit të Presidencës së Këshillit të Ministrave të Kulturës të Europës Juglindore (CoMoCoSEE) në Shkurt 2016.  </w:t>
      </w:r>
    </w:p>
    <w:p w:rsidR="00B0121D" w:rsidRPr="00D73F43" w:rsidRDefault="00B0121D" w:rsidP="00534AA6">
      <w:pPr>
        <w:pStyle w:val="ListParagraph"/>
        <w:numPr>
          <w:ilvl w:val="1"/>
          <w:numId w:val="126"/>
        </w:numPr>
        <w:spacing w:line="276" w:lineRule="auto"/>
        <w:contextualSpacing/>
        <w:jc w:val="both"/>
        <w:rPr>
          <w:lang w:val="sq-AL"/>
        </w:rPr>
      </w:pPr>
      <w:r w:rsidRPr="00D73F43">
        <w:rPr>
          <w:lang w:val="sq-AL"/>
        </w:rPr>
        <w:t xml:space="preserve">Bienalja e Venecias, në vijim të traditës së krijuar tashmë në pjesëmarrjet në Bienalen e arkitekturës në Venecia, për paraqitje dinjitore dhe përfaqësimin e artit shqiptar në skenat e mëdha botërore dhe artistike. Planifikohet të organizohet për herë të pare një </w:t>
      </w:r>
      <w:r w:rsidRPr="00D73F43">
        <w:rPr>
          <w:bCs/>
          <w:lang w:val="sq-AL"/>
        </w:rPr>
        <w:t xml:space="preserve">Bienale për </w:t>
      </w:r>
      <w:r w:rsidRPr="00D73F43">
        <w:rPr>
          <w:bCs/>
          <w:lang w:val="sq-AL"/>
        </w:rPr>
        <w:lastRenderedPageBreak/>
        <w:t xml:space="preserve">artistët e rinj “Mediterranea 18”, e cila do të mbledhë në Shqipëri 230 artistë të rinj nga Mesdheu. </w:t>
      </w:r>
    </w:p>
    <w:p w:rsidR="00B0121D" w:rsidRPr="00D73F43" w:rsidRDefault="00B0121D" w:rsidP="00B0121D">
      <w:pPr>
        <w:tabs>
          <w:tab w:val="left" w:pos="8306"/>
        </w:tabs>
        <w:spacing w:line="276" w:lineRule="auto"/>
        <w:jc w:val="both"/>
        <w:rPr>
          <w:b/>
          <w:lang w:val="sq-AL"/>
        </w:rPr>
      </w:pPr>
    </w:p>
    <w:p w:rsidR="00B0121D" w:rsidRPr="00D73F43" w:rsidRDefault="00B0121D" w:rsidP="00B0121D">
      <w:pPr>
        <w:rPr>
          <w:rFonts w:eastAsia="MS Mincho"/>
          <w:b/>
          <w:lang w:val="sq-AL"/>
        </w:rPr>
      </w:pPr>
    </w:p>
    <w:p w:rsidR="00B0121D" w:rsidRPr="006D51B9" w:rsidRDefault="00B0121D" w:rsidP="006E1DB0">
      <w:pPr>
        <w:pStyle w:val="Heading2"/>
        <w:numPr>
          <w:ilvl w:val="1"/>
          <w:numId w:val="163"/>
        </w:numPr>
        <w:rPr>
          <w:rFonts w:ascii="Times New Roman" w:hAnsi="Times New Roman"/>
          <w:i w:val="0"/>
        </w:rPr>
      </w:pPr>
      <w:bookmarkStart w:id="154" w:name="_Toc466445484"/>
      <w:r w:rsidRPr="006D51B9">
        <w:rPr>
          <w:rFonts w:ascii="Times New Roman" w:hAnsi="Times New Roman"/>
          <w:i w:val="0"/>
        </w:rPr>
        <w:t>POLITIKA E JASHTME</w:t>
      </w:r>
      <w:bookmarkEnd w:id="154"/>
    </w:p>
    <w:p w:rsidR="00B0121D" w:rsidRPr="00D73F43" w:rsidRDefault="00B0121D" w:rsidP="00B0121D">
      <w:pPr>
        <w:rPr>
          <w:rFonts w:eastAsia="MS Mincho"/>
          <w:b/>
          <w:noProof/>
          <w:szCs w:val="20"/>
          <w:lang w:val="sq-AL"/>
        </w:rPr>
      </w:pPr>
    </w:p>
    <w:p w:rsidR="00B0121D" w:rsidRPr="00D73F43" w:rsidRDefault="00642658" w:rsidP="00B0121D">
      <w:pPr>
        <w:rPr>
          <w:rFonts w:eastAsia="MS Mincho"/>
          <w:b/>
          <w:lang w:val="sq-AL"/>
        </w:rPr>
      </w:pPr>
      <w:r>
        <w:rPr>
          <w:rFonts w:eastAsia="MS Mincho"/>
          <w:b/>
          <w:lang w:val="sq-AL"/>
        </w:rPr>
        <w:t>4.</w:t>
      </w:r>
      <w:r w:rsidR="00B0121D" w:rsidRPr="00D73F43">
        <w:rPr>
          <w:rFonts w:eastAsia="MS Mincho"/>
          <w:b/>
          <w:lang w:val="sq-AL"/>
        </w:rPr>
        <w:t>14.1 Situata e sektorit në 2013</w:t>
      </w:r>
    </w:p>
    <w:p w:rsidR="00B0121D" w:rsidRPr="00D73F43" w:rsidRDefault="00B0121D" w:rsidP="00534AA6">
      <w:pPr>
        <w:numPr>
          <w:ilvl w:val="0"/>
          <w:numId w:val="87"/>
        </w:numPr>
        <w:spacing w:before="240" w:after="240" w:line="276" w:lineRule="auto"/>
        <w:jc w:val="both"/>
        <w:rPr>
          <w:rFonts w:eastAsia="Times New Roman"/>
          <w:noProof/>
          <w:lang w:val="sq-AL"/>
        </w:rPr>
      </w:pPr>
      <w:r w:rsidRPr="00D73F43">
        <w:rPr>
          <w:rFonts w:eastAsia="Times New Roman"/>
          <w:noProof/>
          <w:lang w:val="sq-AL"/>
        </w:rPr>
        <w:t xml:space="preserve">Nga pikëpamja e burimeve njerëzore, Shërbimi i Jashtëm, që përfshin në tërësi sistemin e Ministrisë së Punëve të Jashtme dhe përfaqësitë jashtë shtetit, kishte  mospërputhje të theksuara mes anëtarëve të këtij Shërbimi dhe punonjësit e tjerë jashtë tij. Evidente ishin problemet në planifikimin e menaxhimin e duhur të kapaciteteve të burimeve njerëzore, por edhe buxhetore.  </w:t>
      </w:r>
    </w:p>
    <w:p w:rsidR="00B0121D" w:rsidRPr="00D73F43" w:rsidRDefault="00B0121D" w:rsidP="00534AA6">
      <w:pPr>
        <w:numPr>
          <w:ilvl w:val="0"/>
          <w:numId w:val="87"/>
        </w:numPr>
        <w:spacing w:before="240" w:after="240" w:line="276" w:lineRule="auto"/>
        <w:jc w:val="both"/>
        <w:rPr>
          <w:rFonts w:eastAsia="Times New Roman"/>
          <w:noProof/>
          <w:lang w:val="sq-AL"/>
        </w:rPr>
      </w:pPr>
      <w:r w:rsidRPr="00D73F43">
        <w:rPr>
          <w:rFonts w:eastAsia="Times New Roman"/>
          <w:noProof/>
          <w:lang w:val="sq-AL"/>
        </w:rPr>
        <w:t xml:space="preserve">Nga pikëpamja financiare, situata financiare ishte e vështirë si pasojë e hapjes pa kriter të përfaqësive te reja diplomatike, të pa mbështetura në buxhete, duke krijuar detyrime të pambuluara të përfaqësive e që trashëgoheshin në vitet pasardhëse. </w:t>
      </w:r>
    </w:p>
    <w:p w:rsidR="00B0121D" w:rsidRPr="00D73F43" w:rsidRDefault="00B0121D" w:rsidP="00534AA6">
      <w:pPr>
        <w:numPr>
          <w:ilvl w:val="0"/>
          <w:numId w:val="87"/>
        </w:numPr>
        <w:spacing w:before="240" w:after="240" w:line="276" w:lineRule="auto"/>
        <w:jc w:val="both"/>
        <w:rPr>
          <w:rFonts w:eastAsia="Times New Roman"/>
          <w:noProof/>
          <w:lang w:val="sq-AL"/>
        </w:rPr>
      </w:pPr>
      <w:r w:rsidRPr="00D73F43">
        <w:rPr>
          <w:rFonts w:eastAsia="Times New Roman"/>
          <w:noProof/>
          <w:lang w:val="sq-AL"/>
        </w:rPr>
        <w:t>Detyrimeve kontraktuale, të prapambetura dhe një numër i konsiderueshëm vendimesh gjyqësore me efekte financiare nuk mund të ekzekutoheshin për shkak të mundësive buxhetore të kufizuara.</w:t>
      </w:r>
    </w:p>
    <w:p w:rsidR="00B0121D" w:rsidRPr="00D73F43" w:rsidRDefault="00B0121D" w:rsidP="00B0121D">
      <w:pPr>
        <w:rPr>
          <w:rFonts w:eastAsia="MS Mincho"/>
          <w:b/>
          <w:noProof/>
          <w:szCs w:val="20"/>
          <w:lang w:val="sq-AL"/>
        </w:rPr>
      </w:pPr>
    </w:p>
    <w:p w:rsidR="00B0121D" w:rsidRPr="00D73F43" w:rsidRDefault="00642658" w:rsidP="00B0121D">
      <w:pPr>
        <w:rPr>
          <w:rFonts w:eastAsia="MS Mincho"/>
          <w:b/>
          <w:noProof/>
          <w:szCs w:val="20"/>
          <w:lang w:val="sq-AL"/>
        </w:rPr>
      </w:pPr>
      <w:r>
        <w:rPr>
          <w:rFonts w:eastAsia="MS Mincho"/>
          <w:b/>
          <w:noProof/>
          <w:szCs w:val="20"/>
          <w:lang w:val="sq-AL"/>
        </w:rPr>
        <w:t>4.</w:t>
      </w:r>
      <w:r w:rsidR="00B0121D" w:rsidRPr="00D73F43">
        <w:rPr>
          <w:rFonts w:eastAsia="MS Mincho"/>
          <w:b/>
          <w:noProof/>
          <w:szCs w:val="20"/>
          <w:lang w:val="sq-AL"/>
        </w:rPr>
        <w:t>14.2 Reformat e ndërmarra gjatë viteve 2013-2016</w:t>
      </w:r>
    </w:p>
    <w:p w:rsidR="00B0121D" w:rsidRPr="00D73F43" w:rsidRDefault="00B0121D" w:rsidP="00B0121D">
      <w:pPr>
        <w:spacing w:before="240" w:after="240" w:line="276" w:lineRule="auto"/>
        <w:jc w:val="both"/>
        <w:rPr>
          <w:rFonts w:eastAsia="Times New Roman"/>
          <w:noProof/>
          <w:lang w:val="sq-AL"/>
        </w:rPr>
      </w:pPr>
      <w:r w:rsidRPr="00D73F43">
        <w:rPr>
          <w:rFonts w:eastAsia="Times New Roman"/>
          <w:noProof/>
          <w:lang w:val="sq-AL"/>
        </w:rPr>
        <w:t xml:space="preserve">Gjatë viteve 2013 - 2016 janë arritur rezultate dhe ndërmarrë reformat si më poshtë: </w:t>
      </w:r>
    </w:p>
    <w:p w:rsidR="00B0121D" w:rsidRPr="00D73F43" w:rsidRDefault="00B0121D" w:rsidP="00534AA6">
      <w:pPr>
        <w:numPr>
          <w:ilvl w:val="0"/>
          <w:numId w:val="86"/>
        </w:numPr>
        <w:spacing w:before="240" w:after="240" w:line="276" w:lineRule="auto"/>
        <w:jc w:val="both"/>
        <w:rPr>
          <w:rFonts w:eastAsia="Times New Roman"/>
          <w:noProof/>
          <w:lang w:val="sq-AL"/>
        </w:rPr>
      </w:pPr>
      <w:r w:rsidRPr="00D73F43">
        <w:rPr>
          <w:rFonts w:eastAsia="Times New Roman"/>
          <w:noProof/>
          <w:lang w:val="sq-AL"/>
        </w:rPr>
        <w:t xml:space="preserve">Është punuar në mënyrë aktive, të vazhdueshme, e të mirë koordinuar për zgjerim, intensifikim, diversifikim, thellim dhe pasurimin e marrëdhënieve dy e shumëpalëshe, në radhë të parë me Bashkimin Evropian dhe vendet e tij anëtare, në Rajon,  por edhe më gjerë, përmes vizitave në të gjitha nivelet, duke konsoliduar marrëdhëniet me vendet mike e partnere dhe zgjeruar bashkëpunimin në tërësi.   </w:t>
      </w:r>
    </w:p>
    <w:p w:rsidR="00B0121D" w:rsidRPr="00D73F43" w:rsidRDefault="00B0121D" w:rsidP="00534AA6">
      <w:pPr>
        <w:numPr>
          <w:ilvl w:val="0"/>
          <w:numId w:val="86"/>
        </w:numPr>
        <w:spacing w:before="240" w:after="240" w:line="276" w:lineRule="auto"/>
        <w:jc w:val="both"/>
        <w:rPr>
          <w:rFonts w:eastAsia="Times New Roman"/>
          <w:noProof/>
          <w:lang w:val="sq-AL"/>
        </w:rPr>
      </w:pPr>
      <w:r w:rsidRPr="00D73F43">
        <w:rPr>
          <w:rFonts w:eastAsia="Times New Roman"/>
          <w:noProof/>
          <w:lang w:val="sq-AL"/>
        </w:rPr>
        <w:t xml:space="preserve">Në vitin 2014 u realizua marrja e statusit të vendit kandidat për në BE.  Marrja e statusit të vendit kandidat e ka vendosur bashkëpunimin e Shqipërisë me BE-në dhe vendet e saj anëtare në shkallën më të lartë të njohur ndonjëherë dhe ka çuar në thellimin e dialogut politik, si dhe në shtimin e bashkëpunimit dhe projekteve në fusha të rëndësishme socio-ekonomike. </w:t>
      </w:r>
    </w:p>
    <w:p w:rsidR="00B0121D" w:rsidRPr="00D73F43" w:rsidRDefault="00B0121D" w:rsidP="00534AA6">
      <w:pPr>
        <w:numPr>
          <w:ilvl w:val="0"/>
          <w:numId w:val="86"/>
        </w:numPr>
        <w:spacing w:before="240" w:after="240" w:line="276" w:lineRule="auto"/>
        <w:jc w:val="both"/>
        <w:rPr>
          <w:rFonts w:eastAsia="Times New Roman"/>
          <w:noProof/>
          <w:lang w:val="sq-AL"/>
        </w:rPr>
      </w:pPr>
      <w:r w:rsidRPr="00D73F43">
        <w:rPr>
          <w:rFonts w:eastAsia="Times New Roman"/>
          <w:noProof/>
          <w:lang w:val="sq-AL"/>
        </w:rPr>
        <w:t xml:space="preserve">Nënshkrimi i deklaratës së partneritetit Strategjik me Shtetet e Bashkuara i ka ngritur marrëdhëniet me këtë vend po ashtu në stadin më të lartë të njohur ndonjëherë dhe ka zgjeruar bashkëpunimin në një sërë fushash me  rëndësi parësore.  </w:t>
      </w:r>
    </w:p>
    <w:p w:rsidR="00B0121D" w:rsidRPr="00D73F43" w:rsidRDefault="00B0121D" w:rsidP="00534AA6">
      <w:pPr>
        <w:numPr>
          <w:ilvl w:val="0"/>
          <w:numId w:val="86"/>
        </w:numPr>
        <w:spacing w:before="240" w:after="240" w:line="276" w:lineRule="auto"/>
        <w:jc w:val="both"/>
        <w:rPr>
          <w:rFonts w:eastAsia="Times New Roman"/>
          <w:noProof/>
          <w:lang w:val="sq-AL"/>
        </w:rPr>
      </w:pPr>
      <w:r w:rsidRPr="00D73F43">
        <w:rPr>
          <w:rFonts w:eastAsia="Times New Roman"/>
          <w:noProof/>
          <w:lang w:val="sq-AL"/>
        </w:rPr>
        <w:t xml:space="preserve">Pjesëmarrja e suksesshme në Procesin e Berlinit është materializuar në interes të projekteve konkrete në kuadër të axhendës së konektivitetit rajonal, por edhe të theksimit të perspektivës konkrete evropiane të Shqipërisë dhe rajonit. Janë përfituar dy projekte madhore në infrastrukturë: linja e interkonjeksionit dhe hekurudha Tiranë – Rinas – Durrës. Nënshkrimi i Marrëveshjes për krijimin e Fondit të Ballkanit Perëndimor, si dhe Nënshkrimi i Marrëveshjes për krijimin e Zyrës për Bashkëpunim Rajonal Rinor, organizata të cilat do ta kenë selinë në Tiranë, përbëjnë gjithashtu arritje të spikatura në forcimin të bashkëpunimit rajonal. Me këto dy organizata Shqipëria ka rritur besueshmërinë e saj në Rajon, si një pol stabiliteti në hapësirën e Evropës Adriatike. </w:t>
      </w:r>
    </w:p>
    <w:p w:rsidR="00B0121D" w:rsidRPr="00D73F43" w:rsidRDefault="00B0121D" w:rsidP="00534AA6">
      <w:pPr>
        <w:numPr>
          <w:ilvl w:val="0"/>
          <w:numId w:val="86"/>
        </w:numPr>
        <w:spacing w:before="240" w:after="240" w:line="276" w:lineRule="auto"/>
        <w:jc w:val="both"/>
        <w:rPr>
          <w:rFonts w:eastAsia="Times New Roman"/>
          <w:noProof/>
          <w:lang w:val="sq-AL"/>
        </w:rPr>
      </w:pPr>
      <w:r w:rsidRPr="00D73F43">
        <w:rPr>
          <w:rFonts w:eastAsia="Times New Roman"/>
          <w:noProof/>
          <w:lang w:val="sq-AL"/>
        </w:rPr>
        <w:lastRenderedPageBreak/>
        <w:t xml:space="preserve">Aktiviteti diplomatik i vendit i ka shërbyer gjithashtu në mënyrë të drejtpërdrejtë edhe njohjes ndërkombëtare të Kosovës dhe anëtarësimit të saj në organizatat rajonale dhe ndërkombëtare. </w:t>
      </w:r>
    </w:p>
    <w:p w:rsidR="00B0121D" w:rsidRPr="00D73F43" w:rsidRDefault="00B0121D" w:rsidP="00534AA6">
      <w:pPr>
        <w:numPr>
          <w:ilvl w:val="0"/>
          <w:numId w:val="86"/>
        </w:numPr>
        <w:spacing w:before="240" w:after="240" w:line="276" w:lineRule="auto"/>
        <w:jc w:val="both"/>
        <w:rPr>
          <w:rFonts w:eastAsia="Times New Roman"/>
          <w:noProof/>
          <w:lang w:val="sq-AL"/>
        </w:rPr>
      </w:pPr>
      <w:r w:rsidRPr="00D73F43">
        <w:rPr>
          <w:rFonts w:eastAsia="Times New Roman"/>
          <w:noProof/>
          <w:lang w:val="sq-AL"/>
        </w:rPr>
        <w:t xml:space="preserve">Në MPJ është krijuar Qendra e Ekselencës, si një instrument për vendosjen e dialogut midis saj dhe aktorëve të Shoqërisë Civile, në nivel kombëtar e ndërkombëtar, si dhe për nxitur angazhimin e përfshirjen e brezit të ri.  </w:t>
      </w:r>
    </w:p>
    <w:p w:rsidR="00B0121D" w:rsidRPr="00D73F43" w:rsidRDefault="00B0121D" w:rsidP="00534AA6">
      <w:pPr>
        <w:numPr>
          <w:ilvl w:val="0"/>
          <w:numId w:val="86"/>
        </w:numPr>
        <w:spacing w:before="240" w:after="240" w:line="276" w:lineRule="auto"/>
        <w:jc w:val="both"/>
        <w:rPr>
          <w:rFonts w:eastAsia="Times New Roman"/>
          <w:noProof/>
          <w:lang w:val="sq-AL"/>
        </w:rPr>
      </w:pPr>
      <w:r w:rsidRPr="00D73F43">
        <w:rPr>
          <w:rFonts w:eastAsia="Times New Roman"/>
          <w:noProof/>
          <w:lang w:val="sq-AL"/>
        </w:rPr>
        <w:t>Në Shërbimin e Jashtëm është implementuar platforma e diplomacisë dixhitale, duke e përfshirë aktivitetin diplomatik në botën moderne virtuale, shfrytëzuar përparësitë e mediave sociale, rritur shpejtësinë dhe cilësinë e komunikimit me publikun dhe partnerët.</w:t>
      </w:r>
    </w:p>
    <w:p w:rsidR="00B0121D" w:rsidRPr="00D73F43" w:rsidRDefault="00B0121D" w:rsidP="00534AA6">
      <w:pPr>
        <w:numPr>
          <w:ilvl w:val="0"/>
          <w:numId w:val="86"/>
        </w:numPr>
        <w:spacing w:before="240" w:after="240" w:line="276" w:lineRule="auto"/>
        <w:jc w:val="both"/>
        <w:rPr>
          <w:rFonts w:eastAsia="Times New Roman"/>
          <w:noProof/>
          <w:lang w:val="sq-AL"/>
        </w:rPr>
      </w:pPr>
      <w:r w:rsidRPr="00D73F43">
        <w:rPr>
          <w:rFonts w:eastAsia="Times New Roman"/>
          <w:noProof/>
          <w:lang w:val="sq-AL"/>
        </w:rPr>
        <w:t>Janë ridimensinuar marrëdhëniet me Greqinë. Fryt i përpjekjeve intensive ka qenë zgjidhja e problemit disavjeçar të toponimeve. Në sajë të një politike pa tabu, janë mbrojtur interesat kombëtare për tematika të rëndësishme si anulimi i marrëveshjes antikombëtare për delimitimin e zonës detare, heqja e ligjit të luftës dhe trajtimi i çështjes çame.</w:t>
      </w:r>
    </w:p>
    <w:p w:rsidR="00B0121D" w:rsidRPr="00D73F43" w:rsidRDefault="00B0121D" w:rsidP="00534AA6">
      <w:pPr>
        <w:numPr>
          <w:ilvl w:val="0"/>
          <w:numId w:val="86"/>
        </w:numPr>
        <w:spacing w:before="240" w:after="240" w:line="276" w:lineRule="auto"/>
        <w:jc w:val="both"/>
        <w:rPr>
          <w:rFonts w:eastAsia="Times New Roman"/>
          <w:noProof/>
          <w:lang w:val="sq-AL"/>
        </w:rPr>
      </w:pPr>
      <w:r w:rsidRPr="00D73F43">
        <w:rPr>
          <w:rFonts w:eastAsia="Times New Roman"/>
          <w:noProof/>
          <w:lang w:val="sq-AL"/>
        </w:rPr>
        <w:t xml:space="preserve">Është përmirësuar cilësisht trajtimi i shtetasve tanë jashtë shtetit, mbrojtja e interesave të tyre dhe shërbimet e ofruara. Është shumëfishuar në numër dhe zgjeruar në llojshmëri volumi i shërbimeve të dhëna, si dhe janë rishikuar në ulje tarifat për disa shërbimet të karakterit humanitar. </w:t>
      </w:r>
    </w:p>
    <w:p w:rsidR="00B0121D" w:rsidRPr="00D73F43" w:rsidRDefault="00B0121D" w:rsidP="00534AA6">
      <w:pPr>
        <w:numPr>
          <w:ilvl w:val="0"/>
          <w:numId w:val="86"/>
        </w:numPr>
        <w:spacing w:before="240" w:after="240" w:line="276" w:lineRule="auto"/>
        <w:jc w:val="both"/>
        <w:rPr>
          <w:rFonts w:eastAsia="Times New Roman"/>
          <w:noProof/>
          <w:lang w:val="sq-AL"/>
        </w:rPr>
      </w:pPr>
      <w:r w:rsidRPr="00D73F43">
        <w:rPr>
          <w:rFonts w:eastAsia="Times New Roman"/>
          <w:noProof/>
          <w:lang w:val="sq-AL"/>
        </w:rPr>
        <w:t xml:space="preserve">Është reformuar kuadri ligjor me miratimin e ligjit “Për Shërbimin e Jashtëm” dhe Rregullores për Shërbimin e Jashtëm. Me këtë ligj është përmirësuar më tej trajtimi i punonjësve të Shërbimit të Jashtëm; </w:t>
      </w:r>
    </w:p>
    <w:p w:rsidR="00B0121D" w:rsidRPr="00D73F43" w:rsidRDefault="00B0121D" w:rsidP="00534AA6">
      <w:pPr>
        <w:numPr>
          <w:ilvl w:val="0"/>
          <w:numId w:val="86"/>
        </w:numPr>
        <w:spacing w:before="240" w:after="240" w:line="276" w:lineRule="auto"/>
        <w:jc w:val="both"/>
        <w:rPr>
          <w:rFonts w:eastAsia="Times New Roman"/>
          <w:noProof/>
          <w:lang w:val="sq-AL"/>
        </w:rPr>
      </w:pPr>
      <w:r w:rsidRPr="00D73F43">
        <w:rPr>
          <w:rFonts w:eastAsia="Times New Roman"/>
          <w:noProof/>
          <w:lang w:val="sq-AL"/>
        </w:rPr>
        <w:t>Është reformuar rrjeti i përfaqësive, me synim racionalizimin e prezencës në vendet me rëndësi kyçe, politike dhe me shkëmbime të larta. Janë rishpërndarë kapacitetet në burime njerëzore, por është dashur të merren masa reduktuese deri në mbylljen e 4 (katër) përfaqësive.</w:t>
      </w:r>
    </w:p>
    <w:p w:rsidR="00B0121D" w:rsidRPr="00D73F43" w:rsidRDefault="00642658" w:rsidP="00B0121D">
      <w:pPr>
        <w:rPr>
          <w:rFonts w:eastAsia="MS Mincho"/>
          <w:b/>
          <w:noProof/>
          <w:szCs w:val="20"/>
          <w:lang w:val="sq-AL"/>
        </w:rPr>
      </w:pPr>
      <w:r>
        <w:rPr>
          <w:rFonts w:eastAsia="MS Mincho"/>
          <w:b/>
          <w:noProof/>
          <w:szCs w:val="20"/>
          <w:lang w:val="sq-AL"/>
        </w:rPr>
        <w:t>4.</w:t>
      </w:r>
      <w:r w:rsidR="00B0121D" w:rsidRPr="00D73F43">
        <w:rPr>
          <w:rFonts w:eastAsia="MS Mincho"/>
          <w:b/>
          <w:noProof/>
          <w:szCs w:val="20"/>
          <w:lang w:val="sq-AL"/>
        </w:rPr>
        <w:t>14.3 Prioritetet e projekt-buxhetit 2017</w:t>
      </w:r>
    </w:p>
    <w:p w:rsidR="00B0121D" w:rsidRPr="00D73F43" w:rsidRDefault="00B0121D" w:rsidP="00B0121D">
      <w:pPr>
        <w:spacing w:before="240" w:after="240" w:line="276" w:lineRule="auto"/>
        <w:jc w:val="both"/>
        <w:rPr>
          <w:rFonts w:eastAsia="Times New Roman"/>
          <w:noProof/>
          <w:lang w:val="sq-AL"/>
        </w:rPr>
      </w:pPr>
      <w:r w:rsidRPr="00D73F43">
        <w:rPr>
          <w:rFonts w:eastAsia="Times New Roman"/>
          <w:noProof/>
          <w:lang w:val="sq-AL"/>
        </w:rPr>
        <w:t xml:space="preserve">Për vitin 2017 do të vazhdohet me përmbylljen e reformave të nisura gjatë viteve të mëparshme dhe do të mbahen në konsideratë këto objektiva prioritarë: </w:t>
      </w:r>
    </w:p>
    <w:p w:rsidR="00B0121D" w:rsidRPr="00D73F43" w:rsidRDefault="00B0121D" w:rsidP="00534AA6">
      <w:pPr>
        <w:numPr>
          <w:ilvl w:val="0"/>
          <w:numId w:val="86"/>
        </w:numPr>
        <w:spacing w:before="240" w:after="240" w:line="276" w:lineRule="auto"/>
        <w:jc w:val="both"/>
        <w:rPr>
          <w:rFonts w:eastAsia="Times New Roman"/>
          <w:noProof/>
          <w:lang w:val="sq-AL"/>
        </w:rPr>
      </w:pPr>
      <w:r w:rsidRPr="00D73F43">
        <w:rPr>
          <w:rFonts w:eastAsia="Times New Roman"/>
          <w:noProof/>
          <w:lang w:val="sq-AL"/>
        </w:rPr>
        <w:t xml:space="preserve">Intensifikimi i bashkëpunimit bilateral me vendet anëtare të BE-së në fushat me interes të përbashkët dhe konsolidimi i bashkëpunimit dypalësh për të avancuar në procesin e negociatave për anëtarësim në BE.  </w:t>
      </w:r>
    </w:p>
    <w:p w:rsidR="00B0121D" w:rsidRPr="00D73F43" w:rsidRDefault="00B0121D" w:rsidP="00534AA6">
      <w:pPr>
        <w:numPr>
          <w:ilvl w:val="0"/>
          <w:numId w:val="86"/>
        </w:numPr>
        <w:spacing w:before="240" w:after="240" w:line="276" w:lineRule="auto"/>
        <w:jc w:val="both"/>
        <w:rPr>
          <w:rFonts w:eastAsia="Times New Roman"/>
          <w:noProof/>
          <w:lang w:val="sq-AL"/>
        </w:rPr>
      </w:pPr>
      <w:r w:rsidRPr="00D73F43">
        <w:rPr>
          <w:rFonts w:eastAsia="Times New Roman"/>
          <w:noProof/>
          <w:lang w:val="sq-AL"/>
        </w:rPr>
        <w:t xml:space="preserve">Forcimi dhe zgjerimi i marrëdhënieve dy e shumëpalëshe në Rajon në interes të rritjes së bashkëpunimit dhe shkëmbimeve, si dhe forcimit të paqes e sigurisë duke mbështetur të drejtat e shqiptarëve që jetojnë në rajon. Vazhdimi i punës për njohjen ndërkombëtare të Kosovës dhe integrimi i saj në organizatat ndërkombëtare. </w:t>
      </w:r>
    </w:p>
    <w:p w:rsidR="00B0121D" w:rsidRPr="00D73F43" w:rsidRDefault="00B0121D" w:rsidP="00534AA6">
      <w:pPr>
        <w:numPr>
          <w:ilvl w:val="0"/>
          <w:numId w:val="86"/>
        </w:numPr>
        <w:spacing w:before="240" w:after="240" w:line="276" w:lineRule="auto"/>
        <w:jc w:val="both"/>
        <w:rPr>
          <w:rFonts w:eastAsia="Times New Roman"/>
          <w:noProof/>
          <w:lang w:val="sq-AL"/>
        </w:rPr>
      </w:pPr>
      <w:r w:rsidRPr="00D73F43">
        <w:rPr>
          <w:rFonts w:eastAsia="Times New Roman"/>
          <w:noProof/>
          <w:lang w:val="sq-AL"/>
        </w:rPr>
        <w:t xml:space="preserve">Funksionalizmi i zyrës së RYCO-s dhe Fondit të Ballkanit Perëndimor. </w:t>
      </w:r>
    </w:p>
    <w:p w:rsidR="00B0121D" w:rsidRPr="00D73F43" w:rsidRDefault="00B0121D" w:rsidP="00534AA6">
      <w:pPr>
        <w:numPr>
          <w:ilvl w:val="0"/>
          <w:numId w:val="86"/>
        </w:numPr>
        <w:spacing w:before="240" w:after="240" w:line="276" w:lineRule="auto"/>
        <w:jc w:val="both"/>
        <w:rPr>
          <w:rFonts w:eastAsia="Times New Roman"/>
          <w:noProof/>
          <w:lang w:val="sq-AL"/>
        </w:rPr>
      </w:pPr>
      <w:r w:rsidRPr="00D73F43">
        <w:rPr>
          <w:rFonts w:eastAsia="Times New Roman"/>
          <w:noProof/>
          <w:lang w:val="sq-AL"/>
        </w:rPr>
        <w:t>Dinamizmi i partneritetit strategjik me SHBA përmes jetësimit të plotë të Deklaratës së Partneritetit Strategjik për çështjet globale, për çështjet rajonale, si dhe për agjendën dypalëshe: dialogu politik, siguria, forcimi i shtetit të së drejtës, zhvillimi ekonomik, siguria energjetike, shkëmbimet arsimore-kulturore dhe materializimi i këtij partneriteti përmes një dokumenti të partneritetit strategjik.</w:t>
      </w:r>
    </w:p>
    <w:p w:rsidR="00B0121D" w:rsidRPr="00D73F43" w:rsidRDefault="00B0121D" w:rsidP="00534AA6">
      <w:pPr>
        <w:numPr>
          <w:ilvl w:val="0"/>
          <w:numId w:val="86"/>
        </w:numPr>
        <w:spacing w:before="240" w:after="240" w:line="276" w:lineRule="auto"/>
        <w:jc w:val="both"/>
        <w:rPr>
          <w:rFonts w:eastAsia="Times New Roman"/>
          <w:noProof/>
          <w:lang w:val="sq-AL"/>
        </w:rPr>
      </w:pPr>
      <w:r w:rsidRPr="00D73F43">
        <w:rPr>
          <w:rFonts w:eastAsia="Times New Roman"/>
          <w:noProof/>
          <w:lang w:val="sq-AL"/>
        </w:rPr>
        <w:lastRenderedPageBreak/>
        <w:t xml:space="preserve">Intensifikimi i përpjekjeve për të përmirësuar më tej perceptimin publik të Shqipërisë dhe shqiptarëve në kontinentin Evropian, në rajon dhe më gjerë. Intensifikimi i përpjekjeve për të koordinuar dhe realizuar një numër më të madh Komisionesh të Përbashkëta Ndërshtetërore për Bashkëpunim Ekonomik. </w:t>
      </w:r>
    </w:p>
    <w:p w:rsidR="00B0121D" w:rsidRPr="00D73F43" w:rsidRDefault="00B0121D" w:rsidP="00534AA6">
      <w:pPr>
        <w:numPr>
          <w:ilvl w:val="0"/>
          <w:numId w:val="86"/>
        </w:numPr>
        <w:spacing w:before="240" w:after="240" w:line="276" w:lineRule="auto"/>
        <w:jc w:val="both"/>
        <w:rPr>
          <w:rFonts w:eastAsia="Times New Roman"/>
          <w:noProof/>
          <w:lang w:val="sq-AL"/>
        </w:rPr>
      </w:pPr>
      <w:r w:rsidRPr="00D73F43">
        <w:rPr>
          <w:rFonts w:eastAsia="Times New Roman"/>
          <w:noProof/>
          <w:lang w:val="sq-AL"/>
        </w:rPr>
        <w:t xml:space="preserve">Ruajtja dhe intensifikimi i kontakteve me Diasporën tonë në Botë. Rritja e vëmendjes përmes zbatimit të masave të përkujdesjes ndaj diasporës shqiptare. Sigurimi i librave në gjuhën shqipe në një kohë të shpejtë dhe në sasi të mjaftueshme. </w:t>
      </w:r>
    </w:p>
    <w:p w:rsidR="00B0121D" w:rsidRPr="00D73F43" w:rsidRDefault="00B0121D" w:rsidP="00534AA6">
      <w:pPr>
        <w:numPr>
          <w:ilvl w:val="0"/>
          <w:numId w:val="86"/>
        </w:numPr>
        <w:spacing w:before="240" w:after="240" w:line="276" w:lineRule="auto"/>
        <w:jc w:val="both"/>
        <w:rPr>
          <w:rFonts w:eastAsia="Times New Roman"/>
          <w:noProof/>
          <w:lang w:val="sq-AL"/>
        </w:rPr>
      </w:pPr>
      <w:r w:rsidRPr="00D73F43">
        <w:rPr>
          <w:rFonts w:eastAsia="Times New Roman"/>
          <w:noProof/>
          <w:lang w:val="sq-AL"/>
        </w:rPr>
        <w:t>Shtimi i kapaciteteve të shërbimit konsullor për të përmirësuar shërbimet konsullore të ofruara, përmirësimin e mbrojtjes dhe dhënies së ndihmës. Përmirësimi i shërbimeve përmes Konsullatës Dixhitale, përmirësimi i dhënies së shërbimeve on-line përmes portalit e-Albania, përmirësimi i informacioneve dhe komunikimit përmes aplikacionit e-Konsullata.</w:t>
      </w:r>
    </w:p>
    <w:p w:rsidR="00B0121D" w:rsidRPr="00D73F43" w:rsidRDefault="00B0121D" w:rsidP="00B0121D">
      <w:pPr>
        <w:rPr>
          <w:rFonts w:eastAsia="MS Mincho"/>
          <w:b/>
          <w:lang w:val="sq-AL"/>
        </w:rPr>
      </w:pPr>
    </w:p>
    <w:p w:rsidR="00B0121D" w:rsidRPr="006D51B9" w:rsidRDefault="00B0121D" w:rsidP="006E1DB0">
      <w:pPr>
        <w:pStyle w:val="Heading2"/>
        <w:numPr>
          <w:ilvl w:val="1"/>
          <w:numId w:val="163"/>
        </w:numPr>
        <w:rPr>
          <w:rFonts w:ascii="Times New Roman" w:hAnsi="Times New Roman"/>
          <w:i w:val="0"/>
        </w:rPr>
      </w:pPr>
      <w:bookmarkStart w:id="155" w:name="_Toc466445485"/>
      <w:r w:rsidRPr="006D51B9">
        <w:rPr>
          <w:rFonts w:ascii="Times New Roman" w:hAnsi="Times New Roman"/>
          <w:i w:val="0"/>
        </w:rPr>
        <w:t>INTEGRIMI EUROPIAN</w:t>
      </w:r>
      <w:bookmarkEnd w:id="155"/>
    </w:p>
    <w:p w:rsidR="00B0121D" w:rsidRPr="00D73F43" w:rsidRDefault="00B0121D" w:rsidP="00B0121D">
      <w:pPr>
        <w:ind w:left="450"/>
        <w:rPr>
          <w:rFonts w:eastAsia="MS Mincho"/>
          <w:b/>
          <w:lang w:val="sq-AL"/>
        </w:rPr>
      </w:pPr>
    </w:p>
    <w:p w:rsidR="00B0121D" w:rsidRPr="00D73F43" w:rsidRDefault="00642658" w:rsidP="00B0121D">
      <w:pPr>
        <w:ind w:left="450"/>
        <w:rPr>
          <w:rFonts w:eastAsia="MS Mincho"/>
          <w:b/>
          <w:lang w:val="sq-AL"/>
        </w:rPr>
      </w:pPr>
      <w:r>
        <w:rPr>
          <w:rFonts w:eastAsia="MS Mincho"/>
          <w:b/>
          <w:lang w:val="sq-AL"/>
        </w:rPr>
        <w:t>4.</w:t>
      </w:r>
      <w:r w:rsidR="00CB089C">
        <w:rPr>
          <w:rFonts w:eastAsia="MS Mincho"/>
          <w:b/>
          <w:lang w:val="sq-AL"/>
        </w:rPr>
        <w:t xml:space="preserve">15.1 </w:t>
      </w:r>
      <w:r w:rsidR="00B0121D" w:rsidRPr="00D73F43">
        <w:rPr>
          <w:rFonts w:eastAsia="MS Mincho"/>
          <w:b/>
          <w:lang w:val="sq-AL"/>
        </w:rPr>
        <w:t>Situata e sektorit në 2013</w:t>
      </w:r>
    </w:p>
    <w:p w:rsidR="00B0121D" w:rsidRPr="00D73F43" w:rsidRDefault="00B0121D" w:rsidP="00B0121D">
      <w:pPr>
        <w:shd w:val="clear" w:color="auto" w:fill="FFFFFF"/>
        <w:spacing w:line="276" w:lineRule="auto"/>
        <w:rPr>
          <w:rFonts w:eastAsia="Times New Roman"/>
          <w:noProof/>
          <w:szCs w:val="20"/>
          <w:lang w:val="sq-AL"/>
        </w:rPr>
      </w:pPr>
    </w:p>
    <w:p w:rsidR="00B0121D" w:rsidRPr="00D73F43" w:rsidRDefault="00B0121D" w:rsidP="00B0121D">
      <w:pPr>
        <w:shd w:val="clear" w:color="auto" w:fill="FFFFFF"/>
        <w:spacing w:line="276" w:lineRule="auto"/>
        <w:jc w:val="both"/>
        <w:rPr>
          <w:rFonts w:eastAsia="Times New Roman"/>
          <w:noProof/>
          <w:szCs w:val="20"/>
          <w:lang w:val="sq-AL"/>
        </w:rPr>
      </w:pPr>
      <w:r w:rsidRPr="00D73F43">
        <w:rPr>
          <w:rFonts w:eastAsia="Times New Roman"/>
          <w:noProof/>
          <w:szCs w:val="20"/>
          <w:lang w:val="sq-AL"/>
        </w:rPr>
        <w:t>Situata në të cilën ndodhej procesi i integrimit evropian në vitin 2013, u reflektua shumë mirë në Raportin e Progresit për Shqipërinë 2013. Në këtë Raport u</w:t>
      </w:r>
      <w:r w:rsidR="00A3010C">
        <w:rPr>
          <w:rFonts w:eastAsia="Times New Roman"/>
          <w:noProof/>
          <w:szCs w:val="20"/>
          <w:lang w:val="sq-AL"/>
        </w:rPr>
        <w:t xml:space="preserve"> përcaktuan qartë </w:t>
      </w:r>
      <w:r w:rsidR="006E1DB0">
        <w:rPr>
          <w:rFonts w:eastAsia="Times New Roman"/>
          <w:noProof/>
          <w:szCs w:val="20"/>
          <w:lang w:val="sq-AL"/>
        </w:rPr>
        <w:t xml:space="preserve">pesë </w:t>
      </w:r>
      <w:r w:rsidRPr="00D73F43">
        <w:rPr>
          <w:rFonts w:eastAsia="Times New Roman"/>
          <w:noProof/>
          <w:szCs w:val="20"/>
          <w:lang w:val="sq-AL"/>
        </w:rPr>
        <w:t xml:space="preserve">prioritete kryesore si kusht për hapjen e negociatave të Shqipërisë me BE-në si më poshtë: </w:t>
      </w:r>
    </w:p>
    <w:p w:rsidR="00B0121D" w:rsidRPr="00D73F43" w:rsidRDefault="00B0121D" w:rsidP="00534AA6">
      <w:pPr>
        <w:numPr>
          <w:ilvl w:val="0"/>
          <w:numId w:val="88"/>
        </w:numPr>
        <w:shd w:val="clear" w:color="auto" w:fill="FFFFFF"/>
        <w:spacing w:line="276" w:lineRule="auto"/>
        <w:jc w:val="both"/>
        <w:rPr>
          <w:rFonts w:eastAsia="Times New Roman"/>
          <w:noProof/>
          <w:szCs w:val="20"/>
          <w:lang w:val="sq-AL"/>
        </w:rPr>
      </w:pPr>
      <w:r w:rsidRPr="00D73F43">
        <w:rPr>
          <w:rFonts w:eastAsia="Times New Roman"/>
          <w:noProof/>
          <w:szCs w:val="20"/>
          <w:lang w:val="sq-AL"/>
        </w:rPr>
        <w:t xml:space="preserve">Kryerja e Reformës në Administratën Publike; </w:t>
      </w:r>
    </w:p>
    <w:p w:rsidR="00B0121D" w:rsidRPr="00D73F43" w:rsidRDefault="00B0121D" w:rsidP="00534AA6">
      <w:pPr>
        <w:numPr>
          <w:ilvl w:val="0"/>
          <w:numId w:val="88"/>
        </w:numPr>
        <w:shd w:val="clear" w:color="auto" w:fill="FFFFFF"/>
        <w:spacing w:line="276" w:lineRule="auto"/>
        <w:jc w:val="both"/>
        <w:rPr>
          <w:rFonts w:eastAsia="Times New Roman"/>
          <w:noProof/>
          <w:szCs w:val="20"/>
          <w:lang w:val="sq-AL"/>
        </w:rPr>
      </w:pPr>
      <w:r w:rsidRPr="00D73F43">
        <w:rPr>
          <w:rFonts w:eastAsia="Times New Roman"/>
          <w:noProof/>
          <w:szCs w:val="20"/>
          <w:lang w:val="sq-AL"/>
        </w:rPr>
        <w:t xml:space="preserve">Reformimi i Sistemit Gjyqësor; </w:t>
      </w:r>
    </w:p>
    <w:p w:rsidR="00480EA8" w:rsidRDefault="00B0121D" w:rsidP="00534AA6">
      <w:pPr>
        <w:numPr>
          <w:ilvl w:val="0"/>
          <w:numId w:val="88"/>
        </w:numPr>
        <w:shd w:val="clear" w:color="auto" w:fill="FFFFFF"/>
        <w:spacing w:line="276" w:lineRule="auto"/>
        <w:jc w:val="both"/>
        <w:rPr>
          <w:rFonts w:eastAsia="Times New Roman"/>
          <w:noProof/>
          <w:szCs w:val="20"/>
          <w:lang w:val="sq-AL"/>
        </w:rPr>
      </w:pPr>
      <w:r w:rsidRPr="00D73F43">
        <w:rPr>
          <w:rFonts w:eastAsia="Times New Roman"/>
          <w:noProof/>
          <w:szCs w:val="20"/>
          <w:lang w:val="sq-AL"/>
        </w:rPr>
        <w:t>Intensifikimi i</w:t>
      </w:r>
      <w:r w:rsidR="00480EA8">
        <w:rPr>
          <w:rFonts w:eastAsia="Times New Roman"/>
          <w:noProof/>
          <w:szCs w:val="20"/>
          <w:lang w:val="sq-AL"/>
        </w:rPr>
        <w:t xml:space="preserve"> luftës kundër korrupsionit;</w:t>
      </w:r>
    </w:p>
    <w:p w:rsidR="00B0121D" w:rsidRPr="00D73F43" w:rsidRDefault="00480EA8" w:rsidP="00534AA6">
      <w:pPr>
        <w:numPr>
          <w:ilvl w:val="0"/>
          <w:numId w:val="88"/>
        </w:numPr>
        <w:shd w:val="clear" w:color="auto" w:fill="FFFFFF"/>
        <w:spacing w:line="276" w:lineRule="auto"/>
        <w:jc w:val="both"/>
        <w:rPr>
          <w:rFonts w:eastAsia="Times New Roman"/>
          <w:noProof/>
          <w:szCs w:val="20"/>
          <w:lang w:val="sq-AL"/>
        </w:rPr>
      </w:pPr>
      <w:r>
        <w:rPr>
          <w:rFonts w:eastAsia="Times New Roman"/>
          <w:noProof/>
          <w:szCs w:val="20"/>
          <w:lang w:val="sq-AL"/>
        </w:rPr>
        <w:t xml:space="preserve">Lufta kundër </w:t>
      </w:r>
      <w:r w:rsidR="00B0121D" w:rsidRPr="00D73F43">
        <w:rPr>
          <w:rFonts w:eastAsia="Times New Roman"/>
          <w:noProof/>
          <w:szCs w:val="20"/>
          <w:lang w:val="sq-AL"/>
        </w:rPr>
        <w:t xml:space="preserve">krimit të organizuar; </w:t>
      </w:r>
    </w:p>
    <w:p w:rsidR="00B0121D" w:rsidRPr="00D73F43" w:rsidRDefault="00B0121D" w:rsidP="00534AA6">
      <w:pPr>
        <w:numPr>
          <w:ilvl w:val="0"/>
          <w:numId w:val="88"/>
        </w:numPr>
        <w:shd w:val="clear" w:color="auto" w:fill="FFFFFF"/>
        <w:spacing w:line="276" w:lineRule="auto"/>
        <w:jc w:val="both"/>
        <w:rPr>
          <w:rFonts w:eastAsia="Times New Roman"/>
          <w:noProof/>
          <w:szCs w:val="20"/>
          <w:lang w:val="sq-AL"/>
        </w:rPr>
      </w:pPr>
      <w:r w:rsidRPr="00D73F43">
        <w:rPr>
          <w:rFonts w:eastAsia="Times New Roman"/>
          <w:noProof/>
          <w:szCs w:val="20"/>
          <w:lang w:val="sq-AL"/>
        </w:rPr>
        <w:t>Forcimi i mbrojtjes së të drejtave të njeriut.</w:t>
      </w:r>
    </w:p>
    <w:p w:rsidR="00C05F2E" w:rsidRPr="00D73F43" w:rsidRDefault="00C05F2E" w:rsidP="00B0121D">
      <w:pPr>
        <w:shd w:val="clear" w:color="auto" w:fill="FFFFFF"/>
        <w:spacing w:line="276" w:lineRule="auto"/>
        <w:jc w:val="both"/>
        <w:rPr>
          <w:rFonts w:eastAsia="Times New Roman"/>
          <w:noProof/>
          <w:szCs w:val="20"/>
          <w:lang w:val="sq-AL"/>
        </w:rPr>
      </w:pPr>
    </w:p>
    <w:p w:rsidR="00B0121D" w:rsidRPr="00D73F43" w:rsidRDefault="00642658" w:rsidP="00B0121D">
      <w:pPr>
        <w:rPr>
          <w:rFonts w:eastAsia="MS Mincho"/>
          <w:b/>
          <w:noProof/>
          <w:szCs w:val="20"/>
          <w:lang w:val="sq-AL"/>
        </w:rPr>
      </w:pPr>
      <w:r>
        <w:rPr>
          <w:rFonts w:eastAsia="MS Mincho"/>
          <w:b/>
          <w:noProof/>
          <w:szCs w:val="20"/>
          <w:lang w:val="sq-AL"/>
        </w:rPr>
        <w:t>4.</w:t>
      </w:r>
      <w:r w:rsidR="00B0121D" w:rsidRPr="00D73F43">
        <w:rPr>
          <w:rFonts w:eastAsia="MS Mincho"/>
          <w:b/>
          <w:noProof/>
          <w:szCs w:val="20"/>
          <w:lang w:val="sq-AL"/>
        </w:rPr>
        <w:t>15.2 Reformat e ndërmarra gjatë viteve 2013-2016</w:t>
      </w:r>
    </w:p>
    <w:p w:rsidR="00B0121D" w:rsidRPr="00D73F43" w:rsidRDefault="00B0121D" w:rsidP="00B0121D">
      <w:pPr>
        <w:shd w:val="clear" w:color="auto" w:fill="FFFFFF"/>
        <w:spacing w:line="276" w:lineRule="auto"/>
        <w:rPr>
          <w:rFonts w:eastAsia="Times New Roman"/>
          <w:noProof/>
          <w:szCs w:val="20"/>
          <w:lang w:val="sq-AL"/>
        </w:rPr>
      </w:pPr>
    </w:p>
    <w:p w:rsidR="00B0121D" w:rsidRPr="00D73F43" w:rsidRDefault="00B0121D" w:rsidP="00B0121D">
      <w:pPr>
        <w:shd w:val="clear" w:color="auto" w:fill="FFFFFF"/>
        <w:spacing w:line="276" w:lineRule="auto"/>
        <w:rPr>
          <w:rFonts w:eastAsia="Times New Roman"/>
          <w:noProof/>
          <w:szCs w:val="20"/>
          <w:lang w:val="sq-AL"/>
        </w:rPr>
      </w:pPr>
      <w:r w:rsidRPr="00D73F43">
        <w:rPr>
          <w:rFonts w:eastAsia="Times New Roman"/>
          <w:noProof/>
          <w:szCs w:val="20"/>
          <w:lang w:val="sq-AL"/>
        </w:rPr>
        <w:t xml:space="preserve"> Si rezultat i  reformave të kryera nga Qeveria shqiptare gjatë këtyre viteve, Shqipërisë iu dha statusi i vendit kandidat në Qershor të vitit 2014, si dhe është në pritje të rekomandimit pozitiv nga Komisioni Evropian për hapjen e negociatave të anëtarësimit në BE.</w:t>
      </w:r>
    </w:p>
    <w:p w:rsidR="00B0121D" w:rsidRPr="00D73F43" w:rsidRDefault="00B0121D" w:rsidP="00B0121D">
      <w:pPr>
        <w:shd w:val="clear" w:color="auto" w:fill="FFFFFF"/>
        <w:spacing w:line="276" w:lineRule="auto"/>
        <w:rPr>
          <w:rFonts w:eastAsia="Times New Roman"/>
          <w:noProof/>
          <w:szCs w:val="20"/>
          <w:lang w:val="sq-AL"/>
        </w:rPr>
      </w:pPr>
    </w:p>
    <w:p w:rsidR="00B0121D" w:rsidRPr="00D73F43" w:rsidRDefault="00B0121D" w:rsidP="00B0121D">
      <w:pPr>
        <w:shd w:val="clear" w:color="auto" w:fill="FFFFFF"/>
        <w:spacing w:line="276" w:lineRule="auto"/>
        <w:rPr>
          <w:rFonts w:eastAsia="Times New Roman"/>
          <w:noProof/>
          <w:szCs w:val="20"/>
          <w:lang w:val="sq-AL"/>
        </w:rPr>
      </w:pPr>
      <w:r w:rsidRPr="00D73F43">
        <w:rPr>
          <w:rFonts w:eastAsia="Times New Roman"/>
          <w:noProof/>
          <w:szCs w:val="20"/>
          <w:lang w:val="sq-AL"/>
        </w:rPr>
        <w:t>Për përmbushjen e Programit të Qeverisë 2013 – 2016, Ministria e Integrimit Evropian identifikoi 3 qëllime kryesore, si më poshtë:</w:t>
      </w:r>
    </w:p>
    <w:p w:rsidR="00B0121D" w:rsidRPr="00D73F43" w:rsidRDefault="00B0121D" w:rsidP="00534AA6">
      <w:pPr>
        <w:numPr>
          <w:ilvl w:val="0"/>
          <w:numId w:val="89"/>
        </w:numPr>
        <w:suppressAutoHyphens/>
        <w:spacing w:line="276" w:lineRule="auto"/>
        <w:ind w:left="851" w:hanging="425"/>
        <w:jc w:val="both"/>
        <w:rPr>
          <w:rFonts w:eastAsia="Times New Roman"/>
          <w:noProof/>
          <w:szCs w:val="20"/>
          <w:lang w:val="sq-AL"/>
        </w:rPr>
      </w:pPr>
      <w:r w:rsidRPr="00D73F43">
        <w:rPr>
          <w:rFonts w:eastAsia="Times New Roman"/>
          <w:noProof/>
          <w:szCs w:val="20"/>
          <w:lang w:val="sq-AL"/>
        </w:rPr>
        <w:t>Zbatimi i Marrëveshjes së Stabilizim-Asociimit;</w:t>
      </w:r>
    </w:p>
    <w:p w:rsidR="00B0121D" w:rsidRPr="00D73F43" w:rsidRDefault="00B0121D" w:rsidP="00534AA6">
      <w:pPr>
        <w:numPr>
          <w:ilvl w:val="0"/>
          <w:numId w:val="89"/>
        </w:numPr>
        <w:suppressAutoHyphens/>
        <w:spacing w:line="276" w:lineRule="auto"/>
        <w:ind w:left="851" w:hanging="425"/>
        <w:jc w:val="both"/>
        <w:rPr>
          <w:rFonts w:eastAsia="Times New Roman"/>
          <w:noProof/>
          <w:szCs w:val="20"/>
          <w:lang w:val="sq-AL"/>
        </w:rPr>
      </w:pPr>
      <w:r w:rsidRPr="00D73F43">
        <w:rPr>
          <w:rFonts w:eastAsia="Times New Roman"/>
          <w:noProof/>
          <w:szCs w:val="20"/>
          <w:lang w:val="sq-AL"/>
        </w:rPr>
        <w:t>Plotësimi i kushteve për marrjen e statusit të vendit kandidat dhe hapjen e negociatave;</w:t>
      </w:r>
    </w:p>
    <w:p w:rsidR="00B0121D" w:rsidRPr="00D73F43" w:rsidRDefault="00B0121D" w:rsidP="00534AA6">
      <w:pPr>
        <w:numPr>
          <w:ilvl w:val="0"/>
          <w:numId w:val="89"/>
        </w:numPr>
        <w:suppressAutoHyphens/>
        <w:spacing w:line="276" w:lineRule="auto"/>
        <w:ind w:left="851" w:hanging="425"/>
        <w:jc w:val="both"/>
        <w:rPr>
          <w:rFonts w:eastAsia="Times New Roman"/>
          <w:noProof/>
          <w:szCs w:val="20"/>
          <w:lang w:val="sq-AL"/>
        </w:rPr>
      </w:pPr>
      <w:r w:rsidRPr="00D73F43">
        <w:rPr>
          <w:rFonts w:eastAsia="Times New Roman"/>
          <w:noProof/>
          <w:szCs w:val="20"/>
          <w:lang w:val="sq-AL"/>
        </w:rPr>
        <w:t>Përthithja në shkallën më të lartë të fondeve të asistencës së Bashkimit Evropian (IPA).</w:t>
      </w:r>
    </w:p>
    <w:p w:rsidR="00B0121D" w:rsidRPr="00D73F43" w:rsidRDefault="00B0121D" w:rsidP="00B0121D">
      <w:pPr>
        <w:spacing w:line="276" w:lineRule="auto"/>
        <w:jc w:val="both"/>
        <w:rPr>
          <w:rFonts w:eastAsia="Times New Roman"/>
          <w:noProof/>
          <w:szCs w:val="20"/>
          <w:lang w:val="sq-AL"/>
        </w:rPr>
      </w:pPr>
    </w:p>
    <w:p w:rsidR="00B0121D" w:rsidRPr="00D73F43" w:rsidRDefault="00B0121D" w:rsidP="00B0121D">
      <w:pPr>
        <w:spacing w:line="276" w:lineRule="auto"/>
        <w:jc w:val="both"/>
        <w:rPr>
          <w:rFonts w:eastAsia="Times New Roman"/>
          <w:noProof/>
          <w:szCs w:val="20"/>
          <w:lang w:val="sq-AL"/>
        </w:rPr>
      </w:pPr>
      <w:r w:rsidRPr="00D73F43">
        <w:rPr>
          <w:rFonts w:eastAsia="Times New Roman"/>
          <w:b/>
          <w:noProof/>
          <w:szCs w:val="20"/>
          <w:lang w:val="sq-AL"/>
        </w:rPr>
        <w:t>Në lidhje me qëllimin e parë,</w:t>
      </w:r>
      <w:r w:rsidRPr="00D73F43">
        <w:rPr>
          <w:rFonts w:eastAsia="Times New Roman"/>
          <w:noProof/>
          <w:szCs w:val="20"/>
          <w:lang w:val="sq-AL"/>
        </w:rPr>
        <w:t xml:space="preserve">  Komisioni Evropian, në raportet e tij vjetore për Shqipërinë, ka theksuar në mënyrë të përsëritur se Shqipëria e ka zbatuar mirë Marrëveshjen e Stabilizim-Asociimit. Progres është shënuar në elementët politikë të Marrëveshjes së Stabilizim-Asociimit si respektimi i parimeve demokratike dhe shtetit ligjor, të drejtave të njeriut, bashkëpunimit rajonal, etj. </w:t>
      </w:r>
    </w:p>
    <w:p w:rsidR="00B0121D" w:rsidRPr="00D73F43" w:rsidRDefault="00B0121D" w:rsidP="00B0121D">
      <w:pPr>
        <w:spacing w:line="276" w:lineRule="auto"/>
        <w:jc w:val="both"/>
        <w:rPr>
          <w:rFonts w:eastAsia="Times New Roman"/>
          <w:noProof/>
          <w:szCs w:val="20"/>
          <w:lang w:val="sq-AL"/>
        </w:rPr>
      </w:pPr>
    </w:p>
    <w:p w:rsidR="00B0121D" w:rsidRPr="00D73F43" w:rsidRDefault="00B0121D" w:rsidP="00B0121D">
      <w:pPr>
        <w:spacing w:line="276" w:lineRule="auto"/>
        <w:jc w:val="both"/>
        <w:rPr>
          <w:rFonts w:eastAsia="Times New Roman"/>
          <w:noProof/>
          <w:szCs w:val="20"/>
          <w:lang w:val="sq-AL"/>
        </w:rPr>
      </w:pPr>
      <w:r w:rsidRPr="00D73F43">
        <w:rPr>
          <w:rFonts w:eastAsia="Times New Roman"/>
          <w:noProof/>
          <w:szCs w:val="20"/>
          <w:lang w:val="sq-AL"/>
        </w:rPr>
        <w:lastRenderedPageBreak/>
        <w:t xml:space="preserve">Po ashtu, që nga viti 2013, Shqipëria ka përmirësuar treguesit makroekonomikë, ka mbajtur nën kontroll borxhin publik dhe ka zhvilluar më tej marrëdhëniet tregtare me Bashkimin Evropian. Përparim është vërejtur edhe në përafrimin e legjislacionit dhe zbatimin e tij.Për zbatimin e Marrëveshjes së Stabilizim-Asociimit, Ministria e Integrimit Europian ka përditësuar çdo vit Planin Kombëtar për Integrimin Evropian, si dokumentin themelor për programimin e procesit të përafrimit të legjislacionit. </w:t>
      </w:r>
    </w:p>
    <w:p w:rsidR="00B0121D" w:rsidRPr="00D73F43" w:rsidRDefault="00B0121D" w:rsidP="00B0121D">
      <w:pPr>
        <w:spacing w:line="276" w:lineRule="auto"/>
        <w:jc w:val="both"/>
        <w:rPr>
          <w:rFonts w:eastAsia="Times New Roman"/>
          <w:noProof/>
          <w:szCs w:val="20"/>
          <w:lang w:val="sq-AL"/>
        </w:rPr>
      </w:pPr>
    </w:p>
    <w:p w:rsidR="00B0121D" w:rsidRPr="00D73F43" w:rsidRDefault="00B0121D" w:rsidP="00B0121D">
      <w:pPr>
        <w:spacing w:line="276" w:lineRule="auto"/>
        <w:jc w:val="both"/>
        <w:rPr>
          <w:rFonts w:eastAsia="Times New Roman"/>
          <w:noProof/>
          <w:szCs w:val="20"/>
          <w:lang w:val="sq-AL"/>
        </w:rPr>
      </w:pPr>
      <w:r w:rsidRPr="00D73F43">
        <w:rPr>
          <w:rFonts w:eastAsia="Times New Roman"/>
          <w:noProof/>
          <w:szCs w:val="20"/>
          <w:lang w:val="sq-AL"/>
        </w:rPr>
        <w:t xml:space="preserve">Zbatimi i këtij Plani është monitoruar në vazhdimësi . Takimet e institucioneve të përbashkëta Shqipëri – Bashkimi Evropian, të ngritura në kuadër të Marrëveshjes së Stabilizim-Asociimit janë zhvilluar rregullisht, duke paraqitur rezultatet e arritura dhe duke identifikuar rekomandimet për të ardhmen. </w:t>
      </w:r>
    </w:p>
    <w:p w:rsidR="00B0121D" w:rsidRPr="00D73F43" w:rsidRDefault="00B0121D" w:rsidP="00B0121D">
      <w:pPr>
        <w:spacing w:line="276" w:lineRule="auto"/>
        <w:jc w:val="both"/>
        <w:rPr>
          <w:rFonts w:eastAsia="Times New Roman"/>
          <w:noProof/>
          <w:szCs w:val="20"/>
          <w:lang w:val="sq-AL"/>
        </w:rPr>
      </w:pPr>
    </w:p>
    <w:p w:rsidR="00B0121D" w:rsidRPr="00D73F43" w:rsidRDefault="00B0121D" w:rsidP="00B0121D">
      <w:pPr>
        <w:spacing w:line="276" w:lineRule="auto"/>
        <w:jc w:val="both"/>
        <w:rPr>
          <w:rFonts w:eastAsia="Times New Roman"/>
          <w:noProof/>
          <w:szCs w:val="20"/>
          <w:lang w:val="sq-AL"/>
        </w:rPr>
      </w:pPr>
      <w:r w:rsidRPr="00D73F43">
        <w:rPr>
          <w:rFonts w:eastAsia="Times New Roman"/>
          <w:b/>
          <w:noProof/>
          <w:szCs w:val="20"/>
          <w:lang w:val="sq-AL"/>
        </w:rPr>
        <w:t>Për sa i përket qëllimit të dytë</w:t>
      </w:r>
      <w:r w:rsidRPr="00D73F43">
        <w:rPr>
          <w:rFonts w:eastAsia="Times New Roman"/>
          <w:noProof/>
          <w:szCs w:val="20"/>
          <w:lang w:val="sq-AL"/>
        </w:rPr>
        <w:t xml:space="preserve">, theksojmë se Shqipëria është tashmë shtet kandidat që nga muaji Qershor i vitit 2014. Marrja e statusit të vendit kandidat ishte një konfirmim i qartë i seriozitetit të Qeverisë Shqiptare në plotësimin e 5 prioriteteve kyçe të paraqitura në Strategjinë e Zgjerimit të Komisionit Evropian të vitit 2013. </w:t>
      </w:r>
    </w:p>
    <w:p w:rsidR="00B0121D" w:rsidRPr="00D73F43" w:rsidRDefault="00B0121D" w:rsidP="00B0121D">
      <w:pPr>
        <w:spacing w:line="276" w:lineRule="auto"/>
        <w:jc w:val="both"/>
        <w:rPr>
          <w:rFonts w:eastAsia="Times New Roman"/>
          <w:noProof/>
          <w:szCs w:val="20"/>
          <w:lang w:val="sq-AL"/>
        </w:rPr>
      </w:pPr>
    </w:p>
    <w:p w:rsidR="00B0121D" w:rsidRPr="00D73F43" w:rsidRDefault="00B0121D" w:rsidP="00B0121D">
      <w:pPr>
        <w:spacing w:line="276" w:lineRule="auto"/>
        <w:jc w:val="both"/>
        <w:rPr>
          <w:rFonts w:eastAsia="Times New Roman"/>
          <w:noProof/>
          <w:szCs w:val="20"/>
          <w:lang w:val="sq-AL"/>
        </w:rPr>
      </w:pPr>
      <w:r w:rsidRPr="00D73F43">
        <w:rPr>
          <w:rFonts w:eastAsia="Times New Roman"/>
          <w:noProof/>
          <w:szCs w:val="20"/>
          <w:lang w:val="sq-AL"/>
        </w:rPr>
        <w:t>Për realizimin e këtyre 5 prioriteteve, Ministria e Integrimit Evropian koordinoi hartim</w:t>
      </w:r>
      <w:r w:rsidR="006E1DB0">
        <w:rPr>
          <w:rFonts w:eastAsia="Times New Roman"/>
          <w:noProof/>
          <w:szCs w:val="20"/>
          <w:lang w:val="sq-AL"/>
        </w:rPr>
        <w:t>in e një dokumenti të veçantë “</w:t>
      </w:r>
      <w:r w:rsidRPr="00D73F43">
        <w:rPr>
          <w:rFonts w:eastAsia="Times New Roman"/>
          <w:noProof/>
          <w:szCs w:val="20"/>
          <w:lang w:val="sq-AL"/>
        </w:rPr>
        <w:t xml:space="preserve">Udhërrëfyesi për adresimin e 5 prioriteteve”. Zbatimi i detyrave të përfshira në këtë dokument, u monitorua nga Ministria e Integrimit Europian duke hartuar edhe raportimet përkatëse për Qeverinë, Kuvendin e Shqipërisë dhe shërbimet e Komisionit Evropian në Tiranë. </w:t>
      </w:r>
    </w:p>
    <w:p w:rsidR="00B0121D" w:rsidRPr="00D73F43" w:rsidRDefault="00B0121D" w:rsidP="00B0121D">
      <w:pPr>
        <w:spacing w:line="276" w:lineRule="auto"/>
        <w:jc w:val="both"/>
        <w:rPr>
          <w:rFonts w:eastAsia="Times New Roman"/>
          <w:noProof/>
          <w:szCs w:val="20"/>
          <w:lang w:val="sq-AL"/>
        </w:rPr>
      </w:pPr>
    </w:p>
    <w:p w:rsidR="00B0121D" w:rsidRPr="00D73F43" w:rsidRDefault="00B0121D" w:rsidP="00B0121D">
      <w:pPr>
        <w:spacing w:line="276" w:lineRule="auto"/>
        <w:jc w:val="both"/>
        <w:rPr>
          <w:rFonts w:eastAsia="Times New Roman"/>
          <w:noProof/>
          <w:szCs w:val="20"/>
          <w:lang w:val="sq-AL"/>
        </w:rPr>
      </w:pPr>
      <w:r w:rsidRPr="00D73F43">
        <w:rPr>
          <w:rFonts w:eastAsia="Times New Roman"/>
          <w:noProof/>
          <w:szCs w:val="20"/>
          <w:lang w:val="sq-AL"/>
        </w:rPr>
        <w:t>Raportime të veçanta janë bërë për takimet e Dialogut të Nivelit të Lartë, të cilat janë zhvilluar rregullisht dhe në një frymë shumë konstruktive.</w:t>
      </w:r>
    </w:p>
    <w:p w:rsidR="00B0121D" w:rsidRPr="00D73F43" w:rsidRDefault="00B0121D" w:rsidP="00B0121D">
      <w:pPr>
        <w:spacing w:line="276" w:lineRule="auto"/>
        <w:jc w:val="both"/>
        <w:rPr>
          <w:rFonts w:eastAsia="Times New Roman"/>
          <w:noProof/>
          <w:szCs w:val="20"/>
          <w:lang w:val="sq-AL"/>
        </w:rPr>
      </w:pPr>
    </w:p>
    <w:p w:rsidR="00B0121D" w:rsidRPr="00D73F43" w:rsidRDefault="00B0121D" w:rsidP="00B0121D">
      <w:pPr>
        <w:spacing w:line="276" w:lineRule="auto"/>
        <w:jc w:val="both"/>
        <w:rPr>
          <w:rFonts w:eastAsia="Times New Roman"/>
          <w:noProof/>
          <w:szCs w:val="20"/>
          <w:lang w:val="sq-AL"/>
        </w:rPr>
      </w:pPr>
      <w:r w:rsidRPr="00D73F43">
        <w:rPr>
          <w:rFonts w:eastAsia="Times New Roman"/>
          <w:noProof/>
          <w:szCs w:val="20"/>
          <w:lang w:val="sq-AL"/>
        </w:rPr>
        <w:t>Ministria e Integrimit Evropian është duke përgatitur një koncept dokument mbi procesin e negociatave dhe strukturat negociuse të nevojshme. Forcimi i kapaciteteve institucionale do të realizohet kryesisht duke shfrytëzuar asistencën e Bashkimit Evropian. Për strukturat negociuese, Ministria e Integrimit Evropian ka paraqitur kërkesa shtesë për periudhën 2017 – 2019. Ky financim shtesë është i domosdoshëm menjëherë pasi Komisioni të japë rekomandimin për hapjen e negociatave. Financimi shtesë do të përdoret pjesërisht për Kryenegociatorin dhe Zyrën Mbështetëse të tij dhe pjesërisht për të mbuluar shpenzimet korrente. Në tërësi, financimi shtesë do të kontribuojë në plotësimin e detyrave që do të dalin gjatë procesit të negociatave dhe do të demonstrojë për Bashkimin Evropian dhe shtetet anëtare, përkushtimin e Qeverisë Shqiptare në procesin e anëtarësimit.</w:t>
      </w:r>
    </w:p>
    <w:p w:rsidR="00B0121D" w:rsidRPr="00D73F43" w:rsidRDefault="00B0121D" w:rsidP="00B0121D">
      <w:pPr>
        <w:spacing w:line="276" w:lineRule="auto"/>
        <w:jc w:val="both"/>
        <w:rPr>
          <w:rFonts w:eastAsia="Times New Roman"/>
          <w:noProof/>
          <w:szCs w:val="20"/>
          <w:lang w:val="sq-AL"/>
        </w:rPr>
      </w:pPr>
    </w:p>
    <w:p w:rsidR="00B0121D" w:rsidRPr="00D73F43" w:rsidRDefault="00B0121D" w:rsidP="00B0121D">
      <w:pPr>
        <w:tabs>
          <w:tab w:val="left" w:pos="1417"/>
          <w:tab w:val="left" w:pos="2126"/>
          <w:tab w:val="left" w:pos="2835"/>
        </w:tabs>
        <w:spacing w:line="276" w:lineRule="auto"/>
        <w:jc w:val="both"/>
        <w:rPr>
          <w:rFonts w:eastAsia="Times New Roman"/>
          <w:noProof/>
          <w:szCs w:val="20"/>
          <w:lang w:val="sq-AL"/>
        </w:rPr>
      </w:pPr>
      <w:r w:rsidRPr="00D73F43">
        <w:rPr>
          <w:rFonts w:eastAsia="Times New Roman"/>
          <w:b/>
          <w:noProof/>
          <w:szCs w:val="20"/>
          <w:lang w:val="sq-AL"/>
        </w:rPr>
        <w:t>Për sa i takon qëllimit të tretë</w:t>
      </w:r>
      <w:r w:rsidRPr="00D73F43">
        <w:rPr>
          <w:rFonts w:eastAsia="Times New Roman"/>
          <w:noProof/>
          <w:szCs w:val="20"/>
          <w:lang w:val="sq-AL"/>
        </w:rPr>
        <w:t xml:space="preserve"> “Përthithja në shkallën më të lartë e fondeve të asistencës së Bashkimit Evropian”, po vazhdon zbatimi i projekteve/programeve IPA nën menaxhimin e centralizuar (nga DBE) dhe të decentralizuar (nga autoritetet kombëtare). </w:t>
      </w:r>
    </w:p>
    <w:p w:rsidR="00B0121D" w:rsidRPr="00D73F43" w:rsidRDefault="00B0121D" w:rsidP="00B0121D">
      <w:pPr>
        <w:tabs>
          <w:tab w:val="left" w:pos="1417"/>
          <w:tab w:val="left" w:pos="2126"/>
          <w:tab w:val="left" w:pos="2835"/>
        </w:tabs>
        <w:spacing w:line="276" w:lineRule="auto"/>
        <w:jc w:val="both"/>
        <w:rPr>
          <w:rFonts w:eastAsia="Times New Roman"/>
          <w:noProof/>
          <w:szCs w:val="20"/>
          <w:lang w:val="sq-AL"/>
        </w:rPr>
      </w:pPr>
    </w:p>
    <w:p w:rsidR="00B0121D" w:rsidRPr="00D73F43" w:rsidRDefault="00B0121D" w:rsidP="00B0121D">
      <w:pPr>
        <w:tabs>
          <w:tab w:val="left" w:pos="1417"/>
          <w:tab w:val="left" w:pos="2126"/>
          <w:tab w:val="left" w:pos="2835"/>
        </w:tabs>
        <w:spacing w:line="276" w:lineRule="auto"/>
        <w:jc w:val="both"/>
        <w:rPr>
          <w:rFonts w:eastAsia="Times New Roman"/>
          <w:noProof/>
          <w:szCs w:val="20"/>
          <w:lang w:val="sq-AL"/>
        </w:rPr>
      </w:pPr>
      <w:r w:rsidRPr="00D73F43">
        <w:rPr>
          <w:rFonts w:eastAsia="Times New Roman"/>
          <w:noProof/>
          <w:szCs w:val="20"/>
          <w:lang w:val="sq-AL"/>
        </w:rPr>
        <w:t>Gjithashtu, ka filluar zbatimi i programit të parë të mbështetjes buxhetore të Komisionit Evropian për Menaxhimin e Financave Publike nga IPA 2014. Nën këtë të fundit, në muajin Gusht u miratua lëvrimi i transhit të parë fiks dhe pjesërisht të transhit të dytë (variabël), pas plotësimit të suksesshëm të kushteve dhe indikatorëve të reformës në menaxhimin e financave publike, të përcaktuara në Marrëveshjen Financiare IPA 2014.</w:t>
      </w:r>
    </w:p>
    <w:p w:rsidR="00B0121D" w:rsidRPr="00D73F43" w:rsidRDefault="00B0121D" w:rsidP="00B0121D">
      <w:pPr>
        <w:tabs>
          <w:tab w:val="left" w:pos="1417"/>
          <w:tab w:val="left" w:pos="2126"/>
          <w:tab w:val="left" w:pos="2835"/>
        </w:tabs>
        <w:spacing w:line="276" w:lineRule="auto"/>
        <w:jc w:val="both"/>
        <w:rPr>
          <w:rFonts w:eastAsia="Times New Roman"/>
          <w:noProof/>
          <w:szCs w:val="20"/>
          <w:lang w:val="sq-AL"/>
        </w:rPr>
      </w:pPr>
    </w:p>
    <w:p w:rsidR="00B0121D" w:rsidRPr="00D73F43" w:rsidRDefault="00B0121D" w:rsidP="00B0121D">
      <w:pPr>
        <w:tabs>
          <w:tab w:val="left" w:pos="1417"/>
          <w:tab w:val="left" w:pos="2126"/>
          <w:tab w:val="left" w:pos="2835"/>
        </w:tabs>
        <w:spacing w:line="276" w:lineRule="auto"/>
        <w:jc w:val="both"/>
        <w:rPr>
          <w:rFonts w:eastAsia="Times New Roman"/>
          <w:noProof/>
          <w:szCs w:val="20"/>
          <w:lang w:val="sq-AL"/>
        </w:rPr>
      </w:pPr>
      <w:r w:rsidRPr="00D73F43">
        <w:rPr>
          <w:rFonts w:eastAsia="Times New Roman"/>
          <w:noProof/>
          <w:szCs w:val="20"/>
          <w:lang w:val="sq-AL"/>
        </w:rPr>
        <w:t xml:space="preserve">Nën programin IPA 2013 (menaxhim i decentralizuar), strukturat kombëtare kanë finalizuar kontraktimin e 4 projekteve. Dy projektet e fundit priten të kontraktohen brenda vitit 2016. </w:t>
      </w:r>
    </w:p>
    <w:p w:rsidR="00B0121D" w:rsidRPr="00D73F43" w:rsidRDefault="00B0121D" w:rsidP="00B0121D">
      <w:pPr>
        <w:tabs>
          <w:tab w:val="left" w:pos="1417"/>
          <w:tab w:val="left" w:pos="2126"/>
          <w:tab w:val="left" w:pos="2835"/>
        </w:tabs>
        <w:spacing w:line="276" w:lineRule="auto"/>
        <w:jc w:val="both"/>
        <w:rPr>
          <w:rFonts w:eastAsia="Arial Unicode MS"/>
          <w:bCs/>
          <w:noProof/>
          <w:szCs w:val="20"/>
          <w:bdr w:val="none" w:sz="0" w:space="0" w:color="auto" w:frame="1"/>
          <w:lang w:val="sq-AL"/>
        </w:rPr>
      </w:pPr>
    </w:p>
    <w:p w:rsidR="00B0121D" w:rsidRPr="00D73F43" w:rsidRDefault="00B0121D" w:rsidP="00B0121D">
      <w:pPr>
        <w:tabs>
          <w:tab w:val="left" w:pos="1417"/>
          <w:tab w:val="left" w:pos="2126"/>
          <w:tab w:val="left" w:pos="2835"/>
        </w:tabs>
        <w:spacing w:line="276" w:lineRule="auto"/>
        <w:jc w:val="both"/>
        <w:rPr>
          <w:rFonts w:eastAsia="Arial Unicode MS"/>
          <w:bCs/>
          <w:noProof/>
          <w:szCs w:val="20"/>
          <w:bdr w:val="none" w:sz="0" w:space="0" w:color="auto" w:frame="1"/>
          <w:lang w:val="sq-AL"/>
        </w:rPr>
      </w:pPr>
      <w:r w:rsidRPr="00D73F43">
        <w:rPr>
          <w:rFonts w:eastAsia="Arial Unicode MS"/>
          <w:bCs/>
          <w:noProof/>
          <w:szCs w:val="20"/>
          <w:bdr w:val="none" w:sz="0" w:space="0" w:color="auto" w:frame="1"/>
          <w:lang w:val="sq-AL"/>
        </w:rPr>
        <w:lastRenderedPageBreak/>
        <w:t xml:space="preserve">Për sa i takon monitorimit të projekteve, vihet re ulja e numrit të projekteve problematike, zgjidhje më e shpejtë e problemeve si pasojë e një koordinimi më të mirë mes MIE dhe institucioneve përfituese dhe rritjes së frekuencës së përdorimit të instrumenteve monitorues (raportimeve, vizitave në projekt, takimeve koordinuese etj) nga ana e MIE si Koordinator Kombëtar i fondeve të BE-së. </w:t>
      </w:r>
    </w:p>
    <w:p w:rsidR="00B0121D" w:rsidRPr="00D73F43" w:rsidRDefault="00B0121D" w:rsidP="00B0121D">
      <w:pPr>
        <w:tabs>
          <w:tab w:val="left" w:pos="1417"/>
          <w:tab w:val="left" w:pos="2126"/>
          <w:tab w:val="left" w:pos="2835"/>
        </w:tabs>
        <w:spacing w:line="276" w:lineRule="auto"/>
        <w:jc w:val="both"/>
        <w:rPr>
          <w:rFonts w:eastAsia="Times New Roman"/>
          <w:noProof/>
          <w:szCs w:val="20"/>
          <w:lang w:val="sq-AL"/>
        </w:rPr>
      </w:pPr>
    </w:p>
    <w:p w:rsidR="00B0121D" w:rsidRPr="00D73F43" w:rsidRDefault="00B0121D" w:rsidP="00B0121D">
      <w:pPr>
        <w:spacing w:line="276" w:lineRule="auto"/>
        <w:rPr>
          <w:rFonts w:eastAsia="Times New Roman"/>
          <w:noProof/>
          <w:szCs w:val="20"/>
          <w:lang w:val="sq-AL"/>
        </w:rPr>
      </w:pPr>
      <w:r w:rsidRPr="00D73F43">
        <w:rPr>
          <w:rFonts w:eastAsia="Times New Roman"/>
          <w:noProof/>
          <w:szCs w:val="20"/>
          <w:lang w:val="sq-AL"/>
        </w:rPr>
        <w:t>Lidhur me Programet e Bashkëpunimit Ndërkufitar dhe Transnacional, MIE vijon koordinimin e punës për përmbushjen e të gjitha objektivave që rrjedhin nga pjesëmarrja e Shqipërisë në këto programe. Konkretisht programet në të cilat merr pjesë Shqipëria dhe që janë miratuar nga Komisioni Evropian janë: Shqipëri-Kosovë, Maqedoni-Shqipëri, Mali i Zi-Shqipëri, Greqi-Shqipëri, Adrion, MED, Balkan-MED dhe Programi Trilateral Itali-Shqipëri-Mali i Zi. Janë organizuar edhe sesione informuese për aktorët e interesuar në kuadër të shpalljes së thirrjeve për projekt- propozime të disa prej programeve.</w:t>
      </w:r>
    </w:p>
    <w:p w:rsidR="00B0121D" w:rsidRPr="00D73F43" w:rsidRDefault="00B0121D" w:rsidP="00B0121D">
      <w:pPr>
        <w:spacing w:line="276" w:lineRule="auto"/>
        <w:jc w:val="both"/>
        <w:rPr>
          <w:rFonts w:eastAsia="Times New Roman"/>
          <w:noProof/>
          <w:szCs w:val="20"/>
          <w:lang w:val="sq-AL"/>
        </w:rPr>
      </w:pPr>
    </w:p>
    <w:p w:rsidR="00B0121D" w:rsidRPr="00D73F43" w:rsidRDefault="00B0121D" w:rsidP="00B0121D">
      <w:pPr>
        <w:spacing w:line="276" w:lineRule="auto"/>
        <w:jc w:val="both"/>
        <w:rPr>
          <w:rFonts w:eastAsia="Times New Roman"/>
          <w:noProof/>
          <w:szCs w:val="20"/>
          <w:lang w:val="sq-AL" w:eastAsia="en-GB"/>
        </w:rPr>
      </w:pPr>
    </w:p>
    <w:p w:rsidR="00B0121D" w:rsidRPr="00D73F43" w:rsidRDefault="00642658" w:rsidP="00B0121D">
      <w:pPr>
        <w:rPr>
          <w:rFonts w:eastAsia="MS Mincho"/>
          <w:b/>
          <w:noProof/>
          <w:szCs w:val="20"/>
          <w:lang w:val="sq-AL"/>
        </w:rPr>
      </w:pPr>
      <w:r>
        <w:rPr>
          <w:rFonts w:eastAsia="MS Mincho"/>
          <w:b/>
          <w:noProof/>
          <w:szCs w:val="20"/>
          <w:lang w:val="sq-AL"/>
        </w:rPr>
        <w:t>4.</w:t>
      </w:r>
      <w:r w:rsidR="00B0121D" w:rsidRPr="00D73F43">
        <w:rPr>
          <w:rFonts w:eastAsia="MS Mincho"/>
          <w:b/>
          <w:noProof/>
          <w:szCs w:val="20"/>
          <w:lang w:val="sq-AL"/>
        </w:rPr>
        <w:t>14.3 Prioritetet e projekt-buxhetit 2017</w:t>
      </w:r>
    </w:p>
    <w:p w:rsidR="00B0121D" w:rsidRPr="00D73F43" w:rsidRDefault="00B0121D" w:rsidP="00B0121D">
      <w:pPr>
        <w:spacing w:line="276" w:lineRule="auto"/>
        <w:jc w:val="both"/>
        <w:rPr>
          <w:rFonts w:eastAsia="Times New Roman"/>
          <w:noProof/>
          <w:szCs w:val="20"/>
          <w:lang w:val="sq-AL"/>
        </w:rPr>
      </w:pPr>
    </w:p>
    <w:p w:rsidR="00B0121D" w:rsidRPr="00D73F43" w:rsidRDefault="00B0121D" w:rsidP="00534AA6">
      <w:pPr>
        <w:numPr>
          <w:ilvl w:val="0"/>
          <w:numId w:val="50"/>
        </w:numPr>
        <w:suppressAutoHyphens/>
        <w:spacing w:line="276" w:lineRule="auto"/>
        <w:jc w:val="both"/>
        <w:rPr>
          <w:rFonts w:eastAsia="Times New Roman"/>
          <w:noProof/>
          <w:szCs w:val="20"/>
          <w:lang w:val="sq-AL"/>
        </w:rPr>
      </w:pPr>
      <w:r w:rsidRPr="00D73F43">
        <w:rPr>
          <w:rFonts w:eastAsia="Times New Roman"/>
          <w:noProof/>
          <w:szCs w:val="20"/>
          <w:lang w:val="sq-AL"/>
        </w:rPr>
        <w:t xml:space="preserve">Miratimi i ndryshimeve kushtetuese, ligjit “Për Rivlerësimin Kalimtar të Gjyqtarëve dhe Prokurorëve” (Ligji i vettingut), ligjit “Për organizimin dhe funksionimin e institucioneve në luftën kundër  korrupsionit dhe krimit të organizuar”, etj, janë hapa përcaktues drejt marrjes së rekomandimit të Komisionit Evropian për hapjen e negociatave të anëtarësimit. Ky rekomandim do të plotësonte tërësisht programin e Qeverisë Shqiptare në fushën e integrimit evropian për periudhën 2017 – 2019. Në këtë kuadër, prioritet për Ministrinë e Integrimit Europian është përgatitja e Qeverisë shqiptare për procesin e negociatave. </w:t>
      </w:r>
    </w:p>
    <w:p w:rsidR="00B0121D" w:rsidRPr="00D73F43" w:rsidRDefault="00B0121D" w:rsidP="00B0121D">
      <w:pPr>
        <w:spacing w:line="276" w:lineRule="auto"/>
        <w:ind w:left="360"/>
        <w:jc w:val="both"/>
        <w:rPr>
          <w:rFonts w:eastAsia="Times New Roman"/>
          <w:b/>
          <w:noProof/>
          <w:szCs w:val="20"/>
          <w:lang w:val="sq-AL" w:eastAsia="en-GB"/>
        </w:rPr>
      </w:pPr>
    </w:p>
    <w:p w:rsidR="00B0121D" w:rsidRPr="00D73F43" w:rsidRDefault="00B0121D" w:rsidP="00534AA6">
      <w:pPr>
        <w:numPr>
          <w:ilvl w:val="0"/>
          <w:numId w:val="50"/>
        </w:numPr>
        <w:suppressAutoHyphens/>
        <w:spacing w:line="276" w:lineRule="auto"/>
        <w:jc w:val="both"/>
        <w:rPr>
          <w:rFonts w:eastAsia="Times New Roman"/>
          <w:noProof/>
          <w:szCs w:val="20"/>
          <w:lang w:val="sq-AL" w:eastAsia="en-GB"/>
        </w:rPr>
      </w:pPr>
      <w:r w:rsidRPr="00D73F43">
        <w:rPr>
          <w:rFonts w:eastAsia="Times New Roman"/>
          <w:noProof/>
          <w:szCs w:val="20"/>
          <w:lang w:val="sq-AL" w:eastAsia="en-GB"/>
        </w:rPr>
        <w:t xml:space="preserve">Objektivi kryesor është rritja e eficencës dhe aftësisë për përthithjen e fondeve të BE në Shqipëri, nëpërmjet përmirësimit të procesit të monitorimit të zbatimit të Programeve/projekteve të BNK dhe “Transnacional”. </w:t>
      </w:r>
    </w:p>
    <w:p w:rsidR="00B0121D" w:rsidRPr="00D73F43" w:rsidRDefault="00B0121D" w:rsidP="00B0121D">
      <w:pPr>
        <w:ind w:left="720"/>
        <w:contextualSpacing/>
        <w:rPr>
          <w:rFonts w:eastAsia="Times New Roman"/>
          <w:noProof/>
          <w:szCs w:val="20"/>
          <w:lang w:val="sq-AL" w:eastAsia="en-GB"/>
        </w:rPr>
      </w:pPr>
    </w:p>
    <w:p w:rsidR="00B0121D" w:rsidRPr="00D73F43" w:rsidRDefault="00B0121D" w:rsidP="00534AA6">
      <w:pPr>
        <w:numPr>
          <w:ilvl w:val="0"/>
          <w:numId w:val="50"/>
        </w:numPr>
        <w:suppressAutoHyphens/>
        <w:spacing w:line="276" w:lineRule="auto"/>
        <w:jc w:val="both"/>
        <w:rPr>
          <w:rFonts w:eastAsia="Times New Roman"/>
          <w:noProof/>
          <w:szCs w:val="20"/>
          <w:lang w:val="sq-AL" w:eastAsia="en-GB"/>
        </w:rPr>
      </w:pPr>
      <w:r w:rsidRPr="00D73F43">
        <w:rPr>
          <w:rFonts w:eastAsia="Times New Roman"/>
          <w:noProof/>
          <w:szCs w:val="20"/>
          <w:lang w:val="sq-AL" w:eastAsia="en-GB"/>
        </w:rPr>
        <w:t xml:space="preserve">Ministria e Integrimit Europian nëpërmjet strukturave të saj do të vijojë monitorimin e vazhdueshëm të ecurisë së projekteve në zbatim dhe do të ndërmjetësojë në zgjidhjen e rasteve problematike, të cilën janë reduktuar në vitet e fundit fal një koordinimi më të mirë me përfituesit. Për këtë qëllim, do të vijojnë vizitat monitoruese dhe eventet për rritjen e kapaciteteve të përfituesve (Autoritetet lokale dhe Organizatat). </w:t>
      </w:r>
    </w:p>
    <w:p w:rsidR="00B0121D" w:rsidRPr="00D73F43" w:rsidRDefault="00B0121D" w:rsidP="00B0121D">
      <w:pPr>
        <w:ind w:left="720"/>
        <w:contextualSpacing/>
        <w:rPr>
          <w:rFonts w:eastAsia="Times New Roman"/>
          <w:noProof/>
          <w:szCs w:val="20"/>
          <w:lang w:val="sq-AL"/>
        </w:rPr>
      </w:pPr>
    </w:p>
    <w:p w:rsidR="00B0121D" w:rsidRPr="00D73F43" w:rsidRDefault="00B0121D" w:rsidP="00B0121D">
      <w:pPr>
        <w:rPr>
          <w:rFonts w:eastAsia="Times New Roman"/>
          <w:b/>
          <w:szCs w:val="26"/>
          <w:lang w:val="sq-AL"/>
        </w:rPr>
      </w:pPr>
    </w:p>
    <w:p w:rsidR="00B0121D" w:rsidRPr="00D73F43" w:rsidRDefault="00B0121D" w:rsidP="00534AA6">
      <w:pPr>
        <w:pStyle w:val="Heading1"/>
        <w:numPr>
          <w:ilvl w:val="0"/>
          <w:numId w:val="37"/>
        </w:numPr>
        <w:tabs>
          <w:tab w:val="clear" w:pos="5954"/>
          <w:tab w:val="center" w:pos="426"/>
        </w:tabs>
        <w:spacing w:line="276" w:lineRule="auto"/>
        <w:jc w:val="both"/>
        <w:rPr>
          <w:bCs/>
          <w:iCs/>
          <w:caps w:val="0"/>
          <w:sz w:val="28"/>
          <w:lang w:val="sq-AL"/>
        </w:rPr>
      </w:pPr>
      <w:bookmarkStart w:id="156" w:name="_Toc466445486"/>
      <w:r w:rsidRPr="00D73F43">
        <w:rPr>
          <w:bCs/>
          <w:iCs/>
          <w:caps w:val="0"/>
          <w:sz w:val="28"/>
          <w:lang w:val="sq-AL"/>
        </w:rPr>
        <w:t>REFORMAT NË BUXHETIN 2017</w:t>
      </w:r>
      <w:bookmarkEnd w:id="156"/>
    </w:p>
    <w:p w:rsidR="00B0121D" w:rsidRPr="00D73F43" w:rsidRDefault="00B0121D" w:rsidP="00B0121D">
      <w:pPr>
        <w:rPr>
          <w:lang w:val="sq-AL"/>
        </w:rPr>
      </w:pPr>
    </w:p>
    <w:p w:rsidR="00B0121D" w:rsidRDefault="00CB089C" w:rsidP="00CB089C">
      <w:pPr>
        <w:pStyle w:val="Heading2"/>
        <w:rPr>
          <w:rFonts w:ascii="Times New Roman" w:hAnsi="Times New Roman"/>
          <w:i w:val="0"/>
        </w:rPr>
      </w:pPr>
      <w:bookmarkStart w:id="157" w:name="_Toc466445487"/>
      <w:r w:rsidRPr="006D51B9">
        <w:rPr>
          <w:rFonts w:ascii="Times New Roman" w:hAnsi="Times New Roman"/>
          <w:i w:val="0"/>
        </w:rPr>
        <w:t xml:space="preserve">5.1 </w:t>
      </w:r>
      <w:r w:rsidR="00B0121D" w:rsidRPr="006D51B9">
        <w:rPr>
          <w:rFonts w:ascii="Times New Roman" w:hAnsi="Times New Roman"/>
          <w:i w:val="0"/>
        </w:rPr>
        <w:t>REFORMA NË SEKTORIN E UJIT</w:t>
      </w:r>
      <w:bookmarkEnd w:id="157"/>
    </w:p>
    <w:p w:rsidR="006D51B9" w:rsidRPr="006D51B9" w:rsidRDefault="006D51B9" w:rsidP="006D51B9"/>
    <w:p w:rsidR="00B0121D" w:rsidRPr="00D73F43" w:rsidRDefault="00B0121D" w:rsidP="006D51B9">
      <w:pPr>
        <w:spacing w:line="276" w:lineRule="auto"/>
        <w:contextualSpacing/>
        <w:jc w:val="both"/>
        <w:rPr>
          <w:lang w:val="sq-AL"/>
        </w:rPr>
      </w:pPr>
      <w:r w:rsidRPr="00D73F43">
        <w:rPr>
          <w:lang w:val="sq-AL"/>
        </w:rPr>
        <w:t>Burimet e ujit të pijshëm konsiderohen si një nga burimet natyrore kryesore të vendit tonë. Kapaciteti aktual i burimeve ujore në Republikën e Shqipërisë është 500 milion/m³ në vit. Ky kapacitet tejkalon 2 herë nevojën e furnizimit me ujë për të gjithë popullatën, e cila shkon në 217 milion/m³ në vit. Aktualisht prodhohet rreth 277 milion/m³ në vit</w:t>
      </w:r>
      <w:r w:rsidRPr="00D73F43">
        <w:rPr>
          <w:rStyle w:val="FootnoteReference"/>
          <w:lang w:val="sq-AL"/>
        </w:rPr>
        <w:footnoteReference w:id="1"/>
      </w:r>
      <w:r w:rsidRPr="00D73F43">
        <w:rPr>
          <w:lang w:val="sq-AL"/>
        </w:rPr>
        <w:t xml:space="preserve">, e cila e tejkalon me rreth 28% (60 milion/m³ në vit) nevojën aktuale për ujë të pijshëm. </w:t>
      </w:r>
    </w:p>
    <w:p w:rsidR="00B0121D" w:rsidRPr="00D73F43" w:rsidRDefault="00B0121D" w:rsidP="00B0121D">
      <w:pPr>
        <w:contextualSpacing/>
        <w:jc w:val="both"/>
        <w:rPr>
          <w:lang w:val="sq-AL"/>
        </w:rPr>
      </w:pPr>
    </w:p>
    <w:p w:rsidR="00B0121D" w:rsidRPr="00D73F43" w:rsidRDefault="00B0121D" w:rsidP="00534AA6">
      <w:pPr>
        <w:numPr>
          <w:ilvl w:val="0"/>
          <w:numId w:val="19"/>
        </w:numPr>
        <w:spacing w:line="276" w:lineRule="auto"/>
        <w:contextualSpacing/>
        <w:jc w:val="both"/>
        <w:rPr>
          <w:b/>
          <w:lang w:val="sq-AL"/>
        </w:rPr>
      </w:pPr>
      <w:r w:rsidRPr="00D73F43">
        <w:rPr>
          <w:b/>
          <w:lang w:val="sq-AL"/>
        </w:rPr>
        <w:t>Problematika e sektorit</w:t>
      </w:r>
    </w:p>
    <w:p w:rsidR="00B0121D" w:rsidRPr="00D73F43" w:rsidRDefault="00B0121D" w:rsidP="006D51B9">
      <w:pPr>
        <w:spacing w:line="276" w:lineRule="auto"/>
        <w:contextualSpacing/>
        <w:jc w:val="both"/>
        <w:rPr>
          <w:lang w:val="sq-AL"/>
        </w:rPr>
      </w:pPr>
      <w:r w:rsidRPr="00D73F43">
        <w:rPr>
          <w:lang w:val="sq-AL"/>
        </w:rPr>
        <w:t xml:space="preserve">Sektori i ujit aktualisht karakterizohet nga një sërë problematikash të lidhura së pari, me ofrimin e shërbimit në mënyrë tepër të copëzuar dhe së dyti, ofrimi në disa raste i shërbimit në mënyrë të palicensuar. Kjo e fundit lidhet me periudhën përpara realizimit të reformës territoriale administrative, kur komunat, si njësi të qeverisjes vendore, ofronin këtë shërbim, ndaj popullsisë në juridiksionin e tyre në shumicën e rasteve në mënyrë të palicensuar. </w:t>
      </w:r>
    </w:p>
    <w:p w:rsidR="00B0121D" w:rsidRPr="00D73F43" w:rsidRDefault="00B0121D" w:rsidP="006D51B9">
      <w:pPr>
        <w:spacing w:line="276" w:lineRule="auto"/>
        <w:contextualSpacing/>
        <w:jc w:val="both"/>
        <w:rPr>
          <w:lang w:val="sq-AL"/>
        </w:rPr>
      </w:pPr>
    </w:p>
    <w:p w:rsidR="00B0121D" w:rsidRPr="00D73F43" w:rsidRDefault="00B0121D" w:rsidP="006D51B9">
      <w:pPr>
        <w:spacing w:line="276" w:lineRule="auto"/>
        <w:contextualSpacing/>
        <w:jc w:val="both"/>
        <w:rPr>
          <w:lang w:val="sq-AL"/>
        </w:rPr>
      </w:pPr>
      <w:r w:rsidRPr="00D73F43">
        <w:rPr>
          <w:lang w:val="sq-AL"/>
        </w:rPr>
        <w:t>Më poshtë renditen në mënyrë të detajuar problematikat e sektorit:</w:t>
      </w:r>
    </w:p>
    <w:p w:rsidR="00B0121D" w:rsidRPr="00D73F43" w:rsidRDefault="00B0121D" w:rsidP="006D51B9">
      <w:pPr>
        <w:spacing w:line="276" w:lineRule="auto"/>
        <w:contextualSpacing/>
        <w:jc w:val="both"/>
        <w:rPr>
          <w:lang w:val="sq-AL"/>
        </w:rPr>
      </w:pPr>
    </w:p>
    <w:p w:rsidR="00B0121D" w:rsidRPr="00D73F43" w:rsidRDefault="00B0121D" w:rsidP="00534AA6">
      <w:pPr>
        <w:numPr>
          <w:ilvl w:val="0"/>
          <w:numId w:val="11"/>
        </w:numPr>
        <w:spacing w:line="276" w:lineRule="auto"/>
        <w:ind w:left="900"/>
        <w:contextualSpacing/>
        <w:jc w:val="both"/>
        <w:rPr>
          <w:lang w:val="sq-AL"/>
        </w:rPr>
      </w:pPr>
      <w:r w:rsidRPr="00D73F43">
        <w:rPr>
          <w:lang w:val="sq-AL"/>
        </w:rPr>
        <w:t>Nga prodhimi prej 277 milion/m³ në vit, vetëm 92 milion milion/m³ në vit gjenerojnë të ardhura. Pjesa tjetër, që përbën 67%, është  humbje shpesh e pajustifikuar.</w:t>
      </w:r>
    </w:p>
    <w:p w:rsidR="00B0121D" w:rsidRPr="00D73F43" w:rsidRDefault="00B0121D" w:rsidP="006D51B9">
      <w:pPr>
        <w:spacing w:line="276" w:lineRule="auto"/>
        <w:contextualSpacing/>
        <w:jc w:val="both"/>
        <w:rPr>
          <w:lang w:val="sq-AL"/>
        </w:rPr>
      </w:pPr>
    </w:p>
    <w:p w:rsidR="00B0121D" w:rsidRPr="00D73F43" w:rsidRDefault="00B0121D" w:rsidP="00534AA6">
      <w:pPr>
        <w:numPr>
          <w:ilvl w:val="0"/>
          <w:numId w:val="11"/>
        </w:numPr>
        <w:spacing w:line="276" w:lineRule="auto"/>
        <w:ind w:left="900"/>
        <w:contextualSpacing/>
        <w:jc w:val="both"/>
        <w:rPr>
          <w:lang w:val="sq-AL"/>
        </w:rPr>
      </w:pPr>
      <w:r w:rsidRPr="00D73F43">
        <w:rPr>
          <w:lang w:val="sq-AL"/>
        </w:rPr>
        <w:t>Aksesi me Shërbimet Ujësjellës – Kanalizime – Trajtim i ujrave të ndotura, rezulton i pamjaftueshëm:</w:t>
      </w:r>
    </w:p>
    <w:p w:rsidR="00B0121D" w:rsidRPr="00D73F43" w:rsidRDefault="00B0121D" w:rsidP="00534AA6">
      <w:pPr>
        <w:numPr>
          <w:ilvl w:val="1"/>
          <w:numId w:val="11"/>
        </w:numPr>
        <w:spacing w:line="276" w:lineRule="auto"/>
        <w:ind w:left="1620"/>
        <w:contextualSpacing/>
        <w:jc w:val="both"/>
        <w:rPr>
          <w:lang w:val="sq-AL"/>
        </w:rPr>
      </w:pPr>
      <w:r w:rsidRPr="00D73F43">
        <w:rPr>
          <w:lang w:val="sq-AL"/>
        </w:rPr>
        <w:t>Mbulimi me Ujësjellës  rreth      80%</w:t>
      </w:r>
    </w:p>
    <w:p w:rsidR="00B0121D" w:rsidRPr="00D73F43" w:rsidRDefault="00B0121D" w:rsidP="00534AA6">
      <w:pPr>
        <w:numPr>
          <w:ilvl w:val="1"/>
          <w:numId w:val="11"/>
        </w:numPr>
        <w:spacing w:line="276" w:lineRule="auto"/>
        <w:ind w:left="1620"/>
        <w:contextualSpacing/>
        <w:jc w:val="both"/>
        <w:rPr>
          <w:lang w:val="sq-AL"/>
        </w:rPr>
      </w:pPr>
      <w:r w:rsidRPr="00D73F43">
        <w:rPr>
          <w:lang w:val="sq-AL"/>
        </w:rPr>
        <w:t>Mbulimi me kanalizime              62%</w:t>
      </w:r>
    </w:p>
    <w:p w:rsidR="00B0121D" w:rsidRPr="00D73F43" w:rsidRDefault="00B0121D" w:rsidP="00534AA6">
      <w:pPr>
        <w:numPr>
          <w:ilvl w:val="1"/>
          <w:numId w:val="11"/>
        </w:numPr>
        <w:spacing w:line="276" w:lineRule="auto"/>
        <w:ind w:left="1620"/>
        <w:contextualSpacing/>
        <w:jc w:val="both"/>
        <w:rPr>
          <w:lang w:val="sq-AL"/>
        </w:rPr>
      </w:pPr>
      <w:r w:rsidRPr="00D73F43">
        <w:rPr>
          <w:lang w:val="sq-AL"/>
        </w:rPr>
        <w:t xml:space="preserve">Mbulimi me ITUN                      13%    </w:t>
      </w:r>
    </w:p>
    <w:p w:rsidR="00B0121D" w:rsidRPr="00D73F43" w:rsidRDefault="00B0121D" w:rsidP="006D51B9">
      <w:pPr>
        <w:spacing w:line="276" w:lineRule="auto"/>
        <w:contextualSpacing/>
        <w:jc w:val="both"/>
        <w:rPr>
          <w:lang w:val="sq-AL"/>
        </w:rPr>
      </w:pPr>
    </w:p>
    <w:p w:rsidR="00B0121D" w:rsidRPr="00D73F43" w:rsidRDefault="00B0121D" w:rsidP="00534AA6">
      <w:pPr>
        <w:numPr>
          <w:ilvl w:val="0"/>
          <w:numId w:val="17"/>
        </w:numPr>
        <w:spacing w:line="276" w:lineRule="auto"/>
        <w:ind w:left="900"/>
        <w:contextualSpacing/>
        <w:jc w:val="both"/>
        <w:rPr>
          <w:lang w:val="sq-AL"/>
        </w:rPr>
      </w:pPr>
      <w:r w:rsidRPr="00D73F43">
        <w:rPr>
          <w:lang w:val="sq-AL"/>
        </w:rPr>
        <w:t>Performanca financiare, paraqitet përgjithësisht e dobët:</w:t>
      </w:r>
    </w:p>
    <w:p w:rsidR="00B0121D" w:rsidRPr="00D73F43" w:rsidRDefault="00B0121D" w:rsidP="00534AA6">
      <w:pPr>
        <w:numPr>
          <w:ilvl w:val="0"/>
          <w:numId w:val="16"/>
        </w:numPr>
        <w:spacing w:line="276" w:lineRule="auto"/>
        <w:contextualSpacing/>
        <w:jc w:val="both"/>
        <w:rPr>
          <w:lang w:val="sq-AL"/>
        </w:rPr>
      </w:pPr>
      <w:r w:rsidRPr="00D73F43">
        <w:rPr>
          <w:lang w:val="sq-AL"/>
        </w:rPr>
        <w:t xml:space="preserve">Mbulimi i Kostos Totale të Operimit (KTO) me të ardhurat       </w:t>
      </w:r>
      <w:r w:rsidRPr="00D73F43">
        <w:rPr>
          <w:lang w:val="sq-AL"/>
        </w:rPr>
        <w:tab/>
        <w:t xml:space="preserve">                     </w:t>
      </w:r>
      <w:r w:rsidR="00480EA8">
        <w:rPr>
          <w:lang w:val="sq-AL"/>
        </w:rPr>
        <w:t xml:space="preserve"> </w:t>
      </w:r>
      <w:r w:rsidRPr="00D73F43">
        <w:rPr>
          <w:lang w:val="sq-AL"/>
        </w:rPr>
        <w:t>75%</w:t>
      </w:r>
    </w:p>
    <w:p w:rsidR="00B0121D" w:rsidRPr="00D73F43" w:rsidRDefault="00B0121D" w:rsidP="00534AA6">
      <w:pPr>
        <w:numPr>
          <w:ilvl w:val="0"/>
          <w:numId w:val="16"/>
        </w:numPr>
        <w:spacing w:line="276" w:lineRule="auto"/>
        <w:contextualSpacing/>
        <w:jc w:val="both"/>
        <w:rPr>
          <w:lang w:val="sq-AL"/>
        </w:rPr>
      </w:pPr>
      <w:r w:rsidRPr="00D73F43">
        <w:rPr>
          <w:lang w:val="sq-AL"/>
        </w:rPr>
        <w:t xml:space="preserve">Mbulimi i KTO me arkëtime           </w:t>
      </w:r>
      <w:r w:rsidRPr="00D73F43">
        <w:rPr>
          <w:lang w:val="sq-AL"/>
        </w:rPr>
        <w:tab/>
      </w:r>
      <w:r w:rsidRPr="00D73F43">
        <w:rPr>
          <w:lang w:val="sq-AL"/>
        </w:rPr>
        <w:tab/>
      </w:r>
      <w:r w:rsidRPr="00D73F43">
        <w:rPr>
          <w:lang w:val="sq-AL"/>
        </w:rPr>
        <w:tab/>
      </w:r>
      <w:r w:rsidRPr="00D73F43">
        <w:rPr>
          <w:lang w:val="sq-AL"/>
        </w:rPr>
        <w:tab/>
      </w:r>
      <w:r w:rsidRPr="00D73F43">
        <w:rPr>
          <w:lang w:val="sq-AL"/>
        </w:rPr>
        <w:tab/>
        <w:t xml:space="preserve">       </w:t>
      </w:r>
      <w:r w:rsidR="00890180">
        <w:rPr>
          <w:lang w:val="sq-AL"/>
        </w:rPr>
        <w:t xml:space="preserve">   </w:t>
      </w:r>
      <w:r w:rsidRPr="00D73F43">
        <w:rPr>
          <w:lang w:val="sq-AL"/>
        </w:rPr>
        <w:t>69 %</w:t>
      </w:r>
    </w:p>
    <w:p w:rsidR="00B0121D" w:rsidRPr="00D73F43" w:rsidRDefault="00B0121D" w:rsidP="00534AA6">
      <w:pPr>
        <w:numPr>
          <w:ilvl w:val="0"/>
          <w:numId w:val="16"/>
        </w:numPr>
        <w:spacing w:line="276" w:lineRule="auto"/>
        <w:contextualSpacing/>
        <w:jc w:val="both"/>
        <w:rPr>
          <w:lang w:val="sq-AL"/>
        </w:rPr>
      </w:pPr>
      <w:r w:rsidRPr="00D73F43">
        <w:rPr>
          <w:lang w:val="sq-AL"/>
        </w:rPr>
        <w:t xml:space="preserve">Mbulimi i KTO me subvencione      </w:t>
      </w:r>
      <w:r w:rsidRPr="00D73F43">
        <w:rPr>
          <w:lang w:val="sq-AL"/>
        </w:rPr>
        <w:tab/>
      </w:r>
      <w:r w:rsidRPr="00D73F43">
        <w:rPr>
          <w:lang w:val="sq-AL"/>
        </w:rPr>
        <w:tab/>
      </w:r>
      <w:r w:rsidRPr="00D73F43">
        <w:rPr>
          <w:lang w:val="sq-AL"/>
        </w:rPr>
        <w:tab/>
      </w:r>
      <w:r w:rsidRPr="00D73F43">
        <w:rPr>
          <w:lang w:val="sq-AL"/>
        </w:rPr>
        <w:tab/>
      </w:r>
      <w:r w:rsidRPr="00D73F43">
        <w:rPr>
          <w:lang w:val="sq-AL"/>
        </w:rPr>
        <w:tab/>
        <w:t xml:space="preserve">          </w:t>
      </w:r>
      <w:r w:rsidR="00890180">
        <w:rPr>
          <w:lang w:val="sq-AL"/>
        </w:rPr>
        <w:t xml:space="preserve">  </w:t>
      </w:r>
      <w:r w:rsidRPr="00D73F43">
        <w:rPr>
          <w:lang w:val="sq-AL"/>
        </w:rPr>
        <w:t>5%</w:t>
      </w:r>
    </w:p>
    <w:p w:rsidR="00B0121D" w:rsidRPr="00D73F43" w:rsidRDefault="00B0121D" w:rsidP="00534AA6">
      <w:pPr>
        <w:numPr>
          <w:ilvl w:val="0"/>
          <w:numId w:val="16"/>
        </w:numPr>
        <w:spacing w:line="276" w:lineRule="auto"/>
        <w:contextualSpacing/>
        <w:jc w:val="both"/>
        <w:rPr>
          <w:u w:val="single"/>
          <w:lang w:val="sq-AL"/>
        </w:rPr>
      </w:pPr>
      <w:r w:rsidRPr="00D73F43">
        <w:rPr>
          <w:lang w:val="sq-AL"/>
        </w:rPr>
        <w:t xml:space="preserve">KTO e pambuluar                                                               </w:t>
      </w:r>
      <w:r w:rsidRPr="00D73F43">
        <w:rPr>
          <w:u w:val="single"/>
          <w:lang w:val="sq-AL"/>
        </w:rPr>
        <w:t>(</w:t>
      </w:r>
      <w:r w:rsidRPr="00D73F43">
        <w:rPr>
          <w:lang w:val="sq-AL"/>
        </w:rPr>
        <w:t>1.2 miliardë lekë)  20%</w:t>
      </w:r>
    </w:p>
    <w:p w:rsidR="00B0121D" w:rsidRPr="00D73F43" w:rsidRDefault="00B0121D" w:rsidP="006D51B9">
      <w:pPr>
        <w:spacing w:line="276" w:lineRule="auto"/>
        <w:ind w:firstLine="720"/>
        <w:contextualSpacing/>
        <w:jc w:val="both"/>
        <w:rPr>
          <w:lang w:val="sq-AL"/>
        </w:rPr>
      </w:pPr>
    </w:p>
    <w:p w:rsidR="00B0121D" w:rsidRPr="00D73F43" w:rsidRDefault="00B0121D" w:rsidP="00534AA6">
      <w:pPr>
        <w:numPr>
          <w:ilvl w:val="0"/>
          <w:numId w:val="17"/>
        </w:numPr>
        <w:spacing w:line="276" w:lineRule="auto"/>
        <w:ind w:left="900"/>
        <w:contextualSpacing/>
        <w:jc w:val="both"/>
        <w:rPr>
          <w:lang w:val="sq-AL"/>
        </w:rPr>
      </w:pPr>
      <w:r w:rsidRPr="00D73F43">
        <w:rPr>
          <w:lang w:val="sq-AL"/>
        </w:rPr>
        <w:t>Niveli i matjes së prodhimit 36% dhe niveli i shitjes 61%, rezulton shumë i ulët.</w:t>
      </w:r>
    </w:p>
    <w:p w:rsidR="00B0121D" w:rsidRPr="00D73F43" w:rsidRDefault="00B0121D" w:rsidP="00534AA6">
      <w:pPr>
        <w:numPr>
          <w:ilvl w:val="0"/>
          <w:numId w:val="17"/>
        </w:numPr>
        <w:spacing w:line="276" w:lineRule="auto"/>
        <w:ind w:left="900"/>
        <w:contextualSpacing/>
        <w:jc w:val="both"/>
        <w:rPr>
          <w:lang w:val="sq-AL"/>
        </w:rPr>
      </w:pPr>
      <w:r w:rsidRPr="00D73F43">
        <w:rPr>
          <w:lang w:val="sq-AL"/>
        </w:rPr>
        <w:t>Kohëzgjatja mesatere e furnizimit me ujë 12.1 orë/ditë.</w:t>
      </w:r>
    </w:p>
    <w:p w:rsidR="00B0121D" w:rsidRPr="00D73F43" w:rsidRDefault="00B0121D" w:rsidP="00534AA6">
      <w:pPr>
        <w:numPr>
          <w:ilvl w:val="0"/>
          <w:numId w:val="17"/>
        </w:numPr>
        <w:spacing w:line="276" w:lineRule="auto"/>
        <w:ind w:left="900"/>
        <w:contextualSpacing/>
        <w:jc w:val="both"/>
        <w:rPr>
          <w:lang w:val="sq-AL"/>
        </w:rPr>
      </w:pPr>
      <w:r w:rsidRPr="00D73F43">
        <w:rPr>
          <w:lang w:val="sq-AL"/>
        </w:rPr>
        <w:t>Ekzistojnë kategori të konsumatorë, që nuk paguajnë 100% për shërbimet që marrin.</w:t>
      </w:r>
    </w:p>
    <w:p w:rsidR="00B0121D" w:rsidRPr="00D73F43" w:rsidRDefault="00B0121D" w:rsidP="00534AA6">
      <w:pPr>
        <w:numPr>
          <w:ilvl w:val="0"/>
          <w:numId w:val="17"/>
        </w:numPr>
        <w:spacing w:line="276" w:lineRule="auto"/>
        <w:ind w:left="900"/>
        <w:contextualSpacing/>
        <w:jc w:val="both"/>
        <w:rPr>
          <w:lang w:val="sq-AL"/>
        </w:rPr>
      </w:pPr>
      <w:r w:rsidRPr="00D73F43">
        <w:rPr>
          <w:lang w:val="sq-AL"/>
        </w:rPr>
        <w:t>Investime të orientuara politikisht e të pa bazuara në performancë.</w:t>
      </w:r>
    </w:p>
    <w:p w:rsidR="00B0121D" w:rsidRPr="00D73F43" w:rsidRDefault="00B0121D" w:rsidP="00534AA6">
      <w:pPr>
        <w:numPr>
          <w:ilvl w:val="0"/>
          <w:numId w:val="17"/>
        </w:numPr>
        <w:spacing w:line="276" w:lineRule="auto"/>
        <w:ind w:left="900"/>
        <w:contextualSpacing/>
        <w:jc w:val="both"/>
        <w:rPr>
          <w:lang w:val="sq-AL"/>
        </w:rPr>
      </w:pPr>
      <w:r w:rsidRPr="00D73F43">
        <w:rPr>
          <w:lang w:val="sq-AL"/>
        </w:rPr>
        <w:t>Janë licensuar edhe shoqëri që nuk zotërojnë aftësitë e nevojshme profesionale dhe financiare.</w:t>
      </w:r>
    </w:p>
    <w:p w:rsidR="00B0121D" w:rsidRPr="00D73F43" w:rsidRDefault="00B0121D" w:rsidP="00534AA6">
      <w:pPr>
        <w:numPr>
          <w:ilvl w:val="0"/>
          <w:numId w:val="17"/>
        </w:numPr>
        <w:spacing w:line="276" w:lineRule="auto"/>
        <w:ind w:left="900"/>
        <w:contextualSpacing/>
        <w:jc w:val="both"/>
        <w:rPr>
          <w:lang w:val="sq-AL"/>
        </w:rPr>
      </w:pPr>
      <w:r w:rsidRPr="00D73F43">
        <w:rPr>
          <w:lang w:val="sq-AL"/>
        </w:rPr>
        <w:t>Tarifa aktuale të vendosura nuk janë në përputhje me kostot dhe shpesh karakterizohen nga diferenca të pajustifikuara.</w:t>
      </w:r>
    </w:p>
    <w:p w:rsidR="00B0121D" w:rsidRPr="00D73F43" w:rsidRDefault="00B0121D" w:rsidP="00534AA6">
      <w:pPr>
        <w:numPr>
          <w:ilvl w:val="0"/>
          <w:numId w:val="17"/>
        </w:numPr>
        <w:spacing w:line="276" w:lineRule="auto"/>
        <w:ind w:left="900"/>
        <w:contextualSpacing/>
        <w:jc w:val="both"/>
        <w:rPr>
          <w:lang w:val="sq-AL"/>
        </w:rPr>
      </w:pPr>
      <w:r w:rsidRPr="00D73F43">
        <w:rPr>
          <w:lang w:val="sq-AL"/>
        </w:rPr>
        <w:t>Mënyra e organizimit dhe administrimit të sektorit, jo efikas.</w:t>
      </w:r>
    </w:p>
    <w:p w:rsidR="00B0121D" w:rsidRPr="00D73F43" w:rsidRDefault="00B0121D" w:rsidP="006D51B9">
      <w:pPr>
        <w:spacing w:line="276" w:lineRule="auto"/>
        <w:ind w:left="360"/>
        <w:contextualSpacing/>
        <w:jc w:val="both"/>
        <w:rPr>
          <w:lang w:val="sq-AL"/>
        </w:rPr>
      </w:pPr>
    </w:p>
    <w:p w:rsidR="00B0121D" w:rsidRPr="00D73F43" w:rsidRDefault="00B0121D" w:rsidP="00534AA6">
      <w:pPr>
        <w:numPr>
          <w:ilvl w:val="0"/>
          <w:numId w:val="18"/>
        </w:numPr>
        <w:spacing w:line="276" w:lineRule="auto"/>
        <w:contextualSpacing/>
        <w:jc w:val="both"/>
        <w:rPr>
          <w:b/>
          <w:lang w:val="sq-AL"/>
        </w:rPr>
      </w:pPr>
      <w:r w:rsidRPr="00D73F43">
        <w:rPr>
          <w:b/>
          <w:lang w:val="sq-AL"/>
        </w:rPr>
        <w:t>Nevoja për Reformë</w:t>
      </w:r>
    </w:p>
    <w:p w:rsidR="00B0121D" w:rsidRPr="00D73F43" w:rsidRDefault="00B0121D" w:rsidP="006D51B9">
      <w:pPr>
        <w:spacing w:line="276" w:lineRule="auto"/>
        <w:contextualSpacing/>
        <w:jc w:val="both"/>
        <w:rPr>
          <w:lang w:val="sq-AL"/>
        </w:rPr>
      </w:pPr>
      <w:r w:rsidRPr="00D73F43">
        <w:rPr>
          <w:lang w:val="sq-AL"/>
        </w:rPr>
        <w:t xml:space="preserve">Nevoja për reformimin e sektorit bëhet e domosdoshme jo vetëm për  shkak të riorganizimit territorial dhe administrativ, por edhe si pasojë e mospasjes së një reflektimi të përmirësimit të dukshëm të shërbimit ndaj qytetarëve, pavarësisht nivelit të investimeve. Konkretisht, niveli i investimeve në sektorin e ujit nga periudha 2005-2015 paraqitet i detajuar në tabelën e mëposhtme: </w:t>
      </w:r>
    </w:p>
    <w:p w:rsidR="00B0121D" w:rsidRPr="00D73F43" w:rsidRDefault="00B0121D" w:rsidP="006D51B9">
      <w:pPr>
        <w:spacing w:line="276" w:lineRule="auto"/>
        <w:contextualSpacing/>
        <w:jc w:val="both"/>
        <w:rPr>
          <w:lang w:val="sq-AL"/>
        </w:rPr>
      </w:pPr>
    </w:p>
    <w:p w:rsidR="00B0121D" w:rsidRPr="00D73F43" w:rsidRDefault="00B0121D" w:rsidP="006D51B9">
      <w:pPr>
        <w:spacing w:line="276" w:lineRule="auto"/>
        <w:contextualSpacing/>
        <w:jc w:val="both"/>
        <w:rPr>
          <w:b/>
          <w:i/>
          <w:lang w:val="sq-AL"/>
        </w:rPr>
      </w:pPr>
      <w:r w:rsidRPr="00D73F43">
        <w:rPr>
          <w:lang w:val="sq-AL"/>
        </w:rPr>
        <w:t xml:space="preserve">                                                                                                    </w:t>
      </w:r>
      <w:r w:rsidR="006D51B9">
        <w:rPr>
          <w:lang w:val="sq-AL"/>
        </w:rPr>
        <w:t xml:space="preserve">                          </w:t>
      </w:r>
      <w:r w:rsidRPr="00D73F43">
        <w:rPr>
          <w:b/>
          <w:i/>
          <w:lang w:val="sq-AL"/>
        </w:rPr>
        <w:t>Në mijë lekë</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3696"/>
        <w:gridCol w:w="3697"/>
      </w:tblGrid>
      <w:tr w:rsidR="00B0121D" w:rsidRPr="00D73F43" w:rsidTr="006D51B9">
        <w:trPr>
          <w:trHeight w:val="420"/>
          <w:jc w:val="center"/>
        </w:trPr>
        <w:tc>
          <w:tcPr>
            <w:tcW w:w="3696" w:type="dxa"/>
            <w:tcBorders>
              <w:bottom w:val="single" w:sz="6" w:space="0" w:color="000000"/>
              <w:right w:val="single" w:sz="6" w:space="0" w:color="000000"/>
            </w:tcBorders>
            <w:shd w:val="clear" w:color="auto" w:fill="auto"/>
          </w:tcPr>
          <w:p w:rsidR="00B0121D" w:rsidRPr="00D73F43" w:rsidRDefault="00B0121D" w:rsidP="006D51B9">
            <w:pPr>
              <w:spacing w:line="276" w:lineRule="auto"/>
              <w:contextualSpacing/>
              <w:jc w:val="center"/>
              <w:rPr>
                <w:b/>
                <w:i/>
                <w:iCs/>
                <w:lang w:val="sq-AL"/>
              </w:rPr>
            </w:pPr>
            <w:r w:rsidRPr="00D73F43">
              <w:rPr>
                <w:b/>
                <w:i/>
                <w:iCs/>
                <w:lang w:val="sq-AL"/>
              </w:rPr>
              <w:t>Investimet në sektor</w:t>
            </w:r>
          </w:p>
        </w:tc>
        <w:tc>
          <w:tcPr>
            <w:tcW w:w="3697" w:type="dxa"/>
            <w:tcBorders>
              <w:bottom w:val="single" w:sz="6" w:space="0" w:color="000000"/>
            </w:tcBorders>
            <w:shd w:val="clear" w:color="auto" w:fill="auto"/>
          </w:tcPr>
          <w:p w:rsidR="00B0121D" w:rsidRPr="00D73F43" w:rsidRDefault="00B0121D" w:rsidP="006D51B9">
            <w:pPr>
              <w:spacing w:line="276" w:lineRule="auto"/>
              <w:contextualSpacing/>
              <w:jc w:val="center"/>
              <w:rPr>
                <w:b/>
                <w:i/>
                <w:iCs/>
                <w:lang w:val="sq-AL"/>
              </w:rPr>
            </w:pPr>
            <w:r w:rsidRPr="00D73F43">
              <w:rPr>
                <w:b/>
                <w:i/>
                <w:iCs/>
                <w:lang w:val="sq-AL"/>
              </w:rPr>
              <w:t>Periudha 2005-2015</w:t>
            </w:r>
          </w:p>
        </w:tc>
      </w:tr>
      <w:tr w:rsidR="00B0121D" w:rsidRPr="00D73F43" w:rsidTr="006D51B9">
        <w:trPr>
          <w:trHeight w:val="320"/>
          <w:jc w:val="center"/>
        </w:trPr>
        <w:tc>
          <w:tcPr>
            <w:tcW w:w="3696" w:type="dxa"/>
            <w:tcBorders>
              <w:right w:val="single" w:sz="6" w:space="0" w:color="000000"/>
            </w:tcBorders>
            <w:shd w:val="clear" w:color="auto" w:fill="auto"/>
          </w:tcPr>
          <w:p w:rsidR="00B0121D" w:rsidRPr="00D73F43" w:rsidRDefault="00B0121D" w:rsidP="006D51B9">
            <w:pPr>
              <w:spacing w:line="276" w:lineRule="auto"/>
              <w:contextualSpacing/>
              <w:rPr>
                <w:lang w:val="sq-AL"/>
              </w:rPr>
            </w:pPr>
            <w:r w:rsidRPr="00D73F43">
              <w:rPr>
                <w:lang w:val="sq-AL"/>
              </w:rPr>
              <w:t>Investimet në Ujësjellesa</w:t>
            </w:r>
          </w:p>
        </w:tc>
        <w:tc>
          <w:tcPr>
            <w:tcW w:w="3697" w:type="dxa"/>
            <w:shd w:val="clear" w:color="auto" w:fill="auto"/>
          </w:tcPr>
          <w:p w:rsidR="00B0121D" w:rsidRPr="00D73F43" w:rsidRDefault="00B0121D" w:rsidP="006D51B9">
            <w:pPr>
              <w:spacing w:line="276" w:lineRule="auto"/>
              <w:contextualSpacing/>
              <w:jc w:val="right"/>
              <w:rPr>
                <w:lang w:val="sq-AL"/>
              </w:rPr>
            </w:pPr>
            <w:r w:rsidRPr="00D73F43">
              <w:rPr>
                <w:lang w:val="sq-AL"/>
              </w:rPr>
              <w:t>36.183.624</w:t>
            </w:r>
          </w:p>
        </w:tc>
      </w:tr>
      <w:tr w:rsidR="00B0121D" w:rsidRPr="00D73F43" w:rsidTr="006D51B9">
        <w:trPr>
          <w:trHeight w:val="320"/>
          <w:jc w:val="center"/>
        </w:trPr>
        <w:tc>
          <w:tcPr>
            <w:tcW w:w="3696" w:type="dxa"/>
            <w:tcBorders>
              <w:right w:val="single" w:sz="6" w:space="0" w:color="000000"/>
            </w:tcBorders>
            <w:shd w:val="clear" w:color="auto" w:fill="auto"/>
          </w:tcPr>
          <w:p w:rsidR="00B0121D" w:rsidRPr="00D73F43" w:rsidRDefault="00B0121D" w:rsidP="006D51B9">
            <w:pPr>
              <w:spacing w:line="276" w:lineRule="auto"/>
              <w:contextualSpacing/>
              <w:rPr>
                <w:lang w:val="sq-AL"/>
              </w:rPr>
            </w:pPr>
            <w:r w:rsidRPr="00D73F43">
              <w:rPr>
                <w:lang w:val="sq-AL"/>
              </w:rPr>
              <w:t>Investimet në Kanalizime</w:t>
            </w:r>
          </w:p>
        </w:tc>
        <w:tc>
          <w:tcPr>
            <w:tcW w:w="3697" w:type="dxa"/>
            <w:shd w:val="clear" w:color="auto" w:fill="auto"/>
          </w:tcPr>
          <w:p w:rsidR="00B0121D" w:rsidRPr="00D73F43" w:rsidRDefault="00B0121D" w:rsidP="006D51B9">
            <w:pPr>
              <w:spacing w:line="276" w:lineRule="auto"/>
              <w:contextualSpacing/>
              <w:jc w:val="right"/>
              <w:rPr>
                <w:lang w:val="sq-AL"/>
              </w:rPr>
            </w:pPr>
            <w:r w:rsidRPr="00D73F43">
              <w:rPr>
                <w:lang w:val="sq-AL"/>
              </w:rPr>
              <w:t>28.608.197</w:t>
            </w:r>
          </w:p>
        </w:tc>
      </w:tr>
      <w:tr w:rsidR="00B0121D" w:rsidRPr="00D73F43" w:rsidTr="006D51B9">
        <w:trPr>
          <w:trHeight w:val="320"/>
          <w:jc w:val="center"/>
        </w:trPr>
        <w:tc>
          <w:tcPr>
            <w:tcW w:w="3696" w:type="dxa"/>
            <w:tcBorders>
              <w:right w:val="single" w:sz="6" w:space="0" w:color="000000"/>
            </w:tcBorders>
            <w:shd w:val="clear" w:color="auto" w:fill="auto"/>
          </w:tcPr>
          <w:p w:rsidR="00B0121D" w:rsidRPr="00D73F43" w:rsidRDefault="00B0121D" w:rsidP="006D51B9">
            <w:pPr>
              <w:spacing w:line="276" w:lineRule="auto"/>
              <w:contextualSpacing/>
              <w:rPr>
                <w:lang w:val="sq-AL"/>
              </w:rPr>
            </w:pPr>
            <w:r w:rsidRPr="00D73F43">
              <w:rPr>
                <w:lang w:val="sq-AL"/>
              </w:rPr>
              <w:t>Investimet në Impiante</w:t>
            </w:r>
          </w:p>
        </w:tc>
        <w:tc>
          <w:tcPr>
            <w:tcW w:w="3697" w:type="dxa"/>
            <w:shd w:val="clear" w:color="auto" w:fill="auto"/>
          </w:tcPr>
          <w:p w:rsidR="00B0121D" w:rsidRPr="00D73F43" w:rsidRDefault="00B0121D" w:rsidP="006D51B9">
            <w:pPr>
              <w:spacing w:line="276" w:lineRule="auto"/>
              <w:contextualSpacing/>
              <w:jc w:val="right"/>
              <w:rPr>
                <w:lang w:val="sq-AL"/>
              </w:rPr>
            </w:pPr>
            <w:r w:rsidRPr="00D73F43">
              <w:rPr>
                <w:lang w:val="sq-AL"/>
              </w:rPr>
              <w:t>15.186.999</w:t>
            </w:r>
          </w:p>
        </w:tc>
      </w:tr>
      <w:tr w:rsidR="00B0121D" w:rsidRPr="00D73F43" w:rsidTr="006D51B9">
        <w:trPr>
          <w:trHeight w:val="334"/>
          <w:jc w:val="center"/>
        </w:trPr>
        <w:tc>
          <w:tcPr>
            <w:tcW w:w="3696" w:type="dxa"/>
            <w:tcBorders>
              <w:right w:val="single" w:sz="6" w:space="0" w:color="000000"/>
            </w:tcBorders>
            <w:shd w:val="clear" w:color="auto" w:fill="auto"/>
          </w:tcPr>
          <w:p w:rsidR="00B0121D" w:rsidRPr="00D73F43" w:rsidRDefault="00B0121D" w:rsidP="006D51B9">
            <w:pPr>
              <w:spacing w:line="276" w:lineRule="auto"/>
              <w:contextualSpacing/>
              <w:rPr>
                <w:lang w:val="sq-AL"/>
              </w:rPr>
            </w:pPr>
            <w:r w:rsidRPr="00D73F43">
              <w:rPr>
                <w:lang w:val="sq-AL"/>
              </w:rPr>
              <w:lastRenderedPageBreak/>
              <w:t>Fondi i Zhvillimit të Rajoneve</w:t>
            </w:r>
          </w:p>
        </w:tc>
        <w:tc>
          <w:tcPr>
            <w:tcW w:w="3697" w:type="dxa"/>
            <w:shd w:val="clear" w:color="auto" w:fill="auto"/>
          </w:tcPr>
          <w:p w:rsidR="00B0121D" w:rsidRPr="00D73F43" w:rsidRDefault="00B0121D" w:rsidP="006D51B9">
            <w:pPr>
              <w:spacing w:line="276" w:lineRule="auto"/>
              <w:contextualSpacing/>
              <w:jc w:val="right"/>
              <w:rPr>
                <w:lang w:val="sq-AL"/>
              </w:rPr>
            </w:pPr>
            <w:r w:rsidRPr="00D73F43">
              <w:rPr>
                <w:lang w:val="sq-AL"/>
              </w:rPr>
              <w:t>5.604.831</w:t>
            </w:r>
          </w:p>
        </w:tc>
      </w:tr>
    </w:tbl>
    <w:p w:rsidR="00B0121D" w:rsidRPr="00D73F43" w:rsidRDefault="00B0121D" w:rsidP="006D51B9">
      <w:pPr>
        <w:spacing w:line="276" w:lineRule="auto"/>
        <w:contextualSpacing/>
        <w:jc w:val="right"/>
        <w:rPr>
          <w:lang w:val="sq-AL"/>
        </w:rPr>
      </w:pPr>
    </w:p>
    <w:p w:rsidR="00B0121D" w:rsidRPr="00D73F43" w:rsidRDefault="00B0121D" w:rsidP="006D51B9">
      <w:pPr>
        <w:spacing w:line="276" w:lineRule="auto"/>
        <w:contextualSpacing/>
        <w:jc w:val="both"/>
        <w:rPr>
          <w:lang w:val="sq-AL"/>
        </w:rPr>
      </w:pPr>
      <w:r w:rsidRPr="00D73F43">
        <w:rPr>
          <w:lang w:val="sq-AL"/>
        </w:rPr>
        <w:t>Pavarësisht rritjes në nivelin e investimeve, dy nga treguesit e performancës së sektorit që prekin drejtpërsëdrejti qytetarët dhe shoqëritë aksionerë të UK vazhdojnë mbeten në nivele të ulëta:</w:t>
      </w:r>
    </w:p>
    <w:p w:rsidR="00B0121D" w:rsidRPr="00D73F43" w:rsidRDefault="00B0121D" w:rsidP="00534AA6">
      <w:pPr>
        <w:pStyle w:val="ListParagraph"/>
        <w:numPr>
          <w:ilvl w:val="0"/>
          <w:numId w:val="15"/>
        </w:numPr>
        <w:spacing w:after="200" w:line="276" w:lineRule="auto"/>
        <w:contextualSpacing/>
        <w:jc w:val="both"/>
        <w:rPr>
          <w:lang w:val="sq-AL"/>
        </w:rPr>
      </w:pPr>
      <w:r w:rsidRPr="00D73F43">
        <w:rPr>
          <w:lang w:val="sq-AL"/>
        </w:rPr>
        <w:t>Humbjet vazhdojnë të larta:                                                            67 %</w:t>
      </w:r>
    </w:p>
    <w:p w:rsidR="00B0121D" w:rsidRPr="00D73F43" w:rsidRDefault="00B0121D" w:rsidP="00534AA6">
      <w:pPr>
        <w:pStyle w:val="ListParagraph"/>
        <w:numPr>
          <w:ilvl w:val="0"/>
          <w:numId w:val="15"/>
        </w:numPr>
        <w:spacing w:after="200" w:line="276" w:lineRule="auto"/>
        <w:contextualSpacing/>
        <w:jc w:val="both"/>
        <w:rPr>
          <w:lang w:val="sq-AL"/>
        </w:rPr>
      </w:pPr>
      <w:r w:rsidRPr="00D73F43">
        <w:rPr>
          <w:lang w:val="sq-AL"/>
        </w:rPr>
        <w:t>Kohëzgjatja e furnizimit me ujë konsiderohet e ulët:                     12 orë/ditë</w:t>
      </w:r>
    </w:p>
    <w:p w:rsidR="00B0121D" w:rsidRPr="00D73F43" w:rsidRDefault="00B0121D" w:rsidP="006D51B9">
      <w:pPr>
        <w:tabs>
          <w:tab w:val="left" w:pos="4515"/>
        </w:tabs>
        <w:spacing w:line="276" w:lineRule="auto"/>
        <w:contextualSpacing/>
        <w:jc w:val="both"/>
        <w:rPr>
          <w:lang w:val="sq-AL"/>
        </w:rPr>
      </w:pPr>
      <w:r w:rsidRPr="00D73F43">
        <w:rPr>
          <w:lang w:val="sq-AL"/>
        </w:rPr>
        <w:t>Nga një analizë e detajuar e sektorit rezulton se shkaqet e nivelit të ulët të performancës së sektorit të ujit janë:</w:t>
      </w:r>
    </w:p>
    <w:p w:rsidR="00B0121D" w:rsidRPr="00D73F43" w:rsidRDefault="00B0121D" w:rsidP="006D51B9">
      <w:pPr>
        <w:tabs>
          <w:tab w:val="left" w:pos="4515"/>
        </w:tabs>
        <w:spacing w:line="276" w:lineRule="auto"/>
        <w:contextualSpacing/>
        <w:jc w:val="both"/>
        <w:rPr>
          <w:lang w:val="sq-AL"/>
        </w:rPr>
      </w:pPr>
    </w:p>
    <w:p w:rsidR="00B0121D" w:rsidRPr="00D73F43" w:rsidRDefault="00B0121D" w:rsidP="00534AA6">
      <w:pPr>
        <w:pStyle w:val="ListParagraph"/>
        <w:numPr>
          <w:ilvl w:val="0"/>
          <w:numId w:val="128"/>
        </w:numPr>
        <w:spacing w:line="276" w:lineRule="auto"/>
        <w:jc w:val="both"/>
        <w:rPr>
          <w:lang w:val="sq-AL"/>
        </w:rPr>
      </w:pPr>
      <w:r w:rsidRPr="00D73F43">
        <w:rPr>
          <w:lang w:val="sq-AL"/>
        </w:rPr>
        <w:t xml:space="preserve">Niveli i ulët i matjes (matja e prodhimit 36% dhe shitjes 61%); </w:t>
      </w:r>
    </w:p>
    <w:p w:rsidR="00B0121D" w:rsidRPr="00D73F43" w:rsidRDefault="00B0121D" w:rsidP="00534AA6">
      <w:pPr>
        <w:pStyle w:val="ListParagraph"/>
        <w:numPr>
          <w:ilvl w:val="0"/>
          <w:numId w:val="128"/>
        </w:numPr>
        <w:spacing w:line="276" w:lineRule="auto"/>
        <w:jc w:val="both"/>
        <w:rPr>
          <w:lang w:val="sq-AL"/>
        </w:rPr>
      </w:pPr>
      <w:r w:rsidRPr="00D73F43">
        <w:rPr>
          <w:lang w:val="sq-AL"/>
        </w:rPr>
        <w:t>Amortizimi i rrjetit;</w:t>
      </w:r>
    </w:p>
    <w:p w:rsidR="00B0121D" w:rsidRPr="00D73F43" w:rsidRDefault="00B0121D" w:rsidP="00534AA6">
      <w:pPr>
        <w:pStyle w:val="ListParagraph"/>
        <w:numPr>
          <w:ilvl w:val="0"/>
          <w:numId w:val="128"/>
        </w:numPr>
        <w:spacing w:line="276" w:lineRule="auto"/>
        <w:jc w:val="both"/>
        <w:rPr>
          <w:lang w:val="sq-AL"/>
        </w:rPr>
      </w:pPr>
      <w:r w:rsidRPr="00D73F43">
        <w:rPr>
          <w:lang w:val="sq-AL"/>
        </w:rPr>
        <w:t>Lidhjet e paligjshme;</w:t>
      </w:r>
    </w:p>
    <w:p w:rsidR="00B0121D" w:rsidRPr="00D73F43" w:rsidRDefault="00B0121D" w:rsidP="00534AA6">
      <w:pPr>
        <w:pStyle w:val="ListParagraph"/>
        <w:numPr>
          <w:ilvl w:val="0"/>
          <w:numId w:val="128"/>
        </w:numPr>
        <w:spacing w:line="276" w:lineRule="auto"/>
        <w:jc w:val="both"/>
        <w:rPr>
          <w:lang w:val="sq-AL"/>
        </w:rPr>
      </w:pPr>
      <w:r w:rsidRPr="00D73F43">
        <w:rPr>
          <w:lang w:val="sq-AL"/>
        </w:rPr>
        <w:t>Mos faturimi i të gjithë klientëve të identifikuar, që marrin ujë nga rrjeti i ujësjellësit;</w:t>
      </w:r>
    </w:p>
    <w:p w:rsidR="00B0121D" w:rsidRPr="00D73F43" w:rsidRDefault="00B0121D" w:rsidP="00534AA6">
      <w:pPr>
        <w:pStyle w:val="ListParagraph"/>
        <w:numPr>
          <w:ilvl w:val="0"/>
          <w:numId w:val="128"/>
        </w:numPr>
        <w:spacing w:line="276" w:lineRule="auto"/>
        <w:jc w:val="both"/>
        <w:rPr>
          <w:lang w:val="sq-AL"/>
        </w:rPr>
      </w:pPr>
      <w:r w:rsidRPr="00D73F43">
        <w:rPr>
          <w:lang w:val="sq-AL"/>
        </w:rPr>
        <w:t xml:space="preserve">Mos-zbatimi i normativës së konsumit, në mungesë të matësit; </w:t>
      </w:r>
    </w:p>
    <w:p w:rsidR="00B0121D" w:rsidRPr="00D73F43" w:rsidRDefault="00B0121D" w:rsidP="00534AA6">
      <w:pPr>
        <w:pStyle w:val="ListParagraph"/>
        <w:numPr>
          <w:ilvl w:val="0"/>
          <w:numId w:val="128"/>
        </w:numPr>
        <w:spacing w:line="276" w:lineRule="auto"/>
        <w:jc w:val="both"/>
        <w:rPr>
          <w:lang w:val="sq-AL"/>
        </w:rPr>
      </w:pPr>
      <w:r w:rsidRPr="00D73F43">
        <w:rPr>
          <w:lang w:val="sq-AL"/>
        </w:rPr>
        <w:t xml:space="preserve">Humbjet e lejuara të projektimit; </w:t>
      </w:r>
    </w:p>
    <w:p w:rsidR="00B0121D" w:rsidRPr="00D73F43" w:rsidRDefault="00B0121D" w:rsidP="00534AA6">
      <w:pPr>
        <w:pStyle w:val="ListParagraph"/>
        <w:numPr>
          <w:ilvl w:val="0"/>
          <w:numId w:val="128"/>
        </w:numPr>
        <w:spacing w:line="276" w:lineRule="auto"/>
        <w:jc w:val="both"/>
        <w:rPr>
          <w:lang w:val="sq-AL"/>
        </w:rPr>
      </w:pPr>
      <w:r w:rsidRPr="00D73F43">
        <w:rPr>
          <w:lang w:val="sq-AL"/>
        </w:rPr>
        <w:t xml:space="preserve">Natyra e sistemit të pompimit; </w:t>
      </w:r>
    </w:p>
    <w:p w:rsidR="00B0121D" w:rsidRPr="00D73F43" w:rsidRDefault="00B0121D" w:rsidP="00534AA6">
      <w:pPr>
        <w:pStyle w:val="ListParagraph"/>
        <w:numPr>
          <w:ilvl w:val="0"/>
          <w:numId w:val="128"/>
        </w:numPr>
        <w:spacing w:line="276" w:lineRule="auto"/>
        <w:jc w:val="both"/>
        <w:rPr>
          <w:bCs/>
          <w:lang w:val="sq-AL"/>
        </w:rPr>
      </w:pPr>
      <w:r w:rsidRPr="00D73F43">
        <w:rPr>
          <w:bCs/>
          <w:lang w:val="sq-AL"/>
        </w:rPr>
        <w:t>Mungesa e kapaciteteve të duhura menaxhuese.</w:t>
      </w:r>
      <w:r w:rsidRPr="00D73F43">
        <w:rPr>
          <w:b/>
          <w:bCs/>
          <w:lang w:val="sq-AL"/>
        </w:rPr>
        <w:t xml:space="preserve"> </w:t>
      </w:r>
      <w:r w:rsidRPr="00D73F43">
        <w:rPr>
          <w:bCs/>
          <w:lang w:val="sq-AL"/>
        </w:rPr>
        <w:t>Vlerësohet se më shumë se gjysma e humbjeve vjen si pasojë e keqmenaxhimit.</w:t>
      </w:r>
    </w:p>
    <w:p w:rsidR="00B0121D" w:rsidRPr="00D73F43" w:rsidRDefault="00B0121D" w:rsidP="006D51B9">
      <w:pPr>
        <w:tabs>
          <w:tab w:val="left" w:pos="4515"/>
        </w:tabs>
        <w:spacing w:line="276" w:lineRule="auto"/>
        <w:contextualSpacing/>
        <w:jc w:val="both"/>
        <w:rPr>
          <w:b/>
          <w:lang w:val="sq-AL"/>
        </w:rPr>
      </w:pPr>
    </w:p>
    <w:p w:rsidR="00B0121D" w:rsidRPr="00D73F43" w:rsidRDefault="00B0121D" w:rsidP="00534AA6">
      <w:pPr>
        <w:numPr>
          <w:ilvl w:val="0"/>
          <w:numId w:val="18"/>
        </w:numPr>
        <w:spacing w:line="276" w:lineRule="auto"/>
        <w:rPr>
          <w:b/>
          <w:lang w:val="sq-AL"/>
        </w:rPr>
      </w:pPr>
      <w:r w:rsidRPr="00D73F43">
        <w:rPr>
          <w:b/>
          <w:lang w:val="sq-AL"/>
        </w:rPr>
        <w:t>Reforma e Sektorit</w:t>
      </w:r>
    </w:p>
    <w:p w:rsidR="00B0121D" w:rsidRPr="00D73F43" w:rsidRDefault="00B0121D" w:rsidP="006D51B9">
      <w:pPr>
        <w:spacing w:line="276" w:lineRule="auto"/>
        <w:jc w:val="both"/>
        <w:rPr>
          <w:lang w:val="sq-AL"/>
        </w:rPr>
      </w:pPr>
    </w:p>
    <w:p w:rsidR="00B0121D" w:rsidRPr="00D73F43" w:rsidRDefault="00B0121D" w:rsidP="006D51B9">
      <w:pPr>
        <w:spacing w:line="276" w:lineRule="auto"/>
        <w:jc w:val="both"/>
        <w:rPr>
          <w:lang w:val="sq-AL"/>
        </w:rPr>
      </w:pPr>
      <w:r w:rsidRPr="00D73F43">
        <w:rPr>
          <w:lang w:val="sq-AL"/>
        </w:rPr>
        <w:t>Duke analizuar problematikën e sektorit, si dhe shkaqet e humbjeve, reforma e propozuar mbështetet në dy shtylla kryesore:</w:t>
      </w:r>
    </w:p>
    <w:p w:rsidR="00B0121D" w:rsidRPr="00D73F43" w:rsidRDefault="00B0121D" w:rsidP="006D51B9">
      <w:pPr>
        <w:spacing w:line="276" w:lineRule="auto"/>
        <w:jc w:val="both"/>
        <w:rPr>
          <w:lang w:val="sq-AL"/>
        </w:rPr>
      </w:pPr>
    </w:p>
    <w:p w:rsidR="00B0121D" w:rsidRPr="00D73F43" w:rsidRDefault="00B0121D" w:rsidP="00534AA6">
      <w:pPr>
        <w:numPr>
          <w:ilvl w:val="0"/>
          <w:numId w:val="127"/>
        </w:numPr>
        <w:spacing w:line="276" w:lineRule="auto"/>
        <w:ind w:left="1080"/>
        <w:jc w:val="both"/>
        <w:rPr>
          <w:lang w:val="sq-AL"/>
        </w:rPr>
      </w:pPr>
      <w:r w:rsidRPr="00D73F43">
        <w:rPr>
          <w:lang w:val="sq-AL"/>
        </w:rPr>
        <w:t>Investime publike;</w:t>
      </w:r>
    </w:p>
    <w:p w:rsidR="00B0121D" w:rsidRPr="00D73F43" w:rsidRDefault="00B0121D" w:rsidP="00534AA6">
      <w:pPr>
        <w:numPr>
          <w:ilvl w:val="0"/>
          <w:numId w:val="127"/>
        </w:numPr>
        <w:spacing w:line="276" w:lineRule="auto"/>
        <w:ind w:left="1080"/>
        <w:rPr>
          <w:lang w:val="sq-AL"/>
        </w:rPr>
      </w:pPr>
      <w:r w:rsidRPr="00D73F43">
        <w:rPr>
          <w:lang w:val="sq-AL"/>
        </w:rPr>
        <w:t>Përmirësim rrënjësor i menaxhimit të shoqërive aksionere të ujësjellës kanalizimeve, duke standardizuar parimet e qeverisjes së sektorit.</w:t>
      </w:r>
    </w:p>
    <w:p w:rsidR="00B0121D" w:rsidRPr="00D73F43" w:rsidRDefault="00B0121D" w:rsidP="006D51B9">
      <w:pPr>
        <w:autoSpaceDE w:val="0"/>
        <w:autoSpaceDN w:val="0"/>
        <w:adjustRightInd w:val="0"/>
        <w:spacing w:line="276" w:lineRule="auto"/>
        <w:ind w:left="720"/>
        <w:contextualSpacing/>
        <w:jc w:val="both"/>
        <w:rPr>
          <w:lang w:val="sq-AL"/>
        </w:rPr>
      </w:pPr>
    </w:p>
    <w:p w:rsidR="00B0121D" w:rsidRPr="00D73F43" w:rsidRDefault="00B0121D" w:rsidP="006D51B9">
      <w:pPr>
        <w:autoSpaceDE w:val="0"/>
        <w:autoSpaceDN w:val="0"/>
        <w:adjustRightInd w:val="0"/>
        <w:spacing w:line="276" w:lineRule="auto"/>
        <w:contextualSpacing/>
        <w:jc w:val="both"/>
        <w:rPr>
          <w:lang w:val="sq-AL"/>
        </w:rPr>
      </w:pPr>
      <w:r w:rsidRPr="00D73F43">
        <w:rPr>
          <w:lang w:val="sq-AL"/>
        </w:rPr>
        <w:t>Reformimi i bazuar në shtyllat e mësipërme, kërkon ndërmarrjen e ndryshimeve përkatëse ligjore dhe institucionale të nevojshme për përmirësimin e sistemit aktual. Konkretisht, hapat e ndërmarra deri tani kanë sjellë:</w:t>
      </w:r>
    </w:p>
    <w:p w:rsidR="00B0121D" w:rsidRPr="00D73F43" w:rsidRDefault="00B0121D" w:rsidP="00534AA6">
      <w:pPr>
        <w:pStyle w:val="ListParagraph"/>
        <w:numPr>
          <w:ilvl w:val="0"/>
          <w:numId w:val="129"/>
        </w:numPr>
        <w:autoSpaceDE w:val="0"/>
        <w:autoSpaceDN w:val="0"/>
        <w:adjustRightInd w:val="0"/>
        <w:spacing w:line="276" w:lineRule="auto"/>
        <w:contextualSpacing/>
        <w:jc w:val="both"/>
        <w:rPr>
          <w:lang w:val="sq-AL"/>
        </w:rPr>
      </w:pPr>
      <w:r w:rsidRPr="00D73F43">
        <w:rPr>
          <w:lang w:val="sq-AL"/>
        </w:rPr>
        <w:t xml:space="preserve">Ndarje të qartë kompetencash dhe përgjegjësish për secilin aktor në nivel qendror dhe lokal ku kryetari i njësisë së qeverisjes vendore është përgjegjës i drejtpërdrejtë për ofrimin e shërbimit. Kjo është siguruar nëpërmjet parashikimeve të ligjit 139/2015 “Për vetëqeverisjen vendore”, si dhe me anë të VKM nr. 63, datë 27.01.2017 “Për riorganizimin e operatorëve, që ofrojnë shërbimin e furnizimit me ujë të pijshëm, grumbullimit, largimit dhe trajtimit të ujrave të ndotura”. </w:t>
      </w:r>
    </w:p>
    <w:p w:rsidR="00B0121D" w:rsidRPr="00D73F43" w:rsidRDefault="00B0121D" w:rsidP="00534AA6">
      <w:pPr>
        <w:pStyle w:val="ListParagraph"/>
        <w:numPr>
          <w:ilvl w:val="0"/>
          <w:numId w:val="129"/>
        </w:numPr>
        <w:spacing w:after="200" w:line="276" w:lineRule="auto"/>
        <w:contextualSpacing/>
        <w:jc w:val="both"/>
        <w:rPr>
          <w:lang w:val="sq-AL"/>
        </w:rPr>
      </w:pPr>
      <w:r w:rsidRPr="00D73F43">
        <w:rPr>
          <w:lang w:val="sq-AL"/>
        </w:rPr>
        <w:t xml:space="preserve">Riorganizimi i shërbimit të ujësjellës kanalizimeve në përputhje me Reformën administrative territoriale. </w:t>
      </w:r>
    </w:p>
    <w:p w:rsidR="00B0121D" w:rsidRPr="00D73F43" w:rsidRDefault="00B0121D" w:rsidP="00534AA6">
      <w:pPr>
        <w:pStyle w:val="ListParagraph"/>
        <w:numPr>
          <w:ilvl w:val="0"/>
          <w:numId w:val="129"/>
        </w:numPr>
        <w:spacing w:after="200" w:line="276" w:lineRule="auto"/>
        <w:contextualSpacing/>
        <w:jc w:val="both"/>
        <w:rPr>
          <w:lang w:val="sq-AL"/>
        </w:rPr>
      </w:pPr>
      <w:r w:rsidRPr="00D73F43">
        <w:rPr>
          <w:lang w:val="sq-AL"/>
        </w:rPr>
        <w:t>Standardizimi i mënyrës së organizmit dhe operimit të shoqërive aksionere të UK. Këto shoqëri organizohen si shoqëri aksionere, me një shkallë administrimi, si dhe unifikohet dhënia e shërbimit të furnizimit me ujë të pijshëm dhe i kanalizimeve, unifikohet zona e juridiksionit me zonën e shërbimit.</w:t>
      </w:r>
    </w:p>
    <w:p w:rsidR="00B0121D" w:rsidRPr="00D73F43" w:rsidRDefault="00B0121D" w:rsidP="00534AA6">
      <w:pPr>
        <w:pStyle w:val="ListParagraph"/>
        <w:numPr>
          <w:ilvl w:val="0"/>
          <w:numId w:val="129"/>
        </w:numPr>
        <w:spacing w:after="200" w:line="276" w:lineRule="auto"/>
        <w:contextualSpacing/>
        <w:jc w:val="both"/>
        <w:rPr>
          <w:lang w:val="sq-AL"/>
        </w:rPr>
      </w:pPr>
      <w:r w:rsidRPr="00D73F43">
        <w:rPr>
          <w:lang w:val="sq-AL"/>
        </w:rPr>
        <w:t>Qasje e re në parashikimin dhe ndarjen e investimeve:</w:t>
      </w:r>
    </w:p>
    <w:p w:rsidR="00B0121D" w:rsidRPr="00D73F43" w:rsidRDefault="00B0121D" w:rsidP="00534AA6">
      <w:pPr>
        <w:pStyle w:val="ListParagraph"/>
        <w:numPr>
          <w:ilvl w:val="2"/>
          <w:numId w:val="130"/>
        </w:numPr>
        <w:spacing w:after="200" w:line="276" w:lineRule="auto"/>
        <w:contextualSpacing/>
        <w:jc w:val="both"/>
        <w:rPr>
          <w:lang w:val="sq-AL"/>
        </w:rPr>
      </w:pPr>
      <w:r w:rsidRPr="00D73F43">
        <w:rPr>
          <w:lang w:val="sq-AL"/>
        </w:rPr>
        <w:lastRenderedPageBreak/>
        <w:t>Masteplani Kombëtar mundëson, përdorimin e tij si instrument për planifikimin e investimeve, duke u mbështetur në një matricë prioritizimi të qartë.</w:t>
      </w:r>
    </w:p>
    <w:p w:rsidR="00B0121D" w:rsidRPr="00D73F43" w:rsidRDefault="00B0121D" w:rsidP="00534AA6">
      <w:pPr>
        <w:pStyle w:val="ListParagraph"/>
        <w:numPr>
          <w:ilvl w:val="2"/>
          <w:numId w:val="130"/>
        </w:numPr>
        <w:spacing w:after="200" w:line="276" w:lineRule="auto"/>
        <w:contextualSpacing/>
        <w:jc w:val="both"/>
        <w:rPr>
          <w:lang w:val="sq-AL"/>
        </w:rPr>
      </w:pPr>
      <w:r w:rsidRPr="00D73F43">
        <w:rPr>
          <w:lang w:val="sq-AL"/>
        </w:rPr>
        <w:t>Investimet do të planifikohen dhe shpërndahen edhe në bazë të performancës individuale të sh.a. të UK. Secila sh.a. të ujësjellës kanalizime, që përmbush objektivat e dakortësuar në kontratën e performancës, do të konkurojë për të përfituar nga granti i performancës, i cili ka një formulë të qartë të shpërndarjes së fondeve.</w:t>
      </w:r>
    </w:p>
    <w:p w:rsidR="00B0121D" w:rsidRPr="00D73F43" w:rsidRDefault="00B0121D" w:rsidP="00534AA6">
      <w:pPr>
        <w:pStyle w:val="ListParagraph"/>
        <w:numPr>
          <w:ilvl w:val="0"/>
          <w:numId w:val="131"/>
        </w:numPr>
        <w:spacing w:after="200" w:line="276" w:lineRule="auto"/>
        <w:contextualSpacing/>
        <w:jc w:val="both"/>
        <w:rPr>
          <w:lang w:val="sq-AL"/>
        </w:rPr>
      </w:pPr>
      <w:r w:rsidRPr="00D73F43">
        <w:rPr>
          <w:lang w:val="sq-AL"/>
        </w:rPr>
        <w:t>Qasje e re ndaj mënyrës së subvencionimit të shtresave në nevojë. Subvencionimi i shtresave në nevojë do të ndihmojë shoqëritë për arkëtimin e faturave, të cilat më parë ishin të pamundura për shkak të paaftësisë paguese, por dhe do të heqë çdo justifikim për mospërshirjen si abonentë të çdo familje brenda zonës së juridiksionit/shërbimit.</w:t>
      </w:r>
    </w:p>
    <w:p w:rsidR="00B0121D" w:rsidRPr="00D73F43" w:rsidRDefault="00B0121D" w:rsidP="006D51B9">
      <w:pPr>
        <w:pStyle w:val="ListParagraph"/>
        <w:spacing w:after="200" w:line="276" w:lineRule="auto"/>
        <w:contextualSpacing/>
        <w:jc w:val="both"/>
        <w:rPr>
          <w:lang w:val="sq-AL"/>
        </w:rPr>
      </w:pPr>
    </w:p>
    <w:p w:rsidR="00B0121D" w:rsidRPr="00D73F43" w:rsidRDefault="00B0121D" w:rsidP="00534AA6">
      <w:pPr>
        <w:pStyle w:val="ListParagraph"/>
        <w:numPr>
          <w:ilvl w:val="0"/>
          <w:numId w:val="131"/>
        </w:numPr>
        <w:spacing w:line="276" w:lineRule="auto"/>
        <w:jc w:val="both"/>
        <w:rPr>
          <w:lang w:val="sq-AL"/>
        </w:rPr>
      </w:pPr>
      <w:r w:rsidRPr="00D73F43">
        <w:rPr>
          <w:lang w:val="sq-AL"/>
        </w:rPr>
        <w:t>Gjithashtu, do të subvencionohet diferenca e kostos, vetëm për ato shoqëri, të cilat edhe pse arrijnë maksimumin e performancës, për shkak të natyrës së sistemit apo shkaqeve të tjera objektive, e kanë të pamundur mbulimin e kësaj kostoje.</w:t>
      </w:r>
    </w:p>
    <w:p w:rsidR="00B0121D" w:rsidRPr="00D73F43" w:rsidRDefault="00B0121D" w:rsidP="006D51B9">
      <w:pPr>
        <w:pStyle w:val="ListParagraph"/>
        <w:spacing w:line="276" w:lineRule="auto"/>
        <w:ind w:left="0"/>
        <w:jc w:val="both"/>
        <w:rPr>
          <w:lang w:val="sq-AL"/>
        </w:rPr>
      </w:pPr>
    </w:p>
    <w:p w:rsidR="00B0121D" w:rsidRPr="00D73F43" w:rsidRDefault="00B0121D" w:rsidP="00534AA6">
      <w:pPr>
        <w:pStyle w:val="ListParagraph"/>
        <w:numPr>
          <w:ilvl w:val="0"/>
          <w:numId w:val="131"/>
        </w:numPr>
        <w:spacing w:after="200" w:line="276" w:lineRule="auto"/>
        <w:contextualSpacing/>
        <w:jc w:val="both"/>
        <w:rPr>
          <w:lang w:val="sq-AL"/>
        </w:rPr>
      </w:pPr>
      <w:r w:rsidRPr="00D73F43">
        <w:rPr>
          <w:lang w:val="sq-AL"/>
        </w:rPr>
        <w:t xml:space="preserve">Futja e konceptit të menaxhimit nëpërmjet arritjes së objektivave; </w:t>
      </w:r>
    </w:p>
    <w:p w:rsidR="00B0121D" w:rsidRPr="00D73F43" w:rsidRDefault="00B0121D" w:rsidP="006D51B9">
      <w:pPr>
        <w:pStyle w:val="ListParagraph"/>
        <w:spacing w:line="276" w:lineRule="auto"/>
        <w:ind w:left="1080"/>
        <w:jc w:val="both"/>
        <w:rPr>
          <w:lang w:val="sq-AL"/>
        </w:rPr>
      </w:pPr>
      <w:r w:rsidRPr="00D73F43">
        <w:rPr>
          <w:lang w:val="sq-AL"/>
        </w:rPr>
        <w:t>Kontratë performance në dy nivele:</w:t>
      </w:r>
    </w:p>
    <w:p w:rsidR="00B0121D" w:rsidRPr="00D73F43" w:rsidRDefault="00B0121D" w:rsidP="00534AA6">
      <w:pPr>
        <w:pStyle w:val="ListParagraph"/>
        <w:numPr>
          <w:ilvl w:val="1"/>
          <w:numId w:val="132"/>
        </w:numPr>
        <w:spacing w:after="200" w:line="276" w:lineRule="auto"/>
        <w:contextualSpacing/>
        <w:jc w:val="both"/>
        <w:rPr>
          <w:lang w:val="sq-AL"/>
        </w:rPr>
      </w:pPr>
      <w:r w:rsidRPr="00D73F43">
        <w:rPr>
          <w:lang w:val="sq-AL"/>
        </w:rPr>
        <w:t>Midis qeverisjes qendrore dhe qeverisjes lokale;</w:t>
      </w:r>
    </w:p>
    <w:p w:rsidR="00B0121D" w:rsidRPr="00D73F43" w:rsidRDefault="00B0121D" w:rsidP="00534AA6">
      <w:pPr>
        <w:pStyle w:val="ListParagraph"/>
        <w:numPr>
          <w:ilvl w:val="1"/>
          <w:numId w:val="132"/>
        </w:numPr>
        <w:spacing w:after="200" w:line="276" w:lineRule="auto"/>
        <w:contextualSpacing/>
        <w:jc w:val="both"/>
        <w:rPr>
          <w:lang w:val="sq-AL"/>
        </w:rPr>
      </w:pPr>
      <w:r w:rsidRPr="00D73F43">
        <w:rPr>
          <w:lang w:val="sq-AL"/>
        </w:rPr>
        <w:t>Midis kryetarit të bashkisë dhe drejtorit të sh.a. UK.</w:t>
      </w:r>
    </w:p>
    <w:p w:rsidR="00B0121D" w:rsidRPr="00D73F43" w:rsidRDefault="00B0121D" w:rsidP="006D51B9">
      <w:pPr>
        <w:spacing w:line="276" w:lineRule="auto"/>
        <w:ind w:left="720"/>
        <w:contextualSpacing/>
        <w:jc w:val="both"/>
        <w:rPr>
          <w:lang w:val="sq-AL"/>
        </w:rPr>
      </w:pPr>
      <w:r w:rsidRPr="00D73F43">
        <w:rPr>
          <w:lang w:val="sq-AL"/>
        </w:rPr>
        <w:t>Kontratat do të negociohen me secilën shoqëri UK dhe stafet respektivë do të shqyrtojnë situatën aktuale teknike - financiare të shoqërisë UK, si dhe do të vendosin objektivat për vitin pasardhës dhe vitet në vazhdim, në përputhje me biznes-planet.</w:t>
      </w:r>
    </w:p>
    <w:p w:rsidR="00B0121D" w:rsidRPr="00D73F43" w:rsidRDefault="00B0121D" w:rsidP="006D51B9">
      <w:pPr>
        <w:spacing w:line="276" w:lineRule="auto"/>
        <w:ind w:left="720"/>
        <w:contextualSpacing/>
        <w:jc w:val="both"/>
        <w:rPr>
          <w:lang w:val="sq-AL"/>
        </w:rPr>
      </w:pPr>
    </w:p>
    <w:p w:rsidR="00B0121D" w:rsidRPr="00D73F43" w:rsidRDefault="00B0121D" w:rsidP="00534AA6">
      <w:pPr>
        <w:pStyle w:val="ListParagraph"/>
        <w:numPr>
          <w:ilvl w:val="0"/>
          <w:numId w:val="133"/>
        </w:numPr>
        <w:spacing w:after="200" w:line="276" w:lineRule="auto"/>
        <w:contextualSpacing/>
        <w:jc w:val="both"/>
        <w:rPr>
          <w:lang w:val="sq-AL"/>
        </w:rPr>
      </w:pPr>
      <w:r w:rsidRPr="00D73F43">
        <w:rPr>
          <w:lang w:val="sq-AL"/>
        </w:rPr>
        <w:t>Aplikimi i instrumentave të unifikuara dhe standardizuara për mirëmenaxhimin e shërbimit.</w:t>
      </w:r>
    </w:p>
    <w:p w:rsidR="00B0121D" w:rsidRPr="00D73F43" w:rsidRDefault="00B0121D" w:rsidP="00534AA6">
      <w:pPr>
        <w:pStyle w:val="ListParagraph"/>
        <w:numPr>
          <w:ilvl w:val="0"/>
          <w:numId w:val="133"/>
        </w:numPr>
        <w:spacing w:after="200" w:line="276" w:lineRule="auto"/>
        <w:contextualSpacing/>
        <w:jc w:val="both"/>
        <w:rPr>
          <w:lang w:val="sq-AL"/>
        </w:rPr>
      </w:pPr>
      <w:r w:rsidRPr="00D73F43">
        <w:rPr>
          <w:lang w:val="sq-AL"/>
        </w:rPr>
        <w:t>Parashikimi i mundësisë së marrjes së administrimit në mënyrë të përkohshme, në rast mosperformimi.</w:t>
      </w:r>
    </w:p>
    <w:p w:rsidR="00B0121D" w:rsidRPr="00D73F43" w:rsidRDefault="00B0121D" w:rsidP="00534AA6">
      <w:pPr>
        <w:pStyle w:val="ListParagraph"/>
        <w:numPr>
          <w:ilvl w:val="0"/>
          <w:numId w:val="133"/>
        </w:numPr>
        <w:spacing w:after="200" w:line="276" w:lineRule="auto"/>
        <w:contextualSpacing/>
        <w:jc w:val="both"/>
        <w:rPr>
          <w:lang w:val="sq-AL"/>
        </w:rPr>
      </w:pPr>
      <w:r w:rsidRPr="00D73F43">
        <w:rPr>
          <w:lang w:val="sq-AL"/>
        </w:rPr>
        <w:t xml:space="preserve">Rregulla teknike të unifikuara për projektimin dhe ndërtimin e të gjithë ujësjellësave, pavarësisht mënyrës së financimit. </w:t>
      </w:r>
    </w:p>
    <w:p w:rsidR="00B0121D" w:rsidRPr="00D73F43" w:rsidRDefault="00B0121D" w:rsidP="00534AA6">
      <w:pPr>
        <w:pStyle w:val="ListParagraph"/>
        <w:numPr>
          <w:ilvl w:val="0"/>
          <w:numId w:val="133"/>
        </w:numPr>
        <w:spacing w:after="200" w:line="276" w:lineRule="auto"/>
        <w:contextualSpacing/>
        <w:jc w:val="both"/>
        <w:rPr>
          <w:lang w:val="sq-AL"/>
        </w:rPr>
      </w:pPr>
      <w:r w:rsidRPr="00D73F43">
        <w:rPr>
          <w:lang w:val="sq-AL"/>
        </w:rPr>
        <w:t>Është krijuar Agjencia Kombëtare e Ujësjellës Kanalizimeve (AKUK) e organizuar në drejtori rajonale e cila, do të koordinojë dhe mbikqyrë sigurimin e shërbimit të furnizimit me ujë dhe kanalizime, si dhe mbarëvajtjen e shoqërive, në mënyrë që të sigurohet ofrimi i  shërbimit sipas standardeve optimale.</w:t>
      </w:r>
    </w:p>
    <w:p w:rsidR="00B0121D" w:rsidRPr="00D73F43" w:rsidRDefault="00B0121D" w:rsidP="00534AA6">
      <w:pPr>
        <w:pStyle w:val="ListParagraph"/>
        <w:numPr>
          <w:ilvl w:val="0"/>
          <w:numId w:val="133"/>
        </w:numPr>
        <w:spacing w:after="200" w:line="276" w:lineRule="auto"/>
        <w:contextualSpacing/>
        <w:jc w:val="both"/>
        <w:rPr>
          <w:lang w:val="sq-AL"/>
        </w:rPr>
      </w:pPr>
      <w:r w:rsidRPr="00D73F43">
        <w:rPr>
          <w:lang w:val="sq-AL"/>
        </w:rPr>
        <w:t>Koordinim i stafeve për identifikimin dhe marrjen e masave konkrete për lidhjet e paligjshme.</w:t>
      </w:r>
    </w:p>
    <w:p w:rsidR="00B0121D" w:rsidRPr="00D73F43" w:rsidRDefault="00B0121D" w:rsidP="00534AA6">
      <w:pPr>
        <w:pStyle w:val="ListParagraph"/>
        <w:numPr>
          <w:ilvl w:val="0"/>
          <w:numId w:val="133"/>
        </w:numPr>
        <w:spacing w:after="200" w:line="276" w:lineRule="auto"/>
        <w:contextualSpacing/>
        <w:jc w:val="both"/>
        <w:rPr>
          <w:lang w:val="sq-AL"/>
        </w:rPr>
      </w:pPr>
      <w:r w:rsidRPr="00D73F43">
        <w:rPr>
          <w:lang w:val="sq-AL"/>
        </w:rPr>
        <w:t>Koordinim i stafeve për marrjen e masave për rritjen e arkëtimeve, duke organizuar një qendrim të bashkërenduar publik mbi nevojën për pagimin shërbimit të furnizimit me ujë, si çdo shërbim dhe mall tjetër si dhe respektimin e ligjit, që parashikon se faturat e ujit janë tituj ekzekutiv.</w:t>
      </w:r>
    </w:p>
    <w:p w:rsidR="00B0121D" w:rsidRPr="00D73F43" w:rsidRDefault="00B0121D" w:rsidP="006D51B9">
      <w:pPr>
        <w:spacing w:line="276" w:lineRule="auto"/>
        <w:contextualSpacing/>
        <w:jc w:val="both"/>
        <w:rPr>
          <w:lang w:val="sq-AL"/>
        </w:rPr>
      </w:pPr>
    </w:p>
    <w:p w:rsidR="00B0121D" w:rsidRPr="00D73F43" w:rsidRDefault="00B0121D" w:rsidP="006D51B9">
      <w:pPr>
        <w:spacing w:line="276" w:lineRule="auto"/>
        <w:contextualSpacing/>
        <w:jc w:val="both"/>
        <w:rPr>
          <w:lang w:val="sq-AL"/>
        </w:rPr>
      </w:pPr>
    </w:p>
    <w:p w:rsidR="00B0121D" w:rsidRPr="00D73F43" w:rsidRDefault="00B0121D" w:rsidP="00534AA6">
      <w:pPr>
        <w:numPr>
          <w:ilvl w:val="0"/>
          <w:numId w:val="18"/>
        </w:numPr>
        <w:spacing w:line="276" w:lineRule="auto"/>
        <w:rPr>
          <w:b/>
          <w:lang w:val="sq-AL"/>
        </w:rPr>
      </w:pPr>
      <w:r w:rsidRPr="00D73F43">
        <w:rPr>
          <w:b/>
          <w:lang w:val="sq-AL"/>
        </w:rPr>
        <w:t>Financimi i Reformës</w:t>
      </w:r>
    </w:p>
    <w:p w:rsidR="00B0121D" w:rsidRPr="00D73F43" w:rsidRDefault="00B0121D" w:rsidP="006D51B9">
      <w:pPr>
        <w:spacing w:line="276" w:lineRule="auto"/>
        <w:rPr>
          <w:lang w:val="sq-AL"/>
        </w:rPr>
      </w:pPr>
      <w:r w:rsidRPr="00D73F43">
        <w:rPr>
          <w:lang w:val="sq-AL"/>
        </w:rPr>
        <w:t>Në Projekt-buxhetin e vitit 2017, si dhe në projeksionet e tavaneve buxhetor për vitet 2018-2019, në mbështetje të Reformës së Ujit janë parashikuar:</w:t>
      </w:r>
    </w:p>
    <w:p w:rsidR="00B0121D" w:rsidRPr="00D73F43" w:rsidRDefault="00B0121D" w:rsidP="006D51B9">
      <w:pPr>
        <w:spacing w:line="276" w:lineRule="auto"/>
        <w:rPr>
          <w:lang w:val="sq-AL"/>
        </w:rPr>
      </w:pPr>
    </w:p>
    <w:p w:rsidR="00B0121D" w:rsidRPr="00D73F43" w:rsidRDefault="00B0121D" w:rsidP="00534AA6">
      <w:pPr>
        <w:numPr>
          <w:ilvl w:val="0"/>
          <w:numId w:val="20"/>
        </w:numPr>
        <w:spacing w:line="276" w:lineRule="auto"/>
        <w:rPr>
          <w:lang w:val="sq-AL"/>
        </w:rPr>
      </w:pPr>
      <w:r w:rsidRPr="00D73F43">
        <w:rPr>
          <w:lang w:val="sq-AL"/>
        </w:rPr>
        <w:t>Subvencion për ndërmarrjet e UK në shumën 1.000.000.000 lekë/vit për  vitet 2017-2019.</w:t>
      </w:r>
    </w:p>
    <w:p w:rsidR="00B0121D" w:rsidRPr="00D73F43" w:rsidRDefault="00B0121D" w:rsidP="00534AA6">
      <w:pPr>
        <w:numPr>
          <w:ilvl w:val="0"/>
          <w:numId w:val="20"/>
        </w:numPr>
        <w:spacing w:line="276" w:lineRule="auto"/>
        <w:rPr>
          <w:lang w:val="sq-AL"/>
        </w:rPr>
      </w:pPr>
      <w:r w:rsidRPr="00D73F43">
        <w:rPr>
          <w:lang w:val="sq-AL"/>
        </w:rPr>
        <w:lastRenderedPageBreak/>
        <w:t>Mbështetje për zbatimin e reformës për Sha UK (investime publike) në shumën 144.609.000 lekë për vitin 2017.</w:t>
      </w:r>
    </w:p>
    <w:p w:rsidR="00B0121D" w:rsidRPr="00D73F43" w:rsidRDefault="00B0121D" w:rsidP="00534AA6">
      <w:pPr>
        <w:numPr>
          <w:ilvl w:val="0"/>
          <w:numId w:val="20"/>
        </w:numPr>
        <w:spacing w:line="276" w:lineRule="auto"/>
        <w:ind w:left="709" w:hanging="295"/>
        <w:rPr>
          <w:lang w:val="sq-AL"/>
        </w:rPr>
      </w:pPr>
      <w:r w:rsidRPr="00D73F43">
        <w:rPr>
          <w:lang w:val="sq-AL"/>
        </w:rPr>
        <w:t>Investime në bazë performance për shoqëritë UK sipas Bashkive në shumën  441.240.000 lekë për vitin 2018 dhe 689.922.000 lekë për vitin 2019.</w:t>
      </w:r>
    </w:p>
    <w:p w:rsidR="00B0121D" w:rsidRPr="00D73F43" w:rsidRDefault="00B0121D" w:rsidP="006D51B9">
      <w:pPr>
        <w:spacing w:line="276" w:lineRule="auto"/>
        <w:rPr>
          <w:lang w:val="sq-AL"/>
        </w:rPr>
      </w:pPr>
    </w:p>
    <w:p w:rsidR="00B0121D" w:rsidRPr="00D73F43" w:rsidRDefault="00B0121D" w:rsidP="006D51B9">
      <w:pPr>
        <w:spacing w:line="276" w:lineRule="auto"/>
        <w:rPr>
          <w:lang w:val="sq-AL"/>
        </w:rPr>
      </w:pPr>
    </w:p>
    <w:p w:rsidR="00B0121D" w:rsidRPr="00AB477F" w:rsidRDefault="00CB089C" w:rsidP="006D51B9">
      <w:pPr>
        <w:pStyle w:val="Heading2"/>
        <w:spacing w:line="276" w:lineRule="auto"/>
        <w:rPr>
          <w:rFonts w:ascii="Times New Roman" w:hAnsi="Times New Roman"/>
          <w:lang w:val="sq-AL"/>
        </w:rPr>
      </w:pPr>
      <w:bookmarkStart w:id="158" w:name="_Toc466445488"/>
      <w:r w:rsidRPr="00C82BE6">
        <w:rPr>
          <w:rFonts w:ascii="Times New Roman" w:hAnsi="Times New Roman"/>
          <w:i w:val="0"/>
          <w:lang w:val="sq-AL"/>
        </w:rPr>
        <w:t>5.2</w:t>
      </w:r>
      <w:r w:rsidRPr="006D51B9">
        <w:rPr>
          <w:rFonts w:ascii="Times New Roman" w:hAnsi="Times New Roman"/>
          <w:i w:val="0"/>
          <w:lang w:val="sq-AL"/>
        </w:rPr>
        <w:t xml:space="preserve"> </w:t>
      </w:r>
      <w:r w:rsidR="00B0121D" w:rsidRPr="006D51B9">
        <w:rPr>
          <w:rFonts w:ascii="Times New Roman" w:hAnsi="Times New Roman"/>
          <w:i w:val="0"/>
          <w:lang w:val="sq-AL"/>
        </w:rPr>
        <w:t>REFORMA NË DREJTËSI</w:t>
      </w:r>
      <w:bookmarkEnd w:id="158"/>
    </w:p>
    <w:p w:rsidR="00B0121D" w:rsidRPr="00D73F43" w:rsidRDefault="00B0121D" w:rsidP="006D51B9">
      <w:pPr>
        <w:spacing w:line="276" w:lineRule="auto"/>
        <w:jc w:val="both"/>
        <w:rPr>
          <w:lang w:val="sq-AL"/>
        </w:rPr>
      </w:pPr>
      <w:r w:rsidRPr="00D73F43">
        <w:rPr>
          <w:lang w:val="sq-AL"/>
        </w:rPr>
        <w:t>Në kuadër të luftës kundër krimit të organizuar dhe korrupsionit është ndërmarrë iniciativa për të reformuar sistemin e drejtësisë nëpërmjet miratimit të një paketë ligjore, e cila synon një reformim tërësor, gjithëpërfshirës dhe të orientuar drejt parimeve europiane për një gjyqësor të paanshëm.</w:t>
      </w:r>
    </w:p>
    <w:p w:rsidR="00B0121D" w:rsidRPr="00D73F43" w:rsidRDefault="00B0121D" w:rsidP="006D51B9">
      <w:pPr>
        <w:spacing w:line="276" w:lineRule="auto"/>
        <w:jc w:val="both"/>
        <w:rPr>
          <w:b/>
          <w:lang w:val="sq-AL"/>
        </w:rPr>
      </w:pPr>
    </w:p>
    <w:p w:rsidR="00B0121D" w:rsidRPr="00D73F43" w:rsidRDefault="00B0121D" w:rsidP="00534AA6">
      <w:pPr>
        <w:numPr>
          <w:ilvl w:val="0"/>
          <w:numId w:val="18"/>
        </w:numPr>
        <w:spacing w:line="276" w:lineRule="auto"/>
        <w:jc w:val="both"/>
        <w:rPr>
          <w:b/>
          <w:lang w:val="sq-AL"/>
        </w:rPr>
      </w:pPr>
      <w:r w:rsidRPr="00D73F43">
        <w:rPr>
          <w:b/>
          <w:lang w:val="sq-AL"/>
        </w:rPr>
        <w:t>Problematikat e Sistemit Aktual të Drejtësisë</w:t>
      </w:r>
    </w:p>
    <w:p w:rsidR="00B0121D" w:rsidRPr="00D73F43" w:rsidRDefault="00B0121D" w:rsidP="006D51B9">
      <w:pPr>
        <w:spacing w:line="276" w:lineRule="auto"/>
        <w:jc w:val="both"/>
        <w:rPr>
          <w:lang w:val="sq-AL"/>
        </w:rPr>
      </w:pPr>
      <w:r w:rsidRPr="00D73F43">
        <w:rPr>
          <w:lang w:val="sq-AL"/>
        </w:rPr>
        <w:t>Problematikat e hasura në Sistemin e Drejtësisë përgjatë 25 viteve të fundit i atribuohen ndërveprimit të një sërë faktorësh ku më përcaktuesit identifikohen si më poshtë:</w:t>
      </w:r>
    </w:p>
    <w:p w:rsidR="00B0121D" w:rsidRPr="00D73F43" w:rsidRDefault="00B0121D" w:rsidP="00534AA6">
      <w:pPr>
        <w:pStyle w:val="ListParagraph"/>
        <w:numPr>
          <w:ilvl w:val="0"/>
          <w:numId w:val="21"/>
        </w:numPr>
        <w:spacing w:after="160" w:line="276" w:lineRule="auto"/>
        <w:contextualSpacing/>
        <w:jc w:val="both"/>
        <w:rPr>
          <w:lang w:val="sq-AL"/>
        </w:rPr>
      </w:pPr>
      <w:r w:rsidRPr="00D73F43">
        <w:rPr>
          <w:lang w:val="sq-AL"/>
        </w:rPr>
        <w:t xml:space="preserve">Legjislacioni i miratuar gjatë kësaj periudhe nuk i përgjigjet cilësisë dhe standardeve të kërkuara. Në shumë raste procesi i hartimit të ligjeve në Shqipëri ka qenë jo më shumë se importim i ligjeve të huaja pa iu nënshtruar një procesi përshtatjeje sipas nevojave dhe mundësive reale të vendit. Si rezultat i ndikimeve, shpesh kontradiktore, të sistemeve të ndryshme ligjore, sistemi ligjor shqiptar vazhdon të jetë në tranzicion, i çorientuar dhe jokoherent. </w:t>
      </w:r>
    </w:p>
    <w:p w:rsidR="00B0121D" w:rsidRPr="00D73F43" w:rsidRDefault="00B0121D" w:rsidP="00534AA6">
      <w:pPr>
        <w:pStyle w:val="ListParagraph"/>
        <w:numPr>
          <w:ilvl w:val="0"/>
          <w:numId w:val="21"/>
        </w:numPr>
        <w:spacing w:after="160" w:line="276" w:lineRule="auto"/>
        <w:contextualSpacing/>
        <w:jc w:val="both"/>
        <w:rPr>
          <w:lang w:val="sq-AL"/>
        </w:rPr>
      </w:pPr>
      <w:r w:rsidRPr="00D73F43">
        <w:rPr>
          <w:lang w:val="sq-AL"/>
        </w:rPr>
        <w:t>Ekziston një prani e lartë e korrupsionit në sistem, faktor, i cili ndërthuret dhe me ekzistencën e një shkalle të ulët të profesionalizmit të funksionarëve të drejtësisë.</w:t>
      </w:r>
    </w:p>
    <w:p w:rsidR="00B0121D" w:rsidRPr="00D73F43" w:rsidRDefault="00B0121D" w:rsidP="00534AA6">
      <w:pPr>
        <w:pStyle w:val="ListParagraph"/>
        <w:numPr>
          <w:ilvl w:val="0"/>
          <w:numId w:val="21"/>
        </w:numPr>
        <w:spacing w:after="160" w:line="276" w:lineRule="auto"/>
        <w:contextualSpacing/>
        <w:jc w:val="both"/>
        <w:rPr>
          <w:lang w:val="sq-AL"/>
        </w:rPr>
      </w:pPr>
      <w:r w:rsidRPr="00D73F43">
        <w:rPr>
          <w:lang w:val="sq-AL"/>
        </w:rPr>
        <w:t>Sistemi ynë i drejtësisë karakterizohet nga mungesa të thella në njohjen dhe zbatimin e standardeve të Konventës Evropiane për të Drejtat e Njeriut (KEDNJ) dhe jurisprudencës së Gjykatës Evropiane për të Drejtat e Njeriut (GJEDNJ), njohjen e direktivave dhe traktateve të BE-së, legjislacionit të zbatueshëm në kuadër të integrimit evropian, jurisprudencës së Gjykatës Evropiane të Drejtësisë (GJED) dhe në aftësinë për t’u orientuar dhe referuar tek këto standarde.</w:t>
      </w:r>
    </w:p>
    <w:p w:rsidR="00B0121D" w:rsidRPr="00D73F43" w:rsidRDefault="00B0121D" w:rsidP="006D51B9">
      <w:pPr>
        <w:pStyle w:val="ListParagraph"/>
        <w:spacing w:after="160" w:line="276" w:lineRule="auto"/>
        <w:contextualSpacing/>
        <w:jc w:val="both"/>
        <w:rPr>
          <w:lang w:val="sq-AL"/>
        </w:rPr>
      </w:pPr>
    </w:p>
    <w:p w:rsidR="00B0121D" w:rsidRPr="00D73F43" w:rsidRDefault="00B0121D" w:rsidP="00534AA6">
      <w:pPr>
        <w:numPr>
          <w:ilvl w:val="0"/>
          <w:numId w:val="18"/>
        </w:numPr>
        <w:spacing w:line="276" w:lineRule="auto"/>
        <w:jc w:val="both"/>
        <w:rPr>
          <w:b/>
          <w:lang w:val="sq-AL"/>
        </w:rPr>
      </w:pPr>
      <w:r w:rsidRPr="00D73F43">
        <w:rPr>
          <w:b/>
          <w:lang w:val="sq-AL"/>
        </w:rPr>
        <w:t>Reforma e Propozuar</w:t>
      </w:r>
    </w:p>
    <w:p w:rsidR="00B0121D" w:rsidRPr="00D73F43" w:rsidRDefault="00B0121D" w:rsidP="006D51B9">
      <w:pPr>
        <w:spacing w:line="276" w:lineRule="auto"/>
        <w:jc w:val="both"/>
        <w:rPr>
          <w:lang w:val="sq-AL"/>
        </w:rPr>
      </w:pPr>
      <w:r w:rsidRPr="00D73F43">
        <w:rPr>
          <w:lang w:val="sq-AL"/>
        </w:rPr>
        <w:t>Përkundrejt këtyre problemeve dhe sfidave madhore është e natyrshme nevoja për ndryshimin rrënjësor të gjendjes në sistemin e drejtësisë. Kjo nevojë ka diktuar një reformë kushtetuese dhe ligjore të thellë e të qëndrueshme, me qëllim që t’i përgjigjet në mënyrë efektive sfidave aktuale dhe të garantojë të ardhmen europiane të vendit:</w:t>
      </w:r>
    </w:p>
    <w:p w:rsidR="00B0121D" w:rsidRPr="00D73F43" w:rsidRDefault="00B0121D" w:rsidP="006D51B9">
      <w:pPr>
        <w:spacing w:line="276" w:lineRule="auto"/>
        <w:jc w:val="both"/>
        <w:rPr>
          <w:lang w:val="sq-AL"/>
        </w:rPr>
      </w:pPr>
    </w:p>
    <w:p w:rsidR="00B0121D" w:rsidRPr="00D73F43" w:rsidRDefault="00B0121D" w:rsidP="00534AA6">
      <w:pPr>
        <w:pStyle w:val="ListParagraph"/>
        <w:numPr>
          <w:ilvl w:val="0"/>
          <w:numId w:val="134"/>
        </w:numPr>
        <w:spacing w:after="160" w:line="276" w:lineRule="auto"/>
        <w:contextualSpacing/>
        <w:jc w:val="both"/>
        <w:rPr>
          <w:lang w:val="sq-AL"/>
        </w:rPr>
      </w:pPr>
      <w:r w:rsidRPr="00D73F43">
        <w:rPr>
          <w:lang w:val="sq-AL"/>
        </w:rPr>
        <w:t>Në lidhje me cilësinë dhe koherencën e munguar të sistemit ligjor, reforma në drejtësi synon të krijojë një sistem ligjor koherent që i përgjigjet traditës sonë ligjore, nevojave dhe shkallës së zhvillimit të vendit, si dhe nevojës për të mundësuar zhvillimin tonë të qëndrueshëm ekonomik e shoqëror në të ardhmen. Kjo nënkupton përpjekje për krijimin e një legjislacioni të konsoliduar, të sistemuar e të harmonizuar së brendshmi dhe me standardet ndërkombëtare e që zbatohet njëtrajtësisht nga institucionet e sistemit të drejtësisë. Reforma pritet t’i japë një impuls të fortë eficiencës së sistemit të drejtësisë dhe kulturës së zbatimit të ligjit.</w:t>
      </w:r>
    </w:p>
    <w:p w:rsidR="00B0121D" w:rsidRPr="00D73F43" w:rsidRDefault="00B0121D" w:rsidP="006D51B9">
      <w:pPr>
        <w:pStyle w:val="ListParagraph"/>
        <w:spacing w:line="276" w:lineRule="auto"/>
        <w:jc w:val="both"/>
        <w:rPr>
          <w:lang w:val="sq-AL"/>
        </w:rPr>
      </w:pPr>
    </w:p>
    <w:p w:rsidR="00B0121D" w:rsidRPr="00D73F43" w:rsidRDefault="00B0121D" w:rsidP="00534AA6">
      <w:pPr>
        <w:pStyle w:val="ListParagraph"/>
        <w:numPr>
          <w:ilvl w:val="0"/>
          <w:numId w:val="134"/>
        </w:numPr>
        <w:spacing w:after="160" w:line="276" w:lineRule="auto"/>
        <w:contextualSpacing/>
        <w:jc w:val="both"/>
        <w:rPr>
          <w:lang w:val="sq-AL"/>
        </w:rPr>
      </w:pPr>
      <w:r w:rsidRPr="00D73F43">
        <w:rPr>
          <w:lang w:val="sq-AL"/>
        </w:rPr>
        <w:t xml:space="preserve">Për sa i përket problemit të korrupsionit, reforma në drejtësi do të krijojë kushtet që trupa e gjyqtarëve dhe prokurorëve të përmbushë standardet më të larta të integritetit dhe etikës përmes konceptimit, miratimit dhe zbatimit rigoroz të sistemeve për monitorimin dhe testimin e </w:t>
      </w:r>
      <w:r w:rsidRPr="00D73F43">
        <w:rPr>
          <w:lang w:val="sq-AL"/>
        </w:rPr>
        <w:lastRenderedPageBreak/>
        <w:t>vazhdueshëm të integritetit moral, etik dhe psikologjik të gjyqtarëve dhe prokurorëve, si kriter për qëndrimin në detyrë. Ndërsa sistemet për matjen e performancës profesionale të gjyqtarëve dhe të prokurorëve do të perfeksionohen dhe rezultatet e tyre do të shndërrohen në kritere ekskluzive për ecurinë e magjistratëve në karrierë.</w:t>
      </w:r>
    </w:p>
    <w:p w:rsidR="00B0121D" w:rsidRPr="00D73F43" w:rsidRDefault="00B0121D" w:rsidP="006D51B9">
      <w:pPr>
        <w:pStyle w:val="ListParagraph"/>
        <w:spacing w:line="276" w:lineRule="auto"/>
        <w:jc w:val="both"/>
        <w:rPr>
          <w:lang w:val="sq-AL"/>
        </w:rPr>
      </w:pPr>
    </w:p>
    <w:p w:rsidR="00B0121D" w:rsidRPr="00D73F43" w:rsidRDefault="00B0121D" w:rsidP="00534AA6">
      <w:pPr>
        <w:pStyle w:val="ListParagraph"/>
        <w:numPr>
          <w:ilvl w:val="0"/>
          <w:numId w:val="134"/>
        </w:numPr>
        <w:spacing w:after="160" w:line="276" w:lineRule="auto"/>
        <w:contextualSpacing/>
        <w:jc w:val="both"/>
        <w:rPr>
          <w:lang w:val="sq-AL"/>
        </w:rPr>
      </w:pPr>
      <w:r w:rsidRPr="00D73F43">
        <w:rPr>
          <w:lang w:val="sq-AL"/>
        </w:rPr>
        <w:t>Sa i takon sfidës së integrimit, reforma në drejtësi do të synojë një sistem drejtësie ku aktorët kryesorë të tij: gjyqtarët, prokurorët, avokatët, noterët, përmbaruesit, ndërmjetësit, zotërojnë integritetin moral dhe aftësitë profesionale për të zbatuar standardet e së drejtës europiane në Shqipëri.</w:t>
      </w:r>
    </w:p>
    <w:p w:rsidR="00B0121D" w:rsidRPr="00D73F43" w:rsidRDefault="00B0121D" w:rsidP="00534AA6">
      <w:pPr>
        <w:numPr>
          <w:ilvl w:val="0"/>
          <w:numId w:val="18"/>
        </w:numPr>
        <w:spacing w:line="276" w:lineRule="auto"/>
        <w:jc w:val="both"/>
        <w:rPr>
          <w:b/>
          <w:lang w:val="sq-AL"/>
        </w:rPr>
      </w:pPr>
      <w:r w:rsidRPr="00D73F43">
        <w:rPr>
          <w:b/>
          <w:lang w:val="sq-AL"/>
        </w:rPr>
        <w:t>Kostimi i Reformës</w:t>
      </w:r>
    </w:p>
    <w:p w:rsidR="00B0121D" w:rsidRPr="00D73F43" w:rsidRDefault="00B0121D" w:rsidP="006D51B9">
      <w:pPr>
        <w:spacing w:line="276" w:lineRule="auto"/>
        <w:jc w:val="both"/>
        <w:rPr>
          <w:lang w:val="sq-AL"/>
        </w:rPr>
      </w:pPr>
      <w:r w:rsidRPr="00D73F43">
        <w:rPr>
          <w:lang w:val="sq-AL"/>
        </w:rPr>
        <w:t xml:space="preserve">Për të garantuar suksesin e reformës në drejtësi, është e domosdoshme një mbështetje e posaçme financiare e këtij sistemi sipas një plani veprimi të shtrirë në një hark kohor shumëvjeçar. Për këtë qëllim, duke filluar nga viti 2017, Qeveria ka programuar një fond të posaçëm prej 500 milionë lekë që do të financojë institucionet e reja të krijuara nga miratimi i një pjese të paketës së reformës në drejtësi. Më konkretisht, ky fond do të përdoret për të mbuluar shpenzimet e domosdoshme për funksionimin e institucioneve që do të garantojnë rivlerësimin e figurës së magjistratëve si dhe të </w:t>
      </w:r>
      <w:r w:rsidRPr="00D73F43">
        <w:rPr>
          <w:noProof/>
          <w:lang w:val="sq-AL"/>
        </w:rPr>
        <w:t xml:space="preserve">organeve të qeverisjes së sistemit të drejtësisë, </w:t>
      </w:r>
      <w:r w:rsidRPr="00D73F43">
        <w:rPr>
          <w:lang w:val="sq-AL"/>
        </w:rPr>
        <w:t xml:space="preserve">në Republikën e Shqipërisë. Në vitet që pasojnë, parashikohet që fondi i dedikuar për këtë reformë të rritet gradualisht duke parashikuar që në vitin 2019 të arrijë vlerën e 1.8 miliardë lekë. Ky vlerësim është paraprak dhe do të saktësohet në vijim, me miratimin e pjesës së mbetur të paketës ligjore të reformës në drejtësi, si dhe nuk përfshin mbështetjen eventuale nga donatorët e huaj. </w:t>
      </w:r>
    </w:p>
    <w:p w:rsidR="00B0121D" w:rsidRPr="00D73F43" w:rsidRDefault="00B0121D" w:rsidP="00B0121D">
      <w:pPr>
        <w:jc w:val="both"/>
        <w:rPr>
          <w:lang w:val="sq-AL"/>
        </w:rPr>
      </w:pPr>
    </w:p>
    <w:p w:rsidR="00B0121D" w:rsidRPr="00C82BE6" w:rsidRDefault="00CB089C" w:rsidP="00CB089C">
      <w:pPr>
        <w:pStyle w:val="Heading2"/>
        <w:rPr>
          <w:rFonts w:ascii="Times New Roman" w:hAnsi="Times New Roman"/>
          <w:i w:val="0"/>
          <w:lang w:val="sq-AL"/>
        </w:rPr>
      </w:pPr>
      <w:bookmarkStart w:id="159" w:name="_Toc466445489"/>
      <w:r w:rsidRPr="00C82BE6">
        <w:rPr>
          <w:rFonts w:ascii="Times New Roman" w:hAnsi="Times New Roman"/>
          <w:i w:val="0"/>
          <w:lang w:val="sq-AL"/>
        </w:rPr>
        <w:t xml:space="preserve">5.3 </w:t>
      </w:r>
      <w:r w:rsidR="00B0121D" w:rsidRPr="00C82BE6">
        <w:rPr>
          <w:rFonts w:ascii="Times New Roman" w:hAnsi="Times New Roman"/>
          <w:i w:val="0"/>
          <w:lang w:val="sq-AL"/>
        </w:rPr>
        <w:t>REFORMA NË ADMINISTRATËN PUBLIKE</w:t>
      </w:r>
      <w:bookmarkEnd w:id="159"/>
    </w:p>
    <w:p w:rsidR="00B0121D" w:rsidRPr="00D73F43" w:rsidRDefault="00B0121D" w:rsidP="00B0121D">
      <w:pPr>
        <w:spacing w:line="276" w:lineRule="auto"/>
        <w:jc w:val="both"/>
        <w:rPr>
          <w:lang w:val="sq-AL"/>
        </w:rPr>
      </w:pPr>
      <w:r w:rsidRPr="00D73F43">
        <w:rPr>
          <w:lang w:val="sq-AL"/>
        </w:rPr>
        <w:t xml:space="preserve">Strategjia Ndërsektoriale e Reformës së Administratës Publike 2015-2020 fokusohet mbi zhvillimin dhe zbatimin e procedurave transparente dhe të paanshme të rekrutimit, menaxhimin e burimeve njerëzore, zhvillimin e karrierës në shërbimin publik, trajnimin e vazhdueshëm, promovimin e etikës në administratën publike, si dhe garantimin e qeverisjen elektronike. Zbatimi i kësaj strategjie, ka sjellë nevojën për reformimin e një sërë fushash të lidhura me administratën publike. </w:t>
      </w:r>
    </w:p>
    <w:p w:rsidR="00B0121D" w:rsidRPr="00D73F43" w:rsidRDefault="00B0121D" w:rsidP="00B0121D">
      <w:pPr>
        <w:spacing w:line="276" w:lineRule="auto"/>
        <w:jc w:val="both"/>
        <w:rPr>
          <w:lang w:val="sq-AL"/>
        </w:rPr>
      </w:pPr>
    </w:p>
    <w:p w:rsidR="00B0121D" w:rsidRDefault="00B0121D" w:rsidP="00C82BE6">
      <w:pPr>
        <w:spacing w:line="276" w:lineRule="auto"/>
        <w:jc w:val="both"/>
        <w:rPr>
          <w:rFonts w:eastAsia="Calibri"/>
          <w:bCs/>
          <w:lang w:val="sq-AL"/>
        </w:rPr>
      </w:pPr>
      <w:r w:rsidRPr="00D73F43">
        <w:rPr>
          <w:lang w:val="sq-AL"/>
        </w:rPr>
        <w:t>Konkretisht, në fushën e shërbimeve publike vazhdon puna për transformimin rrënjësor të mënyrës së ofrimit të shërbimeve  përmes qasjes “</w:t>
      </w:r>
      <w:r w:rsidRPr="00D73F43">
        <w:rPr>
          <w:i/>
          <w:lang w:val="sq-AL"/>
        </w:rPr>
        <w:t>me në qendër qytetarin</w:t>
      </w:r>
      <w:r w:rsidRPr="00D73F43">
        <w:rPr>
          <w:lang w:val="sq-AL"/>
        </w:rPr>
        <w:t>”. Për vitin 2017 synohet hapje e dy qendrave të reja të integruara për ofrimin e shërbimeve publike në qytetet Durrës dhe Elbasan. Synohet</w:t>
      </w:r>
      <w:r w:rsidRPr="00D73F43">
        <w:rPr>
          <w:rFonts w:eastAsia="Calibri"/>
          <w:bCs/>
          <w:lang w:val="sq-AL"/>
        </w:rPr>
        <w:t xml:space="preserve"> thjeshtëzimi i procedurave administrative për përfitimin e shërbimit publik; vendosja e standardeve për ofrimin e shërbimeve dhe implementimi i sistemit matës të performancës për të gjitha zyrat e shërbimeve në territorin e vendit, si dhe implementimi i kanaleve informativ</w:t>
      </w:r>
      <w:r w:rsidR="00C82BE6">
        <w:rPr>
          <w:rFonts w:eastAsia="Calibri"/>
          <w:bCs/>
          <w:lang w:val="sq-AL"/>
        </w:rPr>
        <w:t>e të shumëfishta për qytetarët.</w:t>
      </w:r>
    </w:p>
    <w:p w:rsidR="00C82BE6" w:rsidRPr="00C82BE6" w:rsidRDefault="00C82BE6" w:rsidP="00C82BE6">
      <w:pPr>
        <w:spacing w:line="276" w:lineRule="auto"/>
        <w:jc w:val="both"/>
        <w:rPr>
          <w:rFonts w:eastAsia="Calibri"/>
          <w:bCs/>
          <w:lang w:val="sq-AL"/>
        </w:rPr>
      </w:pPr>
    </w:p>
    <w:p w:rsidR="00B0121D" w:rsidRPr="00D73F43" w:rsidRDefault="00B0121D" w:rsidP="00B0121D">
      <w:pPr>
        <w:spacing w:after="240" w:line="276" w:lineRule="auto"/>
        <w:jc w:val="both"/>
        <w:rPr>
          <w:rFonts w:eastAsia="Times New Roman"/>
          <w:lang w:val="sq-AL"/>
        </w:rPr>
      </w:pPr>
      <w:r w:rsidRPr="00D73F43">
        <w:rPr>
          <w:rFonts w:eastAsia="Times New Roman"/>
          <w:lang w:val="sq-AL"/>
        </w:rPr>
        <w:t>Në fushën e qeverisjes elektronike, për vitin 2017 është parashikuar që investimet publike të përqendrohen në konsolidimin e shërbimeve elektronike dhe on-line, si dhe në konsolidimin dhe rritjen e sigurisë së infrastrukturës dixhitale dhe të dhënave shtetërore.</w:t>
      </w:r>
    </w:p>
    <w:p w:rsidR="00B0121D" w:rsidRPr="00D73F43" w:rsidRDefault="00B0121D" w:rsidP="00B0121D">
      <w:pPr>
        <w:jc w:val="both"/>
        <w:rPr>
          <w:rFonts w:eastAsia="Times New Roman"/>
          <w:lang w:val="sq-AL"/>
        </w:rPr>
      </w:pPr>
      <w:r w:rsidRPr="00D73F43">
        <w:rPr>
          <w:lang w:val="sq-AL"/>
        </w:rPr>
        <w:t xml:space="preserve">Në këtë kontekst, në vitin 2017 </w:t>
      </w:r>
      <w:r w:rsidRPr="00D73F43">
        <w:rPr>
          <w:rFonts w:eastAsia="Times New Roman"/>
          <w:lang w:val="sq-AL"/>
        </w:rPr>
        <w:t>parashikohet dhe realizimi i një politike të re në nivelin e pagave të punonjësve buxhetorë e publik. Kjo politikë e rritjes së pagave, përmban:</w:t>
      </w:r>
    </w:p>
    <w:p w:rsidR="00B0121D" w:rsidRPr="00D73F43" w:rsidRDefault="00B0121D" w:rsidP="00B0121D">
      <w:pPr>
        <w:jc w:val="both"/>
        <w:rPr>
          <w:rFonts w:eastAsia="Times New Roman"/>
          <w:sz w:val="16"/>
          <w:szCs w:val="16"/>
          <w:lang w:val="sq-AL"/>
        </w:rPr>
      </w:pPr>
    </w:p>
    <w:p w:rsidR="00B0121D" w:rsidRPr="00D73F43" w:rsidRDefault="00B0121D" w:rsidP="00534AA6">
      <w:pPr>
        <w:numPr>
          <w:ilvl w:val="0"/>
          <w:numId w:val="24"/>
        </w:numPr>
        <w:spacing w:line="276" w:lineRule="auto"/>
        <w:jc w:val="both"/>
        <w:rPr>
          <w:rFonts w:eastAsia="Times New Roman"/>
          <w:lang w:val="sq-AL"/>
        </w:rPr>
      </w:pPr>
      <w:r w:rsidRPr="00D73F43">
        <w:rPr>
          <w:rFonts w:eastAsia="Times New Roman"/>
          <w:lang w:val="sq-AL"/>
        </w:rPr>
        <w:t xml:space="preserve">Rritjen e nivelit të pagës mujore të punonjësve me mesatarisht 10%, </w:t>
      </w:r>
    </w:p>
    <w:p w:rsidR="00B0121D" w:rsidRPr="00D73F43" w:rsidRDefault="00B0121D" w:rsidP="00534AA6">
      <w:pPr>
        <w:numPr>
          <w:ilvl w:val="0"/>
          <w:numId w:val="24"/>
        </w:numPr>
        <w:spacing w:line="276" w:lineRule="auto"/>
        <w:jc w:val="both"/>
        <w:rPr>
          <w:rFonts w:eastAsia="Times New Roman"/>
          <w:lang w:val="sq-AL"/>
        </w:rPr>
      </w:pPr>
      <w:r w:rsidRPr="00D73F43">
        <w:rPr>
          <w:rFonts w:eastAsia="Times New Roman"/>
          <w:lang w:val="sq-AL"/>
        </w:rPr>
        <w:t xml:space="preserve">Alokimin e një fondi prej 7.5 miliardë lekë në nivel vjetor ose në masën 6.2 miliardë lekë për një periudhë 10- mujore. </w:t>
      </w:r>
    </w:p>
    <w:p w:rsidR="00B0121D" w:rsidRPr="00D73F43" w:rsidRDefault="00B0121D" w:rsidP="00534AA6">
      <w:pPr>
        <w:numPr>
          <w:ilvl w:val="0"/>
          <w:numId w:val="24"/>
        </w:numPr>
        <w:spacing w:line="276" w:lineRule="auto"/>
        <w:jc w:val="both"/>
        <w:rPr>
          <w:rFonts w:eastAsia="Times New Roman"/>
          <w:lang w:val="sq-AL"/>
        </w:rPr>
      </w:pPr>
      <w:r w:rsidRPr="00D73F43">
        <w:rPr>
          <w:rFonts w:eastAsia="Times New Roman"/>
          <w:lang w:val="sq-AL"/>
        </w:rPr>
        <w:lastRenderedPageBreak/>
        <w:t>110,000 përfitues nga të cilët 81 mijë punonjës janë buxhetorë dhe rreth 29 mijë punonjës të tjerë janë mjeke, insfermierë dhe punonjës mësimorë të universiteteve publikë.</w:t>
      </w:r>
    </w:p>
    <w:p w:rsidR="00B0121D" w:rsidRPr="00D73F43" w:rsidRDefault="00B0121D" w:rsidP="00B0121D">
      <w:pPr>
        <w:jc w:val="both"/>
        <w:rPr>
          <w:rFonts w:eastAsia="Times New Roman"/>
          <w:sz w:val="16"/>
          <w:szCs w:val="16"/>
          <w:lang w:val="sq-AL"/>
        </w:rPr>
      </w:pPr>
    </w:p>
    <w:p w:rsidR="00B0121D" w:rsidRPr="00D73F43" w:rsidRDefault="00B0121D" w:rsidP="00B0121D">
      <w:pPr>
        <w:spacing w:line="276" w:lineRule="auto"/>
        <w:jc w:val="both"/>
        <w:rPr>
          <w:rFonts w:eastAsia="Times New Roman"/>
          <w:lang w:val="sq-AL"/>
        </w:rPr>
      </w:pPr>
      <w:r w:rsidRPr="00D73F43">
        <w:rPr>
          <w:rFonts w:eastAsia="Times New Roman"/>
          <w:lang w:val="sq-AL"/>
        </w:rPr>
        <w:t>Politika e rritjes së pagave bëhet e diferencuar duke i dhënë prioritet kryesisht pagës minimale, pagës në sistemin arsimor dhe shëndetësor, pagës së administratës publike si dhe pagës së punonjësve në sistemin e Policisë së Shtetit. Më konkretisht, kjo politikë realizon:</w:t>
      </w:r>
    </w:p>
    <w:p w:rsidR="00B0121D" w:rsidRPr="00D73F43" w:rsidRDefault="00B0121D" w:rsidP="00B0121D">
      <w:pPr>
        <w:spacing w:line="276" w:lineRule="auto"/>
        <w:jc w:val="both"/>
        <w:rPr>
          <w:rFonts w:eastAsia="Times New Roman"/>
          <w:lang w:val="sq-AL"/>
        </w:rPr>
      </w:pPr>
    </w:p>
    <w:p w:rsidR="00B0121D" w:rsidRPr="00D73F43" w:rsidRDefault="00B0121D" w:rsidP="00534AA6">
      <w:pPr>
        <w:numPr>
          <w:ilvl w:val="0"/>
          <w:numId w:val="135"/>
        </w:numPr>
        <w:spacing w:line="276" w:lineRule="auto"/>
        <w:jc w:val="both"/>
        <w:rPr>
          <w:rFonts w:eastAsia="Times New Roman"/>
          <w:lang w:val="sq-AL"/>
        </w:rPr>
      </w:pPr>
      <w:r w:rsidRPr="00D73F43">
        <w:rPr>
          <w:rFonts w:eastAsia="Times New Roman"/>
          <w:lang w:val="sq-AL"/>
        </w:rPr>
        <w:t xml:space="preserve">Rritjen e pagës bazë minimale me 36.3 % ose me 8 mijë lekë/muaj. Numri total i përfituesve nga rritja e pagës minimale në administratën buxhetore për vitin 2017 është rreth 6,900 punonjës dhe fondi i nevojshëm për këtë rritje është rreth 1 miliardë lekë në vit. </w:t>
      </w:r>
    </w:p>
    <w:p w:rsidR="00B0121D" w:rsidRPr="00D73F43" w:rsidRDefault="00B0121D" w:rsidP="00534AA6">
      <w:pPr>
        <w:numPr>
          <w:ilvl w:val="0"/>
          <w:numId w:val="135"/>
        </w:numPr>
        <w:spacing w:line="276" w:lineRule="auto"/>
        <w:jc w:val="both"/>
        <w:rPr>
          <w:rFonts w:eastAsia="Times New Roman"/>
          <w:lang w:val="sq-AL"/>
        </w:rPr>
      </w:pPr>
      <w:r w:rsidRPr="00D73F43">
        <w:rPr>
          <w:rFonts w:eastAsia="Times New Roman"/>
          <w:lang w:val="sq-AL"/>
        </w:rPr>
        <w:t xml:space="preserve">Rritjen e pagës në sistemin arsimor publik parauniversitar dhe universitar me 10%. Numri i përfituesve është gjithsej 38 mijë punonjës mësimorë. Fondi i parashikuar për t’u akorduar për këtë qëllim arrin në 1.8 miliardë lekë. Gjithashtu, kjo rritje page do të financohet nga buxheti i shtetit edhe për 8 mijë punonjës të tjerë mësimore që janë në varësi të bashkive, duke shtuar financimin e grandit në masën 500 milionë lekë. </w:t>
      </w:r>
    </w:p>
    <w:p w:rsidR="00B0121D" w:rsidRPr="00D73F43" w:rsidRDefault="00B0121D" w:rsidP="00534AA6">
      <w:pPr>
        <w:numPr>
          <w:ilvl w:val="0"/>
          <w:numId w:val="135"/>
        </w:numPr>
        <w:spacing w:line="276" w:lineRule="auto"/>
        <w:contextualSpacing/>
        <w:jc w:val="both"/>
        <w:rPr>
          <w:rFonts w:eastAsia="Times New Roman"/>
          <w:lang w:val="sq-AL"/>
        </w:rPr>
      </w:pPr>
      <w:r w:rsidRPr="00D73F43">
        <w:rPr>
          <w:rFonts w:eastAsia="Times New Roman"/>
          <w:lang w:val="sq-AL"/>
        </w:rPr>
        <w:t xml:space="preserve">Rritjen e pagës në sistemin shëndetësor publik me 10%. Numri i përfituesve është gjithsej 18,500 mjekë dhe infermierë. Fondi i parashikuar për t’u akorduar për këtë qëllim arrin në 1.5 miliardë lekë. </w:t>
      </w:r>
    </w:p>
    <w:p w:rsidR="00B0121D" w:rsidRPr="00D73F43" w:rsidRDefault="00B0121D" w:rsidP="00534AA6">
      <w:pPr>
        <w:numPr>
          <w:ilvl w:val="0"/>
          <w:numId w:val="135"/>
        </w:numPr>
        <w:spacing w:line="276" w:lineRule="auto"/>
        <w:contextualSpacing/>
        <w:jc w:val="both"/>
        <w:rPr>
          <w:rFonts w:eastAsia="Times New Roman"/>
          <w:lang w:val="sq-AL"/>
        </w:rPr>
      </w:pPr>
      <w:r w:rsidRPr="00D73F43">
        <w:rPr>
          <w:rFonts w:eastAsia="Times New Roman"/>
          <w:lang w:val="sq-AL"/>
        </w:rPr>
        <w:t xml:space="preserve">Rritjen e pagës së punonjësve të Policisë së Shtetit me 10%. Numri i përfituesve është rreth 10 mijë  punonjës policie. Fondi i parashikuar për t’u akorduar për këtë qëllim arrin në 800 milionë lekë. </w:t>
      </w:r>
    </w:p>
    <w:p w:rsidR="00B0121D" w:rsidRPr="00D73F43" w:rsidRDefault="00B0121D" w:rsidP="00534AA6">
      <w:pPr>
        <w:numPr>
          <w:ilvl w:val="0"/>
          <w:numId w:val="135"/>
        </w:numPr>
        <w:spacing w:line="276" w:lineRule="auto"/>
        <w:contextualSpacing/>
        <w:jc w:val="both"/>
        <w:rPr>
          <w:rFonts w:eastAsia="Times New Roman"/>
          <w:lang w:val="sq-AL"/>
        </w:rPr>
      </w:pPr>
      <w:r w:rsidRPr="00D73F43">
        <w:rPr>
          <w:rFonts w:eastAsia="Times New Roman"/>
          <w:lang w:val="sq-AL"/>
        </w:rPr>
        <w:t xml:space="preserve">Rritjen e pagës së nëpunësve të Administratës Publike mesatarisht me 7%. </w:t>
      </w:r>
    </w:p>
    <w:p w:rsidR="00B0121D" w:rsidRPr="00D73F43" w:rsidRDefault="00B0121D" w:rsidP="00B0121D">
      <w:pPr>
        <w:spacing w:line="276" w:lineRule="auto"/>
        <w:rPr>
          <w:lang w:val="sq-AL"/>
        </w:rPr>
      </w:pPr>
    </w:p>
    <w:p w:rsidR="00B0121D" w:rsidRPr="00C82BE6" w:rsidRDefault="00CB089C" w:rsidP="00CB089C">
      <w:pPr>
        <w:pStyle w:val="Heading2"/>
        <w:rPr>
          <w:rFonts w:ascii="Times New Roman" w:hAnsi="Times New Roman"/>
          <w:i w:val="0"/>
          <w:lang w:val="sq-AL"/>
        </w:rPr>
      </w:pPr>
      <w:bookmarkStart w:id="160" w:name="_Toc466445490"/>
      <w:r w:rsidRPr="00C82BE6">
        <w:rPr>
          <w:rFonts w:ascii="Times New Roman" w:hAnsi="Times New Roman"/>
          <w:i w:val="0"/>
          <w:lang w:val="sq-AL"/>
        </w:rPr>
        <w:t xml:space="preserve">5.4 </w:t>
      </w:r>
      <w:r w:rsidR="00B0121D" w:rsidRPr="00C82BE6">
        <w:rPr>
          <w:rFonts w:ascii="Times New Roman" w:hAnsi="Times New Roman"/>
          <w:i w:val="0"/>
          <w:lang w:val="sq-AL"/>
        </w:rPr>
        <w:t>REFORMA TERRITORIALE ADMINISTRATIVE</w:t>
      </w:r>
      <w:bookmarkEnd w:id="160"/>
    </w:p>
    <w:p w:rsidR="00B0121D" w:rsidRPr="00D73F43" w:rsidRDefault="00B0121D" w:rsidP="00B0121D">
      <w:pPr>
        <w:pStyle w:val="NormalWeb"/>
        <w:spacing w:before="0" w:beforeAutospacing="0" w:after="120" w:afterAutospacing="0" w:line="276" w:lineRule="auto"/>
        <w:jc w:val="both"/>
        <w:rPr>
          <w:lang w:val="sq-AL"/>
        </w:rPr>
      </w:pPr>
      <w:r w:rsidRPr="00D73F43">
        <w:rPr>
          <w:lang w:val="sq-AL"/>
        </w:rPr>
        <w:t xml:space="preserve">Fragmentimi i pushtetit vendor dhe mungesa e konsiderueshme e burimeve fiskale dhe njerëzore në ofrimin e shërbimeve publike në një pjesë të konsiderueshme të njësive të vetëqeverisjes vendore, përbënin një kosto shtesë në jetën e qytetarëve. Ndarja e vjetër territoriale nuk pasqyronte ritmet e zhvillimeve ekonomike sociale, demografike dhe infrastrukturore të ndodhura pas ndryshimeve të vitit 1992. Në këto kushte, Reforma administrativo-territoriale është një nga prioritetet e rëndësishme të programit të qeverisë për periudhën 2013-2017. Reforma administrativo-territoriale synon, rritjen e aksesit të qytetarëve në shërbimet publike vendore dhe përmirësimin e cilësisë së ofrimit të këtyre shërbimeve. Krijimi i mjediseve dhe kushteve sa më të mira për qytetarin dhe biznesin nëpërmjet rritjes dhe përmirësimit të cilësisë së shërbimeve publike duhet të shoqërohet me rritjen e burimeve financiare për njësitë e vetëqeverisjes vendore. Kjo filozofi e decentralizimit dhe financimi i saj shkon në një linjë me parimet e decentralizimit të pushtetit dhe autonomisë vendore, të përcaktuara në Kushtetutën e vendit dhe Kartën Evropiane të Vetëqeverisjes Vendore. </w:t>
      </w:r>
    </w:p>
    <w:p w:rsidR="00B0121D" w:rsidRPr="00D73F43" w:rsidRDefault="00B0121D" w:rsidP="00534AA6">
      <w:pPr>
        <w:pStyle w:val="NormalWeb"/>
        <w:numPr>
          <w:ilvl w:val="0"/>
          <w:numId w:val="18"/>
        </w:numPr>
        <w:spacing w:before="0" w:beforeAutospacing="0" w:after="120" w:afterAutospacing="0" w:line="276" w:lineRule="auto"/>
        <w:jc w:val="both"/>
        <w:rPr>
          <w:b/>
          <w:lang w:val="sq-AL"/>
        </w:rPr>
      </w:pPr>
      <w:r w:rsidRPr="00D73F43">
        <w:rPr>
          <w:b/>
          <w:lang w:val="sq-AL"/>
        </w:rPr>
        <w:t>Problematika dhe nevoja për reformën administrativo-territoriale</w:t>
      </w:r>
    </w:p>
    <w:p w:rsidR="00B0121D" w:rsidRPr="00D73F43" w:rsidRDefault="00B0121D" w:rsidP="00B0121D">
      <w:pPr>
        <w:pStyle w:val="NormalWeb"/>
        <w:spacing w:before="0" w:beforeAutospacing="0" w:after="120" w:afterAutospacing="0" w:line="276" w:lineRule="auto"/>
        <w:jc w:val="both"/>
        <w:rPr>
          <w:lang w:val="sq-AL"/>
        </w:rPr>
      </w:pPr>
      <w:r w:rsidRPr="00D73F43">
        <w:rPr>
          <w:lang w:val="sq-AL"/>
        </w:rPr>
        <w:t>Ndarja e vjetër administrativo-territoriale e vendit në pjesën më të madhe të saj kishte krijuar njësi të qeverisjes vendore me numër të vogël popullsie dhe me burime e asete të kufizuara. Kjo situatë, në shumicën e rasteve është kthyer në paaftësi për të ushtruar funksionet sipas kuadrit ligjor në fuqi, në mungesë aftësie për të gjeneruar të ardhura nga taksat dhe tarifat vendore, në shpërdorim të të ardhurave për shpenzime administrative dhe varësi pothuajse absolute për shumicën e njësive të qeverisjes vendore  nga transfertat e buxhetit të shtetit.</w:t>
      </w:r>
    </w:p>
    <w:p w:rsidR="00B0121D" w:rsidRPr="00D73F43" w:rsidRDefault="00B0121D" w:rsidP="00B0121D">
      <w:pPr>
        <w:pStyle w:val="NormalWeb"/>
        <w:spacing w:before="0" w:beforeAutospacing="0" w:after="120" w:afterAutospacing="0" w:line="276" w:lineRule="auto"/>
        <w:jc w:val="both"/>
        <w:rPr>
          <w:shd w:val="clear" w:color="auto" w:fill="FFFFFF"/>
          <w:lang w:val="sq-AL"/>
        </w:rPr>
      </w:pPr>
      <w:r w:rsidRPr="00D73F43">
        <w:rPr>
          <w:lang w:val="sq-AL"/>
        </w:rPr>
        <w:t xml:space="preserve">Paaftësia për të ofruar shërbime ndaj qytetarëve dhe pamundësia për të gjeneruar zhvillim për komunitetet lokale ka sjellë flukse të mëdha migruese brenda vendit, kryesisht nga zonat rurale drejt zonave urbane. </w:t>
      </w:r>
      <w:r w:rsidRPr="00D73F43">
        <w:rPr>
          <w:lang w:val="sq-AL"/>
        </w:rPr>
        <w:lastRenderedPageBreak/>
        <w:t xml:space="preserve">Statistikat e migrimit të popullsisë tregojnë se në vitin 2011 </w:t>
      </w:r>
      <w:r w:rsidRPr="00D73F43">
        <w:rPr>
          <w:iCs/>
          <w:lang w:val="sq-AL"/>
        </w:rPr>
        <w:t xml:space="preserve">në zonat urbane banonin më tepër se 51% e popullsisë kundrejt 49% që banonin në zonat rurale. </w:t>
      </w:r>
    </w:p>
    <w:p w:rsidR="00B0121D" w:rsidRPr="00D73F43" w:rsidRDefault="00B0121D" w:rsidP="00B0121D">
      <w:pPr>
        <w:pStyle w:val="NormalWeb"/>
        <w:spacing w:before="0" w:beforeAutospacing="0" w:after="120" w:afterAutospacing="0" w:line="276" w:lineRule="auto"/>
        <w:jc w:val="both"/>
        <w:rPr>
          <w:lang w:val="sq-AL"/>
        </w:rPr>
      </w:pPr>
      <w:r w:rsidRPr="00D73F43">
        <w:rPr>
          <w:lang w:val="sq-AL"/>
        </w:rPr>
        <w:t>Nga të dhënat financiare deri në vitin 2014, rezulton se mbi 50% e njësive të qeverisjes vendore sipas ndarjes së vjetër territoriale gjeneronin jo më shumë se 10% të buxhetit nga të ardhurat e veta lokale dhe rreth 63% e njësive të qeverisjes vendore shpenzonin mbi 50% të buxhetit për shpenzime personeli. Shumica e njësive të qeverisjes vendore nuk kryente asnjë investim me të ardhurat e veta dhe ishin të varura tërësisht nga transfertat e buxhetit të shtetit. Në këto kushte ndarja e vjetër administrative nuk ofronte as shërbime publike dhe as mundësi zhvillimi. Si rrjedhojë, me qëllim rritjen e aftësive të pushtetit vendor në ofrimin e shërbimeve publike dhe orientimin e tyre drejt zhvillimit, në vitin 2014 u miratua ligji për ndarjen e re administrativo-territoriale.</w:t>
      </w:r>
    </w:p>
    <w:p w:rsidR="00B0121D" w:rsidRPr="00D73F43" w:rsidRDefault="00B0121D" w:rsidP="00534AA6">
      <w:pPr>
        <w:pStyle w:val="ListParagraph"/>
        <w:numPr>
          <w:ilvl w:val="0"/>
          <w:numId w:val="18"/>
        </w:numPr>
        <w:spacing w:after="120" w:line="276" w:lineRule="auto"/>
        <w:contextualSpacing/>
        <w:jc w:val="both"/>
        <w:rPr>
          <w:b/>
          <w:shd w:val="clear" w:color="auto" w:fill="FFFFFF"/>
          <w:lang w:val="sq-AL"/>
        </w:rPr>
      </w:pPr>
      <w:r w:rsidRPr="00D73F43">
        <w:rPr>
          <w:b/>
          <w:shd w:val="clear" w:color="auto" w:fill="FFFFFF"/>
          <w:lang w:val="sq-AL"/>
        </w:rPr>
        <w:t>Kostot e reformës territoriale dhe mbështetja saj në buxhetin e vitit 2017</w:t>
      </w:r>
    </w:p>
    <w:p w:rsidR="00B0121D" w:rsidRPr="00D73F43" w:rsidRDefault="00B0121D" w:rsidP="00B0121D">
      <w:pPr>
        <w:pStyle w:val="ListParagraph"/>
        <w:spacing w:after="120"/>
        <w:ind w:left="0"/>
        <w:jc w:val="both"/>
        <w:rPr>
          <w:b/>
          <w:sz w:val="16"/>
          <w:szCs w:val="16"/>
          <w:shd w:val="clear" w:color="auto" w:fill="FFFFFF"/>
          <w:lang w:val="sq-AL"/>
        </w:rPr>
      </w:pPr>
    </w:p>
    <w:p w:rsidR="00B0121D" w:rsidRPr="00D73F43" w:rsidRDefault="00B0121D" w:rsidP="00B0121D">
      <w:pPr>
        <w:pStyle w:val="ListParagraph"/>
        <w:spacing w:line="276" w:lineRule="auto"/>
        <w:ind w:left="0"/>
        <w:jc w:val="both"/>
        <w:rPr>
          <w:lang w:val="sq-AL"/>
        </w:rPr>
      </w:pPr>
      <w:r w:rsidRPr="00D73F43">
        <w:rPr>
          <w:lang w:val="sq-AL"/>
        </w:rPr>
        <w:t xml:space="preserve">Buxheti i pushtetit vendor i vitit 2017 </w:t>
      </w:r>
      <w:r w:rsidRPr="00D73F43">
        <w:rPr>
          <w:shd w:val="clear" w:color="auto" w:fill="FFFFFF"/>
          <w:lang w:val="sq-AL"/>
        </w:rPr>
        <w:t xml:space="preserve">do të jetë 3.1% e PBB-së duke mbështetur </w:t>
      </w:r>
      <w:r w:rsidRPr="00D73F43">
        <w:rPr>
          <w:lang w:val="sq-AL"/>
        </w:rPr>
        <w:t xml:space="preserve"> zbatimin e Reformës territoriale. Të gjithë treguesit e buxhetit të vitit 2017, janë dukshëm më të lartë se ata të vitit 2016 dhe akoma më të lartë se buxheti i vitit 2013. Transferta e pakushtëzuar do të jetë rreth 20 % më e lartë se e vitit 2016, e cila do të ndikojë në mënyrë të drejtpërdrejtë në rritjen e investimeve dhe shërbimeve publike në favor të qytetarëve.</w:t>
      </w:r>
    </w:p>
    <w:p w:rsidR="00B0121D" w:rsidRPr="00D73F43" w:rsidRDefault="00B0121D" w:rsidP="00B0121D">
      <w:pPr>
        <w:pStyle w:val="ListParagraph"/>
        <w:spacing w:line="276" w:lineRule="auto"/>
        <w:ind w:left="0"/>
        <w:jc w:val="both"/>
        <w:rPr>
          <w:lang w:val="sq-AL"/>
        </w:rPr>
      </w:pPr>
    </w:p>
    <w:p w:rsidR="00B0121D" w:rsidRPr="00D73F43" w:rsidRDefault="00B0121D" w:rsidP="00B0121D">
      <w:pPr>
        <w:pStyle w:val="ListParagraph"/>
        <w:spacing w:line="276" w:lineRule="auto"/>
        <w:ind w:left="0"/>
        <w:jc w:val="both"/>
        <w:rPr>
          <w:lang w:val="sq-AL"/>
        </w:rPr>
      </w:pPr>
      <w:r w:rsidRPr="00D73F43">
        <w:rPr>
          <w:lang w:val="sq-AL"/>
        </w:rPr>
        <w:t>Një mbështetje të konsiderueshme gjejnë funksionet e transferuara në vitin 2016 t</w:t>
      </w:r>
      <w:r w:rsidR="00890180">
        <w:rPr>
          <w:lang w:val="sq-AL"/>
        </w:rPr>
        <w:t>ë</w:t>
      </w:r>
      <w:r w:rsidRPr="00D73F43">
        <w:rPr>
          <w:lang w:val="sq-AL"/>
        </w:rPr>
        <w:t xml:space="preserve"> 61 bashkitë e vendit, për të cilat në buxhetin e vitit 2017 do t’u alokohen rreth 7 miliardë lekë. Këto funksione janë të lidhur në mënyrë të drejtpërdrejtë me shërbimet publike vendore dhe me mundësitë për zhvillimin e q</w:t>
      </w:r>
      <w:r w:rsidR="00890180">
        <w:rPr>
          <w:lang w:val="sq-AL"/>
        </w:rPr>
        <w:t>ë</w:t>
      </w:r>
      <w:r w:rsidRPr="00D73F43">
        <w:rPr>
          <w:lang w:val="sq-AL"/>
        </w:rPr>
        <w:t>ndrueshëm në nivel vendor. Në këtë kontekst janë rritur dukshëm shpenzimet korente për:</w:t>
      </w:r>
    </w:p>
    <w:p w:rsidR="00B0121D" w:rsidRPr="00D73F43" w:rsidRDefault="00B0121D" w:rsidP="00B0121D">
      <w:pPr>
        <w:pStyle w:val="ListParagraph"/>
        <w:ind w:left="0"/>
        <w:jc w:val="both"/>
        <w:rPr>
          <w:lang w:val="sq-AL"/>
        </w:rPr>
      </w:pPr>
    </w:p>
    <w:p w:rsidR="00B0121D" w:rsidRPr="00D73F43" w:rsidRDefault="00B0121D" w:rsidP="00534AA6">
      <w:pPr>
        <w:pStyle w:val="ListParagraph"/>
        <w:numPr>
          <w:ilvl w:val="0"/>
          <w:numId w:val="31"/>
        </w:numPr>
        <w:spacing w:line="276" w:lineRule="auto"/>
        <w:contextualSpacing/>
        <w:jc w:val="both"/>
        <w:rPr>
          <w:lang w:val="sq-AL"/>
        </w:rPr>
      </w:pPr>
      <w:r w:rsidRPr="00D73F43">
        <w:rPr>
          <w:lang w:val="sq-AL"/>
        </w:rPr>
        <w:t xml:space="preserve">Personelin edukativ dhe mbështetës në arsimin parashkollor, </w:t>
      </w:r>
    </w:p>
    <w:p w:rsidR="00B0121D" w:rsidRPr="00D73F43" w:rsidRDefault="00B0121D" w:rsidP="00534AA6">
      <w:pPr>
        <w:pStyle w:val="ListParagraph"/>
        <w:numPr>
          <w:ilvl w:val="0"/>
          <w:numId w:val="31"/>
        </w:numPr>
        <w:spacing w:line="276" w:lineRule="auto"/>
        <w:contextualSpacing/>
        <w:jc w:val="both"/>
        <w:rPr>
          <w:lang w:val="sq-AL"/>
        </w:rPr>
      </w:pPr>
      <w:r w:rsidRPr="00D73F43">
        <w:rPr>
          <w:lang w:val="sq-AL"/>
        </w:rPr>
        <w:t xml:space="preserve">Personelin mbështetës të arsimit parauniversitar, </w:t>
      </w:r>
    </w:p>
    <w:p w:rsidR="00B0121D" w:rsidRPr="00D73F43" w:rsidRDefault="00B0121D" w:rsidP="00534AA6">
      <w:pPr>
        <w:pStyle w:val="ListParagraph"/>
        <w:numPr>
          <w:ilvl w:val="0"/>
          <w:numId w:val="31"/>
        </w:numPr>
        <w:spacing w:line="276" w:lineRule="auto"/>
        <w:contextualSpacing/>
        <w:jc w:val="both"/>
        <w:rPr>
          <w:lang w:val="sq-AL"/>
        </w:rPr>
      </w:pPr>
      <w:r w:rsidRPr="00D73F43">
        <w:rPr>
          <w:lang w:val="sq-AL"/>
        </w:rPr>
        <w:t xml:space="preserve">Rrugët rurale rajonale, </w:t>
      </w:r>
    </w:p>
    <w:p w:rsidR="00B0121D" w:rsidRPr="00D73F43" w:rsidRDefault="00B0121D" w:rsidP="00534AA6">
      <w:pPr>
        <w:pStyle w:val="ListParagraph"/>
        <w:numPr>
          <w:ilvl w:val="0"/>
          <w:numId w:val="31"/>
        </w:numPr>
        <w:spacing w:line="276" w:lineRule="auto"/>
        <w:contextualSpacing/>
        <w:jc w:val="both"/>
        <w:rPr>
          <w:lang w:val="sq-AL"/>
        </w:rPr>
      </w:pPr>
      <w:r w:rsidRPr="00D73F43">
        <w:rPr>
          <w:lang w:val="sq-AL"/>
        </w:rPr>
        <w:t xml:space="preserve">Shërbimin e mbrojtjes nga zjarri, </w:t>
      </w:r>
    </w:p>
    <w:p w:rsidR="00B0121D" w:rsidRPr="00D73F43" w:rsidRDefault="00B0121D" w:rsidP="00534AA6">
      <w:pPr>
        <w:pStyle w:val="ListParagraph"/>
        <w:numPr>
          <w:ilvl w:val="0"/>
          <w:numId w:val="31"/>
        </w:numPr>
        <w:spacing w:line="276" w:lineRule="auto"/>
        <w:contextualSpacing/>
        <w:jc w:val="both"/>
        <w:rPr>
          <w:lang w:val="sq-AL"/>
        </w:rPr>
      </w:pPr>
      <w:r w:rsidRPr="00D73F43">
        <w:rPr>
          <w:lang w:val="sq-AL"/>
        </w:rPr>
        <w:t xml:space="preserve">Shërbimin pyjor, </w:t>
      </w:r>
    </w:p>
    <w:p w:rsidR="00B0121D" w:rsidRPr="00D73F43" w:rsidRDefault="00B0121D" w:rsidP="00534AA6">
      <w:pPr>
        <w:pStyle w:val="ListParagraph"/>
        <w:numPr>
          <w:ilvl w:val="0"/>
          <w:numId w:val="31"/>
        </w:numPr>
        <w:spacing w:line="276" w:lineRule="auto"/>
        <w:contextualSpacing/>
        <w:jc w:val="both"/>
        <w:rPr>
          <w:lang w:val="sq-AL"/>
        </w:rPr>
      </w:pPr>
      <w:r w:rsidRPr="00D73F43">
        <w:rPr>
          <w:lang w:val="sq-AL"/>
        </w:rPr>
        <w:t xml:space="preserve">Ujitjen dhe kullimin dhe  </w:t>
      </w:r>
    </w:p>
    <w:p w:rsidR="00B0121D" w:rsidRPr="00D73F43" w:rsidRDefault="00B0121D" w:rsidP="00534AA6">
      <w:pPr>
        <w:pStyle w:val="ListParagraph"/>
        <w:numPr>
          <w:ilvl w:val="0"/>
          <w:numId w:val="31"/>
        </w:numPr>
        <w:spacing w:line="276" w:lineRule="auto"/>
        <w:contextualSpacing/>
        <w:jc w:val="both"/>
        <w:rPr>
          <w:lang w:val="sq-AL"/>
        </w:rPr>
      </w:pPr>
      <w:r w:rsidRPr="00D73F43">
        <w:rPr>
          <w:lang w:val="sq-AL"/>
        </w:rPr>
        <w:t xml:space="preserve">Shërbimet sociale. </w:t>
      </w:r>
    </w:p>
    <w:p w:rsidR="00B0121D" w:rsidRPr="00D73F43" w:rsidRDefault="00B0121D" w:rsidP="00B0121D">
      <w:pPr>
        <w:pStyle w:val="ListParagraph"/>
        <w:spacing w:line="276" w:lineRule="auto"/>
        <w:contextualSpacing/>
        <w:jc w:val="both"/>
        <w:rPr>
          <w:lang w:val="sq-AL"/>
        </w:rPr>
      </w:pPr>
    </w:p>
    <w:p w:rsidR="00B0121D" w:rsidRPr="00D73F43" w:rsidRDefault="00B0121D" w:rsidP="00B0121D">
      <w:pPr>
        <w:pStyle w:val="ListParagraph"/>
        <w:spacing w:line="276" w:lineRule="auto"/>
        <w:ind w:left="0"/>
        <w:jc w:val="both"/>
        <w:rPr>
          <w:lang w:val="sq-AL"/>
        </w:rPr>
      </w:pPr>
      <w:r w:rsidRPr="00D73F43">
        <w:rPr>
          <w:lang w:val="sq-AL"/>
        </w:rPr>
        <w:t>Në funksionin e arsimit parauniversitar janë transferuar nga pushteti qendror në atë vendor 232 punonjës me një fond rreth 170 milionë lekë. Për funksionin e ujitjes dhe kullimit është parashikuar financimi i drejtuesve të 61 eskavatorëve të blerë në vitin 2016, si dhe shpenzime karburanti dhe të tjera shpenzime që arrijnë shumën prej 400 milionë lekë. Gjithashtu, për këtë funksion janë parashikuar rreth 380 milionë lekë investime. Për herë të parë në buxhetin e vitit 2017, është parashikuar një fond prej 20 milionë lekë, për mirëmbajtjen e digave. Për funksionin e mbrojtjes nga zjarri janë parashikuar të shtohen 254 punonjës me një fond prej 200 milionë lekë. Ky shërbim për vitin 2017, do fillojë të funksionojë për herë të parë në 12 bashki. Gjithashtu, për këto bashki janë parashikuar edhe fonde për investime. Në shërbimin pyjor janë parashikuar të shtohen fonde për parandalimin e dëmeve dhe zjarreve në pyje. Për këtë shërbim janë parashikuar në buxhetin e vitit 2017, rreth 89 roje pyjesh me një fond prej 48 milionë lekë.</w:t>
      </w:r>
    </w:p>
    <w:p w:rsidR="00B0121D" w:rsidRPr="00D73F43" w:rsidRDefault="00B0121D" w:rsidP="00B0121D">
      <w:pPr>
        <w:pStyle w:val="ListParagraph"/>
        <w:spacing w:line="276" w:lineRule="auto"/>
        <w:ind w:left="0"/>
        <w:jc w:val="both"/>
        <w:rPr>
          <w:lang w:val="sq-AL"/>
        </w:rPr>
      </w:pPr>
      <w:r w:rsidRPr="00D73F43">
        <w:rPr>
          <w:lang w:val="sq-AL"/>
        </w:rPr>
        <w:t xml:space="preserve">Për vitin 2017, për këto funksione është parashikuar edhe fondi i nevojshëm për rritjen e pagave.  </w:t>
      </w:r>
    </w:p>
    <w:p w:rsidR="00B0121D" w:rsidRPr="00D73F43" w:rsidRDefault="00B0121D" w:rsidP="00B0121D">
      <w:pPr>
        <w:spacing w:after="120" w:line="276" w:lineRule="auto"/>
        <w:jc w:val="both"/>
        <w:rPr>
          <w:shd w:val="clear" w:color="auto" w:fill="FFFFFF"/>
          <w:lang w:val="sq-AL"/>
        </w:rPr>
      </w:pPr>
      <w:r w:rsidRPr="00D73F43">
        <w:rPr>
          <w:shd w:val="clear" w:color="auto" w:fill="FFFFFF"/>
          <w:lang w:val="sq-AL"/>
        </w:rPr>
        <w:t>Zbatimi i Reformës territoriale filloi në buxhetin e vitit 2016 me financimin e funksioneve të reja të transferuar në njësitë e vetëqeverisjes vendore. Kjo reformë do të plotësohet edhe me miratimin e ligjit integral të financave vendore.</w:t>
      </w:r>
    </w:p>
    <w:p w:rsidR="00B0121D" w:rsidRPr="00D73F43" w:rsidRDefault="00B0121D" w:rsidP="00534AA6">
      <w:pPr>
        <w:pStyle w:val="Default"/>
        <w:numPr>
          <w:ilvl w:val="0"/>
          <w:numId w:val="18"/>
        </w:numPr>
        <w:adjustRightInd w:val="0"/>
        <w:spacing w:line="276" w:lineRule="auto"/>
        <w:ind w:right="-43"/>
        <w:jc w:val="both"/>
        <w:rPr>
          <w:b/>
          <w:color w:val="auto"/>
        </w:rPr>
      </w:pPr>
      <w:r w:rsidRPr="00D73F43">
        <w:rPr>
          <w:b/>
          <w:color w:val="auto"/>
        </w:rPr>
        <w:lastRenderedPageBreak/>
        <w:t xml:space="preserve">Reforma administrative-territoriale, efektet e saj në buxhetin vendor </w:t>
      </w:r>
    </w:p>
    <w:p w:rsidR="00B0121D" w:rsidRPr="00D73F43" w:rsidRDefault="00B0121D" w:rsidP="00B0121D">
      <w:pPr>
        <w:pStyle w:val="Default"/>
        <w:spacing w:line="276" w:lineRule="auto"/>
        <w:ind w:right="-43"/>
        <w:jc w:val="both"/>
        <w:rPr>
          <w:color w:val="auto"/>
          <w:sz w:val="16"/>
          <w:szCs w:val="16"/>
        </w:rPr>
      </w:pPr>
    </w:p>
    <w:p w:rsidR="00B0121D" w:rsidRPr="00D73F43" w:rsidRDefault="00B0121D" w:rsidP="00B0121D">
      <w:pPr>
        <w:spacing w:line="276" w:lineRule="auto"/>
        <w:contextualSpacing/>
        <w:jc w:val="both"/>
        <w:rPr>
          <w:lang w:val="sq-AL"/>
        </w:rPr>
      </w:pPr>
      <w:r w:rsidRPr="00D73F43">
        <w:rPr>
          <w:lang w:val="sq-AL"/>
        </w:rPr>
        <w:t>Buxheti vendor i vitit 2017</w:t>
      </w:r>
      <w:r w:rsidR="00890180">
        <w:rPr>
          <w:lang w:val="sq-AL"/>
        </w:rPr>
        <w:t>,</w:t>
      </w:r>
      <w:r w:rsidRPr="00D73F43">
        <w:rPr>
          <w:lang w:val="sq-AL"/>
        </w:rPr>
        <w:t xml:space="preserve"> do të shoqërohet me një model të ndryshimit të financimit dhe menaxhimit financiar në qeverisjen vendore, në funksion të zbatimit të reformës administrativo-territoriale. </w:t>
      </w:r>
    </w:p>
    <w:p w:rsidR="00B0121D" w:rsidRPr="00D73F43" w:rsidRDefault="00B0121D" w:rsidP="00B0121D">
      <w:pPr>
        <w:pStyle w:val="Default"/>
        <w:spacing w:after="120" w:line="276" w:lineRule="auto"/>
        <w:ind w:right="-43"/>
        <w:jc w:val="both"/>
        <w:rPr>
          <w:color w:val="auto"/>
        </w:rPr>
      </w:pPr>
      <w:r w:rsidRPr="00D73F43">
        <w:rPr>
          <w:color w:val="auto"/>
        </w:rPr>
        <w:t>Arritjet kryesore të kësaj reforme të shoqëruara me efekte pozitive në buxhetin vendor, do të jenë në drejtim të:</w:t>
      </w:r>
    </w:p>
    <w:p w:rsidR="00B0121D" w:rsidRPr="00D73F43" w:rsidRDefault="00B0121D" w:rsidP="00534AA6">
      <w:pPr>
        <w:numPr>
          <w:ilvl w:val="0"/>
          <w:numId w:val="28"/>
        </w:numPr>
        <w:spacing w:line="276" w:lineRule="auto"/>
        <w:jc w:val="both"/>
        <w:rPr>
          <w:rFonts w:eastAsia="Times New Roman"/>
          <w:lang w:val="sq-AL" w:eastAsia="sq-AL"/>
        </w:rPr>
      </w:pPr>
      <w:r w:rsidRPr="00D73F43">
        <w:rPr>
          <w:rFonts w:eastAsia="Times New Roman"/>
          <w:lang w:val="sq-AL" w:eastAsia="sq-AL"/>
        </w:rPr>
        <w:t xml:space="preserve">Rritjes së buxhetit në tërësi për pushtetin vendor, nga </w:t>
      </w:r>
      <w:r w:rsidRPr="00D73F43">
        <w:rPr>
          <w:rFonts w:eastAsia="Times New Roman"/>
          <w:b/>
          <w:bCs/>
          <w:lang w:val="sq-AL" w:eastAsia="sq-AL"/>
        </w:rPr>
        <w:t xml:space="preserve">2.1 për qind </w:t>
      </w:r>
      <w:r w:rsidRPr="00D73F43">
        <w:rPr>
          <w:rFonts w:eastAsia="Times New Roman"/>
          <w:bCs/>
          <w:lang w:val="sq-AL" w:eastAsia="sq-AL"/>
        </w:rPr>
        <w:t>të</w:t>
      </w:r>
      <w:r w:rsidRPr="00D73F43">
        <w:rPr>
          <w:rFonts w:eastAsia="Times New Roman"/>
          <w:lang w:val="sq-AL" w:eastAsia="sq-AL"/>
        </w:rPr>
        <w:t xml:space="preserve"> PBB-së që zinte para reformës në </w:t>
      </w:r>
      <w:r w:rsidRPr="00D73F43">
        <w:rPr>
          <w:rFonts w:eastAsia="Times New Roman"/>
          <w:b/>
          <w:bCs/>
          <w:lang w:val="sq-AL" w:eastAsia="sq-AL"/>
        </w:rPr>
        <w:t xml:space="preserve">3.1 për qind </w:t>
      </w:r>
      <w:r w:rsidRPr="00D73F43">
        <w:rPr>
          <w:rFonts w:eastAsia="Times New Roman"/>
          <w:bCs/>
          <w:lang w:val="sq-AL" w:eastAsia="sq-AL"/>
        </w:rPr>
        <w:t>të</w:t>
      </w:r>
      <w:r w:rsidRPr="00D73F43">
        <w:rPr>
          <w:rFonts w:eastAsia="Times New Roman"/>
          <w:lang w:val="sq-AL" w:eastAsia="sq-AL"/>
        </w:rPr>
        <w:t xml:space="preserve"> PBB-së në projekt-buxhetin e vitit 2017.</w:t>
      </w:r>
    </w:p>
    <w:p w:rsidR="00B0121D" w:rsidRPr="00D73F43" w:rsidRDefault="00B0121D" w:rsidP="00534AA6">
      <w:pPr>
        <w:numPr>
          <w:ilvl w:val="0"/>
          <w:numId w:val="28"/>
        </w:numPr>
        <w:spacing w:line="276" w:lineRule="auto"/>
        <w:jc w:val="both"/>
        <w:rPr>
          <w:rFonts w:eastAsia="Times New Roman"/>
          <w:lang w:val="sq-AL" w:eastAsia="sq-AL"/>
        </w:rPr>
      </w:pPr>
      <w:r w:rsidRPr="00D73F43">
        <w:rPr>
          <w:rFonts w:eastAsia="Times New Roman"/>
          <w:lang w:val="sq-AL" w:eastAsia="sq-AL"/>
        </w:rPr>
        <w:t>Uljes së kostove për qytetarët, duke qenë se fragmentarizimi i njësive vendore kishte një kosto të konsiderueshme. Llogaritet që rreth 4 miliardë lekë në vit të kursehen nga ulja e shpenzimeve administrative. Këto kursime do të rrisin fondin për investime publike.</w:t>
      </w:r>
    </w:p>
    <w:p w:rsidR="00B0121D" w:rsidRPr="00D73F43" w:rsidRDefault="00B0121D" w:rsidP="00534AA6">
      <w:pPr>
        <w:numPr>
          <w:ilvl w:val="0"/>
          <w:numId w:val="28"/>
        </w:numPr>
        <w:spacing w:line="276" w:lineRule="auto"/>
        <w:jc w:val="both"/>
        <w:rPr>
          <w:rFonts w:eastAsia="Times New Roman"/>
          <w:lang w:val="sq-AL" w:eastAsia="sq-AL"/>
        </w:rPr>
      </w:pPr>
      <w:r w:rsidRPr="00D73F43">
        <w:rPr>
          <w:lang w:val="sq-AL"/>
        </w:rPr>
        <w:t>Rritjes së eficiencës në ofrimin e shërbimeve publike në nivel vendor,</w:t>
      </w:r>
      <w:r w:rsidRPr="00D73F43">
        <w:rPr>
          <w:rFonts w:eastAsia="Times New Roman"/>
          <w:lang w:val="sq-AL" w:eastAsia="sq-AL"/>
        </w:rPr>
        <w:t xml:space="preserve"> duke patur administrim dhe qeverisje më të mirë.</w:t>
      </w:r>
    </w:p>
    <w:p w:rsidR="00B0121D" w:rsidRPr="00D73F43" w:rsidRDefault="00B0121D" w:rsidP="00534AA6">
      <w:pPr>
        <w:numPr>
          <w:ilvl w:val="0"/>
          <w:numId w:val="28"/>
        </w:numPr>
        <w:spacing w:line="276" w:lineRule="auto"/>
        <w:jc w:val="both"/>
        <w:rPr>
          <w:lang w:val="sq-AL"/>
        </w:rPr>
      </w:pPr>
      <w:r w:rsidRPr="00D73F43">
        <w:rPr>
          <w:lang w:val="sq-AL"/>
        </w:rPr>
        <w:t>Zhvillimit ekonomik lokal dhe në uljen e pabarazive midis njësive të vetëqeverisjes vendore.</w:t>
      </w:r>
    </w:p>
    <w:p w:rsidR="00B0121D" w:rsidRPr="00D73F43" w:rsidRDefault="00B0121D" w:rsidP="00534AA6">
      <w:pPr>
        <w:numPr>
          <w:ilvl w:val="0"/>
          <w:numId w:val="28"/>
        </w:numPr>
        <w:spacing w:line="276" w:lineRule="auto"/>
        <w:jc w:val="both"/>
        <w:rPr>
          <w:lang w:val="sq-AL"/>
        </w:rPr>
      </w:pPr>
      <w:r w:rsidRPr="00D73F43">
        <w:rPr>
          <w:lang w:val="sq-AL"/>
        </w:rPr>
        <w:t>Nxitjes së zhvillimit vendor, ndërkohë që ndarja territoriale para reformës shoqërohej me një ngadalësim në zhvilllimin vendor, për shkak të varësisë së njësive të vetëqeverisjes vendore ndaj të ardhurave nga buxheti i shtetit.</w:t>
      </w:r>
    </w:p>
    <w:p w:rsidR="00B0121D" w:rsidRPr="00D73F43" w:rsidRDefault="00B0121D" w:rsidP="00534AA6">
      <w:pPr>
        <w:numPr>
          <w:ilvl w:val="0"/>
          <w:numId w:val="28"/>
        </w:numPr>
        <w:spacing w:line="276" w:lineRule="auto"/>
        <w:contextualSpacing/>
        <w:jc w:val="both"/>
        <w:rPr>
          <w:rFonts w:eastAsia="Times New Roman"/>
          <w:lang w:val="sq-AL"/>
        </w:rPr>
      </w:pPr>
      <w:r w:rsidRPr="00D73F43">
        <w:rPr>
          <w:rFonts w:eastAsia="Times New Roman"/>
          <w:lang w:val="sq-AL"/>
        </w:rPr>
        <w:t>Rritjes së burimeve financiare dhe mjeteve për qeverinë vendore, nëpërmjet transferimit të funksioneve qendrore në nivel vendor</w:t>
      </w:r>
      <w:r w:rsidRPr="00D73F43">
        <w:rPr>
          <w:lang w:val="sq-AL"/>
        </w:rPr>
        <w:t xml:space="preserve">. </w:t>
      </w:r>
    </w:p>
    <w:bookmarkEnd w:id="9"/>
    <w:bookmarkEnd w:id="10"/>
    <w:p w:rsidR="00B0121D" w:rsidRPr="00D73F43" w:rsidRDefault="00B0121D" w:rsidP="00B0121D">
      <w:pPr>
        <w:spacing w:line="276" w:lineRule="auto"/>
        <w:jc w:val="both"/>
        <w:rPr>
          <w:lang w:val="sq-AL"/>
        </w:rPr>
      </w:pPr>
    </w:p>
    <w:p w:rsidR="00B0121D" w:rsidRPr="00D73F43" w:rsidRDefault="00B0121D" w:rsidP="00B0121D">
      <w:pPr>
        <w:suppressAutoHyphens/>
        <w:autoSpaceDN w:val="0"/>
        <w:spacing w:after="120" w:line="276" w:lineRule="auto"/>
        <w:jc w:val="both"/>
        <w:rPr>
          <w:rFonts w:eastAsia="Times New Roman"/>
          <w:b/>
          <w:kern w:val="3"/>
          <w:lang w:val="sq-AL"/>
        </w:rPr>
      </w:pPr>
    </w:p>
    <w:p w:rsidR="00B0121D" w:rsidRPr="00D73F43" w:rsidRDefault="00B0121D" w:rsidP="00534AA6">
      <w:pPr>
        <w:pStyle w:val="Heading1"/>
        <w:numPr>
          <w:ilvl w:val="0"/>
          <w:numId w:val="49"/>
        </w:numPr>
        <w:tabs>
          <w:tab w:val="clear" w:pos="5954"/>
          <w:tab w:val="center" w:pos="709"/>
        </w:tabs>
        <w:spacing w:line="276" w:lineRule="auto"/>
        <w:jc w:val="both"/>
        <w:rPr>
          <w:bCs/>
          <w:iCs/>
          <w:sz w:val="28"/>
          <w:szCs w:val="28"/>
          <w:lang w:val="sq-AL"/>
        </w:rPr>
      </w:pPr>
      <w:bookmarkStart w:id="161" w:name="_Toc466445491"/>
      <w:r w:rsidRPr="00D73F43">
        <w:rPr>
          <w:bCs/>
          <w:iCs/>
          <w:sz w:val="28"/>
          <w:szCs w:val="28"/>
          <w:lang w:val="sq-AL"/>
        </w:rPr>
        <w:t>POLITIKAT E TAKSAVE PËR VITIN 201</w:t>
      </w:r>
      <w:r w:rsidR="00CE3B96">
        <w:rPr>
          <w:bCs/>
          <w:iCs/>
          <w:sz w:val="28"/>
          <w:szCs w:val="28"/>
          <w:lang w:val="sq-AL"/>
        </w:rPr>
        <w:t>7</w:t>
      </w:r>
      <w:bookmarkEnd w:id="161"/>
      <w:r w:rsidRPr="00D73F43">
        <w:rPr>
          <w:bCs/>
          <w:iCs/>
          <w:sz w:val="28"/>
          <w:szCs w:val="28"/>
          <w:lang w:val="sq-AL"/>
        </w:rPr>
        <w:t xml:space="preserve">  </w:t>
      </w:r>
    </w:p>
    <w:p w:rsidR="00B0121D" w:rsidRPr="00D73F43" w:rsidRDefault="00B0121D" w:rsidP="00B0121D">
      <w:pPr>
        <w:rPr>
          <w:lang w:val="sq-AL"/>
        </w:rPr>
      </w:pPr>
    </w:p>
    <w:p w:rsidR="00C82BE6" w:rsidRPr="00C82BE6" w:rsidRDefault="00CB089C" w:rsidP="00534AA6">
      <w:pPr>
        <w:pStyle w:val="Heading1"/>
        <w:numPr>
          <w:ilvl w:val="2"/>
          <w:numId w:val="151"/>
        </w:numPr>
        <w:tabs>
          <w:tab w:val="clear" w:pos="5954"/>
          <w:tab w:val="left" w:pos="426"/>
          <w:tab w:val="left" w:pos="993"/>
          <w:tab w:val="center" w:pos="1276"/>
        </w:tabs>
        <w:spacing w:after="120" w:line="276" w:lineRule="auto"/>
        <w:ind w:right="0"/>
        <w:jc w:val="left"/>
        <w:rPr>
          <w:caps w:val="0"/>
          <w:sz w:val="26"/>
          <w:szCs w:val="26"/>
          <w:lang w:val="sq-AL"/>
        </w:rPr>
      </w:pPr>
      <w:r w:rsidRPr="00C82BE6">
        <w:rPr>
          <w:caps w:val="0"/>
          <w:sz w:val="26"/>
          <w:szCs w:val="26"/>
          <w:lang w:val="sq-AL"/>
        </w:rPr>
        <w:t xml:space="preserve"> </w:t>
      </w:r>
      <w:bookmarkStart w:id="162" w:name="_Toc466445492"/>
      <w:r w:rsidR="00C82BE6" w:rsidRPr="00C82BE6">
        <w:rPr>
          <w:caps w:val="0"/>
          <w:sz w:val="26"/>
          <w:szCs w:val="26"/>
          <w:lang w:val="sq-AL"/>
        </w:rPr>
        <w:t>PAKETA E RE FISKALE</w:t>
      </w:r>
      <w:bookmarkEnd w:id="162"/>
    </w:p>
    <w:p w:rsidR="00C82BE6" w:rsidRPr="00C82BE6" w:rsidRDefault="00C82BE6" w:rsidP="00C82BE6">
      <w:pPr>
        <w:jc w:val="both"/>
        <w:rPr>
          <w:rFonts w:eastAsia="MS Mincho"/>
          <w:strike/>
          <w:lang w:val="sq-AL"/>
        </w:rPr>
      </w:pPr>
      <w:r w:rsidRPr="00C82BE6">
        <w:rPr>
          <w:lang w:val="sq-AL"/>
        </w:rPr>
        <w:t xml:space="preserve">Paketa Fiskale 2017 parashikon korrektime taksash për qëllim përafrimi me BE dhe lehtësira për biznesin prodhues. Ndër ndryshimet kryesore renditen: </w:t>
      </w:r>
    </w:p>
    <w:p w:rsidR="00C82BE6" w:rsidRPr="00C82BE6" w:rsidRDefault="00C82BE6" w:rsidP="00C82BE6">
      <w:pPr>
        <w:jc w:val="both"/>
        <w:rPr>
          <w:lang w:val="it-IT"/>
        </w:rPr>
      </w:pPr>
      <w:r w:rsidRPr="00C82BE6">
        <w:rPr>
          <w:lang w:val="sq-AL"/>
        </w:rPr>
        <w:t xml:space="preserve">1. Ligji nr. 9975 </w:t>
      </w:r>
      <w:r w:rsidRPr="00C82BE6">
        <w:rPr>
          <w:rFonts w:eastAsia="Times New Roman"/>
          <w:color w:val="000000"/>
          <w:lang w:val="sq-AL"/>
        </w:rPr>
        <w:t>“Për taksat kombëtare në Republikën e Shqipërisë” i ndryshuar. Mbështetje e  drejtpërdrejtë për industrinë minerare.</w:t>
      </w:r>
    </w:p>
    <w:p w:rsidR="00C82BE6" w:rsidRPr="00C82BE6" w:rsidRDefault="00C82BE6" w:rsidP="00C82BE6">
      <w:pPr>
        <w:ind w:left="360"/>
        <w:jc w:val="both"/>
        <w:rPr>
          <w:rFonts w:eastAsia="+mn-ea"/>
          <w:bCs/>
          <w:color w:val="000000"/>
          <w:kern w:val="24"/>
          <w:lang w:val="it-IT"/>
        </w:rPr>
      </w:pPr>
    </w:p>
    <w:p w:rsidR="00C82BE6" w:rsidRPr="00C82BE6" w:rsidRDefault="00C82BE6" w:rsidP="00534AA6">
      <w:pPr>
        <w:numPr>
          <w:ilvl w:val="0"/>
          <w:numId w:val="153"/>
        </w:numPr>
        <w:spacing w:line="276" w:lineRule="auto"/>
        <w:jc w:val="both"/>
        <w:rPr>
          <w:lang w:val="sq-AL"/>
        </w:rPr>
      </w:pPr>
      <w:r w:rsidRPr="00C82BE6">
        <w:rPr>
          <w:rFonts w:eastAsia="+mn-ea"/>
          <w:bCs/>
          <w:color w:val="000000"/>
          <w:kern w:val="24"/>
          <w:lang w:val="it-IT"/>
        </w:rPr>
        <w:t xml:space="preserve">Reduktim i rentës minerare për mineralin e destinuar për përpunim nga 4% në 3% me efekt – 0.010 miliardë lekë në të ardhurat nga renta por me faktorë pozitivë në rritje të prodhimit vendas dhe faktorët fiskalë që e shoqërojnë. </w:t>
      </w:r>
    </w:p>
    <w:p w:rsidR="00C82BE6" w:rsidRPr="00C82BE6" w:rsidRDefault="00C82BE6" w:rsidP="00C82BE6">
      <w:pPr>
        <w:ind w:left="720"/>
        <w:jc w:val="both"/>
        <w:rPr>
          <w:lang w:val="sq-AL"/>
        </w:rPr>
      </w:pPr>
    </w:p>
    <w:p w:rsidR="00C82BE6" w:rsidRPr="00C82BE6" w:rsidRDefault="00C82BE6" w:rsidP="00534AA6">
      <w:pPr>
        <w:numPr>
          <w:ilvl w:val="0"/>
          <w:numId w:val="152"/>
        </w:numPr>
        <w:tabs>
          <w:tab w:val="left" w:pos="0"/>
          <w:tab w:val="left" w:pos="270"/>
        </w:tabs>
        <w:contextualSpacing/>
        <w:jc w:val="both"/>
        <w:rPr>
          <w:rFonts w:eastAsia="MS Mincho"/>
          <w:lang w:val="sq-AL"/>
        </w:rPr>
      </w:pPr>
      <w:r w:rsidRPr="00C82BE6">
        <w:rPr>
          <w:rFonts w:eastAsia="MS Mincho"/>
          <w:lang w:val="sq-AL"/>
        </w:rPr>
        <w:t xml:space="preserve">Ligji për Akcizat në Republikën e Shqipërisë nr. 61/2012, i ndryshuar. </w:t>
      </w:r>
    </w:p>
    <w:p w:rsidR="00C82BE6" w:rsidRPr="00C82BE6" w:rsidRDefault="00C82BE6" w:rsidP="00C82BE6">
      <w:pPr>
        <w:ind w:left="720"/>
        <w:contextualSpacing/>
        <w:jc w:val="both"/>
        <w:rPr>
          <w:rFonts w:eastAsia="MS Mincho"/>
          <w:lang w:val="sq-AL"/>
        </w:rPr>
      </w:pPr>
    </w:p>
    <w:p w:rsidR="00C82BE6" w:rsidRPr="00C82BE6" w:rsidRDefault="00C82BE6" w:rsidP="00534AA6">
      <w:pPr>
        <w:numPr>
          <w:ilvl w:val="0"/>
          <w:numId w:val="154"/>
        </w:numPr>
        <w:spacing w:line="276" w:lineRule="auto"/>
        <w:jc w:val="both"/>
        <w:rPr>
          <w:rFonts w:eastAsia="MS Mincho"/>
          <w:lang w:val="sq-AL"/>
        </w:rPr>
      </w:pPr>
      <w:r w:rsidRPr="00C82BE6">
        <w:rPr>
          <w:rFonts w:eastAsia="MS Mincho"/>
          <w:lang w:val="sq-AL"/>
        </w:rPr>
        <w:t xml:space="preserve">Shfuqizohet rritja e akcizës 2017 dhe riskedulohet rritja në vitet 2018-2021 për cigaret. Rritja e parashikuar e akcizës më 1 Janar 2017 për cigaret nga 5500 lekë/1000 copë në 6500 lekë/1000 copë, propozohet të riskedulohet bazuar në argumentat e mëposhtëm: </w:t>
      </w:r>
    </w:p>
    <w:p w:rsidR="00C82BE6" w:rsidRPr="00C82BE6" w:rsidRDefault="00C82BE6" w:rsidP="00534AA6">
      <w:pPr>
        <w:numPr>
          <w:ilvl w:val="0"/>
          <w:numId w:val="41"/>
        </w:numPr>
        <w:spacing w:line="276" w:lineRule="auto"/>
        <w:contextualSpacing/>
        <w:jc w:val="both"/>
        <w:rPr>
          <w:rFonts w:eastAsia="MS Mincho"/>
          <w:lang w:val="sq-AL"/>
        </w:rPr>
      </w:pPr>
      <w:r w:rsidRPr="00C82BE6">
        <w:rPr>
          <w:rFonts w:eastAsia="MS Mincho"/>
          <w:lang w:val="sq-AL"/>
        </w:rPr>
        <w:t xml:space="preserve">Ndryshimet e nivelit të taksimit në mënyrë graduale, evitojnë efektet e krijimit të stokut në avancë nga importuesit, sikurse rezultoi në vitet 2013-2015. </w:t>
      </w:r>
    </w:p>
    <w:p w:rsidR="00C82BE6" w:rsidRPr="00C82BE6" w:rsidRDefault="00C82BE6" w:rsidP="00534AA6">
      <w:pPr>
        <w:numPr>
          <w:ilvl w:val="0"/>
          <w:numId w:val="41"/>
        </w:numPr>
        <w:spacing w:line="276" w:lineRule="auto"/>
        <w:contextualSpacing/>
        <w:jc w:val="both"/>
        <w:rPr>
          <w:rFonts w:eastAsia="MS Mincho"/>
          <w:lang w:val="sq-AL"/>
        </w:rPr>
      </w:pPr>
      <w:r w:rsidRPr="00C82BE6">
        <w:rPr>
          <w:rFonts w:eastAsia="MS Mincho"/>
          <w:lang w:val="sq-AL"/>
        </w:rPr>
        <w:t xml:space="preserve">Niveli i akcizës në vendet e rajonit ka ndikim në presionin e kalimeve ndërkufitare të udhëtarëve dhe rritja e menjëhershme në nivelin 47.4 Euro/1000 copë siç është parashikuar aktualisht në ligjin në fuqi, do të krijonte risk të rritur. </w:t>
      </w:r>
    </w:p>
    <w:p w:rsidR="00C82BE6" w:rsidRPr="00C82BE6" w:rsidRDefault="00C82BE6" w:rsidP="00534AA6">
      <w:pPr>
        <w:numPr>
          <w:ilvl w:val="0"/>
          <w:numId w:val="42"/>
        </w:numPr>
        <w:spacing w:line="276" w:lineRule="auto"/>
        <w:contextualSpacing/>
        <w:jc w:val="both"/>
        <w:rPr>
          <w:rFonts w:eastAsia="MS Mincho"/>
          <w:lang w:val="sq-AL"/>
        </w:rPr>
      </w:pPr>
      <w:r w:rsidRPr="00C82BE6">
        <w:rPr>
          <w:rFonts w:eastAsia="MS Mincho"/>
          <w:lang w:val="sq-AL"/>
        </w:rPr>
        <w:t xml:space="preserve">Skedulimi i rritjes graduale me qëllim përafrimin me Direktivën e BE-së numër 2011/64 “On the structure and rates of excise duty applied to manufactured tobacco”, siguron një politikë të </w:t>
      </w:r>
      <w:r w:rsidRPr="00C82BE6">
        <w:rPr>
          <w:rFonts w:eastAsia="MS Mincho"/>
          <w:lang w:val="sq-AL"/>
        </w:rPr>
        <w:lastRenderedPageBreak/>
        <w:t xml:space="preserve">qëndrueshme taksimi në përputhje me standartet e fushës dhe garantimin afatmesëm të projeksionit të të ardhurave buxhetore. </w:t>
      </w:r>
    </w:p>
    <w:p w:rsidR="00C82BE6" w:rsidRPr="00C82BE6" w:rsidRDefault="00C82BE6" w:rsidP="00C82BE6">
      <w:pPr>
        <w:ind w:left="720"/>
        <w:jc w:val="both"/>
        <w:rPr>
          <w:rFonts w:eastAsia="MS Mincho"/>
          <w:lang w:val="sq-AL"/>
        </w:rPr>
      </w:pPr>
    </w:p>
    <w:p w:rsidR="00C82BE6" w:rsidRPr="00C82BE6" w:rsidRDefault="00C82BE6" w:rsidP="00C82BE6">
      <w:pPr>
        <w:ind w:left="720"/>
        <w:jc w:val="both"/>
        <w:rPr>
          <w:rFonts w:eastAsia="MS Mincho"/>
          <w:lang w:val="sq-AL"/>
        </w:rPr>
      </w:pPr>
      <w:r w:rsidRPr="00C82BE6">
        <w:rPr>
          <w:rFonts w:eastAsia="MS Mincho"/>
          <w:lang w:val="sq-AL"/>
        </w:rPr>
        <w:t xml:space="preserve">Për vitin 2017 të ardhurat e planifikuara nuk kanë përfshirë të ardhura shtesë nga rritja e akcizës së cigareve. Për vitet 2018 - 2021 parashikohet si më poshtë: </w:t>
      </w:r>
    </w:p>
    <w:p w:rsidR="00C82BE6" w:rsidRPr="00C82BE6" w:rsidRDefault="00C82BE6" w:rsidP="00C82BE6">
      <w:pPr>
        <w:ind w:left="720"/>
        <w:jc w:val="both"/>
        <w:rPr>
          <w:rFonts w:eastAsia="MS Mincho"/>
          <w:lang w:val="sq-AL"/>
        </w:rPr>
      </w:pPr>
    </w:p>
    <w:tbl>
      <w:tblPr>
        <w:tblW w:w="9003" w:type="dxa"/>
        <w:tblInd w:w="738" w:type="dxa"/>
        <w:tblLook w:val="04A0" w:firstRow="1" w:lastRow="0" w:firstColumn="1" w:lastColumn="0" w:noHBand="0" w:noVBand="1"/>
      </w:tblPr>
      <w:tblGrid>
        <w:gridCol w:w="813"/>
        <w:gridCol w:w="1872"/>
        <w:gridCol w:w="2088"/>
        <w:gridCol w:w="2631"/>
        <w:gridCol w:w="159"/>
        <w:gridCol w:w="1122"/>
        <w:gridCol w:w="318"/>
      </w:tblGrid>
      <w:tr w:rsidR="00C82BE6" w:rsidRPr="00C82BE6" w:rsidTr="0076343C">
        <w:trPr>
          <w:trHeight w:val="621"/>
        </w:trPr>
        <w:tc>
          <w:tcPr>
            <w:tcW w:w="813" w:type="dxa"/>
            <w:tcBorders>
              <w:top w:val="single" w:sz="4" w:space="0" w:color="auto"/>
              <w:left w:val="nil"/>
              <w:bottom w:val="double" w:sz="6" w:space="0" w:color="auto"/>
              <w:right w:val="nil"/>
            </w:tcBorders>
            <w:vAlign w:val="center"/>
            <w:hideMark/>
          </w:tcPr>
          <w:p w:rsidR="00C82BE6" w:rsidRPr="00C82BE6" w:rsidRDefault="00C82BE6" w:rsidP="00C82BE6">
            <w:pPr>
              <w:ind w:right="159"/>
              <w:jc w:val="both"/>
              <w:rPr>
                <w:rFonts w:eastAsia="Times New Roman"/>
                <w:b/>
                <w:bCs/>
                <w:sz w:val="20"/>
                <w:szCs w:val="20"/>
                <w:lang w:val="sq-AL" w:eastAsia="sq-AL"/>
              </w:rPr>
            </w:pPr>
            <w:r w:rsidRPr="00C82BE6">
              <w:rPr>
                <w:rFonts w:eastAsia="MS Mincho"/>
                <w:b/>
                <w:bCs/>
                <w:sz w:val="20"/>
                <w:szCs w:val="20"/>
                <w:lang w:val="sq-AL" w:eastAsia="sq-AL"/>
              </w:rPr>
              <w:t>Viti</w:t>
            </w:r>
          </w:p>
        </w:tc>
        <w:tc>
          <w:tcPr>
            <w:tcW w:w="1872" w:type="dxa"/>
            <w:tcBorders>
              <w:top w:val="single" w:sz="4" w:space="0" w:color="auto"/>
              <w:left w:val="nil"/>
              <w:bottom w:val="double" w:sz="6" w:space="0" w:color="auto"/>
              <w:right w:val="nil"/>
            </w:tcBorders>
            <w:vAlign w:val="center"/>
            <w:hideMark/>
          </w:tcPr>
          <w:p w:rsidR="00C82BE6" w:rsidRPr="00C82BE6" w:rsidRDefault="00C82BE6" w:rsidP="00C82BE6">
            <w:pPr>
              <w:rPr>
                <w:rFonts w:eastAsia="Times New Roman"/>
                <w:b/>
                <w:bCs/>
                <w:sz w:val="20"/>
                <w:szCs w:val="20"/>
                <w:lang w:val="sq-AL" w:eastAsia="sq-AL"/>
              </w:rPr>
            </w:pPr>
            <w:r w:rsidRPr="00C82BE6">
              <w:rPr>
                <w:rFonts w:eastAsia="MS Mincho"/>
                <w:b/>
                <w:bCs/>
                <w:sz w:val="20"/>
                <w:szCs w:val="20"/>
                <w:lang w:val="sq-AL" w:eastAsia="sq-AL"/>
              </w:rPr>
              <w:t>Sasia e parashikuar  (Ton)</w:t>
            </w:r>
          </w:p>
        </w:tc>
        <w:tc>
          <w:tcPr>
            <w:tcW w:w="2088" w:type="dxa"/>
            <w:tcBorders>
              <w:top w:val="single" w:sz="4" w:space="0" w:color="auto"/>
              <w:left w:val="nil"/>
              <w:bottom w:val="double" w:sz="6" w:space="0" w:color="auto"/>
              <w:right w:val="nil"/>
            </w:tcBorders>
            <w:vAlign w:val="center"/>
            <w:hideMark/>
          </w:tcPr>
          <w:p w:rsidR="00C82BE6" w:rsidRPr="00C82BE6" w:rsidRDefault="00C82BE6" w:rsidP="00C82BE6">
            <w:pPr>
              <w:ind w:right="19"/>
              <w:rPr>
                <w:rFonts w:eastAsia="Times New Roman"/>
                <w:b/>
                <w:bCs/>
                <w:sz w:val="20"/>
                <w:szCs w:val="20"/>
                <w:lang w:val="sq-AL" w:eastAsia="sq-AL"/>
              </w:rPr>
            </w:pPr>
            <w:r w:rsidRPr="00C82BE6">
              <w:rPr>
                <w:rFonts w:eastAsia="MS Mincho"/>
                <w:b/>
                <w:bCs/>
                <w:sz w:val="20"/>
                <w:szCs w:val="20"/>
                <w:lang w:val="sq-AL" w:eastAsia="sq-AL"/>
              </w:rPr>
              <w:t>Të ardhura shtesë nga akciza (në mld lekë)</w:t>
            </w:r>
          </w:p>
        </w:tc>
        <w:tc>
          <w:tcPr>
            <w:tcW w:w="2790" w:type="dxa"/>
            <w:gridSpan w:val="2"/>
            <w:tcBorders>
              <w:top w:val="single" w:sz="4" w:space="0" w:color="auto"/>
              <w:left w:val="nil"/>
              <w:bottom w:val="double" w:sz="6" w:space="0" w:color="auto"/>
              <w:right w:val="nil"/>
            </w:tcBorders>
            <w:vAlign w:val="center"/>
            <w:hideMark/>
          </w:tcPr>
          <w:p w:rsidR="00C82BE6" w:rsidRPr="00C82BE6" w:rsidRDefault="00C82BE6" w:rsidP="00C82BE6">
            <w:pPr>
              <w:jc w:val="both"/>
              <w:rPr>
                <w:rFonts w:eastAsia="MS Mincho"/>
                <w:b/>
                <w:bCs/>
                <w:sz w:val="20"/>
                <w:szCs w:val="20"/>
                <w:lang w:val="sq-AL" w:eastAsia="sq-AL"/>
              </w:rPr>
            </w:pPr>
            <w:r w:rsidRPr="00C82BE6">
              <w:rPr>
                <w:rFonts w:eastAsia="MS Mincho"/>
                <w:b/>
                <w:bCs/>
                <w:sz w:val="20"/>
                <w:szCs w:val="20"/>
                <w:lang w:val="sq-AL" w:eastAsia="sq-AL"/>
              </w:rPr>
              <w:t xml:space="preserve">Të ardhura shtesë nga </w:t>
            </w:r>
          </w:p>
          <w:p w:rsidR="00C82BE6" w:rsidRPr="00C82BE6" w:rsidRDefault="00C82BE6" w:rsidP="00C82BE6">
            <w:pPr>
              <w:jc w:val="both"/>
              <w:rPr>
                <w:rFonts w:eastAsia="MS Mincho"/>
                <w:b/>
                <w:bCs/>
                <w:sz w:val="20"/>
                <w:szCs w:val="20"/>
                <w:lang w:val="sq-AL" w:eastAsia="sq-AL"/>
              </w:rPr>
            </w:pPr>
            <w:r w:rsidRPr="00C82BE6">
              <w:rPr>
                <w:rFonts w:eastAsia="MS Mincho"/>
                <w:b/>
                <w:bCs/>
                <w:sz w:val="20"/>
                <w:szCs w:val="20"/>
                <w:lang w:val="sq-AL" w:eastAsia="sq-AL"/>
              </w:rPr>
              <w:t xml:space="preserve">TVSH-ja në import </w:t>
            </w:r>
          </w:p>
          <w:p w:rsidR="00C82BE6" w:rsidRPr="00C82BE6" w:rsidRDefault="00C82BE6" w:rsidP="00C82BE6">
            <w:pPr>
              <w:jc w:val="both"/>
              <w:rPr>
                <w:rFonts w:eastAsia="Times New Roman"/>
                <w:b/>
                <w:bCs/>
                <w:sz w:val="20"/>
                <w:szCs w:val="20"/>
                <w:lang w:val="sq-AL" w:eastAsia="sq-AL"/>
              </w:rPr>
            </w:pPr>
            <w:r w:rsidRPr="00C82BE6">
              <w:rPr>
                <w:rFonts w:eastAsia="MS Mincho"/>
                <w:b/>
                <w:bCs/>
                <w:sz w:val="20"/>
                <w:szCs w:val="20"/>
                <w:lang w:val="sq-AL" w:eastAsia="sq-AL"/>
              </w:rPr>
              <w:t>(në mld lekë)</w:t>
            </w:r>
          </w:p>
        </w:tc>
        <w:tc>
          <w:tcPr>
            <w:tcW w:w="1440" w:type="dxa"/>
            <w:gridSpan w:val="2"/>
            <w:tcBorders>
              <w:top w:val="single" w:sz="4" w:space="0" w:color="auto"/>
              <w:left w:val="nil"/>
              <w:bottom w:val="double" w:sz="6" w:space="0" w:color="auto"/>
              <w:right w:val="nil"/>
            </w:tcBorders>
            <w:vAlign w:val="center"/>
            <w:hideMark/>
          </w:tcPr>
          <w:p w:rsidR="00C82BE6" w:rsidRPr="00C82BE6" w:rsidRDefault="00C82BE6" w:rsidP="00C82BE6">
            <w:pPr>
              <w:rPr>
                <w:rFonts w:eastAsia="Times New Roman"/>
                <w:b/>
                <w:bCs/>
                <w:sz w:val="20"/>
                <w:szCs w:val="20"/>
                <w:lang w:val="sq-AL" w:eastAsia="sq-AL"/>
              </w:rPr>
            </w:pPr>
            <w:r w:rsidRPr="00C82BE6">
              <w:rPr>
                <w:rFonts w:eastAsia="MS Mincho"/>
                <w:b/>
                <w:bCs/>
                <w:sz w:val="20"/>
                <w:szCs w:val="20"/>
                <w:lang w:val="sq-AL" w:eastAsia="sq-AL"/>
              </w:rPr>
              <w:t>Total  (në mld lekë)</w:t>
            </w:r>
          </w:p>
        </w:tc>
      </w:tr>
      <w:tr w:rsidR="00C82BE6" w:rsidRPr="00C82BE6" w:rsidTr="0076343C">
        <w:trPr>
          <w:gridAfter w:val="1"/>
          <w:wAfter w:w="318" w:type="dxa"/>
          <w:trHeight w:val="325"/>
        </w:trPr>
        <w:tc>
          <w:tcPr>
            <w:tcW w:w="813" w:type="dxa"/>
            <w:vAlign w:val="center"/>
            <w:hideMark/>
          </w:tcPr>
          <w:p w:rsidR="00C82BE6" w:rsidRPr="00C82BE6" w:rsidRDefault="00C82BE6" w:rsidP="00C82BE6">
            <w:pPr>
              <w:jc w:val="both"/>
              <w:rPr>
                <w:rFonts w:eastAsia="Times New Roman"/>
                <w:sz w:val="20"/>
                <w:szCs w:val="20"/>
                <w:lang w:val="sq-AL" w:eastAsia="sq-AL"/>
              </w:rPr>
            </w:pPr>
            <w:r w:rsidRPr="00C82BE6">
              <w:rPr>
                <w:rFonts w:eastAsia="MS Mincho"/>
                <w:sz w:val="20"/>
                <w:szCs w:val="20"/>
                <w:lang w:val="sq-AL" w:eastAsia="sq-AL"/>
              </w:rPr>
              <w:t>2018</w:t>
            </w:r>
          </w:p>
        </w:tc>
        <w:tc>
          <w:tcPr>
            <w:tcW w:w="1872" w:type="dxa"/>
            <w:vAlign w:val="center"/>
            <w:hideMark/>
          </w:tcPr>
          <w:p w:rsidR="00C82BE6" w:rsidRPr="00C82BE6" w:rsidRDefault="00C82BE6" w:rsidP="00C82BE6">
            <w:pPr>
              <w:jc w:val="center"/>
              <w:rPr>
                <w:rFonts w:eastAsia="Times New Roman"/>
                <w:sz w:val="20"/>
                <w:szCs w:val="20"/>
                <w:lang w:val="sq-AL" w:eastAsia="sq-AL"/>
              </w:rPr>
            </w:pPr>
            <w:r w:rsidRPr="00C82BE6">
              <w:rPr>
                <w:rFonts w:eastAsia="MS Mincho"/>
                <w:sz w:val="20"/>
                <w:szCs w:val="20"/>
                <w:lang w:val="sq-AL" w:eastAsia="sq-AL"/>
              </w:rPr>
              <w:t>3500</w:t>
            </w:r>
          </w:p>
        </w:tc>
        <w:tc>
          <w:tcPr>
            <w:tcW w:w="2088" w:type="dxa"/>
            <w:vAlign w:val="center"/>
            <w:hideMark/>
          </w:tcPr>
          <w:p w:rsidR="00C82BE6" w:rsidRPr="00C82BE6" w:rsidRDefault="00C82BE6" w:rsidP="00C82BE6">
            <w:pPr>
              <w:jc w:val="center"/>
              <w:rPr>
                <w:rFonts w:eastAsia="Times New Roman"/>
                <w:sz w:val="20"/>
                <w:szCs w:val="20"/>
                <w:lang w:val="sq-AL" w:eastAsia="sq-AL"/>
              </w:rPr>
            </w:pPr>
            <w:r w:rsidRPr="00C82BE6">
              <w:rPr>
                <w:rFonts w:eastAsia="MS Mincho"/>
                <w:sz w:val="20"/>
                <w:szCs w:val="20"/>
                <w:lang w:val="sq-AL" w:eastAsia="sq-AL"/>
              </w:rPr>
              <w:t>0.875</w:t>
            </w:r>
          </w:p>
        </w:tc>
        <w:tc>
          <w:tcPr>
            <w:tcW w:w="2631" w:type="dxa"/>
            <w:vAlign w:val="center"/>
            <w:hideMark/>
          </w:tcPr>
          <w:p w:rsidR="00C82BE6" w:rsidRPr="00C82BE6" w:rsidRDefault="00C82BE6" w:rsidP="00C82BE6">
            <w:pPr>
              <w:jc w:val="center"/>
              <w:rPr>
                <w:rFonts w:eastAsia="Times New Roman"/>
                <w:sz w:val="20"/>
                <w:szCs w:val="20"/>
                <w:lang w:val="sq-AL" w:eastAsia="sq-AL"/>
              </w:rPr>
            </w:pPr>
            <w:r w:rsidRPr="00C82BE6">
              <w:rPr>
                <w:rFonts w:eastAsia="MS Mincho"/>
                <w:sz w:val="20"/>
                <w:szCs w:val="20"/>
                <w:lang w:val="sq-AL" w:eastAsia="sq-AL"/>
              </w:rPr>
              <w:t>0.175</w:t>
            </w:r>
          </w:p>
        </w:tc>
        <w:tc>
          <w:tcPr>
            <w:tcW w:w="1281" w:type="dxa"/>
            <w:gridSpan w:val="2"/>
            <w:vAlign w:val="center"/>
            <w:hideMark/>
          </w:tcPr>
          <w:p w:rsidR="00C82BE6" w:rsidRPr="00C82BE6" w:rsidRDefault="00C82BE6" w:rsidP="00C82BE6">
            <w:pPr>
              <w:jc w:val="center"/>
              <w:rPr>
                <w:rFonts w:eastAsia="Times New Roman"/>
                <w:sz w:val="20"/>
                <w:szCs w:val="20"/>
                <w:lang w:val="sq-AL" w:eastAsia="sq-AL"/>
              </w:rPr>
            </w:pPr>
            <w:r w:rsidRPr="00C82BE6">
              <w:rPr>
                <w:rFonts w:eastAsia="MS Mincho"/>
                <w:sz w:val="20"/>
                <w:szCs w:val="20"/>
                <w:lang w:val="sq-AL" w:eastAsia="sq-AL"/>
              </w:rPr>
              <w:t>1.05</w:t>
            </w:r>
          </w:p>
        </w:tc>
      </w:tr>
      <w:tr w:rsidR="00C82BE6" w:rsidRPr="00C82BE6" w:rsidTr="0076343C">
        <w:trPr>
          <w:gridAfter w:val="1"/>
          <w:wAfter w:w="318" w:type="dxa"/>
          <w:trHeight w:val="311"/>
        </w:trPr>
        <w:tc>
          <w:tcPr>
            <w:tcW w:w="813" w:type="dxa"/>
            <w:vAlign w:val="center"/>
            <w:hideMark/>
          </w:tcPr>
          <w:p w:rsidR="00C82BE6" w:rsidRPr="00C82BE6" w:rsidRDefault="00C82BE6" w:rsidP="00C82BE6">
            <w:pPr>
              <w:jc w:val="both"/>
              <w:rPr>
                <w:rFonts w:eastAsia="Times New Roman"/>
                <w:sz w:val="20"/>
                <w:szCs w:val="20"/>
                <w:lang w:val="sq-AL" w:eastAsia="sq-AL"/>
              </w:rPr>
            </w:pPr>
            <w:r w:rsidRPr="00C82BE6">
              <w:rPr>
                <w:rFonts w:eastAsia="MS Mincho"/>
                <w:sz w:val="20"/>
                <w:szCs w:val="20"/>
                <w:lang w:val="sq-AL" w:eastAsia="sq-AL"/>
              </w:rPr>
              <w:t>2019</w:t>
            </w:r>
          </w:p>
        </w:tc>
        <w:tc>
          <w:tcPr>
            <w:tcW w:w="1872" w:type="dxa"/>
            <w:vAlign w:val="center"/>
            <w:hideMark/>
          </w:tcPr>
          <w:p w:rsidR="00C82BE6" w:rsidRPr="00C82BE6" w:rsidRDefault="00C82BE6" w:rsidP="00C82BE6">
            <w:pPr>
              <w:jc w:val="center"/>
              <w:rPr>
                <w:rFonts w:eastAsia="Times New Roman"/>
                <w:sz w:val="20"/>
                <w:szCs w:val="20"/>
                <w:lang w:val="sq-AL" w:eastAsia="sq-AL"/>
              </w:rPr>
            </w:pPr>
            <w:r w:rsidRPr="00C82BE6">
              <w:rPr>
                <w:rFonts w:eastAsia="MS Mincho"/>
                <w:sz w:val="20"/>
                <w:szCs w:val="20"/>
                <w:lang w:val="sq-AL" w:eastAsia="sq-AL"/>
              </w:rPr>
              <w:t>3700</w:t>
            </w:r>
          </w:p>
        </w:tc>
        <w:tc>
          <w:tcPr>
            <w:tcW w:w="2088" w:type="dxa"/>
            <w:vAlign w:val="center"/>
            <w:hideMark/>
          </w:tcPr>
          <w:p w:rsidR="00C82BE6" w:rsidRPr="00C82BE6" w:rsidRDefault="00C82BE6" w:rsidP="00C82BE6">
            <w:pPr>
              <w:jc w:val="center"/>
              <w:rPr>
                <w:rFonts w:eastAsia="Times New Roman"/>
                <w:sz w:val="20"/>
                <w:szCs w:val="20"/>
                <w:lang w:val="sq-AL" w:eastAsia="sq-AL"/>
              </w:rPr>
            </w:pPr>
            <w:r w:rsidRPr="00C82BE6">
              <w:rPr>
                <w:rFonts w:eastAsia="MS Mincho"/>
                <w:sz w:val="20"/>
                <w:szCs w:val="20"/>
                <w:lang w:val="sq-AL" w:eastAsia="sq-AL"/>
              </w:rPr>
              <w:t>0.925</w:t>
            </w:r>
          </w:p>
        </w:tc>
        <w:tc>
          <w:tcPr>
            <w:tcW w:w="2631" w:type="dxa"/>
            <w:vAlign w:val="center"/>
            <w:hideMark/>
          </w:tcPr>
          <w:p w:rsidR="00C82BE6" w:rsidRPr="00C82BE6" w:rsidRDefault="00C82BE6" w:rsidP="00C82BE6">
            <w:pPr>
              <w:jc w:val="center"/>
              <w:rPr>
                <w:rFonts w:eastAsia="Times New Roman"/>
                <w:sz w:val="20"/>
                <w:szCs w:val="20"/>
                <w:lang w:val="sq-AL" w:eastAsia="sq-AL"/>
              </w:rPr>
            </w:pPr>
            <w:r w:rsidRPr="00C82BE6">
              <w:rPr>
                <w:rFonts w:eastAsia="MS Mincho"/>
                <w:sz w:val="20"/>
                <w:szCs w:val="20"/>
                <w:lang w:val="sq-AL" w:eastAsia="sq-AL"/>
              </w:rPr>
              <w:t>0.185</w:t>
            </w:r>
          </w:p>
        </w:tc>
        <w:tc>
          <w:tcPr>
            <w:tcW w:w="1281" w:type="dxa"/>
            <w:gridSpan w:val="2"/>
            <w:vAlign w:val="center"/>
            <w:hideMark/>
          </w:tcPr>
          <w:p w:rsidR="00C82BE6" w:rsidRPr="00C82BE6" w:rsidRDefault="00C82BE6" w:rsidP="00C82BE6">
            <w:pPr>
              <w:jc w:val="center"/>
              <w:rPr>
                <w:rFonts w:eastAsia="Times New Roman"/>
                <w:sz w:val="20"/>
                <w:szCs w:val="20"/>
                <w:lang w:val="sq-AL" w:eastAsia="sq-AL"/>
              </w:rPr>
            </w:pPr>
            <w:r w:rsidRPr="00C82BE6">
              <w:rPr>
                <w:rFonts w:eastAsia="MS Mincho"/>
                <w:sz w:val="20"/>
                <w:szCs w:val="20"/>
                <w:lang w:val="sq-AL" w:eastAsia="sq-AL"/>
              </w:rPr>
              <w:t>1.11</w:t>
            </w:r>
          </w:p>
        </w:tc>
      </w:tr>
      <w:tr w:rsidR="00C82BE6" w:rsidRPr="00C82BE6" w:rsidTr="0076343C">
        <w:trPr>
          <w:gridAfter w:val="1"/>
          <w:wAfter w:w="318" w:type="dxa"/>
          <w:trHeight w:val="311"/>
        </w:trPr>
        <w:tc>
          <w:tcPr>
            <w:tcW w:w="813" w:type="dxa"/>
            <w:vAlign w:val="center"/>
            <w:hideMark/>
          </w:tcPr>
          <w:p w:rsidR="00C82BE6" w:rsidRPr="00C82BE6" w:rsidRDefault="00C82BE6" w:rsidP="00C82BE6">
            <w:pPr>
              <w:jc w:val="both"/>
              <w:rPr>
                <w:rFonts w:eastAsia="Times New Roman"/>
                <w:sz w:val="20"/>
                <w:szCs w:val="20"/>
                <w:lang w:val="sq-AL" w:eastAsia="sq-AL"/>
              </w:rPr>
            </w:pPr>
            <w:r w:rsidRPr="00C82BE6">
              <w:rPr>
                <w:rFonts w:eastAsia="MS Mincho"/>
                <w:sz w:val="20"/>
                <w:szCs w:val="20"/>
                <w:lang w:val="sq-AL" w:eastAsia="sq-AL"/>
              </w:rPr>
              <w:t>2020</w:t>
            </w:r>
          </w:p>
        </w:tc>
        <w:tc>
          <w:tcPr>
            <w:tcW w:w="1872" w:type="dxa"/>
            <w:vAlign w:val="center"/>
            <w:hideMark/>
          </w:tcPr>
          <w:p w:rsidR="00C82BE6" w:rsidRPr="00C82BE6" w:rsidRDefault="00C82BE6" w:rsidP="00C82BE6">
            <w:pPr>
              <w:jc w:val="center"/>
              <w:rPr>
                <w:rFonts w:eastAsia="Times New Roman"/>
                <w:sz w:val="20"/>
                <w:szCs w:val="20"/>
                <w:lang w:val="sq-AL" w:eastAsia="sq-AL"/>
              </w:rPr>
            </w:pPr>
            <w:r w:rsidRPr="00C82BE6">
              <w:rPr>
                <w:rFonts w:eastAsia="MS Mincho"/>
                <w:sz w:val="20"/>
                <w:szCs w:val="20"/>
                <w:lang w:val="sq-AL" w:eastAsia="sq-AL"/>
              </w:rPr>
              <w:t>3800</w:t>
            </w:r>
          </w:p>
        </w:tc>
        <w:tc>
          <w:tcPr>
            <w:tcW w:w="2088" w:type="dxa"/>
            <w:vAlign w:val="center"/>
            <w:hideMark/>
          </w:tcPr>
          <w:p w:rsidR="00C82BE6" w:rsidRPr="00C82BE6" w:rsidRDefault="00C82BE6" w:rsidP="00C82BE6">
            <w:pPr>
              <w:jc w:val="center"/>
              <w:rPr>
                <w:rFonts w:eastAsia="Times New Roman"/>
                <w:sz w:val="20"/>
                <w:szCs w:val="20"/>
                <w:lang w:val="sq-AL" w:eastAsia="sq-AL"/>
              </w:rPr>
            </w:pPr>
            <w:r w:rsidRPr="00C82BE6">
              <w:rPr>
                <w:rFonts w:eastAsia="MS Mincho"/>
                <w:sz w:val="20"/>
                <w:szCs w:val="20"/>
                <w:lang w:val="sq-AL" w:eastAsia="sq-AL"/>
              </w:rPr>
              <w:t>0.95</w:t>
            </w:r>
          </w:p>
        </w:tc>
        <w:tc>
          <w:tcPr>
            <w:tcW w:w="2631" w:type="dxa"/>
            <w:vAlign w:val="center"/>
            <w:hideMark/>
          </w:tcPr>
          <w:p w:rsidR="00C82BE6" w:rsidRPr="00C82BE6" w:rsidRDefault="00C82BE6" w:rsidP="00C82BE6">
            <w:pPr>
              <w:jc w:val="center"/>
              <w:rPr>
                <w:rFonts w:eastAsia="Times New Roman"/>
                <w:sz w:val="20"/>
                <w:szCs w:val="20"/>
                <w:lang w:val="sq-AL" w:eastAsia="sq-AL"/>
              </w:rPr>
            </w:pPr>
            <w:r w:rsidRPr="00C82BE6">
              <w:rPr>
                <w:rFonts w:eastAsia="MS Mincho"/>
                <w:sz w:val="20"/>
                <w:szCs w:val="20"/>
                <w:lang w:val="sq-AL" w:eastAsia="sq-AL"/>
              </w:rPr>
              <w:t>0.19</w:t>
            </w:r>
          </w:p>
        </w:tc>
        <w:tc>
          <w:tcPr>
            <w:tcW w:w="1281" w:type="dxa"/>
            <w:gridSpan w:val="2"/>
            <w:vAlign w:val="center"/>
            <w:hideMark/>
          </w:tcPr>
          <w:p w:rsidR="00C82BE6" w:rsidRPr="00C82BE6" w:rsidRDefault="00C82BE6" w:rsidP="00C82BE6">
            <w:pPr>
              <w:jc w:val="center"/>
              <w:rPr>
                <w:rFonts w:eastAsia="Times New Roman"/>
                <w:sz w:val="20"/>
                <w:szCs w:val="20"/>
                <w:lang w:val="sq-AL" w:eastAsia="sq-AL"/>
              </w:rPr>
            </w:pPr>
            <w:r w:rsidRPr="00C82BE6">
              <w:rPr>
                <w:rFonts w:eastAsia="MS Mincho"/>
                <w:sz w:val="20"/>
                <w:szCs w:val="20"/>
                <w:lang w:val="sq-AL" w:eastAsia="sq-AL"/>
              </w:rPr>
              <w:t>1.14</w:t>
            </w:r>
          </w:p>
        </w:tc>
      </w:tr>
      <w:tr w:rsidR="00C82BE6" w:rsidRPr="00C82BE6" w:rsidTr="0076343C">
        <w:trPr>
          <w:gridAfter w:val="1"/>
          <w:wAfter w:w="318" w:type="dxa"/>
          <w:trHeight w:val="311"/>
        </w:trPr>
        <w:tc>
          <w:tcPr>
            <w:tcW w:w="813" w:type="dxa"/>
            <w:vAlign w:val="center"/>
            <w:hideMark/>
          </w:tcPr>
          <w:p w:rsidR="00C82BE6" w:rsidRPr="00C82BE6" w:rsidRDefault="00C82BE6" w:rsidP="00C82BE6">
            <w:pPr>
              <w:jc w:val="both"/>
              <w:rPr>
                <w:rFonts w:eastAsia="Times New Roman"/>
                <w:bCs/>
                <w:sz w:val="20"/>
                <w:szCs w:val="20"/>
                <w:lang w:val="sq-AL" w:eastAsia="sq-AL"/>
              </w:rPr>
            </w:pPr>
            <w:r w:rsidRPr="00C82BE6">
              <w:rPr>
                <w:rFonts w:eastAsia="MS Mincho"/>
                <w:bCs/>
                <w:sz w:val="20"/>
                <w:szCs w:val="20"/>
                <w:lang w:val="sq-AL" w:eastAsia="sq-AL"/>
              </w:rPr>
              <w:t>2021</w:t>
            </w:r>
          </w:p>
        </w:tc>
        <w:tc>
          <w:tcPr>
            <w:tcW w:w="1872" w:type="dxa"/>
            <w:vAlign w:val="center"/>
            <w:hideMark/>
          </w:tcPr>
          <w:p w:rsidR="00C82BE6" w:rsidRPr="00C82BE6" w:rsidRDefault="00C82BE6" w:rsidP="00C82BE6">
            <w:pPr>
              <w:jc w:val="center"/>
              <w:rPr>
                <w:rFonts w:eastAsia="Times New Roman"/>
                <w:bCs/>
                <w:sz w:val="20"/>
                <w:szCs w:val="20"/>
                <w:lang w:val="sq-AL" w:eastAsia="sq-AL"/>
              </w:rPr>
            </w:pPr>
            <w:r w:rsidRPr="00C82BE6">
              <w:rPr>
                <w:rFonts w:eastAsia="MS Mincho"/>
                <w:bCs/>
                <w:sz w:val="20"/>
                <w:szCs w:val="20"/>
                <w:lang w:val="sq-AL" w:eastAsia="sq-AL"/>
              </w:rPr>
              <w:t>3900</w:t>
            </w:r>
          </w:p>
        </w:tc>
        <w:tc>
          <w:tcPr>
            <w:tcW w:w="2088" w:type="dxa"/>
            <w:vAlign w:val="center"/>
            <w:hideMark/>
          </w:tcPr>
          <w:p w:rsidR="00C82BE6" w:rsidRPr="00C82BE6" w:rsidRDefault="00C82BE6" w:rsidP="00C82BE6">
            <w:pPr>
              <w:jc w:val="center"/>
              <w:rPr>
                <w:rFonts w:eastAsia="Times New Roman"/>
                <w:bCs/>
                <w:sz w:val="20"/>
                <w:szCs w:val="20"/>
                <w:lang w:val="sq-AL" w:eastAsia="sq-AL"/>
              </w:rPr>
            </w:pPr>
            <w:r w:rsidRPr="00C82BE6">
              <w:rPr>
                <w:rFonts w:eastAsia="MS Mincho"/>
                <w:bCs/>
                <w:sz w:val="20"/>
                <w:szCs w:val="20"/>
                <w:lang w:val="sq-AL" w:eastAsia="sq-AL"/>
              </w:rPr>
              <w:t>0.975</w:t>
            </w:r>
          </w:p>
        </w:tc>
        <w:tc>
          <w:tcPr>
            <w:tcW w:w="2631" w:type="dxa"/>
            <w:vAlign w:val="center"/>
            <w:hideMark/>
          </w:tcPr>
          <w:p w:rsidR="00C82BE6" w:rsidRPr="00C82BE6" w:rsidRDefault="00C82BE6" w:rsidP="00C82BE6">
            <w:pPr>
              <w:jc w:val="center"/>
              <w:rPr>
                <w:rFonts w:eastAsia="Times New Roman"/>
                <w:bCs/>
                <w:sz w:val="20"/>
                <w:szCs w:val="20"/>
                <w:lang w:val="sq-AL" w:eastAsia="sq-AL"/>
              </w:rPr>
            </w:pPr>
            <w:r w:rsidRPr="00C82BE6">
              <w:rPr>
                <w:rFonts w:eastAsia="MS Mincho"/>
                <w:bCs/>
                <w:sz w:val="20"/>
                <w:szCs w:val="20"/>
                <w:lang w:val="sq-AL" w:eastAsia="sq-AL"/>
              </w:rPr>
              <w:t>0.195</w:t>
            </w:r>
          </w:p>
        </w:tc>
        <w:tc>
          <w:tcPr>
            <w:tcW w:w="1281" w:type="dxa"/>
            <w:gridSpan w:val="2"/>
            <w:vAlign w:val="center"/>
            <w:hideMark/>
          </w:tcPr>
          <w:p w:rsidR="00C82BE6" w:rsidRPr="00C82BE6" w:rsidRDefault="00C82BE6" w:rsidP="00C82BE6">
            <w:pPr>
              <w:jc w:val="center"/>
              <w:rPr>
                <w:rFonts w:eastAsia="Times New Roman"/>
                <w:bCs/>
                <w:sz w:val="20"/>
                <w:szCs w:val="20"/>
                <w:lang w:val="sq-AL" w:eastAsia="sq-AL"/>
              </w:rPr>
            </w:pPr>
            <w:r w:rsidRPr="00C82BE6">
              <w:rPr>
                <w:rFonts w:eastAsia="MS Mincho"/>
                <w:bCs/>
                <w:sz w:val="20"/>
                <w:szCs w:val="20"/>
                <w:lang w:val="sq-AL" w:eastAsia="sq-AL"/>
              </w:rPr>
              <w:t>1.17</w:t>
            </w:r>
          </w:p>
        </w:tc>
      </w:tr>
    </w:tbl>
    <w:p w:rsidR="00C82BE6" w:rsidRPr="00C82BE6" w:rsidRDefault="00C82BE6" w:rsidP="00C82BE6">
      <w:pPr>
        <w:tabs>
          <w:tab w:val="left" w:pos="1440"/>
        </w:tabs>
        <w:jc w:val="both"/>
        <w:rPr>
          <w:rFonts w:eastAsia="MS Mincho"/>
          <w:b/>
          <w:u w:val="single"/>
          <w:lang w:val="sq-AL"/>
        </w:rPr>
      </w:pPr>
    </w:p>
    <w:p w:rsidR="00C82BE6" w:rsidRPr="00C82BE6" w:rsidRDefault="00C82BE6" w:rsidP="00534AA6">
      <w:pPr>
        <w:numPr>
          <w:ilvl w:val="0"/>
          <w:numId w:val="40"/>
        </w:numPr>
        <w:spacing w:line="276" w:lineRule="auto"/>
        <w:jc w:val="both"/>
        <w:rPr>
          <w:rFonts w:eastAsia="MS Mincho"/>
          <w:lang w:val="sq-AL"/>
        </w:rPr>
      </w:pPr>
      <w:r w:rsidRPr="00C82BE6">
        <w:rPr>
          <w:rFonts w:eastAsia="MS Mincho"/>
          <w:lang w:val="sq-AL"/>
        </w:rPr>
        <w:t xml:space="preserve">Shfuqizohet rritja e akcizës për duhanin dhe reduktohet  niveli i taksimit për duhanin prodhim vendi. Per shkak te diferencës së ulët të nivelit të taksimit midis duhanit të grirë dhe cigareve, propozohet të ruhet niveli ekzistues i taksimit të duhanit duke mos aplikuar rritje për vitet 2018-2021, me qëllim përafrimin me diferencimin që ka duhani i grirë me cigaret. </w:t>
      </w:r>
      <w:r w:rsidRPr="00C82BE6">
        <w:rPr>
          <w:rFonts w:eastAsia="Times New Roman"/>
          <w:lang w:val="sq-AL"/>
        </w:rPr>
        <w:t xml:space="preserve">Për duhanin e hapur të importit, është ruajtur niveli aktual në vitet në vazhdim, duke arritur përafrimin me direktivën 2011/64/EU, ku raporti midis akcizës së cigareve dhe duhanit është në nivelin 2/3. </w:t>
      </w:r>
    </w:p>
    <w:p w:rsidR="00C82BE6" w:rsidRPr="00C82BE6" w:rsidRDefault="00C82BE6" w:rsidP="00534AA6">
      <w:pPr>
        <w:numPr>
          <w:ilvl w:val="0"/>
          <w:numId w:val="40"/>
        </w:numPr>
        <w:spacing w:line="276" w:lineRule="auto"/>
        <w:jc w:val="both"/>
        <w:rPr>
          <w:rFonts w:eastAsia="MS Mincho"/>
          <w:lang w:val="sq-AL"/>
        </w:rPr>
      </w:pPr>
      <w:r w:rsidRPr="00C82BE6">
        <w:rPr>
          <w:rFonts w:eastAsia="MS Mincho"/>
          <w:color w:val="000000"/>
          <w:lang w:val="sq-AL"/>
        </w:rPr>
        <w:t xml:space="preserve">Me qëllim mbështetjen e prodhimit vendas dhe luftën kundër informalitetit, është parashikuar akcizë në nivelin 2500 lekë/kg për duhanin e prodhuar brenda vendit me gjethe të duhanit nga bimë të kultivuara në Shqipëri. </w:t>
      </w:r>
      <w:r w:rsidRPr="00C82BE6">
        <w:rPr>
          <w:rFonts w:eastAsia="MS Mincho"/>
          <w:lang w:val="sq-AL"/>
        </w:rPr>
        <w:t>Kjo masë e përkohshme është praktikë e parashikuar edhe në Direktivën e BE 2011/64/EU, ku parashikohet taksim më i ulët për të njëjtin produkt në zona specifike. Vlerësohet rritje progresive e deklarimit të prodhimit vendas, duke parashikuar për vitin 2017  efekt + 0.075 miliardë lekë.</w:t>
      </w:r>
    </w:p>
    <w:p w:rsidR="00C82BE6" w:rsidRPr="00C82BE6" w:rsidRDefault="00C82BE6" w:rsidP="00C82BE6">
      <w:pPr>
        <w:ind w:left="720"/>
        <w:jc w:val="both"/>
        <w:rPr>
          <w:rFonts w:eastAsia="MS Mincho"/>
          <w:lang w:val="sq-AL"/>
        </w:rPr>
      </w:pPr>
    </w:p>
    <w:p w:rsidR="00C82BE6" w:rsidRPr="00C82BE6" w:rsidRDefault="00C82BE6" w:rsidP="00534AA6">
      <w:pPr>
        <w:numPr>
          <w:ilvl w:val="0"/>
          <w:numId w:val="43"/>
        </w:numPr>
        <w:contextualSpacing/>
        <w:jc w:val="both"/>
        <w:rPr>
          <w:rFonts w:eastAsia="MS Mincho"/>
          <w:lang w:val="sq-AL"/>
        </w:rPr>
      </w:pPr>
      <w:r w:rsidRPr="00C82BE6">
        <w:rPr>
          <w:rFonts w:eastAsia="MS Mincho"/>
          <w:lang w:val="sq-AL"/>
        </w:rPr>
        <w:t xml:space="preserve">Rritet </w:t>
      </w:r>
      <w:r w:rsidRPr="00C82BE6">
        <w:rPr>
          <w:rFonts w:eastAsia="MS Mincho"/>
          <w:i/>
          <w:lang w:val="sq-AL"/>
        </w:rPr>
        <w:t>akciza për purot dhe cigarillos</w:t>
      </w:r>
      <w:r w:rsidRPr="00C82BE6">
        <w:rPr>
          <w:rFonts w:eastAsia="MS Mincho"/>
          <w:lang w:val="sq-AL"/>
        </w:rPr>
        <w:t xml:space="preserve"> në 4400 lekë/kg. </w:t>
      </w:r>
    </w:p>
    <w:p w:rsidR="00C82BE6" w:rsidRPr="00C82BE6" w:rsidRDefault="00C82BE6" w:rsidP="00C82BE6">
      <w:pPr>
        <w:ind w:left="720"/>
        <w:contextualSpacing/>
        <w:jc w:val="both"/>
        <w:rPr>
          <w:rFonts w:eastAsia="MS Mincho"/>
          <w:lang w:val="sq-AL"/>
        </w:rPr>
      </w:pPr>
    </w:p>
    <w:p w:rsidR="00C82BE6" w:rsidRPr="00C82BE6" w:rsidRDefault="00C82BE6" w:rsidP="00534AA6">
      <w:pPr>
        <w:numPr>
          <w:ilvl w:val="0"/>
          <w:numId w:val="40"/>
        </w:numPr>
        <w:spacing w:line="276" w:lineRule="auto"/>
        <w:contextualSpacing/>
        <w:jc w:val="both"/>
        <w:rPr>
          <w:rFonts w:eastAsia="MS Mincho"/>
          <w:lang w:val="sq-AL"/>
        </w:rPr>
      </w:pPr>
      <w:r w:rsidRPr="00C82BE6">
        <w:rPr>
          <w:rFonts w:eastAsia="MS Mincho"/>
          <w:i/>
          <w:lang w:val="sq-AL"/>
        </w:rPr>
        <w:t>Akciza për gazin e lëngët</w:t>
      </w:r>
      <w:r w:rsidRPr="00C82BE6">
        <w:rPr>
          <w:rFonts w:eastAsia="MS Mincho"/>
          <w:lang w:val="sq-AL"/>
        </w:rPr>
        <w:t xml:space="preserve">. Kjo masë pritet të ndihmojë në disiplinimin e kushteve të tregtimit të gazit të lëngët për qëllime familjare në përputhje me standartet teknike. Gazi i lëngët është objekt taksimi në të gjitha vendet e BE si produkt energjitik. Diferencimi i këtij produkti, në raport me nënproduktet e tjera të naftës bie ndesh me politikat e përafrimit gradual me nivelin e detyrueshëm minimal të taksimit që aplikohet sipas direktivës së BE-së 2003/96/EC. Për të mos ndikuar në rritjen e shpenzimeve nga përdoruesit, familjarë  të industrisë, me qëllim inicimin e procesit të përafrimit, siç edhe ka ndodhur me produktet e tjera të akcizës, është propozuar një nivel minimal taksimi 13 lekë/litër vetëm për përdorim auto. </w:t>
      </w:r>
    </w:p>
    <w:p w:rsidR="00C82BE6" w:rsidRPr="00C82BE6" w:rsidRDefault="00C82BE6" w:rsidP="00C82BE6">
      <w:pPr>
        <w:ind w:left="720"/>
        <w:contextualSpacing/>
        <w:jc w:val="both"/>
        <w:rPr>
          <w:lang w:val="it-IT"/>
        </w:rPr>
      </w:pPr>
      <w:r w:rsidRPr="00C82BE6">
        <w:rPr>
          <w:lang w:val="it-IT"/>
        </w:rPr>
        <w:t>Duke llogaritur që importi vjetor i gazit të lëngshëm për përdorim nga automjetet, vlerësohet rreth 25 mijë ton në vit, efekti në të ardhurat buxhetore pritet te jetë 0.5 miliardë lekë nga akciza dhe 0.1 miliardë lekë nga TVSH-ja. Efekti total në të ardhura pritet të jetë +0.6 miliardë lekë.</w:t>
      </w:r>
    </w:p>
    <w:p w:rsidR="00C82BE6" w:rsidRPr="00C82BE6" w:rsidRDefault="00C82BE6" w:rsidP="00C82BE6">
      <w:pPr>
        <w:contextualSpacing/>
        <w:jc w:val="both"/>
        <w:rPr>
          <w:rFonts w:eastAsia="MS Mincho"/>
          <w:lang w:val="sq-AL"/>
        </w:rPr>
      </w:pPr>
    </w:p>
    <w:p w:rsidR="00C82BE6" w:rsidRPr="00C82BE6" w:rsidRDefault="006D5EF3" w:rsidP="006D5EF3">
      <w:pPr>
        <w:keepNext/>
        <w:tabs>
          <w:tab w:val="left" w:pos="426"/>
          <w:tab w:val="left" w:pos="993"/>
          <w:tab w:val="center" w:pos="1276"/>
        </w:tabs>
        <w:spacing w:after="120"/>
        <w:contextualSpacing/>
        <w:outlineLvl w:val="0"/>
        <w:rPr>
          <w:b/>
          <w:sz w:val="26"/>
          <w:szCs w:val="26"/>
          <w:lang w:val="sq-AL"/>
        </w:rPr>
      </w:pPr>
      <w:bookmarkStart w:id="163" w:name="_Toc466445493"/>
      <w:r w:rsidRPr="006D5EF3">
        <w:rPr>
          <w:b/>
          <w:sz w:val="26"/>
          <w:szCs w:val="26"/>
          <w:lang w:val="sq-AL"/>
        </w:rPr>
        <w:t>6.2</w:t>
      </w:r>
      <w:r w:rsidR="00C82BE6" w:rsidRPr="00C82BE6">
        <w:rPr>
          <w:b/>
          <w:i/>
          <w:sz w:val="26"/>
          <w:szCs w:val="26"/>
          <w:lang w:val="sq-AL"/>
        </w:rPr>
        <w:t xml:space="preserve">  </w:t>
      </w:r>
      <w:bookmarkStart w:id="164" w:name="_Toc465870969"/>
      <w:r w:rsidR="00C82BE6" w:rsidRPr="00C82BE6">
        <w:rPr>
          <w:b/>
          <w:caps/>
          <w:sz w:val="26"/>
          <w:szCs w:val="26"/>
          <w:lang w:val="sq-AL"/>
        </w:rPr>
        <w:t>Masa administrative që lidhen me uljen “tax gap” dhe rritjen e efikasitetit fiskal</w:t>
      </w:r>
      <w:bookmarkEnd w:id="163"/>
      <w:bookmarkEnd w:id="164"/>
    </w:p>
    <w:p w:rsidR="00C82BE6" w:rsidRPr="00C82BE6" w:rsidRDefault="00C82BE6" w:rsidP="00C82BE6">
      <w:pPr>
        <w:ind w:left="360"/>
        <w:jc w:val="both"/>
        <w:rPr>
          <w:rFonts w:eastAsia="MS Mincho"/>
          <w:b/>
          <w:lang w:val="sq-AL"/>
        </w:rPr>
      </w:pPr>
    </w:p>
    <w:p w:rsidR="00C82BE6" w:rsidRPr="00C82BE6" w:rsidRDefault="00C82BE6" w:rsidP="00C82BE6">
      <w:pPr>
        <w:jc w:val="both"/>
        <w:rPr>
          <w:rFonts w:eastAsia="MS Mincho"/>
          <w:lang w:val="sq-AL"/>
        </w:rPr>
      </w:pPr>
      <w:r w:rsidRPr="00C82BE6">
        <w:rPr>
          <w:rFonts w:eastAsia="MS Mincho"/>
          <w:lang w:val="sq-AL"/>
        </w:rPr>
        <w:t xml:space="preserve">Metodat e kontrollit bazuar në analizen e riskut do të shoqërohen me plaforma teknike bashkëveprimi midis dy administrave që synojnë: </w:t>
      </w:r>
    </w:p>
    <w:p w:rsidR="00C82BE6" w:rsidRPr="00C82BE6" w:rsidRDefault="00C82BE6" w:rsidP="00C82BE6">
      <w:pPr>
        <w:ind w:left="360"/>
        <w:jc w:val="both"/>
        <w:rPr>
          <w:rFonts w:eastAsia="MS Mincho"/>
          <w:lang w:val="sq-AL"/>
        </w:rPr>
      </w:pPr>
    </w:p>
    <w:p w:rsidR="00C82BE6" w:rsidRPr="00C82BE6" w:rsidRDefault="00C82BE6" w:rsidP="00534AA6">
      <w:pPr>
        <w:numPr>
          <w:ilvl w:val="1"/>
          <w:numId w:val="44"/>
        </w:numPr>
        <w:spacing w:line="276" w:lineRule="auto"/>
        <w:jc w:val="both"/>
        <w:rPr>
          <w:rFonts w:eastAsia="MS Mincho"/>
          <w:lang w:val="sq-AL"/>
        </w:rPr>
      </w:pPr>
      <w:r w:rsidRPr="00C82BE6">
        <w:rPr>
          <w:rFonts w:eastAsia="MS Mincho"/>
          <w:lang w:val="sq-AL"/>
        </w:rPr>
        <w:t>Reduktimin e stokut të TVSH-së kreditore përmes kompensimit.</w:t>
      </w:r>
    </w:p>
    <w:p w:rsidR="00C82BE6" w:rsidRPr="00C82BE6" w:rsidRDefault="00C82BE6" w:rsidP="00534AA6">
      <w:pPr>
        <w:numPr>
          <w:ilvl w:val="1"/>
          <w:numId w:val="44"/>
        </w:numPr>
        <w:spacing w:line="276" w:lineRule="auto"/>
        <w:jc w:val="both"/>
        <w:rPr>
          <w:rFonts w:eastAsia="MS Mincho"/>
          <w:lang w:val="sq-AL"/>
        </w:rPr>
      </w:pPr>
      <w:r w:rsidRPr="00C82BE6">
        <w:rPr>
          <w:rFonts w:eastAsia="MS Mincho"/>
          <w:lang w:val="sq-AL"/>
        </w:rPr>
        <w:lastRenderedPageBreak/>
        <w:t>Kontrollin e unifikuar mbi vlerën e transaksionit në import nga Administrata Tatimore në bashkëpunim me atë doganore nëpërmjet Metodologjisë “ Kanali blu”.</w:t>
      </w:r>
    </w:p>
    <w:p w:rsidR="00C82BE6" w:rsidRPr="00C82BE6" w:rsidRDefault="00C82BE6" w:rsidP="00534AA6">
      <w:pPr>
        <w:numPr>
          <w:ilvl w:val="1"/>
          <w:numId w:val="44"/>
        </w:numPr>
        <w:spacing w:line="276" w:lineRule="auto"/>
        <w:jc w:val="both"/>
        <w:rPr>
          <w:rFonts w:eastAsia="MS Mincho"/>
          <w:lang w:val="sq-AL"/>
        </w:rPr>
      </w:pPr>
      <w:r w:rsidRPr="00C82BE6">
        <w:rPr>
          <w:rFonts w:eastAsia="MS Mincho"/>
          <w:lang w:val="sq-AL"/>
        </w:rPr>
        <w:t>Përjashtimin e aplikimit të çmimit të referencës për mallrat me zinxhir të qartë dhe të sigurt të transaksioneve.</w:t>
      </w:r>
    </w:p>
    <w:p w:rsidR="00C82BE6" w:rsidRPr="00C82BE6" w:rsidRDefault="00C82BE6" w:rsidP="00534AA6">
      <w:pPr>
        <w:numPr>
          <w:ilvl w:val="1"/>
          <w:numId w:val="44"/>
        </w:numPr>
        <w:spacing w:line="276" w:lineRule="auto"/>
        <w:jc w:val="both"/>
        <w:rPr>
          <w:rFonts w:eastAsia="MS Mincho"/>
          <w:lang w:val="sq-AL"/>
        </w:rPr>
      </w:pPr>
      <w:r w:rsidRPr="00C82BE6">
        <w:rPr>
          <w:rFonts w:eastAsia="MS Mincho"/>
          <w:lang w:val="sq-AL"/>
        </w:rPr>
        <w:t>Analizën e transaksioneve të TVSH-së në lidhje me statusin e kompanisë.</w:t>
      </w:r>
    </w:p>
    <w:p w:rsidR="00C82BE6" w:rsidRPr="00C82BE6" w:rsidRDefault="00C82BE6" w:rsidP="00534AA6">
      <w:pPr>
        <w:numPr>
          <w:ilvl w:val="1"/>
          <w:numId w:val="44"/>
        </w:numPr>
        <w:spacing w:line="276" w:lineRule="auto"/>
        <w:jc w:val="both"/>
        <w:rPr>
          <w:rFonts w:eastAsia="MS Mincho"/>
          <w:lang w:val="sq-AL"/>
        </w:rPr>
      </w:pPr>
      <w:r w:rsidRPr="00C82BE6">
        <w:rPr>
          <w:rFonts w:eastAsia="MS Mincho"/>
          <w:lang w:val="sq-AL"/>
        </w:rPr>
        <w:t>Kontrolle të thelluara bazuar në analizën e riskut.</w:t>
      </w:r>
    </w:p>
    <w:p w:rsidR="00C82BE6" w:rsidRPr="00C82BE6" w:rsidRDefault="00C82BE6" w:rsidP="00534AA6">
      <w:pPr>
        <w:numPr>
          <w:ilvl w:val="1"/>
          <w:numId w:val="44"/>
        </w:numPr>
        <w:spacing w:line="276" w:lineRule="auto"/>
        <w:jc w:val="both"/>
        <w:rPr>
          <w:rFonts w:eastAsia="MS Mincho"/>
          <w:lang w:val="sq-AL"/>
        </w:rPr>
      </w:pPr>
      <w:r w:rsidRPr="00C82BE6">
        <w:rPr>
          <w:rFonts w:eastAsia="MS Mincho"/>
          <w:lang w:val="sq-AL"/>
        </w:rPr>
        <w:t>Auditim të specializuar nga Administrata Doganore dhe  Tatimore.</w:t>
      </w:r>
    </w:p>
    <w:p w:rsidR="00C82BE6" w:rsidRPr="00C82BE6" w:rsidRDefault="00C82BE6" w:rsidP="00534AA6">
      <w:pPr>
        <w:numPr>
          <w:ilvl w:val="1"/>
          <w:numId w:val="44"/>
        </w:numPr>
        <w:spacing w:line="276" w:lineRule="auto"/>
        <w:jc w:val="both"/>
        <w:rPr>
          <w:rFonts w:eastAsia="MS Mincho"/>
          <w:lang w:val="sq-AL"/>
        </w:rPr>
      </w:pPr>
      <w:r w:rsidRPr="00C82BE6">
        <w:rPr>
          <w:rFonts w:eastAsia="Times New Roman"/>
          <w:lang w:val="sq-AL"/>
        </w:rPr>
        <w:t>Përshpejtim të rimbursimit të TVSH-së për tatimpaguesit e kategorive të tjera.</w:t>
      </w:r>
    </w:p>
    <w:p w:rsidR="00C82BE6" w:rsidRPr="00C82BE6" w:rsidRDefault="00C82BE6" w:rsidP="00C82BE6">
      <w:pPr>
        <w:ind w:left="1440"/>
        <w:jc w:val="both"/>
        <w:rPr>
          <w:rFonts w:eastAsia="MS Mincho"/>
          <w:lang w:val="sq-AL"/>
        </w:rPr>
      </w:pPr>
    </w:p>
    <w:p w:rsidR="00C82BE6" w:rsidRPr="00890180" w:rsidRDefault="00A3010C" w:rsidP="00534AA6">
      <w:pPr>
        <w:keepNext/>
        <w:numPr>
          <w:ilvl w:val="1"/>
          <w:numId w:val="158"/>
        </w:numPr>
        <w:tabs>
          <w:tab w:val="left" w:pos="426"/>
          <w:tab w:val="left" w:pos="993"/>
          <w:tab w:val="center" w:pos="1276"/>
        </w:tabs>
        <w:spacing w:after="120"/>
        <w:contextualSpacing/>
        <w:outlineLvl w:val="0"/>
        <w:rPr>
          <w:b/>
          <w:sz w:val="26"/>
          <w:szCs w:val="26"/>
          <w:lang w:val="sq-AL"/>
        </w:rPr>
      </w:pPr>
      <w:bookmarkStart w:id="165" w:name="_Toc465870970"/>
      <w:bookmarkStart w:id="166" w:name="_Toc466445494"/>
      <w:r>
        <w:rPr>
          <w:b/>
          <w:caps/>
          <w:sz w:val="26"/>
          <w:szCs w:val="26"/>
          <w:lang w:val="sq-AL"/>
        </w:rPr>
        <w:t>Përjashtimet nga Taksat (</w:t>
      </w:r>
      <w:r w:rsidR="00C82BE6" w:rsidRPr="00C82BE6">
        <w:rPr>
          <w:b/>
          <w:caps/>
          <w:sz w:val="26"/>
          <w:szCs w:val="26"/>
          <w:lang w:val="sq-AL"/>
        </w:rPr>
        <w:t>“Tax Expenditures”)</w:t>
      </w:r>
      <w:bookmarkEnd w:id="165"/>
      <w:bookmarkEnd w:id="166"/>
      <w:r w:rsidR="00C82BE6" w:rsidRPr="00C82BE6">
        <w:rPr>
          <w:b/>
          <w:caps/>
          <w:lang w:val="sq-AL"/>
        </w:rPr>
        <w:t xml:space="preserve"> </w:t>
      </w:r>
    </w:p>
    <w:p w:rsidR="00890180" w:rsidRPr="00C82BE6" w:rsidRDefault="00890180" w:rsidP="00890180">
      <w:pPr>
        <w:keepNext/>
        <w:tabs>
          <w:tab w:val="left" w:pos="426"/>
          <w:tab w:val="left" w:pos="993"/>
          <w:tab w:val="center" w:pos="1276"/>
        </w:tabs>
        <w:spacing w:after="120"/>
        <w:ind w:left="360"/>
        <w:contextualSpacing/>
        <w:outlineLvl w:val="0"/>
        <w:rPr>
          <w:b/>
          <w:sz w:val="26"/>
          <w:szCs w:val="26"/>
          <w:lang w:val="sq-AL"/>
        </w:rPr>
      </w:pPr>
    </w:p>
    <w:p w:rsidR="00C82BE6" w:rsidRPr="00C82BE6" w:rsidRDefault="00C82BE6" w:rsidP="00C82BE6">
      <w:pPr>
        <w:tabs>
          <w:tab w:val="left" w:pos="709"/>
          <w:tab w:val="left" w:pos="964"/>
        </w:tabs>
        <w:jc w:val="both"/>
        <w:rPr>
          <w:rFonts w:eastAsia="Calibri"/>
          <w:lang w:val="sq-AL"/>
        </w:rPr>
      </w:pPr>
      <w:r w:rsidRPr="00C82BE6">
        <w:rPr>
          <w:rFonts w:eastAsia="Calibri"/>
          <w:lang w:val="sq-AL"/>
        </w:rPr>
        <w:t>Për herë të parë, në relacionin e buxhetit do të vendoset lista dhe shumat e përjashtimeve nga tatimet dhe taksat, të përcaktuar sipas ligjeve fiskale incentivuese në fuqi. Përjashtimet  e taksave, apo “tax expenditures” konsiderohen humbje nga të ardhurat fiskale të parashikuara në legjislacionin fiskal në fuqi, si rezultat i lehtësirave fiskale ose normave preferenciale të vendosura për kategori të caktuara taksapaguesish ose aktivitetesh.</w:t>
      </w:r>
    </w:p>
    <w:p w:rsidR="00C82BE6" w:rsidRPr="00C82BE6" w:rsidRDefault="00C82BE6" w:rsidP="00C82BE6">
      <w:pPr>
        <w:tabs>
          <w:tab w:val="left" w:pos="709"/>
          <w:tab w:val="left" w:pos="964"/>
        </w:tabs>
        <w:jc w:val="both"/>
        <w:rPr>
          <w:rFonts w:eastAsia="Calibri"/>
          <w:lang w:val="sq-AL"/>
        </w:rPr>
      </w:pPr>
      <w:r w:rsidRPr="00C82BE6">
        <w:rPr>
          <w:rFonts w:eastAsia="Calibri"/>
          <w:lang w:val="sq-AL"/>
        </w:rPr>
        <w:t xml:space="preserve">“Përjashtimet e taksave” janë vlerësuar duke përdorur metodën  “Të ardhura të munguara”. Analiza e përjashtimeve ligjore dhe përcaktimi i benchmark-ut (përjashtime që janë normë në të gjithë vendet) u krye me asistencë të Fondit Monetar Ndërkombëtar. </w:t>
      </w:r>
    </w:p>
    <w:p w:rsidR="00C82BE6" w:rsidRPr="00C82BE6" w:rsidRDefault="00C82BE6" w:rsidP="00C82BE6">
      <w:pPr>
        <w:tabs>
          <w:tab w:val="left" w:pos="709"/>
          <w:tab w:val="left" w:pos="964"/>
        </w:tabs>
        <w:jc w:val="both"/>
        <w:rPr>
          <w:rFonts w:eastAsia="Calibri"/>
          <w:lang w:val="sq-AL"/>
        </w:rPr>
      </w:pPr>
      <w:r w:rsidRPr="00C82BE6">
        <w:rPr>
          <w:rFonts w:eastAsia="Calibri"/>
          <w:lang w:val="sq-AL"/>
        </w:rPr>
        <w:t>Për vlerësimin dhe matjen e “përjashtimeve nga taksat” janë marrë në konsideratë tatimet dhe taksat e mëposhtme:</w:t>
      </w:r>
    </w:p>
    <w:p w:rsidR="00C82BE6" w:rsidRPr="00C82BE6" w:rsidRDefault="00C82BE6" w:rsidP="00534AA6">
      <w:pPr>
        <w:numPr>
          <w:ilvl w:val="0"/>
          <w:numId w:val="155"/>
        </w:numPr>
        <w:tabs>
          <w:tab w:val="left" w:pos="709"/>
          <w:tab w:val="left" w:pos="964"/>
        </w:tabs>
        <w:spacing w:after="200" w:line="276" w:lineRule="auto"/>
        <w:contextualSpacing/>
        <w:jc w:val="both"/>
        <w:rPr>
          <w:rFonts w:eastAsia="Calibri"/>
          <w:lang w:val="sq-AL"/>
        </w:rPr>
      </w:pPr>
      <w:r w:rsidRPr="00C82BE6">
        <w:rPr>
          <w:rFonts w:eastAsia="Calibri"/>
          <w:lang w:val="sq-AL"/>
        </w:rPr>
        <w:t>Tatimi mbi vlerën e shtuar, përkatësisht në Ligjin nr. 92/2014 “Për Tatimin mbi vlerën e shtuar” në Republikën e Shqipërisë, i ndryshuar.</w:t>
      </w:r>
    </w:p>
    <w:p w:rsidR="00C82BE6" w:rsidRPr="00C82BE6" w:rsidRDefault="00C82BE6" w:rsidP="00534AA6">
      <w:pPr>
        <w:numPr>
          <w:ilvl w:val="0"/>
          <w:numId w:val="155"/>
        </w:numPr>
        <w:tabs>
          <w:tab w:val="left" w:pos="709"/>
          <w:tab w:val="left" w:pos="964"/>
        </w:tabs>
        <w:spacing w:after="200" w:line="276" w:lineRule="auto"/>
        <w:contextualSpacing/>
        <w:jc w:val="both"/>
        <w:rPr>
          <w:rFonts w:eastAsia="Calibri"/>
          <w:lang w:val="sq-AL"/>
        </w:rPr>
      </w:pPr>
      <w:r w:rsidRPr="00C82BE6">
        <w:rPr>
          <w:rFonts w:eastAsia="Calibri"/>
          <w:lang w:val="sq-AL"/>
        </w:rPr>
        <w:t xml:space="preserve">Tatimi mbi të ardhurat, përkatësisht në </w:t>
      </w:r>
      <w:hyperlink r:id="rId20" w:history="1">
        <w:r w:rsidRPr="00C82BE6">
          <w:rPr>
            <w:rFonts w:eastAsia="Calibri"/>
            <w:lang w:val="sq-AL"/>
          </w:rPr>
          <w:t>Ligjin nr. 8438, datë 28.12.1998, "Për Tatimin m​bi të Ardhurat", i ndryshuar.​​​​</w:t>
        </w:r>
      </w:hyperlink>
      <w:r w:rsidRPr="00C82BE6">
        <w:rPr>
          <w:rFonts w:eastAsia="Calibri"/>
          <w:lang w:val="sq-AL"/>
        </w:rPr>
        <w:t>​</w:t>
      </w:r>
    </w:p>
    <w:p w:rsidR="00C82BE6" w:rsidRPr="00C82BE6" w:rsidRDefault="00C82BE6" w:rsidP="00534AA6">
      <w:pPr>
        <w:numPr>
          <w:ilvl w:val="0"/>
          <w:numId w:val="155"/>
        </w:numPr>
        <w:tabs>
          <w:tab w:val="left" w:pos="709"/>
          <w:tab w:val="left" w:pos="964"/>
        </w:tabs>
        <w:spacing w:after="200" w:line="276" w:lineRule="auto"/>
        <w:contextualSpacing/>
        <w:jc w:val="both"/>
        <w:rPr>
          <w:rFonts w:eastAsia="Calibri"/>
          <w:lang w:val="sq-AL"/>
        </w:rPr>
      </w:pPr>
      <w:r w:rsidRPr="00C82BE6">
        <w:rPr>
          <w:rFonts w:eastAsia="Calibri"/>
          <w:lang w:val="sq-AL"/>
        </w:rPr>
        <w:t>Akciza, përkatësisht në Ligjin nr. 61/2012 “Për Akcizën në Republikën e Shqipërisë”</w:t>
      </w:r>
    </w:p>
    <w:p w:rsidR="00C82BE6" w:rsidRPr="00C82BE6" w:rsidRDefault="00C82BE6" w:rsidP="00534AA6">
      <w:pPr>
        <w:numPr>
          <w:ilvl w:val="0"/>
          <w:numId w:val="155"/>
        </w:numPr>
        <w:tabs>
          <w:tab w:val="left" w:pos="709"/>
          <w:tab w:val="left" w:pos="964"/>
        </w:tabs>
        <w:spacing w:after="200" w:line="276" w:lineRule="auto"/>
        <w:contextualSpacing/>
        <w:jc w:val="both"/>
        <w:rPr>
          <w:rFonts w:eastAsia="Calibri"/>
          <w:lang w:val="sq-AL"/>
        </w:rPr>
      </w:pPr>
      <w:r w:rsidRPr="00C82BE6">
        <w:rPr>
          <w:rFonts w:eastAsia="Calibri"/>
          <w:lang w:val="sq-AL"/>
        </w:rPr>
        <w:t>Taksat Doganore, përkatësisht në Ligjin nr.102/2014, “Kodi Doganor në Republikën e Shqipërisë”.</w:t>
      </w:r>
    </w:p>
    <w:p w:rsidR="00C82BE6" w:rsidRPr="00C82BE6" w:rsidRDefault="00C82BE6" w:rsidP="00C82BE6">
      <w:pPr>
        <w:tabs>
          <w:tab w:val="left" w:pos="709"/>
          <w:tab w:val="left" w:pos="964"/>
        </w:tabs>
        <w:spacing w:line="276" w:lineRule="auto"/>
        <w:jc w:val="both"/>
        <w:rPr>
          <w:rFonts w:eastAsia="Calibri"/>
          <w:lang w:val="sq-AL"/>
        </w:rPr>
      </w:pPr>
      <w:r w:rsidRPr="00C82BE6">
        <w:rPr>
          <w:rFonts w:eastAsia="Calibri"/>
          <w:lang w:val="sq-AL"/>
        </w:rPr>
        <w:t xml:space="preserve">Janë identifikuar në total për TVSH-në, 78 përjashtime, ku ndër këto 35 përjashtime të veprimtarive me interes të përgjithshëm, 41 përjashtime në import dhe 2 përjashtime të tjera. Janë identifikuar 13 përjashtime në të ardhurat personale dhe 10 përjashtime nga tatimi mbi fitimin e korporatës. Në ligjin mbi akcizën, janë identifikuar 16 përjashtime nga akciza. Në Kodin Doganor, janë identifikuar 34 përjashtime nga taksat doganore. </w:t>
      </w:r>
    </w:p>
    <w:p w:rsidR="00C82BE6" w:rsidRDefault="00C82BE6" w:rsidP="00C82BE6">
      <w:pPr>
        <w:tabs>
          <w:tab w:val="left" w:pos="709"/>
          <w:tab w:val="left" w:pos="964"/>
        </w:tabs>
        <w:spacing w:line="276" w:lineRule="auto"/>
        <w:jc w:val="both"/>
        <w:rPr>
          <w:rFonts w:eastAsia="Calibri"/>
          <w:lang w:val="sq-AL"/>
        </w:rPr>
      </w:pPr>
    </w:p>
    <w:p w:rsidR="00C82BE6" w:rsidRPr="00C82BE6" w:rsidRDefault="00C82BE6" w:rsidP="00C82BE6">
      <w:pPr>
        <w:tabs>
          <w:tab w:val="left" w:pos="709"/>
          <w:tab w:val="left" w:pos="964"/>
        </w:tabs>
        <w:spacing w:line="276" w:lineRule="auto"/>
        <w:jc w:val="both"/>
        <w:rPr>
          <w:rFonts w:eastAsia="Calibri"/>
          <w:lang w:val="sq-AL"/>
        </w:rPr>
      </w:pPr>
      <w:r w:rsidRPr="00C82BE6">
        <w:rPr>
          <w:rFonts w:eastAsia="Calibri"/>
          <w:lang w:val="sq-AL"/>
        </w:rPr>
        <w:t>Tabela e mëposhtme jep një përmbledhje të përjashtimeve të taksave, si përqindje e Prodhimit të Brendshëm Bruto, bazuar në të dhënat e marra nga Administrata Tatimore dhe Administrata Doganore për vitin 2015.</w:t>
      </w:r>
    </w:p>
    <w:p w:rsidR="00C82BE6" w:rsidRPr="00C82BE6" w:rsidRDefault="00C82BE6" w:rsidP="00C82BE6">
      <w:pPr>
        <w:tabs>
          <w:tab w:val="left" w:pos="709"/>
          <w:tab w:val="left" w:pos="964"/>
        </w:tabs>
        <w:jc w:val="both"/>
        <w:rPr>
          <w:rFonts w:eastAsia="Calibri"/>
          <w:lang w:val="sq-AL"/>
        </w:rPr>
      </w:pPr>
    </w:p>
    <w:p w:rsidR="00C82BE6" w:rsidRPr="00C82BE6" w:rsidRDefault="00C82BE6" w:rsidP="00C82BE6">
      <w:pPr>
        <w:spacing w:before="100" w:beforeAutospacing="1" w:after="100" w:afterAutospacing="1"/>
        <w:contextualSpacing/>
        <w:jc w:val="both"/>
        <w:rPr>
          <w:rFonts w:eastAsia="Calibri"/>
          <w:lang w:val="sq-AL"/>
        </w:rPr>
      </w:pPr>
      <w:r w:rsidRPr="00C82BE6">
        <w:rPr>
          <w:rFonts w:eastAsia="Calibri"/>
          <w:lang w:val="sq-AL"/>
        </w:rPr>
        <w:tab/>
      </w:r>
      <w:r w:rsidRPr="00C82BE6">
        <w:rPr>
          <w:rFonts w:eastAsia="Calibri"/>
          <w:lang w:val="sq-AL"/>
        </w:rPr>
        <w:tab/>
      </w:r>
      <w:r w:rsidRPr="00C82BE6">
        <w:rPr>
          <w:rFonts w:eastAsia="Calibri"/>
          <w:lang w:val="sq-AL"/>
        </w:rPr>
        <w:tab/>
      </w:r>
      <w:r w:rsidRPr="00C82BE6">
        <w:rPr>
          <w:rFonts w:eastAsia="Calibri"/>
          <w:lang w:val="sq-AL"/>
        </w:rPr>
        <w:tab/>
      </w:r>
      <w:r w:rsidRPr="00C82BE6">
        <w:rPr>
          <w:rFonts w:eastAsia="Calibri"/>
          <w:lang w:val="sq-AL"/>
        </w:rPr>
        <w:tab/>
      </w:r>
      <w:r w:rsidRPr="00C82BE6">
        <w:rPr>
          <w:rFonts w:eastAsia="Calibri"/>
          <w:lang w:val="sq-AL"/>
        </w:rPr>
        <w:tab/>
      </w:r>
      <w:r w:rsidRPr="00C82BE6">
        <w:rPr>
          <w:rFonts w:eastAsia="Calibri"/>
          <w:lang w:val="sq-AL"/>
        </w:rPr>
        <w:tab/>
      </w:r>
      <w:r w:rsidRPr="00C82BE6">
        <w:rPr>
          <w:rFonts w:eastAsia="Calibri"/>
          <w:lang w:val="sq-AL"/>
        </w:rPr>
        <w:tab/>
      </w:r>
      <w:r w:rsidRPr="00C82BE6">
        <w:rPr>
          <w:rFonts w:eastAsia="Calibri"/>
          <w:lang w:val="sq-AL"/>
        </w:rPr>
        <w:tab/>
      </w:r>
      <w:r w:rsidRPr="00C82BE6">
        <w:rPr>
          <w:rFonts w:eastAsia="Calibri"/>
          <w:lang w:val="sq-AL"/>
        </w:rPr>
        <w:tab/>
      </w:r>
      <w:r>
        <w:rPr>
          <w:rFonts w:eastAsia="Calibri"/>
          <w:lang w:val="sq-AL"/>
        </w:rPr>
        <w:t xml:space="preserve">                 </w:t>
      </w:r>
      <w:r w:rsidRPr="00C82BE6">
        <w:rPr>
          <w:rFonts w:eastAsia="Calibri"/>
          <w:i/>
          <w:sz w:val="20"/>
          <w:szCs w:val="20"/>
          <w:lang w:val="sq-AL"/>
        </w:rPr>
        <w:t>(në milion lekë)</w:t>
      </w:r>
    </w:p>
    <w:tbl>
      <w:tblPr>
        <w:tblW w:w="8840" w:type="dxa"/>
        <w:jc w:val="center"/>
        <w:tblLook w:val="04A0" w:firstRow="1" w:lastRow="0" w:firstColumn="1" w:lastColumn="0" w:noHBand="0" w:noVBand="1"/>
      </w:tblPr>
      <w:tblGrid>
        <w:gridCol w:w="5698"/>
        <w:gridCol w:w="1720"/>
        <w:gridCol w:w="1422"/>
      </w:tblGrid>
      <w:tr w:rsidR="00C82BE6" w:rsidRPr="00C82BE6" w:rsidTr="00C82BE6">
        <w:trPr>
          <w:trHeight w:val="743"/>
          <w:jc w:val="center"/>
        </w:trPr>
        <w:tc>
          <w:tcPr>
            <w:tcW w:w="5698" w:type="dxa"/>
            <w:tcBorders>
              <w:top w:val="single" w:sz="8" w:space="0" w:color="auto"/>
              <w:left w:val="nil"/>
              <w:bottom w:val="double" w:sz="6" w:space="0" w:color="auto"/>
              <w:right w:val="nil"/>
            </w:tcBorders>
            <w:shd w:val="clear" w:color="auto" w:fill="auto"/>
            <w:noWrap/>
            <w:vAlign w:val="center"/>
            <w:hideMark/>
          </w:tcPr>
          <w:p w:rsidR="00C82BE6" w:rsidRPr="00C82BE6" w:rsidRDefault="00C82BE6" w:rsidP="00C82BE6">
            <w:pPr>
              <w:rPr>
                <w:rFonts w:eastAsia="Times New Roman"/>
                <w:color w:val="000000"/>
                <w:sz w:val="20"/>
                <w:szCs w:val="20"/>
              </w:rPr>
            </w:pPr>
            <w:r w:rsidRPr="00C82BE6">
              <w:rPr>
                <w:rFonts w:eastAsia="Times New Roman"/>
                <w:color w:val="000000"/>
                <w:sz w:val="20"/>
                <w:szCs w:val="20"/>
                <w:lang w:val="sq-AL"/>
              </w:rPr>
              <w:t> Lloji i Taksës</w:t>
            </w:r>
          </w:p>
        </w:tc>
        <w:tc>
          <w:tcPr>
            <w:tcW w:w="1720" w:type="dxa"/>
            <w:tcBorders>
              <w:top w:val="single" w:sz="8" w:space="0" w:color="auto"/>
              <w:left w:val="nil"/>
              <w:bottom w:val="double" w:sz="6" w:space="0" w:color="auto"/>
              <w:right w:val="nil"/>
            </w:tcBorders>
            <w:shd w:val="clear" w:color="auto" w:fill="auto"/>
            <w:vAlign w:val="center"/>
            <w:hideMark/>
          </w:tcPr>
          <w:p w:rsidR="00C82BE6" w:rsidRPr="00C82BE6" w:rsidRDefault="00C82BE6" w:rsidP="00045FE7">
            <w:pPr>
              <w:rPr>
                <w:rFonts w:eastAsia="Times New Roman"/>
                <w:color w:val="000000"/>
                <w:sz w:val="20"/>
                <w:szCs w:val="20"/>
              </w:rPr>
            </w:pPr>
            <w:r w:rsidRPr="00C82BE6">
              <w:rPr>
                <w:rFonts w:eastAsia="Times New Roman"/>
                <w:color w:val="000000"/>
                <w:sz w:val="20"/>
                <w:szCs w:val="20"/>
                <w:lang w:val="sq-AL"/>
              </w:rPr>
              <w:t>Përjashti</w:t>
            </w:r>
            <w:r w:rsidR="00045FE7">
              <w:rPr>
                <w:rFonts w:eastAsia="Times New Roman"/>
                <w:color w:val="000000"/>
                <w:sz w:val="20"/>
                <w:szCs w:val="20"/>
                <w:lang w:val="sq-AL"/>
              </w:rPr>
              <w:t>me</w:t>
            </w:r>
            <w:r w:rsidRPr="00C82BE6">
              <w:rPr>
                <w:rFonts w:eastAsia="Times New Roman"/>
                <w:color w:val="000000"/>
                <w:sz w:val="20"/>
                <w:szCs w:val="20"/>
                <w:lang w:val="sq-AL"/>
              </w:rPr>
              <w:t>t  e Taksave</w:t>
            </w:r>
          </w:p>
        </w:tc>
        <w:tc>
          <w:tcPr>
            <w:tcW w:w="1422" w:type="dxa"/>
            <w:tcBorders>
              <w:top w:val="single" w:sz="8" w:space="0" w:color="auto"/>
              <w:left w:val="nil"/>
              <w:bottom w:val="double" w:sz="6" w:space="0" w:color="auto"/>
              <w:right w:val="nil"/>
            </w:tcBorders>
            <w:shd w:val="clear" w:color="auto" w:fill="auto"/>
            <w:noWrap/>
            <w:vAlign w:val="center"/>
            <w:hideMark/>
          </w:tcPr>
          <w:p w:rsidR="00C82BE6" w:rsidRPr="00C82BE6" w:rsidRDefault="00C82BE6" w:rsidP="00C82BE6">
            <w:pPr>
              <w:rPr>
                <w:rFonts w:eastAsia="Times New Roman"/>
                <w:color w:val="000000"/>
                <w:sz w:val="20"/>
                <w:szCs w:val="20"/>
              </w:rPr>
            </w:pPr>
            <w:r w:rsidRPr="00C82BE6">
              <w:rPr>
                <w:rFonts w:eastAsia="Times New Roman"/>
                <w:color w:val="000000"/>
                <w:sz w:val="20"/>
                <w:szCs w:val="20"/>
                <w:lang w:val="sq-AL"/>
              </w:rPr>
              <w:t>në % të PBB</w:t>
            </w:r>
          </w:p>
        </w:tc>
      </w:tr>
      <w:tr w:rsidR="00C82BE6" w:rsidRPr="00C82BE6" w:rsidTr="00C82BE6">
        <w:trPr>
          <w:trHeight w:val="300"/>
          <w:jc w:val="center"/>
        </w:trPr>
        <w:tc>
          <w:tcPr>
            <w:tcW w:w="5698" w:type="dxa"/>
            <w:tcBorders>
              <w:top w:val="nil"/>
              <w:left w:val="nil"/>
              <w:bottom w:val="nil"/>
              <w:right w:val="nil"/>
            </w:tcBorders>
            <w:shd w:val="clear" w:color="auto" w:fill="auto"/>
            <w:noWrap/>
            <w:vAlign w:val="center"/>
            <w:hideMark/>
          </w:tcPr>
          <w:p w:rsidR="00C82BE6" w:rsidRPr="00C82BE6" w:rsidRDefault="00C82BE6" w:rsidP="00C82BE6">
            <w:pPr>
              <w:rPr>
                <w:rFonts w:eastAsia="Times New Roman"/>
                <w:color w:val="000000"/>
                <w:sz w:val="20"/>
                <w:szCs w:val="20"/>
              </w:rPr>
            </w:pPr>
            <w:r w:rsidRPr="00C82BE6">
              <w:rPr>
                <w:rFonts w:eastAsia="Times New Roman"/>
                <w:color w:val="000000"/>
                <w:sz w:val="20"/>
                <w:szCs w:val="20"/>
                <w:lang w:val="sq-AL"/>
              </w:rPr>
              <w:t>TVSH</w:t>
            </w:r>
          </w:p>
        </w:tc>
        <w:tc>
          <w:tcPr>
            <w:tcW w:w="1720" w:type="dxa"/>
            <w:tcBorders>
              <w:top w:val="nil"/>
              <w:left w:val="nil"/>
              <w:bottom w:val="nil"/>
              <w:right w:val="nil"/>
            </w:tcBorders>
            <w:shd w:val="clear" w:color="auto" w:fill="auto"/>
            <w:noWrap/>
            <w:vAlign w:val="center"/>
            <w:hideMark/>
          </w:tcPr>
          <w:p w:rsidR="00C82BE6" w:rsidRPr="00C82BE6" w:rsidRDefault="00C82BE6" w:rsidP="00C82BE6">
            <w:pPr>
              <w:jc w:val="center"/>
              <w:rPr>
                <w:rFonts w:eastAsia="Times New Roman"/>
                <w:color w:val="000000"/>
                <w:sz w:val="20"/>
                <w:szCs w:val="20"/>
              </w:rPr>
            </w:pPr>
            <w:r w:rsidRPr="00C82BE6">
              <w:rPr>
                <w:rFonts w:eastAsia="Times New Roman"/>
                <w:color w:val="000000"/>
                <w:sz w:val="20"/>
                <w:szCs w:val="20"/>
                <w:lang w:val="sq-AL"/>
              </w:rPr>
              <w:t>8,537</w:t>
            </w:r>
          </w:p>
        </w:tc>
        <w:tc>
          <w:tcPr>
            <w:tcW w:w="1422" w:type="dxa"/>
            <w:tcBorders>
              <w:top w:val="nil"/>
              <w:left w:val="nil"/>
              <w:bottom w:val="nil"/>
              <w:right w:val="nil"/>
            </w:tcBorders>
            <w:shd w:val="clear" w:color="auto" w:fill="auto"/>
            <w:noWrap/>
            <w:vAlign w:val="bottom"/>
            <w:hideMark/>
          </w:tcPr>
          <w:p w:rsidR="00C82BE6" w:rsidRPr="00C82BE6" w:rsidRDefault="00C82BE6" w:rsidP="00C82BE6">
            <w:pPr>
              <w:rPr>
                <w:rFonts w:ascii="Calibri" w:eastAsia="Times New Roman" w:hAnsi="Calibri" w:cs="Calibri"/>
                <w:color w:val="000000"/>
                <w:sz w:val="20"/>
                <w:szCs w:val="20"/>
              </w:rPr>
            </w:pPr>
          </w:p>
        </w:tc>
      </w:tr>
      <w:tr w:rsidR="00C82BE6" w:rsidRPr="00C82BE6" w:rsidTr="00C82BE6">
        <w:trPr>
          <w:trHeight w:val="286"/>
          <w:jc w:val="center"/>
        </w:trPr>
        <w:tc>
          <w:tcPr>
            <w:tcW w:w="5698" w:type="dxa"/>
            <w:tcBorders>
              <w:top w:val="nil"/>
              <w:left w:val="nil"/>
              <w:bottom w:val="nil"/>
              <w:right w:val="nil"/>
            </w:tcBorders>
            <w:shd w:val="clear" w:color="auto" w:fill="auto"/>
            <w:noWrap/>
            <w:vAlign w:val="center"/>
            <w:hideMark/>
          </w:tcPr>
          <w:p w:rsidR="00C82BE6" w:rsidRPr="00C82BE6" w:rsidRDefault="00C82BE6" w:rsidP="00045FE7">
            <w:pPr>
              <w:rPr>
                <w:rFonts w:eastAsia="Times New Roman"/>
                <w:i/>
                <w:iCs/>
                <w:color w:val="000000"/>
                <w:sz w:val="20"/>
                <w:szCs w:val="20"/>
              </w:rPr>
            </w:pPr>
            <w:r w:rsidRPr="00C82BE6">
              <w:rPr>
                <w:rFonts w:eastAsia="Times New Roman"/>
                <w:i/>
                <w:iCs/>
                <w:color w:val="000000"/>
                <w:sz w:val="20"/>
                <w:szCs w:val="20"/>
                <w:lang w:val="sq-AL"/>
              </w:rPr>
              <w:t>Tati</w:t>
            </w:r>
            <w:r w:rsidR="00045FE7">
              <w:rPr>
                <w:rFonts w:eastAsia="Times New Roman"/>
                <w:i/>
                <w:iCs/>
                <w:color w:val="000000"/>
                <w:sz w:val="20"/>
                <w:szCs w:val="20"/>
                <w:lang w:val="sq-AL"/>
              </w:rPr>
              <w:t>me</w:t>
            </w:r>
          </w:p>
        </w:tc>
        <w:tc>
          <w:tcPr>
            <w:tcW w:w="1720" w:type="dxa"/>
            <w:tcBorders>
              <w:top w:val="nil"/>
              <w:left w:val="nil"/>
              <w:bottom w:val="nil"/>
              <w:right w:val="nil"/>
            </w:tcBorders>
            <w:shd w:val="clear" w:color="auto" w:fill="auto"/>
            <w:noWrap/>
            <w:vAlign w:val="center"/>
            <w:hideMark/>
          </w:tcPr>
          <w:p w:rsidR="00C82BE6" w:rsidRPr="00C82BE6" w:rsidRDefault="00C82BE6" w:rsidP="00C82BE6">
            <w:pPr>
              <w:jc w:val="center"/>
              <w:rPr>
                <w:rFonts w:eastAsia="Times New Roman"/>
                <w:i/>
                <w:iCs/>
                <w:color w:val="000000"/>
                <w:sz w:val="20"/>
                <w:szCs w:val="20"/>
              </w:rPr>
            </w:pPr>
            <w:r w:rsidRPr="00C82BE6">
              <w:rPr>
                <w:rFonts w:eastAsia="Times New Roman"/>
                <w:i/>
                <w:iCs/>
                <w:color w:val="000000"/>
                <w:sz w:val="20"/>
                <w:szCs w:val="20"/>
                <w:lang w:val="sq-AL"/>
              </w:rPr>
              <w:t>4,015</w:t>
            </w:r>
          </w:p>
        </w:tc>
        <w:tc>
          <w:tcPr>
            <w:tcW w:w="1422" w:type="dxa"/>
            <w:tcBorders>
              <w:top w:val="nil"/>
              <w:left w:val="nil"/>
              <w:bottom w:val="nil"/>
              <w:right w:val="nil"/>
            </w:tcBorders>
            <w:shd w:val="clear" w:color="auto" w:fill="auto"/>
            <w:noWrap/>
            <w:vAlign w:val="bottom"/>
            <w:hideMark/>
          </w:tcPr>
          <w:p w:rsidR="00C82BE6" w:rsidRPr="00C82BE6" w:rsidRDefault="00C82BE6" w:rsidP="00C82BE6">
            <w:pPr>
              <w:rPr>
                <w:rFonts w:ascii="Calibri" w:eastAsia="Times New Roman" w:hAnsi="Calibri" w:cs="Calibri"/>
                <w:color w:val="000000"/>
                <w:sz w:val="20"/>
                <w:szCs w:val="20"/>
              </w:rPr>
            </w:pPr>
          </w:p>
        </w:tc>
      </w:tr>
      <w:tr w:rsidR="00C82BE6" w:rsidRPr="00C82BE6" w:rsidTr="00C82BE6">
        <w:trPr>
          <w:trHeight w:val="286"/>
          <w:jc w:val="center"/>
        </w:trPr>
        <w:tc>
          <w:tcPr>
            <w:tcW w:w="5698" w:type="dxa"/>
            <w:tcBorders>
              <w:top w:val="nil"/>
              <w:left w:val="nil"/>
              <w:bottom w:val="nil"/>
              <w:right w:val="nil"/>
            </w:tcBorders>
            <w:shd w:val="clear" w:color="auto" w:fill="auto"/>
            <w:noWrap/>
            <w:vAlign w:val="center"/>
            <w:hideMark/>
          </w:tcPr>
          <w:p w:rsidR="00C82BE6" w:rsidRPr="00C82BE6" w:rsidRDefault="00C82BE6" w:rsidP="00C82BE6">
            <w:pPr>
              <w:rPr>
                <w:rFonts w:eastAsia="Times New Roman"/>
                <w:i/>
                <w:iCs/>
                <w:color w:val="000000"/>
                <w:sz w:val="20"/>
                <w:szCs w:val="20"/>
              </w:rPr>
            </w:pPr>
            <w:r w:rsidRPr="00C82BE6">
              <w:rPr>
                <w:rFonts w:eastAsia="Times New Roman"/>
                <w:i/>
                <w:iCs/>
                <w:color w:val="000000"/>
                <w:sz w:val="20"/>
                <w:szCs w:val="20"/>
                <w:lang w:val="sq-AL"/>
              </w:rPr>
              <w:t>Dogana</w:t>
            </w:r>
          </w:p>
        </w:tc>
        <w:tc>
          <w:tcPr>
            <w:tcW w:w="1720" w:type="dxa"/>
            <w:tcBorders>
              <w:top w:val="nil"/>
              <w:left w:val="nil"/>
              <w:bottom w:val="nil"/>
              <w:right w:val="nil"/>
            </w:tcBorders>
            <w:shd w:val="clear" w:color="auto" w:fill="auto"/>
            <w:noWrap/>
            <w:vAlign w:val="center"/>
            <w:hideMark/>
          </w:tcPr>
          <w:p w:rsidR="00C82BE6" w:rsidRPr="00C82BE6" w:rsidRDefault="00C82BE6" w:rsidP="00C82BE6">
            <w:pPr>
              <w:jc w:val="center"/>
              <w:rPr>
                <w:rFonts w:eastAsia="Times New Roman"/>
                <w:i/>
                <w:iCs/>
                <w:color w:val="000000"/>
                <w:sz w:val="20"/>
                <w:szCs w:val="20"/>
              </w:rPr>
            </w:pPr>
            <w:r w:rsidRPr="00C82BE6">
              <w:rPr>
                <w:rFonts w:eastAsia="Times New Roman"/>
                <w:i/>
                <w:iCs/>
                <w:color w:val="000000"/>
                <w:sz w:val="20"/>
                <w:szCs w:val="20"/>
                <w:lang w:val="sq-AL"/>
              </w:rPr>
              <w:t>4,523</w:t>
            </w:r>
          </w:p>
        </w:tc>
        <w:tc>
          <w:tcPr>
            <w:tcW w:w="1422" w:type="dxa"/>
            <w:tcBorders>
              <w:top w:val="nil"/>
              <w:left w:val="nil"/>
              <w:bottom w:val="nil"/>
              <w:right w:val="nil"/>
            </w:tcBorders>
            <w:shd w:val="clear" w:color="auto" w:fill="auto"/>
            <w:noWrap/>
            <w:vAlign w:val="bottom"/>
            <w:hideMark/>
          </w:tcPr>
          <w:p w:rsidR="00C82BE6" w:rsidRPr="00C82BE6" w:rsidRDefault="00C82BE6" w:rsidP="00C82BE6">
            <w:pPr>
              <w:rPr>
                <w:rFonts w:ascii="Calibri" w:eastAsia="Times New Roman" w:hAnsi="Calibri" w:cs="Calibri"/>
                <w:color w:val="000000"/>
                <w:sz w:val="20"/>
                <w:szCs w:val="20"/>
              </w:rPr>
            </w:pPr>
          </w:p>
        </w:tc>
      </w:tr>
      <w:tr w:rsidR="00C82BE6" w:rsidRPr="00C82BE6" w:rsidTr="00C82BE6">
        <w:trPr>
          <w:trHeight w:val="286"/>
          <w:jc w:val="center"/>
        </w:trPr>
        <w:tc>
          <w:tcPr>
            <w:tcW w:w="5698" w:type="dxa"/>
            <w:tcBorders>
              <w:top w:val="nil"/>
              <w:left w:val="nil"/>
              <w:bottom w:val="nil"/>
              <w:right w:val="nil"/>
            </w:tcBorders>
            <w:shd w:val="clear" w:color="auto" w:fill="auto"/>
            <w:noWrap/>
            <w:vAlign w:val="center"/>
            <w:hideMark/>
          </w:tcPr>
          <w:p w:rsidR="00C82BE6" w:rsidRPr="00C82BE6" w:rsidRDefault="00C82BE6" w:rsidP="00C82BE6">
            <w:pPr>
              <w:rPr>
                <w:rFonts w:eastAsia="Times New Roman"/>
                <w:color w:val="000000"/>
                <w:sz w:val="20"/>
                <w:szCs w:val="20"/>
              </w:rPr>
            </w:pPr>
            <w:r w:rsidRPr="00C82BE6">
              <w:rPr>
                <w:rFonts w:eastAsia="Times New Roman"/>
                <w:color w:val="000000"/>
                <w:sz w:val="20"/>
                <w:szCs w:val="20"/>
                <w:lang w:val="sq-AL"/>
              </w:rPr>
              <w:t>Akciza</w:t>
            </w:r>
          </w:p>
        </w:tc>
        <w:tc>
          <w:tcPr>
            <w:tcW w:w="1720" w:type="dxa"/>
            <w:tcBorders>
              <w:top w:val="nil"/>
              <w:left w:val="nil"/>
              <w:bottom w:val="nil"/>
              <w:right w:val="nil"/>
            </w:tcBorders>
            <w:shd w:val="clear" w:color="auto" w:fill="auto"/>
            <w:noWrap/>
            <w:vAlign w:val="center"/>
            <w:hideMark/>
          </w:tcPr>
          <w:p w:rsidR="00C82BE6" w:rsidRPr="00C82BE6" w:rsidRDefault="00C82BE6" w:rsidP="00C82BE6">
            <w:pPr>
              <w:jc w:val="center"/>
              <w:rPr>
                <w:rFonts w:eastAsia="Times New Roman"/>
                <w:color w:val="000000"/>
                <w:sz w:val="20"/>
                <w:szCs w:val="20"/>
              </w:rPr>
            </w:pPr>
            <w:r w:rsidRPr="00C82BE6">
              <w:rPr>
                <w:rFonts w:eastAsia="Times New Roman"/>
                <w:color w:val="000000"/>
                <w:sz w:val="20"/>
                <w:szCs w:val="20"/>
                <w:lang w:val="sq-AL"/>
              </w:rPr>
              <w:t>1,250</w:t>
            </w:r>
          </w:p>
        </w:tc>
        <w:tc>
          <w:tcPr>
            <w:tcW w:w="1422" w:type="dxa"/>
            <w:tcBorders>
              <w:top w:val="nil"/>
              <w:left w:val="nil"/>
              <w:bottom w:val="nil"/>
              <w:right w:val="nil"/>
            </w:tcBorders>
            <w:shd w:val="clear" w:color="auto" w:fill="auto"/>
            <w:noWrap/>
            <w:vAlign w:val="bottom"/>
            <w:hideMark/>
          </w:tcPr>
          <w:p w:rsidR="00C82BE6" w:rsidRPr="00C82BE6" w:rsidRDefault="00C82BE6" w:rsidP="00C82BE6">
            <w:pPr>
              <w:rPr>
                <w:rFonts w:ascii="Calibri" w:eastAsia="Times New Roman" w:hAnsi="Calibri" w:cs="Calibri"/>
                <w:color w:val="000000"/>
                <w:sz w:val="20"/>
                <w:szCs w:val="20"/>
              </w:rPr>
            </w:pPr>
          </w:p>
        </w:tc>
      </w:tr>
      <w:tr w:rsidR="00C82BE6" w:rsidRPr="00C82BE6" w:rsidTr="00C82BE6">
        <w:trPr>
          <w:trHeight w:val="286"/>
          <w:jc w:val="center"/>
        </w:trPr>
        <w:tc>
          <w:tcPr>
            <w:tcW w:w="5698" w:type="dxa"/>
            <w:tcBorders>
              <w:top w:val="nil"/>
              <w:left w:val="nil"/>
              <w:bottom w:val="nil"/>
              <w:right w:val="nil"/>
            </w:tcBorders>
            <w:shd w:val="clear" w:color="auto" w:fill="auto"/>
            <w:noWrap/>
            <w:vAlign w:val="center"/>
            <w:hideMark/>
          </w:tcPr>
          <w:p w:rsidR="00C82BE6" w:rsidRPr="00C82BE6" w:rsidRDefault="00C82BE6" w:rsidP="00C82BE6">
            <w:pPr>
              <w:rPr>
                <w:rFonts w:eastAsia="Times New Roman"/>
                <w:color w:val="000000"/>
                <w:sz w:val="20"/>
                <w:szCs w:val="20"/>
              </w:rPr>
            </w:pPr>
            <w:r w:rsidRPr="00C82BE6">
              <w:rPr>
                <w:rFonts w:eastAsia="Times New Roman"/>
                <w:color w:val="000000"/>
                <w:sz w:val="20"/>
                <w:szCs w:val="20"/>
                <w:lang w:val="sq-AL"/>
              </w:rPr>
              <w:t>Taksa Doganore</w:t>
            </w:r>
          </w:p>
        </w:tc>
        <w:tc>
          <w:tcPr>
            <w:tcW w:w="1720" w:type="dxa"/>
            <w:tcBorders>
              <w:top w:val="nil"/>
              <w:left w:val="nil"/>
              <w:bottom w:val="nil"/>
              <w:right w:val="nil"/>
            </w:tcBorders>
            <w:shd w:val="clear" w:color="auto" w:fill="auto"/>
            <w:noWrap/>
            <w:vAlign w:val="center"/>
            <w:hideMark/>
          </w:tcPr>
          <w:p w:rsidR="00C82BE6" w:rsidRPr="00C82BE6" w:rsidRDefault="00C82BE6" w:rsidP="00C82BE6">
            <w:pPr>
              <w:jc w:val="center"/>
              <w:rPr>
                <w:rFonts w:eastAsia="Times New Roman"/>
                <w:color w:val="000000"/>
                <w:sz w:val="20"/>
                <w:szCs w:val="20"/>
              </w:rPr>
            </w:pPr>
            <w:r w:rsidRPr="00C82BE6">
              <w:rPr>
                <w:rFonts w:eastAsia="Times New Roman"/>
                <w:color w:val="000000"/>
                <w:sz w:val="20"/>
                <w:szCs w:val="20"/>
                <w:lang w:val="sq-AL"/>
              </w:rPr>
              <w:t>59</w:t>
            </w:r>
          </w:p>
        </w:tc>
        <w:tc>
          <w:tcPr>
            <w:tcW w:w="1422" w:type="dxa"/>
            <w:tcBorders>
              <w:top w:val="nil"/>
              <w:left w:val="nil"/>
              <w:bottom w:val="nil"/>
              <w:right w:val="nil"/>
            </w:tcBorders>
            <w:shd w:val="clear" w:color="auto" w:fill="auto"/>
            <w:noWrap/>
            <w:vAlign w:val="bottom"/>
            <w:hideMark/>
          </w:tcPr>
          <w:p w:rsidR="00C82BE6" w:rsidRPr="00C82BE6" w:rsidRDefault="00C82BE6" w:rsidP="00C82BE6">
            <w:pPr>
              <w:rPr>
                <w:rFonts w:ascii="Calibri" w:eastAsia="Times New Roman" w:hAnsi="Calibri" w:cs="Calibri"/>
                <w:color w:val="000000"/>
                <w:sz w:val="20"/>
                <w:szCs w:val="20"/>
              </w:rPr>
            </w:pPr>
          </w:p>
        </w:tc>
      </w:tr>
      <w:tr w:rsidR="00C82BE6" w:rsidRPr="00C82BE6" w:rsidTr="00C82BE6">
        <w:trPr>
          <w:trHeight w:val="286"/>
          <w:jc w:val="center"/>
        </w:trPr>
        <w:tc>
          <w:tcPr>
            <w:tcW w:w="5698" w:type="dxa"/>
            <w:tcBorders>
              <w:top w:val="nil"/>
              <w:left w:val="nil"/>
              <w:bottom w:val="nil"/>
              <w:right w:val="nil"/>
            </w:tcBorders>
            <w:shd w:val="clear" w:color="auto" w:fill="auto"/>
            <w:noWrap/>
            <w:vAlign w:val="center"/>
            <w:hideMark/>
          </w:tcPr>
          <w:p w:rsidR="00C82BE6" w:rsidRPr="00C82BE6" w:rsidRDefault="00C82BE6" w:rsidP="00C82BE6">
            <w:pPr>
              <w:rPr>
                <w:rFonts w:eastAsia="Times New Roman"/>
                <w:color w:val="000000"/>
                <w:sz w:val="20"/>
                <w:szCs w:val="20"/>
              </w:rPr>
            </w:pPr>
            <w:r w:rsidRPr="00C82BE6">
              <w:rPr>
                <w:rFonts w:eastAsia="Times New Roman"/>
                <w:color w:val="000000"/>
                <w:sz w:val="20"/>
                <w:szCs w:val="20"/>
                <w:lang w:val="sq-AL"/>
              </w:rPr>
              <w:t>Tatimi i thjeshtuar mbi fitimin</w:t>
            </w:r>
          </w:p>
        </w:tc>
        <w:tc>
          <w:tcPr>
            <w:tcW w:w="1720" w:type="dxa"/>
            <w:tcBorders>
              <w:top w:val="nil"/>
              <w:left w:val="nil"/>
              <w:bottom w:val="nil"/>
              <w:right w:val="nil"/>
            </w:tcBorders>
            <w:shd w:val="clear" w:color="auto" w:fill="auto"/>
            <w:noWrap/>
            <w:vAlign w:val="center"/>
            <w:hideMark/>
          </w:tcPr>
          <w:p w:rsidR="00C82BE6" w:rsidRPr="00C82BE6" w:rsidRDefault="00C82BE6" w:rsidP="00C82BE6">
            <w:pPr>
              <w:jc w:val="center"/>
              <w:rPr>
                <w:rFonts w:eastAsia="Times New Roman"/>
                <w:color w:val="000000"/>
                <w:sz w:val="20"/>
                <w:szCs w:val="20"/>
              </w:rPr>
            </w:pPr>
            <w:r w:rsidRPr="00C82BE6">
              <w:rPr>
                <w:rFonts w:eastAsia="Times New Roman"/>
                <w:color w:val="000000"/>
                <w:sz w:val="20"/>
                <w:szCs w:val="20"/>
                <w:lang w:val="sq-AL"/>
              </w:rPr>
              <w:t>266</w:t>
            </w:r>
          </w:p>
        </w:tc>
        <w:tc>
          <w:tcPr>
            <w:tcW w:w="1422" w:type="dxa"/>
            <w:tcBorders>
              <w:top w:val="nil"/>
              <w:left w:val="nil"/>
              <w:bottom w:val="nil"/>
              <w:right w:val="nil"/>
            </w:tcBorders>
            <w:shd w:val="clear" w:color="auto" w:fill="auto"/>
            <w:noWrap/>
            <w:vAlign w:val="bottom"/>
            <w:hideMark/>
          </w:tcPr>
          <w:p w:rsidR="00C82BE6" w:rsidRPr="00C82BE6" w:rsidRDefault="00C82BE6" w:rsidP="00C82BE6">
            <w:pPr>
              <w:rPr>
                <w:rFonts w:ascii="Calibri" w:eastAsia="Times New Roman" w:hAnsi="Calibri" w:cs="Calibri"/>
                <w:color w:val="000000"/>
                <w:sz w:val="20"/>
                <w:szCs w:val="20"/>
              </w:rPr>
            </w:pPr>
          </w:p>
        </w:tc>
      </w:tr>
      <w:tr w:rsidR="00C82BE6" w:rsidRPr="00C82BE6" w:rsidTr="00C82BE6">
        <w:trPr>
          <w:trHeight w:val="300"/>
          <w:jc w:val="center"/>
        </w:trPr>
        <w:tc>
          <w:tcPr>
            <w:tcW w:w="5698" w:type="dxa"/>
            <w:tcBorders>
              <w:top w:val="nil"/>
              <w:left w:val="nil"/>
              <w:bottom w:val="nil"/>
              <w:right w:val="nil"/>
            </w:tcBorders>
            <w:shd w:val="clear" w:color="auto" w:fill="auto"/>
            <w:noWrap/>
            <w:vAlign w:val="center"/>
            <w:hideMark/>
          </w:tcPr>
          <w:p w:rsidR="00C82BE6" w:rsidRPr="00C82BE6" w:rsidRDefault="00C82BE6" w:rsidP="00C82BE6">
            <w:pPr>
              <w:rPr>
                <w:rFonts w:eastAsia="Times New Roman"/>
                <w:color w:val="000000"/>
                <w:sz w:val="20"/>
                <w:szCs w:val="20"/>
              </w:rPr>
            </w:pPr>
            <w:r w:rsidRPr="00C82BE6">
              <w:rPr>
                <w:rFonts w:eastAsia="Times New Roman"/>
                <w:color w:val="000000"/>
                <w:sz w:val="20"/>
                <w:szCs w:val="20"/>
                <w:lang w:val="sq-AL"/>
              </w:rPr>
              <w:t>Tatim mbi të ardhurat personale</w:t>
            </w:r>
          </w:p>
        </w:tc>
        <w:tc>
          <w:tcPr>
            <w:tcW w:w="1720" w:type="dxa"/>
            <w:tcBorders>
              <w:top w:val="nil"/>
              <w:left w:val="nil"/>
              <w:bottom w:val="nil"/>
              <w:right w:val="nil"/>
            </w:tcBorders>
            <w:shd w:val="clear" w:color="auto" w:fill="auto"/>
            <w:noWrap/>
            <w:vAlign w:val="center"/>
            <w:hideMark/>
          </w:tcPr>
          <w:p w:rsidR="00C82BE6" w:rsidRPr="00C82BE6" w:rsidRDefault="00C82BE6" w:rsidP="00C82BE6">
            <w:pPr>
              <w:jc w:val="center"/>
              <w:rPr>
                <w:rFonts w:eastAsia="Times New Roman"/>
                <w:color w:val="000000"/>
                <w:sz w:val="20"/>
                <w:szCs w:val="20"/>
              </w:rPr>
            </w:pPr>
            <w:r w:rsidRPr="00C82BE6">
              <w:rPr>
                <w:rFonts w:eastAsia="Times New Roman"/>
                <w:color w:val="000000"/>
                <w:sz w:val="20"/>
                <w:szCs w:val="20"/>
                <w:lang w:val="sq-AL"/>
              </w:rPr>
              <w:t>450</w:t>
            </w:r>
          </w:p>
        </w:tc>
        <w:tc>
          <w:tcPr>
            <w:tcW w:w="1422" w:type="dxa"/>
            <w:tcBorders>
              <w:top w:val="nil"/>
              <w:left w:val="nil"/>
              <w:bottom w:val="nil"/>
              <w:right w:val="nil"/>
            </w:tcBorders>
            <w:shd w:val="clear" w:color="auto" w:fill="auto"/>
            <w:noWrap/>
            <w:vAlign w:val="bottom"/>
            <w:hideMark/>
          </w:tcPr>
          <w:p w:rsidR="00C82BE6" w:rsidRPr="00C82BE6" w:rsidRDefault="00C82BE6" w:rsidP="00C82BE6">
            <w:pPr>
              <w:rPr>
                <w:rFonts w:ascii="Calibri" w:eastAsia="Times New Roman" w:hAnsi="Calibri" w:cs="Calibri"/>
                <w:color w:val="000000"/>
                <w:sz w:val="20"/>
                <w:szCs w:val="20"/>
              </w:rPr>
            </w:pPr>
          </w:p>
        </w:tc>
      </w:tr>
      <w:tr w:rsidR="00C82BE6" w:rsidRPr="00C82BE6" w:rsidTr="00C82BE6">
        <w:trPr>
          <w:trHeight w:val="300"/>
          <w:jc w:val="center"/>
        </w:trPr>
        <w:tc>
          <w:tcPr>
            <w:tcW w:w="5698" w:type="dxa"/>
            <w:tcBorders>
              <w:top w:val="single" w:sz="8" w:space="0" w:color="auto"/>
              <w:left w:val="nil"/>
              <w:bottom w:val="double" w:sz="6" w:space="0" w:color="auto"/>
              <w:right w:val="nil"/>
            </w:tcBorders>
            <w:shd w:val="clear" w:color="auto" w:fill="auto"/>
            <w:noWrap/>
            <w:vAlign w:val="center"/>
            <w:hideMark/>
          </w:tcPr>
          <w:p w:rsidR="00C82BE6" w:rsidRPr="00C82BE6" w:rsidRDefault="00C82BE6" w:rsidP="00C82BE6">
            <w:pPr>
              <w:rPr>
                <w:rFonts w:eastAsia="Times New Roman"/>
                <w:b/>
                <w:bCs/>
                <w:color w:val="000000"/>
                <w:sz w:val="20"/>
                <w:szCs w:val="20"/>
              </w:rPr>
            </w:pPr>
            <w:r w:rsidRPr="00C82BE6">
              <w:rPr>
                <w:rFonts w:eastAsia="Times New Roman"/>
                <w:b/>
                <w:bCs/>
                <w:color w:val="000000"/>
                <w:sz w:val="20"/>
                <w:szCs w:val="20"/>
                <w:lang w:val="sq-AL"/>
              </w:rPr>
              <w:lastRenderedPageBreak/>
              <w:t>Total</w:t>
            </w:r>
          </w:p>
        </w:tc>
        <w:tc>
          <w:tcPr>
            <w:tcW w:w="1720" w:type="dxa"/>
            <w:tcBorders>
              <w:top w:val="single" w:sz="8" w:space="0" w:color="auto"/>
              <w:left w:val="nil"/>
              <w:bottom w:val="double" w:sz="6" w:space="0" w:color="auto"/>
              <w:right w:val="nil"/>
            </w:tcBorders>
            <w:shd w:val="clear" w:color="auto" w:fill="auto"/>
            <w:noWrap/>
            <w:vAlign w:val="center"/>
            <w:hideMark/>
          </w:tcPr>
          <w:p w:rsidR="00C82BE6" w:rsidRPr="00C82BE6" w:rsidRDefault="00C82BE6" w:rsidP="00C82BE6">
            <w:pPr>
              <w:jc w:val="center"/>
              <w:rPr>
                <w:rFonts w:eastAsia="Times New Roman"/>
                <w:b/>
                <w:bCs/>
                <w:color w:val="000000"/>
                <w:sz w:val="20"/>
                <w:szCs w:val="20"/>
              </w:rPr>
            </w:pPr>
            <w:r w:rsidRPr="00C82BE6">
              <w:rPr>
                <w:rFonts w:eastAsia="Times New Roman"/>
                <w:b/>
                <w:bCs/>
                <w:color w:val="000000"/>
                <w:sz w:val="20"/>
                <w:szCs w:val="20"/>
                <w:lang w:val="sq-AL"/>
              </w:rPr>
              <w:t>10,562</w:t>
            </w:r>
          </w:p>
        </w:tc>
        <w:tc>
          <w:tcPr>
            <w:tcW w:w="1422" w:type="dxa"/>
            <w:tcBorders>
              <w:top w:val="single" w:sz="8" w:space="0" w:color="auto"/>
              <w:left w:val="nil"/>
              <w:bottom w:val="double" w:sz="6" w:space="0" w:color="auto"/>
              <w:right w:val="nil"/>
            </w:tcBorders>
            <w:shd w:val="clear" w:color="auto" w:fill="auto"/>
            <w:noWrap/>
            <w:vAlign w:val="center"/>
            <w:hideMark/>
          </w:tcPr>
          <w:p w:rsidR="00C82BE6" w:rsidRPr="00C82BE6" w:rsidRDefault="00C82BE6" w:rsidP="00C82BE6">
            <w:pPr>
              <w:jc w:val="center"/>
              <w:rPr>
                <w:rFonts w:eastAsia="Times New Roman"/>
                <w:b/>
                <w:bCs/>
                <w:color w:val="000000"/>
                <w:sz w:val="20"/>
                <w:szCs w:val="20"/>
              </w:rPr>
            </w:pPr>
            <w:r w:rsidRPr="00C82BE6">
              <w:rPr>
                <w:rFonts w:eastAsia="Times New Roman"/>
                <w:b/>
                <w:bCs/>
                <w:color w:val="000000"/>
                <w:sz w:val="20"/>
                <w:szCs w:val="20"/>
                <w:lang w:val="sq-AL"/>
              </w:rPr>
              <w:t>0.73%</w:t>
            </w:r>
          </w:p>
        </w:tc>
      </w:tr>
    </w:tbl>
    <w:p w:rsidR="00C82BE6" w:rsidRPr="00C82BE6" w:rsidRDefault="00C82BE6" w:rsidP="00C610A8">
      <w:pPr>
        <w:ind w:firstLine="720"/>
        <w:rPr>
          <w:lang w:val="sq-AL"/>
        </w:rPr>
      </w:pPr>
      <w:r w:rsidRPr="00C82BE6">
        <w:rPr>
          <w:b/>
          <w:sz w:val="20"/>
          <w:szCs w:val="20"/>
          <w:lang w:val="sq-AL"/>
        </w:rPr>
        <w:t>Burimi:</w:t>
      </w:r>
      <w:r w:rsidRPr="00C82BE6">
        <w:rPr>
          <w:b/>
          <w:i/>
          <w:sz w:val="20"/>
          <w:szCs w:val="20"/>
          <w:lang w:val="sq-AL"/>
        </w:rPr>
        <w:t xml:space="preserve"> </w:t>
      </w:r>
      <w:r w:rsidRPr="00C82BE6">
        <w:rPr>
          <w:i/>
          <w:sz w:val="20"/>
          <w:szCs w:val="20"/>
          <w:lang w:val="sq-AL"/>
        </w:rPr>
        <w:t>Ministria e Financave (2016)</w:t>
      </w:r>
    </w:p>
    <w:p w:rsidR="00C82BE6" w:rsidRPr="00C82BE6" w:rsidRDefault="00C82BE6" w:rsidP="00C82BE6">
      <w:pPr>
        <w:keepNext/>
        <w:jc w:val="both"/>
        <w:outlineLvl w:val="0"/>
        <w:rPr>
          <w:b/>
          <w:color w:val="0033CC"/>
          <w:lang w:val="sq-AL"/>
        </w:rPr>
      </w:pPr>
    </w:p>
    <w:p w:rsidR="00C82BE6" w:rsidRPr="00C82BE6" w:rsidRDefault="00C82BE6" w:rsidP="00C82BE6">
      <w:pPr>
        <w:rPr>
          <w:lang w:val="sq-AL" w:eastAsia="x-none"/>
        </w:rPr>
      </w:pPr>
    </w:p>
    <w:p w:rsidR="00C82BE6" w:rsidRPr="00C82BE6" w:rsidRDefault="00C82BE6" w:rsidP="00C82BE6">
      <w:pPr>
        <w:jc w:val="both"/>
        <w:rPr>
          <w:sz w:val="16"/>
          <w:szCs w:val="16"/>
          <w:lang w:val="sq-AL"/>
        </w:rPr>
      </w:pPr>
    </w:p>
    <w:p w:rsidR="00C82BE6" w:rsidRPr="00C82BE6" w:rsidRDefault="00C82BE6" w:rsidP="00534AA6">
      <w:pPr>
        <w:keepNext/>
        <w:numPr>
          <w:ilvl w:val="0"/>
          <w:numId w:val="157"/>
        </w:numPr>
        <w:tabs>
          <w:tab w:val="center" w:pos="709"/>
        </w:tabs>
        <w:ind w:right="-1"/>
        <w:jc w:val="both"/>
        <w:outlineLvl w:val="0"/>
        <w:rPr>
          <w:b/>
          <w:bCs/>
          <w:iCs/>
          <w:caps/>
          <w:sz w:val="28"/>
          <w:lang w:val="sq-AL"/>
        </w:rPr>
      </w:pPr>
      <w:bookmarkStart w:id="167" w:name="_Toc465870971"/>
      <w:bookmarkStart w:id="168" w:name="_Toc466445495"/>
      <w:r w:rsidRPr="00C82BE6">
        <w:rPr>
          <w:b/>
          <w:bCs/>
          <w:iCs/>
          <w:caps/>
          <w:sz w:val="28"/>
          <w:lang w:val="sq-AL"/>
        </w:rPr>
        <w:t>RREZIQET DHE MASAT PËR ZBATIMIN E BUXHETIT 2017</w:t>
      </w:r>
      <w:bookmarkEnd w:id="167"/>
      <w:bookmarkEnd w:id="168"/>
      <w:r w:rsidRPr="00C82BE6">
        <w:rPr>
          <w:b/>
          <w:bCs/>
          <w:iCs/>
          <w:caps/>
          <w:sz w:val="28"/>
          <w:lang w:val="sq-AL"/>
        </w:rPr>
        <w:t xml:space="preserve"> </w:t>
      </w:r>
    </w:p>
    <w:p w:rsidR="00C82BE6" w:rsidRPr="00C82BE6" w:rsidRDefault="00C82BE6" w:rsidP="00C82BE6">
      <w:pPr>
        <w:rPr>
          <w:lang w:val="sq-AL"/>
        </w:rPr>
      </w:pPr>
    </w:p>
    <w:p w:rsidR="00C82BE6" w:rsidRPr="00C82BE6" w:rsidRDefault="00C82BE6" w:rsidP="00534AA6">
      <w:pPr>
        <w:keepNext/>
        <w:numPr>
          <w:ilvl w:val="1"/>
          <w:numId w:val="157"/>
        </w:numPr>
        <w:tabs>
          <w:tab w:val="center" w:pos="709"/>
        </w:tabs>
        <w:ind w:right="-1"/>
        <w:jc w:val="both"/>
        <w:outlineLvl w:val="0"/>
        <w:rPr>
          <w:b/>
          <w:caps/>
          <w:lang w:val="sq-AL"/>
        </w:rPr>
      </w:pPr>
      <w:bookmarkStart w:id="169" w:name="_Toc465870972"/>
      <w:bookmarkStart w:id="170" w:name="_Toc466445496"/>
      <w:r w:rsidRPr="00C82BE6">
        <w:rPr>
          <w:b/>
          <w:i/>
          <w:caps/>
          <w:sz w:val="26"/>
          <w:szCs w:val="26"/>
          <w:lang w:val="sq-AL"/>
        </w:rPr>
        <w:t>RISQET FISKALE DHE MASAT MBROJTËSE.</w:t>
      </w:r>
      <w:bookmarkEnd w:id="169"/>
      <w:bookmarkEnd w:id="170"/>
      <w:r w:rsidRPr="00C82BE6">
        <w:rPr>
          <w:b/>
          <w:i/>
          <w:caps/>
          <w:sz w:val="26"/>
          <w:szCs w:val="26"/>
          <w:lang w:val="sq-AL"/>
        </w:rPr>
        <w:t xml:space="preserve"> </w:t>
      </w:r>
    </w:p>
    <w:p w:rsidR="00C82BE6" w:rsidRPr="00C82BE6" w:rsidRDefault="00C82BE6" w:rsidP="00C82BE6">
      <w:pPr>
        <w:rPr>
          <w:lang w:val="sq-AL"/>
        </w:rPr>
      </w:pPr>
    </w:p>
    <w:p w:rsidR="00C82BE6" w:rsidRPr="004E3D49" w:rsidRDefault="00C82BE6" w:rsidP="00C82BE6">
      <w:pPr>
        <w:spacing w:line="276" w:lineRule="auto"/>
        <w:rPr>
          <w:lang w:val="sq-AL"/>
        </w:rPr>
      </w:pPr>
      <w:r>
        <w:rPr>
          <w:lang w:val="sq-AL"/>
        </w:rPr>
        <w:t xml:space="preserve">Në krahun e të ardhurave buxhetore </w:t>
      </w:r>
      <w:r w:rsidRPr="004E3D49">
        <w:rPr>
          <w:lang w:val="sq-AL"/>
        </w:rPr>
        <w:t xml:space="preserve">  risqet fiskale për vitin 2017 </w:t>
      </w:r>
      <w:r>
        <w:rPr>
          <w:lang w:val="sq-AL"/>
        </w:rPr>
        <w:t>konsistojn</w:t>
      </w:r>
      <w:r w:rsidRPr="004E3D49">
        <w:rPr>
          <w:lang w:val="sq-AL"/>
        </w:rPr>
        <w:t>ë</w:t>
      </w:r>
      <w:r>
        <w:rPr>
          <w:lang w:val="sq-AL"/>
        </w:rPr>
        <w:t xml:space="preserve"> në</w:t>
      </w:r>
      <w:r w:rsidRPr="004E3D49">
        <w:rPr>
          <w:lang w:val="sq-AL"/>
        </w:rPr>
        <w:t xml:space="preserve">: </w:t>
      </w:r>
    </w:p>
    <w:p w:rsidR="00C82BE6" w:rsidRPr="00C82BE6" w:rsidRDefault="00C82BE6" w:rsidP="00534AA6">
      <w:pPr>
        <w:numPr>
          <w:ilvl w:val="0"/>
          <w:numId w:val="156"/>
        </w:numPr>
        <w:spacing w:before="120" w:after="120" w:line="276" w:lineRule="auto"/>
        <w:ind w:right="518"/>
        <w:jc w:val="both"/>
        <w:rPr>
          <w:lang w:val="sq-AL" w:eastAsia="sq-AL"/>
        </w:rPr>
      </w:pPr>
      <w:r w:rsidRPr="00C82BE6">
        <w:rPr>
          <w:lang w:val="sq-AL" w:eastAsia="sq-AL"/>
        </w:rPr>
        <w:t xml:space="preserve">Rritja  me rreth 20% i çmimit të karburanteve. Treguesit e muajve Tetor-Nëntor 2016 dhe parashikimet e agjensive të specializuara ndërkombetare minimizojnë mundësitë që kjo rritje të mos ndodhë në këtë nivel. Në planifikimin e të ardhurave, është vlerësuar kompensimi i ndonjë oshilacioni të mundshëm të çmimeve, nëpërmjet disiplinimit maksimal të rasteve të përjashtimeve dhe rimbursimeve përtej normave ligjore dhe parashikimeve. </w:t>
      </w:r>
    </w:p>
    <w:p w:rsidR="00C82BE6" w:rsidRPr="00C82BE6" w:rsidRDefault="00C82BE6" w:rsidP="00534AA6">
      <w:pPr>
        <w:numPr>
          <w:ilvl w:val="0"/>
          <w:numId w:val="156"/>
        </w:numPr>
        <w:spacing w:before="120" w:after="120" w:line="276" w:lineRule="auto"/>
        <w:ind w:right="518"/>
        <w:jc w:val="both"/>
        <w:rPr>
          <w:lang w:val="sq-AL" w:eastAsia="sq-AL"/>
        </w:rPr>
      </w:pPr>
      <w:r w:rsidRPr="00C82BE6">
        <w:rPr>
          <w:lang w:val="sq-AL" w:eastAsia="sq-AL"/>
        </w:rPr>
        <w:t>Eshtë parashikuar një rritje me 200 ton e importit të cigareve me një efekt 1.4 miliardë lekë bazuar në performancën e vitit 2016. Vlerësohet se ndryshimet ligjore për kontrollin e zinxhirit t</w:t>
      </w:r>
      <w:r>
        <w:rPr>
          <w:lang w:val="sq-AL" w:eastAsia="sq-AL"/>
        </w:rPr>
        <w:t>ë</w:t>
      </w:r>
      <w:r w:rsidRPr="00C82BE6">
        <w:rPr>
          <w:lang w:val="sq-AL" w:eastAsia="sq-AL"/>
        </w:rPr>
        <w:t xml:space="preserve"> mbjelljes së duhanit, përpunimit dhe importit të letrës dhe filtrit do të rrisë deklarimet e prodhimit vendas duke kompensuar të ardhurat nga importi.  </w:t>
      </w:r>
    </w:p>
    <w:p w:rsidR="00C82BE6" w:rsidRPr="00C82BE6" w:rsidRDefault="00C82BE6" w:rsidP="00534AA6">
      <w:pPr>
        <w:numPr>
          <w:ilvl w:val="0"/>
          <w:numId w:val="156"/>
        </w:numPr>
        <w:spacing w:before="120" w:after="120" w:line="276" w:lineRule="auto"/>
        <w:ind w:right="518"/>
        <w:jc w:val="both"/>
        <w:rPr>
          <w:lang w:val="sq-AL" w:eastAsia="sq-AL"/>
        </w:rPr>
      </w:pPr>
      <w:r w:rsidRPr="00C82BE6">
        <w:rPr>
          <w:lang w:val="sq-AL" w:eastAsia="sq-AL"/>
        </w:rPr>
        <w:t xml:space="preserve">Të ardhurat e planifikuara nga TVSH-ja janë bazuar në treguesit e importit. Nëse do të kemi një raport  të ndryshëm mes importit dhe prodhimit vendas për karburantet, si rezultat edhe i fillimit të operacioneve të rafinerisë së naftës, mund të ketë rialokim të të ardhurave mes dy Administratave (Tatimore dhe Doganore) dhe ulje të të ardhurave nga TVSH-ja për shkak të bazës më të ulët të taksimit të naftës brenda vendit, me një efekt rreth 10%. Ky risk mund të neutralizohet me rritjen e të ardhurave në tatim fitim, tatimin mbi të ardhurat personale dhe kontribute në këtë industri. </w:t>
      </w:r>
    </w:p>
    <w:p w:rsidR="00C82BE6" w:rsidRPr="00C82BE6" w:rsidRDefault="00C82BE6" w:rsidP="00534AA6">
      <w:pPr>
        <w:numPr>
          <w:ilvl w:val="0"/>
          <w:numId w:val="156"/>
        </w:numPr>
        <w:spacing w:before="120" w:after="120" w:line="276" w:lineRule="auto"/>
        <w:ind w:right="518"/>
        <w:jc w:val="both"/>
        <w:rPr>
          <w:rFonts w:ascii="Calibri" w:hAnsi="Calibri" w:cs="Calibri"/>
        </w:rPr>
      </w:pPr>
      <w:r w:rsidRPr="00C82BE6">
        <w:rPr>
          <w:lang w:val="sq-AL" w:eastAsia="sq-AL"/>
        </w:rPr>
        <w:t>Ka një ndryshim në tre vitet e fundit të raportit mes importit dhe prodhimit vendas të energjisë elektrike si rezultat i efekteve pozitive të reformës për shlyerjen e detyrimeve nga subjekte private apo biznese dhe rritje në mënyrë progresive të prodhimit vendas. Ndryshimi i raportit mes importit dhe prodhimit vendas, do të vazhdojë të sjellë rialokim të TVSH-së për vlera më të ulëta në tatime.</w:t>
      </w:r>
    </w:p>
    <w:p w:rsidR="00C82BE6" w:rsidRPr="00DD00E8" w:rsidRDefault="00C82BE6" w:rsidP="00C82BE6">
      <w:pPr>
        <w:pStyle w:val="ColorfulList-Accent11"/>
        <w:spacing w:before="150" w:after="150" w:line="276" w:lineRule="auto"/>
        <w:ind w:left="0" w:right="525"/>
        <w:jc w:val="both"/>
        <w:rPr>
          <w:rFonts w:ascii="Times New Roman" w:eastAsia="MS Mincho" w:hAnsi="Times New Roman"/>
          <w:bCs/>
          <w:sz w:val="24"/>
          <w:szCs w:val="24"/>
          <w:lang w:val="sq-AL" w:eastAsia="sq-AL"/>
        </w:rPr>
      </w:pPr>
      <w:r w:rsidRPr="00DD00E8">
        <w:rPr>
          <w:rFonts w:ascii="Times New Roman" w:eastAsia="MS Mincho" w:hAnsi="Times New Roman"/>
          <w:bCs/>
          <w:sz w:val="24"/>
          <w:szCs w:val="24"/>
          <w:lang w:val="sq-AL" w:eastAsia="sq-AL"/>
        </w:rPr>
        <w:t>Në krahun e shpenzimeve bu</w:t>
      </w:r>
      <w:r>
        <w:rPr>
          <w:rFonts w:ascii="Times New Roman" w:eastAsia="MS Mincho" w:hAnsi="Times New Roman"/>
          <w:bCs/>
          <w:sz w:val="24"/>
          <w:szCs w:val="24"/>
          <w:lang w:val="sq-AL" w:eastAsia="sq-AL"/>
        </w:rPr>
        <w:t>xhetore, risqet konsistojnë në:</w:t>
      </w:r>
    </w:p>
    <w:p w:rsidR="00C82BE6" w:rsidRPr="00DD00E8" w:rsidRDefault="00C82BE6" w:rsidP="00534AA6">
      <w:pPr>
        <w:pStyle w:val="ColorfulList-Accent11"/>
        <w:numPr>
          <w:ilvl w:val="0"/>
          <w:numId w:val="159"/>
        </w:numPr>
        <w:spacing w:before="150" w:after="150" w:line="276" w:lineRule="auto"/>
        <w:ind w:right="525"/>
        <w:jc w:val="both"/>
        <w:rPr>
          <w:rFonts w:ascii="Times New Roman" w:eastAsia="MS Mincho" w:hAnsi="Times New Roman"/>
          <w:bCs/>
          <w:sz w:val="24"/>
          <w:szCs w:val="24"/>
          <w:lang w:val="sq-AL" w:eastAsia="sq-AL"/>
        </w:rPr>
      </w:pPr>
      <w:r w:rsidRPr="00DD00E8">
        <w:rPr>
          <w:rFonts w:ascii="Times New Roman" w:eastAsia="MS Mincho" w:hAnsi="Times New Roman"/>
          <w:bCs/>
          <w:sz w:val="24"/>
          <w:szCs w:val="24"/>
          <w:lang w:val="sq-AL" w:eastAsia="sq-AL"/>
        </w:rPr>
        <w:t xml:space="preserve">Ngjarjet e paparashikuara si fatkeqësitë natyrore të formës përmbytje masive, zjarre, tërmete etj. Për të përballuar të tilla raste, në buxhetin e vitit 2017 është parashikuar një fond prej 130 milionë lekë në programin “Emergjencat Civile” në Ministrinë e Brendshme, si dhe Fondi Rezervë i Buxhetit të Shtetit në shumën  </w:t>
      </w:r>
      <w:r>
        <w:rPr>
          <w:rFonts w:ascii="Times New Roman" w:eastAsia="MS Mincho" w:hAnsi="Times New Roman"/>
          <w:bCs/>
          <w:sz w:val="24"/>
          <w:szCs w:val="24"/>
          <w:lang w:val="sq-AL" w:eastAsia="sq-AL"/>
        </w:rPr>
        <w:t>1</w:t>
      </w:r>
      <w:r w:rsidRPr="00DD00E8">
        <w:rPr>
          <w:rFonts w:ascii="Times New Roman" w:eastAsia="MS Mincho" w:hAnsi="Times New Roman"/>
          <w:bCs/>
          <w:sz w:val="24"/>
          <w:szCs w:val="24"/>
          <w:lang w:val="sq-AL" w:eastAsia="sq-AL"/>
        </w:rPr>
        <w:t xml:space="preserve"> </w:t>
      </w:r>
      <w:r>
        <w:rPr>
          <w:rFonts w:ascii="Times New Roman" w:eastAsia="MS Mincho" w:hAnsi="Times New Roman"/>
          <w:bCs/>
          <w:sz w:val="24"/>
          <w:szCs w:val="24"/>
          <w:lang w:val="sq-AL" w:eastAsia="sq-AL"/>
        </w:rPr>
        <w:t>miliardë</w:t>
      </w:r>
      <w:r w:rsidRPr="00DD00E8">
        <w:rPr>
          <w:rFonts w:ascii="Times New Roman" w:eastAsia="MS Mincho" w:hAnsi="Times New Roman"/>
          <w:bCs/>
          <w:sz w:val="24"/>
          <w:szCs w:val="24"/>
          <w:lang w:val="sq-AL" w:eastAsia="sq-AL"/>
        </w:rPr>
        <w:t xml:space="preserve"> lekë.</w:t>
      </w:r>
    </w:p>
    <w:p w:rsidR="00C82BE6" w:rsidRPr="00DD00E8" w:rsidRDefault="00C82BE6" w:rsidP="00534AA6">
      <w:pPr>
        <w:pStyle w:val="ColorfulList-Accent11"/>
        <w:numPr>
          <w:ilvl w:val="0"/>
          <w:numId w:val="159"/>
        </w:numPr>
        <w:spacing w:before="150" w:after="150" w:line="276" w:lineRule="auto"/>
        <w:ind w:right="525"/>
        <w:jc w:val="both"/>
        <w:rPr>
          <w:rFonts w:ascii="Times New Roman" w:eastAsia="MS Mincho" w:hAnsi="Times New Roman"/>
          <w:bCs/>
          <w:sz w:val="24"/>
          <w:szCs w:val="24"/>
          <w:lang w:val="sq-AL" w:eastAsia="sq-AL"/>
        </w:rPr>
      </w:pPr>
      <w:r w:rsidRPr="00DD00E8">
        <w:rPr>
          <w:rFonts w:ascii="Times New Roman" w:eastAsia="MS Mincho" w:hAnsi="Times New Roman"/>
          <w:bCs/>
          <w:sz w:val="24"/>
          <w:szCs w:val="24"/>
          <w:lang w:val="sq-AL" w:eastAsia="sq-AL"/>
        </w:rPr>
        <w:t>Mos-ofrimi në kohë dhe konform standarteve të shërbimeve publike të domosdoshme nga ndërmarrjet me kapital shtetëror (KESH, OST, OSHEE, Ndërmarrjet e Ujësjellës Kanalizimeve).  Për të përballuar këto risqe parashikohet:</w:t>
      </w:r>
    </w:p>
    <w:p w:rsidR="00C82BE6" w:rsidRPr="00DD00E8" w:rsidRDefault="00C82BE6" w:rsidP="00534AA6">
      <w:pPr>
        <w:pStyle w:val="ColorfulList-Accent11"/>
        <w:numPr>
          <w:ilvl w:val="0"/>
          <w:numId w:val="160"/>
        </w:numPr>
        <w:spacing w:before="150" w:after="150" w:line="276" w:lineRule="auto"/>
        <w:ind w:right="525"/>
        <w:jc w:val="both"/>
        <w:rPr>
          <w:rFonts w:ascii="Times New Roman" w:eastAsia="MS Mincho" w:hAnsi="Times New Roman"/>
          <w:bCs/>
          <w:sz w:val="24"/>
          <w:szCs w:val="24"/>
          <w:lang w:val="sq-AL" w:eastAsia="sq-AL"/>
        </w:rPr>
      </w:pPr>
      <w:r w:rsidRPr="00DD00E8">
        <w:rPr>
          <w:rFonts w:ascii="Times New Roman" w:eastAsia="MS Mincho" w:hAnsi="Times New Roman"/>
          <w:bCs/>
          <w:sz w:val="24"/>
          <w:szCs w:val="24"/>
          <w:lang w:val="sq-AL" w:eastAsia="sq-AL"/>
        </w:rPr>
        <w:t xml:space="preserve">Për sektorin e energjisë është planifikuar një shumë 55 </w:t>
      </w:r>
      <w:r>
        <w:rPr>
          <w:rFonts w:ascii="Times New Roman" w:eastAsia="MS Mincho" w:hAnsi="Times New Roman"/>
          <w:bCs/>
          <w:sz w:val="24"/>
          <w:szCs w:val="24"/>
          <w:lang w:val="sq-AL" w:eastAsia="sq-AL"/>
        </w:rPr>
        <w:t>miliardë</w:t>
      </w:r>
      <w:r w:rsidRPr="00DD00E8">
        <w:rPr>
          <w:rFonts w:ascii="Times New Roman" w:eastAsia="MS Mincho" w:hAnsi="Times New Roman"/>
          <w:bCs/>
          <w:sz w:val="24"/>
          <w:szCs w:val="24"/>
          <w:lang w:val="sq-AL" w:eastAsia="sq-AL"/>
        </w:rPr>
        <w:t xml:space="preserve"> lekë në formë e garancisë shtetërore për çdo kredi të mundshme që ndërmarrjet publike të këtij sektori mund të marrin nga institucionet kredituese financiare.</w:t>
      </w:r>
      <w:r>
        <w:rPr>
          <w:rFonts w:ascii="Times New Roman" w:eastAsia="MS Mincho" w:hAnsi="Times New Roman"/>
          <w:bCs/>
          <w:sz w:val="24"/>
          <w:szCs w:val="24"/>
          <w:lang w:val="sq-AL" w:eastAsia="sq-AL"/>
        </w:rPr>
        <w:t xml:space="preserve"> </w:t>
      </w:r>
      <w:r w:rsidRPr="00DD00E8">
        <w:rPr>
          <w:rFonts w:ascii="Times New Roman" w:eastAsia="MS Mincho" w:hAnsi="Times New Roman"/>
          <w:bCs/>
          <w:sz w:val="24"/>
          <w:szCs w:val="24"/>
          <w:lang w:val="sq-AL" w:eastAsia="sq-AL"/>
        </w:rPr>
        <w:t>Kjo garanci ka formën e një detyrim kontigjent, për të parandaluar risqet eventuale të mospagesës së kredisë.</w:t>
      </w:r>
    </w:p>
    <w:p w:rsidR="00C82BE6" w:rsidRPr="00DD00E8" w:rsidRDefault="00C82BE6" w:rsidP="00534AA6">
      <w:pPr>
        <w:pStyle w:val="ColorfulList-Accent11"/>
        <w:numPr>
          <w:ilvl w:val="0"/>
          <w:numId w:val="160"/>
        </w:numPr>
        <w:spacing w:before="150" w:after="150" w:line="276" w:lineRule="auto"/>
        <w:ind w:right="525"/>
        <w:jc w:val="both"/>
        <w:rPr>
          <w:rFonts w:ascii="Times New Roman" w:eastAsia="MS Mincho" w:hAnsi="Times New Roman"/>
          <w:bCs/>
          <w:sz w:val="24"/>
          <w:szCs w:val="24"/>
          <w:lang w:val="sq-AL" w:eastAsia="sq-AL"/>
        </w:rPr>
      </w:pPr>
      <w:r w:rsidRPr="00DD00E8">
        <w:rPr>
          <w:rFonts w:ascii="Times New Roman" w:eastAsia="MS Mincho" w:hAnsi="Times New Roman"/>
          <w:bCs/>
          <w:sz w:val="24"/>
          <w:szCs w:val="24"/>
          <w:lang w:val="sq-AL" w:eastAsia="sq-AL"/>
        </w:rPr>
        <w:lastRenderedPageBreak/>
        <w:t xml:space="preserve">Për sektorit e ujit është planifikuar një subvencion në shumën 1 </w:t>
      </w:r>
      <w:r>
        <w:rPr>
          <w:rFonts w:ascii="Times New Roman" w:eastAsia="MS Mincho" w:hAnsi="Times New Roman"/>
          <w:bCs/>
          <w:sz w:val="24"/>
          <w:szCs w:val="24"/>
          <w:lang w:val="sq-AL" w:eastAsia="sq-AL"/>
        </w:rPr>
        <w:t>miliardë</w:t>
      </w:r>
      <w:r w:rsidRPr="00DD00E8">
        <w:rPr>
          <w:rFonts w:ascii="Times New Roman" w:eastAsia="MS Mincho" w:hAnsi="Times New Roman"/>
          <w:bCs/>
          <w:sz w:val="24"/>
          <w:szCs w:val="24"/>
          <w:lang w:val="sq-AL" w:eastAsia="sq-AL"/>
        </w:rPr>
        <w:t xml:space="preserve"> lekë për të garantuar ofrimin e shërbimit konform standardeve.</w:t>
      </w:r>
    </w:p>
    <w:p w:rsidR="00C82BE6" w:rsidRPr="00C82BE6" w:rsidRDefault="00C82BE6" w:rsidP="00534AA6">
      <w:pPr>
        <w:pStyle w:val="ColorfulList-Accent11"/>
        <w:numPr>
          <w:ilvl w:val="0"/>
          <w:numId w:val="159"/>
        </w:numPr>
        <w:spacing w:before="150" w:after="150" w:line="276" w:lineRule="auto"/>
        <w:ind w:right="525"/>
        <w:jc w:val="both"/>
        <w:rPr>
          <w:rFonts w:ascii="Times New Roman" w:eastAsia="MS Mincho" w:hAnsi="Times New Roman"/>
          <w:bCs/>
          <w:sz w:val="24"/>
          <w:szCs w:val="24"/>
          <w:lang w:val="sq-AL" w:eastAsia="sq-AL"/>
        </w:rPr>
      </w:pPr>
      <w:r w:rsidRPr="00DD00E8">
        <w:rPr>
          <w:rFonts w:ascii="Times New Roman" w:eastAsia="MS Mincho" w:hAnsi="Times New Roman"/>
          <w:bCs/>
          <w:sz w:val="24"/>
          <w:szCs w:val="24"/>
          <w:lang w:val="sq-AL" w:eastAsia="sq-AL"/>
        </w:rPr>
        <w:t>Vendimet gjyqësore të formës së prerë që implikojnë kosto buxhetore të paparashikuara. Për këtë qëllim, janë planifikuar në buxhetin e vitit 2017 respektivisht nga çdo institucion buxhetor fonde për vendimet gjyqësore të lidhura me to. Ndërsa për vendimet e formës së prerë të gjykatave ndërkombëtare do të përdoret Fondi Rezervë i Buxhetit të Shtetit.</w:t>
      </w:r>
    </w:p>
    <w:p w:rsidR="00B0121D" w:rsidRPr="00D73F43" w:rsidRDefault="00B0121D" w:rsidP="00C82BE6">
      <w:pPr>
        <w:pStyle w:val="Heading1"/>
        <w:tabs>
          <w:tab w:val="clear" w:pos="5954"/>
          <w:tab w:val="left" w:pos="426"/>
          <w:tab w:val="left" w:pos="993"/>
          <w:tab w:val="center" w:pos="1276"/>
        </w:tabs>
        <w:spacing w:after="120" w:line="276" w:lineRule="auto"/>
        <w:ind w:left="504" w:right="0"/>
        <w:jc w:val="left"/>
        <w:rPr>
          <w:lang w:val="sq-AL"/>
        </w:rPr>
      </w:pPr>
    </w:p>
    <w:p w:rsidR="00B0121D" w:rsidRPr="00D73F43" w:rsidRDefault="00B0121D" w:rsidP="00534AA6">
      <w:pPr>
        <w:pStyle w:val="Heading1"/>
        <w:numPr>
          <w:ilvl w:val="1"/>
          <w:numId w:val="12"/>
        </w:numPr>
        <w:tabs>
          <w:tab w:val="clear" w:pos="5954"/>
          <w:tab w:val="center" w:pos="709"/>
        </w:tabs>
        <w:spacing w:line="276" w:lineRule="auto"/>
        <w:jc w:val="both"/>
        <w:rPr>
          <w:caps w:val="0"/>
          <w:sz w:val="26"/>
          <w:szCs w:val="26"/>
          <w:lang w:val="sq-AL"/>
        </w:rPr>
      </w:pPr>
      <w:bookmarkStart w:id="171" w:name="_Toc466445497"/>
      <w:r w:rsidRPr="00D73F43">
        <w:rPr>
          <w:caps w:val="0"/>
          <w:sz w:val="26"/>
          <w:szCs w:val="26"/>
          <w:lang w:val="sq-AL"/>
        </w:rPr>
        <w:t>AKUMULIMI I DETYRIMEVE TE REJA</w:t>
      </w:r>
      <w:bookmarkEnd w:id="171"/>
      <w:r w:rsidRPr="00D73F43">
        <w:rPr>
          <w:caps w:val="0"/>
          <w:sz w:val="26"/>
          <w:szCs w:val="26"/>
          <w:lang w:val="sq-AL"/>
        </w:rPr>
        <w:t xml:space="preserve"> </w:t>
      </w:r>
    </w:p>
    <w:p w:rsidR="00B0121D" w:rsidRPr="00D73F43" w:rsidRDefault="00B0121D" w:rsidP="00B0121D">
      <w:pPr>
        <w:spacing w:line="276" w:lineRule="auto"/>
        <w:jc w:val="both"/>
        <w:rPr>
          <w:lang w:val="sq-AL"/>
        </w:rPr>
      </w:pPr>
    </w:p>
    <w:p w:rsidR="00B0121D" w:rsidRPr="00D73F43" w:rsidRDefault="00B0121D" w:rsidP="00B0121D">
      <w:pPr>
        <w:spacing w:line="276" w:lineRule="auto"/>
        <w:ind w:left="360"/>
        <w:jc w:val="both"/>
        <w:rPr>
          <w:lang w:val="sq-AL"/>
        </w:rPr>
      </w:pPr>
      <w:r w:rsidRPr="00D73F43">
        <w:rPr>
          <w:lang w:val="sq-AL"/>
        </w:rPr>
        <w:t xml:space="preserve">Një nga çështjet problematike në sistemin tonë buxhetor, u vërtetua se ishte akumulimi i detyrimeve të prapambetura të krijuara përpara vitit 2014. Qeveria jo vetëm e adresoi me prioritet çështjen e shlyerjes së tyre, por me angazhimin maksimal si të Ministrisë së Financave, ashtu edhe të institucioneve buxhetore të përfshira në këtë proces, u arrrit që brenda dy viteve (2014-2015) të shlyen të gjitha detyrimet e prapambetura të raportuara, në vlerën 67 miliardë lekë. Ndërkohë që është ndërtuar një sistem i plotë i parandalimit të akumulimit të detyrimeve të reja. Gjatë vitit 2016, Ministria e Financave ka filluar t’u sigurojë institucioneve të drejtën e përdorimit direkt të Sistemit Informatik Financiar të Qeverisë, duke bërë të mundur përdorimin e tij në rregjistrimin e angazhimeve/kontratave shumëvjecare në përputhje me tavanet trevjeçare të miratuara. Aktualisht operojnë në sistem 15 Institutucione buxhetore (të cilat përbëjnë rreth 84% të totalit të buxhetit të shtetit), me objektiv që në vitin 2018 të jenë përfshirë 50 Institucione dhe në fund të vitit 2020, të gjitha Institucionet Buxhetore të operojnë online në sistemin informatik. Mbi këtë bazë edhe respektimi i angazhimeve do të monitorohet dhe kontrollohet nëpërmjet sistemit informatik financiar të qeverisë (SIFQ). </w:t>
      </w:r>
    </w:p>
    <w:p w:rsidR="00B0121D" w:rsidRPr="00D73F43" w:rsidRDefault="00B0121D" w:rsidP="00B0121D">
      <w:pPr>
        <w:rPr>
          <w:lang w:val="sq-AL"/>
        </w:rPr>
      </w:pPr>
    </w:p>
    <w:p w:rsidR="00B0121D" w:rsidRPr="00D73F43" w:rsidRDefault="00B0121D" w:rsidP="00534AA6">
      <w:pPr>
        <w:pStyle w:val="Heading1"/>
        <w:numPr>
          <w:ilvl w:val="1"/>
          <w:numId w:val="12"/>
        </w:numPr>
        <w:tabs>
          <w:tab w:val="clear" w:pos="5954"/>
          <w:tab w:val="center" w:pos="709"/>
        </w:tabs>
        <w:spacing w:line="276" w:lineRule="auto"/>
        <w:jc w:val="both"/>
        <w:rPr>
          <w:caps w:val="0"/>
          <w:sz w:val="26"/>
          <w:szCs w:val="26"/>
          <w:lang w:val="sq-AL"/>
        </w:rPr>
      </w:pPr>
      <w:bookmarkStart w:id="172" w:name="_Toc466445498"/>
      <w:r w:rsidRPr="00D73F43">
        <w:rPr>
          <w:caps w:val="0"/>
          <w:sz w:val="26"/>
          <w:szCs w:val="26"/>
          <w:lang w:val="sq-AL"/>
        </w:rPr>
        <w:t>MOSREALIZIMI NË KOHË I INVESTIMEVE PUBLIKE</w:t>
      </w:r>
      <w:bookmarkEnd w:id="172"/>
      <w:r w:rsidRPr="00D73F43">
        <w:rPr>
          <w:caps w:val="0"/>
          <w:sz w:val="26"/>
          <w:szCs w:val="26"/>
          <w:lang w:val="sq-AL"/>
        </w:rPr>
        <w:t xml:space="preserve"> </w:t>
      </w:r>
    </w:p>
    <w:p w:rsidR="00B0121D" w:rsidRPr="00D73F43" w:rsidRDefault="00B0121D" w:rsidP="00B0121D">
      <w:pPr>
        <w:rPr>
          <w:lang w:val="sq-AL"/>
        </w:rPr>
      </w:pPr>
    </w:p>
    <w:p w:rsidR="00B0121D" w:rsidRPr="00D73F43" w:rsidRDefault="00B0121D" w:rsidP="00B0121D">
      <w:pPr>
        <w:spacing w:line="276" w:lineRule="auto"/>
        <w:ind w:left="360"/>
        <w:jc w:val="both"/>
        <w:rPr>
          <w:lang w:val="sq-AL"/>
        </w:rPr>
      </w:pPr>
      <w:r w:rsidRPr="00D73F43">
        <w:rPr>
          <w:lang w:val="sq-AL"/>
        </w:rPr>
        <w:t xml:space="preserve">Qeveria ka marrë një sërë masash për të siguruar realizimin në kohë të investimeve, nëpërmjet monitorimit rigoroz të tyre dhe rialokimeve të pjesshme brenda programeve, nga projektet me ecuri më të ngadaltë në ato projekte të cilat kanë avancuar përtej fondeve të alokuara. </w:t>
      </w:r>
    </w:p>
    <w:p w:rsidR="00B0121D" w:rsidRPr="00D73F43" w:rsidRDefault="00B0121D" w:rsidP="00B0121D">
      <w:pPr>
        <w:spacing w:line="276" w:lineRule="auto"/>
        <w:jc w:val="both"/>
        <w:rPr>
          <w:lang w:val="sq-AL"/>
        </w:rPr>
      </w:pPr>
    </w:p>
    <w:p w:rsidR="00B0121D" w:rsidRPr="00D73F43" w:rsidRDefault="00B0121D" w:rsidP="00B0121D">
      <w:pPr>
        <w:spacing w:line="276" w:lineRule="auto"/>
        <w:ind w:left="360"/>
        <w:jc w:val="both"/>
        <w:rPr>
          <w:lang w:val="sq-AL"/>
        </w:rPr>
      </w:pPr>
      <w:r w:rsidRPr="00D73F43">
        <w:rPr>
          <w:lang w:val="sq-AL"/>
        </w:rPr>
        <w:t xml:space="preserve">Përveç kësaj, me Aktin Normativ Nr.1 datë 29.07.2016 janë bërë edhe rialokimet ndërmjet programeve apo edhe institucioneve në përputhje me ecurinë e zbatimit të projekteve, si dhe përditësime të tavaneve të financimit të investimeve sipas burimit te financimit, konkretisht përmes uljes së tavanit të financimit të huaj, ku realizimi i projekteve ka patur një performancë relativisht më të dobët dhe rritjes së tavanit të financimit të brendshëm. Kjo bazuar në ecurinë më të mirë që ka patur realizimi i projekteve me financim të brendshëm në raport me projektet me financim të huaj gjatë 6-mujorit të parë 2016. </w:t>
      </w:r>
    </w:p>
    <w:p w:rsidR="00B0121D" w:rsidRPr="00D73F43" w:rsidRDefault="00B0121D" w:rsidP="00B0121D">
      <w:pPr>
        <w:spacing w:line="276" w:lineRule="auto"/>
        <w:jc w:val="both"/>
        <w:rPr>
          <w:lang w:val="sq-AL"/>
        </w:rPr>
      </w:pPr>
    </w:p>
    <w:p w:rsidR="00B0121D" w:rsidRPr="00D73F43" w:rsidRDefault="00B0121D" w:rsidP="00B0121D">
      <w:pPr>
        <w:spacing w:line="276" w:lineRule="auto"/>
        <w:ind w:left="360"/>
        <w:jc w:val="both"/>
        <w:rPr>
          <w:lang w:val="sq-AL"/>
        </w:rPr>
      </w:pPr>
      <w:r w:rsidRPr="00D73F43">
        <w:rPr>
          <w:lang w:val="sq-AL"/>
        </w:rPr>
        <w:t>Në referim të treguesve të monitorimit lidhur me realizimin e investimeve për muajin Shtator 2016, realizimi i investimeve paraqitet më mirë në raport me realizimin e investimeve për të njëjtën periudhë në vitin 2015. Konkretisht, në vitin 2015 realizimi i investimeve ka qënë në nivelin prej 90% të planit vjetor, ndërkohë që për vitin 2016 kjo shifër pritet të jetë në nivele akoma më të larta. Ndërkohë që, edhe për vitin 2017 do të vazhdohet me aplikimin dhe përmirësimin e masave të mëposhtme për kryerjen në kohë të investimeve publike:</w:t>
      </w:r>
    </w:p>
    <w:p w:rsidR="00B0121D" w:rsidRPr="00D73F43" w:rsidRDefault="00B0121D" w:rsidP="00534AA6">
      <w:pPr>
        <w:numPr>
          <w:ilvl w:val="0"/>
          <w:numId w:val="27"/>
        </w:numPr>
        <w:spacing w:line="276" w:lineRule="auto"/>
        <w:jc w:val="both"/>
        <w:rPr>
          <w:i/>
          <w:lang w:val="sq-AL"/>
        </w:rPr>
      </w:pPr>
      <w:r w:rsidRPr="00D73F43">
        <w:rPr>
          <w:i/>
          <w:lang w:val="sq-AL"/>
        </w:rPr>
        <w:lastRenderedPageBreak/>
        <w:t>Sistem monitorimi (mujor) i cili do të verifikojë problematikën dhe do të propozojë masat për zgjidhje brenda një kohe më të shkurtër;</w:t>
      </w:r>
    </w:p>
    <w:p w:rsidR="00B0121D" w:rsidRPr="00D73F43" w:rsidRDefault="00B0121D" w:rsidP="00534AA6">
      <w:pPr>
        <w:numPr>
          <w:ilvl w:val="0"/>
          <w:numId w:val="27"/>
        </w:numPr>
        <w:spacing w:line="276" w:lineRule="auto"/>
        <w:jc w:val="both"/>
        <w:rPr>
          <w:i/>
          <w:lang w:val="sq-AL"/>
        </w:rPr>
      </w:pPr>
      <w:r w:rsidRPr="00D73F43">
        <w:rPr>
          <w:i/>
          <w:lang w:val="sq-AL"/>
        </w:rPr>
        <w:t>Monitorimi i veçantë (javor) i portofolit të investimeve publike për projektet prioritare me impakt të gjerë, duke veçuar këtu projektet me impakt të ndjeshëm buxhetor, të cilat do të monitorohen sipas ecurisë së tyre në bazë javore për të siguruar realizimin e tyre në terma financiar dhe rrjedhimisht në plotësimin e objektivave të vendosura nga institucionet e linjës;</w:t>
      </w:r>
    </w:p>
    <w:p w:rsidR="00B0121D" w:rsidRPr="00D73F43" w:rsidRDefault="00B0121D" w:rsidP="00534AA6">
      <w:pPr>
        <w:numPr>
          <w:ilvl w:val="0"/>
          <w:numId w:val="27"/>
        </w:numPr>
        <w:spacing w:line="276" w:lineRule="auto"/>
        <w:jc w:val="both"/>
        <w:rPr>
          <w:i/>
          <w:lang w:val="sq-AL"/>
        </w:rPr>
      </w:pPr>
      <w:r w:rsidRPr="00D73F43">
        <w:rPr>
          <w:i/>
          <w:lang w:val="sq-AL"/>
        </w:rPr>
        <w:t>Monitorim i veçantë (javor) për investimet prioritare, të cilat janë kostuar dhe buxhetuar.</w:t>
      </w:r>
    </w:p>
    <w:p w:rsidR="00B0121D" w:rsidRPr="00D73F43" w:rsidRDefault="00B0121D" w:rsidP="00534AA6">
      <w:pPr>
        <w:numPr>
          <w:ilvl w:val="0"/>
          <w:numId w:val="27"/>
        </w:numPr>
        <w:spacing w:line="276" w:lineRule="auto"/>
        <w:jc w:val="both"/>
        <w:rPr>
          <w:i/>
          <w:lang w:val="sq-AL"/>
        </w:rPr>
      </w:pPr>
      <w:r w:rsidRPr="00D73F43">
        <w:rPr>
          <w:i/>
          <w:lang w:val="sq-AL"/>
        </w:rPr>
        <w:t>Rialokime të fondeve buxhetore nga projektet me performancë të ulët në projektet me performancë më të lartë, duke konsideruar gjithashtu dhe mundësinë e rishikimit të ligjit të buxhetit 2017 për këtë qëllim.</w:t>
      </w:r>
    </w:p>
    <w:p w:rsidR="00B0121D" w:rsidRPr="00D73F43" w:rsidRDefault="00B0121D" w:rsidP="00534AA6">
      <w:pPr>
        <w:numPr>
          <w:ilvl w:val="0"/>
          <w:numId w:val="27"/>
        </w:numPr>
        <w:spacing w:line="276" w:lineRule="auto"/>
        <w:jc w:val="both"/>
        <w:rPr>
          <w:i/>
          <w:lang w:val="sq-AL"/>
        </w:rPr>
      </w:pPr>
      <w:r w:rsidRPr="00D73F43">
        <w:rPr>
          <w:i/>
          <w:lang w:val="sq-AL"/>
        </w:rPr>
        <w:t>Çeljen e planeve të investimeve brenda muajit Janar dhe përgatitjen e dokumentacionit të prokurimit brenda muajit Shkurt për projektet e reja.</w:t>
      </w:r>
    </w:p>
    <w:p w:rsidR="00B0121D" w:rsidRPr="00D73F43" w:rsidRDefault="00B0121D" w:rsidP="00B0121D">
      <w:pPr>
        <w:spacing w:line="276" w:lineRule="auto"/>
        <w:jc w:val="both"/>
        <w:rPr>
          <w:lang w:val="sq-AL"/>
        </w:rPr>
      </w:pPr>
    </w:p>
    <w:p w:rsidR="00B0121D" w:rsidRPr="00D73F43" w:rsidRDefault="00B0121D" w:rsidP="00B0121D">
      <w:pPr>
        <w:spacing w:line="276" w:lineRule="auto"/>
        <w:ind w:left="360"/>
        <w:jc w:val="both"/>
        <w:rPr>
          <w:lang w:val="sq-AL"/>
        </w:rPr>
      </w:pPr>
      <w:r w:rsidRPr="00D73F43">
        <w:rPr>
          <w:lang w:val="sq-AL"/>
        </w:rPr>
        <w:t>Po kështu, të gjithë institucionet buxhetore do të kenë përgatitur paraprakisht listën e nevojave të tyre sa u përket investimeve prioritare, që në fillim të vitit 2017, me synim për të arritur plotësimin e kushteve dhe afateve për zbatimin në kohë të këtyre investimeve, dhe për faktorizimin e tyre në ekonomi.</w:t>
      </w:r>
    </w:p>
    <w:p w:rsidR="00B0121D" w:rsidRPr="00D73F43" w:rsidRDefault="00B0121D" w:rsidP="00B0121D">
      <w:pPr>
        <w:rPr>
          <w:lang w:val="sq-AL"/>
        </w:rPr>
      </w:pPr>
    </w:p>
    <w:p w:rsidR="00B0121D" w:rsidRPr="00D73F43" w:rsidRDefault="00B0121D" w:rsidP="00B0121D">
      <w:pPr>
        <w:rPr>
          <w:lang w:val="sq-AL"/>
        </w:rPr>
      </w:pPr>
    </w:p>
    <w:p w:rsidR="00B0121D" w:rsidRPr="00D73F43" w:rsidRDefault="00B0121D" w:rsidP="00534AA6">
      <w:pPr>
        <w:pStyle w:val="Heading1"/>
        <w:numPr>
          <w:ilvl w:val="1"/>
          <w:numId w:val="12"/>
        </w:numPr>
        <w:tabs>
          <w:tab w:val="clear" w:pos="5954"/>
          <w:tab w:val="center" w:pos="709"/>
        </w:tabs>
        <w:spacing w:line="276" w:lineRule="auto"/>
        <w:jc w:val="both"/>
        <w:rPr>
          <w:sz w:val="26"/>
          <w:szCs w:val="26"/>
          <w:lang w:val="sq-AL"/>
        </w:rPr>
      </w:pPr>
      <w:bookmarkStart w:id="173" w:name="_Toc466445499"/>
      <w:r w:rsidRPr="00D73F43">
        <w:rPr>
          <w:sz w:val="26"/>
          <w:szCs w:val="26"/>
          <w:lang w:val="sq-AL"/>
        </w:rPr>
        <w:t>MENAXHIMI I BORXHIT PUBLIK</w:t>
      </w:r>
      <w:bookmarkEnd w:id="173"/>
      <w:r w:rsidRPr="00D73F43">
        <w:rPr>
          <w:sz w:val="26"/>
          <w:szCs w:val="26"/>
          <w:lang w:val="sq-AL"/>
        </w:rPr>
        <w:t xml:space="preserve"> </w:t>
      </w:r>
    </w:p>
    <w:p w:rsidR="00B0121D" w:rsidRPr="00D73F43" w:rsidRDefault="00B0121D" w:rsidP="00B0121D">
      <w:pPr>
        <w:shd w:val="clear" w:color="auto" w:fill="FFFFFF"/>
        <w:spacing w:line="276" w:lineRule="auto"/>
        <w:ind w:left="360"/>
        <w:jc w:val="both"/>
        <w:rPr>
          <w:lang w:val="sq-AL"/>
        </w:rPr>
      </w:pPr>
    </w:p>
    <w:p w:rsidR="00B0121D" w:rsidRPr="00D73F43" w:rsidRDefault="00B0121D" w:rsidP="00B0121D">
      <w:pPr>
        <w:shd w:val="clear" w:color="auto" w:fill="FFFFFF"/>
        <w:spacing w:line="276" w:lineRule="auto"/>
        <w:jc w:val="both"/>
        <w:rPr>
          <w:lang w:val="sq-AL"/>
        </w:rPr>
      </w:pPr>
      <w:r w:rsidRPr="00D73F43">
        <w:rPr>
          <w:lang w:val="sq-AL"/>
        </w:rPr>
        <w:t xml:space="preserve">Në kuadër të menaxhimit të borxhit, viti 2016 ka rezultuar një vit i suksesshëm pasi janë realizuar objektivat strategjikë, të cilat kanë ndikuar në rritjen e qendrueshmërisë së borxhit. Gjatë këtij viti, menaxhimi i borxhit përveç se mundësoi sigurimin e burimeve të nevojshme për të rifinancuar borxhin ekzistues dhe mbuluar nevojat e Qeverisë për likuiditet, njëkohësisht uli ekspozimin ndaj rreziqeve të borxhit dhe kostot për njësi të huamarrjes. Gjithashtu, hapa të rëndësishëm u ndërmorrën në kuadër të zhvillimit të tregut primar dhe atij sekondar. Në këtë drejtim vlen të përmenden aktivitetet në kuadër të shmangies së segmentimit të kërkesës për tituj shtetërorë dhe të krijimit të madhësive benchmark për titujt afatgjatë.   </w:t>
      </w:r>
    </w:p>
    <w:p w:rsidR="00B0121D" w:rsidRPr="00D73F43" w:rsidRDefault="00B0121D" w:rsidP="00B0121D">
      <w:pPr>
        <w:shd w:val="clear" w:color="auto" w:fill="FFFFFF"/>
        <w:spacing w:line="276" w:lineRule="auto"/>
        <w:jc w:val="both"/>
        <w:rPr>
          <w:lang w:val="sq-AL"/>
        </w:rPr>
      </w:pPr>
    </w:p>
    <w:p w:rsidR="00B0121D" w:rsidRPr="00D73F43" w:rsidRDefault="00B0121D" w:rsidP="00B0121D">
      <w:pPr>
        <w:shd w:val="clear" w:color="auto" w:fill="FFFFFF"/>
        <w:spacing w:line="276" w:lineRule="auto"/>
        <w:jc w:val="both"/>
        <w:rPr>
          <w:lang w:val="sq-AL"/>
        </w:rPr>
      </w:pPr>
      <w:r w:rsidRPr="00D73F43">
        <w:rPr>
          <w:lang w:val="sq-AL"/>
        </w:rPr>
        <w:t>Në tregun e brendshëm, ulja e ekspozimit të borxhit ndaj rreziqeve do të synohet të arrihet nëpërmjet sigurimit të financimit neto kryesisht me tituj afatgjatë dhe me norma interesi fikse, duke pasur si objektiv që stoku i titujve afatgjatë të mos zbresë nën 60% të totalit të stokut të borxhit të brendshëm. Menaxhimi i borxhit do të synojë të ruajë balancën midis kostos dhe rrezikut, duke shfrytëzuar alternativat më të favorshme që ofron tregu i brendshëm në momente të caktuara, nëpërmjet fleksibilitetit të kalendarit të emetimeve, si edhe duke mos përjashtuar alternativat e financimit në tregjet e huaja në rast se do të jetë e nevojshme. Gjithashtu, në dallim nga viti 2016, gjatë vitit 2017 është planifikuar emetimi i titujve shtetërorë në valutë për të shfrytëzuar nivelin e lartë të burimeve në valutë që disponon kryesisht sektori bankar. Shfrytëzimi i këtyre burimeve, nga ana tjetër do të lehtësojë shlyerjen e detyrimeve të Qeverisë për borxhin e huaj, të cilat gjatë vitit 2017 vlerësohen rreth 20% më të larta se në vitin aktual.</w:t>
      </w:r>
    </w:p>
    <w:p w:rsidR="00B0121D" w:rsidRPr="00D73F43" w:rsidRDefault="00B0121D" w:rsidP="00B0121D">
      <w:pPr>
        <w:spacing w:line="276" w:lineRule="auto"/>
        <w:jc w:val="both"/>
        <w:rPr>
          <w:lang w:val="sq-AL"/>
        </w:rPr>
      </w:pPr>
    </w:p>
    <w:p w:rsidR="00B0121D" w:rsidRPr="00D73F43" w:rsidRDefault="00B0121D" w:rsidP="00B0121D">
      <w:pPr>
        <w:spacing w:line="276" w:lineRule="auto"/>
        <w:jc w:val="both"/>
        <w:rPr>
          <w:lang w:val="sq-AL"/>
        </w:rPr>
      </w:pPr>
      <w:r w:rsidRPr="00D73F43">
        <w:rPr>
          <w:lang w:val="sq-AL"/>
        </w:rPr>
        <w:t>Në tregun e huaj, huamarrja do të bazohet tek financimet e pritshme të projekteve ekzistuese, projekteve të reja për të cilat Qeveria është angazhuar me kreditorët, si edhe tek huatë e ofruara nga Banka Botërore me terma të favorshme, në kuadër të mbështetjes së politikave zhvillimore të ndërmarra nga Qeveria. Nuk përjashtohet mundësia e përdorimit të instrumenteve të tilla si PBG dhe dalja në tregjet ndërkombëtare të kapitalit me qëllim uljen e presionit në tregun e brendshëm, në rast se do të jetë e nevojshme.</w:t>
      </w:r>
    </w:p>
    <w:p w:rsidR="00B0121D" w:rsidRPr="00D73F43" w:rsidRDefault="00B0121D" w:rsidP="00B0121D">
      <w:pPr>
        <w:shd w:val="clear" w:color="auto" w:fill="FFFFFF"/>
        <w:spacing w:line="276" w:lineRule="auto"/>
        <w:jc w:val="both"/>
        <w:rPr>
          <w:lang w:val="sq-AL"/>
        </w:rPr>
      </w:pPr>
    </w:p>
    <w:p w:rsidR="00B0121D" w:rsidRPr="00D73F43" w:rsidRDefault="00B0121D" w:rsidP="00B0121D">
      <w:pPr>
        <w:spacing w:line="276" w:lineRule="auto"/>
        <w:jc w:val="both"/>
        <w:rPr>
          <w:lang w:val="sq-AL"/>
        </w:rPr>
      </w:pPr>
      <w:r w:rsidRPr="00D73F43">
        <w:rPr>
          <w:lang w:val="sq-AL"/>
        </w:rPr>
        <w:t xml:space="preserve">Gjatë vitit 2017, duke marrë në konsideratë nivelin më të ulët historik të normave të interesit aktuale, rritjen e financimit të brendshëm, si edhe direktivat e bankave mëma ndaj bankave të nivelit të dytë, për të mbajtur nivele të pranueshme ekspozimi ndaj borxhit sovran, pritet që të ketë një rritje të normave të interesit. Niveli i rritjes së normave në tregun e brendshëm pritet të jetë gradual dhe nën nivelin mesatar të 3 viteve të fundit. </w:t>
      </w:r>
    </w:p>
    <w:p w:rsidR="00B0121D" w:rsidRPr="00D73F43" w:rsidRDefault="00B0121D" w:rsidP="00B0121D">
      <w:pPr>
        <w:spacing w:line="276" w:lineRule="auto"/>
        <w:jc w:val="both"/>
        <w:rPr>
          <w:lang w:val="sq-AL"/>
        </w:rPr>
      </w:pPr>
      <w:r w:rsidRPr="00D73F43">
        <w:rPr>
          <w:lang w:val="sq-AL"/>
        </w:rPr>
        <w:t>Gjithashtu, edhe huazimi në tregjet e huaja pritet që të shtrenjtohet, pasi parashikimet flasin për një rritje të mundshme të Euribor dhe Libor. Pavarësisht pritshmërive për rritjen e normave, efektet priten të jenë të moderuara pasi rreth gjysma e borxhit të huaj është huazuar me norma interesi fikse dhe koncesionale.</w:t>
      </w:r>
    </w:p>
    <w:p w:rsidR="00B0121D" w:rsidRPr="00D73F43" w:rsidRDefault="00B0121D" w:rsidP="00B0121D">
      <w:pPr>
        <w:spacing w:line="276" w:lineRule="auto"/>
        <w:jc w:val="both"/>
        <w:rPr>
          <w:lang w:val="sq-AL"/>
        </w:rPr>
      </w:pPr>
    </w:p>
    <w:p w:rsidR="00B0121D" w:rsidRPr="00D73F43" w:rsidRDefault="00B0121D" w:rsidP="00B0121D">
      <w:pPr>
        <w:spacing w:line="276" w:lineRule="auto"/>
        <w:jc w:val="both"/>
        <w:rPr>
          <w:lang w:val="sq-AL"/>
        </w:rPr>
      </w:pPr>
      <w:r w:rsidRPr="00D73F43">
        <w:rPr>
          <w:lang w:val="sq-AL"/>
        </w:rPr>
        <w:t xml:space="preserve">Shërbimi i borxhit pritet të jetë në nivele më të ulta ose të krahasueshme me ato të vitit aktual, pasi efektet e rritjes së mundshme të normave gjatë vitit 2017 janë minimale dhe materializohen kryesisht në dy vitet pasardhëse </w:t>
      </w:r>
      <w:r w:rsidRPr="00D73F43">
        <w:rPr>
          <w:i/>
          <w:lang w:val="sq-AL"/>
        </w:rPr>
        <w:t>(2018-2019).</w:t>
      </w:r>
      <w:r w:rsidRPr="00D73F43">
        <w:rPr>
          <w:lang w:val="sq-AL"/>
        </w:rPr>
        <w:t xml:space="preserve"> </w:t>
      </w:r>
    </w:p>
    <w:p w:rsidR="00B0121D" w:rsidRPr="00D73F43" w:rsidRDefault="00B0121D" w:rsidP="00B0121D">
      <w:pPr>
        <w:rPr>
          <w:lang w:val="sq-AL"/>
        </w:rPr>
      </w:pPr>
    </w:p>
    <w:p w:rsidR="00B0121D" w:rsidRPr="00D73F43" w:rsidRDefault="00B0121D" w:rsidP="00B0121D">
      <w:pPr>
        <w:rPr>
          <w:lang w:val="sq-AL"/>
        </w:rPr>
      </w:pPr>
    </w:p>
    <w:p w:rsidR="00B0121D" w:rsidRPr="00D73F43" w:rsidRDefault="00B0121D" w:rsidP="00534AA6">
      <w:pPr>
        <w:pStyle w:val="Heading1"/>
        <w:numPr>
          <w:ilvl w:val="0"/>
          <w:numId w:val="38"/>
        </w:numPr>
        <w:tabs>
          <w:tab w:val="clear" w:pos="5954"/>
          <w:tab w:val="center" w:pos="426"/>
        </w:tabs>
        <w:spacing w:line="276" w:lineRule="auto"/>
        <w:jc w:val="both"/>
        <w:rPr>
          <w:bCs/>
          <w:iCs/>
          <w:caps w:val="0"/>
          <w:sz w:val="28"/>
          <w:lang w:val="sq-AL"/>
        </w:rPr>
      </w:pPr>
      <w:bookmarkStart w:id="174" w:name="_Toc466445500"/>
      <w:r w:rsidRPr="00D73F43">
        <w:rPr>
          <w:bCs/>
          <w:iCs/>
          <w:caps w:val="0"/>
          <w:sz w:val="28"/>
          <w:lang w:val="sq-AL"/>
        </w:rPr>
        <w:t>CILËSIA E FINANCAVE PUBLIKE</w:t>
      </w:r>
      <w:bookmarkEnd w:id="174"/>
      <w:r w:rsidRPr="00D73F43">
        <w:rPr>
          <w:bCs/>
          <w:iCs/>
          <w:caps w:val="0"/>
          <w:sz w:val="28"/>
          <w:lang w:val="sq-AL"/>
        </w:rPr>
        <w:t xml:space="preserve">  </w:t>
      </w:r>
    </w:p>
    <w:p w:rsidR="00B0121D" w:rsidRPr="00D73F43" w:rsidRDefault="00B0121D" w:rsidP="00B0121D">
      <w:pPr>
        <w:rPr>
          <w:lang w:val="sq-AL"/>
        </w:rPr>
      </w:pPr>
    </w:p>
    <w:p w:rsidR="00B0121D" w:rsidRPr="00D73F43" w:rsidRDefault="00B0121D" w:rsidP="00B0121D">
      <w:pPr>
        <w:pStyle w:val="Heading1"/>
        <w:numPr>
          <w:ilvl w:val="1"/>
          <w:numId w:val="3"/>
        </w:numPr>
        <w:tabs>
          <w:tab w:val="left" w:pos="426"/>
          <w:tab w:val="left" w:pos="993"/>
        </w:tabs>
        <w:spacing w:after="120" w:line="276" w:lineRule="auto"/>
        <w:ind w:left="993" w:right="0" w:hanging="573"/>
        <w:jc w:val="both"/>
        <w:rPr>
          <w:caps w:val="0"/>
          <w:sz w:val="26"/>
          <w:szCs w:val="26"/>
          <w:lang w:val="sq-AL"/>
        </w:rPr>
      </w:pPr>
      <w:bookmarkStart w:id="175" w:name="_Toc466445501"/>
      <w:r w:rsidRPr="00D73F43">
        <w:rPr>
          <w:caps w:val="0"/>
          <w:sz w:val="26"/>
          <w:szCs w:val="26"/>
          <w:lang w:val="sq-AL"/>
        </w:rPr>
        <w:t xml:space="preserve">PLANIFIKIMI BUXHETOR AFATMESËM, </w:t>
      </w:r>
      <w:bookmarkStart w:id="176" w:name="_Toc401685494"/>
      <w:r w:rsidRPr="00D73F43">
        <w:rPr>
          <w:caps w:val="0"/>
          <w:sz w:val="26"/>
          <w:szCs w:val="26"/>
          <w:lang w:val="sq-AL"/>
        </w:rPr>
        <w:t>BUXHETIMI MBI BAZË PERFORMANCE</w:t>
      </w:r>
      <w:bookmarkEnd w:id="175"/>
      <w:bookmarkEnd w:id="176"/>
    </w:p>
    <w:p w:rsidR="00B0121D" w:rsidRPr="00D73F43" w:rsidRDefault="00B0121D" w:rsidP="00B0121D">
      <w:pPr>
        <w:spacing w:line="276" w:lineRule="auto"/>
        <w:jc w:val="both"/>
        <w:rPr>
          <w:lang w:val="sq-AL"/>
        </w:rPr>
      </w:pPr>
      <w:r w:rsidRPr="00D73F43">
        <w:rPr>
          <w:lang w:val="sq-AL"/>
        </w:rPr>
        <w:t>Miratimi i amendimeve të ligjit organik të buxhetit në Qershor të vitit 2016, shënoi një hap të rëndësishëm drejt konsolidimit të mëtejshëm të procesit të buxhetimit afatmesëm, disiplinimit dhe mirë-menaxhimit të angazhimeve buxhetore shumëvjeçare, si dhe forcimit të procedurave të programimit dhe menaxhimit të projekteve të investimeve publike.</w:t>
      </w:r>
    </w:p>
    <w:p w:rsidR="00B0121D" w:rsidRPr="00D73F43" w:rsidRDefault="00B0121D" w:rsidP="00B0121D">
      <w:pPr>
        <w:spacing w:line="276" w:lineRule="auto"/>
        <w:jc w:val="both"/>
        <w:rPr>
          <w:lang w:val="sq-AL"/>
        </w:rPr>
      </w:pPr>
    </w:p>
    <w:p w:rsidR="00B0121D" w:rsidRPr="00D73F43" w:rsidRDefault="00B0121D" w:rsidP="00B0121D">
      <w:pPr>
        <w:spacing w:line="276" w:lineRule="auto"/>
        <w:jc w:val="both"/>
        <w:rPr>
          <w:lang w:val="sq-AL"/>
        </w:rPr>
      </w:pPr>
      <w:r w:rsidRPr="00D73F43">
        <w:rPr>
          <w:lang w:val="sq-AL"/>
        </w:rPr>
        <w:t>Miratimi në projekt-buxhetin e vitit 2017 i projeksioneve buxhetore mbi bazë programesh buxhetore për periudhën 2018-2019, përmirëson procesin e buxhetimit afatmesëm, si dhe kontribuon në disiplinimin e parashikimeve të detyrimeve kontraktuale që i zgjasin efektet e tyre financiare përtej një viti buxhetor. Në këtë mënyrë, çdo njësi shpenzuese është e detyruar të planifikojë kontrata shumëvjeçare në atë nivel që i lejon tavani buxhetor i përcaktuar për tre vitet e ardhshme në ligjin vjetor të buxhetit. Për të garantuar respektimin dhe kontrollin automatik të këtyre limiteve, Sistemi Informatik Financiar i Qeverisë (SIFQ) është modifikuar dhe vënë në funksionim të plotë gjatë vitit 2016. Synimi final është që të eliminohet çdo mundësi për krijim detyrimesh kontraktuale të reja, të cilat nuk janë të mbuluara me fondet përkatëse buxhetore.</w:t>
      </w:r>
    </w:p>
    <w:p w:rsidR="00B0121D" w:rsidRPr="00D73F43" w:rsidRDefault="00B0121D" w:rsidP="00B0121D">
      <w:pPr>
        <w:spacing w:line="276" w:lineRule="auto"/>
        <w:jc w:val="both"/>
        <w:rPr>
          <w:lang w:val="sq-AL"/>
        </w:rPr>
      </w:pPr>
    </w:p>
    <w:p w:rsidR="00B0121D" w:rsidRPr="00D73F43" w:rsidRDefault="00B0121D" w:rsidP="00B0121D">
      <w:pPr>
        <w:spacing w:line="276" w:lineRule="auto"/>
        <w:jc w:val="both"/>
        <w:rPr>
          <w:lang w:val="sq-AL"/>
        </w:rPr>
      </w:pPr>
      <w:r w:rsidRPr="00D73F43">
        <w:rPr>
          <w:lang w:val="sq-AL"/>
        </w:rPr>
        <w:t>Në zbatim të ligjit nr. 9936, datë 26.06.2008 “Për menaxhimin e sistemit buxhetor në Republikën e Shqipërisë” i ndryshuar, të gjitha njësitë e qeverisjes qendrore kanë përgatitur  kërkesat e tyre buxhetore afatmesme konform rregullave dhe procedurave të rishikuara, bazuar në praktikat më të mira në fushën e buxhetimit mbi bazë performance. Përgjatë vitit 2017 synohet që të përmirësohet më tej cilësia e  kërkesave buxhetore të institucioneve buxhetore, përmes përzgjedhjes së treguesve të duhur të performancës së objektivave dhe qëllimeve të politikave të tyre, në kuadër të përgatitjes së Programit Buxhetor Afatmesëm 2018 – 2020, si dhe monitorimit dhe vlerësimit të rezultateve të arritura bazuar në këtë tregues.</w:t>
      </w:r>
    </w:p>
    <w:p w:rsidR="00B0121D" w:rsidRPr="00D73F43" w:rsidRDefault="00B0121D" w:rsidP="00B0121D">
      <w:pPr>
        <w:spacing w:line="276" w:lineRule="auto"/>
        <w:jc w:val="both"/>
        <w:rPr>
          <w:lang w:val="sq-AL"/>
        </w:rPr>
      </w:pPr>
    </w:p>
    <w:p w:rsidR="00B0121D" w:rsidRPr="00D73F43" w:rsidRDefault="00B0121D" w:rsidP="00B0121D">
      <w:pPr>
        <w:spacing w:line="276" w:lineRule="auto"/>
        <w:jc w:val="both"/>
        <w:rPr>
          <w:lang w:val="sq-AL"/>
        </w:rPr>
      </w:pPr>
      <w:r w:rsidRPr="00D73F43">
        <w:rPr>
          <w:lang w:val="sq-AL"/>
        </w:rPr>
        <w:t>Kështu, gjatë vitit financiar 2017, në vijim të zbatimit të Strategjisë për Menaxhimin e Financave Publike 2014-2020:</w:t>
      </w:r>
    </w:p>
    <w:p w:rsidR="00B0121D" w:rsidRPr="00D73F43" w:rsidRDefault="00B0121D" w:rsidP="00B0121D">
      <w:pPr>
        <w:spacing w:line="276" w:lineRule="auto"/>
        <w:jc w:val="both"/>
        <w:rPr>
          <w:lang w:val="sq-AL"/>
        </w:rPr>
      </w:pPr>
    </w:p>
    <w:p w:rsidR="00B0121D" w:rsidRPr="00D73F43" w:rsidRDefault="00B0121D" w:rsidP="00534AA6">
      <w:pPr>
        <w:numPr>
          <w:ilvl w:val="0"/>
          <w:numId w:val="22"/>
        </w:numPr>
        <w:spacing w:line="276" w:lineRule="auto"/>
        <w:jc w:val="both"/>
        <w:rPr>
          <w:lang w:val="sq-AL"/>
        </w:rPr>
      </w:pPr>
      <w:r w:rsidRPr="00D73F43">
        <w:rPr>
          <w:lang w:val="sq-AL"/>
        </w:rPr>
        <w:lastRenderedPageBreak/>
        <w:t xml:space="preserve">Me mbështetjen e donatorëve të huaj, në vitin 2017 do të vijojë puna për vënien në funksionim të sistemit të ri informatik të Menaxhimit të Financave Publike (AFMIS), i cili do të integrojë të gjitha sistemet aktuale që shërbejnë për planifikimin dhe zbatimin e buxhetit të shtetit. Zbatimi i plotë i këtij sistemi të integruar do të mundësojë një hap cilësor në planifikimin dhe menaxhimin e buxhetit mbi baza programore dhe performance. </w:t>
      </w:r>
    </w:p>
    <w:p w:rsidR="00B0121D" w:rsidRPr="00D73F43" w:rsidRDefault="00B0121D" w:rsidP="00534AA6">
      <w:pPr>
        <w:numPr>
          <w:ilvl w:val="0"/>
          <w:numId w:val="22"/>
        </w:numPr>
        <w:spacing w:line="276" w:lineRule="auto"/>
        <w:jc w:val="both"/>
        <w:rPr>
          <w:lang w:val="sq-AL"/>
        </w:rPr>
      </w:pPr>
      <w:r w:rsidRPr="00D73F43">
        <w:rPr>
          <w:lang w:val="sq-AL"/>
        </w:rPr>
        <w:t>Do të fillojë funksionimi i sistemit HRMIS, sistem i cili do të mundësojë menaxhimin e të dhënave për burimet njerëzore të të gjithë administratës publike, si dhe do mundësojë përllogaritjen elektronike të pagave dhe kontributeve të sigurimeve shoqërore dhe shëndetësore për çdo punonjës.  Ky sistem do të rris transparencën dhe do të sigurojë unifikimin e listë pagesës për të gjitha institucionet buxhetor.</w:t>
      </w:r>
    </w:p>
    <w:p w:rsidR="00B0121D" w:rsidRPr="00D73F43" w:rsidRDefault="00B0121D" w:rsidP="00B0121D">
      <w:pPr>
        <w:rPr>
          <w:lang w:val="sq-AL"/>
        </w:rPr>
      </w:pPr>
    </w:p>
    <w:p w:rsidR="00B0121D" w:rsidRPr="00D73F43" w:rsidRDefault="00B0121D" w:rsidP="00B0121D">
      <w:pPr>
        <w:pStyle w:val="Heading1"/>
        <w:numPr>
          <w:ilvl w:val="1"/>
          <w:numId w:val="3"/>
        </w:numPr>
        <w:tabs>
          <w:tab w:val="left" w:pos="426"/>
          <w:tab w:val="left" w:pos="993"/>
        </w:tabs>
        <w:spacing w:after="120" w:line="360" w:lineRule="auto"/>
        <w:ind w:left="993" w:right="0" w:hanging="573"/>
        <w:jc w:val="both"/>
        <w:rPr>
          <w:caps w:val="0"/>
          <w:sz w:val="26"/>
          <w:szCs w:val="26"/>
          <w:lang w:val="sq-AL"/>
        </w:rPr>
      </w:pPr>
      <w:bookmarkStart w:id="177" w:name="_Toc466445502"/>
      <w:r w:rsidRPr="00D73F43">
        <w:rPr>
          <w:caps w:val="0"/>
          <w:sz w:val="26"/>
          <w:szCs w:val="26"/>
          <w:lang w:val="sq-AL"/>
        </w:rPr>
        <w:t>REFORMA NË MENAXHIMIN E FINANCAVE PUBLIKE</w:t>
      </w:r>
      <w:bookmarkEnd w:id="177"/>
      <w:r w:rsidRPr="00D73F43">
        <w:rPr>
          <w:caps w:val="0"/>
          <w:sz w:val="26"/>
          <w:szCs w:val="26"/>
          <w:lang w:val="sq-AL"/>
        </w:rPr>
        <w:t xml:space="preserve"> </w:t>
      </w:r>
    </w:p>
    <w:p w:rsidR="00B0121D" w:rsidRPr="00D73F43" w:rsidRDefault="00B0121D" w:rsidP="00B0121D">
      <w:pPr>
        <w:spacing w:line="276" w:lineRule="auto"/>
        <w:ind w:left="360"/>
        <w:jc w:val="both"/>
        <w:rPr>
          <w:lang w:val="sq-AL"/>
        </w:rPr>
      </w:pPr>
      <w:r w:rsidRPr="00D73F43">
        <w:rPr>
          <w:lang w:val="sq-AL"/>
        </w:rPr>
        <w:t>Strategjia e “Menaxhimit të Financave Publike (MFP) për periudhën 2014-2020” është një dokument, i cili reflekton angazhimin e Qeverisë Shqiptare ndaj qytetarëve për zbatimin e një sërë reformave të rëndësishme për mirëmenaxhimin e financave publike. Gjatë vitit 2016, Qeveria ka bërë një progres të mirë për përmbushjen e kësaj reforme, ku spikasin arritjet e mëposhtme:</w:t>
      </w:r>
    </w:p>
    <w:p w:rsidR="00B0121D" w:rsidRPr="00D73F43" w:rsidRDefault="00B0121D" w:rsidP="00B0121D">
      <w:pPr>
        <w:spacing w:line="276" w:lineRule="auto"/>
        <w:ind w:left="360"/>
        <w:jc w:val="both"/>
        <w:rPr>
          <w:rFonts w:eastAsia="Times New Roman"/>
          <w:lang w:val="sq-AL"/>
        </w:rPr>
      </w:pPr>
    </w:p>
    <w:p w:rsidR="00B0121D" w:rsidRPr="00D73F43" w:rsidRDefault="00B0121D" w:rsidP="00534AA6">
      <w:pPr>
        <w:numPr>
          <w:ilvl w:val="0"/>
          <w:numId w:val="25"/>
        </w:numPr>
        <w:spacing w:line="276" w:lineRule="auto"/>
        <w:jc w:val="both"/>
        <w:rPr>
          <w:rFonts w:eastAsia="Times New Roman"/>
          <w:lang w:val="sq-AL"/>
        </w:rPr>
      </w:pPr>
      <w:r w:rsidRPr="00D73F43">
        <w:rPr>
          <w:rFonts w:eastAsia="Times New Roman"/>
          <w:lang w:val="sq-AL"/>
        </w:rPr>
        <w:t>Miratimi me Vendimin e Këshillit të Ministrave nr.348, datë 5 Nëntor 2016, Dokumenti i Strategjisë Kombëtare për Zhvillim dhe Integrim 2015-2020, që përbën kornizën e zhvillimit të gjithanshëm strategjik për vendin.</w:t>
      </w:r>
    </w:p>
    <w:p w:rsidR="00B0121D" w:rsidRPr="00D73F43" w:rsidRDefault="00B0121D" w:rsidP="00534AA6">
      <w:pPr>
        <w:numPr>
          <w:ilvl w:val="0"/>
          <w:numId w:val="25"/>
        </w:numPr>
        <w:spacing w:line="276" w:lineRule="auto"/>
        <w:jc w:val="both"/>
        <w:rPr>
          <w:rFonts w:eastAsia="Times New Roman"/>
          <w:lang w:val="sq-AL"/>
        </w:rPr>
      </w:pPr>
      <w:r w:rsidRPr="00D73F43">
        <w:rPr>
          <w:rFonts w:eastAsia="Times New Roman"/>
          <w:lang w:val="sq-AL"/>
        </w:rPr>
        <w:t>Miratimi i ndryshimeve të Ligjit Organik të Buxhetit në Qershor 2016, me qëllim sigurimin e vendosjes së rregullave fiskale në mënyrë që të zvogëlohet raporti borxh/PBB-së duke krijuar në këtë mënyrë kushtet për qëndrueshmëri afatgjatë të financave publike, si dhe ndryshime të tjera të rëndësishme të lidhura me planifikimin dhe menaxhimin e investimeve publike.</w:t>
      </w:r>
    </w:p>
    <w:p w:rsidR="00B0121D" w:rsidRPr="00D73F43" w:rsidRDefault="00B0121D" w:rsidP="00534AA6">
      <w:pPr>
        <w:numPr>
          <w:ilvl w:val="0"/>
          <w:numId w:val="25"/>
        </w:numPr>
        <w:spacing w:line="276" w:lineRule="auto"/>
        <w:jc w:val="both"/>
        <w:rPr>
          <w:rFonts w:eastAsia="Times New Roman"/>
          <w:lang w:val="sq-AL"/>
        </w:rPr>
      </w:pPr>
      <w:r w:rsidRPr="00D73F43">
        <w:rPr>
          <w:rFonts w:eastAsia="Times New Roman"/>
          <w:lang w:val="sq-AL"/>
        </w:rPr>
        <w:t>Zgjerimi i përdorimit të Sistemit Elektronik Financiar të Qeverisë (SIFQ) dhe në 8 institucione të tjera qendrore krahas 7 institucioneve të përfshirë më parë.</w:t>
      </w:r>
    </w:p>
    <w:p w:rsidR="00B0121D" w:rsidRPr="00D73F43" w:rsidRDefault="00B0121D" w:rsidP="00534AA6">
      <w:pPr>
        <w:numPr>
          <w:ilvl w:val="0"/>
          <w:numId w:val="25"/>
        </w:numPr>
        <w:spacing w:line="276" w:lineRule="auto"/>
        <w:jc w:val="both"/>
        <w:rPr>
          <w:rFonts w:eastAsia="Times New Roman"/>
          <w:lang w:val="sq-AL"/>
        </w:rPr>
      </w:pPr>
      <w:r w:rsidRPr="00D73F43">
        <w:rPr>
          <w:rFonts w:eastAsia="Times New Roman"/>
          <w:lang w:val="sq-AL"/>
        </w:rPr>
        <w:t>Vënia në funksion të plotë nga Drejtoria e Përgjithshme e Doganave e Databazës Kombëtare të Vlerësimit bazuar në udhëzimin e Organizatës Botërore të Doganave, e cila që do të shërbejë për të zvogëluar ri-vlerësimet arbitrare të vlerave doganore të deklaruara për mallrat e importuara nga inspektorët doganore, si dhe për të vlerësuar rrezikun e mundshëm në lidhje me të vërtetën apo saktësinë e këtyre vlerave.</w:t>
      </w:r>
    </w:p>
    <w:p w:rsidR="00B0121D" w:rsidRPr="00D73F43" w:rsidRDefault="00B0121D" w:rsidP="00534AA6">
      <w:pPr>
        <w:numPr>
          <w:ilvl w:val="0"/>
          <w:numId w:val="25"/>
        </w:numPr>
        <w:spacing w:line="276" w:lineRule="auto"/>
        <w:jc w:val="both"/>
        <w:rPr>
          <w:rFonts w:eastAsia="Times New Roman"/>
          <w:lang w:val="sq-AL"/>
        </w:rPr>
      </w:pPr>
      <w:r w:rsidRPr="00D73F43">
        <w:rPr>
          <w:rFonts w:eastAsia="Times New Roman"/>
          <w:lang w:val="sq-AL"/>
        </w:rPr>
        <w:t>Aplikimi i konceptit të riskut në sitemin informatik të tatimeve si një instrument thelbësor në drejtimin e resurseve të administratës tatimore. Modulet e riskut të instaluara janë baza në targetimin dhe kategorizimin e taksapaguesve problematik duke rritur eficiencën e administratës, përmirësuar komunikimin me bizneset dhe individët dhe rritur vetpërmbushjen e detyrimeve nga taksapaguesit.</w:t>
      </w:r>
    </w:p>
    <w:p w:rsidR="00B0121D" w:rsidRPr="00D73F43" w:rsidRDefault="00B0121D" w:rsidP="00534AA6">
      <w:pPr>
        <w:numPr>
          <w:ilvl w:val="0"/>
          <w:numId w:val="25"/>
        </w:numPr>
        <w:spacing w:line="276" w:lineRule="auto"/>
        <w:jc w:val="both"/>
        <w:rPr>
          <w:rFonts w:eastAsia="Times New Roman"/>
          <w:lang w:val="sq-AL"/>
        </w:rPr>
      </w:pPr>
      <w:r w:rsidRPr="00D73F43">
        <w:rPr>
          <w:rFonts w:eastAsia="Times New Roman"/>
          <w:lang w:val="sq-AL"/>
        </w:rPr>
        <w:t xml:space="preserve">Hartimi i akteve nënligjore në zbatim dhe mbështetje të ligjeve të rishikuara të Menaxhimit Financiar dhe Kontrollin, Inspektimit Financiar Publik dhe Auditimit të Brendshëm. </w:t>
      </w:r>
    </w:p>
    <w:p w:rsidR="00B0121D" w:rsidRPr="00D73F43" w:rsidRDefault="00B0121D" w:rsidP="00534AA6">
      <w:pPr>
        <w:numPr>
          <w:ilvl w:val="0"/>
          <w:numId w:val="25"/>
        </w:numPr>
        <w:spacing w:line="276" w:lineRule="auto"/>
        <w:jc w:val="both"/>
        <w:rPr>
          <w:rFonts w:eastAsia="Times New Roman"/>
          <w:lang w:val="sq-AL"/>
        </w:rPr>
      </w:pPr>
      <w:r w:rsidRPr="00D73F43">
        <w:rPr>
          <w:rFonts w:eastAsia="Times New Roman"/>
          <w:lang w:val="sq-AL"/>
        </w:rPr>
        <w:t>Zhvillimi i mëtejshëm i kapaciteteve të administratës publike përmes trajnimeve e shkëmbimeve të eksperiencave përmes një projekti binjakëzimi të Ministrisë së Financave të Austrisë dhe Ministrisë së Ekonomisë dhe Financave të Francës, “Mbi zbatimin e një sistemi modern për Menaxhimin Financiar dhe Kontrollin dhe Inspektimin Financiar Publik në Shqipëri", projekt që ka filluar  që në Shtator 2014.</w:t>
      </w:r>
    </w:p>
    <w:p w:rsidR="00B0121D" w:rsidRPr="00D73F43" w:rsidRDefault="00B0121D" w:rsidP="00534AA6">
      <w:pPr>
        <w:numPr>
          <w:ilvl w:val="0"/>
          <w:numId w:val="25"/>
        </w:numPr>
        <w:spacing w:line="276" w:lineRule="auto"/>
        <w:jc w:val="both"/>
        <w:rPr>
          <w:rFonts w:eastAsia="Times New Roman"/>
          <w:lang w:val="sq-AL"/>
        </w:rPr>
      </w:pPr>
      <w:r w:rsidRPr="00D73F43">
        <w:rPr>
          <w:rFonts w:eastAsia="Times New Roman"/>
          <w:lang w:val="sq-AL"/>
        </w:rPr>
        <w:t xml:space="preserve">Startimi në muajin Mars 2016 të një projekt Binjakëzimi ndërmjet Kontrollit të Lartë të Shtetit dhe Zyrës Shtetërore të Auditimit të Kroacisë dhe Polonisë për "Forcimin e kapaciteteve të auditimit të </w:t>
      </w:r>
      <w:r w:rsidRPr="00D73F43">
        <w:rPr>
          <w:rFonts w:eastAsia="Times New Roman"/>
          <w:lang w:val="sq-AL"/>
        </w:rPr>
        <w:lastRenderedPageBreak/>
        <w:t xml:space="preserve">jashtëm"​​. Ky projekt binjakëzimi i financuar nga BE-ja në kuadër të Fondeve IPA synon përmbushjen e disa objektivave kryesore: </w:t>
      </w:r>
    </w:p>
    <w:p w:rsidR="00B0121D" w:rsidRPr="00D73F43" w:rsidRDefault="00B0121D" w:rsidP="00B0121D">
      <w:pPr>
        <w:spacing w:line="276" w:lineRule="auto"/>
        <w:ind w:left="720"/>
        <w:jc w:val="both"/>
        <w:rPr>
          <w:rFonts w:eastAsia="Times New Roman"/>
          <w:lang w:val="sq-AL"/>
        </w:rPr>
      </w:pPr>
    </w:p>
    <w:p w:rsidR="00B0121D" w:rsidRPr="00D73F43" w:rsidRDefault="00B0121D" w:rsidP="00534AA6">
      <w:pPr>
        <w:numPr>
          <w:ilvl w:val="1"/>
          <w:numId w:val="136"/>
        </w:numPr>
        <w:spacing w:line="276" w:lineRule="auto"/>
        <w:jc w:val="both"/>
        <w:rPr>
          <w:rFonts w:eastAsia="Times New Roman"/>
          <w:lang w:val="sq-AL"/>
        </w:rPr>
      </w:pPr>
      <w:r w:rsidRPr="00D73F43">
        <w:rPr>
          <w:rFonts w:eastAsia="Times New Roman"/>
          <w:lang w:val="sq-AL"/>
        </w:rPr>
        <w:t>Përmirësimi i kuadrit ligjor për auditimin;</w:t>
      </w:r>
    </w:p>
    <w:p w:rsidR="00B0121D" w:rsidRPr="00D73F43" w:rsidRDefault="00B0121D" w:rsidP="00534AA6">
      <w:pPr>
        <w:numPr>
          <w:ilvl w:val="1"/>
          <w:numId w:val="136"/>
        </w:numPr>
        <w:spacing w:line="276" w:lineRule="auto"/>
        <w:jc w:val="both"/>
        <w:rPr>
          <w:rFonts w:eastAsia="Times New Roman"/>
          <w:lang w:val="sq-AL"/>
        </w:rPr>
      </w:pPr>
      <w:r w:rsidRPr="00D73F43">
        <w:rPr>
          <w:rFonts w:eastAsia="Times New Roman"/>
          <w:lang w:val="sq-AL"/>
        </w:rPr>
        <w:t xml:space="preserve">Zhvillimi i metodologjive të auditimit; </w:t>
      </w:r>
    </w:p>
    <w:p w:rsidR="00B0121D" w:rsidRPr="00D73F43" w:rsidRDefault="00B0121D" w:rsidP="00534AA6">
      <w:pPr>
        <w:numPr>
          <w:ilvl w:val="1"/>
          <w:numId w:val="136"/>
        </w:numPr>
        <w:spacing w:line="276" w:lineRule="auto"/>
        <w:jc w:val="both"/>
        <w:rPr>
          <w:rFonts w:eastAsia="Times New Roman"/>
          <w:lang w:val="sq-AL"/>
        </w:rPr>
      </w:pPr>
      <w:r w:rsidRPr="00D73F43">
        <w:rPr>
          <w:rFonts w:eastAsia="Times New Roman"/>
          <w:lang w:val="sq-AL"/>
        </w:rPr>
        <w:t>Forcimi i kapaciteteve institucionale  të KLSH.</w:t>
      </w:r>
    </w:p>
    <w:p w:rsidR="00B0121D" w:rsidRPr="00D73F43" w:rsidRDefault="00B0121D" w:rsidP="00B0121D">
      <w:pPr>
        <w:spacing w:line="276" w:lineRule="auto"/>
        <w:jc w:val="both"/>
        <w:rPr>
          <w:lang w:val="sq-AL"/>
        </w:rPr>
      </w:pPr>
    </w:p>
    <w:p w:rsidR="00B0121D" w:rsidRPr="00D73F43" w:rsidRDefault="00B0121D" w:rsidP="00B0121D">
      <w:pPr>
        <w:spacing w:line="276" w:lineRule="auto"/>
        <w:ind w:left="360"/>
        <w:jc w:val="both"/>
        <w:rPr>
          <w:lang w:val="sq-AL"/>
        </w:rPr>
      </w:pPr>
      <w:r w:rsidRPr="00D73F43">
        <w:rPr>
          <w:lang w:val="sq-AL"/>
        </w:rPr>
        <w:t>Për vitin 2017, synohet progres i mëtejshëm në realizimin e objektivave të cilat janë pjesë e shtyllave të strategjisë si:</w:t>
      </w:r>
    </w:p>
    <w:p w:rsidR="00B0121D" w:rsidRPr="00D73F43" w:rsidRDefault="00B0121D" w:rsidP="00B0121D">
      <w:pPr>
        <w:spacing w:line="276" w:lineRule="auto"/>
        <w:ind w:left="360"/>
        <w:jc w:val="both"/>
        <w:rPr>
          <w:lang w:val="sq-AL"/>
        </w:rPr>
      </w:pPr>
    </w:p>
    <w:p w:rsidR="00B0121D" w:rsidRPr="00D73F43" w:rsidRDefault="00B0121D" w:rsidP="00534AA6">
      <w:pPr>
        <w:numPr>
          <w:ilvl w:val="0"/>
          <w:numId w:val="26"/>
        </w:numPr>
        <w:spacing w:line="276" w:lineRule="auto"/>
        <w:jc w:val="both"/>
        <w:rPr>
          <w:bCs/>
          <w:lang w:val="sq-AL"/>
        </w:rPr>
      </w:pPr>
      <w:r w:rsidRPr="00D73F43">
        <w:rPr>
          <w:bCs/>
          <w:lang w:val="sq-AL"/>
        </w:rPr>
        <w:t>Forcimi i kapaciteteve të Institutit të Statistikave në fushën e llogarive kombëtare të qeverisë përmes krijimit të strukturës mbështetëse dhe hartimit të akteve nënligjore që plotësojnë dhe përmirësojnë më tej sistemin statistikor të administratës publike.</w:t>
      </w:r>
    </w:p>
    <w:p w:rsidR="00B0121D" w:rsidRPr="00D73F43" w:rsidRDefault="00B0121D" w:rsidP="00534AA6">
      <w:pPr>
        <w:numPr>
          <w:ilvl w:val="0"/>
          <w:numId w:val="26"/>
        </w:numPr>
        <w:spacing w:line="276" w:lineRule="auto"/>
        <w:jc w:val="both"/>
        <w:rPr>
          <w:bCs/>
          <w:lang w:val="sq-AL"/>
        </w:rPr>
      </w:pPr>
      <w:r w:rsidRPr="00D73F43">
        <w:rPr>
          <w:bCs/>
          <w:lang w:val="sq-AL"/>
        </w:rPr>
        <w:t>Analizimi kritik i kërkesave buxhetore të paraqitura nga institucionet qendrore, për të siguruar përfshirjen dhe përmbushjen e objektivave të Strategjisë Kombëtare për Zhvillim dhe Integrim dhe strategjive sektoriale e ndërsektoriale. Përmirësimi i dokumentit të programit buxhetor afatmesëm me qëllim monitorimin e progresit të arritur përmes treguesve të performancës, si dhe dhënien e rekomandimeve përkatëse për  ndërmarrjen e hapave për korrektim.</w:t>
      </w:r>
    </w:p>
    <w:p w:rsidR="00B0121D" w:rsidRPr="00D73F43" w:rsidRDefault="00B0121D" w:rsidP="00534AA6">
      <w:pPr>
        <w:numPr>
          <w:ilvl w:val="0"/>
          <w:numId w:val="26"/>
        </w:numPr>
        <w:spacing w:line="276" w:lineRule="auto"/>
        <w:jc w:val="both"/>
        <w:rPr>
          <w:bCs/>
          <w:lang w:val="sq-AL"/>
        </w:rPr>
      </w:pPr>
      <w:r w:rsidRPr="00D73F43">
        <w:rPr>
          <w:bCs/>
          <w:lang w:val="sq-AL"/>
        </w:rPr>
        <w:t>Zbatimi i akteve nënligjore për planifikimin dhe menaxhimin e investimeve publike, si dhe forcimi i kapaciteteve për të analizuar dhe vlerësuar projektet e investimeve publike me potencial për zhvillim socio-ekonomik.</w:t>
      </w:r>
    </w:p>
    <w:p w:rsidR="00B0121D" w:rsidRPr="00D73F43" w:rsidRDefault="00B0121D" w:rsidP="00534AA6">
      <w:pPr>
        <w:numPr>
          <w:ilvl w:val="0"/>
          <w:numId w:val="26"/>
        </w:numPr>
        <w:spacing w:line="276" w:lineRule="auto"/>
        <w:jc w:val="both"/>
        <w:rPr>
          <w:bCs/>
          <w:lang w:val="sq-AL"/>
        </w:rPr>
      </w:pPr>
      <w:r w:rsidRPr="00D73F43">
        <w:rPr>
          <w:bCs/>
          <w:lang w:val="sq-AL"/>
        </w:rPr>
        <w:t>Përmirësimi i performancës së administratës tatimore përmes forcimit të kapaciteve përmes trajnimeve të vazhdueshme. Ngritja e një kadastre fiskale për pronat.</w:t>
      </w:r>
    </w:p>
    <w:p w:rsidR="00B0121D" w:rsidRPr="00D73F43" w:rsidRDefault="00B0121D" w:rsidP="00534AA6">
      <w:pPr>
        <w:numPr>
          <w:ilvl w:val="0"/>
          <w:numId w:val="26"/>
        </w:numPr>
        <w:spacing w:line="276" w:lineRule="auto"/>
        <w:jc w:val="both"/>
        <w:rPr>
          <w:bCs/>
          <w:lang w:val="sq-AL"/>
        </w:rPr>
      </w:pPr>
      <w:r w:rsidRPr="00D73F43">
        <w:rPr>
          <w:bCs/>
          <w:lang w:val="sq-AL"/>
        </w:rPr>
        <w:t>Përmirësimi i performancës së administratës doganore përmes rishikimit të akteve nënligjore rregullative.</w:t>
      </w:r>
    </w:p>
    <w:p w:rsidR="00B0121D" w:rsidRPr="00D73F43" w:rsidRDefault="00B0121D" w:rsidP="00534AA6">
      <w:pPr>
        <w:numPr>
          <w:ilvl w:val="0"/>
          <w:numId w:val="26"/>
        </w:numPr>
        <w:spacing w:line="276" w:lineRule="auto"/>
        <w:jc w:val="both"/>
        <w:rPr>
          <w:bCs/>
          <w:lang w:val="sq-AL"/>
        </w:rPr>
      </w:pPr>
      <w:r w:rsidRPr="00D73F43">
        <w:rPr>
          <w:bCs/>
          <w:lang w:val="sq-AL"/>
        </w:rPr>
        <w:t xml:space="preserve">Realizimi i integrimit gradual të Sistemit Elektronik Financiar të Qeverisë me sistemin e ri të menaxhimit financiar AFMIS. </w:t>
      </w:r>
    </w:p>
    <w:p w:rsidR="00B0121D" w:rsidRPr="00D73F43" w:rsidRDefault="00B0121D" w:rsidP="00B0121D">
      <w:pPr>
        <w:spacing w:line="276" w:lineRule="auto"/>
        <w:ind w:left="720"/>
        <w:jc w:val="both"/>
        <w:rPr>
          <w:bCs/>
          <w:lang w:val="sq-AL"/>
        </w:rPr>
      </w:pPr>
    </w:p>
    <w:p w:rsidR="00B0121D" w:rsidRPr="00D73F43" w:rsidRDefault="00B0121D" w:rsidP="00B0121D">
      <w:pPr>
        <w:pStyle w:val="ListParagraph"/>
        <w:spacing w:after="200" w:line="276" w:lineRule="auto"/>
        <w:ind w:left="1440"/>
        <w:contextualSpacing/>
        <w:jc w:val="both"/>
        <w:rPr>
          <w:i/>
          <w:lang w:val="sq-AL"/>
        </w:rPr>
      </w:pPr>
    </w:p>
    <w:p w:rsidR="00B0121D" w:rsidRDefault="00B0121D" w:rsidP="00B0121D">
      <w:pPr>
        <w:pStyle w:val="ListParagraph"/>
        <w:spacing w:after="200" w:line="276" w:lineRule="auto"/>
        <w:ind w:left="1440"/>
        <w:contextualSpacing/>
        <w:jc w:val="both"/>
        <w:rPr>
          <w:i/>
          <w:lang w:val="sq-AL"/>
        </w:rPr>
      </w:pPr>
    </w:p>
    <w:p w:rsidR="0076343C" w:rsidRDefault="0076343C" w:rsidP="00B0121D">
      <w:pPr>
        <w:pStyle w:val="ListParagraph"/>
        <w:spacing w:after="200" w:line="276" w:lineRule="auto"/>
        <w:ind w:left="1440"/>
        <w:contextualSpacing/>
        <w:jc w:val="both"/>
        <w:rPr>
          <w:i/>
          <w:lang w:val="sq-AL"/>
        </w:rPr>
      </w:pPr>
    </w:p>
    <w:p w:rsidR="0076343C" w:rsidRDefault="0076343C" w:rsidP="00B0121D">
      <w:pPr>
        <w:pStyle w:val="ListParagraph"/>
        <w:spacing w:after="200" w:line="276" w:lineRule="auto"/>
        <w:ind w:left="1440"/>
        <w:contextualSpacing/>
        <w:jc w:val="both"/>
        <w:rPr>
          <w:i/>
          <w:lang w:val="sq-AL"/>
        </w:rPr>
      </w:pPr>
    </w:p>
    <w:p w:rsidR="0076343C" w:rsidRDefault="0076343C" w:rsidP="00B0121D">
      <w:pPr>
        <w:pStyle w:val="ListParagraph"/>
        <w:spacing w:after="200" w:line="276" w:lineRule="auto"/>
        <w:ind w:left="1440"/>
        <w:contextualSpacing/>
        <w:jc w:val="both"/>
        <w:rPr>
          <w:i/>
          <w:lang w:val="sq-AL"/>
        </w:rPr>
      </w:pPr>
    </w:p>
    <w:p w:rsidR="0076343C" w:rsidRDefault="0076343C" w:rsidP="00B0121D">
      <w:pPr>
        <w:pStyle w:val="ListParagraph"/>
        <w:spacing w:after="200" w:line="276" w:lineRule="auto"/>
        <w:ind w:left="1440"/>
        <w:contextualSpacing/>
        <w:jc w:val="both"/>
        <w:rPr>
          <w:i/>
          <w:lang w:val="sq-AL"/>
        </w:rPr>
      </w:pPr>
    </w:p>
    <w:p w:rsidR="0076343C" w:rsidRDefault="0076343C" w:rsidP="00B0121D">
      <w:pPr>
        <w:pStyle w:val="ListParagraph"/>
        <w:spacing w:after="200" w:line="276" w:lineRule="auto"/>
        <w:ind w:left="1440"/>
        <w:contextualSpacing/>
        <w:jc w:val="both"/>
        <w:rPr>
          <w:i/>
          <w:lang w:val="sq-AL"/>
        </w:rPr>
      </w:pPr>
    </w:p>
    <w:p w:rsidR="0076343C" w:rsidRDefault="0076343C" w:rsidP="00B0121D">
      <w:pPr>
        <w:pStyle w:val="ListParagraph"/>
        <w:spacing w:after="200" w:line="276" w:lineRule="auto"/>
        <w:ind w:left="1440"/>
        <w:contextualSpacing/>
        <w:jc w:val="both"/>
        <w:rPr>
          <w:i/>
          <w:lang w:val="sq-AL"/>
        </w:rPr>
      </w:pPr>
    </w:p>
    <w:p w:rsidR="0076343C" w:rsidRDefault="0076343C" w:rsidP="00B0121D">
      <w:pPr>
        <w:pStyle w:val="ListParagraph"/>
        <w:spacing w:after="200" w:line="276" w:lineRule="auto"/>
        <w:ind w:left="1440"/>
        <w:contextualSpacing/>
        <w:jc w:val="both"/>
        <w:rPr>
          <w:i/>
          <w:lang w:val="sq-AL"/>
        </w:rPr>
      </w:pPr>
    </w:p>
    <w:p w:rsidR="0076343C" w:rsidRDefault="0076343C" w:rsidP="00B0121D">
      <w:pPr>
        <w:pStyle w:val="ListParagraph"/>
        <w:spacing w:after="200" w:line="276" w:lineRule="auto"/>
        <w:ind w:left="1440"/>
        <w:contextualSpacing/>
        <w:jc w:val="both"/>
        <w:rPr>
          <w:i/>
          <w:lang w:val="sq-AL"/>
        </w:rPr>
      </w:pPr>
    </w:p>
    <w:p w:rsidR="0076343C" w:rsidRDefault="0076343C" w:rsidP="00B0121D">
      <w:pPr>
        <w:pStyle w:val="ListParagraph"/>
        <w:spacing w:after="200" w:line="276" w:lineRule="auto"/>
        <w:ind w:left="1440"/>
        <w:contextualSpacing/>
        <w:jc w:val="both"/>
        <w:rPr>
          <w:i/>
          <w:lang w:val="sq-AL"/>
        </w:rPr>
      </w:pPr>
    </w:p>
    <w:p w:rsidR="0076343C" w:rsidRDefault="0076343C" w:rsidP="00B0121D">
      <w:pPr>
        <w:pStyle w:val="ListParagraph"/>
        <w:spacing w:after="200" w:line="276" w:lineRule="auto"/>
        <w:ind w:left="1440"/>
        <w:contextualSpacing/>
        <w:jc w:val="both"/>
        <w:rPr>
          <w:i/>
          <w:lang w:val="sq-AL"/>
        </w:rPr>
      </w:pPr>
    </w:p>
    <w:p w:rsidR="0076343C" w:rsidRDefault="0076343C" w:rsidP="00B0121D">
      <w:pPr>
        <w:pStyle w:val="ListParagraph"/>
        <w:spacing w:after="200" w:line="276" w:lineRule="auto"/>
        <w:ind w:left="1440"/>
        <w:contextualSpacing/>
        <w:jc w:val="both"/>
        <w:rPr>
          <w:i/>
          <w:lang w:val="sq-AL"/>
        </w:rPr>
      </w:pPr>
    </w:p>
    <w:p w:rsidR="0076343C" w:rsidRDefault="0076343C" w:rsidP="00B0121D">
      <w:pPr>
        <w:pStyle w:val="ListParagraph"/>
        <w:spacing w:after="200" w:line="276" w:lineRule="auto"/>
        <w:ind w:left="1440"/>
        <w:contextualSpacing/>
        <w:jc w:val="both"/>
        <w:rPr>
          <w:i/>
          <w:lang w:val="sq-AL"/>
        </w:rPr>
      </w:pPr>
    </w:p>
    <w:p w:rsidR="0076343C" w:rsidRDefault="0076343C" w:rsidP="00B0121D">
      <w:pPr>
        <w:pStyle w:val="ListParagraph"/>
        <w:spacing w:after="200" w:line="276" w:lineRule="auto"/>
        <w:ind w:left="1440"/>
        <w:contextualSpacing/>
        <w:jc w:val="both"/>
        <w:rPr>
          <w:i/>
          <w:lang w:val="sq-AL"/>
        </w:rPr>
      </w:pPr>
    </w:p>
    <w:p w:rsidR="0076343C" w:rsidRDefault="0076343C" w:rsidP="00B0121D">
      <w:pPr>
        <w:pStyle w:val="ListParagraph"/>
        <w:spacing w:after="200" w:line="276" w:lineRule="auto"/>
        <w:ind w:left="1440"/>
        <w:contextualSpacing/>
        <w:jc w:val="both"/>
        <w:rPr>
          <w:i/>
          <w:lang w:val="sq-AL"/>
        </w:rPr>
      </w:pPr>
    </w:p>
    <w:p w:rsidR="0076343C" w:rsidRDefault="0076343C" w:rsidP="00B0121D">
      <w:pPr>
        <w:pStyle w:val="ListParagraph"/>
        <w:spacing w:after="200" w:line="276" w:lineRule="auto"/>
        <w:ind w:left="1440"/>
        <w:contextualSpacing/>
        <w:jc w:val="both"/>
        <w:rPr>
          <w:i/>
          <w:lang w:val="sq-AL"/>
        </w:rPr>
      </w:pPr>
    </w:p>
    <w:p w:rsidR="0076343C" w:rsidRPr="00890180" w:rsidRDefault="0076343C" w:rsidP="00890180">
      <w:pPr>
        <w:spacing w:after="200" w:line="276" w:lineRule="auto"/>
        <w:contextualSpacing/>
        <w:jc w:val="both"/>
        <w:rPr>
          <w:i/>
          <w:lang w:val="sq-AL"/>
        </w:rPr>
      </w:pPr>
    </w:p>
    <w:p w:rsidR="00B0121D" w:rsidRPr="0076343C" w:rsidRDefault="00B0121D" w:rsidP="00534AA6">
      <w:pPr>
        <w:pStyle w:val="Heading1"/>
        <w:numPr>
          <w:ilvl w:val="0"/>
          <w:numId w:val="36"/>
        </w:numPr>
        <w:tabs>
          <w:tab w:val="clear" w:pos="5954"/>
          <w:tab w:val="center" w:pos="426"/>
        </w:tabs>
        <w:spacing w:line="276" w:lineRule="auto"/>
        <w:jc w:val="both"/>
        <w:rPr>
          <w:bCs/>
          <w:iCs/>
          <w:caps w:val="0"/>
          <w:sz w:val="28"/>
          <w:lang w:val="sq-AL"/>
        </w:rPr>
      </w:pPr>
      <w:bookmarkStart w:id="178" w:name="_Toc466445503"/>
      <w:r w:rsidRPr="0076343C">
        <w:rPr>
          <w:bCs/>
          <w:iCs/>
          <w:caps w:val="0"/>
          <w:sz w:val="28"/>
          <w:lang w:val="sq-AL"/>
        </w:rPr>
        <w:t>SHTOJCA ILUSTRUESE</w:t>
      </w:r>
      <w:bookmarkEnd w:id="178"/>
      <w:r w:rsidRPr="0076343C">
        <w:rPr>
          <w:bCs/>
          <w:iCs/>
          <w:caps w:val="0"/>
          <w:sz w:val="28"/>
          <w:lang w:val="sq-AL"/>
        </w:rPr>
        <w:t xml:space="preserve">  </w:t>
      </w:r>
    </w:p>
    <w:p w:rsidR="00B0121D" w:rsidRPr="00D73F43" w:rsidRDefault="00B0121D" w:rsidP="00B0121D">
      <w:pPr>
        <w:rPr>
          <w:lang w:val="sq-AL"/>
        </w:rPr>
      </w:pPr>
    </w:p>
    <w:p w:rsidR="00B0121D" w:rsidRPr="00D73F43" w:rsidRDefault="00B0121D" w:rsidP="00B0121D">
      <w:pPr>
        <w:rPr>
          <w:sz w:val="16"/>
          <w:szCs w:val="16"/>
          <w:lang w:val="sq-AL"/>
        </w:rPr>
      </w:pPr>
    </w:p>
    <w:p w:rsidR="00B0121D" w:rsidRPr="0076343C" w:rsidRDefault="00B0121D" w:rsidP="00534AA6">
      <w:pPr>
        <w:pStyle w:val="Heading2"/>
        <w:numPr>
          <w:ilvl w:val="1"/>
          <w:numId w:val="36"/>
        </w:numPr>
        <w:rPr>
          <w:rFonts w:ascii="Times New Roman" w:hAnsi="Times New Roman"/>
          <w:i w:val="0"/>
          <w:lang w:val="sq-AL"/>
        </w:rPr>
      </w:pPr>
      <w:bookmarkStart w:id="179" w:name="_Toc466445504"/>
      <w:r w:rsidRPr="0076343C">
        <w:rPr>
          <w:rFonts w:ascii="Times New Roman" w:hAnsi="Times New Roman"/>
          <w:i w:val="0"/>
          <w:lang w:val="sq-AL"/>
        </w:rPr>
        <w:t>TREGUESIT E PËRZGJEDHUR MAKROEKONOMIKË DHE FISKALË</w:t>
      </w:r>
      <w:bookmarkEnd w:id="179"/>
      <w:r w:rsidRPr="0076343C">
        <w:rPr>
          <w:rFonts w:ascii="Times New Roman" w:hAnsi="Times New Roman"/>
          <w:i w:val="0"/>
          <w:lang w:val="sq-AL"/>
        </w:rPr>
        <w:t xml:space="preserve"> </w:t>
      </w:r>
    </w:p>
    <w:p w:rsidR="00B0121D" w:rsidRPr="00D73F43" w:rsidRDefault="00B0121D" w:rsidP="00B0121D">
      <w:pPr>
        <w:rPr>
          <w:lang w:val="sq-AL"/>
        </w:rPr>
      </w:pPr>
    </w:p>
    <w:p w:rsidR="00B0121D" w:rsidRPr="00D73F43" w:rsidRDefault="00B0121D" w:rsidP="00B0121D">
      <w:pPr>
        <w:rPr>
          <w:lang w:val="sq-AL"/>
        </w:rPr>
      </w:pPr>
    </w:p>
    <w:tbl>
      <w:tblPr>
        <w:tblW w:w="10400" w:type="dxa"/>
        <w:tblBorders>
          <w:top w:val="single" w:sz="12" w:space="0" w:color="000000"/>
          <w:bottom w:val="single" w:sz="12" w:space="0" w:color="000000"/>
        </w:tblBorders>
        <w:tblLook w:val="04A0" w:firstRow="1" w:lastRow="0" w:firstColumn="1" w:lastColumn="0" w:noHBand="0" w:noVBand="1"/>
      </w:tblPr>
      <w:tblGrid>
        <w:gridCol w:w="3680"/>
        <w:gridCol w:w="960"/>
        <w:gridCol w:w="960"/>
        <w:gridCol w:w="960"/>
        <w:gridCol w:w="960"/>
        <w:gridCol w:w="960"/>
        <w:gridCol w:w="960"/>
        <w:gridCol w:w="960"/>
      </w:tblGrid>
      <w:tr w:rsidR="00B0121D" w:rsidRPr="00AB477F" w:rsidTr="00AD09A8">
        <w:trPr>
          <w:trHeight w:val="330"/>
        </w:trPr>
        <w:tc>
          <w:tcPr>
            <w:tcW w:w="3680" w:type="dxa"/>
            <w:vMerge w:val="restart"/>
            <w:tcBorders>
              <w:bottom w:val="single" w:sz="6" w:space="0" w:color="000000"/>
              <w:right w:val="single" w:sz="6" w:space="0" w:color="000000"/>
            </w:tcBorders>
            <w:shd w:val="clear" w:color="auto" w:fill="auto"/>
            <w:hideMark/>
          </w:tcPr>
          <w:p w:rsidR="00B0121D" w:rsidRPr="00D73F43" w:rsidRDefault="00B0121D" w:rsidP="00AD09A8">
            <w:pPr>
              <w:rPr>
                <w:rFonts w:eastAsia="Times New Roman"/>
                <w:b/>
                <w:bCs/>
                <w:i/>
                <w:iCs/>
                <w:sz w:val="22"/>
                <w:szCs w:val="22"/>
                <w:lang w:val="sq-AL" w:eastAsia="en-GB"/>
              </w:rPr>
            </w:pPr>
            <w:r w:rsidRPr="00D73F43">
              <w:rPr>
                <w:rFonts w:eastAsia="Times New Roman"/>
                <w:b/>
                <w:bCs/>
                <w:i/>
                <w:iCs/>
                <w:sz w:val="22"/>
                <w:szCs w:val="22"/>
                <w:lang w:val="sq-AL" w:eastAsia="en-GB"/>
              </w:rPr>
              <w:t>Produkti i Brendshëm Bruto</w:t>
            </w:r>
            <w:r w:rsidR="00DF6420">
              <w:rPr>
                <w:rFonts w:eastAsia="Times New Roman"/>
                <w:i/>
                <w:iCs/>
                <w:sz w:val="22"/>
                <w:szCs w:val="22"/>
                <w:lang w:val="sq-AL" w:eastAsia="en-GB"/>
              </w:rPr>
              <w:br/>
              <w:t>(rritja vje</w:t>
            </w:r>
            <w:r w:rsidRPr="00D73F43">
              <w:rPr>
                <w:rFonts w:eastAsia="Times New Roman"/>
                <w:i/>
                <w:iCs/>
                <w:sz w:val="22"/>
                <w:szCs w:val="22"/>
                <w:lang w:val="sq-AL" w:eastAsia="en-GB"/>
              </w:rPr>
              <w:t>tore ne %, ne terma real)</w:t>
            </w:r>
          </w:p>
        </w:tc>
        <w:tc>
          <w:tcPr>
            <w:tcW w:w="960" w:type="dxa"/>
            <w:tcBorders>
              <w:bottom w:val="single" w:sz="6" w:space="0" w:color="000000"/>
            </w:tcBorders>
            <w:shd w:val="clear" w:color="auto" w:fill="auto"/>
            <w:noWrap/>
            <w:hideMark/>
          </w:tcPr>
          <w:p w:rsidR="00B0121D" w:rsidRPr="00D73F43" w:rsidRDefault="00B0121D" w:rsidP="00AD09A8">
            <w:pPr>
              <w:jc w:val="center"/>
              <w:rPr>
                <w:rFonts w:eastAsia="Times New Roman"/>
                <w:i/>
                <w:iCs/>
                <w:sz w:val="22"/>
                <w:szCs w:val="22"/>
                <w:lang w:val="sq-AL" w:eastAsia="en-GB"/>
              </w:rPr>
            </w:pPr>
            <w:r w:rsidRPr="00D73F43">
              <w:rPr>
                <w:rFonts w:eastAsia="Times New Roman"/>
                <w:i/>
                <w:iCs/>
                <w:sz w:val="22"/>
                <w:szCs w:val="22"/>
                <w:lang w:val="sq-AL" w:eastAsia="en-GB"/>
              </w:rPr>
              <w:t> </w:t>
            </w:r>
          </w:p>
        </w:tc>
        <w:tc>
          <w:tcPr>
            <w:tcW w:w="960" w:type="dxa"/>
            <w:tcBorders>
              <w:bottom w:val="single" w:sz="6" w:space="0" w:color="000000"/>
            </w:tcBorders>
            <w:shd w:val="clear" w:color="auto" w:fill="auto"/>
            <w:noWrap/>
            <w:hideMark/>
          </w:tcPr>
          <w:p w:rsidR="00B0121D" w:rsidRPr="00D73F43" w:rsidRDefault="00B0121D" w:rsidP="00AD09A8">
            <w:pPr>
              <w:jc w:val="center"/>
              <w:rPr>
                <w:rFonts w:eastAsia="Times New Roman"/>
                <w:i/>
                <w:iCs/>
                <w:sz w:val="22"/>
                <w:szCs w:val="22"/>
                <w:lang w:val="sq-AL" w:eastAsia="en-GB"/>
              </w:rPr>
            </w:pPr>
            <w:r w:rsidRPr="00D73F43">
              <w:rPr>
                <w:rFonts w:eastAsia="Times New Roman"/>
                <w:i/>
                <w:iCs/>
                <w:sz w:val="22"/>
                <w:szCs w:val="22"/>
                <w:lang w:val="sq-AL" w:eastAsia="en-GB"/>
              </w:rPr>
              <w:t> </w:t>
            </w:r>
          </w:p>
        </w:tc>
        <w:tc>
          <w:tcPr>
            <w:tcW w:w="960" w:type="dxa"/>
            <w:tcBorders>
              <w:bottom w:val="single" w:sz="6" w:space="0" w:color="000000"/>
            </w:tcBorders>
            <w:shd w:val="clear" w:color="auto" w:fill="auto"/>
            <w:noWrap/>
            <w:hideMark/>
          </w:tcPr>
          <w:p w:rsidR="00B0121D" w:rsidRPr="00D73F43" w:rsidRDefault="00B0121D" w:rsidP="00AD09A8">
            <w:pPr>
              <w:jc w:val="center"/>
              <w:rPr>
                <w:rFonts w:eastAsia="Times New Roman"/>
                <w:i/>
                <w:iCs/>
                <w:sz w:val="22"/>
                <w:szCs w:val="22"/>
                <w:lang w:val="sq-AL" w:eastAsia="en-GB"/>
              </w:rPr>
            </w:pPr>
            <w:r w:rsidRPr="00D73F43">
              <w:rPr>
                <w:rFonts w:eastAsia="Times New Roman"/>
                <w:i/>
                <w:iCs/>
                <w:sz w:val="22"/>
                <w:szCs w:val="22"/>
                <w:lang w:val="sq-AL" w:eastAsia="en-GB"/>
              </w:rPr>
              <w:t> </w:t>
            </w:r>
          </w:p>
        </w:tc>
        <w:tc>
          <w:tcPr>
            <w:tcW w:w="960" w:type="dxa"/>
            <w:tcBorders>
              <w:bottom w:val="single" w:sz="6" w:space="0" w:color="000000"/>
            </w:tcBorders>
            <w:shd w:val="clear" w:color="auto" w:fill="auto"/>
            <w:noWrap/>
            <w:hideMark/>
          </w:tcPr>
          <w:p w:rsidR="00B0121D" w:rsidRPr="00D73F43" w:rsidRDefault="00B0121D" w:rsidP="00AD09A8">
            <w:pPr>
              <w:jc w:val="center"/>
              <w:rPr>
                <w:rFonts w:eastAsia="Times New Roman"/>
                <w:i/>
                <w:iCs/>
                <w:sz w:val="22"/>
                <w:szCs w:val="22"/>
                <w:lang w:val="sq-AL" w:eastAsia="en-GB"/>
              </w:rPr>
            </w:pPr>
          </w:p>
        </w:tc>
        <w:tc>
          <w:tcPr>
            <w:tcW w:w="960" w:type="dxa"/>
            <w:tcBorders>
              <w:bottom w:val="single" w:sz="6" w:space="0" w:color="000000"/>
            </w:tcBorders>
            <w:shd w:val="clear" w:color="auto" w:fill="auto"/>
            <w:hideMark/>
          </w:tcPr>
          <w:p w:rsidR="00B0121D" w:rsidRPr="00D73F43" w:rsidRDefault="00B0121D" w:rsidP="00AD09A8">
            <w:pPr>
              <w:jc w:val="center"/>
              <w:rPr>
                <w:rFonts w:eastAsia="Times New Roman"/>
                <w:i/>
                <w:iCs/>
                <w:sz w:val="22"/>
                <w:szCs w:val="22"/>
                <w:lang w:val="sq-AL" w:eastAsia="en-GB"/>
              </w:rPr>
            </w:pPr>
            <w:r w:rsidRPr="00D73F43">
              <w:rPr>
                <w:rFonts w:eastAsia="Times New Roman"/>
                <w:i/>
                <w:iCs/>
                <w:sz w:val="22"/>
                <w:szCs w:val="22"/>
                <w:lang w:val="sq-AL" w:eastAsia="en-GB"/>
              </w:rPr>
              <w:t> </w:t>
            </w:r>
          </w:p>
        </w:tc>
        <w:tc>
          <w:tcPr>
            <w:tcW w:w="960" w:type="dxa"/>
            <w:tcBorders>
              <w:bottom w:val="single" w:sz="6" w:space="0" w:color="000000"/>
            </w:tcBorders>
            <w:shd w:val="clear" w:color="auto" w:fill="auto"/>
            <w:hideMark/>
          </w:tcPr>
          <w:p w:rsidR="00B0121D" w:rsidRPr="00D73F43" w:rsidRDefault="00B0121D" w:rsidP="00AD09A8">
            <w:pPr>
              <w:jc w:val="center"/>
              <w:rPr>
                <w:rFonts w:eastAsia="Times New Roman"/>
                <w:i/>
                <w:iCs/>
                <w:sz w:val="22"/>
                <w:szCs w:val="22"/>
                <w:lang w:val="sq-AL" w:eastAsia="en-GB"/>
              </w:rPr>
            </w:pPr>
            <w:r w:rsidRPr="00D73F43">
              <w:rPr>
                <w:rFonts w:eastAsia="Times New Roman"/>
                <w:i/>
                <w:iCs/>
                <w:sz w:val="22"/>
                <w:szCs w:val="22"/>
                <w:lang w:val="sq-AL" w:eastAsia="en-GB"/>
              </w:rPr>
              <w:t> </w:t>
            </w:r>
          </w:p>
        </w:tc>
        <w:tc>
          <w:tcPr>
            <w:tcW w:w="960" w:type="dxa"/>
            <w:tcBorders>
              <w:bottom w:val="single" w:sz="6" w:space="0" w:color="000000"/>
            </w:tcBorders>
            <w:shd w:val="clear" w:color="auto" w:fill="auto"/>
            <w:hideMark/>
          </w:tcPr>
          <w:p w:rsidR="00B0121D" w:rsidRPr="00D73F43" w:rsidRDefault="00B0121D" w:rsidP="00AD09A8">
            <w:pPr>
              <w:jc w:val="center"/>
              <w:rPr>
                <w:rFonts w:eastAsia="Times New Roman"/>
                <w:i/>
                <w:iCs/>
                <w:sz w:val="22"/>
                <w:szCs w:val="22"/>
                <w:lang w:val="sq-AL" w:eastAsia="en-GB"/>
              </w:rPr>
            </w:pPr>
            <w:r w:rsidRPr="00D73F43">
              <w:rPr>
                <w:rFonts w:eastAsia="Times New Roman"/>
                <w:i/>
                <w:iCs/>
                <w:sz w:val="22"/>
                <w:szCs w:val="22"/>
                <w:lang w:val="sq-AL" w:eastAsia="en-GB"/>
              </w:rPr>
              <w:t> </w:t>
            </w:r>
          </w:p>
        </w:tc>
      </w:tr>
      <w:tr w:rsidR="00B0121D" w:rsidRPr="00D73F43" w:rsidTr="00AD09A8">
        <w:trPr>
          <w:trHeight w:val="345"/>
        </w:trPr>
        <w:tc>
          <w:tcPr>
            <w:tcW w:w="3680" w:type="dxa"/>
            <w:vMerge/>
            <w:tcBorders>
              <w:right w:val="single" w:sz="6" w:space="0" w:color="000000"/>
            </w:tcBorders>
            <w:shd w:val="clear" w:color="auto" w:fill="auto"/>
            <w:hideMark/>
          </w:tcPr>
          <w:p w:rsidR="00B0121D" w:rsidRPr="00D73F43" w:rsidRDefault="00B0121D" w:rsidP="00AD09A8">
            <w:pPr>
              <w:rPr>
                <w:rFonts w:eastAsia="Times New Roman"/>
                <w:b/>
                <w:bCs/>
                <w:sz w:val="22"/>
                <w:szCs w:val="22"/>
                <w:lang w:val="sq-AL" w:eastAsia="en-GB"/>
              </w:rPr>
            </w:pP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2011</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2012</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2013</w:t>
            </w:r>
          </w:p>
        </w:tc>
        <w:tc>
          <w:tcPr>
            <w:tcW w:w="960" w:type="dxa"/>
            <w:shd w:val="clear" w:color="auto" w:fill="auto"/>
            <w:hideMark/>
          </w:tcPr>
          <w:p w:rsidR="00B0121D" w:rsidRPr="00D73F43" w:rsidRDefault="00B0121D" w:rsidP="00AD09A8">
            <w:pPr>
              <w:rPr>
                <w:rFonts w:eastAsia="Times New Roman"/>
                <w:sz w:val="22"/>
                <w:szCs w:val="22"/>
                <w:lang w:val="sq-AL" w:eastAsia="en-GB"/>
              </w:rPr>
            </w:pPr>
            <w:r w:rsidRPr="00D73F43">
              <w:rPr>
                <w:rFonts w:eastAsia="Times New Roman"/>
                <w:sz w:val="22"/>
                <w:szCs w:val="22"/>
                <w:lang w:val="sq-AL" w:eastAsia="en-GB"/>
              </w:rPr>
              <w:t xml:space="preserve">   2014</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2015</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T1-2016</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T2-2016</w:t>
            </w:r>
          </w:p>
        </w:tc>
      </w:tr>
      <w:tr w:rsidR="00B0121D" w:rsidRPr="00D73F43" w:rsidTr="00AD09A8">
        <w:trPr>
          <w:trHeight w:val="330"/>
        </w:trPr>
        <w:tc>
          <w:tcPr>
            <w:tcW w:w="3680" w:type="dxa"/>
            <w:tcBorders>
              <w:right w:val="single" w:sz="6" w:space="0" w:color="000000"/>
            </w:tcBorders>
            <w:shd w:val="clear" w:color="auto" w:fill="auto"/>
            <w:noWrap/>
            <w:hideMark/>
          </w:tcPr>
          <w:p w:rsidR="00B0121D" w:rsidRPr="00D73F43" w:rsidRDefault="00B0121D" w:rsidP="00AD09A8">
            <w:pPr>
              <w:rPr>
                <w:rFonts w:eastAsia="Times New Roman"/>
                <w:sz w:val="22"/>
                <w:szCs w:val="22"/>
                <w:lang w:val="sq-AL" w:eastAsia="en-GB"/>
              </w:rPr>
            </w:pPr>
            <w:r w:rsidRPr="00D73F43">
              <w:rPr>
                <w:rFonts w:eastAsia="Times New Roman"/>
                <w:sz w:val="22"/>
                <w:szCs w:val="22"/>
                <w:lang w:val="sq-AL" w:eastAsia="en-GB"/>
              </w:rPr>
              <w:t>Maqedonia</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3.0</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-0.5</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2.7</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3.5</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3.7</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2.0</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2.2</w:t>
            </w:r>
          </w:p>
        </w:tc>
      </w:tr>
      <w:tr w:rsidR="00B0121D" w:rsidRPr="00D73F43" w:rsidTr="00AD09A8">
        <w:trPr>
          <w:trHeight w:val="330"/>
        </w:trPr>
        <w:tc>
          <w:tcPr>
            <w:tcW w:w="3680" w:type="dxa"/>
            <w:tcBorders>
              <w:right w:val="single" w:sz="6" w:space="0" w:color="000000"/>
            </w:tcBorders>
            <w:shd w:val="clear" w:color="auto" w:fill="auto"/>
            <w:noWrap/>
            <w:hideMark/>
          </w:tcPr>
          <w:p w:rsidR="00B0121D" w:rsidRPr="00D73F43" w:rsidRDefault="00B0121D" w:rsidP="00DF6420">
            <w:pPr>
              <w:rPr>
                <w:rFonts w:eastAsia="Times New Roman"/>
                <w:sz w:val="22"/>
                <w:szCs w:val="22"/>
                <w:lang w:val="sq-AL" w:eastAsia="en-GB"/>
              </w:rPr>
            </w:pPr>
            <w:r w:rsidRPr="00D73F43">
              <w:rPr>
                <w:rFonts w:eastAsia="Times New Roman"/>
                <w:sz w:val="22"/>
                <w:szCs w:val="22"/>
                <w:lang w:val="sq-AL" w:eastAsia="en-GB"/>
              </w:rPr>
              <w:t>Mali i Z</w:t>
            </w:r>
            <w:r w:rsidR="00DF6420">
              <w:rPr>
                <w:rFonts w:eastAsia="Times New Roman"/>
                <w:sz w:val="22"/>
                <w:szCs w:val="22"/>
                <w:lang w:val="sq-AL" w:eastAsia="en-GB"/>
              </w:rPr>
              <w:t>i</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3.2</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-2.7</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3.5</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1.8</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3.4</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1.1</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2.7</w:t>
            </w:r>
          </w:p>
        </w:tc>
      </w:tr>
      <w:tr w:rsidR="00B0121D" w:rsidRPr="00D73F43" w:rsidTr="00AD09A8">
        <w:trPr>
          <w:trHeight w:val="330"/>
        </w:trPr>
        <w:tc>
          <w:tcPr>
            <w:tcW w:w="3680" w:type="dxa"/>
            <w:tcBorders>
              <w:right w:val="single" w:sz="6" w:space="0" w:color="000000"/>
            </w:tcBorders>
            <w:shd w:val="clear" w:color="auto" w:fill="auto"/>
            <w:noWrap/>
            <w:hideMark/>
          </w:tcPr>
          <w:p w:rsidR="00B0121D" w:rsidRPr="00D73F43" w:rsidRDefault="00B0121D" w:rsidP="00AD09A8">
            <w:pPr>
              <w:rPr>
                <w:rFonts w:eastAsia="Times New Roman"/>
                <w:sz w:val="22"/>
                <w:szCs w:val="22"/>
                <w:lang w:val="sq-AL" w:eastAsia="en-GB"/>
              </w:rPr>
            </w:pPr>
            <w:r w:rsidRPr="00D73F43">
              <w:rPr>
                <w:rFonts w:eastAsia="Times New Roman"/>
                <w:sz w:val="22"/>
                <w:szCs w:val="22"/>
                <w:lang w:val="sq-AL" w:eastAsia="en-GB"/>
              </w:rPr>
              <w:t>Serbia</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1.4</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-1.0</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2.6</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-1.8</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0.8</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3.8</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2.0</w:t>
            </w:r>
          </w:p>
        </w:tc>
      </w:tr>
      <w:tr w:rsidR="00B0121D" w:rsidRPr="00D73F43" w:rsidTr="00AD09A8">
        <w:trPr>
          <w:trHeight w:val="330"/>
        </w:trPr>
        <w:tc>
          <w:tcPr>
            <w:tcW w:w="3680" w:type="dxa"/>
            <w:tcBorders>
              <w:right w:val="single" w:sz="6" w:space="0" w:color="000000"/>
            </w:tcBorders>
            <w:shd w:val="clear" w:color="auto" w:fill="auto"/>
            <w:noWrap/>
            <w:hideMark/>
          </w:tcPr>
          <w:p w:rsidR="00B0121D" w:rsidRPr="00D73F43" w:rsidRDefault="00B0121D" w:rsidP="00AD09A8">
            <w:pPr>
              <w:rPr>
                <w:rFonts w:eastAsia="Times New Roman"/>
                <w:sz w:val="22"/>
                <w:szCs w:val="22"/>
                <w:lang w:val="sq-AL" w:eastAsia="en-GB"/>
              </w:rPr>
            </w:pPr>
            <w:r w:rsidRPr="00D73F43">
              <w:rPr>
                <w:rFonts w:eastAsia="Times New Roman"/>
                <w:sz w:val="22"/>
                <w:szCs w:val="22"/>
                <w:lang w:val="sq-AL" w:eastAsia="en-GB"/>
              </w:rPr>
              <w:t>Turqia</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8.8</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2.1</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4.2</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3.0</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4.0</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4.7</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3.1</w:t>
            </w:r>
          </w:p>
        </w:tc>
      </w:tr>
      <w:tr w:rsidR="00B0121D" w:rsidRPr="00D73F43" w:rsidTr="00AD09A8">
        <w:trPr>
          <w:trHeight w:val="330"/>
        </w:trPr>
        <w:tc>
          <w:tcPr>
            <w:tcW w:w="3680" w:type="dxa"/>
            <w:tcBorders>
              <w:right w:val="single" w:sz="6" w:space="0" w:color="000000"/>
            </w:tcBorders>
            <w:shd w:val="clear" w:color="auto" w:fill="auto"/>
            <w:noWrap/>
            <w:hideMark/>
          </w:tcPr>
          <w:p w:rsidR="00B0121D" w:rsidRPr="00D73F43" w:rsidRDefault="00B0121D" w:rsidP="00AD09A8">
            <w:pPr>
              <w:rPr>
                <w:rFonts w:eastAsia="Times New Roman"/>
                <w:sz w:val="22"/>
                <w:szCs w:val="22"/>
                <w:lang w:val="sq-AL" w:eastAsia="en-GB"/>
              </w:rPr>
            </w:pPr>
            <w:r w:rsidRPr="00D73F43">
              <w:rPr>
                <w:rFonts w:eastAsia="Times New Roman"/>
                <w:sz w:val="22"/>
                <w:szCs w:val="22"/>
                <w:lang w:val="sq-AL" w:eastAsia="en-GB"/>
              </w:rPr>
              <w:t>Shqipëria</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2.5</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1.4</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1.0</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1.8</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2.8</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3.1</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3.2</w:t>
            </w:r>
          </w:p>
        </w:tc>
      </w:tr>
      <w:tr w:rsidR="00B0121D" w:rsidRPr="00D73F43" w:rsidTr="00AD09A8">
        <w:trPr>
          <w:trHeight w:val="345"/>
        </w:trPr>
        <w:tc>
          <w:tcPr>
            <w:tcW w:w="3680" w:type="dxa"/>
            <w:tcBorders>
              <w:right w:val="single" w:sz="6" w:space="0" w:color="000000"/>
            </w:tcBorders>
            <w:shd w:val="clear" w:color="auto" w:fill="auto"/>
            <w:noWrap/>
            <w:hideMark/>
          </w:tcPr>
          <w:p w:rsidR="00B0121D" w:rsidRPr="00D73F43" w:rsidRDefault="00B0121D" w:rsidP="00AD09A8">
            <w:pPr>
              <w:rPr>
                <w:rFonts w:eastAsia="Times New Roman"/>
                <w:sz w:val="22"/>
                <w:szCs w:val="22"/>
                <w:lang w:val="sq-AL" w:eastAsia="en-GB"/>
              </w:rPr>
            </w:pPr>
            <w:r w:rsidRPr="00D73F43">
              <w:rPr>
                <w:rFonts w:eastAsia="Times New Roman"/>
                <w:sz w:val="22"/>
                <w:szCs w:val="22"/>
                <w:lang w:val="sq-AL" w:eastAsia="en-GB"/>
              </w:rPr>
              <w:t>Bosnja dhe Hercegovina</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0.9</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-0.9</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2.4</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1.4</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3.2</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1.9</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1.4</w:t>
            </w:r>
          </w:p>
        </w:tc>
      </w:tr>
      <w:tr w:rsidR="00B0121D" w:rsidRPr="00D73F43" w:rsidTr="00AD09A8">
        <w:trPr>
          <w:trHeight w:val="345"/>
        </w:trPr>
        <w:tc>
          <w:tcPr>
            <w:tcW w:w="3680" w:type="dxa"/>
            <w:tcBorders>
              <w:right w:val="single" w:sz="6" w:space="0" w:color="000000"/>
            </w:tcBorders>
            <w:shd w:val="clear" w:color="auto" w:fill="auto"/>
            <w:noWrap/>
            <w:hideMark/>
          </w:tcPr>
          <w:p w:rsidR="00B0121D" w:rsidRPr="00D73F43" w:rsidRDefault="00B0121D" w:rsidP="00AD09A8">
            <w:pPr>
              <w:rPr>
                <w:rFonts w:eastAsia="Times New Roman"/>
                <w:sz w:val="22"/>
                <w:szCs w:val="22"/>
                <w:lang w:val="sq-AL" w:eastAsia="en-GB"/>
              </w:rPr>
            </w:pPr>
            <w:r w:rsidRPr="00D73F43">
              <w:rPr>
                <w:rFonts w:eastAsia="Times New Roman"/>
                <w:sz w:val="22"/>
                <w:szCs w:val="22"/>
                <w:lang w:val="sq-AL" w:eastAsia="en-GB"/>
              </w:rPr>
              <w:t>Kosova</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4.4</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2.8</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3.4</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1.2</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4.0</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3.8</w:t>
            </w:r>
          </w:p>
        </w:tc>
        <w:tc>
          <w:tcPr>
            <w:tcW w:w="960" w:type="dxa"/>
            <w:shd w:val="clear" w:color="auto" w:fill="auto"/>
            <w:noWrap/>
            <w:hideMark/>
          </w:tcPr>
          <w:p w:rsidR="00B0121D" w:rsidRPr="00D73F43" w:rsidRDefault="00B0121D" w:rsidP="00AD09A8">
            <w:pPr>
              <w:jc w:val="center"/>
              <w:rPr>
                <w:rFonts w:eastAsia="Times New Roman"/>
                <w:sz w:val="22"/>
                <w:szCs w:val="22"/>
                <w:lang w:val="sq-AL" w:eastAsia="en-GB"/>
              </w:rPr>
            </w:pPr>
            <w:r w:rsidRPr="00D73F43">
              <w:rPr>
                <w:rFonts w:eastAsia="Times New Roman"/>
                <w:sz w:val="22"/>
                <w:szCs w:val="22"/>
                <w:lang w:val="sq-AL" w:eastAsia="en-GB"/>
              </w:rPr>
              <w:t>N/A</w:t>
            </w:r>
          </w:p>
        </w:tc>
      </w:tr>
    </w:tbl>
    <w:p w:rsidR="00B0121D" w:rsidRPr="00D73F43" w:rsidRDefault="00B0121D" w:rsidP="00B0121D">
      <w:pPr>
        <w:rPr>
          <w:noProof/>
          <w:lang w:val="sq-AL"/>
        </w:rPr>
      </w:pPr>
    </w:p>
    <w:p w:rsidR="00B0121D" w:rsidRPr="00D73F43" w:rsidRDefault="00B0121D" w:rsidP="00B0121D">
      <w:pPr>
        <w:rPr>
          <w:lang w:val="sq-AL"/>
        </w:rPr>
      </w:pPr>
    </w:p>
    <w:p w:rsidR="00B0121D" w:rsidRPr="00D73F43" w:rsidRDefault="00B0121D" w:rsidP="00B0121D">
      <w:pPr>
        <w:rPr>
          <w:lang w:val="sq-AL"/>
        </w:rPr>
      </w:pPr>
      <w:r w:rsidRPr="00D73F43">
        <w:rPr>
          <w:noProof/>
          <w:lang w:val="sq-AL" w:eastAsia="sq-AL"/>
        </w:rPr>
        <w:drawing>
          <wp:inline distT="0" distB="0" distL="0" distR="0" wp14:anchorId="335883F4" wp14:editId="65CB07FF">
            <wp:extent cx="6800850" cy="1981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00850" cy="1981200"/>
                    </a:xfrm>
                    <a:prstGeom prst="rect">
                      <a:avLst/>
                    </a:prstGeom>
                    <a:noFill/>
                    <a:ln>
                      <a:noFill/>
                    </a:ln>
                  </pic:spPr>
                </pic:pic>
              </a:graphicData>
            </a:graphic>
          </wp:inline>
        </w:drawing>
      </w:r>
    </w:p>
    <w:p w:rsidR="00B0121D" w:rsidRPr="00D73F43" w:rsidRDefault="00B0121D" w:rsidP="00B0121D">
      <w:pPr>
        <w:rPr>
          <w:lang w:val="sq-AL"/>
        </w:rPr>
      </w:pPr>
    </w:p>
    <w:p w:rsidR="00B0121D" w:rsidRPr="00D73F43" w:rsidRDefault="00B0121D" w:rsidP="00B0121D">
      <w:pPr>
        <w:rPr>
          <w:lang w:val="sq-AL"/>
        </w:rPr>
      </w:pPr>
    </w:p>
    <w:p w:rsidR="00B0121D" w:rsidRPr="00D73F43" w:rsidRDefault="00B0121D" w:rsidP="00B0121D">
      <w:pPr>
        <w:rPr>
          <w:lang w:val="sq-AL"/>
        </w:rPr>
      </w:pPr>
    </w:p>
    <w:p w:rsidR="00B0121D" w:rsidRPr="00D73F43" w:rsidRDefault="00B0121D" w:rsidP="00B0121D">
      <w:pPr>
        <w:rPr>
          <w:lang w:val="sq-AL"/>
        </w:rPr>
      </w:pPr>
      <w:r w:rsidRPr="00D73F43">
        <w:rPr>
          <w:noProof/>
          <w:lang w:val="sq-AL" w:eastAsia="sq-AL"/>
        </w:rPr>
        <w:drawing>
          <wp:inline distT="0" distB="0" distL="0" distR="0" wp14:anchorId="38FEB21B" wp14:editId="1E0381F0">
            <wp:extent cx="6743700" cy="24860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43700" cy="2486025"/>
                    </a:xfrm>
                    <a:prstGeom prst="rect">
                      <a:avLst/>
                    </a:prstGeom>
                    <a:noFill/>
                    <a:ln>
                      <a:noFill/>
                    </a:ln>
                  </pic:spPr>
                </pic:pic>
              </a:graphicData>
            </a:graphic>
          </wp:inline>
        </w:drawing>
      </w:r>
    </w:p>
    <w:p w:rsidR="00B0121D" w:rsidRPr="00D73F43" w:rsidRDefault="00B0121D" w:rsidP="00B0121D">
      <w:pPr>
        <w:rPr>
          <w:lang w:val="sq-AL"/>
        </w:rPr>
      </w:pPr>
      <w:r w:rsidRPr="00D73F43">
        <w:rPr>
          <w:noProof/>
          <w:lang w:val="sq-AL" w:eastAsia="sq-AL"/>
        </w:rPr>
        <w:lastRenderedPageBreak/>
        <w:drawing>
          <wp:inline distT="0" distB="0" distL="0" distR="0" wp14:anchorId="079C9CA6" wp14:editId="1E323239">
            <wp:extent cx="6743700" cy="2190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43700" cy="2190750"/>
                    </a:xfrm>
                    <a:prstGeom prst="rect">
                      <a:avLst/>
                    </a:prstGeom>
                    <a:noFill/>
                    <a:ln>
                      <a:noFill/>
                    </a:ln>
                  </pic:spPr>
                </pic:pic>
              </a:graphicData>
            </a:graphic>
          </wp:inline>
        </w:drawing>
      </w:r>
    </w:p>
    <w:p w:rsidR="00B0121D" w:rsidRPr="00D73F43" w:rsidRDefault="00B0121D" w:rsidP="00B0121D">
      <w:pPr>
        <w:rPr>
          <w:lang w:val="sq-AL"/>
        </w:rPr>
      </w:pPr>
    </w:p>
    <w:p w:rsidR="00B0121D" w:rsidRPr="00D73F43" w:rsidRDefault="00B0121D" w:rsidP="00B0121D">
      <w:pPr>
        <w:rPr>
          <w:lang w:val="sq-AL"/>
        </w:rPr>
      </w:pPr>
    </w:p>
    <w:p w:rsidR="00B0121D" w:rsidRPr="00D73F43" w:rsidRDefault="00B0121D" w:rsidP="00B0121D">
      <w:pPr>
        <w:rPr>
          <w:lang w:val="sq-AL"/>
        </w:rPr>
      </w:pPr>
      <w:r w:rsidRPr="00D73F43">
        <w:rPr>
          <w:noProof/>
          <w:lang w:val="sq-AL" w:eastAsia="sq-AL"/>
        </w:rPr>
        <w:drawing>
          <wp:inline distT="0" distB="0" distL="0" distR="0" wp14:anchorId="06BD64BD" wp14:editId="2ACE6AB2">
            <wp:extent cx="6743700" cy="2038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43700" cy="2038350"/>
                    </a:xfrm>
                    <a:prstGeom prst="rect">
                      <a:avLst/>
                    </a:prstGeom>
                    <a:noFill/>
                    <a:ln>
                      <a:noFill/>
                    </a:ln>
                  </pic:spPr>
                </pic:pic>
              </a:graphicData>
            </a:graphic>
          </wp:inline>
        </w:drawing>
      </w:r>
    </w:p>
    <w:p w:rsidR="00B0121D" w:rsidRPr="00D73F43" w:rsidRDefault="00B0121D" w:rsidP="00B0121D">
      <w:pPr>
        <w:rPr>
          <w:lang w:val="sq-AL"/>
        </w:rPr>
      </w:pPr>
    </w:p>
    <w:p w:rsidR="00B0121D" w:rsidRPr="00D73F43" w:rsidRDefault="00B0121D" w:rsidP="00B0121D">
      <w:pPr>
        <w:rPr>
          <w:lang w:val="sq-AL"/>
        </w:rPr>
      </w:pPr>
      <w:r w:rsidRPr="00D73F43">
        <w:rPr>
          <w:noProof/>
          <w:lang w:val="sq-AL" w:eastAsia="sq-AL"/>
        </w:rPr>
        <w:drawing>
          <wp:inline distT="0" distB="0" distL="0" distR="0" wp14:anchorId="4BE005CE" wp14:editId="6C4B9330">
            <wp:extent cx="6743700" cy="23336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43700" cy="2333625"/>
                    </a:xfrm>
                    <a:prstGeom prst="rect">
                      <a:avLst/>
                    </a:prstGeom>
                    <a:noFill/>
                    <a:ln>
                      <a:noFill/>
                    </a:ln>
                  </pic:spPr>
                </pic:pic>
              </a:graphicData>
            </a:graphic>
          </wp:inline>
        </w:drawing>
      </w:r>
    </w:p>
    <w:p w:rsidR="00B0121D" w:rsidRPr="00D73F43" w:rsidRDefault="00B0121D" w:rsidP="00B0121D">
      <w:pPr>
        <w:rPr>
          <w:lang w:val="sq-AL"/>
        </w:rPr>
      </w:pPr>
    </w:p>
    <w:p w:rsidR="00B0121D" w:rsidRPr="00D73F43" w:rsidRDefault="00B0121D" w:rsidP="00B0121D">
      <w:pPr>
        <w:rPr>
          <w:lang w:val="sq-AL"/>
        </w:rPr>
      </w:pPr>
    </w:p>
    <w:p w:rsidR="00B0121D" w:rsidRPr="00D73F43" w:rsidRDefault="00B0121D" w:rsidP="00B0121D">
      <w:pPr>
        <w:rPr>
          <w:lang w:val="sq-AL"/>
        </w:rPr>
      </w:pPr>
    </w:p>
    <w:p w:rsidR="00B0121D" w:rsidRDefault="00B0121D" w:rsidP="00B0121D">
      <w:pPr>
        <w:rPr>
          <w:lang w:val="sq-AL"/>
        </w:rPr>
      </w:pPr>
    </w:p>
    <w:p w:rsidR="0076343C" w:rsidRDefault="0076343C" w:rsidP="00B0121D">
      <w:pPr>
        <w:rPr>
          <w:lang w:val="sq-AL"/>
        </w:rPr>
      </w:pPr>
    </w:p>
    <w:p w:rsidR="0076343C" w:rsidRDefault="0076343C" w:rsidP="00B0121D">
      <w:pPr>
        <w:rPr>
          <w:lang w:val="sq-AL"/>
        </w:rPr>
      </w:pPr>
    </w:p>
    <w:p w:rsidR="0076343C" w:rsidRDefault="0076343C" w:rsidP="00B0121D">
      <w:pPr>
        <w:rPr>
          <w:lang w:val="sq-AL"/>
        </w:rPr>
      </w:pPr>
    </w:p>
    <w:p w:rsidR="0076343C" w:rsidRDefault="0076343C" w:rsidP="00B0121D">
      <w:pPr>
        <w:rPr>
          <w:lang w:val="sq-AL"/>
        </w:rPr>
      </w:pPr>
    </w:p>
    <w:p w:rsidR="0076343C" w:rsidRPr="00D73F43" w:rsidRDefault="0076343C" w:rsidP="00B0121D">
      <w:pPr>
        <w:rPr>
          <w:lang w:val="sq-AL"/>
        </w:rPr>
      </w:pPr>
    </w:p>
    <w:p w:rsidR="00B0121D" w:rsidRPr="00D73F43" w:rsidRDefault="00B0121D" w:rsidP="00B0121D">
      <w:pPr>
        <w:rPr>
          <w:lang w:val="sq-AL"/>
        </w:rPr>
      </w:pPr>
    </w:p>
    <w:p w:rsidR="00B0121D" w:rsidRPr="0076343C" w:rsidRDefault="0076343C" w:rsidP="00534AA6">
      <w:pPr>
        <w:pStyle w:val="Heading2"/>
        <w:numPr>
          <w:ilvl w:val="1"/>
          <w:numId w:val="36"/>
        </w:numPr>
        <w:rPr>
          <w:rFonts w:ascii="Times New Roman" w:hAnsi="Times New Roman"/>
          <w:i w:val="0"/>
          <w:lang w:val="sq-AL"/>
        </w:rPr>
      </w:pPr>
      <w:bookmarkStart w:id="180" w:name="_Toc466445505"/>
      <w:r w:rsidRPr="0076343C">
        <w:rPr>
          <w:rFonts w:ascii="Times New Roman" w:hAnsi="Times New Roman"/>
          <w:i w:val="0"/>
          <w:lang w:val="sq-AL"/>
        </w:rPr>
        <w:lastRenderedPageBreak/>
        <w:t>ZHVILLIMET FISKALE GJATË 9-MUJORIT 2016</w:t>
      </w:r>
      <w:bookmarkEnd w:id="180"/>
      <w:r w:rsidRPr="0076343C">
        <w:rPr>
          <w:rFonts w:ascii="Times New Roman" w:hAnsi="Times New Roman"/>
          <w:i w:val="0"/>
          <w:lang w:val="sq-AL"/>
        </w:rPr>
        <w:t xml:space="preserve"> </w:t>
      </w:r>
    </w:p>
    <w:p w:rsidR="00B0121D" w:rsidRPr="00D73F43" w:rsidRDefault="00B0121D" w:rsidP="00B0121D">
      <w:pPr>
        <w:rPr>
          <w:lang w:val="sq-AL"/>
        </w:rPr>
      </w:pPr>
    </w:p>
    <w:p w:rsidR="00E42B60" w:rsidRPr="00E42B60" w:rsidRDefault="00E42B60" w:rsidP="00E42B60">
      <w:pPr>
        <w:jc w:val="both"/>
        <w:rPr>
          <w:rFonts w:eastAsia="Calibri"/>
          <w:b/>
          <w:i/>
          <w:lang w:val="it-IT"/>
        </w:rPr>
      </w:pPr>
      <w:r w:rsidRPr="00E42B60">
        <w:rPr>
          <w:rFonts w:eastAsia="Calibri"/>
          <w:b/>
          <w:i/>
          <w:lang w:val="it-IT"/>
        </w:rPr>
        <w:t>Performanca “Tatime dhe Dogana” 9-mujori i vitit 2016</w:t>
      </w:r>
    </w:p>
    <w:p w:rsidR="00E42B60" w:rsidRDefault="00E42B60" w:rsidP="00E42B60">
      <w:pPr>
        <w:spacing w:before="100" w:line="276" w:lineRule="auto"/>
        <w:jc w:val="both"/>
        <w:rPr>
          <w:rFonts w:eastAsia="MS Mincho"/>
          <w:bCs/>
          <w:lang w:val="sq-AL" w:eastAsia="sq-AL"/>
        </w:rPr>
      </w:pPr>
      <w:r w:rsidRPr="00E42B60">
        <w:rPr>
          <w:rFonts w:eastAsia="MS Mincho"/>
          <w:bCs/>
          <w:lang w:val="sq-AL" w:eastAsia="sq-AL"/>
        </w:rPr>
        <w:t>Të ardhurat (përfshirë kontributet e mbledhura nga DPT) për 9-mujorin e vitit 2016 u realizuan në vlerën 259.5 miliardë lekë, 20.9 miliardë lekë ose 8.7% më shumë se 9-mujori i vitit 2015 dhe 1.39 miliardë lekë ose 0.5% më pak se plani.</w:t>
      </w:r>
    </w:p>
    <w:p w:rsidR="00E42B60" w:rsidRPr="00E42B60" w:rsidRDefault="00E42B60" w:rsidP="00E42B60">
      <w:pPr>
        <w:spacing w:before="100"/>
        <w:jc w:val="both"/>
        <w:rPr>
          <w:rFonts w:eastAsia="MS Mincho"/>
          <w:bCs/>
          <w:lang w:val="sq-AL" w:eastAsia="sq-AL"/>
        </w:rPr>
      </w:pPr>
    </w:p>
    <w:p w:rsidR="00E42B60" w:rsidRPr="00E42B60" w:rsidRDefault="00E42B60" w:rsidP="00E42B60">
      <w:pPr>
        <w:tabs>
          <w:tab w:val="left" w:pos="2511"/>
          <w:tab w:val="center" w:pos="4680"/>
        </w:tabs>
        <w:jc w:val="both"/>
        <w:rPr>
          <w:rFonts w:eastAsia="Calibri"/>
          <w:i/>
          <w:sz w:val="20"/>
          <w:szCs w:val="20"/>
          <w:lang w:val="sq-AL"/>
        </w:rPr>
      </w:pPr>
      <w:r w:rsidRPr="00E42B60">
        <w:rPr>
          <w:rFonts w:eastAsia="Times New Roman"/>
          <w:b/>
          <w:i/>
          <w:sz w:val="20"/>
          <w:szCs w:val="20"/>
          <w:lang w:val="sq-AL"/>
        </w:rPr>
        <w:t xml:space="preserve">Tabela </w:t>
      </w:r>
      <w:r w:rsidR="00DF6420">
        <w:rPr>
          <w:rFonts w:eastAsia="Times New Roman"/>
          <w:b/>
          <w:i/>
          <w:sz w:val="20"/>
          <w:szCs w:val="20"/>
          <w:lang w:val="sq-AL"/>
        </w:rPr>
        <w:t>8</w:t>
      </w:r>
      <w:r w:rsidRPr="00E42B60">
        <w:rPr>
          <w:rFonts w:eastAsia="Times New Roman"/>
          <w:b/>
          <w:i/>
          <w:sz w:val="20"/>
          <w:szCs w:val="20"/>
          <w:lang w:val="sq-AL"/>
        </w:rPr>
        <w:t xml:space="preserve"> </w:t>
      </w:r>
      <w:r w:rsidRPr="00E42B60">
        <w:rPr>
          <w:rFonts w:eastAsia="Times New Roman"/>
          <w:i/>
          <w:sz w:val="20"/>
          <w:szCs w:val="20"/>
          <w:lang w:val="sq-AL"/>
        </w:rPr>
        <w:t>Performanc</w:t>
      </w:r>
      <w:r w:rsidRPr="00E42B60">
        <w:rPr>
          <w:rFonts w:eastAsia="Times New Roman"/>
          <w:i/>
          <w:sz w:val="20"/>
          <w:lang w:val="sq-AL"/>
        </w:rPr>
        <w:t xml:space="preserve">a </w:t>
      </w:r>
      <w:r w:rsidRPr="00E42B60">
        <w:rPr>
          <w:rFonts w:eastAsia="Times New Roman"/>
          <w:i/>
          <w:sz w:val="20"/>
          <w:szCs w:val="20"/>
          <w:lang w:val="sq-AL"/>
        </w:rPr>
        <w:t>DPD+DPT për periudh</w:t>
      </w:r>
      <w:r w:rsidRPr="00E42B60">
        <w:rPr>
          <w:rFonts w:eastAsia="Times New Roman"/>
          <w:i/>
          <w:sz w:val="20"/>
          <w:lang w:val="sq-AL"/>
        </w:rPr>
        <w:t xml:space="preserve">ën Janar-Shtator 2016 </w:t>
      </w:r>
      <w:r w:rsidRPr="00E42B60">
        <w:rPr>
          <w:rFonts w:eastAsia="Times New Roman"/>
          <w:i/>
          <w:sz w:val="20"/>
          <w:lang w:val="sq-AL"/>
        </w:rPr>
        <w:tab/>
      </w:r>
      <w:r w:rsidRPr="00E42B60">
        <w:rPr>
          <w:rFonts w:eastAsia="Times New Roman"/>
          <w:i/>
          <w:sz w:val="20"/>
          <w:lang w:val="sq-AL"/>
        </w:rPr>
        <w:tab/>
      </w:r>
      <w:r w:rsidRPr="00E42B60">
        <w:rPr>
          <w:rFonts w:eastAsia="Times New Roman"/>
          <w:i/>
          <w:sz w:val="20"/>
          <w:lang w:val="sq-AL"/>
        </w:rPr>
        <w:tab/>
      </w:r>
      <w:r w:rsidRPr="00E42B60">
        <w:rPr>
          <w:rFonts w:eastAsia="Calibri"/>
          <w:i/>
          <w:sz w:val="20"/>
          <w:szCs w:val="20"/>
          <w:lang w:val="sq-AL"/>
        </w:rPr>
        <w:t>(në milion lekë)</w:t>
      </w:r>
    </w:p>
    <w:tbl>
      <w:tblPr>
        <w:tblW w:w="9837" w:type="dxa"/>
        <w:tblInd w:w="108" w:type="dxa"/>
        <w:tblLayout w:type="fixed"/>
        <w:tblLook w:val="04A0" w:firstRow="1" w:lastRow="0" w:firstColumn="1" w:lastColumn="0" w:noHBand="0" w:noVBand="1"/>
      </w:tblPr>
      <w:tblGrid>
        <w:gridCol w:w="2888"/>
        <w:gridCol w:w="902"/>
        <w:gridCol w:w="902"/>
        <w:gridCol w:w="993"/>
        <w:gridCol w:w="993"/>
        <w:gridCol w:w="1083"/>
        <w:gridCol w:w="1083"/>
        <w:gridCol w:w="993"/>
      </w:tblGrid>
      <w:tr w:rsidR="00E42B60" w:rsidRPr="00E42B60" w:rsidTr="00DF6420">
        <w:trPr>
          <w:trHeight w:val="453"/>
        </w:trPr>
        <w:tc>
          <w:tcPr>
            <w:tcW w:w="2888" w:type="dxa"/>
            <w:tcBorders>
              <w:top w:val="single" w:sz="4" w:space="0" w:color="auto"/>
              <w:left w:val="nil"/>
              <w:bottom w:val="double" w:sz="6" w:space="0" w:color="auto"/>
              <w:right w:val="nil"/>
            </w:tcBorders>
            <w:vAlign w:val="center"/>
            <w:hideMark/>
          </w:tcPr>
          <w:p w:rsidR="00E42B60" w:rsidRPr="00E42B60" w:rsidRDefault="00E42B60" w:rsidP="00E42B60">
            <w:pPr>
              <w:rPr>
                <w:rFonts w:eastAsia="Times New Roman"/>
                <w:b/>
                <w:bCs/>
                <w:i/>
                <w:iCs/>
                <w:color w:val="000000"/>
                <w:sz w:val="16"/>
                <w:szCs w:val="16"/>
                <w:lang w:val="sq-AL" w:eastAsia="sq-AL"/>
              </w:rPr>
            </w:pPr>
            <w:r w:rsidRPr="00E42B60">
              <w:rPr>
                <w:rFonts w:eastAsia="Times New Roman"/>
                <w:b/>
                <w:bCs/>
                <w:i/>
                <w:iCs/>
                <w:color w:val="000000"/>
                <w:sz w:val="16"/>
                <w:szCs w:val="16"/>
                <w:lang w:val="sq-AL" w:eastAsia="sq-AL"/>
              </w:rPr>
              <w:t>Lloji i taksave</w:t>
            </w:r>
          </w:p>
        </w:tc>
        <w:tc>
          <w:tcPr>
            <w:tcW w:w="902" w:type="dxa"/>
            <w:tcBorders>
              <w:top w:val="single" w:sz="4" w:space="0" w:color="auto"/>
              <w:left w:val="nil"/>
              <w:bottom w:val="double" w:sz="6" w:space="0" w:color="auto"/>
              <w:right w:val="nil"/>
            </w:tcBorders>
            <w:vAlign w:val="center"/>
            <w:hideMark/>
          </w:tcPr>
          <w:p w:rsidR="00E42B60" w:rsidRPr="00E42B60" w:rsidRDefault="00E42B60" w:rsidP="00E42B60">
            <w:pPr>
              <w:jc w:val="center"/>
              <w:rPr>
                <w:rFonts w:eastAsia="Times New Roman"/>
                <w:b/>
                <w:bCs/>
                <w:i/>
                <w:iCs/>
                <w:color w:val="000000"/>
                <w:sz w:val="16"/>
                <w:szCs w:val="16"/>
                <w:lang w:val="sq-AL" w:eastAsia="sq-AL"/>
              </w:rPr>
            </w:pPr>
            <w:r w:rsidRPr="00E42B60">
              <w:rPr>
                <w:rFonts w:eastAsia="Times New Roman"/>
                <w:b/>
                <w:bCs/>
                <w:i/>
                <w:iCs/>
                <w:color w:val="000000"/>
                <w:sz w:val="16"/>
                <w:szCs w:val="16"/>
                <w:lang w:val="sq-AL" w:eastAsia="sq-AL"/>
              </w:rPr>
              <w:t>Fakt 9 mujori 2015</w:t>
            </w:r>
          </w:p>
        </w:tc>
        <w:tc>
          <w:tcPr>
            <w:tcW w:w="902" w:type="dxa"/>
            <w:tcBorders>
              <w:top w:val="single" w:sz="4" w:space="0" w:color="auto"/>
              <w:left w:val="nil"/>
              <w:bottom w:val="double" w:sz="6" w:space="0" w:color="auto"/>
              <w:right w:val="nil"/>
            </w:tcBorders>
            <w:vAlign w:val="center"/>
            <w:hideMark/>
          </w:tcPr>
          <w:p w:rsidR="00E42B60" w:rsidRPr="00E42B60" w:rsidRDefault="00E42B60" w:rsidP="00E42B60">
            <w:pPr>
              <w:jc w:val="center"/>
              <w:rPr>
                <w:rFonts w:eastAsia="Times New Roman"/>
                <w:b/>
                <w:bCs/>
                <w:i/>
                <w:iCs/>
                <w:color w:val="000000"/>
                <w:sz w:val="16"/>
                <w:szCs w:val="16"/>
                <w:lang w:val="sq-AL" w:eastAsia="sq-AL"/>
              </w:rPr>
            </w:pPr>
            <w:r w:rsidRPr="00E42B60">
              <w:rPr>
                <w:rFonts w:eastAsia="Times New Roman"/>
                <w:b/>
                <w:bCs/>
                <w:i/>
                <w:iCs/>
                <w:color w:val="000000"/>
                <w:sz w:val="16"/>
                <w:szCs w:val="16"/>
                <w:lang w:val="sq-AL" w:eastAsia="sq-AL"/>
              </w:rPr>
              <w:t>Fakt 9 mujori 2016</w:t>
            </w:r>
          </w:p>
        </w:tc>
        <w:tc>
          <w:tcPr>
            <w:tcW w:w="993" w:type="dxa"/>
            <w:tcBorders>
              <w:top w:val="single" w:sz="4" w:space="0" w:color="auto"/>
              <w:left w:val="nil"/>
              <w:bottom w:val="double" w:sz="6" w:space="0" w:color="auto"/>
              <w:right w:val="nil"/>
            </w:tcBorders>
            <w:vAlign w:val="center"/>
            <w:hideMark/>
          </w:tcPr>
          <w:p w:rsidR="00E42B60" w:rsidRPr="00E42B60" w:rsidRDefault="00E42B60" w:rsidP="00E42B60">
            <w:pPr>
              <w:jc w:val="center"/>
              <w:rPr>
                <w:rFonts w:eastAsia="Times New Roman"/>
                <w:b/>
                <w:bCs/>
                <w:i/>
                <w:iCs/>
                <w:color w:val="000000"/>
                <w:sz w:val="16"/>
                <w:szCs w:val="16"/>
                <w:lang w:val="sq-AL" w:eastAsia="sq-AL"/>
              </w:rPr>
            </w:pPr>
            <w:r w:rsidRPr="00E42B60">
              <w:rPr>
                <w:rFonts w:eastAsia="Times New Roman"/>
                <w:b/>
                <w:bCs/>
                <w:i/>
                <w:iCs/>
                <w:color w:val="000000"/>
                <w:sz w:val="16"/>
                <w:szCs w:val="16"/>
                <w:lang w:val="sq-AL" w:eastAsia="sq-AL"/>
              </w:rPr>
              <w:t>Plan 9 mujori  2016</w:t>
            </w:r>
          </w:p>
        </w:tc>
        <w:tc>
          <w:tcPr>
            <w:tcW w:w="993" w:type="dxa"/>
            <w:tcBorders>
              <w:top w:val="single" w:sz="4" w:space="0" w:color="auto"/>
              <w:left w:val="nil"/>
              <w:bottom w:val="double" w:sz="6" w:space="0" w:color="auto"/>
              <w:right w:val="nil"/>
            </w:tcBorders>
            <w:vAlign w:val="center"/>
            <w:hideMark/>
          </w:tcPr>
          <w:p w:rsidR="00E42B60" w:rsidRPr="00E42B60" w:rsidRDefault="00E42B60" w:rsidP="00E42B60">
            <w:pPr>
              <w:jc w:val="center"/>
              <w:rPr>
                <w:rFonts w:eastAsia="Times New Roman"/>
                <w:b/>
                <w:bCs/>
                <w:i/>
                <w:iCs/>
                <w:color w:val="000000"/>
                <w:sz w:val="16"/>
                <w:szCs w:val="16"/>
                <w:lang w:val="sq-AL" w:eastAsia="sq-AL"/>
              </w:rPr>
            </w:pPr>
            <w:r w:rsidRPr="00E42B60">
              <w:rPr>
                <w:rFonts w:eastAsia="Times New Roman"/>
                <w:b/>
                <w:bCs/>
                <w:i/>
                <w:iCs/>
                <w:color w:val="000000"/>
                <w:sz w:val="16"/>
                <w:szCs w:val="16"/>
                <w:lang w:val="sq-AL" w:eastAsia="sq-AL"/>
              </w:rPr>
              <w:t>Diferenca 2016/2015</w:t>
            </w:r>
          </w:p>
        </w:tc>
        <w:tc>
          <w:tcPr>
            <w:tcW w:w="1083" w:type="dxa"/>
            <w:tcBorders>
              <w:top w:val="single" w:sz="4" w:space="0" w:color="auto"/>
              <w:left w:val="nil"/>
              <w:bottom w:val="double" w:sz="6" w:space="0" w:color="auto"/>
              <w:right w:val="nil"/>
            </w:tcBorders>
            <w:vAlign w:val="center"/>
            <w:hideMark/>
          </w:tcPr>
          <w:p w:rsidR="00E42B60" w:rsidRPr="00E42B60" w:rsidRDefault="00E42B60" w:rsidP="00E42B60">
            <w:pPr>
              <w:jc w:val="center"/>
              <w:rPr>
                <w:rFonts w:eastAsia="Times New Roman"/>
                <w:b/>
                <w:bCs/>
                <w:i/>
                <w:iCs/>
                <w:color w:val="000000"/>
                <w:sz w:val="16"/>
                <w:szCs w:val="16"/>
                <w:lang w:val="sq-AL" w:eastAsia="sq-AL"/>
              </w:rPr>
            </w:pPr>
            <w:r w:rsidRPr="00E42B60">
              <w:rPr>
                <w:rFonts w:eastAsia="Times New Roman"/>
                <w:b/>
                <w:bCs/>
                <w:i/>
                <w:iCs/>
                <w:color w:val="000000"/>
                <w:sz w:val="16"/>
                <w:szCs w:val="16"/>
                <w:lang w:val="sq-AL" w:eastAsia="sq-AL"/>
              </w:rPr>
              <w:t>+/ - % 2016/2015</w:t>
            </w:r>
          </w:p>
        </w:tc>
        <w:tc>
          <w:tcPr>
            <w:tcW w:w="1083" w:type="dxa"/>
            <w:tcBorders>
              <w:top w:val="single" w:sz="4" w:space="0" w:color="auto"/>
              <w:left w:val="nil"/>
              <w:bottom w:val="double" w:sz="6" w:space="0" w:color="auto"/>
              <w:right w:val="nil"/>
            </w:tcBorders>
            <w:vAlign w:val="center"/>
            <w:hideMark/>
          </w:tcPr>
          <w:p w:rsidR="00E42B60" w:rsidRPr="00E42B60" w:rsidRDefault="00E42B60" w:rsidP="00E42B60">
            <w:pPr>
              <w:jc w:val="center"/>
              <w:rPr>
                <w:rFonts w:eastAsia="Times New Roman"/>
                <w:b/>
                <w:bCs/>
                <w:i/>
                <w:iCs/>
                <w:color w:val="000000"/>
                <w:sz w:val="16"/>
                <w:szCs w:val="16"/>
                <w:lang w:val="sq-AL" w:eastAsia="sq-AL"/>
              </w:rPr>
            </w:pPr>
            <w:r w:rsidRPr="00E42B60">
              <w:rPr>
                <w:rFonts w:eastAsia="Times New Roman"/>
                <w:b/>
                <w:bCs/>
                <w:i/>
                <w:iCs/>
                <w:color w:val="000000"/>
                <w:sz w:val="16"/>
                <w:szCs w:val="16"/>
                <w:lang w:val="sq-AL" w:eastAsia="sq-AL"/>
              </w:rPr>
              <w:t>Diferenca                    Fakt/ Plan 2016</w:t>
            </w:r>
          </w:p>
        </w:tc>
        <w:tc>
          <w:tcPr>
            <w:tcW w:w="993" w:type="dxa"/>
            <w:tcBorders>
              <w:top w:val="single" w:sz="4" w:space="0" w:color="auto"/>
              <w:left w:val="nil"/>
              <w:bottom w:val="double" w:sz="6" w:space="0" w:color="auto"/>
              <w:right w:val="nil"/>
            </w:tcBorders>
            <w:vAlign w:val="center"/>
            <w:hideMark/>
          </w:tcPr>
          <w:p w:rsidR="00E42B60" w:rsidRPr="00E42B60" w:rsidRDefault="00E42B60" w:rsidP="00E42B60">
            <w:pPr>
              <w:jc w:val="center"/>
              <w:rPr>
                <w:rFonts w:eastAsia="Times New Roman"/>
                <w:b/>
                <w:bCs/>
                <w:i/>
                <w:iCs/>
                <w:color w:val="000000"/>
                <w:sz w:val="16"/>
                <w:szCs w:val="16"/>
                <w:lang w:val="sq-AL" w:eastAsia="sq-AL"/>
              </w:rPr>
            </w:pPr>
            <w:r w:rsidRPr="00E42B60">
              <w:rPr>
                <w:rFonts w:eastAsia="Times New Roman"/>
                <w:b/>
                <w:bCs/>
                <w:i/>
                <w:iCs/>
                <w:color w:val="000000"/>
                <w:sz w:val="16"/>
                <w:szCs w:val="16"/>
                <w:lang w:eastAsia="sq-AL"/>
              </w:rPr>
              <w:t>+/ - % Fakt/Plan 2016</w:t>
            </w:r>
          </w:p>
        </w:tc>
      </w:tr>
      <w:tr w:rsidR="00E42B60" w:rsidRPr="00E42B60" w:rsidTr="00DF6420">
        <w:trPr>
          <w:trHeight w:val="195"/>
        </w:trPr>
        <w:tc>
          <w:tcPr>
            <w:tcW w:w="2888" w:type="dxa"/>
            <w:vAlign w:val="center"/>
            <w:hideMark/>
          </w:tcPr>
          <w:p w:rsidR="00E42B60" w:rsidRPr="00E42B60" w:rsidRDefault="00E42B60" w:rsidP="00E42B60">
            <w:pPr>
              <w:rPr>
                <w:rFonts w:eastAsia="Times New Roman"/>
                <w:color w:val="000000"/>
                <w:sz w:val="16"/>
                <w:szCs w:val="16"/>
                <w:lang w:val="sq-AL" w:eastAsia="sq-AL"/>
              </w:rPr>
            </w:pPr>
            <w:r w:rsidRPr="00E42B60">
              <w:rPr>
                <w:rFonts w:eastAsia="Times New Roman"/>
                <w:color w:val="000000"/>
                <w:sz w:val="16"/>
                <w:szCs w:val="16"/>
                <w:lang w:eastAsia="sq-AL"/>
              </w:rPr>
              <w:t xml:space="preserve">Tvsh në import </w:t>
            </w:r>
          </w:p>
        </w:tc>
        <w:tc>
          <w:tcPr>
            <w:tcW w:w="902"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68,800</w:t>
            </w:r>
          </w:p>
        </w:tc>
        <w:tc>
          <w:tcPr>
            <w:tcW w:w="902"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71,341</w:t>
            </w:r>
          </w:p>
        </w:tc>
        <w:tc>
          <w:tcPr>
            <w:tcW w:w="99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73,102</w:t>
            </w:r>
          </w:p>
        </w:tc>
        <w:tc>
          <w:tcPr>
            <w:tcW w:w="99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2,541</w:t>
            </w:r>
          </w:p>
        </w:tc>
        <w:tc>
          <w:tcPr>
            <w:tcW w:w="108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3.69%</w:t>
            </w:r>
          </w:p>
        </w:tc>
        <w:tc>
          <w:tcPr>
            <w:tcW w:w="108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-1,761</w:t>
            </w:r>
          </w:p>
        </w:tc>
        <w:tc>
          <w:tcPr>
            <w:tcW w:w="99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-2.41%</w:t>
            </w:r>
          </w:p>
        </w:tc>
      </w:tr>
      <w:tr w:rsidR="00E42B60" w:rsidRPr="00E42B60" w:rsidTr="00DF6420">
        <w:trPr>
          <w:trHeight w:val="185"/>
        </w:trPr>
        <w:tc>
          <w:tcPr>
            <w:tcW w:w="2888" w:type="dxa"/>
            <w:vAlign w:val="center"/>
            <w:hideMark/>
          </w:tcPr>
          <w:p w:rsidR="00E42B60" w:rsidRPr="00E42B60" w:rsidRDefault="00E42B60" w:rsidP="00E42B60">
            <w:pPr>
              <w:rPr>
                <w:rFonts w:eastAsia="Times New Roman"/>
                <w:color w:val="000000"/>
                <w:sz w:val="16"/>
                <w:szCs w:val="16"/>
                <w:lang w:val="sq-AL" w:eastAsia="sq-AL"/>
              </w:rPr>
            </w:pPr>
            <w:r w:rsidRPr="00E42B60">
              <w:rPr>
                <w:rFonts w:eastAsia="Times New Roman"/>
                <w:color w:val="000000"/>
                <w:sz w:val="16"/>
                <w:szCs w:val="16"/>
                <w:lang w:eastAsia="sq-AL"/>
              </w:rPr>
              <w:t>Tvsh brenda vendit</w:t>
            </w:r>
          </w:p>
        </w:tc>
        <w:tc>
          <w:tcPr>
            <w:tcW w:w="902"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22,014</w:t>
            </w:r>
          </w:p>
        </w:tc>
        <w:tc>
          <w:tcPr>
            <w:tcW w:w="902"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24,941</w:t>
            </w:r>
          </w:p>
        </w:tc>
        <w:tc>
          <w:tcPr>
            <w:tcW w:w="99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27,100</w:t>
            </w:r>
          </w:p>
        </w:tc>
        <w:tc>
          <w:tcPr>
            <w:tcW w:w="99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2,927</w:t>
            </w:r>
          </w:p>
        </w:tc>
        <w:tc>
          <w:tcPr>
            <w:tcW w:w="108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13.30%</w:t>
            </w:r>
          </w:p>
        </w:tc>
        <w:tc>
          <w:tcPr>
            <w:tcW w:w="108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-2,159</w:t>
            </w:r>
          </w:p>
        </w:tc>
        <w:tc>
          <w:tcPr>
            <w:tcW w:w="99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-7.97%</w:t>
            </w:r>
          </w:p>
        </w:tc>
      </w:tr>
      <w:tr w:rsidR="00E42B60" w:rsidRPr="00E42B60" w:rsidTr="00DF6420">
        <w:trPr>
          <w:trHeight w:val="185"/>
        </w:trPr>
        <w:tc>
          <w:tcPr>
            <w:tcW w:w="2888" w:type="dxa"/>
            <w:noWrap/>
            <w:vAlign w:val="center"/>
            <w:hideMark/>
          </w:tcPr>
          <w:p w:rsidR="00E42B60" w:rsidRPr="00E42B60" w:rsidRDefault="00E42B60" w:rsidP="00E42B60">
            <w:pPr>
              <w:rPr>
                <w:rFonts w:eastAsia="Times New Roman"/>
                <w:color w:val="000000"/>
                <w:sz w:val="16"/>
                <w:szCs w:val="16"/>
                <w:lang w:val="sq-AL" w:eastAsia="sq-AL"/>
              </w:rPr>
            </w:pPr>
            <w:r w:rsidRPr="00E42B60">
              <w:rPr>
                <w:rFonts w:eastAsia="Times New Roman"/>
                <w:color w:val="000000"/>
                <w:sz w:val="16"/>
                <w:szCs w:val="16"/>
                <w:lang w:eastAsia="sq-AL"/>
              </w:rPr>
              <w:t>Tatimi mbi fitimi</w:t>
            </w:r>
          </w:p>
        </w:tc>
        <w:tc>
          <w:tcPr>
            <w:tcW w:w="902" w:type="dxa"/>
            <w:noWrap/>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18,233</w:t>
            </w:r>
          </w:p>
        </w:tc>
        <w:tc>
          <w:tcPr>
            <w:tcW w:w="902"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21,733</w:t>
            </w:r>
          </w:p>
        </w:tc>
        <w:tc>
          <w:tcPr>
            <w:tcW w:w="99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18,100</w:t>
            </w:r>
          </w:p>
        </w:tc>
        <w:tc>
          <w:tcPr>
            <w:tcW w:w="99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3, 500</w:t>
            </w:r>
          </w:p>
        </w:tc>
        <w:tc>
          <w:tcPr>
            <w:tcW w:w="1083" w:type="dxa"/>
            <w:noWrap/>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19.20%</w:t>
            </w:r>
          </w:p>
        </w:tc>
        <w:tc>
          <w:tcPr>
            <w:tcW w:w="1083" w:type="dxa"/>
            <w:noWrap/>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3,633</w:t>
            </w:r>
          </w:p>
        </w:tc>
        <w:tc>
          <w:tcPr>
            <w:tcW w:w="993" w:type="dxa"/>
            <w:noWrap/>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20.07%</w:t>
            </w:r>
          </w:p>
        </w:tc>
      </w:tr>
      <w:tr w:rsidR="00E42B60" w:rsidRPr="00E42B60" w:rsidTr="00DF6420">
        <w:trPr>
          <w:trHeight w:val="185"/>
        </w:trPr>
        <w:tc>
          <w:tcPr>
            <w:tcW w:w="2888" w:type="dxa"/>
            <w:vAlign w:val="center"/>
            <w:hideMark/>
          </w:tcPr>
          <w:p w:rsidR="00E42B60" w:rsidRPr="00E42B60" w:rsidRDefault="00E42B60" w:rsidP="00E42B60">
            <w:pPr>
              <w:rPr>
                <w:rFonts w:eastAsia="Times New Roman"/>
                <w:color w:val="000000"/>
                <w:sz w:val="16"/>
                <w:szCs w:val="16"/>
                <w:lang w:val="sq-AL" w:eastAsia="sq-AL"/>
              </w:rPr>
            </w:pPr>
            <w:r w:rsidRPr="00E42B60">
              <w:rPr>
                <w:rFonts w:eastAsia="Times New Roman"/>
                <w:color w:val="000000"/>
                <w:sz w:val="16"/>
                <w:szCs w:val="16"/>
                <w:lang w:eastAsia="sq-AL"/>
              </w:rPr>
              <w:t xml:space="preserve">Akciza </w:t>
            </w:r>
          </w:p>
        </w:tc>
        <w:tc>
          <w:tcPr>
            <w:tcW w:w="902"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29,528</w:t>
            </w:r>
          </w:p>
        </w:tc>
        <w:tc>
          <w:tcPr>
            <w:tcW w:w="902"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30,979</w:t>
            </w:r>
          </w:p>
        </w:tc>
        <w:tc>
          <w:tcPr>
            <w:tcW w:w="99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31,746</w:t>
            </w:r>
          </w:p>
        </w:tc>
        <w:tc>
          <w:tcPr>
            <w:tcW w:w="99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1,451</w:t>
            </w:r>
          </w:p>
        </w:tc>
        <w:tc>
          <w:tcPr>
            <w:tcW w:w="108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4.91%</w:t>
            </w:r>
          </w:p>
        </w:tc>
        <w:tc>
          <w:tcPr>
            <w:tcW w:w="108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-767</w:t>
            </w:r>
          </w:p>
        </w:tc>
        <w:tc>
          <w:tcPr>
            <w:tcW w:w="99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-2.42%</w:t>
            </w:r>
          </w:p>
        </w:tc>
      </w:tr>
      <w:tr w:rsidR="00E42B60" w:rsidRPr="00E42B60" w:rsidTr="00DF6420">
        <w:trPr>
          <w:trHeight w:val="185"/>
        </w:trPr>
        <w:tc>
          <w:tcPr>
            <w:tcW w:w="2888" w:type="dxa"/>
            <w:noWrap/>
            <w:vAlign w:val="center"/>
            <w:hideMark/>
          </w:tcPr>
          <w:p w:rsidR="00E42B60" w:rsidRPr="00E42B60" w:rsidRDefault="00E42B60" w:rsidP="00E42B60">
            <w:pPr>
              <w:rPr>
                <w:rFonts w:eastAsia="Times New Roman"/>
                <w:color w:val="000000"/>
                <w:sz w:val="16"/>
                <w:szCs w:val="16"/>
                <w:lang w:val="sq-AL" w:eastAsia="sq-AL"/>
              </w:rPr>
            </w:pPr>
            <w:r w:rsidRPr="00E42B60">
              <w:rPr>
                <w:rFonts w:eastAsia="Times New Roman"/>
                <w:color w:val="000000"/>
                <w:sz w:val="16"/>
                <w:szCs w:val="16"/>
                <w:lang w:val="it-IT" w:eastAsia="sq-AL"/>
              </w:rPr>
              <w:t>Tatimi mbi të ardhurat personale</w:t>
            </w:r>
          </w:p>
        </w:tc>
        <w:tc>
          <w:tcPr>
            <w:tcW w:w="902" w:type="dxa"/>
            <w:noWrap/>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21,967</w:t>
            </w:r>
          </w:p>
        </w:tc>
        <w:tc>
          <w:tcPr>
            <w:tcW w:w="902"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24,407</w:t>
            </w:r>
          </w:p>
        </w:tc>
        <w:tc>
          <w:tcPr>
            <w:tcW w:w="99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24,030</w:t>
            </w:r>
          </w:p>
        </w:tc>
        <w:tc>
          <w:tcPr>
            <w:tcW w:w="993" w:type="dxa"/>
            <w:noWrap/>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2,440</w:t>
            </w:r>
          </w:p>
        </w:tc>
        <w:tc>
          <w:tcPr>
            <w:tcW w:w="1083" w:type="dxa"/>
            <w:noWrap/>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11.11%</w:t>
            </w:r>
          </w:p>
        </w:tc>
        <w:tc>
          <w:tcPr>
            <w:tcW w:w="1083" w:type="dxa"/>
            <w:noWrap/>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377</w:t>
            </w:r>
          </w:p>
        </w:tc>
        <w:tc>
          <w:tcPr>
            <w:tcW w:w="993" w:type="dxa"/>
            <w:noWrap/>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1.57%</w:t>
            </w:r>
          </w:p>
        </w:tc>
      </w:tr>
      <w:tr w:rsidR="00E42B60" w:rsidRPr="00E42B60" w:rsidTr="00DF6420">
        <w:trPr>
          <w:trHeight w:val="185"/>
        </w:trPr>
        <w:tc>
          <w:tcPr>
            <w:tcW w:w="2888" w:type="dxa"/>
            <w:vAlign w:val="center"/>
            <w:hideMark/>
          </w:tcPr>
          <w:p w:rsidR="00E42B60" w:rsidRPr="00E42B60" w:rsidRDefault="00E42B60" w:rsidP="00E42B60">
            <w:pPr>
              <w:rPr>
                <w:rFonts w:eastAsia="Times New Roman"/>
                <w:color w:val="000000"/>
                <w:sz w:val="16"/>
                <w:szCs w:val="16"/>
                <w:lang w:val="sq-AL" w:eastAsia="sq-AL"/>
              </w:rPr>
            </w:pPr>
            <w:r w:rsidRPr="00E42B60">
              <w:rPr>
                <w:rFonts w:eastAsia="Times New Roman"/>
                <w:color w:val="000000"/>
                <w:sz w:val="16"/>
                <w:szCs w:val="16"/>
                <w:lang w:eastAsia="sq-AL"/>
              </w:rPr>
              <w:t>Taksat nacionale</w:t>
            </w:r>
          </w:p>
        </w:tc>
        <w:tc>
          <w:tcPr>
            <w:tcW w:w="902"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21,721</w:t>
            </w:r>
          </w:p>
        </w:tc>
        <w:tc>
          <w:tcPr>
            <w:tcW w:w="902"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24,125</w:t>
            </w:r>
          </w:p>
        </w:tc>
        <w:tc>
          <w:tcPr>
            <w:tcW w:w="99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24,625</w:t>
            </w:r>
          </w:p>
        </w:tc>
        <w:tc>
          <w:tcPr>
            <w:tcW w:w="99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2,404</w:t>
            </w:r>
          </w:p>
        </w:tc>
        <w:tc>
          <w:tcPr>
            <w:tcW w:w="108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11.07%</w:t>
            </w:r>
          </w:p>
        </w:tc>
        <w:tc>
          <w:tcPr>
            <w:tcW w:w="108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-500</w:t>
            </w:r>
          </w:p>
        </w:tc>
        <w:tc>
          <w:tcPr>
            <w:tcW w:w="99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-2.03%</w:t>
            </w:r>
          </w:p>
        </w:tc>
      </w:tr>
      <w:tr w:rsidR="00E42B60" w:rsidRPr="00E42B60" w:rsidTr="00DF6420">
        <w:trPr>
          <w:trHeight w:val="185"/>
        </w:trPr>
        <w:tc>
          <w:tcPr>
            <w:tcW w:w="2888" w:type="dxa"/>
            <w:vAlign w:val="center"/>
            <w:hideMark/>
          </w:tcPr>
          <w:p w:rsidR="00E42B60" w:rsidRPr="00E42B60" w:rsidRDefault="00E42B60" w:rsidP="00E42B60">
            <w:pPr>
              <w:rPr>
                <w:rFonts w:eastAsia="Times New Roman"/>
                <w:color w:val="000000"/>
                <w:sz w:val="16"/>
                <w:szCs w:val="16"/>
                <w:lang w:val="sq-AL" w:eastAsia="sq-AL"/>
              </w:rPr>
            </w:pPr>
            <w:r w:rsidRPr="00E42B60">
              <w:rPr>
                <w:rFonts w:eastAsia="Times New Roman"/>
                <w:color w:val="000000"/>
                <w:sz w:val="16"/>
                <w:szCs w:val="16"/>
                <w:lang w:eastAsia="sq-AL"/>
              </w:rPr>
              <w:t>Renta</w:t>
            </w:r>
          </w:p>
        </w:tc>
        <w:tc>
          <w:tcPr>
            <w:tcW w:w="902"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3,042</w:t>
            </w:r>
          </w:p>
        </w:tc>
        <w:tc>
          <w:tcPr>
            <w:tcW w:w="902"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2,014</w:t>
            </w:r>
          </w:p>
        </w:tc>
        <w:tc>
          <w:tcPr>
            <w:tcW w:w="99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3,045</w:t>
            </w:r>
          </w:p>
        </w:tc>
        <w:tc>
          <w:tcPr>
            <w:tcW w:w="99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-1,028</w:t>
            </w:r>
          </w:p>
        </w:tc>
        <w:tc>
          <w:tcPr>
            <w:tcW w:w="108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-33.79%</w:t>
            </w:r>
          </w:p>
        </w:tc>
        <w:tc>
          <w:tcPr>
            <w:tcW w:w="108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-1,031</w:t>
            </w:r>
          </w:p>
        </w:tc>
        <w:tc>
          <w:tcPr>
            <w:tcW w:w="99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-33.86%</w:t>
            </w:r>
          </w:p>
        </w:tc>
      </w:tr>
      <w:tr w:rsidR="00E42B60" w:rsidRPr="00E42B60" w:rsidTr="00DF6420">
        <w:trPr>
          <w:trHeight w:val="185"/>
        </w:trPr>
        <w:tc>
          <w:tcPr>
            <w:tcW w:w="2888" w:type="dxa"/>
            <w:vAlign w:val="center"/>
            <w:hideMark/>
          </w:tcPr>
          <w:p w:rsidR="00E42B60" w:rsidRPr="00E42B60" w:rsidRDefault="00E42B60" w:rsidP="00E42B60">
            <w:pPr>
              <w:rPr>
                <w:rFonts w:eastAsia="Times New Roman"/>
                <w:color w:val="000000"/>
                <w:sz w:val="16"/>
                <w:szCs w:val="16"/>
                <w:lang w:val="sq-AL" w:eastAsia="sq-AL"/>
              </w:rPr>
            </w:pPr>
            <w:r w:rsidRPr="00E42B60">
              <w:rPr>
                <w:rFonts w:eastAsia="Times New Roman"/>
                <w:color w:val="000000"/>
                <w:sz w:val="16"/>
                <w:szCs w:val="16"/>
                <w:lang w:eastAsia="sq-AL"/>
              </w:rPr>
              <w:t>Taksë doganore</w:t>
            </w:r>
          </w:p>
        </w:tc>
        <w:tc>
          <w:tcPr>
            <w:tcW w:w="902"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4,197</w:t>
            </w:r>
          </w:p>
        </w:tc>
        <w:tc>
          <w:tcPr>
            <w:tcW w:w="902"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4,437</w:t>
            </w:r>
          </w:p>
        </w:tc>
        <w:tc>
          <w:tcPr>
            <w:tcW w:w="99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4,408</w:t>
            </w:r>
          </w:p>
        </w:tc>
        <w:tc>
          <w:tcPr>
            <w:tcW w:w="99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240</w:t>
            </w:r>
          </w:p>
        </w:tc>
        <w:tc>
          <w:tcPr>
            <w:tcW w:w="108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5.72%</w:t>
            </w:r>
          </w:p>
        </w:tc>
        <w:tc>
          <w:tcPr>
            <w:tcW w:w="108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29</w:t>
            </w:r>
          </w:p>
        </w:tc>
        <w:tc>
          <w:tcPr>
            <w:tcW w:w="993" w:type="dxa"/>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0.66%</w:t>
            </w:r>
          </w:p>
        </w:tc>
      </w:tr>
      <w:tr w:rsidR="00E42B60" w:rsidRPr="00E42B60" w:rsidTr="00DF6420">
        <w:trPr>
          <w:trHeight w:val="185"/>
        </w:trPr>
        <w:tc>
          <w:tcPr>
            <w:tcW w:w="2888" w:type="dxa"/>
            <w:vAlign w:val="center"/>
            <w:hideMark/>
          </w:tcPr>
          <w:p w:rsidR="00E42B60" w:rsidRPr="00E42B60" w:rsidRDefault="00E42B60" w:rsidP="00E42B60">
            <w:pPr>
              <w:rPr>
                <w:rFonts w:eastAsia="Times New Roman"/>
                <w:b/>
                <w:bCs/>
                <w:sz w:val="16"/>
                <w:szCs w:val="16"/>
                <w:lang w:val="sq-AL" w:eastAsia="sq-AL"/>
              </w:rPr>
            </w:pPr>
            <w:r w:rsidRPr="00E42B60">
              <w:rPr>
                <w:rFonts w:eastAsia="Times New Roman"/>
                <w:b/>
                <w:bCs/>
                <w:sz w:val="16"/>
                <w:szCs w:val="16"/>
                <w:lang w:eastAsia="sq-AL"/>
              </w:rPr>
              <w:t>Totali</w:t>
            </w:r>
          </w:p>
        </w:tc>
        <w:tc>
          <w:tcPr>
            <w:tcW w:w="902" w:type="dxa"/>
            <w:noWrap/>
            <w:vAlign w:val="center"/>
            <w:hideMark/>
          </w:tcPr>
          <w:p w:rsidR="00E42B60" w:rsidRPr="00E42B60" w:rsidRDefault="00E42B60" w:rsidP="00E42B60">
            <w:pPr>
              <w:jc w:val="right"/>
              <w:rPr>
                <w:rFonts w:eastAsia="Times New Roman"/>
                <w:b/>
                <w:bCs/>
                <w:sz w:val="16"/>
                <w:szCs w:val="16"/>
                <w:lang w:val="sq-AL" w:eastAsia="sq-AL"/>
              </w:rPr>
            </w:pPr>
            <w:r w:rsidRPr="00E42B60">
              <w:rPr>
                <w:rFonts w:eastAsia="Times New Roman"/>
                <w:b/>
                <w:bCs/>
                <w:sz w:val="16"/>
                <w:szCs w:val="16"/>
                <w:lang w:eastAsia="sq-AL"/>
              </w:rPr>
              <w:t>189,502</w:t>
            </w:r>
          </w:p>
        </w:tc>
        <w:tc>
          <w:tcPr>
            <w:tcW w:w="902" w:type="dxa"/>
            <w:noWrap/>
            <w:vAlign w:val="center"/>
            <w:hideMark/>
          </w:tcPr>
          <w:p w:rsidR="00E42B60" w:rsidRPr="00E42B60" w:rsidRDefault="00E42B60" w:rsidP="00E42B60">
            <w:pPr>
              <w:jc w:val="right"/>
              <w:rPr>
                <w:rFonts w:eastAsia="Times New Roman"/>
                <w:b/>
                <w:bCs/>
                <w:sz w:val="16"/>
                <w:szCs w:val="16"/>
                <w:lang w:val="sq-AL" w:eastAsia="sq-AL"/>
              </w:rPr>
            </w:pPr>
            <w:r w:rsidRPr="00E42B60">
              <w:rPr>
                <w:rFonts w:eastAsia="Times New Roman"/>
                <w:b/>
                <w:bCs/>
                <w:sz w:val="16"/>
                <w:szCs w:val="16"/>
                <w:lang w:eastAsia="sq-AL"/>
              </w:rPr>
              <w:t>203,977</w:t>
            </w:r>
          </w:p>
        </w:tc>
        <w:tc>
          <w:tcPr>
            <w:tcW w:w="993" w:type="dxa"/>
            <w:noWrap/>
            <w:vAlign w:val="center"/>
            <w:hideMark/>
          </w:tcPr>
          <w:p w:rsidR="00E42B60" w:rsidRPr="00E42B60" w:rsidRDefault="00E42B60" w:rsidP="00E42B60">
            <w:pPr>
              <w:jc w:val="right"/>
              <w:rPr>
                <w:rFonts w:eastAsia="Times New Roman"/>
                <w:b/>
                <w:bCs/>
                <w:sz w:val="16"/>
                <w:szCs w:val="16"/>
                <w:lang w:val="sq-AL" w:eastAsia="sq-AL"/>
              </w:rPr>
            </w:pPr>
            <w:r w:rsidRPr="00E42B60">
              <w:rPr>
                <w:rFonts w:eastAsia="Times New Roman"/>
                <w:b/>
                <w:bCs/>
                <w:sz w:val="16"/>
                <w:szCs w:val="16"/>
                <w:lang w:eastAsia="sq-AL"/>
              </w:rPr>
              <w:t>206,156</w:t>
            </w:r>
          </w:p>
        </w:tc>
        <w:tc>
          <w:tcPr>
            <w:tcW w:w="993" w:type="dxa"/>
            <w:noWrap/>
            <w:vAlign w:val="center"/>
            <w:hideMark/>
          </w:tcPr>
          <w:p w:rsidR="00E42B60" w:rsidRPr="00E42B60" w:rsidRDefault="00E42B60" w:rsidP="00E42B60">
            <w:pPr>
              <w:jc w:val="right"/>
              <w:rPr>
                <w:rFonts w:eastAsia="Times New Roman"/>
                <w:b/>
                <w:bCs/>
                <w:sz w:val="16"/>
                <w:szCs w:val="16"/>
                <w:lang w:val="sq-AL" w:eastAsia="sq-AL"/>
              </w:rPr>
            </w:pPr>
            <w:r w:rsidRPr="00E42B60">
              <w:rPr>
                <w:rFonts w:eastAsia="Times New Roman"/>
                <w:b/>
                <w:bCs/>
                <w:sz w:val="16"/>
                <w:szCs w:val="16"/>
                <w:lang w:eastAsia="sq-AL"/>
              </w:rPr>
              <w:t>14,475</w:t>
            </w:r>
          </w:p>
        </w:tc>
        <w:tc>
          <w:tcPr>
            <w:tcW w:w="1083" w:type="dxa"/>
            <w:noWrap/>
            <w:vAlign w:val="center"/>
            <w:hideMark/>
          </w:tcPr>
          <w:p w:rsidR="00E42B60" w:rsidRPr="00E42B60" w:rsidRDefault="00E42B60" w:rsidP="00E42B60">
            <w:pPr>
              <w:jc w:val="right"/>
              <w:rPr>
                <w:rFonts w:eastAsia="Times New Roman"/>
                <w:b/>
                <w:bCs/>
                <w:sz w:val="16"/>
                <w:szCs w:val="16"/>
                <w:lang w:val="sq-AL" w:eastAsia="sq-AL"/>
              </w:rPr>
            </w:pPr>
            <w:r w:rsidRPr="00E42B60">
              <w:rPr>
                <w:rFonts w:eastAsia="Times New Roman"/>
                <w:b/>
                <w:bCs/>
                <w:sz w:val="16"/>
                <w:szCs w:val="16"/>
                <w:lang w:eastAsia="sq-AL"/>
              </w:rPr>
              <w:t>7.64%</w:t>
            </w:r>
          </w:p>
        </w:tc>
        <w:tc>
          <w:tcPr>
            <w:tcW w:w="1083" w:type="dxa"/>
            <w:noWrap/>
            <w:vAlign w:val="center"/>
            <w:hideMark/>
          </w:tcPr>
          <w:p w:rsidR="00E42B60" w:rsidRPr="00E42B60" w:rsidRDefault="00E42B60" w:rsidP="00E42B60">
            <w:pPr>
              <w:jc w:val="right"/>
              <w:rPr>
                <w:rFonts w:eastAsia="Times New Roman"/>
                <w:b/>
                <w:bCs/>
                <w:sz w:val="16"/>
                <w:szCs w:val="16"/>
                <w:lang w:val="sq-AL" w:eastAsia="sq-AL"/>
              </w:rPr>
            </w:pPr>
            <w:r w:rsidRPr="00E42B60">
              <w:rPr>
                <w:rFonts w:eastAsia="Times New Roman"/>
                <w:b/>
                <w:bCs/>
                <w:sz w:val="16"/>
                <w:szCs w:val="16"/>
                <w:lang w:eastAsia="sq-AL"/>
              </w:rPr>
              <w:t>-2,179</w:t>
            </w:r>
          </w:p>
        </w:tc>
        <w:tc>
          <w:tcPr>
            <w:tcW w:w="993" w:type="dxa"/>
            <w:noWrap/>
            <w:vAlign w:val="center"/>
            <w:hideMark/>
          </w:tcPr>
          <w:p w:rsidR="00E42B60" w:rsidRPr="00E42B60" w:rsidRDefault="00E42B60" w:rsidP="00E42B60">
            <w:pPr>
              <w:jc w:val="right"/>
              <w:rPr>
                <w:rFonts w:eastAsia="Times New Roman"/>
                <w:b/>
                <w:bCs/>
                <w:sz w:val="16"/>
                <w:szCs w:val="16"/>
                <w:lang w:val="sq-AL" w:eastAsia="sq-AL"/>
              </w:rPr>
            </w:pPr>
            <w:r w:rsidRPr="00E42B60">
              <w:rPr>
                <w:rFonts w:eastAsia="Times New Roman"/>
                <w:b/>
                <w:bCs/>
                <w:sz w:val="16"/>
                <w:szCs w:val="16"/>
                <w:lang w:eastAsia="sq-AL"/>
              </w:rPr>
              <w:t>-1.06%</w:t>
            </w:r>
          </w:p>
        </w:tc>
      </w:tr>
      <w:tr w:rsidR="00E42B60" w:rsidRPr="00E42B60" w:rsidTr="00DF6420">
        <w:trPr>
          <w:trHeight w:val="280"/>
        </w:trPr>
        <w:tc>
          <w:tcPr>
            <w:tcW w:w="2888" w:type="dxa"/>
            <w:vAlign w:val="center"/>
            <w:hideMark/>
          </w:tcPr>
          <w:p w:rsidR="00E42B60" w:rsidRPr="00E42B60" w:rsidRDefault="00E42B60" w:rsidP="00E42B60">
            <w:pPr>
              <w:rPr>
                <w:rFonts w:eastAsia="Times New Roman"/>
                <w:bCs/>
                <w:i/>
                <w:iCs/>
                <w:sz w:val="16"/>
                <w:szCs w:val="16"/>
                <w:lang w:val="sq-AL" w:eastAsia="sq-AL"/>
              </w:rPr>
            </w:pPr>
            <w:r w:rsidRPr="00E42B60">
              <w:rPr>
                <w:rFonts w:eastAsia="Times New Roman"/>
                <w:bCs/>
                <w:i/>
                <w:iCs/>
                <w:sz w:val="16"/>
                <w:szCs w:val="16"/>
                <w:lang w:eastAsia="sq-AL"/>
              </w:rPr>
              <w:t>Kontributet e mbledhura (DPT)</w:t>
            </w:r>
          </w:p>
        </w:tc>
        <w:tc>
          <w:tcPr>
            <w:tcW w:w="902" w:type="dxa"/>
            <w:vAlign w:val="center"/>
            <w:hideMark/>
          </w:tcPr>
          <w:p w:rsidR="00E42B60" w:rsidRPr="00E42B60" w:rsidRDefault="00E42B60" w:rsidP="00E42B60">
            <w:pPr>
              <w:jc w:val="right"/>
              <w:rPr>
                <w:rFonts w:eastAsia="Times New Roman"/>
                <w:bCs/>
                <w:i/>
                <w:iCs/>
                <w:sz w:val="16"/>
                <w:szCs w:val="16"/>
                <w:lang w:val="sq-AL" w:eastAsia="sq-AL"/>
              </w:rPr>
            </w:pPr>
            <w:r w:rsidRPr="00E42B60">
              <w:rPr>
                <w:rFonts w:eastAsia="Times New Roman"/>
                <w:bCs/>
                <w:i/>
                <w:iCs/>
                <w:sz w:val="16"/>
                <w:szCs w:val="16"/>
                <w:lang w:eastAsia="sq-AL"/>
              </w:rPr>
              <w:t>49,124</w:t>
            </w:r>
          </w:p>
        </w:tc>
        <w:tc>
          <w:tcPr>
            <w:tcW w:w="902" w:type="dxa"/>
            <w:vAlign w:val="center"/>
            <w:hideMark/>
          </w:tcPr>
          <w:p w:rsidR="00E42B60" w:rsidRPr="00E42B60" w:rsidRDefault="00E42B60" w:rsidP="00E42B60">
            <w:pPr>
              <w:jc w:val="right"/>
              <w:rPr>
                <w:rFonts w:eastAsia="Times New Roman"/>
                <w:bCs/>
                <w:i/>
                <w:iCs/>
                <w:sz w:val="16"/>
                <w:szCs w:val="16"/>
                <w:lang w:val="sq-AL" w:eastAsia="sq-AL"/>
              </w:rPr>
            </w:pPr>
            <w:r w:rsidRPr="00E42B60">
              <w:rPr>
                <w:rFonts w:eastAsia="Times New Roman"/>
                <w:bCs/>
                <w:i/>
                <w:iCs/>
                <w:sz w:val="16"/>
                <w:szCs w:val="16"/>
                <w:lang w:eastAsia="sq-AL"/>
              </w:rPr>
              <w:t>55,562</w:t>
            </w:r>
          </w:p>
        </w:tc>
        <w:tc>
          <w:tcPr>
            <w:tcW w:w="993" w:type="dxa"/>
            <w:vAlign w:val="center"/>
            <w:hideMark/>
          </w:tcPr>
          <w:p w:rsidR="00E42B60" w:rsidRPr="00E42B60" w:rsidRDefault="00E42B60" w:rsidP="00E42B60">
            <w:pPr>
              <w:jc w:val="right"/>
              <w:rPr>
                <w:rFonts w:eastAsia="Times New Roman"/>
                <w:bCs/>
                <w:i/>
                <w:iCs/>
                <w:sz w:val="16"/>
                <w:szCs w:val="16"/>
                <w:lang w:val="sq-AL" w:eastAsia="sq-AL"/>
              </w:rPr>
            </w:pPr>
            <w:r w:rsidRPr="00E42B60">
              <w:rPr>
                <w:rFonts w:eastAsia="Times New Roman"/>
                <w:bCs/>
                <w:i/>
                <w:iCs/>
                <w:sz w:val="16"/>
                <w:szCs w:val="16"/>
                <w:lang w:eastAsia="sq-AL"/>
              </w:rPr>
              <w:t>54,780</w:t>
            </w:r>
          </w:p>
        </w:tc>
        <w:tc>
          <w:tcPr>
            <w:tcW w:w="993" w:type="dxa"/>
            <w:vAlign w:val="center"/>
            <w:hideMark/>
          </w:tcPr>
          <w:p w:rsidR="00E42B60" w:rsidRPr="00E42B60" w:rsidRDefault="00E42B60" w:rsidP="00E42B60">
            <w:pPr>
              <w:jc w:val="right"/>
              <w:rPr>
                <w:rFonts w:eastAsia="Times New Roman"/>
                <w:bCs/>
                <w:i/>
                <w:iCs/>
                <w:sz w:val="16"/>
                <w:szCs w:val="16"/>
                <w:lang w:val="sq-AL" w:eastAsia="sq-AL"/>
              </w:rPr>
            </w:pPr>
            <w:r w:rsidRPr="00E42B60">
              <w:rPr>
                <w:rFonts w:eastAsia="Times New Roman"/>
                <w:bCs/>
                <w:i/>
                <w:iCs/>
                <w:sz w:val="16"/>
                <w:szCs w:val="16"/>
                <w:lang w:eastAsia="sq-AL"/>
              </w:rPr>
              <w:t>6,438</w:t>
            </w:r>
          </w:p>
        </w:tc>
        <w:tc>
          <w:tcPr>
            <w:tcW w:w="1083" w:type="dxa"/>
            <w:vAlign w:val="center"/>
            <w:hideMark/>
          </w:tcPr>
          <w:p w:rsidR="00E42B60" w:rsidRPr="00E42B60" w:rsidRDefault="00E42B60" w:rsidP="00E42B60">
            <w:pPr>
              <w:jc w:val="right"/>
              <w:rPr>
                <w:rFonts w:eastAsia="Times New Roman"/>
                <w:bCs/>
                <w:i/>
                <w:iCs/>
                <w:sz w:val="16"/>
                <w:szCs w:val="16"/>
                <w:lang w:val="sq-AL" w:eastAsia="sq-AL"/>
              </w:rPr>
            </w:pPr>
            <w:r w:rsidRPr="00E42B60">
              <w:rPr>
                <w:rFonts w:eastAsia="Times New Roman"/>
                <w:bCs/>
                <w:i/>
                <w:iCs/>
                <w:sz w:val="16"/>
                <w:szCs w:val="16"/>
                <w:lang w:eastAsia="sq-AL"/>
              </w:rPr>
              <w:t>13.11%</w:t>
            </w:r>
          </w:p>
        </w:tc>
        <w:tc>
          <w:tcPr>
            <w:tcW w:w="1083" w:type="dxa"/>
            <w:vAlign w:val="center"/>
            <w:hideMark/>
          </w:tcPr>
          <w:p w:rsidR="00E42B60" w:rsidRPr="00E42B60" w:rsidRDefault="00E42B60" w:rsidP="00E42B60">
            <w:pPr>
              <w:jc w:val="right"/>
              <w:rPr>
                <w:rFonts w:eastAsia="Times New Roman"/>
                <w:bCs/>
                <w:i/>
                <w:iCs/>
                <w:sz w:val="16"/>
                <w:szCs w:val="16"/>
                <w:lang w:val="sq-AL" w:eastAsia="sq-AL"/>
              </w:rPr>
            </w:pPr>
            <w:r w:rsidRPr="00E42B60">
              <w:rPr>
                <w:rFonts w:eastAsia="Times New Roman"/>
                <w:bCs/>
                <w:i/>
                <w:iCs/>
                <w:sz w:val="16"/>
                <w:szCs w:val="16"/>
                <w:lang w:eastAsia="sq-AL"/>
              </w:rPr>
              <w:t>782</w:t>
            </w:r>
          </w:p>
        </w:tc>
        <w:tc>
          <w:tcPr>
            <w:tcW w:w="993" w:type="dxa"/>
            <w:vAlign w:val="center"/>
            <w:hideMark/>
          </w:tcPr>
          <w:p w:rsidR="00E42B60" w:rsidRPr="00E42B60" w:rsidRDefault="00E42B60" w:rsidP="00E42B60">
            <w:pPr>
              <w:jc w:val="right"/>
              <w:rPr>
                <w:rFonts w:eastAsia="Times New Roman"/>
                <w:bCs/>
                <w:i/>
                <w:iCs/>
                <w:sz w:val="16"/>
                <w:szCs w:val="16"/>
                <w:lang w:val="sq-AL" w:eastAsia="sq-AL"/>
              </w:rPr>
            </w:pPr>
            <w:r w:rsidRPr="00E42B60">
              <w:rPr>
                <w:rFonts w:eastAsia="Times New Roman"/>
                <w:bCs/>
                <w:i/>
                <w:iCs/>
                <w:sz w:val="16"/>
                <w:szCs w:val="16"/>
                <w:lang w:eastAsia="sq-AL"/>
              </w:rPr>
              <w:t>1.43%</w:t>
            </w:r>
          </w:p>
        </w:tc>
      </w:tr>
      <w:tr w:rsidR="00E42B60" w:rsidRPr="00E42B60" w:rsidTr="00DF6420">
        <w:trPr>
          <w:trHeight w:val="231"/>
        </w:trPr>
        <w:tc>
          <w:tcPr>
            <w:tcW w:w="2888" w:type="dxa"/>
            <w:tcBorders>
              <w:top w:val="single" w:sz="4" w:space="0" w:color="auto"/>
              <w:left w:val="nil"/>
              <w:bottom w:val="double" w:sz="6" w:space="0" w:color="auto"/>
              <w:right w:val="nil"/>
            </w:tcBorders>
            <w:vAlign w:val="center"/>
            <w:hideMark/>
          </w:tcPr>
          <w:p w:rsidR="00E42B60" w:rsidRPr="00E42B60" w:rsidRDefault="00E42B60" w:rsidP="00E42B60">
            <w:pPr>
              <w:rPr>
                <w:rFonts w:eastAsia="Times New Roman"/>
                <w:b/>
                <w:bCs/>
                <w:sz w:val="16"/>
                <w:szCs w:val="16"/>
                <w:lang w:val="sq-AL" w:eastAsia="sq-AL"/>
              </w:rPr>
            </w:pPr>
            <w:r w:rsidRPr="00E42B60">
              <w:rPr>
                <w:rFonts w:eastAsia="Times New Roman"/>
                <w:b/>
                <w:bCs/>
                <w:sz w:val="16"/>
                <w:szCs w:val="16"/>
                <w:lang w:eastAsia="sq-AL"/>
              </w:rPr>
              <w:t xml:space="preserve">TOTALI                                      </w:t>
            </w:r>
          </w:p>
        </w:tc>
        <w:tc>
          <w:tcPr>
            <w:tcW w:w="902" w:type="dxa"/>
            <w:tcBorders>
              <w:top w:val="single" w:sz="4" w:space="0" w:color="auto"/>
              <w:left w:val="nil"/>
              <w:bottom w:val="double" w:sz="6" w:space="0" w:color="auto"/>
              <w:right w:val="nil"/>
            </w:tcBorders>
            <w:vAlign w:val="center"/>
            <w:hideMark/>
          </w:tcPr>
          <w:p w:rsidR="00E42B60" w:rsidRPr="00E42B60" w:rsidRDefault="00E42B60" w:rsidP="00E42B60">
            <w:pPr>
              <w:jc w:val="right"/>
              <w:rPr>
                <w:rFonts w:eastAsia="Times New Roman"/>
                <w:b/>
                <w:bCs/>
                <w:sz w:val="16"/>
                <w:szCs w:val="16"/>
                <w:lang w:val="sq-AL" w:eastAsia="sq-AL"/>
              </w:rPr>
            </w:pPr>
            <w:r w:rsidRPr="00E42B60">
              <w:rPr>
                <w:rFonts w:eastAsia="Times New Roman"/>
                <w:b/>
                <w:bCs/>
                <w:sz w:val="16"/>
                <w:szCs w:val="16"/>
                <w:lang w:eastAsia="sq-AL"/>
              </w:rPr>
              <w:t>238,626</w:t>
            </w:r>
          </w:p>
        </w:tc>
        <w:tc>
          <w:tcPr>
            <w:tcW w:w="902" w:type="dxa"/>
            <w:tcBorders>
              <w:top w:val="single" w:sz="4" w:space="0" w:color="auto"/>
              <w:left w:val="nil"/>
              <w:bottom w:val="double" w:sz="6" w:space="0" w:color="auto"/>
              <w:right w:val="nil"/>
            </w:tcBorders>
            <w:vAlign w:val="center"/>
            <w:hideMark/>
          </w:tcPr>
          <w:p w:rsidR="00E42B60" w:rsidRPr="00E42B60" w:rsidRDefault="00E42B60" w:rsidP="00E42B60">
            <w:pPr>
              <w:jc w:val="right"/>
              <w:rPr>
                <w:rFonts w:eastAsia="Times New Roman"/>
                <w:b/>
                <w:bCs/>
                <w:sz w:val="16"/>
                <w:szCs w:val="16"/>
                <w:lang w:val="sq-AL" w:eastAsia="sq-AL"/>
              </w:rPr>
            </w:pPr>
            <w:r w:rsidRPr="00E42B60">
              <w:rPr>
                <w:rFonts w:eastAsia="Times New Roman"/>
                <w:b/>
                <w:bCs/>
                <w:sz w:val="16"/>
                <w:szCs w:val="16"/>
                <w:lang w:eastAsia="sq-AL"/>
              </w:rPr>
              <w:t>259,539</w:t>
            </w:r>
          </w:p>
        </w:tc>
        <w:tc>
          <w:tcPr>
            <w:tcW w:w="993" w:type="dxa"/>
            <w:tcBorders>
              <w:top w:val="single" w:sz="4" w:space="0" w:color="auto"/>
              <w:left w:val="nil"/>
              <w:bottom w:val="double" w:sz="6" w:space="0" w:color="auto"/>
              <w:right w:val="nil"/>
            </w:tcBorders>
            <w:vAlign w:val="center"/>
            <w:hideMark/>
          </w:tcPr>
          <w:p w:rsidR="00E42B60" w:rsidRPr="00E42B60" w:rsidRDefault="00E42B60" w:rsidP="00E42B60">
            <w:pPr>
              <w:jc w:val="right"/>
              <w:rPr>
                <w:rFonts w:eastAsia="Times New Roman"/>
                <w:b/>
                <w:bCs/>
                <w:sz w:val="16"/>
                <w:szCs w:val="16"/>
                <w:lang w:val="sq-AL" w:eastAsia="sq-AL"/>
              </w:rPr>
            </w:pPr>
            <w:r w:rsidRPr="00E42B60">
              <w:rPr>
                <w:rFonts w:eastAsia="Times New Roman"/>
                <w:b/>
                <w:bCs/>
                <w:sz w:val="16"/>
                <w:szCs w:val="16"/>
                <w:lang w:eastAsia="sq-AL"/>
              </w:rPr>
              <w:t>260,936</w:t>
            </w:r>
          </w:p>
        </w:tc>
        <w:tc>
          <w:tcPr>
            <w:tcW w:w="993" w:type="dxa"/>
            <w:tcBorders>
              <w:top w:val="single" w:sz="4" w:space="0" w:color="auto"/>
              <w:left w:val="nil"/>
              <w:bottom w:val="double" w:sz="6" w:space="0" w:color="auto"/>
              <w:right w:val="nil"/>
            </w:tcBorders>
            <w:vAlign w:val="center"/>
            <w:hideMark/>
          </w:tcPr>
          <w:p w:rsidR="00E42B60" w:rsidRPr="00E42B60" w:rsidRDefault="00E42B60" w:rsidP="00E42B60">
            <w:pPr>
              <w:jc w:val="right"/>
              <w:rPr>
                <w:rFonts w:eastAsia="Times New Roman"/>
                <w:b/>
                <w:bCs/>
                <w:sz w:val="16"/>
                <w:szCs w:val="16"/>
                <w:lang w:val="sq-AL" w:eastAsia="sq-AL"/>
              </w:rPr>
            </w:pPr>
            <w:r w:rsidRPr="00E42B60">
              <w:rPr>
                <w:rFonts w:eastAsia="Times New Roman"/>
                <w:b/>
                <w:bCs/>
                <w:sz w:val="16"/>
                <w:szCs w:val="16"/>
                <w:lang w:eastAsia="sq-AL"/>
              </w:rPr>
              <w:t>20,913</w:t>
            </w:r>
          </w:p>
        </w:tc>
        <w:tc>
          <w:tcPr>
            <w:tcW w:w="1083" w:type="dxa"/>
            <w:tcBorders>
              <w:top w:val="single" w:sz="4" w:space="0" w:color="auto"/>
              <w:left w:val="nil"/>
              <w:bottom w:val="double" w:sz="6" w:space="0" w:color="auto"/>
              <w:right w:val="nil"/>
            </w:tcBorders>
            <w:vAlign w:val="center"/>
            <w:hideMark/>
          </w:tcPr>
          <w:p w:rsidR="00E42B60" w:rsidRPr="00E42B60" w:rsidRDefault="00E42B60" w:rsidP="00E42B60">
            <w:pPr>
              <w:jc w:val="right"/>
              <w:rPr>
                <w:rFonts w:eastAsia="Times New Roman"/>
                <w:b/>
                <w:bCs/>
                <w:sz w:val="16"/>
                <w:szCs w:val="16"/>
                <w:lang w:val="sq-AL" w:eastAsia="sq-AL"/>
              </w:rPr>
            </w:pPr>
            <w:r w:rsidRPr="00E42B60">
              <w:rPr>
                <w:rFonts w:eastAsia="Times New Roman"/>
                <w:b/>
                <w:bCs/>
                <w:sz w:val="16"/>
                <w:szCs w:val="16"/>
                <w:lang w:eastAsia="sq-AL"/>
              </w:rPr>
              <w:t>8.76%</w:t>
            </w:r>
          </w:p>
        </w:tc>
        <w:tc>
          <w:tcPr>
            <w:tcW w:w="1083" w:type="dxa"/>
            <w:tcBorders>
              <w:top w:val="single" w:sz="4" w:space="0" w:color="auto"/>
              <w:left w:val="nil"/>
              <w:bottom w:val="double" w:sz="6" w:space="0" w:color="auto"/>
              <w:right w:val="nil"/>
            </w:tcBorders>
            <w:vAlign w:val="center"/>
            <w:hideMark/>
          </w:tcPr>
          <w:p w:rsidR="00E42B60" w:rsidRPr="00E42B60" w:rsidRDefault="00E42B60" w:rsidP="00E42B60">
            <w:pPr>
              <w:jc w:val="right"/>
              <w:rPr>
                <w:rFonts w:eastAsia="Times New Roman"/>
                <w:b/>
                <w:bCs/>
                <w:sz w:val="16"/>
                <w:szCs w:val="16"/>
                <w:lang w:val="sq-AL" w:eastAsia="sq-AL"/>
              </w:rPr>
            </w:pPr>
            <w:r w:rsidRPr="00E42B60">
              <w:rPr>
                <w:rFonts w:eastAsia="Times New Roman"/>
                <w:b/>
                <w:bCs/>
                <w:sz w:val="16"/>
                <w:szCs w:val="16"/>
                <w:lang w:eastAsia="sq-AL"/>
              </w:rPr>
              <w:t>-1,397</w:t>
            </w:r>
          </w:p>
        </w:tc>
        <w:tc>
          <w:tcPr>
            <w:tcW w:w="993" w:type="dxa"/>
            <w:tcBorders>
              <w:top w:val="single" w:sz="4" w:space="0" w:color="auto"/>
              <w:left w:val="nil"/>
              <w:bottom w:val="double" w:sz="6" w:space="0" w:color="auto"/>
              <w:right w:val="nil"/>
            </w:tcBorders>
            <w:vAlign w:val="center"/>
            <w:hideMark/>
          </w:tcPr>
          <w:p w:rsidR="00E42B60" w:rsidRPr="00E42B60" w:rsidRDefault="00E42B60" w:rsidP="00E42B60">
            <w:pPr>
              <w:jc w:val="right"/>
              <w:rPr>
                <w:rFonts w:eastAsia="Times New Roman"/>
                <w:b/>
                <w:bCs/>
                <w:sz w:val="16"/>
                <w:szCs w:val="16"/>
                <w:lang w:val="sq-AL" w:eastAsia="sq-AL"/>
              </w:rPr>
            </w:pPr>
            <w:r w:rsidRPr="00E42B60">
              <w:rPr>
                <w:rFonts w:eastAsia="Times New Roman"/>
                <w:b/>
                <w:bCs/>
                <w:sz w:val="16"/>
                <w:szCs w:val="16"/>
                <w:lang w:eastAsia="sq-AL"/>
              </w:rPr>
              <w:t>-0.54%</w:t>
            </w:r>
          </w:p>
        </w:tc>
      </w:tr>
    </w:tbl>
    <w:p w:rsidR="00E42B60" w:rsidRPr="00E42B60" w:rsidRDefault="00E42B60" w:rsidP="00E42B60">
      <w:pPr>
        <w:rPr>
          <w:sz w:val="16"/>
          <w:szCs w:val="16"/>
          <w:lang w:val="sq-AL"/>
        </w:rPr>
      </w:pPr>
      <w:r w:rsidRPr="00E42B60">
        <w:rPr>
          <w:b/>
          <w:sz w:val="20"/>
          <w:szCs w:val="20"/>
          <w:lang w:val="sq-AL"/>
        </w:rPr>
        <w:t xml:space="preserve"> </w:t>
      </w:r>
      <w:r w:rsidRPr="00E42B60">
        <w:rPr>
          <w:b/>
          <w:sz w:val="16"/>
          <w:szCs w:val="16"/>
          <w:lang w:val="sq-AL"/>
        </w:rPr>
        <w:t>Burimi:</w:t>
      </w:r>
      <w:r w:rsidRPr="00E42B60">
        <w:rPr>
          <w:b/>
          <w:i/>
          <w:sz w:val="16"/>
          <w:szCs w:val="16"/>
          <w:lang w:val="sq-AL"/>
        </w:rPr>
        <w:t xml:space="preserve"> </w:t>
      </w:r>
      <w:r w:rsidRPr="00E42B60">
        <w:rPr>
          <w:i/>
          <w:sz w:val="16"/>
          <w:szCs w:val="16"/>
          <w:lang w:val="sq-AL"/>
        </w:rPr>
        <w:t>Ministria e Financave (2016)</w:t>
      </w:r>
    </w:p>
    <w:p w:rsidR="00E42B60" w:rsidRPr="00E42B60" w:rsidRDefault="00E42B60" w:rsidP="00E42B60">
      <w:pPr>
        <w:tabs>
          <w:tab w:val="left" w:pos="2511"/>
          <w:tab w:val="center" w:pos="4680"/>
        </w:tabs>
        <w:rPr>
          <w:rFonts w:eastAsia="Calibri"/>
          <w:b/>
          <w:i/>
          <w:lang w:val="sq-AL"/>
        </w:rPr>
      </w:pPr>
    </w:p>
    <w:p w:rsidR="00E42B60" w:rsidRPr="00E42B60" w:rsidRDefault="00E42B60" w:rsidP="00E42B60">
      <w:pPr>
        <w:tabs>
          <w:tab w:val="left" w:pos="2511"/>
          <w:tab w:val="center" w:pos="4680"/>
        </w:tabs>
        <w:rPr>
          <w:rFonts w:eastAsia="Calibri"/>
          <w:b/>
          <w:i/>
          <w:lang w:val="sq-AL"/>
        </w:rPr>
      </w:pPr>
    </w:p>
    <w:p w:rsidR="00E42B60" w:rsidRPr="00E42B60" w:rsidRDefault="00E42B60" w:rsidP="00E42B60">
      <w:pPr>
        <w:tabs>
          <w:tab w:val="left" w:pos="2511"/>
          <w:tab w:val="center" w:pos="4680"/>
        </w:tabs>
        <w:rPr>
          <w:rFonts w:eastAsia="Times New Roman"/>
          <w:i/>
          <w:lang w:val="sq-AL"/>
        </w:rPr>
      </w:pPr>
      <w:r w:rsidRPr="00E42B60">
        <w:rPr>
          <w:rFonts w:eastAsia="Calibri"/>
          <w:b/>
          <w:i/>
          <w:lang w:val="sq-AL"/>
        </w:rPr>
        <w:t>D</w:t>
      </w:r>
      <w:r w:rsidRPr="00E42B60">
        <w:rPr>
          <w:rFonts w:eastAsia="Times New Roman"/>
          <w:b/>
          <w:bCs/>
          <w:i/>
          <w:lang w:val="sq-AL"/>
        </w:rPr>
        <w:t>rejtoria e Përgjithshme e Doganave</w:t>
      </w:r>
    </w:p>
    <w:p w:rsidR="00E42B60" w:rsidRPr="00E42B60" w:rsidRDefault="00E42B60" w:rsidP="00E42B60">
      <w:pPr>
        <w:tabs>
          <w:tab w:val="left" w:pos="2511"/>
          <w:tab w:val="center" w:pos="4680"/>
        </w:tabs>
        <w:spacing w:before="100" w:line="276" w:lineRule="auto"/>
        <w:jc w:val="both"/>
        <w:rPr>
          <w:rFonts w:eastAsia="Times New Roman"/>
          <w:lang w:val="sq-AL"/>
        </w:rPr>
      </w:pPr>
      <w:r w:rsidRPr="00E42B60">
        <w:rPr>
          <w:rFonts w:eastAsia="Times New Roman"/>
          <w:lang w:val="sq-AL"/>
        </w:rPr>
        <w:t xml:space="preserve">Drejtoria e Përgjithshme e Doganave për 9-mujorin e vitit 2016, ka performuar në masën 96.8%, ose në vlerën -3.5 miliardë lekë. Krahasuar me të njëjtën periudhë të vitit 2015, ka një tejkalim për këtë periudhë në masën 3%, ose në vlerën 3.2 miliardë lekë. </w:t>
      </w:r>
    </w:p>
    <w:p w:rsidR="00E42B60" w:rsidRPr="00E42B60" w:rsidRDefault="00E42B60" w:rsidP="00E42B60">
      <w:pPr>
        <w:tabs>
          <w:tab w:val="left" w:pos="2511"/>
          <w:tab w:val="center" w:pos="4680"/>
        </w:tabs>
        <w:spacing w:line="360" w:lineRule="auto"/>
        <w:jc w:val="both"/>
        <w:rPr>
          <w:rFonts w:eastAsia="Times New Roman"/>
          <w:b/>
          <w:i/>
          <w:sz w:val="20"/>
          <w:szCs w:val="20"/>
          <w:lang w:val="sq-AL"/>
        </w:rPr>
      </w:pPr>
    </w:p>
    <w:p w:rsidR="00E42B60" w:rsidRPr="00E42B60" w:rsidRDefault="00E42B60" w:rsidP="00E42B60">
      <w:pPr>
        <w:tabs>
          <w:tab w:val="left" w:pos="2511"/>
          <w:tab w:val="center" w:pos="4680"/>
        </w:tabs>
        <w:spacing w:line="360" w:lineRule="auto"/>
        <w:jc w:val="both"/>
        <w:rPr>
          <w:rFonts w:eastAsia="Times New Roman"/>
          <w:i/>
          <w:sz w:val="20"/>
          <w:lang w:val="sq-AL"/>
        </w:rPr>
      </w:pPr>
      <w:r w:rsidRPr="00E42B60">
        <w:rPr>
          <w:rFonts w:eastAsia="Times New Roman"/>
          <w:b/>
          <w:i/>
          <w:sz w:val="20"/>
          <w:szCs w:val="20"/>
          <w:lang w:val="sq-AL"/>
        </w:rPr>
        <w:t xml:space="preserve">Grafiku </w:t>
      </w:r>
      <w:r w:rsidR="00596ACC">
        <w:rPr>
          <w:rFonts w:eastAsia="Times New Roman"/>
          <w:b/>
          <w:i/>
          <w:sz w:val="20"/>
          <w:szCs w:val="20"/>
          <w:lang w:val="sq-AL"/>
        </w:rPr>
        <w:t>7</w:t>
      </w:r>
      <w:r w:rsidRPr="00E42B60">
        <w:rPr>
          <w:rFonts w:eastAsia="Times New Roman"/>
          <w:i/>
          <w:sz w:val="20"/>
          <w:szCs w:val="20"/>
          <w:lang w:val="sq-AL"/>
        </w:rPr>
        <w:t xml:space="preserve"> Performanc</w:t>
      </w:r>
      <w:r w:rsidRPr="00E42B60">
        <w:rPr>
          <w:rFonts w:eastAsia="Times New Roman"/>
          <w:i/>
          <w:sz w:val="20"/>
          <w:lang w:val="sq-AL"/>
        </w:rPr>
        <w:t>a</w:t>
      </w:r>
      <w:r w:rsidRPr="00E42B60">
        <w:rPr>
          <w:rFonts w:eastAsia="Times New Roman"/>
          <w:i/>
          <w:sz w:val="20"/>
          <w:szCs w:val="20"/>
          <w:lang w:val="sq-AL"/>
        </w:rPr>
        <w:t xml:space="preserve"> e DPD-së për periudh</w:t>
      </w:r>
      <w:r w:rsidRPr="00E42B60">
        <w:rPr>
          <w:rFonts w:eastAsia="Times New Roman"/>
          <w:i/>
          <w:sz w:val="20"/>
          <w:lang w:val="sq-AL"/>
        </w:rPr>
        <w:t>ën Janar-Shtator 2016</w:t>
      </w:r>
      <w:r w:rsidRPr="00E42B60">
        <w:rPr>
          <w:rFonts w:eastAsia="Times New Roman"/>
          <w:i/>
          <w:sz w:val="20"/>
          <w:lang w:val="sq-AL"/>
        </w:rPr>
        <w:tab/>
      </w:r>
      <w:r w:rsidRPr="00E42B60">
        <w:rPr>
          <w:rFonts w:eastAsia="Times New Roman"/>
          <w:i/>
          <w:sz w:val="20"/>
          <w:lang w:val="sq-AL"/>
        </w:rPr>
        <w:tab/>
        <w:t xml:space="preserve">                             (në milion lekë)</w:t>
      </w:r>
    </w:p>
    <w:p w:rsidR="00E42B60" w:rsidRPr="00E42B60" w:rsidRDefault="00E42B60" w:rsidP="00E42B60">
      <w:pPr>
        <w:rPr>
          <w:b/>
          <w:i/>
          <w:sz w:val="20"/>
          <w:szCs w:val="20"/>
          <w:lang w:val="sq-AL"/>
        </w:rPr>
      </w:pPr>
      <w:r w:rsidRPr="00E42B60">
        <w:rPr>
          <w:rFonts w:eastAsia="Times New Roman"/>
          <w:noProof/>
          <w:sz w:val="2"/>
          <w:lang w:val="sq-AL" w:eastAsia="sq-AL"/>
        </w:rPr>
        <w:drawing>
          <wp:inline distT="0" distB="0" distL="0" distR="0" wp14:anchorId="75E3E497" wp14:editId="42C56061">
            <wp:extent cx="6128385" cy="1855470"/>
            <wp:effectExtent l="19050" t="19050" r="24765" b="1143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26">
                      <a:extLst>
                        <a:ext uri="{28A0092B-C50C-407E-A947-70E740481C1C}">
                          <a14:useLocalDpi xmlns:a14="http://schemas.microsoft.com/office/drawing/2010/main" val="0"/>
                        </a:ext>
                      </a:extLst>
                    </a:blip>
                    <a:srcRect l="-105" t="-1648" r="-1616" b="-3896"/>
                    <a:stretch>
                      <a:fillRect/>
                    </a:stretch>
                  </pic:blipFill>
                  <pic:spPr bwMode="auto">
                    <a:xfrm>
                      <a:off x="0" y="0"/>
                      <a:ext cx="6128385" cy="1855470"/>
                    </a:xfrm>
                    <a:prstGeom prst="rect">
                      <a:avLst/>
                    </a:prstGeom>
                    <a:noFill/>
                    <a:ln w="19050" cmpd="sng">
                      <a:solidFill>
                        <a:srgbClr val="000000"/>
                      </a:solidFill>
                      <a:miter lim="800000"/>
                      <a:headEnd/>
                      <a:tailEnd/>
                    </a:ln>
                    <a:effectLst/>
                  </pic:spPr>
                </pic:pic>
              </a:graphicData>
            </a:graphic>
          </wp:inline>
        </w:drawing>
      </w:r>
    </w:p>
    <w:p w:rsidR="00E42B60" w:rsidRPr="00E42B60" w:rsidRDefault="00E42B60" w:rsidP="00E42B60">
      <w:pPr>
        <w:rPr>
          <w:b/>
          <w:sz w:val="20"/>
          <w:szCs w:val="20"/>
          <w:lang w:val="sq-AL"/>
        </w:rPr>
      </w:pPr>
      <w:r w:rsidRPr="00E42B60">
        <w:rPr>
          <w:b/>
          <w:i/>
          <w:sz w:val="20"/>
          <w:szCs w:val="20"/>
          <w:lang w:val="sq-AL"/>
        </w:rPr>
        <w:t xml:space="preserve"> Burimi: </w:t>
      </w:r>
      <w:r w:rsidRPr="00E42B60">
        <w:rPr>
          <w:i/>
          <w:sz w:val="20"/>
          <w:szCs w:val="20"/>
          <w:lang w:val="sq-AL"/>
        </w:rPr>
        <w:t>Ministria e Financave (2016)</w:t>
      </w:r>
    </w:p>
    <w:p w:rsidR="00E42B60" w:rsidRPr="00E42B60" w:rsidRDefault="00E42B60" w:rsidP="00E42B60">
      <w:pPr>
        <w:tabs>
          <w:tab w:val="left" w:pos="2511"/>
          <w:tab w:val="center" w:pos="4680"/>
        </w:tabs>
        <w:jc w:val="both"/>
        <w:rPr>
          <w:rFonts w:eastAsia="Times New Roman"/>
          <w:b/>
          <w:i/>
          <w:sz w:val="20"/>
          <w:szCs w:val="20"/>
          <w:lang w:val="sq-AL"/>
        </w:rPr>
      </w:pPr>
    </w:p>
    <w:p w:rsidR="00E42B60" w:rsidRPr="00E42B60" w:rsidRDefault="00E42B60" w:rsidP="00E42B60">
      <w:pPr>
        <w:tabs>
          <w:tab w:val="left" w:pos="2511"/>
          <w:tab w:val="center" w:pos="4680"/>
        </w:tabs>
        <w:jc w:val="both"/>
        <w:rPr>
          <w:rFonts w:eastAsia="Times New Roman"/>
          <w:b/>
          <w:i/>
          <w:sz w:val="20"/>
          <w:szCs w:val="20"/>
          <w:lang w:val="sq-AL"/>
        </w:rPr>
      </w:pPr>
      <w:r w:rsidRPr="00E42B60">
        <w:rPr>
          <w:rFonts w:eastAsia="Times New Roman"/>
          <w:b/>
          <w:i/>
          <w:sz w:val="20"/>
          <w:szCs w:val="20"/>
          <w:lang w:val="sq-AL"/>
        </w:rPr>
        <w:t xml:space="preserve">Tabela </w:t>
      </w:r>
      <w:r w:rsidR="00596ACC">
        <w:rPr>
          <w:rFonts w:eastAsia="Times New Roman"/>
          <w:b/>
          <w:i/>
          <w:sz w:val="20"/>
          <w:szCs w:val="20"/>
          <w:lang w:val="sq-AL"/>
        </w:rPr>
        <w:t>9</w:t>
      </w:r>
      <w:r w:rsidRPr="00E42B60">
        <w:rPr>
          <w:rFonts w:eastAsia="Times New Roman"/>
          <w:b/>
          <w:i/>
          <w:sz w:val="20"/>
          <w:szCs w:val="20"/>
          <w:lang w:val="sq-AL"/>
        </w:rPr>
        <w:t xml:space="preserve"> </w:t>
      </w:r>
      <w:r w:rsidRPr="00E42B60">
        <w:rPr>
          <w:rFonts w:eastAsia="Times New Roman"/>
          <w:i/>
          <w:sz w:val="20"/>
          <w:szCs w:val="20"/>
          <w:lang w:val="sq-AL"/>
        </w:rPr>
        <w:t>Performanca e DPD-së sipas taksave për periudh</w:t>
      </w:r>
      <w:r w:rsidRPr="00E42B60">
        <w:rPr>
          <w:rFonts w:eastAsia="Times New Roman"/>
          <w:i/>
          <w:sz w:val="20"/>
          <w:lang w:val="sq-AL"/>
        </w:rPr>
        <w:t>ën Janar-Shtator 2016</w:t>
      </w:r>
      <w:r w:rsidRPr="00E42B60">
        <w:rPr>
          <w:rFonts w:eastAsia="Times New Roman"/>
          <w:b/>
          <w:i/>
          <w:sz w:val="20"/>
          <w:szCs w:val="20"/>
          <w:lang w:val="sq-AL"/>
        </w:rPr>
        <w:tab/>
        <w:t xml:space="preserve">                </w:t>
      </w:r>
      <w:r w:rsidRPr="00E42B60">
        <w:rPr>
          <w:rFonts w:eastAsia="Times New Roman"/>
          <w:i/>
          <w:sz w:val="20"/>
          <w:szCs w:val="20"/>
          <w:lang w:val="sq-AL"/>
        </w:rPr>
        <w:t>(në milion lekë)</w:t>
      </w:r>
    </w:p>
    <w:tbl>
      <w:tblPr>
        <w:tblW w:w="9252" w:type="dxa"/>
        <w:jc w:val="center"/>
        <w:tblLook w:val="04A0" w:firstRow="1" w:lastRow="0" w:firstColumn="1" w:lastColumn="0" w:noHBand="0" w:noVBand="1"/>
      </w:tblPr>
      <w:tblGrid>
        <w:gridCol w:w="3192"/>
        <w:gridCol w:w="1434"/>
        <w:gridCol w:w="1434"/>
        <w:gridCol w:w="1692"/>
        <w:gridCol w:w="1500"/>
      </w:tblGrid>
      <w:tr w:rsidR="00E42B60" w:rsidRPr="00E42B60" w:rsidTr="00DF6420">
        <w:trPr>
          <w:trHeight w:val="286"/>
          <w:jc w:val="center"/>
        </w:trPr>
        <w:tc>
          <w:tcPr>
            <w:tcW w:w="3192" w:type="dxa"/>
            <w:tcBorders>
              <w:top w:val="single" w:sz="4" w:space="0" w:color="auto"/>
              <w:left w:val="nil"/>
              <w:bottom w:val="double" w:sz="6" w:space="0" w:color="auto"/>
              <w:right w:val="nil"/>
            </w:tcBorders>
            <w:shd w:val="clear" w:color="auto" w:fill="FFFFFF"/>
            <w:noWrap/>
            <w:vAlign w:val="center"/>
            <w:hideMark/>
          </w:tcPr>
          <w:p w:rsidR="00E42B60" w:rsidRPr="00E42B60" w:rsidRDefault="00E42B60" w:rsidP="00E42B60">
            <w:pPr>
              <w:jc w:val="center"/>
              <w:rPr>
                <w:rFonts w:eastAsia="Times New Roman"/>
                <w:b/>
                <w:bCs/>
                <w:color w:val="000000"/>
                <w:sz w:val="16"/>
                <w:szCs w:val="16"/>
                <w:lang w:val="sq-AL" w:eastAsia="sq-AL"/>
              </w:rPr>
            </w:pPr>
            <w:r w:rsidRPr="00E42B60">
              <w:rPr>
                <w:rFonts w:eastAsia="Times New Roman"/>
                <w:b/>
                <w:bCs/>
                <w:color w:val="000000"/>
                <w:sz w:val="16"/>
                <w:szCs w:val="16"/>
                <w:lang w:val="sq-AL" w:eastAsia="sq-AL"/>
              </w:rPr>
              <w:t> </w:t>
            </w:r>
          </w:p>
        </w:tc>
        <w:tc>
          <w:tcPr>
            <w:tcW w:w="1434" w:type="dxa"/>
            <w:tcBorders>
              <w:top w:val="single" w:sz="4" w:space="0" w:color="auto"/>
              <w:left w:val="nil"/>
              <w:bottom w:val="double" w:sz="6" w:space="0" w:color="auto"/>
              <w:right w:val="nil"/>
            </w:tcBorders>
            <w:shd w:val="clear" w:color="auto" w:fill="FFFFFF"/>
            <w:noWrap/>
            <w:vAlign w:val="center"/>
            <w:hideMark/>
          </w:tcPr>
          <w:p w:rsidR="00E42B60" w:rsidRPr="00E42B60" w:rsidRDefault="00E42B60" w:rsidP="00E42B60">
            <w:pPr>
              <w:jc w:val="right"/>
              <w:rPr>
                <w:rFonts w:eastAsia="Times New Roman"/>
                <w:b/>
                <w:bCs/>
                <w:color w:val="000000"/>
                <w:sz w:val="16"/>
                <w:szCs w:val="16"/>
                <w:lang w:val="sq-AL" w:eastAsia="sq-AL"/>
              </w:rPr>
            </w:pPr>
            <w:r w:rsidRPr="00E42B60">
              <w:rPr>
                <w:rFonts w:eastAsia="Times New Roman"/>
                <w:b/>
                <w:bCs/>
                <w:color w:val="000000"/>
                <w:sz w:val="16"/>
                <w:szCs w:val="16"/>
                <w:lang w:eastAsia="sq-AL"/>
              </w:rPr>
              <w:t>Plan</w:t>
            </w:r>
          </w:p>
        </w:tc>
        <w:tc>
          <w:tcPr>
            <w:tcW w:w="1434" w:type="dxa"/>
            <w:tcBorders>
              <w:top w:val="single" w:sz="4" w:space="0" w:color="auto"/>
              <w:left w:val="nil"/>
              <w:bottom w:val="double" w:sz="6" w:space="0" w:color="auto"/>
              <w:right w:val="nil"/>
            </w:tcBorders>
            <w:shd w:val="clear" w:color="auto" w:fill="FFFFFF"/>
            <w:noWrap/>
            <w:vAlign w:val="center"/>
            <w:hideMark/>
          </w:tcPr>
          <w:p w:rsidR="00E42B60" w:rsidRPr="00E42B60" w:rsidRDefault="00E42B60" w:rsidP="00E42B60">
            <w:pPr>
              <w:jc w:val="right"/>
              <w:rPr>
                <w:rFonts w:eastAsia="Times New Roman"/>
                <w:b/>
                <w:bCs/>
                <w:color w:val="000000"/>
                <w:sz w:val="20"/>
                <w:szCs w:val="20"/>
                <w:lang w:val="sq-AL" w:eastAsia="sq-AL"/>
              </w:rPr>
            </w:pPr>
            <w:r w:rsidRPr="00E42B60">
              <w:rPr>
                <w:rFonts w:eastAsia="Times New Roman"/>
                <w:b/>
                <w:bCs/>
                <w:color w:val="000000"/>
                <w:sz w:val="20"/>
                <w:szCs w:val="20"/>
                <w:lang w:eastAsia="sq-AL"/>
              </w:rPr>
              <w:t>Fakt</w:t>
            </w:r>
          </w:p>
        </w:tc>
        <w:tc>
          <w:tcPr>
            <w:tcW w:w="1692" w:type="dxa"/>
            <w:tcBorders>
              <w:top w:val="single" w:sz="4" w:space="0" w:color="auto"/>
              <w:left w:val="nil"/>
              <w:bottom w:val="double" w:sz="6" w:space="0" w:color="auto"/>
              <w:right w:val="nil"/>
            </w:tcBorders>
            <w:shd w:val="clear" w:color="auto" w:fill="FFFFFF"/>
            <w:vAlign w:val="center"/>
            <w:hideMark/>
          </w:tcPr>
          <w:p w:rsidR="00E42B60" w:rsidRPr="00E42B60" w:rsidRDefault="00E42B60" w:rsidP="00E42B60">
            <w:pPr>
              <w:jc w:val="right"/>
              <w:rPr>
                <w:rFonts w:eastAsia="Times New Roman"/>
                <w:b/>
                <w:bCs/>
                <w:color w:val="000000"/>
                <w:sz w:val="20"/>
                <w:szCs w:val="20"/>
                <w:lang w:val="sq-AL" w:eastAsia="sq-AL"/>
              </w:rPr>
            </w:pPr>
            <w:r w:rsidRPr="00E42B60">
              <w:rPr>
                <w:rFonts w:eastAsia="Times New Roman"/>
                <w:b/>
                <w:bCs/>
                <w:color w:val="000000"/>
                <w:sz w:val="20"/>
                <w:szCs w:val="20"/>
                <w:lang w:eastAsia="sq-AL"/>
              </w:rPr>
              <w:t xml:space="preserve">Diferenca                 Fakt/ Plan </w:t>
            </w:r>
          </w:p>
        </w:tc>
        <w:tc>
          <w:tcPr>
            <w:tcW w:w="1500" w:type="dxa"/>
            <w:tcBorders>
              <w:top w:val="single" w:sz="4" w:space="0" w:color="auto"/>
              <w:left w:val="nil"/>
              <w:bottom w:val="double" w:sz="6" w:space="0" w:color="auto"/>
              <w:right w:val="nil"/>
            </w:tcBorders>
            <w:shd w:val="clear" w:color="auto" w:fill="FFFFFF"/>
            <w:vAlign w:val="center"/>
            <w:hideMark/>
          </w:tcPr>
          <w:p w:rsidR="00E42B60" w:rsidRPr="00E42B60" w:rsidRDefault="00E42B60" w:rsidP="00E42B60">
            <w:pPr>
              <w:jc w:val="right"/>
              <w:rPr>
                <w:rFonts w:eastAsia="Times New Roman"/>
                <w:b/>
                <w:bCs/>
                <w:color w:val="000000"/>
                <w:sz w:val="20"/>
                <w:szCs w:val="20"/>
                <w:lang w:val="sq-AL" w:eastAsia="sq-AL"/>
              </w:rPr>
            </w:pPr>
            <w:r w:rsidRPr="00E42B60">
              <w:rPr>
                <w:rFonts w:eastAsia="Times New Roman"/>
                <w:b/>
                <w:bCs/>
                <w:color w:val="000000"/>
                <w:sz w:val="20"/>
                <w:szCs w:val="20"/>
                <w:lang w:eastAsia="sq-AL"/>
              </w:rPr>
              <w:t>Fakt/ Plan (%)</w:t>
            </w:r>
          </w:p>
        </w:tc>
      </w:tr>
      <w:tr w:rsidR="00E42B60" w:rsidRPr="00E42B60" w:rsidTr="00DF6420">
        <w:trPr>
          <w:trHeight w:val="172"/>
          <w:jc w:val="center"/>
        </w:trPr>
        <w:tc>
          <w:tcPr>
            <w:tcW w:w="3192" w:type="dxa"/>
            <w:shd w:val="clear" w:color="auto" w:fill="FFFFFF"/>
            <w:noWrap/>
            <w:vAlign w:val="center"/>
            <w:hideMark/>
          </w:tcPr>
          <w:p w:rsidR="00E42B60" w:rsidRPr="00E42B60" w:rsidRDefault="00E42B60" w:rsidP="00E42B60">
            <w:pPr>
              <w:rPr>
                <w:rFonts w:eastAsia="Times New Roman"/>
                <w:color w:val="000000"/>
                <w:sz w:val="16"/>
                <w:szCs w:val="16"/>
                <w:lang w:val="sq-AL" w:eastAsia="sq-AL"/>
              </w:rPr>
            </w:pPr>
            <w:r w:rsidRPr="00E42B60">
              <w:rPr>
                <w:rFonts w:eastAsia="Times New Roman"/>
                <w:color w:val="000000"/>
                <w:sz w:val="16"/>
                <w:szCs w:val="16"/>
                <w:lang w:eastAsia="sq-AL"/>
              </w:rPr>
              <w:t>Taksë doganore</w:t>
            </w:r>
          </w:p>
        </w:tc>
        <w:tc>
          <w:tcPr>
            <w:tcW w:w="1434" w:type="dxa"/>
            <w:shd w:val="clear" w:color="auto" w:fill="FFFFFF"/>
            <w:noWrap/>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4,408</w:t>
            </w:r>
          </w:p>
        </w:tc>
        <w:tc>
          <w:tcPr>
            <w:tcW w:w="1434" w:type="dxa"/>
            <w:shd w:val="clear" w:color="auto" w:fill="FFFFFF"/>
            <w:noWrap/>
            <w:vAlign w:val="center"/>
            <w:hideMark/>
          </w:tcPr>
          <w:p w:rsidR="00E42B60" w:rsidRPr="00E42B60" w:rsidRDefault="00E42B60" w:rsidP="00E42B60">
            <w:pPr>
              <w:jc w:val="right"/>
              <w:rPr>
                <w:rFonts w:eastAsia="Times New Roman"/>
                <w:color w:val="000000"/>
                <w:sz w:val="20"/>
                <w:szCs w:val="20"/>
                <w:lang w:val="sq-AL" w:eastAsia="sq-AL"/>
              </w:rPr>
            </w:pPr>
            <w:r w:rsidRPr="00E42B60">
              <w:rPr>
                <w:rFonts w:eastAsia="Times New Roman"/>
                <w:color w:val="000000"/>
                <w:sz w:val="20"/>
                <w:szCs w:val="20"/>
                <w:lang w:eastAsia="sq-AL"/>
              </w:rPr>
              <w:t>4,437</w:t>
            </w:r>
          </w:p>
        </w:tc>
        <w:tc>
          <w:tcPr>
            <w:tcW w:w="1692" w:type="dxa"/>
            <w:shd w:val="clear" w:color="auto" w:fill="FFFFFF"/>
            <w:noWrap/>
            <w:vAlign w:val="center"/>
            <w:hideMark/>
          </w:tcPr>
          <w:p w:rsidR="00E42B60" w:rsidRPr="00E42B60" w:rsidRDefault="00E42B60" w:rsidP="00E42B60">
            <w:pPr>
              <w:jc w:val="right"/>
              <w:rPr>
                <w:rFonts w:eastAsia="Times New Roman"/>
                <w:color w:val="000000"/>
                <w:sz w:val="20"/>
                <w:szCs w:val="20"/>
                <w:lang w:val="sq-AL" w:eastAsia="sq-AL"/>
              </w:rPr>
            </w:pPr>
            <w:r w:rsidRPr="00E42B60">
              <w:rPr>
                <w:rFonts w:eastAsia="Times New Roman"/>
                <w:color w:val="000000"/>
                <w:sz w:val="20"/>
                <w:szCs w:val="20"/>
                <w:lang w:eastAsia="sq-AL"/>
              </w:rPr>
              <w:t>29</w:t>
            </w:r>
          </w:p>
        </w:tc>
        <w:tc>
          <w:tcPr>
            <w:tcW w:w="1500" w:type="dxa"/>
            <w:shd w:val="clear" w:color="auto" w:fill="FFFFFF"/>
            <w:noWrap/>
            <w:vAlign w:val="center"/>
            <w:hideMark/>
          </w:tcPr>
          <w:p w:rsidR="00E42B60" w:rsidRPr="00E42B60" w:rsidRDefault="00E42B60" w:rsidP="00E42B60">
            <w:pPr>
              <w:jc w:val="right"/>
              <w:rPr>
                <w:rFonts w:eastAsia="Times New Roman"/>
                <w:color w:val="000000"/>
                <w:sz w:val="20"/>
                <w:szCs w:val="20"/>
                <w:lang w:val="sq-AL" w:eastAsia="sq-AL"/>
              </w:rPr>
            </w:pPr>
            <w:r w:rsidRPr="00E42B60">
              <w:rPr>
                <w:rFonts w:eastAsia="Times New Roman"/>
                <w:color w:val="000000"/>
                <w:sz w:val="20"/>
                <w:szCs w:val="20"/>
                <w:lang w:eastAsia="sq-AL"/>
              </w:rPr>
              <w:t>0.66%</w:t>
            </w:r>
          </w:p>
        </w:tc>
      </w:tr>
      <w:tr w:rsidR="00E42B60" w:rsidRPr="00E42B60" w:rsidTr="00DF6420">
        <w:trPr>
          <w:trHeight w:val="163"/>
          <w:jc w:val="center"/>
        </w:trPr>
        <w:tc>
          <w:tcPr>
            <w:tcW w:w="3192" w:type="dxa"/>
            <w:shd w:val="clear" w:color="auto" w:fill="FFFFFF"/>
            <w:noWrap/>
            <w:vAlign w:val="center"/>
            <w:hideMark/>
          </w:tcPr>
          <w:p w:rsidR="00E42B60" w:rsidRPr="00E42B60" w:rsidRDefault="00E42B60" w:rsidP="00E42B60">
            <w:pPr>
              <w:rPr>
                <w:rFonts w:eastAsia="Times New Roman"/>
                <w:color w:val="000000"/>
                <w:sz w:val="16"/>
                <w:szCs w:val="16"/>
                <w:lang w:val="sq-AL" w:eastAsia="sq-AL"/>
              </w:rPr>
            </w:pPr>
            <w:r w:rsidRPr="00E42B60">
              <w:rPr>
                <w:rFonts w:eastAsia="Times New Roman"/>
                <w:color w:val="000000"/>
                <w:sz w:val="16"/>
                <w:szCs w:val="16"/>
                <w:lang w:eastAsia="sq-AL"/>
              </w:rPr>
              <w:t>TVSH</w:t>
            </w:r>
          </w:p>
        </w:tc>
        <w:tc>
          <w:tcPr>
            <w:tcW w:w="1434" w:type="dxa"/>
            <w:shd w:val="clear" w:color="auto" w:fill="FFFFFF"/>
            <w:noWrap/>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73,102</w:t>
            </w:r>
          </w:p>
        </w:tc>
        <w:tc>
          <w:tcPr>
            <w:tcW w:w="1434" w:type="dxa"/>
            <w:shd w:val="clear" w:color="auto" w:fill="FFFFFF"/>
            <w:noWrap/>
            <w:vAlign w:val="center"/>
            <w:hideMark/>
          </w:tcPr>
          <w:p w:rsidR="00E42B60" w:rsidRPr="00E42B60" w:rsidRDefault="00E42B60" w:rsidP="00E42B60">
            <w:pPr>
              <w:jc w:val="right"/>
              <w:rPr>
                <w:rFonts w:eastAsia="Times New Roman"/>
                <w:color w:val="000000"/>
                <w:sz w:val="20"/>
                <w:szCs w:val="20"/>
                <w:lang w:val="sq-AL" w:eastAsia="sq-AL"/>
              </w:rPr>
            </w:pPr>
            <w:r w:rsidRPr="00E42B60">
              <w:rPr>
                <w:rFonts w:eastAsia="Times New Roman"/>
                <w:color w:val="000000"/>
                <w:sz w:val="20"/>
                <w:szCs w:val="20"/>
                <w:lang w:eastAsia="sq-AL"/>
              </w:rPr>
              <w:t>71,341</w:t>
            </w:r>
          </w:p>
        </w:tc>
        <w:tc>
          <w:tcPr>
            <w:tcW w:w="1692" w:type="dxa"/>
            <w:shd w:val="clear" w:color="auto" w:fill="FFFFFF"/>
            <w:noWrap/>
            <w:vAlign w:val="center"/>
            <w:hideMark/>
          </w:tcPr>
          <w:p w:rsidR="00E42B60" w:rsidRPr="00E42B60" w:rsidRDefault="00E42B60" w:rsidP="00E42B60">
            <w:pPr>
              <w:jc w:val="right"/>
              <w:rPr>
                <w:rFonts w:eastAsia="Times New Roman"/>
                <w:color w:val="000000"/>
                <w:sz w:val="20"/>
                <w:szCs w:val="20"/>
                <w:lang w:val="sq-AL" w:eastAsia="sq-AL"/>
              </w:rPr>
            </w:pPr>
            <w:r w:rsidRPr="00E42B60">
              <w:rPr>
                <w:rFonts w:eastAsia="Times New Roman"/>
                <w:color w:val="000000"/>
                <w:sz w:val="20"/>
                <w:szCs w:val="20"/>
                <w:lang w:eastAsia="sq-AL"/>
              </w:rPr>
              <w:t>-1,761</w:t>
            </w:r>
          </w:p>
        </w:tc>
        <w:tc>
          <w:tcPr>
            <w:tcW w:w="1500" w:type="dxa"/>
            <w:shd w:val="clear" w:color="auto" w:fill="FFFFFF"/>
            <w:noWrap/>
            <w:vAlign w:val="center"/>
            <w:hideMark/>
          </w:tcPr>
          <w:p w:rsidR="00E42B60" w:rsidRPr="00E42B60" w:rsidRDefault="00E42B60" w:rsidP="00E42B60">
            <w:pPr>
              <w:jc w:val="right"/>
              <w:rPr>
                <w:rFonts w:eastAsia="Times New Roman"/>
                <w:color w:val="000000"/>
                <w:sz w:val="20"/>
                <w:szCs w:val="20"/>
                <w:lang w:val="sq-AL" w:eastAsia="sq-AL"/>
              </w:rPr>
            </w:pPr>
            <w:r w:rsidRPr="00E42B60">
              <w:rPr>
                <w:rFonts w:eastAsia="Times New Roman"/>
                <w:color w:val="000000"/>
                <w:sz w:val="20"/>
                <w:szCs w:val="20"/>
                <w:lang w:eastAsia="sq-AL"/>
              </w:rPr>
              <w:t>-2.41%</w:t>
            </w:r>
          </w:p>
        </w:tc>
      </w:tr>
      <w:tr w:rsidR="00E42B60" w:rsidRPr="00E42B60" w:rsidTr="00DF6420">
        <w:trPr>
          <w:trHeight w:val="163"/>
          <w:jc w:val="center"/>
        </w:trPr>
        <w:tc>
          <w:tcPr>
            <w:tcW w:w="3192" w:type="dxa"/>
            <w:shd w:val="clear" w:color="auto" w:fill="FFFFFF"/>
            <w:noWrap/>
            <w:vAlign w:val="center"/>
            <w:hideMark/>
          </w:tcPr>
          <w:p w:rsidR="00E42B60" w:rsidRPr="00E42B60" w:rsidRDefault="00E42B60" w:rsidP="00E42B60">
            <w:pPr>
              <w:rPr>
                <w:rFonts w:eastAsia="Times New Roman"/>
                <w:color w:val="000000"/>
                <w:sz w:val="16"/>
                <w:szCs w:val="16"/>
                <w:lang w:val="sq-AL" w:eastAsia="sq-AL"/>
              </w:rPr>
            </w:pPr>
            <w:r w:rsidRPr="00E42B60">
              <w:rPr>
                <w:rFonts w:eastAsia="Times New Roman"/>
                <w:color w:val="000000"/>
                <w:sz w:val="16"/>
                <w:szCs w:val="16"/>
                <w:lang w:eastAsia="sq-AL"/>
              </w:rPr>
              <w:t>Akcizë</w:t>
            </w:r>
          </w:p>
        </w:tc>
        <w:tc>
          <w:tcPr>
            <w:tcW w:w="1434" w:type="dxa"/>
            <w:shd w:val="clear" w:color="auto" w:fill="FFFFFF"/>
            <w:noWrap/>
            <w:vAlign w:val="center"/>
            <w:hideMark/>
          </w:tcPr>
          <w:p w:rsidR="00E42B60" w:rsidRPr="00E42B60" w:rsidRDefault="00E42B60" w:rsidP="00E42B60">
            <w:pPr>
              <w:jc w:val="right"/>
              <w:rPr>
                <w:rFonts w:eastAsia="Times New Roman"/>
                <w:color w:val="000000"/>
                <w:sz w:val="16"/>
                <w:szCs w:val="16"/>
                <w:lang w:val="sq-AL" w:eastAsia="sq-AL"/>
              </w:rPr>
            </w:pPr>
            <w:r w:rsidRPr="00E42B60">
              <w:rPr>
                <w:rFonts w:eastAsia="Times New Roman"/>
                <w:color w:val="000000"/>
                <w:sz w:val="16"/>
                <w:szCs w:val="16"/>
                <w:lang w:eastAsia="sq-AL"/>
              </w:rPr>
              <w:t>31,746</w:t>
            </w:r>
          </w:p>
        </w:tc>
        <w:tc>
          <w:tcPr>
            <w:tcW w:w="1434" w:type="dxa"/>
            <w:shd w:val="clear" w:color="auto" w:fill="FFFFFF"/>
            <w:noWrap/>
            <w:vAlign w:val="center"/>
            <w:hideMark/>
          </w:tcPr>
          <w:p w:rsidR="00E42B60" w:rsidRPr="00E42B60" w:rsidRDefault="00E42B60" w:rsidP="00E42B60">
            <w:pPr>
              <w:jc w:val="right"/>
              <w:rPr>
                <w:rFonts w:eastAsia="Times New Roman"/>
                <w:color w:val="000000"/>
                <w:sz w:val="20"/>
                <w:szCs w:val="20"/>
                <w:lang w:val="sq-AL" w:eastAsia="sq-AL"/>
              </w:rPr>
            </w:pPr>
            <w:r w:rsidRPr="00E42B60">
              <w:rPr>
                <w:rFonts w:eastAsia="Times New Roman"/>
                <w:color w:val="000000"/>
                <w:sz w:val="20"/>
                <w:szCs w:val="20"/>
                <w:lang w:eastAsia="sq-AL"/>
              </w:rPr>
              <w:t>30,979</w:t>
            </w:r>
          </w:p>
        </w:tc>
        <w:tc>
          <w:tcPr>
            <w:tcW w:w="1692" w:type="dxa"/>
            <w:shd w:val="clear" w:color="auto" w:fill="FFFFFF"/>
            <w:noWrap/>
            <w:vAlign w:val="center"/>
            <w:hideMark/>
          </w:tcPr>
          <w:p w:rsidR="00E42B60" w:rsidRPr="00E42B60" w:rsidRDefault="00E42B60" w:rsidP="00E42B60">
            <w:pPr>
              <w:jc w:val="right"/>
              <w:rPr>
                <w:rFonts w:eastAsia="Times New Roman"/>
                <w:color w:val="000000"/>
                <w:sz w:val="20"/>
                <w:szCs w:val="20"/>
                <w:lang w:val="sq-AL" w:eastAsia="sq-AL"/>
              </w:rPr>
            </w:pPr>
            <w:r w:rsidRPr="00E42B60">
              <w:rPr>
                <w:rFonts w:eastAsia="Times New Roman"/>
                <w:color w:val="000000"/>
                <w:sz w:val="20"/>
                <w:szCs w:val="20"/>
                <w:lang w:eastAsia="sq-AL"/>
              </w:rPr>
              <w:t>-767</w:t>
            </w:r>
          </w:p>
        </w:tc>
        <w:tc>
          <w:tcPr>
            <w:tcW w:w="1500" w:type="dxa"/>
            <w:shd w:val="clear" w:color="auto" w:fill="FFFFFF"/>
            <w:noWrap/>
            <w:vAlign w:val="center"/>
            <w:hideMark/>
          </w:tcPr>
          <w:p w:rsidR="00E42B60" w:rsidRPr="00E42B60" w:rsidRDefault="00E42B60" w:rsidP="00E42B60">
            <w:pPr>
              <w:jc w:val="right"/>
              <w:rPr>
                <w:rFonts w:eastAsia="Times New Roman"/>
                <w:color w:val="000000"/>
                <w:sz w:val="20"/>
                <w:szCs w:val="20"/>
                <w:lang w:val="sq-AL" w:eastAsia="sq-AL"/>
              </w:rPr>
            </w:pPr>
            <w:r w:rsidRPr="00E42B60">
              <w:rPr>
                <w:rFonts w:eastAsia="Times New Roman"/>
                <w:color w:val="000000"/>
                <w:sz w:val="20"/>
                <w:szCs w:val="20"/>
                <w:lang w:eastAsia="sq-AL"/>
              </w:rPr>
              <w:t>-2.42%</w:t>
            </w:r>
          </w:p>
        </w:tc>
      </w:tr>
      <w:tr w:rsidR="00E42B60" w:rsidRPr="00E42B60" w:rsidTr="00DF6420">
        <w:trPr>
          <w:trHeight w:val="163"/>
          <w:jc w:val="center"/>
        </w:trPr>
        <w:tc>
          <w:tcPr>
            <w:tcW w:w="3192" w:type="dxa"/>
            <w:shd w:val="clear" w:color="auto" w:fill="FFFFFF"/>
            <w:noWrap/>
            <w:vAlign w:val="center"/>
            <w:hideMark/>
          </w:tcPr>
          <w:p w:rsidR="00E42B60" w:rsidRPr="00E42B60" w:rsidRDefault="00E42B60" w:rsidP="00E42B60">
            <w:pPr>
              <w:rPr>
                <w:rFonts w:eastAsia="Times New Roman"/>
                <w:color w:val="000000"/>
                <w:sz w:val="20"/>
                <w:szCs w:val="20"/>
                <w:lang w:val="sq-AL" w:eastAsia="sq-AL"/>
              </w:rPr>
            </w:pPr>
            <w:r w:rsidRPr="00E42B60">
              <w:rPr>
                <w:rFonts w:eastAsia="Times New Roman"/>
                <w:color w:val="000000"/>
                <w:sz w:val="20"/>
                <w:szCs w:val="20"/>
                <w:lang w:eastAsia="sq-AL"/>
              </w:rPr>
              <w:t>a. Akcizë e arkëtuar</w:t>
            </w:r>
          </w:p>
        </w:tc>
        <w:tc>
          <w:tcPr>
            <w:tcW w:w="1434" w:type="dxa"/>
            <w:shd w:val="clear" w:color="auto" w:fill="FFFFFF"/>
            <w:noWrap/>
            <w:vAlign w:val="center"/>
            <w:hideMark/>
          </w:tcPr>
          <w:p w:rsidR="00E42B60" w:rsidRPr="00E42B60" w:rsidRDefault="00E42B60" w:rsidP="00E42B60"/>
        </w:tc>
        <w:tc>
          <w:tcPr>
            <w:tcW w:w="1434" w:type="dxa"/>
            <w:shd w:val="clear" w:color="auto" w:fill="FFFFFF"/>
            <w:noWrap/>
            <w:vAlign w:val="center"/>
            <w:hideMark/>
          </w:tcPr>
          <w:p w:rsidR="00E42B60" w:rsidRPr="00E42B60" w:rsidRDefault="00E42B60" w:rsidP="00E42B60">
            <w:pPr>
              <w:jc w:val="right"/>
              <w:rPr>
                <w:rFonts w:eastAsia="Times New Roman"/>
                <w:color w:val="000000"/>
                <w:sz w:val="20"/>
                <w:szCs w:val="20"/>
                <w:lang w:val="sq-AL" w:eastAsia="sq-AL"/>
              </w:rPr>
            </w:pPr>
            <w:r w:rsidRPr="00E42B60">
              <w:rPr>
                <w:rFonts w:eastAsia="Times New Roman"/>
                <w:color w:val="000000"/>
                <w:sz w:val="20"/>
                <w:szCs w:val="20"/>
                <w:lang w:eastAsia="sq-AL"/>
              </w:rPr>
              <w:t>31,312</w:t>
            </w:r>
          </w:p>
        </w:tc>
        <w:tc>
          <w:tcPr>
            <w:tcW w:w="1692" w:type="dxa"/>
            <w:shd w:val="clear" w:color="auto" w:fill="FFFFFF"/>
            <w:noWrap/>
            <w:vAlign w:val="center"/>
            <w:hideMark/>
          </w:tcPr>
          <w:p w:rsidR="00E42B60" w:rsidRPr="00E42B60" w:rsidRDefault="00E42B60" w:rsidP="00E42B60"/>
        </w:tc>
        <w:tc>
          <w:tcPr>
            <w:tcW w:w="1500" w:type="dxa"/>
            <w:shd w:val="clear" w:color="auto" w:fill="FFFFFF"/>
            <w:noWrap/>
            <w:vAlign w:val="center"/>
            <w:hideMark/>
          </w:tcPr>
          <w:p w:rsidR="00E42B60" w:rsidRPr="00E42B60" w:rsidRDefault="00E42B60" w:rsidP="00E42B60"/>
        </w:tc>
      </w:tr>
      <w:tr w:rsidR="00E42B60" w:rsidRPr="00E42B60" w:rsidTr="00DF6420">
        <w:trPr>
          <w:trHeight w:val="163"/>
          <w:jc w:val="center"/>
        </w:trPr>
        <w:tc>
          <w:tcPr>
            <w:tcW w:w="3192" w:type="dxa"/>
            <w:shd w:val="clear" w:color="auto" w:fill="FFFFFF"/>
            <w:noWrap/>
            <w:vAlign w:val="center"/>
            <w:hideMark/>
          </w:tcPr>
          <w:p w:rsidR="00E42B60" w:rsidRPr="00E42B60" w:rsidRDefault="00E42B60" w:rsidP="00E42B60">
            <w:pPr>
              <w:rPr>
                <w:rFonts w:eastAsia="Times New Roman"/>
                <w:color w:val="000000"/>
                <w:sz w:val="20"/>
                <w:szCs w:val="20"/>
                <w:lang w:val="sq-AL" w:eastAsia="sq-AL"/>
              </w:rPr>
            </w:pPr>
            <w:r w:rsidRPr="00E42B60">
              <w:rPr>
                <w:rFonts w:eastAsia="Times New Roman"/>
                <w:color w:val="000000"/>
                <w:sz w:val="20"/>
                <w:szCs w:val="20"/>
                <w:lang w:eastAsia="sq-AL"/>
              </w:rPr>
              <w:t>b. Akcizë e rimbursuar</w:t>
            </w:r>
          </w:p>
        </w:tc>
        <w:tc>
          <w:tcPr>
            <w:tcW w:w="1434" w:type="dxa"/>
            <w:shd w:val="clear" w:color="auto" w:fill="FFFFFF"/>
            <w:noWrap/>
            <w:vAlign w:val="center"/>
            <w:hideMark/>
          </w:tcPr>
          <w:p w:rsidR="00E42B60" w:rsidRPr="00E42B60" w:rsidRDefault="00E42B60" w:rsidP="00E42B60"/>
        </w:tc>
        <w:tc>
          <w:tcPr>
            <w:tcW w:w="1434" w:type="dxa"/>
            <w:shd w:val="clear" w:color="auto" w:fill="FFFFFF"/>
            <w:noWrap/>
            <w:vAlign w:val="center"/>
            <w:hideMark/>
          </w:tcPr>
          <w:p w:rsidR="00E42B60" w:rsidRPr="00E42B60" w:rsidRDefault="00E42B60" w:rsidP="00E42B60">
            <w:pPr>
              <w:jc w:val="right"/>
              <w:rPr>
                <w:rFonts w:eastAsia="Times New Roman"/>
                <w:color w:val="000000"/>
                <w:sz w:val="20"/>
                <w:szCs w:val="20"/>
                <w:lang w:val="sq-AL" w:eastAsia="sq-AL"/>
              </w:rPr>
            </w:pPr>
            <w:r w:rsidRPr="00E42B60">
              <w:rPr>
                <w:rFonts w:eastAsia="Times New Roman"/>
                <w:color w:val="000000"/>
                <w:sz w:val="20"/>
                <w:szCs w:val="20"/>
                <w:lang w:eastAsia="sq-AL"/>
              </w:rPr>
              <w:t xml:space="preserve">    333</w:t>
            </w:r>
          </w:p>
        </w:tc>
        <w:tc>
          <w:tcPr>
            <w:tcW w:w="1692" w:type="dxa"/>
            <w:shd w:val="clear" w:color="auto" w:fill="FFFFFF"/>
            <w:noWrap/>
            <w:vAlign w:val="center"/>
            <w:hideMark/>
          </w:tcPr>
          <w:p w:rsidR="00E42B60" w:rsidRPr="00E42B60" w:rsidRDefault="00E42B60" w:rsidP="00E42B60"/>
        </w:tc>
        <w:tc>
          <w:tcPr>
            <w:tcW w:w="1500" w:type="dxa"/>
            <w:shd w:val="clear" w:color="auto" w:fill="FFFFFF"/>
            <w:noWrap/>
            <w:vAlign w:val="center"/>
            <w:hideMark/>
          </w:tcPr>
          <w:p w:rsidR="00E42B60" w:rsidRPr="00E42B60" w:rsidRDefault="00E42B60" w:rsidP="00E42B60"/>
        </w:tc>
      </w:tr>
      <w:tr w:rsidR="00E42B60" w:rsidRPr="00E42B60" w:rsidTr="00DF6420">
        <w:trPr>
          <w:trHeight w:val="163"/>
          <w:jc w:val="center"/>
        </w:trPr>
        <w:tc>
          <w:tcPr>
            <w:tcW w:w="3192" w:type="dxa"/>
            <w:shd w:val="clear" w:color="auto" w:fill="FFFFFF"/>
            <w:noWrap/>
            <w:vAlign w:val="center"/>
            <w:hideMark/>
          </w:tcPr>
          <w:p w:rsidR="00E42B60" w:rsidRPr="00E42B60" w:rsidRDefault="00E42B60" w:rsidP="00E42B60">
            <w:pPr>
              <w:rPr>
                <w:rFonts w:eastAsia="Times New Roman"/>
                <w:color w:val="000000"/>
                <w:sz w:val="20"/>
                <w:szCs w:val="20"/>
                <w:lang w:val="sq-AL" w:eastAsia="sq-AL"/>
              </w:rPr>
            </w:pPr>
            <w:r w:rsidRPr="00E42B60">
              <w:rPr>
                <w:rFonts w:eastAsia="Times New Roman"/>
                <w:color w:val="000000"/>
                <w:sz w:val="20"/>
                <w:szCs w:val="20"/>
                <w:lang w:eastAsia="sq-AL"/>
              </w:rPr>
              <w:t>Renta minerare</w:t>
            </w:r>
          </w:p>
        </w:tc>
        <w:tc>
          <w:tcPr>
            <w:tcW w:w="1434" w:type="dxa"/>
            <w:shd w:val="clear" w:color="auto" w:fill="FFFFFF"/>
            <w:noWrap/>
            <w:vAlign w:val="center"/>
            <w:hideMark/>
          </w:tcPr>
          <w:p w:rsidR="00E42B60" w:rsidRPr="00E42B60" w:rsidRDefault="00E42B60" w:rsidP="00E42B60">
            <w:pPr>
              <w:jc w:val="right"/>
              <w:rPr>
                <w:rFonts w:eastAsia="Times New Roman"/>
                <w:color w:val="000000"/>
                <w:sz w:val="20"/>
                <w:szCs w:val="20"/>
                <w:lang w:val="sq-AL" w:eastAsia="sq-AL"/>
              </w:rPr>
            </w:pPr>
            <w:r w:rsidRPr="00E42B60">
              <w:rPr>
                <w:rFonts w:eastAsia="Times New Roman"/>
                <w:color w:val="000000"/>
                <w:sz w:val="20"/>
                <w:szCs w:val="20"/>
                <w:lang w:eastAsia="sq-AL"/>
              </w:rPr>
              <w:t>3,045</w:t>
            </w:r>
          </w:p>
        </w:tc>
        <w:tc>
          <w:tcPr>
            <w:tcW w:w="1434" w:type="dxa"/>
            <w:shd w:val="clear" w:color="auto" w:fill="FFFFFF"/>
            <w:noWrap/>
            <w:vAlign w:val="center"/>
            <w:hideMark/>
          </w:tcPr>
          <w:p w:rsidR="00E42B60" w:rsidRPr="00E42B60" w:rsidRDefault="00E42B60" w:rsidP="00E42B60">
            <w:pPr>
              <w:jc w:val="right"/>
              <w:rPr>
                <w:rFonts w:eastAsia="Times New Roman"/>
                <w:color w:val="000000"/>
                <w:sz w:val="20"/>
                <w:szCs w:val="20"/>
                <w:lang w:val="sq-AL" w:eastAsia="sq-AL"/>
              </w:rPr>
            </w:pPr>
            <w:r w:rsidRPr="00E42B60">
              <w:rPr>
                <w:rFonts w:eastAsia="Times New Roman"/>
                <w:color w:val="000000"/>
                <w:sz w:val="20"/>
                <w:szCs w:val="20"/>
                <w:lang w:eastAsia="sq-AL"/>
              </w:rPr>
              <w:t xml:space="preserve">   2,014</w:t>
            </w:r>
          </w:p>
        </w:tc>
        <w:tc>
          <w:tcPr>
            <w:tcW w:w="1692" w:type="dxa"/>
            <w:shd w:val="clear" w:color="auto" w:fill="FFFFFF"/>
            <w:noWrap/>
            <w:vAlign w:val="center"/>
            <w:hideMark/>
          </w:tcPr>
          <w:p w:rsidR="00E42B60" w:rsidRPr="00E42B60" w:rsidRDefault="00E42B60" w:rsidP="00E42B60">
            <w:pPr>
              <w:jc w:val="right"/>
              <w:rPr>
                <w:rFonts w:eastAsia="Times New Roman"/>
                <w:color w:val="000000"/>
                <w:sz w:val="20"/>
                <w:szCs w:val="20"/>
                <w:lang w:val="sq-AL" w:eastAsia="sq-AL"/>
              </w:rPr>
            </w:pPr>
            <w:r w:rsidRPr="00E42B60">
              <w:rPr>
                <w:rFonts w:eastAsia="Times New Roman"/>
                <w:color w:val="000000"/>
                <w:sz w:val="20"/>
                <w:szCs w:val="20"/>
                <w:lang w:eastAsia="sq-AL"/>
              </w:rPr>
              <w:t>-1,031</w:t>
            </w:r>
          </w:p>
        </w:tc>
        <w:tc>
          <w:tcPr>
            <w:tcW w:w="1500" w:type="dxa"/>
            <w:shd w:val="clear" w:color="auto" w:fill="FFFFFF"/>
            <w:noWrap/>
            <w:vAlign w:val="center"/>
            <w:hideMark/>
          </w:tcPr>
          <w:p w:rsidR="00E42B60" w:rsidRPr="00E42B60" w:rsidRDefault="00E42B60" w:rsidP="00E42B60">
            <w:pPr>
              <w:jc w:val="right"/>
              <w:rPr>
                <w:rFonts w:eastAsia="Times New Roman"/>
                <w:color w:val="000000"/>
                <w:sz w:val="20"/>
                <w:szCs w:val="20"/>
                <w:lang w:val="sq-AL" w:eastAsia="sq-AL"/>
              </w:rPr>
            </w:pPr>
            <w:r w:rsidRPr="00E42B60">
              <w:rPr>
                <w:rFonts w:eastAsia="Times New Roman"/>
                <w:color w:val="000000"/>
                <w:sz w:val="20"/>
                <w:szCs w:val="20"/>
                <w:lang w:eastAsia="sq-AL"/>
              </w:rPr>
              <w:t>-33.86%</w:t>
            </w:r>
          </w:p>
        </w:tc>
      </w:tr>
      <w:tr w:rsidR="00E42B60" w:rsidRPr="00E42B60" w:rsidTr="00DF6420">
        <w:trPr>
          <w:trHeight w:val="219"/>
          <w:jc w:val="center"/>
        </w:trPr>
        <w:tc>
          <w:tcPr>
            <w:tcW w:w="3192" w:type="dxa"/>
            <w:tcBorders>
              <w:top w:val="single" w:sz="4" w:space="0" w:color="auto"/>
              <w:left w:val="nil"/>
              <w:bottom w:val="double" w:sz="6" w:space="0" w:color="auto"/>
              <w:right w:val="nil"/>
            </w:tcBorders>
            <w:shd w:val="clear" w:color="auto" w:fill="FFFFFF"/>
            <w:noWrap/>
            <w:vAlign w:val="center"/>
            <w:hideMark/>
          </w:tcPr>
          <w:p w:rsidR="00E42B60" w:rsidRPr="00E42B60" w:rsidRDefault="00E42B60" w:rsidP="00E42B60">
            <w:pPr>
              <w:rPr>
                <w:rFonts w:eastAsia="Times New Roman"/>
                <w:b/>
                <w:bCs/>
                <w:color w:val="000000"/>
                <w:sz w:val="21"/>
                <w:szCs w:val="21"/>
                <w:lang w:val="sq-AL" w:eastAsia="sq-AL"/>
              </w:rPr>
            </w:pPr>
            <w:r w:rsidRPr="00E42B60">
              <w:rPr>
                <w:rFonts w:eastAsia="Times New Roman"/>
                <w:b/>
                <w:bCs/>
                <w:color w:val="000000"/>
                <w:sz w:val="21"/>
                <w:szCs w:val="21"/>
                <w:lang w:eastAsia="sq-AL"/>
              </w:rPr>
              <w:t>Total</w:t>
            </w:r>
          </w:p>
        </w:tc>
        <w:tc>
          <w:tcPr>
            <w:tcW w:w="1434" w:type="dxa"/>
            <w:tcBorders>
              <w:top w:val="single" w:sz="4" w:space="0" w:color="auto"/>
              <w:left w:val="nil"/>
              <w:bottom w:val="double" w:sz="6" w:space="0" w:color="auto"/>
              <w:right w:val="nil"/>
            </w:tcBorders>
            <w:shd w:val="clear" w:color="auto" w:fill="FFFFFF"/>
            <w:noWrap/>
            <w:vAlign w:val="center"/>
            <w:hideMark/>
          </w:tcPr>
          <w:p w:rsidR="00E42B60" w:rsidRPr="00E42B60" w:rsidRDefault="00E42B60" w:rsidP="00E42B60">
            <w:pPr>
              <w:jc w:val="right"/>
              <w:rPr>
                <w:rFonts w:eastAsia="Times New Roman"/>
                <w:b/>
                <w:bCs/>
                <w:color w:val="000000"/>
                <w:sz w:val="21"/>
                <w:szCs w:val="21"/>
                <w:lang w:val="sq-AL" w:eastAsia="sq-AL"/>
              </w:rPr>
            </w:pPr>
            <w:r w:rsidRPr="00E42B60">
              <w:rPr>
                <w:rFonts w:eastAsia="Times New Roman"/>
                <w:b/>
                <w:bCs/>
                <w:color w:val="000000"/>
                <w:sz w:val="21"/>
                <w:szCs w:val="21"/>
                <w:lang w:eastAsia="sq-AL"/>
              </w:rPr>
              <w:t>112,301</w:t>
            </w:r>
          </w:p>
        </w:tc>
        <w:tc>
          <w:tcPr>
            <w:tcW w:w="1434" w:type="dxa"/>
            <w:tcBorders>
              <w:top w:val="single" w:sz="4" w:space="0" w:color="auto"/>
              <w:left w:val="nil"/>
              <w:bottom w:val="double" w:sz="6" w:space="0" w:color="auto"/>
              <w:right w:val="nil"/>
            </w:tcBorders>
            <w:shd w:val="clear" w:color="auto" w:fill="FFFFFF"/>
            <w:noWrap/>
            <w:vAlign w:val="center"/>
            <w:hideMark/>
          </w:tcPr>
          <w:p w:rsidR="00E42B60" w:rsidRPr="00E42B60" w:rsidRDefault="00E42B60" w:rsidP="00E42B60">
            <w:pPr>
              <w:jc w:val="right"/>
              <w:rPr>
                <w:rFonts w:eastAsia="Times New Roman"/>
                <w:b/>
                <w:bCs/>
                <w:color w:val="000000"/>
                <w:sz w:val="21"/>
                <w:szCs w:val="21"/>
                <w:lang w:val="sq-AL" w:eastAsia="sq-AL"/>
              </w:rPr>
            </w:pPr>
            <w:r w:rsidRPr="00E42B60">
              <w:rPr>
                <w:rFonts w:eastAsia="Times New Roman"/>
                <w:b/>
                <w:bCs/>
                <w:color w:val="000000"/>
                <w:sz w:val="21"/>
                <w:szCs w:val="21"/>
                <w:lang w:eastAsia="sq-AL"/>
              </w:rPr>
              <w:t>108,771</w:t>
            </w:r>
          </w:p>
        </w:tc>
        <w:tc>
          <w:tcPr>
            <w:tcW w:w="1692" w:type="dxa"/>
            <w:tcBorders>
              <w:top w:val="single" w:sz="4" w:space="0" w:color="auto"/>
              <w:left w:val="nil"/>
              <w:bottom w:val="double" w:sz="6" w:space="0" w:color="auto"/>
              <w:right w:val="nil"/>
            </w:tcBorders>
            <w:shd w:val="clear" w:color="auto" w:fill="FFFFFF"/>
            <w:noWrap/>
            <w:vAlign w:val="center"/>
            <w:hideMark/>
          </w:tcPr>
          <w:p w:rsidR="00E42B60" w:rsidRPr="00E42B60" w:rsidRDefault="00E42B60" w:rsidP="00E42B60">
            <w:pPr>
              <w:jc w:val="right"/>
              <w:rPr>
                <w:rFonts w:eastAsia="Times New Roman"/>
                <w:b/>
                <w:bCs/>
                <w:color w:val="000000"/>
                <w:sz w:val="21"/>
                <w:szCs w:val="21"/>
                <w:lang w:val="sq-AL" w:eastAsia="sq-AL"/>
              </w:rPr>
            </w:pPr>
            <w:r w:rsidRPr="00E42B60">
              <w:rPr>
                <w:rFonts w:eastAsia="Times New Roman"/>
                <w:b/>
                <w:bCs/>
                <w:color w:val="000000"/>
                <w:sz w:val="21"/>
                <w:szCs w:val="21"/>
                <w:lang w:eastAsia="sq-AL"/>
              </w:rPr>
              <w:t>-3,530</w:t>
            </w:r>
          </w:p>
        </w:tc>
        <w:tc>
          <w:tcPr>
            <w:tcW w:w="1500" w:type="dxa"/>
            <w:tcBorders>
              <w:top w:val="single" w:sz="4" w:space="0" w:color="auto"/>
              <w:left w:val="nil"/>
              <w:bottom w:val="double" w:sz="6" w:space="0" w:color="auto"/>
              <w:right w:val="nil"/>
            </w:tcBorders>
            <w:shd w:val="clear" w:color="auto" w:fill="FFFFFF"/>
            <w:noWrap/>
            <w:vAlign w:val="center"/>
            <w:hideMark/>
          </w:tcPr>
          <w:p w:rsidR="00E42B60" w:rsidRPr="00E42B60" w:rsidRDefault="00E42B60" w:rsidP="00E42B60">
            <w:pPr>
              <w:jc w:val="right"/>
              <w:rPr>
                <w:rFonts w:eastAsia="Times New Roman"/>
                <w:b/>
                <w:bCs/>
                <w:color w:val="000000"/>
                <w:sz w:val="21"/>
                <w:szCs w:val="21"/>
                <w:lang w:val="sq-AL" w:eastAsia="sq-AL"/>
              </w:rPr>
            </w:pPr>
            <w:r w:rsidRPr="00E42B60">
              <w:rPr>
                <w:rFonts w:eastAsia="Times New Roman"/>
                <w:b/>
                <w:bCs/>
                <w:color w:val="000000"/>
                <w:sz w:val="21"/>
                <w:szCs w:val="21"/>
                <w:lang w:eastAsia="sq-AL"/>
              </w:rPr>
              <w:t>-3.14%</w:t>
            </w:r>
          </w:p>
        </w:tc>
      </w:tr>
    </w:tbl>
    <w:p w:rsidR="00E42B60" w:rsidRPr="00E42B60" w:rsidRDefault="00E42B60" w:rsidP="00E42B60">
      <w:pPr>
        <w:ind w:firstLine="720"/>
        <w:rPr>
          <w:lang w:val="sq-AL"/>
        </w:rPr>
      </w:pPr>
      <w:r w:rsidRPr="00E42B60">
        <w:rPr>
          <w:b/>
          <w:sz w:val="20"/>
          <w:szCs w:val="20"/>
          <w:lang w:val="sq-AL"/>
        </w:rPr>
        <w:t xml:space="preserve"> Burimi:</w:t>
      </w:r>
      <w:r w:rsidRPr="00E42B60">
        <w:rPr>
          <w:b/>
          <w:i/>
          <w:sz w:val="20"/>
          <w:szCs w:val="20"/>
          <w:lang w:val="sq-AL"/>
        </w:rPr>
        <w:t xml:space="preserve"> </w:t>
      </w:r>
      <w:r w:rsidRPr="00E42B60">
        <w:rPr>
          <w:i/>
          <w:sz w:val="20"/>
          <w:szCs w:val="20"/>
          <w:lang w:val="sq-AL"/>
        </w:rPr>
        <w:t>Ministria e Financave (2016)</w:t>
      </w:r>
    </w:p>
    <w:p w:rsidR="00E42B60" w:rsidRPr="00E42B60" w:rsidRDefault="00E42B60" w:rsidP="00E42B60">
      <w:pPr>
        <w:jc w:val="both"/>
        <w:rPr>
          <w:rFonts w:eastAsia="Calibri"/>
          <w:b/>
          <w:i/>
          <w:lang w:val="sq-AL"/>
        </w:rPr>
      </w:pPr>
    </w:p>
    <w:p w:rsidR="00E42B60" w:rsidRPr="00E42B60" w:rsidRDefault="00E42B60" w:rsidP="00E42B60">
      <w:pPr>
        <w:spacing w:line="276" w:lineRule="auto"/>
        <w:jc w:val="both"/>
        <w:rPr>
          <w:rFonts w:eastAsia="Calibri"/>
          <w:lang w:val="sq-AL"/>
        </w:rPr>
      </w:pPr>
      <w:r w:rsidRPr="00E42B60">
        <w:rPr>
          <w:rFonts w:eastAsia="Calibri"/>
          <w:b/>
          <w:i/>
          <w:lang w:val="sq-AL"/>
        </w:rPr>
        <w:lastRenderedPageBreak/>
        <w:t>Të ardhurat nga TVSH-ja në import</w:t>
      </w:r>
      <w:r w:rsidRPr="00E42B60">
        <w:rPr>
          <w:rFonts w:eastAsia="Calibri"/>
          <w:lang w:val="sq-AL"/>
        </w:rPr>
        <w:t xml:space="preserve"> janë realizuar në vlerën 71.3 miliardë lekë,  3.7% më shumë se 9-mujori  i vitit 2015 dhe me një realizim të planit të periudhës në masën 97.6 %. </w:t>
      </w:r>
    </w:p>
    <w:p w:rsidR="00E42B60" w:rsidRDefault="00E42B60" w:rsidP="00E42B60">
      <w:pPr>
        <w:spacing w:line="276" w:lineRule="auto"/>
        <w:jc w:val="both"/>
        <w:rPr>
          <w:rFonts w:eastAsia="Calibri"/>
          <w:b/>
          <w:bCs/>
          <w:i/>
          <w:lang w:val="sq-AL"/>
        </w:rPr>
      </w:pPr>
    </w:p>
    <w:p w:rsidR="00E42B60" w:rsidRPr="00E42B60" w:rsidRDefault="00E42B60" w:rsidP="00E42B60">
      <w:pPr>
        <w:spacing w:line="276" w:lineRule="auto"/>
        <w:jc w:val="both"/>
        <w:rPr>
          <w:rFonts w:eastAsia="Calibri"/>
          <w:lang w:val="sq-AL"/>
        </w:rPr>
      </w:pPr>
      <w:r w:rsidRPr="00E42B60">
        <w:rPr>
          <w:rFonts w:eastAsia="Calibri"/>
          <w:b/>
          <w:bCs/>
          <w:i/>
          <w:lang w:val="sq-AL"/>
        </w:rPr>
        <w:t>Të ardhurat nga taksa doganore</w:t>
      </w:r>
      <w:r w:rsidRPr="00E42B60">
        <w:rPr>
          <w:rFonts w:eastAsia="Calibri"/>
          <w:lang w:val="sq-AL"/>
        </w:rPr>
        <w:t xml:space="preserve"> janë realizuar në vlerën 4.4 miliardë lekë, 5.7% më shumë se 9 mujori i vitit 2015 dhe 0.6% më shumë se plani. </w:t>
      </w:r>
    </w:p>
    <w:p w:rsidR="00E42B60" w:rsidRDefault="00E42B60" w:rsidP="00E42B60">
      <w:pPr>
        <w:spacing w:line="276" w:lineRule="auto"/>
        <w:jc w:val="both"/>
        <w:rPr>
          <w:rFonts w:eastAsia="Calibri"/>
          <w:b/>
          <w:i/>
          <w:lang w:val="sq-AL"/>
        </w:rPr>
      </w:pPr>
    </w:p>
    <w:p w:rsidR="00E42B60" w:rsidRPr="00E42B60" w:rsidRDefault="00E42B60" w:rsidP="00E42B60">
      <w:pPr>
        <w:spacing w:line="276" w:lineRule="auto"/>
        <w:jc w:val="both"/>
        <w:rPr>
          <w:rFonts w:eastAsia="Calibri"/>
          <w:lang w:val="sq-AL"/>
        </w:rPr>
      </w:pPr>
      <w:r w:rsidRPr="00E42B60">
        <w:rPr>
          <w:rFonts w:eastAsia="Calibri"/>
          <w:b/>
          <w:i/>
          <w:lang w:val="sq-AL"/>
        </w:rPr>
        <w:t>Të ardhurat nga renta minerare</w:t>
      </w:r>
      <w:r w:rsidRPr="00E42B60">
        <w:rPr>
          <w:rFonts w:eastAsia="Calibri"/>
          <w:lang w:val="sq-AL"/>
        </w:rPr>
        <w:t xml:space="preserve"> janë realizuar në vlerën 2 miliardë lekë, -33.7% krahasuar me 9 mujorin e vitit 2015 dhe -33.8% krahasuar me planin. Arsyet lidhen me rënien drastike të çmimit të naftës bruto në tregun ndërkombëtar. Në kushtet që renta llogaritet si përqindje ndaj vlerës, rezultoi se megjithëse sasia e eksportit të naftës bruto u rrit me 21,337 ton ose 2.9%, të ardhurat nga renta u ulën me 913 milion lekë krahasuar me 9-mujorin e vitit 2015. Renta për kg e naftës bruto ka rënie nga 3.41 lekë/kg për 9-mujorin 2015 në 2.07 lekë/kg  për 9-mujorin 2016</w:t>
      </w:r>
    </w:p>
    <w:p w:rsidR="00E42B60" w:rsidRPr="00E42B60" w:rsidRDefault="00E42B60" w:rsidP="00E42B60">
      <w:pPr>
        <w:spacing w:line="276" w:lineRule="auto"/>
        <w:jc w:val="both"/>
        <w:rPr>
          <w:rFonts w:eastAsia="Calibri"/>
          <w:b/>
          <w:i/>
          <w:lang w:val="sq-AL"/>
        </w:rPr>
      </w:pPr>
    </w:p>
    <w:p w:rsidR="00E42B60" w:rsidRPr="00E42B60" w:rsidRDefault="00E42B60" w:rsidP="00E42B60">
      <w:pPr>
        <w:spacing w:line="276" w:lineRule="auto"/>
        <w:jc w:val="both"/>
        <w:rPr>
          <w:rFonts w:eastAsia="Calibri"/>
          <w:lang w:val="sq-AL"/>
        </w:rPr>
      </w:pPr>
      <w:r w:rsidRPr="00E42B60">
        <w:rPr>
          <w:rFonts w:eastAsia="Calibri"/>
          <w:b/>
          <w:i/>
          <w:lang w:val="sq-AL"/>
        </w:rPr>
        <w:t>Të ardhurat nga akciza</w:t>
      </w:r>
      <w:r w:rsidRPr="00E42B60">
        <w:rPr>
          <w:rFonts w:eastAsia="Calibri"/>
          <w:lang w:val="sq-AL"/>
        </w:rPr>
        <w:t xml:space="preserve"> janë realizuar në vlerën 30.9 miliardë lekë, 4.9% më shumë se 9-mujori i vitit 2015 dhe 2.4% më pak se plani.</w:t>
      </w:r>
    </w:p>
    <w:p w:rsidR="00E42B60" w:rsidRPr="00E42B60" w:rsidRDefault="00E42B60" w:rsidP="00E42B60">
      <w:pPr>
        <w:spacing w:line="276" w:lineRule="auto"/>
        <w:jc w:val="both"/>
        <w:rPr>
          <w:rFonts w:eastAsia="Calibri"/>
          <w:lang w:val="sq-AL"/>
        </w:rPr>
      </w:pPr>
      <w:r w:rsidRPr="00E42B60">
        <w:rPr>
          <w:rFonts w:eastAsia="Calibri"/>
          <w:lang w:val="sq-AL"/>
        </w:rPr>
        <w:t xml:space="preserve">Sasia </w:t>
      </w:r>
      <w:r w:rsidRPr="00E42B60">
        <w:rPr>
          <w:rFonts w:eastAsia="Calibri"/>
          <w:i/>
          <w:lang w:val="sq-AL"/>
        </w:rPr>
        <w:t xml:space="preserve">e cigares së importuar </w:t>
      </w:r>
      <w:r w:rsidRPr="00E42B60">
        <w:rPr>
          <w:rFonts w:eastAsia="Calibri"/>
          <w:lang w:val="sq-AL"/>
        </w:rPr>
        <w:t>është rritur me 314 ton ose 16.8% më shumë krahasuar me të njëjtën periudhë të vitit 2015 duke arkëtuar 2.4 miliardë lekë më shumë. Arsyet e performancës pozitive përveç përmirësimit të vazhdueshëm të administrimit, lidhen edhe me situatën e normalizuar të fluksit të importeve të pandikuar nga ndryshimet e nivelit të taksimit për vitin 2016 për cigaret.</w:t>
      </w:r>
    </w:p>
    <w:p w:rsidR="00E42B60" w:rsidRPr="00E42B60" w:rsidRDefault="00E42B60" w:rsidP="00E42B60">
      <w:pPr>
        <w:spacing w:line="276" w:lineRule="auto"/>
        <w:jc w:val="both"/>
        <w:rPr>
          <w:rFonts w:eastAsia="Calibri"/>
          <w:lang w:val="sq-AL"/>
        </w:rPr>
      </w:pPr>
      <w:r w:rsidRPr="00E42B60">
        <w:rPr>
          <w:rFonts w:eastAsia="Calibri"/>
          <w:lang w:val="sq-AL"/>
        </w:rPr>
        <w:t>Për zërin “</w:t>
      </w:r>
      <w:r w:rsidRPr="00E42B60">
        <w:rPr>
          <w:rFonts w:eastAsia="Calibri"/>
          <w:i/>
          <w:lang w:val="sq-AL"/>
        </w:rPr>
        <w:t>Karburant import + prodhim vendi</w:t>
      </w:r>
      <w:r w:rsidRPr="00E42B60">
        <w:rPr>
          <w:rFonts w:eastAsia="Calibri"/>
          <w:lang w:val="sq-AL"/>
        </w:rPr>
        <w:t>”, ka një rënie në të ardhura krahasuar me të njëjtën periudhë të vitit 2015 me rreth 5.3%. Arsyet e kësaj rënieje kanë të bëjnë me çmimin e karburantit. Edhe pse sasia e karburantit është rritur me 0.4% ose me 1,571 ton, efekti i rënies së çmimit të karburantit ka sjellë për pasojë rënien e të ardhurave nga akciza për karburantet.</w:t>
      </w:r>
    </w:p>
    <w:p w:rsidR="00E42B60" w:rsidRPr="00E42B60" w:rsidRDefault="00E42B60" w:rsidP="00E42B60">
      <w:pPr>
        <w:spacing w:line="276" w:lineRule="auto"/>
        <w:jc w:val="both"/>
        <w:rPr>
          <w:rFonts w:eastAsia="Calibri"/>
          <w:lang w:val="sq-AL"/>
        </w:rPr>
      </w:pPr>
      <w:r w:rsidRPr="00E42B60">
        <w:rPr>
          <w:rFonts w:eastAsia="Calibri"/>
          <w:lang w:val="sq-AL"/>
        </w:rPr>
        <w:t>Për mallrat e tjerë të akcizës në përgjithësi paraqitet situatë pozitive, me rritje të sasive të importuara dhe të prodhuara brenda vendit, krahasuar me të njëjtën periudhë të vitit 2015.</w:t>
      </w:r>
    </w:p>
    <w:p w:rsidR="00E42B60" w:rsidRDefault="00E42B60" w:rsidP="00E42B60">
      <w:pPr>
        <w:spacing w:line="276" w:lineRule="auto"/>
        <w:rPr>
          <w:rFonts w:eastAsia="Calibri"/>
          <w:b/>
          <w:i/>
        </w:rPr>
      </w:pPr>
    </w:p>
    <w:p w:rsidR="00E42B60" w:rsidRPr="00E42B60" w:rsidRDefault="00E42B60" w:rsidP="00E42B60">
      <w:pPr>
        <w:spacing w:line="276" w:lineRule="auto"/>
        <w:rPr>
          <w:rFonts w:eastAsia="Calibri"/>
          <w:b/>
          <w:i/>
        </w:rPr>
      </w:pPr>
      <w:r w:rsidRPr="00E42B60">
        <w:rPr>
          <w:rFonts w:eastAsia="Calibri"/>
          <w:b/>
          <w:i/>
        </w:rPr>
        <w:t>Drejtoria e Përgjithshme e Tatimeve</w:t>
      </w:r>
    </w:p>
    <w:p w:rsidR="00E42B60" w:rsidRPr="00E42B60" w:rsidRDefault="00E42B60" w:rsidP="00E42B60">
      <w:pPr>
        <w:spacing w:before="80" w:line="276" w:lineRule="auto"/>
        <w:jc w:val="both"/>
        <w:rPr>
          <w:noProof/>
        </w:rPr>
      </w:pPr>
      <w:r w:rsidRPr="00E42B60">
        <w:rPr>
          <w:rFonts w:eastAsia="Calibri"/>
        </w:rPr>
        <w:t>Të ardhurat e mbledhura (përfshirë kontributet) për 9 mujorin e vitit 2016 janë realizuar në vlerën 150.7 miliardë lekë, 17.7 miliardë lekë ose 13.3% më shumë se e njëjta periudhë e një viti më parë dhe tejkalim të parashikimeve me 2.1 miliardë lekë ose 1.4%.</w:t>
      </w:r>
      <w:r w:rsidRPr="00E42B60">
        <w:rPr>
          <w:noProof/>
        </w:rPr>
        <w:t xml:space="preserve"> </w:t>
      </w:r>
    </w:p>
    <w:p w:rsidR="00E42B60" w:rsidRPr="00E42B60" w:rsidRDefault="00E42B60" w:rsidP="00E42B60">
      <w:pPr>
        <w:spacing w:before="80"/>
        <w:jc w:val="both"/>
        <w:rPr>
          <w:noProof/>
        </w:rPr>
      </w:pPr>
    </w:p>
    <w:p w:rsidR="00E42B60" w:rsidRPr="00E42B60" w:rsidRDefault="00E42B60" w:rsidP="00E42B60">
      <w:pPr>
        <w:tabs>
          <w:tab w:val="left" w:pos="2511"/>
          <w:tab w:val="center" w:pos="4680"/>
        </w:tabs>
        <w:rPr>
          <w:lang w:val="it-IT"/>
        </w:rPr>
      </w:pPr>
      <w:r w:rsidRPr="00E42B60">
        <w:rPr>
          <w:rFonts w:eastAsia="Times New Roman"/>
          <w:b/>
          <w:i/>
          <w:sz w:val="20"/>
          <w:szCs w:val="20"/>
          <w:lang w:val="sq-AL"/>
        </w:rPr>
        <w:t xml:space="preserve">   Grafiku </w:t>
      </w:r>
      <w:r w:rsidR="00596ACC">
        <w:rPr>
          <w:rFonts w:eastAsia="Times New Roman"/>
          <w:b/>
          <w:i/>
          <w:sz w:val="20"/>
          <w:szCs w:val="20"/>
          <w:lang w:val="sq-AL"/>
        </w:rPr>
        <w:t>8</w:t>
      </w:r>
      <w:r w:rsidRPr="00E42B60">
        <w:rPr>
          <w:rFonts w:eastAsia="Times New Roman"/>
          <w:i/>
          <w:sz w:val="20"/>
          <w:szCs w:val="20"/>
          <w:lang w:val="sq-AL"/>
        </w:rPr>
        <w:t xml:space="preserve"> Performanc</w:t>
      </w:r>
      <w:r w:rsidRPr="00E42B60">
        <w:rPr>
          <w:rFonts w:eastAsia="Times New Roman"/>
          <w:i/>
          <w:sz w:val="20"/>
          <w:lang w:val="sq-AL"/>
        </w:rPr>
        <w:t>a</w:t>
      </w:r>
      <w:r w:rsidRPr="00E42B60">
        <w:rPr>
          <w:rFonts w:eastAsia="Times New Roman"/>
          <w:i/>
          <w:sz w:val="20"/>
          <w:szCs w:val="20"/>
          <w:lang w:val="sq-AL"/>
        </w:rPr>
        <w:t xml:space="preserve"> e DPT-së për periudh</w:t>
      </w:r>
      <w:r w:rsidRPr="00E42B60">
        <w:rPr>
          <w:rFonts w:eastAsia="Times New Roman"/>
          <w:i/>
          <w:sz w:val="20"/>
          <w:lang w:val="sq-AL"/>
        </w:rPr>
        <w:t>ën Janar-Shtator 2016</w:t>
      </w:r>
      <w:r w:rsidRPr="00E42B60">
        <w:rPr>
          <w:rFonts w:eastAsia="Times New Roman"/>
          <w:i/>
          <w:sz w:val="20"/>
          <w:lang w:val="sq-AL"/>
        </w:rPr>
        <w:tab/>
      </w:r>
      <w:r w:rsidRPr="00E42B60">
        <w:rPr>
          <w:rFonts w:eastAsia="Times New Roman"/>
          <w:i/>
          <w:sz w:val="20"/>
          <w:lang w:val="sq-AL"/>
        </w:rPr>
        <w:tab/>
      </w:r>
      <w:r w:rsidRPr="00E42B60">
        <w:rPr>
          <w:rFonts w:eastAsia="Times New Roman"/>
          <w:i/>
          <w:sz w:val="20"/>
          <w:lang w:val="sq-AL"/>
        </w:rPr>
        <w:tab/>
      </w:r>
      <w:r w:rsidRPr="00E42B60">
        <w:rPr>
          <w:rFonts w:eastAsia="Times New Roman"/>
          <w:i/>
          <w:sz w:val="20"/>
          <w:lang w:val="sq-AL"/>
        </w:rPr>
        <w:tab/>
        <w:t>(në milion lekë)</w:t>
      </w:r>
      <w:r w:rsidRPr="00E42B60">
        <w:rPr>
          <w:lang w:val="it-IT"/>
        </w:rPr>
        <w:t xml:space="preserve"> </w:t>
      </w:r>
    </w:p>
    <w:p w:rsidR="00E42B60" w:rsidRDefault="00E42B60" w:rsidP="00E42B60">
      <w:pPr>
        <w:jc w:val="center"/>
        <w:rPr>
          <w:b/>
          <w:sz w:val="16"/>
          <w:szCs w:val="16"/>
          <w:lang w:val="sq-AL"/>
        </w:rPr>
      </w:pPr>
      <w:r w:rsidRPr="00E42B60">
        <w:rPr>
          <w:noProof/>
          <w:sz w:val="20"/>
          <w:lang w:val="sq-AL" w:eastAsia="sq-AL"/>
        </w:rPr>
        <w:drawing>
          <wp:inline distT="0" distB="0" distL="0" distR="0" wp14:anchorId="290F35E4" wp14:editId="47933EB3">
            <wp:extent cx="6084570" cy="1899285"/>
            <wp:effectExtent l="19050" t="19050" r="11430" b="24765"/>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27">
                      <a:extLst>
                        <a:ext uri="{28A0092B-C50C-407E-A947-70E740481C1C}">
                          <a14:useLocalDpi xmlns:a14="http://schemas.microsoft.com/office/drawing/2010/main" val="0"/>
                        </a:ext>
                      </a:extLst>
                    </a:blip>
                    <a:srcRect l="-206" t="-3777" r="-1038" b="-2344"/>
                    <a:stretch>
                      <a:fillRect/>
                    </a:stretch>
                  </pic:blipFill>
                  <pic:spPr bwMode="auto">
                    <a:xfrm>
                      <a:off x="0" y="0"/>
                      <a:ext cx="6084570" cy="1899285"/>
                    </a:xfrm>
                    <a:prstGeom prst="rect">
                      <a:avLst/>
                    </a:prstGeom>
                    <a:noFill/>
                    <a:ln w="19050" cmpd="sng">
                      <a:solidFill>
                        <a:srgbClr val="000000"/>
                      </a:solidFill>
                      <a:miter lim="800000"/>
                      <a:headEnd/>
                      <a:tailEnd/>
                    </a:ln>
                    <a:effectLst/>
                  </pic:spPr>
                </pic:pic>
              </a:graphicData>
            </a:graphic>
          </wp:inline>
        </w:drawing>
      </w:r>
    </w:p>
    <w:p w:rsidR="00E42B60" w:rsidRPr="00E42B60" w:rsidRDefault="00E42B60" w:rsidP="00E42B60">
      <w:pPr>
        <w:jc w:val="center"/>
        <w:rPr>
          <w:b/>
          <w:sz w:val="20"/>
          <w:szCs w:val="20"/>
          <w:lang w:val="sq-AL"/>
        </w:rPr>
      </w:pPr>
      <w:r w:rsidRPr="00E42B60">
        <w:rPr>
          <w:b/>
          <w:sz w:val="16"/>
          <w:szCs w:val="16"/>
          <w:lang w:val="sq-AL"/>
        </w:rPr>
        <w:t>Burimi:</w:t>
      </w:r>
      <w:r w:rsidRPr="00E42B60">
        <w:rPr>
          <w:b/>
          <w:i/>
          <w:sz w:val="16"/>
          <w:szCs w:val="16"/>
          <w:lang w:val="sq-AL"/>
        </w:rPr>
        <w:t xml:space="preserve"> </w:t>
      </w:r>
      <w:r w:rsidRPr="00E42B60">
        <w:rPr>
          <w:i/>
          <w:sz w:val="16"/>
          <w:szCs w:val="16"/>
          <w:lang w:val="sq-AL"/>
        </w:rPr>
        <w:t>Ministria e Financave (2016)</w:t>
      </w:r>
    </w:p>
    <w:p w:rsidR="00E42B60" w:rsidRDefault="00E42B60" w:rsidP="00E42B60">
      <w:pPr>
        <w:tabs>
          <w:tab w:val="left" w:pos="2511"/>
          <w:tab w:val="center" w:pos="4680"/>
        </w:tabs>
        <w:rPr>
          <w:rFonts w:eastAsia="Times New Roman"/>
          <w:b/>
          <w:i/>
          <w:sz w:val="20"/>
          <w:szCs w:val="20"/>
          <w:lang w:val="sq-AL"/>
        </w:rPr>
      </w:pPr>
      <w:r w:rsidRPr="00E42B60">
        <w:rPr>
          <w:rFonts w:eastAsia="Times New Roman"/>
          <w:b/>
          <w:i/>
          <w:sz w:val="20"/>
          <w:szCs w:val="20"/>
          <w:lang w:val="sq-AL"/>
        </w:rPr>
        <w:t xml:space="preserve">  </w:t>
      </w:r>
    </w:p>
    <w:p w:rsidR="00E42B60" w:rsidRDefault="00E42B60" w:rsidP="00E42B60">
      <w:pPr>
        <w:tabs>
          <w:tab w:val="left" w:pos="2511"/>
          <w:tab w:val="center" w:pos="4680"/>
        </w:tabs>
        <w:rPr>
          <w:rFonts w:eastAsia="Times New Roman"/>
          <w:b/>
          <w:i/>
          <w:sz w:val="20"/>
          <w:szCs w:val="20"/>
          <w:lang w:val="sq-AL"/>
        </w:rPr>
      </w:pPr>
    </w:p>
    <w:p w:rsidR="00E42B60" w:rsidRDefault="00E42B60" w:rsidP="00E42B60">
      <w:pPr>
        <w:tabs>
          <w:tab w:val="left" w:pos="2511"/>
          <w:tab w:val="center" w:pos="4680"/>
        </w:tabs>
        <w:rPr>
          <w:rFonts w:eastAsia="Times New Roman"/>
          <w:b/>
          <w:i/>
          <w:sz w:val="20"/>
          <w:szCs w:val="20"/>
          <w:lang w:val="sq-AL"/>
        </w:rPr>
      </w:pPr>
    </w:p>
    <w:p w:rsidR="00E42B60" w:rsidRDefault="00E42B60" w:rsidP="00E42B60">
      <w:pPr>
        <w:tabs>
          <w:tab w:val="left" w:pos="2511"/>
          <w:tab w:val="center" w:pos="4680"/>
        </w:tabs>
        <w:rPr>
          <w:rFonts w:eastAsia="Times New Roman"/>
          <w:b/>
          <w:i/>
          <w:sz w:val="20"/>
          <w:szCs w:val="20"/>
          <w:lang w:val="sq-AL"/>
        </w:rPr>
      </w:pPr>
    </w:p>
    <w:p w:rsidR="00E42B60" w:rsidRDefault="00E42B60" w:rsidP="00E42B60">
      <w:pPr>
        <w:tabs>
          <w:tab w:val="left" w:pos="2511"/>
          <w:tab w:val="center" w:pos="4680"/>
        </w:tabs>
        <w:rPr>
          <w:rFonts w:eastAsia="Times New Roman"/>
          <w:b/>
          <w:i/>
          <w:sz w:val="20"/>
          <w:szCs w:val="20"/>
          <w:lang w:val="sq-AL"/>
        </w:rPr>
      </w:pPr>
    </w:p>
    <w:p w:rsidR="00E42B60" w:rsidRPr="00E42B60" w:rsidRDefault="00E42B60" w:rsidP="00E42B60">
      <w:pPr>
        <w:tabs>
          <w:tab w:val="left" w:pos="2511"/>
          <w:tab w:val="center" w:pos="4680"/>
        </w:tabs>
        <w:rPr>
          <w:rFonts w:eastAsia="Times New Roman"/>
          <w:b/>
          <w:i/>
          <w:sz w:val="20"/>
          <w:szCs w:val="20"/>
          <w:lang w:val="sq-AL"/>
        </w:rPr>
      </w:pPr>
    </w:p>
    <w:p w:rsidR="00E42B60" w:rsidRPr="00E42B60" w:rsidRDefault="00E42B60" w:rsidP="00E42B60">
      <w:pPr>
        <w:tabs>
          <w:tab w:val="left" w:pos="2511"/>
          <w:tab w:val="center" w:pos="4680"/>
        </w:tabs>
        <w:rPr>
          <w:rFonts w:eastAsia="Times New Roman"/>
          <w:i/>
          <w:sz w:val="20"/>
          <w:lang w:val="sq-AL"/>
        </w:rPr>
      </w:pPr>
      <w:r w:rsidRPr="00E42B60">
        <w:rPr>
          <w:rFonts w:eastAsia="Times New Roman"/>
          <w:b/>
          <w:i/>
          <w:sz w:val="20"/>
          <w:szCs w:val="20"/>
          <w:lang w:val="sq-AL"/>
        </w:rPr>
        <w:t xml:space="preserve"> Tabela </w:t>
      </w:r>
      <w:r w:rsidR="00596ACC">
        <w:rPr>
          <w:rFonts w:eastAsia="Times New Roman"/>
          <w:b/>
          <w:i/>
          <w:sz w:val="20"/>
          <w:szCs w:val="20"/>
          <w:lang w:val="sq-AL"/>
        </w:rPr>
        <w:t>10</w:t>
      </w:r>
      <w:r w:rsidRPr="00E42B60">
        <w:rPr>
          <w:rFonts w:eastAsia="Times New Roman"/>
          <w:i/>
          <w:sz w:val="20"/>
          <w:szCs w:val="20"/>
          <w:lang w:val="sq-AL"/>
        </w:rPr>
        <w:t xml:space="preserve"> Performanca e DPT sipas taksave për periudh</w:t>
      </w:r>
      <w:r w:rsidRPr="00E42B60">
        <w:rPr>
          <w:rFonts w:eastAsia="Times New Roman"/>
          <w:i/>
          <w:sz w:val="20"/>
          <w:lang w:val="sq-AL"/>
        </w:rPr>
        <w:t>ën Janar-Shtator 2016</w:t>
      </w:r>
      <w:r w:rsidRPr="00E42B60">
        <w:rPr>
          <w:rFonts w:eastAsia="Times New Roman"/>
          <w:i/>
          <w:sz w:val="20"/>
          <w:lang w:val="sq-AL"/>
        </w:rPr>
        <w:tab/>
      </w:r>
      <w:r w:rsidRPr="00E42B60">
        <w:rPr>
          <w:rFonts w:eastAsia="Times New Roman"/>
          <w:i/>
          <w:sz w:val="20"/>
          <w:lang w:val="sq-AL"/>
        </w:rPr>
        <w:tab/>
        <w:t xml:space="preserve">              (në milion lekë)</w:t>
      </w:r>
    </w:p>
    <w:p w:rsidR="00E42B60" w:rsidRPr="00E42B60" w:rsidRDefault="00E42B60" w:rsidP="00E42B60">
      <w:pPr>
        <w:rPr>
          <w:rFonts w:eastAsia="Calibri"/>
          <w:i/>
          <w:sz w:val="2"/>
          <w:szCs w:val="20"/>
          <w:lang w:val="sq-AL"/>
        </w:rPr>
      </w:pPr>
    </w:p>
    <w:tbl>
      <w:tblPr>
        <w:tblW w:w="9174" w:type="dxa"/>
        <w:jc w:val="center"/>
        <w:tblLook w:val="04A0" w:firstRow="1" w:lastRow="0" w:firstColumn="1" w:lastColumn="0" w:noHBand="0" w:noVBand="1"/>
      </w:tblPr>
      <w:tblGrid>
        <w:gridCol w:w="1863"/>
        <w:gridCol w:w="1999"/>
        <w:gridCol w:w="1829"/>
        <w:gridCol w:w="1622"/>
        <w:gridCol w:w="1861"/>
      </w:tblGrid>
      <w:tr w:rsidR="00E42B60" w:rsidRPr="00E42B60" w:rsidTr="00DF6420">
        <w:trPr>
          <w:trHeight w:val="516"/>
          <w:jc w:val="center"/>
        </w:trPr>
        <w:tc>
          <w:tcPr>
            <w:tcW w:w="1863" w:type="dxa"/>
            <w:tcBorders>
              <w:top w:val="single" w:sz="8" w:space="0" w:color="auto"/>
              <w:left w:val="nil"/>
              <w:bottom w:val="double" w:sz="6" w:space="0" w:color="auto"/>
              <w:right w:val="nil"/>
            </w:tcBorders>
            <w:shd w:val="clear" w:color="auto" w:fill="FFFFFF"/>
            <w:noWrap/>
            <w:vAlign w:val="center"/>
            <w:hideMark/>
          </w:tcPr>
          <w:p w:rsidR="00E42B60" w:rsidRPr="00E42B60" w:rsidRDefault="00E42B60" w:rsidP="00E42B60">
            <w:pPr>
              <w:jc w:val="center"/>
              <w:rPr>
                <w:rFonts w:eastAsia="Times New Roman"/>
                <w:b/>
                <w:bCs/>
                <w:color w:val="000000"/>
                <w:sz w:val="16"/>
                <w:szCs w:val="16"/>
              </w:rPr>
            </w:pPr>
            <w:r w:rsidRPr="00E42B60">
              <w:rPr>
                <w:rFonts w:eastAsia="Times New Roman"/>
                <w:b/>
                <w:bCs/>
                <w:color w:val="000000"/>
                <w:sz w:val="16"/>
                <w:szCs w:val="16"/>
                <w:lang w:val="sq-AL"/>
              </w:rPr>
              <w:t> </w:t>
            </w:r>
          </w:p>
        </w:tc>
        <w:tc>
          <w:tcPr>
            <w:tcW w:w="1999" w:type="dxa"/>
            <w:tcBorders>
              <w:top w:val="single" w:sz="8" w:space="0" w:color="auto"/>
              <w:left w:val="nil"/>
              <w:bottom w:val="double" w:sz="6" w:space="0" w:color="auto"/>
              <w:right w:val="nil"/>
            </w:tcBorders>
            <w:shd w:val="clear" w:color="auto" w:fill="FFFFFF"/>
            <w:noWrap/>
            <w:vAlign w:val="center"/>
            <w:hideMark/>
          </w:tcPr>
          <w:p w:rsidR="00E42B60" w:rsidRPr="00E42B60" w:rsidRDefault="00E42B60" w:rsidP="00E42B60">
            <w:pPr>
              <w:rPr>
                <w:rFonts w:eastAsia="Times New Roman"/>
                <w:b/>
                <w:bCs/>
                <w:color w:val="000000"/>
                <w:sz w:val="16"/>
                <w:szCs w:val="16"/>
              </w:rPr>
            </w:pPr>
            <w:r w:rsidRPr="00E42B60">
              <w:rPr>
                <w:rFonts w:eastAsia="Times New Roman"/>
                <w:b/>
                <w:bCs/>
                <w:color w:val="000000"/>
                <w:sz w:val="16"/>
                <w:szCs w:val="16"/>
              </w:rPr>
              <w:t xml:space="preserve">                        Plan</w:t>
            </w:r>
          </w:p>
        </w:tc>
        <w:tc>
          <w:tcPr>
            <w:tcW w:w="1829" w:type="dxa"/>
            <w:tcBorders>
              <w:top w:val="single" w:sz="8" w:space="0" w:color="auto"/>
              <w:left w:val="nil"/>
              <w:bottom w:val="double" w:sz="6" w:space="0" w:color="auto"/>
              <w:right w:val="nil"/>
            </w:tcBorders>
            <w:shd w:val="clear" w:color="auto" w:fill="FFFFFF"/>
            <w:noWrap/>
            <w:vAlign w:val="center"/>
            <w:hideMark/>
          </w:tcPr>
          <w:p w:rsidR="00E42B60" w:rsidRPr="00E42B60" w:rsidRDefault="00E42B60" w:rsidP="00E42B60">
            <w:pPr>
              <w:rPr>
                <w:rFonts w:eastAsia="Times New Roman"/>
                <w:b/>
                <w:bCs/>
                <w:color w:val="000000"/>
                <w:sz w:val="16"/>
                <w:szCs w:val="16"/>
              </w:rPr>
            </w:pPr>
            <w:r w:rsidRPr="00E42B60">
              <w:rPr>
                <w:rFonts w:eastAsia="Times New Roman"/>
                <w:b/>
                <w:bCs/>
                <w:color w:val="000000"/>
                <w:sz w:val="16"/>
                <w:szCs w:val="16"/>
              </w:rPr>
              <w:t xml:space="preserve">                     Fakt</w:t>
            </w:r>
          </w:p>
        </w:tc>
        <w:tc>
          <w:tcPr>
            <w:tcW w:w="1622" w:type="dxa"/>
            <w:tcBorders>
              <w:top w:val="single" w:sz="8" w:space="0" w:color="auto"/>
              <w:left w:val="nil"/>
              <w:bottom w:val="double" w:sz="6" w:space="0" w:color="auto"/>
              <w:right w:val="nil"/>
            </w:tcBorders>
            <w:shd w:val="clear" w:color="auto" w:fill="FFFFFF"/>
            <w:vAlign w:val="center"/>
            <w:hideMark/>
          </w:tcPr>
          <w:p w:rsidR="00E42B60" w:rsidRPr="00E42B60" w:rsidRDefault="00E42B60" w:rsidP="00E42B60">
            <w:pPr>
              <w:jc w:val="center"/>
              <w:rPr>
                <w:rFonts w:eastAsia="Times New Roman"/>
                <w:b/>
                <w:bCs/>
                <w:color w:val="000000"/>
                <w:sz w:val="16"/>
                <w:szCs w:val="16"/>
              </w:rPr>
            </w:pPr>
            <w:r w:rsidRPr="00E42B60">
              <w:rPr>
                <w:rFonts w:eastAsia="Times New Roman"/>
                <w:b/>
                <w:bCs/>
                <w:color w:val="000000"/>
                <w:sz w:val="16"/>
                <w:szCs w:val="16"/>
              </w:rPr>
              <w:t xml:space="preserve">    Diferenca                                               Fakt/ Plan</w:t>
            </w:r>
          </w:p>
        </w:tc>
        <w:tc>
          <w:tcPr>
            <w:tcW w:w="1861" w:type="dxa"/>
            <w:tcBorders>
              <w:top w:val="single" w:sz="8" w:space="0" w:color="auto"/>
              <w:left w:val="nil"/>
              <w:bottom w:val="double" w:sz="6" w:space="0" w:color="auto"/>
              <w:right w:val="nil"/>
            </w:tcBorders>
            <w:shd w:val="clear" w:color="auto" w:fill="FFFFFF"/>
            <w:vAlign w:val="center"/>
            <w:hideMark/>
          </w:tcPr>
          <w:p w:rsidR="00E42B60" w:rsidRPr="00E42B60" w:rsidRDefault="00E42B60" w:rsidP="00E42B60">
            <w:pPr>
              <w:rPr>
                <w:rFonts w:eastAsia="Times New Roman"/>
                <w:b/>
                <w:bCs/>
                <w:color w:val="000000"/>
                <w:sz w:val="16"/>
                <w:szCs w:val="16"/>
              </w:rPr>
            </w:pPr>
            <w:r w:rsidRPr="00E42B60">
              <w:rPr>
                <w:rFonts w:eastAsia="Times New Roman"/>
                <w:b/>
                <w:bCs/>
                <w:color w:val="000000"/>
                <w:sz w:val="16"/>
                <w:szCs w:val="16"/>
              </w:rPr>
              <w:t xml:space="preserve">        Fakt/ Plan (%)</w:t>
            </w:r>
          </w:p>
        </w:tc>
      </w:tr>
      <w:tr w:rsidR="00E42B60" w:rsidRPr="00E42B60" w:rsidTr="00DF6420">
        <w:trPr>
          <w:trHeight w:val="263"/>
          <w:jc w:val="center"/>
        </w:trPr>
        <w:tc>
          <w:tcPr>
            <w:tcW w:w="1863" w:type="dxa"/>
            <w:shd w:val="clear" w:color="auto" w:fill="FFFFFF"/>
            <w:noWrap/>
            <w:vAlign w:val="center"/>
            <w:hideMark/>
          </w:tcPr>
          <w:p w:rsidR="00E42B60" w:rsidRPr="00E42B60" w:rsidRDefault="00E42B60" w:rsidP="00E42B60">
            <w:pPr>
              <w:rPr>
                <w:rFonts w:eastAsia="Times New Roman"/>
                <w:color w:val="000000"/>
                <w:sz w:val="16"/>
                <w:szCs w:val="16"/>
              </w:rPr>
            </w:pPr>
            <w:r w:rsidRPr="00E42B60">
              <w:rPr>
                <w:rFonts w:eastAsia="Times New Roman"/>
                <w:color w:val="000000"/>
                <w:sz w:val="16"/>
                <w:szCs w:val="16"/>
              </w:rPr>
              <w:t>TVSH</w:t>
            </w:r>
          </w:p>
        </w:tc>
        <w:tc>
          <w:tcPr>
            <w:tcW w:w="1999" w:type="dxa"/>
            <w:shd w:val="clear" w:color="auto" w:fill="FFFFFF"/>
            <w:noWrap/>
            <w:vAlign w:val="center"/>
            <w:hideMark/>
          </w:tcPr>
          <w:p w:rsidR="00E42B60" w:rsidRPr="00E42B60" w:rsidRDefault="00E42B60" w:rsidP="00E42B60">
            <w:pPr>
              <w:jc w:val="right"/>
              <w:rPr>
                <w:rFonts w:eastAsia="Times New Roman"/>
                <w:color w:val="000000"/>
                <w:sz w:val="16"/>
                <w:szCs w:val="16"/>
              </w:rPr>
            </w:pPr>
            <w:r w:rsidRPr="00E42B60">
              <w:rPr>
                <w:rFonts w:eastAsia="Times New Roman"/>
                <w:color w:val="000000"/>
                <w:sz w:val="16"/>
                <w:szCs w:val="16"/>
              </w:rPr>
              <w:t>27,100</w:t>
            </w:r>
          </w:p>
        </w:tc>
        <w:tc>
          <w:tcPr>
            <w:tcW w:w="1829" w:type="dxa"/>
            <w:shd w:val="clear" w:color="auto" w:fill="FFFFFF"/>
            <w:noWrap/>
            <w:vAlign w:val="center"/>
            <w:hideMark/>
          </w:tcPr>
          <w:p w:rsidR="00E42B60" w:rsidRPr="00E42B60" w:rsidRDefault="00E42B60" w:rsidP="00E42B60">
            <w:pPr>
              <w:jc w:val="right"/>
              <w:rPr>
                <w:rFonts w:eastAsia="Times New Roman"/>
                <w:color w:val="000000"/>
                <w:sz w:val="16"/>
                <w:szCs w:val="16"/>
              </w:rPr>
            </w:pPr>
            <w:r w:rsidRPr="00E42B60">
              <w:rPr>
                <w:rFonts w:eastAsia="Times New Roman"/>
                <w:color w:val="000000"/>
                <w:sz w:val="16"/>
                <w:szCs w:val="16"/>
              </w:rPr>
              <w:t>24,941</w:t>
            </w:r>
          </w:p>
        </w:tc>
        <w:tc>
          <w:tcPr>
            <w:tcW w:w="1622" w:type="dxa"/>
            <w:shd w:val="clear" w:color="auto" w:fill="FFFFFF"/>
            <w:noWrap/>
            <w:vAlign w:val="center"/>
            <w:hideMark/>
          </w:tcPr>
          <w:p w:rsidR="00E42B60" w:rsidRPr="00E42B60" w:rsidRDefault="00E42B60" w:rsidP="00E42B60">
            <w:pPr>
              <w:jc w:val="right"/>
              <w:rPr>
                <w:rFonts w:eastAsia="Times New Roman"/>
                <w:color w:val="000000"/>
                <w:sz w:val="16"/>
                <w:szCs w:val="16"/>
              </w:rPr>
            </w:pPr>
            <w:r w:rsidRPr="00E42B60">
              <w:rPr>
                <w:rFonts w:eastAsia="Times New Roman"/>
                <w:color w:val="000000"/>
                <w:sz w:val="16"/>
                <w:szCs w:val="16"/>
              </w:rPr>
              <w:t>-2,159</w:t>
            </w:r>
          </w:p>
        </w:tc>
        <w:tc>
          <w:tcPr>
            <w:tcW w:w="1861" w:type="dxa"/>
            <w:shd w:val="clear" w:color="auto" w:fill="FFFFFF"/>
            <w:noWrap/>
            <w:vAlign w:val="center"/>
            <w:hideMark/>
          </w:tcPr>
          <w:p w:rsidR="00E42B60" w:rsidRPr="00E42B60" w:rsidRDefault="00E42B60" w:rsidP="00E42B60">
            <w:pPr>
              <w:jc w:val="right"/>
              <w:rPr>
                <w:rFonts w:eastAsia="Times New Roman"/>
                <w:color w:val="000000"/>
                <w:sz w:val="16"/>
                <w:szCs w:val="16"/>
              </w:rPr>
            </w:pPr>
            <w:r w:rsidRPr="00E42B60">
              <w:rPr>
                <w:rFonts w:eastAsia="Times New Roman"/>
                <w:color w:val="000000"/>
                <w:sz w:val="16"/>
                <w:szCs w:val="16"/>
              </w:rPr>
              <w:t>-7.97%</w:t>
            </w:r>
          </w:p>
        </w:tc>
      </w:tr>
      <w:tr w:rsidR="00E42B60" w:rsidRPr="00E42B60" w:rsidTr="00DF6420">
        <w:trPr>
          <w:trHeight w:val="251"/>
          <w:jc w:val="center"/>
        </w:trPr>
        <w:tc>
          <w:tcPr>
            <w:tcW w:w="1863" w:type="dxa"/>
            <w:shd w:val="clear" w:color="auto" w:fill="FFFFFF"/>
            <w:noWrap/>
            <w:vAlign w:val="center"/>
            <w:hideMark/>
          </w:tcPr>
          <w:p w:rsidR="00E42B60" w:rsidRPr="00E42B60" w:rsidRDefault="00E42B60" w:rsidP="00E42B60">
            <w:pPr>
              <w:rPr>
                <w:rFonts w:eastAsia="Times New Roman"/>
                <w:color w:val="000000"/>
                <w:sz w:val="16"/>
                <w:szCs w:val="16"/>
              </w:rPr>
            </w:pPr>
            <w:r w:rsidRPr="00E42B60">
              <w:rPr>
                <w:rFonts w:eastAsia="Times New Roman"/>
                <w:color w:val="000000"/>
                <w:sz w:val="16"/>
                <w:szCs w:val="16"/>
              </w:rPr>
              <w:t>Tatim Fitimi</w:t>
            </w:r>
          </w:p>
        </w:tc>
        <w:tc>
          <w:tcPr>
            <w:tcW w:w="1999" w:type="dxa"/>
            <w:shd w:val="clear" w:color="auto" w:fill="FFFFFF"/>
            <w:noWrap/>
            <w:vAlign w:val="center"/>
            <w:hideMark/>
          </w:tcPr>
          <w:p w:rsidR="00E42B60" w:rsidRPr="00E42B60" w:rsidRDefault="00E42B60" w:rsidP="00E42B60">
            <w:pPr>
              <w:jc w:val="right"/>
              <w:rPr>
                <w:rFonts w:eastAsia="Times New Roman"/>
                <w:color w:val="000000"/>
                <w:sz w:val="16"/>
                <w:szCs w:val="16"/>
              </w:rPr>
            </w:pPr>
            <w:r w:rsidRPr="00E42B60">
              <w:rPr>
                <w:rFonts w:eastAsia="Times New Roman"/>
                <w:color w:val="000000"/>
                <w:sz w:val="16"/>
                <w:szCs w:val="16"/>
              </w:rPr>
              <w:t>18,100</w:t>
            </w:r>
          </w:p>
        </w:tc>
        <w:tc>
          <w:tcPr>
            <w:tcW w:w="1829" w:type="dxa"/>
            <w:shd w:val="clear" w:color="auto" w:fill="FFFFFF"/>
            <w:noWrap/>
            <w:vAlign w:val="center"/>
            <w:hideMark/>
          </w:tcPr>
          <w:p w:rsidR="00E42B60" w:rsidRPr="00E42B60" w:rsidRDefault="00E42B60" w:rsidP="00E42B60">
            <w:pPr>
              <w:jc w:val="right"/>
              <w:rPr>
                <w:rFonts w:eastAsia="Times New Roman"/>
                <w:color w:val="000000"/>
                <w:sz w:val="16"/>
                <w:szCs w:val="16"/>
              </w:rPr>
            </w:pPr>
            <w:r w:rsidRPr="00E42B60">
              <w:rPr>
                <w:rFonts w:eastAsia="Times New Roman"/>
                <w:color w:val="000000"/>
                <w:sz w:val="16"/>
                <w:szCs w:val="16"/>
              </w:rPr>
              <w:t>21,733</w:t>
            </w:r>
          </w:p>
        </w:tc>
        <w:tc>
          <w:tcPr>
            <w:tcW w:w="1622" w:type="dxa"/>
            <w:shd w:val="clear" w:color="auto" w:fill="FFFFFF"/>
            <w:noWrap/>
            <w:vAlign w:val="center"/>
            <w:hideMark/>
          </w:tcPr>
          <w:p w:rsidR="00E42B60" w:rsidRPr="00E42B60" w:rsidRDefault="00E42B60" w:rsidP="00E42B60">
            <w:pPr>
              <w:jc w:val="right"/>
              <w:rPr>
                <w:rFonts w:eastAsia="Times New Roman"/>
                <w:color w:val="000000"/>
                <w:sz w:val="16"/>
                <w:szCs w:val="16"/>
              </w:rPr>
            </w:pPr>
            <w:r w:rsidRPr="00E42B60">
              <w:rPr>
                <w:rFonts w:eastAsia="Times New Roman"/>
                <w:color w:val="000000"/>
                <w:sz w:val="16"/>
                <w:szCs w:val="16"/>
              </w:rPr>
              <w:t>3,633</w:t>
            </w:r>
          </w:p>
        </w:tc>
        <w:tc>
          <w:tcPr>
            <w:tcW w:w="1861" w:type="dxa"/>
            <w:shd w:val="clear" w:color="auto" w:fill="FFFFFF"/>
            <w:noWrap/>
            <w:vAlign w:val="center"/>
            <w:hideMark/>
          </w:tcPr>
          <w:p w:rsidR="00E42B60" w:rsidRPr="00E42B60" w:rsidRDefault="00E42B60" w:rsidP="00E42B60">
            <w:pPr>
              <w:jc w:val="right"/>
              <w:rPr>
                <w:rFonts w:eastAsia="Times New Roman"/>
                <w:color w:val="000000"/>
                <w:sz w:val="16"/>
                <w:szCs w:val="16"/>
              </w:rPr>
            </w:pPr>
            <w:r w:rsidRPr="00E42B60">
              <w:rPr>
                <w:rFonts w:eastAsia="Times New Roman"/>
                <w:color w:val="000000"/>
                <w:sz w:val="16"/>
                <w:szCs w:val="16"/>
              </w:rPr>
              <w:t>20.07%</w:t>
            </w:r>
          </w:p>
        </w:tc>
      </w:tr>
      <w:tr w:rsidR="00E42B60" w:rsidRPr="00E42B60" w:rsidTr="00DF6420">
        <w:trPr>
          <w:trHeight w:val="639"/>
          <w:jc w:val="center"/>
        </w:trPr>
        <w:tc>
          <w:tcPr>
            <w:tcW w:w="1863" w:type="dxa"/>
            <w:shd w:val="clear" w:color="auto" w:fill="FFFFFF"/>
            <w:vAlign w:val="center"/>
            <w:hideMark/>
          </w:tcPr>
          <w:p w:rsidR="00E42B60" w:rsidRPr="00E42B60" w:rsidRDefault="00E42B60" w:rsidP="00E42B60">
            <w:pPr>
              <w:rPr>
                <w:rFonts w:eastAsia="Times New Roman"/>
                <w:color w:val="000000"/>
                <w:sz w:val="16"/>
                <w:szCs w:val="16"/>
              </w:rPr>
            </w:pPr>
            <w:r w:rsidRPr="00E42B60">
              <w:rPr>
                <w:rFonts w:eastAsia="Times New Roman"/>
                <w:color w:val="000000"/>
                <w:sz w:val="16"/>
                <w:szCs w:val="16"/>
              </w:rPr>
              <w:t xml:space="preserve">Tatimi mbi te ardhurat Personale </w:t>
            </w:r>
          </w:p>
        </w:tc>
        <w:tc>
          <w:tcPr>
            <w:tcW w:w="1999" w:type="dxa"/>
            <w:shd w:val="clear" w:color="auto" w:fill="FFFFFF"/>
            <w:noWrap/>
            <w:vAlign w:val="center"/>
            <w:hideMark/>
          </w:tcPr>
          <w:p w:rsidR="00E42B60" w:rsidRPr="00E42B60" w:rsidRDefault="00E42B60" w:rsidP="00E42B60">
            <w:pPr>
              <w:jc w:val="right"/>
              <w:rPr>
                <w:rFonts w:eastAsia="Times New Roman"/>
                <w:color w:val="000000"/>
                <w:sz w:val="16"/>
                <w:szCs w:val="16"/>
              </w:rPr>
            </w:pPr>
            <w:r w:rsidRPr="00E42B60">
              <w:rPr>
                <w:rFonts w:eastAsia="Times New Roman"/>
                <w:color w:val="000000"/>
                <w:sz w:val="16"/>
                <w:szCs w:val="16"/>
              </w:rPr>
              <w:t>24,030</w:t>
            </w:r>
          </w:p>
        </w:tc>
        <w:tc>
          <w:tcPr>
            <w:tcW w:w="1829" w:type="dxa"/>
            <w:shd w:val="clear" w:color="auto" w:fill="FFFFFF"/>
            <w:noWrap/>
            <w:vAlign w:val="center"/>
            <w:hideMark/>
          </w:tcPr>
          <w:p w:rsidR="00E42B60" w:rsidRPr="00E42B60" w:rsidRDefault="00E42B60" w:rsidP="00E42B60">
            <w:pPr>
              <w:jc w:val="right"/>
              <w:rPr>
                <w:rFonts w:eastAsia="Times New Roman"/>
                <w:color w:val="000000"/>
                <w:sz w:val="16"/>
                <w:szCs w:val="16"/>
              </w:rPr>
            </w:pPr>
            <w:r w:rsidRPr="00E42B60">
              <w:rPr>
                <w:rFonts w:eastAsia="Times New Roman"/>
                <w:color w:val="000000"/>
                <w:sz w:val="16"/>
                <w:szCs w:val="16"/>
              </w:rPr>
              <w:t>24,407</w:t>
            </w:r>
          </w:p>
        </w:tc>
        <w:tc>
          <w:tcPr>
            <w:tcW w:w="1622" w:type="dxa"/>
            <w:shd w:val="clear" w:color="auto" w:fill="FFFFFF"/>
            <w:noWrap/>
            <w:vAlign w:val="center"/>
            <w:hideMark/>
          </w:tcPr>
          <w:p w:rsidR="00E42B60" w:rsidRPr="00E42B60" w:rsidRDefault="00E42B60" w:rsidP="00E42B60">
            <w:pPr>
              <w:jc w:val="right"/>
              <w:rPr>
                <w:rFonts w:eastAsia="Times New Roman"/>
                <w:color w:val="000000"/>
                <w:sz w:val="16"/>
                <w:szCs w:val="16"/>
              </w:rPr>
            </w:pPr>
            <w:r w:rsidRPr="00E42B60">
              <w:rPr>
                <w:rFonts w:eastAsia="Times New Roman"/>
                <w:color w:val="000000"/>
                <w:sz w:val="16"/>
                <w:szCs w:val="16"/>
              </w:rPr>
              <w:t>377</w:t>
            </w:r>
          </w:p>
        </w:tc>
        <w:tc>
          <w:tcPr>
            <w:tcW w:w="1861" w:type="dxa"/>
            <w:shd w:val="clear" w:color="auto" w:fill="FFFFFF"/>
            <w:noWrap/>
            <w:vAlign w:val="center"/>
            <w:hideMark/>
          </w:tcPr>
          <w:p w:rsidR="00E42B60" w:rsidRPr="00E42B60" w:rsidRDefault="00E42B60" w:rsidP="00E42B60">
            <w:pPr>
              <w:jc w:val="right"/>
              <w:rPr>
                <w:rFonts w:eastAsia="Times New Roman"/>
                <w:color w:val="000000"/>
                <w:sz w:val="16"/>
                <w:szCs w:val="16"/>
              </w:rPr>
            </w:pPr>
            <w:r w:rsidRPr="00E42B60">
              <w:rPr>
                <w:rFonts w:eastAsia="Times New Roman"/>
                <w:color w:val="000000"/>
                <w:sz w:val="16"/>
                <w:szCs w:val="16"/>
              </w:rPr>
              <w:t>1.57%</w:t>
            </w:r>
          </w:p>
        </w:tc>
      </w:tr>
      <w:tr w:rsidR="00E42B60" w:rsidRPr="00E42B60" w:rsidTr="00DF6420">
        <w:trPr>
          <w:trHeight w:val="251"/>
          <w:jc w:val="center"/>
        </w:trPr>
        <w:tc>
          <w:tcPr>
            <w:tcW w:w="1863" w:type="dxa"/>
            <w:shd w:val="clear" w:color="auto" w:fill="FFFFFF"/>
            <w:noWrap/>
            <w:vAlign w:val="center"/>
            <w:hideMark/>
          </w:tcPr>
          <w:p w:rsidR="00E42B60" w:rsidRPr="00E42B60" w:rsidRDefault="00E42B60" w:rsidP="00E42B60">
            <w:pPr>
              <w:rPr>
                <w:rFonts w:eastAsia="Times New Roman"/>
                <w:color w:val="000000"/>
                <w:sz w:val="16"/>
                <w:szCs w:val="16"/>
              </w:rPr>
            </w:pPr>
            <w:r w:rsidRPr="00E42B60">
              <w:rPr>
                <w:rFonts w:eastAsia="Times New Roman"/>
                <w:color w:val="000000"/>
                <w:sz w:val="16"/>
                <w:szCs w:val="16"/>
              </w:rPr>
              <w:t>Taksa nacionale</w:t>
            </w:r>
          </w:p>
        </w:tc>
        <w:tc>
          <w:tcPr>
            <w:tcW w:w="1999" w:type="dxa"/>
            <w:shd w:val="clear" w:color="auto" w:fill="FFFFFF"/>
            <w:noWrap/>
            <w:vAlign w:val="center"/>
            <w:hideMark/>
          </w:tcPr>
          <w:p w:rsidR="00E42B60" w:rsidRPr="00E42B60" w:rsidRDefault="00E42B60" w:rsidP="00E42B60">
            <w:pPr>
              <w:jc w:val="right"/>
              <w:rPr>
                <w:rFonts w:eastAsia="Times New Roman"/>
                <w:color w:val="000000"/>
                <w:sz w:val="16"/>
                <w:szCs w:val="16"/>
              </w:rPr>
            </w:pPr>
            <w:r w:rsidRPr="00E42B60">
              <w:rPr>
                <w:rFonts w:eastAsia="Times New Roman"/>
                <w:color w:val="000000"/>
                <w:sz w:val="16"/>
                <w:szCs w:val="16"/>
              </w:rPr>
              <w:t>24,625</w:t>
            </w:r>
          </w:p>
        </w:tc>
        <w:tc>
          <w:tcPr>
            <w:tcW w:w="1829" w:type="dxa"/>
            <w:shd w:val="clear" w:color="auto" w:fill="FFFFFF"/>
            <w:noWrap/>
            <w:vAlign w:val="center"/>
            <w:hideMark/>
          </w:tcPr>
          <w:p w:rsidR="00E42B60" w:rsidRPr="00E42B60" w:rsidRDefault="00E42B60" w:rsidP="00E42B60">
            <w:pPr>
              <w:jc w:val="right"/>
              <w:rPr>
                <w:rFonts w:eastAsia="Times New Roman"/>
                <w:color w:val="000000"/>
                <w:sz w:val="16"/>
                <w:szCs w:val="16"/>
              </w:rPr>
            </w:pPr>
            <w:r w:rsidRPr="00E42B60">
              <w:rPr>
                <w:rFonts w:eastAsia="Times New Roman"/>
                <w:color w:val="000000"/>
                <w:sz w:val="16"/>
                <w:szCs w:val="16"/>
              </w:rPr>
              <w:t>24,125</w:t>
            </w:r>
          </w:p>
        </w:tc>
        <w:tc>
          <w:tcPr>
            <w:tcW w:w="1622" w:type="dxa"/>
            <w:shd w:val="clear" w:color="auto" w:fill="FFFFFF"/>
            <w:noWrap/>
            <w:vAlign w:val="center"/>
            <w:hideMark/>
          </w:tcPr>
          <w:p w:rsidR="00E42B60" w:rsidRPr="00E42B60" w:rsidRDefault="00E42B60" w:rsidP="00E42B60">
            <w:pPr>
              <w:jc w:val="right"/>
              <w:rPr>
                <w:rFonts w:eastAsia="Times New Roman"/>
                <w:color w:val="000000"/>
                <w:sz w:val="16"/>
                <w:szCs w:val="16"/>
              </w:rPr>
            </w:pPr>
            <w:r w:rsidRPr="00E42B60">
              <w:rPr>
                <w:rFonts w:eastAsia="Times New Roman"/>
                <w:color w:val="000000"/>
                <w:sz w:val="16"/>
                <w:szCs w:val="16"/>
              </w:rPr>
              <w:t>-500</w:t>
            </w:r>
          </w:p>
        </w:tc>
        <w:tc>
          <w:tcPr>
            <w:tcW w:w="1861" w:type="dxa"/>
            <w:shd w:val="clear" w:color="auto" w:fill="FFFFFF"/>
            <w:noWrap/>
            <w:vAlign w:val="center"/>
            <w:hideMark/>
          </w:tcPr>
          <w:p w:rsidR="00E42B60" w:rsidRPr="00E42B60" w:rsidRDefault="00E42B60" w:rsidP="00E42B60">
            <w:pPr>
              <w:jc w:val="right"/>
              <w:rPr>
                <w:rFonts w:eastAsia="Times New Roman"/>
                <w:color w:val="000000"/>
                <w:sz w:val="16"/>
                <w:szCs w:val="16"/>
              </w:rPr>
            </w:pPr>
            <w:r w:rsidRPr="00E42B60">
              <w:rPr>
                <w:rFonts w:eastAsia="Times New Roman"/>
                <w:color w:val="000000"/>
                <w:sz w:val="16"/>
                <w:szCs w:val="16"/>
              </w:rPr>
              <w:t>-2.03%</w:t>
            </w:r>
          </w:p>
        </w:tc>
      </w:tr>
      <w:tr w:rsidR="00E42B60" w:rsidRPr="00E42B60" w:rsidTr="00DF6420">
        <w:trPr>
          <w:trHeight w:val="263"/>
          <w:jc w:val="center"/>
        </w:trPr>
        <w:tc>
          <w:tcPr>
            <w:tcW w:w="1863" w:type="dxa"/>
            <w:shd w:val="clear" w:color="auto" w:fill="FFFFFF"/>
            <w:noWrap/>
            <w:vAlign w:val="center"/>
            <w:hideMark/>
          </w:tcPr>
          <w:p w:rsidR="00E42B60" w:rsidRPr="00E42B60" w:rsidRDefault="00E42B60" w:rsidP="00E42B60">
            <w:pPr>
              <w:rPr>
                <w:rFonts w:eastAsia="Times New Roman"/>
                <w:color w:val="000000"/>
                <w:sz w:val="16"/>
                <w:szCs w:val="16"/>
              </w:rPr>
            </w:pPr>
            <w:r w:rsidRPr="00E42B60">
              <w:rPr>
                <w:rFonts w:eastAsia="Times New Roman"/>
                <w:color w:val="000000"/>
                <w:sz w:val="16"/>
                <w:szCs w:val="16"/>
              </w:rPr>
              <w:t>Kontributet</w:t>
            </w:r>
          </w:p>
        </w:tc>
        <w:tc>
          <w:tcPr>
            <w:tcW w:w="1999" w:type="dxa"/>
            <w:shd w:val="clear" w:color="auto" w:fill="FFFFFF"/>
            <w:noWrap/>
            <w:vAlign w:val="center"/>
            <w:hideMark/>
          </w:tcPr>
          <w:p w:rsidR="00E42B60" w:rsidRPr="00E42B60" w:rsidRDefault="00E42B60" w:rsidP="00E42B60">
            <w:pPr>
              <w:jc w:val="right"/>
              <w:rPr>
                <w:rFonts w:eastAsia="Times New Roman"/>
                <w:color w:val="000000"/>
                <w:sz w:val="16"/>
                <w:szCs w:val="16"/>
              </w:rPr>
            </w:pPr>
            <w:r w:rsidRPr="00E42B60">
              <w:rPr>
                <w:rFonts w:eastAsia="Times New Roman"/>
                <w:color w:val="000000"/>
                <w:sz w:val="16"/>
                <w:szCs w:val="16"/>
              </w:rPr>
              <w:t>54,780</w:t>
            </w:r>
          </w:p>
        </w:tc>
        <w:tc>
          <w:tcPr>
            <w:tcW w:w="1829" w:type="dxa"/>
            <w:shd w:val="clear" w:color="auto" w:fill="FFFFFF"/>
            <w:noWrap/>
            <w:vAlign w:val="center"/>
            <w:hideMark/>
          </w:tcPr>
          <w:p w:rsidR="00E42B60" w:rsidRPr="00E42B60" w:rsidRDefault="00E42B60" w:rsidP="00E42B60">
            <w:pPr>
              <w:jc w:val="right"/>
              <w:rPr>
                <w:rFonts w:eastAsia="Times New Roman"/>
                <w:color w:val="000000"/>
                <w:sz w:val="16"/>
                <w:szCs w:val="16"/>
              </w:rPr>
            </w:pPr>
            <w:r w:rsidRPr="00E42B60">
              <w:rPr>
                <w:rFonts w:eastAsia="Times New Roman"/>
                <w:color w:val="000000"/>
                <w:sz w:val="16"/>
                <w:szCs w:val="16"/>
              </w:rPr>
              <w:t>55,562</w:t>
            </w:r>
          </w:p>
        </w:tc>
        <w:tc>
          <w:tcPr>
            <w:tcW w:w="1622" w:type="dxa"/>
            <w:shd w:val="clear" w:color="auto" w:fill="FFFFFF"/>
            <w:noWrap/>
            <w:vAlign w:val="center"/>
            <w:hideMark/>
          </w:tcPr>
          <w:p w:rsidR="00E42B60" w:rsidRPr="00E42B60" w:rsidRDefault="00E42B60" w:rsidP="00E42B60">
            <w:pPr>
              <w:jc w:val="right"/>
              <w:rPr>
                <w:rFonts w:eastAsia="Times New Roman"/>
                <w:color w:val="000000"/>
                <w:sz w:val="16"/>
                <w:szCs w:val="16"/>
              </w:rPr>
            </w:pPr>
            <w:r w:rsidRPr="00E42B60">
              <w:rPr>
                <w:rFonts w:eastAsia="Times New Roman"/>
                <w:color w:val="000000"/>
                <w:sz w:val="16"/>
                <w:szCs w:val="16"/>
              </w:rPr>
              <w:t>782</w:t>
            </w:r>
          </w:p>
        </w:tc>
        <w:tc>
          <w:tcPr>
            <w:tcW w:w="1861" w:type="dxa"/>
            <w:shd w:val="clear" w:color="auto" w:fill="FFFFFF"/>
            <w:noWrap/>
            <w:vAlign w:val="center"/>
            <w:hideMark/>
          </w:tcPr>
          <w:p w:rsidR="00E42B60" w:rsidRPr="00E42B60" w:rsidRDefault="00E42B60" w:rsidP="00E42B60">
            <w:pPr>
              <w:jc w:val="right"/>
              <w:rPr>
                <w:rFonts w:eastAsia="Times New Roman"/>
                <w:color w:val="000000"/>
                <w:sz w:val="16"/>
                <w:szCs w:val="16"/>
              </w:rPr>
            </w:pPr>
            <w:r w:rsidRPr="00E42B60">
              <w:rPr>
                <w:rFonts w:eastAsia="Times New Roman"/>
                <w:color w:val="000000"/>
                <w:sz w:val="16"/>
                <w:szCs w:val="16"/>
              </w:rPr>
              <w:t>1.43%</w:t>
            </w:r>
          </w:p>
        </w:tc>
      </w:tr>
      <w:tr w:rsidR="00E42B60" w:rsidRPr="00E42B60" w:rsidTr="00DF6420">
        <w:trPr>
          <w:trHeight w:val="263"/>
          <w:jc w:val="center"/>
        </w:trPr>
        <w:tc>
          <w:tcPr>
            <w:tcW w:w="1863" w:type="dxa"/>
            <w:tcBorders>
              <w:top w:val="single" w:sz="8" w:space="0" w:color="auto"/>
              <w:left w:val="nil"/>
              <w:bottom w:val="double" w:sz="6" w:space="0" w:color="auto"/>
              <w:right w:val="nil"/>
            </w:tcBorders>
            <w:shd w:val="clear" w:color="auto" w:fill="FFFFFF"/>
            <w:noWrap/>
            <w:vAlign w:val="center"/>
            <w:hideMark/>
          </w:tcPr>
          <w:p w:rsidR="00E42B60" w:rsidRPr="00E42B60" w:rsidRDefault="00E42B60" w:rsidP="00E42B60">
            <w:pPr>
              <w:rPr>
                <w:rFonts w:eastAsia="Times New Roman"/>
                <w:b/>
                <w:bCs/>
                <w:color w:val="000000"/>
                <w:sz w:val="16"/>
                <w:szCs w:val="16"/>
              </w:rPr>
            </w:pPr>
            <w:r w:rsidRPr="00E42B60">
              <w:rPr>
                <w:rFonts w:eastAsia="Times New Roman"/>
                <w:b/>
                <w:bCs/>
                <w:color w:val="000000"/>
                <w:sz w:val="16"/>
                <w:szCs w:val="16"/>
              </w:rPr>
              <w:t>Total</w:t>
            </w:r>
          </w:p>
        </w:tc>
        <w:tc>
          <w:tcPr>
            <w:tcW w:w="1999" w:type="dxa"/>
            <w:tcBorders>
              <w:top w:val="single" w:sz="8" w:space="0" w:color="auto"/>
              <w:left w:val="nil"/>
              <w:bottom w:val="double" w:sz="6" w:space="0" w:color="auto"/>
              <w:right w:val="nil"/>
            </w:tcBorders>
            <w:shd w:val="clear" w:color="auto" w:fill="FFFFFF"/>
            <w:noWrap/>
            <w:vAlign w:val="center"/>
            <w:hideMark/>
          </w:tcPr>
          <w:p w:rsidR="00E42B60" w:rsidRPr="00E42B60" w:rsidRDefault="00E42B60" w:rsidP="00E42B60">
            <w:pPr>
              <w:jc w:val="right"/>
              <w:rPr>
                <w:rFonts w:eastAsia="Times New Roman"/>
                <w:b/>
                <w:bCs/>
                <w:color w:val="000000"/>
                <w:sz w:val="16"/>
                <w:szCs w:val="16"/>
              </w:rPr>
            </w:pPr>
            <w:r w:rsidRPr="00E42B60">
              <w:rPr>
                <w:rFonts w:eastAsia="Times New Roman"/>
                <w:b/>
                <w:bCs/>
                <w:color w:val="000000"/>
                <w:sz w:val="16"/>
                <w:szCs w:val="16"/>
              </w:rPr>
              <w:t>148,635</w:t>
            </w:r>
          </w:p>
        </w:tc>
        <w:tc>
          <w:tcPr>
            <w:tcW w:w="1829" w:type="dxa"/>
            <w:tcBorders>
              <w:top w:val="single" w:sz="8" w:space="0" w:color="auto"/>
              <w:left w:val="nil"/>
              <w:bottom w:val="double" w:sz="6" w:space="0" w:color="auto"/>
              <w:right w:val="nil"/>
            </w:tcBorders>
            <w:shd w:val="clear" w:color="auto" w:fill="FFFFFF"/>
            <w:noWrap/>
            <w:vAlign w:val="center"/>
            <w:hideMark/>
          </w:tcPr>
          <w:p w:rsidR="00E42B60" w:rsidRPr="00E42B60" w:rsidRDefault="00E42B60" w:rsidP="00E42B60">
            <w:pPr>
              <w:jc w:val="right"/>
              <w:rPr>
                <w:rFonts w:eastAsia="Times New Roman"/>
                <w:b/>
                <w:bCs/>
                <w:color w:val="000000"/>
                <w:sz w:val="16"/>
                <w:szCs w:val="16"/>
              </w:rPr>
            </w:pPr>
            <w:r w:rsidRPr="00E42B60">
              <w:rPr>
                <w:rFonts w:eastAsia="Times New Roman"/>
                <w:b/>
                <w:bCs/>
                <w:color w:val="000000"/>
                <w:sz w:val="16"/>
                <w:szCs w:val="16"/>
              </w:rPr>
              <w:t>150,768</w:t>
            </w:r>
          </w:p>
        </w:tc>
        <w:tc>
          <w:tcPr>
            <w:tcW w:w="1622" w:type="dxa"/>
            <w:tcBorders>
              <w:top w:val="single" w:sz="8" w:space="0" w:color="auto"/>
              <w:left w:val="nil"/>
              <w:bottom w:val="double" w:sz="6" w:space="0" w:color="auto"/>
              <w:right w:val="nil"/>
            </w:tcBorders>
            <w:shd w:val="clear" w:color="auto" w:fill="FFFFFF"/>
            <w:noWrap/>
            <w:vAlign w:val="center"/>
            <w:hideMark/>
          </w:tcPr>
          <w:p w:rsidR="00E42B60" w:rsidRPr="00E42B60" w:rsidRDefault="00E42B60" w:rsidP="00E42B60">
            <w:pPr>
              <w:jc w:val="right"/>
              <w:rPr>
                <w:rFonts w:eastAsia="Times New Roman"/>
                <w:b/>
                <w:bCs/>
                <w:color w:val="000000"/>
                <w:sz w:val="16"/>
                <w:szCs w:val="16"/>
              </w:rPr>
            </w:pPr>
            <w:r w:rsidRPr="00E42B60">
              <w:rPr>
                <w:rFonts w:eastAsia="Times New Roman"/>
                <w:b/>
                <w:bCs/>
                <w:color w:val="000000"/>
                <w:sz w:val="16"/>
                <w:szCs w:val="16"/>
              </w:rPr>
              <w:t>2,133</w:t>
            </w:r>
          </w:p>
        </w:tc>
        <w:tc>
          <w:tcPr>
            <w:tcW w:w="1861" w:type="dxa"/>
            <w:tcBorders>
              <w:top w:val="single" w:sz="8" w:space="0" w:color="auto"/>
              <w:left w:val="nil"/>
              <w:bottom w:val="double" w:sz="6" w:space="0" w:color="auto"/>
              <w:right w:val="nil"/>
            </w:tcBorders>
            <w:shd w:val="clear" w:color="auto" w:fill="FFFFFF"/>
            <w:noWrap/>
            <w:vAlign w:val="center"/>
            <w:hideMark/>
          </w:tcPr>
          <w:p w:rsidR="00E42B60" w:rsidRPr="00E42B60" w:rsidRDefault="00E42B60" w:rsidP="00E42B60">
            <w:pPr>
              <w:jc w:val="right"/>
              <w:rPr>
                <w:rFonts w:eastAsia="Times New Roman"/>
                <w:b/>
                <w:bCs/>
                <w:color w:val="000000"/>
                <w:sz w:val="16"/>
                <w:szCs w:val="16"/>
              </w:rPr>
            </w:pPr>
            <w:r w:rsidRPr="00E42B60">
              <w:rPr>
                <w:rFonts w:eastAsia="Times New Roman"/>
                <w:b/>
                <w:bCs/>
                <w:color w:val="000000"/>
                <w:sz w:val="16"/>
                <w:szCs w:val="16"/>
              </w:rPr>
              <w:t>1.44%</w:t>
            </w:r>
          </w:p>
        </w:tc>
      </w:tr>
    </w:tbl>
    <w:p w:rsidR="00E42B60" w:rsidRPr="00E42B60" w:rsidRDefault="00E42B60" w:rsidP="00E42B60">
      <w:pPr>
        <w:ind w:firstLine="720"/>
        <w:rPr>
          <w:lang w:val="sq-AL"/>
        </w:rPr>
      </w:pPr>
      <w:r w:rsidRPr="00E42B60">
        <w:rPr>
          <w:b/>
          <w:sz w:val="20"/>
          <w:szCs w:val="20"/>
          <w:lang w:val="sq-AL"/>
        </w:rPr>
        <w:t>Burimi:</w:t>
      </w:r>
      <w:r w:rsidRPr="00E42B60">
        <w:rPr>
          <w:b/>
          <w:i/>
          <w:sz w:val="20"/>
          <w:szCs w:val="20"/>
          <w:lang w:val="sq-AL"/>
        </w:rPr>
        <w:t xml:space="preserve"> </w:t>
      </w:r>
      <w:r w:rsidRPr="00E42B60">
        <w:rPr>
          <w:i/>
          <w:sz w:val="20"/>
          <w:szCs w:val="20"/>
          <w:lang w:val="sq-AL"/>
        </w:rPr>
        <w:t>Ministria e Financave (2016)</w:t>
      </w:r>
    </w:p>
    <w:p w:rsidR="00E42B60" w:rsidRPr="00E42B60" w:rsidRDefault="00E42B60" w:rsidP="00E42B60">
      <w:pPr>
        <w:jc w:val="both"/>
        <w:rPr>
          <w:b/>
          <w:i/>
          <w:lang w:val="sq-AL"/>
        </w:rPr>
      </w:pPr>
    </w:p>
    <w:p w:rsidR="00E42B60" w:rsidRPr="00E42B60" w:rsidRDefault="00E42B60" w:rsidP="00E42B60">
      <w:pPr>
        <w:spacing w:line="276" w:lineRule="auto"/>
        <w:jc w:val="both"/>
        <w:rPr>
          <w:lang w:val="sq-AL"/>
        </w:rPr>
      </w:pPr>
      <w:r w:rsidRPr="00E42B60">
        <w:rPr>
          <w:b/>
          <w:i/>
          <w:lang w:val="sq-AL"/>
        </w:rPr>
        <w:t>Të ardhurat nga TVSH-ja brenda vendit</w:t>
      </w:r>
      <w:r w:rsidRPr="00E42B60">
        <w:rPr>
          <w:lang w:val="sq-AL"/>
        </w:rPr>
        <w:t xml:space="preserve"> janë realizuar në vlerën 24.9 miliardë lekë, 13.3% më shumë se 9-mujori i vitit 2015 dhe me një realizim të planit të periudhës në masën 92% ose rreth 2.1 miliardë lekë më pak. Faktor që ka ndikuar në këtë rezultat, ka qenë rritja e rimbursimeve me 19.9% ose rreth 1 miliardë lekë më shumë, si rezultat i masave përmirësuese për thjeshtëzimin dhe reduktikimin e procedurave të rimbursimit të TVSH-së.</w:t>
      </w:r>
    </w:p>
    <w:p w:rsidR="00E42B60" w:rsidRPr="00E42B60" w:rsidRDefault="00E42B60" w:rsidP="00E42B60">
      <w:pPr>
        <w:tabs>
          <w:tab w:val="left" w:pos="2511"/>
          <w:tab w:val="center" w:pos="4680"/>
        </w:tabs>
        <w:rPr>
          <w:rFonts w:eastAsia="Calibri"/>
          <w:b/>
          <w:i/>
          <w:sz w:val="20"/>
          <w:szCs w:val="20"/>
          <w:lang w:val="sq-AL"/>
        </w:rPr>
      </w:pPr>
      <w:r w:rsidRPr="00E42B60">
        <w:rPr>
          <w:rFonts w:eastAsia="Calibri"/>
          <w:b/>
          <w:i/>
          <w:sz w:val="20"/>
          <w:szCs w:val="20"/>
          <w:lang w:val="sq-AL"/>
        </w:rPr>
        <w:t xml:space="preserve">  </w:t>
      </w:r>
    </w:p>
    <w:p w:rsidR="00E42B60" w:rsidRPr="00E42B60" w:rsidRDefault="00E42B60" w:rsidP="00E42B60">
      <w:pPr>
        <w:tabs>
          <w:tab w:val="left" w:pos="2511"/>
          <w:tab w:val="center" w:pos="4680"/>
        </w:tabs>
        <w:jc w:val="center"/>
        <w:rPr>
          <w:rFonts w:eastAsia="Times New Roman"/>
          <w:i/>
          <w:sz w:val="20"/>
          <w:szCs w:val="20"/>
          <w:lang w:val="sq-AL"/>
        </w:rPr>
      </w:pPr>
      <w:r w:rsidRPr="00E42B60">
        <w:rPr>
          <w:rFonts w:eastAsia="Calibri"/>
          <w:b/>
          <w:i/>
          <w:sz w:val="20"/>
          <w:szCs w:val="20"/>
          <w:lang w:val="sq-AL"/>
        </w:rPr>
        <w:t xml:space="preserve">Grafiku </w:t>
      </w:r>
      <w:r w:rsidR="00596ACC">
        <w:rPr>
          <w:rFonts w:eastAsia="Calibri"/>
          <w:b/>
          <w:i/>
          <w:sz w:val="20"/>
          <w:szCs w:val="20"/>
          <w:lang w:val="sq-AL"/>
        </w:rPr>
        <w:t>9</w:t>
      </w:r>
      <w:r w:rsidRPr="00E42B60">
        <w:rPr>
          <w:rFonts w:eastAsia="Calibri"/>
          <w:i/>
          <w:sz w:val="20"/>
          <w:szCs w:val="20"/>
          <w:lang w:val="sq-AL"/>
        </w:rPr>
        <w:t xml:space="preserve"> Të ardhurat  nga TVSH-ja brenda vendit  për periudhën </w:t>
      </w:r>
      <w:r w:rsidRPr="00E42B60">
        <w:rPr>
          <w:rFonts w:eastAsia="Times New Roman"/>
          <w:i/>
          <w:sz w:val="20"/>
          <w:lang w:val="sq-AL"/>
        </w:rPr>
        <w:t xml:space="preserve">Janar-Shtator ndër vite      </w:t>
      </w:r>
      <w:r w:rsidRPr="00E42B60">
        <w:rPr>
          <w:rFonts w:eastAsia="Times New Roman"/>
          <w:i/>
          <w:sz w:val="20"/>
          <w:szCs w:val="20"/>
          <w:lang w:val="sq-AL"/>
        </w:rPr>
        <w:t>(në milion lekë)</w:t>
      </w:r>
    </w:p>
    <w:p w:rsidR="00E42B60" w:rsidRPr="00E42B60" w:rsidRDefault="00E42B60" w:rsidP="00E42B60">
      <w:pPr>
        <w:tabs>
          <w:tab w:val="left" w:pos="2511"/>
          <w:tab w:val="center" w:pos="4680"/>
        </w:tabs>
        <w:jc w:val="center"/>
        <w:rPr>
          <w:rFonts w:eastAsia="Times New Roman"/>
          <w:i/>
          <w:sz w:val="20"/>
          <w:szCs w:val="20"/>
          <w:lang w:val="sq-AL"/>
        </w:rPr>
      </w:pPr>
      <w:r w:rsidRPr="00E42B60">
        <w:rPr>
          <w:i/>
          <w:noProof/>
          <w:sz w:val="20"/>
          <w:szCs w:val="20"/>
          <w:lang w:val="sq-AL" w:eastAsia="sq-AL"/>
        </w:rPr>
        <w:drawing>
          <wp:inline distT="0" distB="0" distL="0" distR="0" wp14:anchorId="76D92ED1" wp14:editId="04E6074F">
            <wp:extent cx="5222631" cy="1635370"/>
            <wp:effectExtent l="19050" t="19050" r="16510" b="22225"/>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28">
                      <a:extLst>
                        <a:ext uri="{28A0092B-C50C-407E-A947-70E740481C1C}">
                          <a14:useLocalDpi xmlns:a14="http://schemas.microsoft.com/office/drawing/2010/main" val="0"/>
                        </a:ext>
                      </a:extLst>
                    </a:blip>
                    <a:srcRect r="-21" b="-27"/>
                    <a:stretch>
                      <a:fillRect/>
                    </a:stretch>
                  </pic:blipFill>
                  <pic:spPr bwMode="auto">
                    <a:xfrm>
                      <a:off x="0" y="0"/>
                      <a:ext cx="5222545" cy="1635343"/>
                    </a:xfrm>
                    <a:prstGeom prst="rect">
                      <a:avLst/>
                    </a:prstGeom>
                    <a:noFill/>
                    <a:ln w="19050" cmpd="sng">
                      <a:solidFill>
                        <a:srgbClr val="000000"/>
                      </a:solidFill>
                      <a:miter lim="800000"/>
                      <a:headEnd/>
                      <a:tailEnd/>
                    </a:ln>
                    <a:effectLst/>
                  </pic:spPr>
                </pic:pic>
              </a:graphicData>
            </a:graphic>
          </wp:inline>
        </w:drawing>
      </w:r>
    </w:p>
    <w:p w:rsidR="00E42B60" w:rsidRPr="00E42B60" w:rsidRDefault="00E42B60" w:rsidP="00E42B60">
      <w:pPr>
        <w:rPr>
          <w:i/>
          <w:sz w:val="20"/>
          <w:szCs w:val="20"/>
          <w:lang w:val="sq-AL"/>
        </w:rPr>
      </w:pPr>
      <w:r w:rsidRPr="00E42B60">
        <w:rPr>
          <w:b/>
          <w:sz w:val="20"/>
          <w:szCs w:val="20"/>
          <w:lang w:val="sq-AL"/>
        </w:rPr>
        <w:t xml:space="preserve">          </w:t>
      </w:r>
      <w:r w:rsidRPr="00E42B60">
        <w:rPr>
          <w:b/>
          <w:sz w:val="20"/>
          <w:szCs w:val="20"/>
          <w:lang w:val="sq-AL"/>
        </w:rPr>
        <w:tab/>
        <w:t xml:space="preserve">         Burimi:</w:t>
      </w:r>
      <w:r w:rsidRPr="00E42B60">
        <w:rPr>
          <w:b/>
          <w:i/>
          <w:sz w:val="20"/>
          <w:szCs w:val="20"/>
          <w:lang w:val="sq-AL"/>
        </w:rPr>
        <w:t xml:space="preserve"> </w:t>
      </w:r>
      <w:r w:rsidRPr="00E42B60">
        <w:rPr>
          <w:i/>
          <w:sz w:val="20"/>
          <w:szCs w:val="20"/>
          <w:lang w:val="sq-AL"/>
        </w:rPr>
        <w:t>Ministria e Financave (2016)</w:t>
      </w:r>
    </w:p>
    <w:p w:rsidR="00E42B60" w:rsidRPr="00E42B60" w:rsidRDefault="00E42B60" w:rsidP="00E42B60">
      <w:pPr>
        <w:rPr>
          <w:lang w:val="sq-AL"/>
        </w:rPr>
      </w:pPr>
    </w:p>
    <w:p w:rsidR="00E42B60" w:rsidRPr="00E42B60" w:rsidRDefault="00E42B60" w:rsidP="00E42B60">
      <w:pPr>
        <w:tabs>
          <w:tab w:val="left" w:pos="2511"/>
          <w:tab w:val="center" w:pos="4680"/>
        </w:tabs>
        <w:rPr>
          <w:rFonts w:eastAsia="Calibri"/>
          <w:b/>
          <w:i/>
          <w:sz w:val="20"/>
          <w:szCs w:val="20"/>
          <w:lang w:val="sq-AL"/>
        </w:rPr>
      </w:pPr>
    </w:p>
    <w:p w:rsidR="00E42B60" w:rsidRPr="00E42B60" w:rsidRDefault="00E42B60" w:rsidP="00E42B60">
      <w:pPr>
        <w:tabs>
          <w:tab w:val="left" w:pos="2511"/>
          <w:tab w:val="center" w:pos="4680"/>
        </w:tabs>
        <w:rPr>
          <w:rFonts w:eastAsia="Calibri"/>
          <w:b/>
          <w:i/>
          <w:sz w:val="20"/>
          <w:szCs w:val="20"/>
          <w:lang w:val="sq-AL"/>
        </w:rPr>
      </w:pPr>
    </w:p>
    <w:p w:rsidR="00E42B60" w:rsidRPr="00E42B60" w:rsidRDefault="00E42B60" w:rsidP="00E42B60">
      <w:pPr>
        <w:tabs>
          <w:tab w:val="left" w:pos="2511"/>
          <w:tab w:val="center" w:pos="4680"/>
        </w:tabs>
        <w:rPr>
          <w:rFonts w:eastAsia="Times New Roman"/>
          <w:i/>
          <w:sz w:val="20"/>
          <w:szCs w:val="20"/>
          <w:lang w:val="sq-AL"/>
        </w:rPr>
      </w:pPr>
      <w:r w:rsidRPr="00E42B60">
        <w:rPr>
          <w:rFonts w:eastAsia="Calibri"/>
          <w:b/>
          <w:i/>
          <w:sz w:val="20"/>
          <w:szCs w:val="20"/>
          <w:lang w:val="sq-AL"/>
        </w:rPr>
        <w:t xml:space="preserve">Grafiku </w:t>
      </w:r>
      <w:r w:rsidR="00596ACC">
        <w:rPr>
          <w:rFonts w:eastAsia="Calibri"/>
          <w:b/>
          <w:i/>
          <w:sz w:val="20"/>
          <w:szCs w:val="20"/>
          <w:lang w:val="sq-AL"/>
        </w:rPr>
        <w:t>10</w:t>
      </w:r>
      <w:r w:rsidRPr="00E42B60">
        <w:rPr>
          <w:rFonts w:eastAsia="Calibri"/>
          <w:i/>
          <w:sz w:val="20"/>
          <w:szCs w:val="20"/>
          <w:lang w:val="sq-AL"/>
        </w:rPr>
        <w:t xml:space="preserve"> Kontributi në TVSH-në bruto  të sektorëve të ekonomisë për periudhën  </w:t>
      </w:r>
      <w:r w:rsidRPr="00E42B60">
        <w:rPr>
          <w:rFonts w:eastAsia="Times New Roman"/>
          <w:i/>
          <w:sz w:val="20"/>
          <w:lang w:val="sq-AL"/>
        </w:rPr>
        <w:t xml:space="preserve">Janar-Shtator ndër vite </w:t>
      </w:r>
      <w:r w:rsidRPr="00E42B60">
        <w:rPr>
          <w:rFonts w:eastAsia="Times New Roman"/>
          <w:i/>
          <w:sz w:val="20"/>
          <w:szCs w:val="20"/>
          <w:lang w:val="sq-AL"/>
        </w:rPr>
        <w:t>(në milion lekë)</w:t>
      </w:r>
    </w:p>
    <w:p w:rsidR="00E42B60" w:rsidRPr="00E42B60" w:rsidRDefault="00E42B60" w:rsidP="00E42B60">
      <w:pPr>
        <w:tabs>
          <w:tab w:val="left" w:pos="2511"/>
          <w:tab w:val="center" w:pos="4680"/>
        </w:tabs>
        <w:rPr>
          <w:rFonts w:eastAsia="Times New Roman"/>
          <w:i/>
          <w:sz w:val="20"/>
          <w:lang w:val="sq-AL"/>
        </w:rPr>
      </w:pPr>
    </w:p>
    <w:p w:rsidR="00E42B60" w:rsidRPr="00E42B60" w:rsidRDefault="00E42B60" w:rsidP="00E42B60">
      <w:pPr>
        <w:tabs>
          <w:tab w:val="left" w:pos="2511"/>
          <w:tab w:val="center" w:pos="4680"/>
        </w:tabs>
        <w:jc w:val="center"/>
        <w:rPr>
          <w:rFonts w:eastAsia="Calibri"/>
          <w:i/>
          <w:sz w:val="20"/>
          <w:szCs w:val="20"/>
          <w:lang w:val="sq-AL"/>
        </w:rPr>
      </w:pPr>
      <w:r w:rsidRPr="00E42B60">
        <w:rPr>
          <w:noProof/>
          <w:lang w:val="sq-AL" w:eastAsia="sq-AL"/>
        </w:rPr>
        <w:drawing>
          <wp:inline distT="0" distB="0" distL="0" distR="0" wp14:anchorId="07B30D16" wp14:editId="7B09BEFC">
            <wp:extent cx="5328138" cy="1732352"/>
            <wp:effectExtent l="19050" t="19050" r="25400" b="2032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29">
                      <a:extLst>
                        <a:ext uri="{28A0092B-C50C-407E-A947-70E740481C1C}">
                          <a14:useLocalDpi xmlns:a14="http://schemas.microsoft.com/office/drawing/2010/main" val="0"/>
                        </a:ext>
                      </a:extLst>
                    </a:blip>
                    <a:srcRect l="-3102" t="-3542" r="-1929" b="-5894"/>
                    <a:stretch>
                      <a:fillRect/>
                    </a:stretch>
                  </pic:blipFill>
                  <pic:spPr bwMode="auto">
                    <a:xfrm>
                      <a:off x="0" y="0"/>
                      <a:ext cx="5327916" cy="1732280"/>
                    </a:xfrm>
                    <a:prstGeom prst="rect">
                      <a:avLst/>
                    </a:prstGeom>
                    <a:noFill/>
                    <a:ln w="19050" cmpd="sng">
                      <a:solidFill>
                        <a:srgbClr val="000000"/>
                      </a:solidFill>
                      <a:miter lim="800000"/>
                      <a:headEnd/>
                      <a:tailEnd/>
                    </a:ln>
                    <a:effectLst/>
                  </pic:spPr>
                </pic:pic>
              </a:graphicData>
            </a:graphic>
          </wp:inline>
        </w:drawing>
      </w:r>
    </w:p>
    <w:p w:rsidR="00E42B60" w:rsidRPr="00E42B60" w:rsidRDefault="00E42B60" w:rsidP="00E42B60">
      <w:pPr>
        <w:tabs>
          <w:tab w:val="left" w:pos="2511"/>
          <w:tab w:val="center" w:pos="4680"/>
        </w:tabs>
        <w:rPr>
          <w:rFonts w:eastAsia="Calibri"/>
          <w:noProof/>
          <w:lang w:val="sq-AL"/>
        </w:rPr>
      </w:pPr>
      <w:r w:rsidRPr="00E42B60">
        <w:rPr>
          <w:b/>
          <w:sz w:val="20"/>
          <w:szCs w:val="20"/>
          <w:lang w:val="sq-AL"/>
        </w:rPr>
        <w:t xml:space="preserve">                      Burimi:</w:t>
      </w:r>
      <w:r w:rsidRPr="00E42B60">
        <w:rPr>
          <w:b/>
          <w:i/>
          <w:sz w:val="20"/>
          <w:szCs w:val="20"/>
          <w:lang w:val="sq-AL"/>
        </w:rPr>
        <w:t xml:space="preserve"> </w:t>
      </w:r>
      <w:r w:rsidRPr="00E42B60">
        <w:rPr>
          <w:i/>
          <w:sz w:val="20"/>
          <w:szCs w:val="20"/>
          <w:lang w:val="sq-AL"/>
        </w:rPr>
        <w:t>Ministria e Financave (2016)</w:t>
      </w:r>
    </w:p>
    <w:p w:rsidR="00E42B60" w:rsidRPr="00E42B60" w:rsidRDefault="00E42B60" w:rsidP="00E42B60">
      <w:pPr>
        <w:jc w:val="both"/>
        <w:rPr>
          <w:rFonts w:eastAsia="Calibri"/>
          <w:b/>
          <w:i/>
          <w:lang w:val="sq-AL"/>
        </w:rPr>
      </w:pPr>
    </w:p>
    <w:p w:rsidR="00E42B60" w:rsidRPr="00E42B60" w:rsidRDefault="00E42B60" w:rsidP="00E42B60">
      <w:pPr>
        <w:rPr>
          <w:rFonts w:eastAsia="Calibri"/>
          <w:i/>
          <w:sz w:val="20"/>
          <w:szCs w:val="20"/>
          <w:lang w:val="sq-AL"/>
        </w:rPr>
      </w:pPr>
      <w:r w:rsidRPr="00E42B60">
        <w:rPr>
          <w:rFonts w:eastAsia="Calibri"/>
          <w:b/>
          <w:i/>
          <w:sz w:val="20"/>
          <w:szCs w:val="20"/>
          <w:lang w:val="sq-AL"/>
        </w:rPr>
        <w:t xml:space="preserve">            Grafiku </w:t>
      </w:r>
      <w:r w:rsidR="00596ACC">
        <w:rPr>
          <w:rFonts w:eastAsia="Calibri"/>
          <w:b/>
          <w:i/>
          <w:sz w:val="20"/>
          <w:szCs w:val="20"/>
          <w:lang w:val="sq-AL"/>
        </w:rPr>
        <w:t>11</w:t>
      </w:r>
      <w:r w:rsidRPr="00E42B60">
        <w:rPr>
          <w:rFonts w:eastAsia="Calibri"/>
          <w:i/>
          <w:sz w:val="20"/>
          <w:szCs w:val="20"/>
          <w:lang w:val="sq-AL"/>
        </w:rPr>
        <w:t xml:space="preserve"> Rimbursimi i TVSH-së për periudhën Janar Shtator ndër vite                                 (në milion lekë)</w:t>
      </w:r>
    </w:p>
    <w:p w:rsidR="00E42B60" w:rsidRPr="00E42B60" w:rsidRDefault="00E42B60" w:rsidP="00E42B60">
      <w:pPr>
        <w:jc w:val="center"/>
        <w:rPr>
          <w:rFonts w:eastAsia="Calibri"/>
          <w:b/>
          <w:i/>
          <w:lang w:val="sq-AL"/>
        </w:rPr>
      </w:pPr>
      <w:r w:rsidRPr="00E42B60">
        <w:rPr>
          <w:rFonts w:eastAsia="Calibri"/>
          <w:i/>
          <w:noProof/>
          <w:sz w:val="20"/>
          <w:szCs w:val="20"/>
          <w:lang w:val="sq-AL" w:eastAsia="sq-AL"/>
        </w:rPr>
        <w:lastRenderedPageBreak/>
        <w:drawing>
          <wp:inline distT="0" distB="0" distL="0" distR="0" wp14:anchorId="3FF0BA04" wp14:editId="111CF7A9">
            <wp:extent cx="5864225" cy="2030730"/>
            <wp:effectExtent l="19050" t="19050" r="22225" b="2667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4225" cy="2030730"/>
                    </a:xfrm>
                    <a:prstGeom prst="rect">
                      <a:avLst/>
                    </a:prstGeom>
                    <a:noFill/>
                    <a:ln w="19050" cmpd="sng">
                      <a:solidFill>
                        <a:srgbClr val="000000"/>
                      </a:solidFill>
                      <a:miter lim="800000"/>
                      <a:headEnd/>
                      <a:tailEnd/>
                    </a:ln>
                    <a:effectLst/>
                  </pic:spPr>
                </pic:pic>
              </a:graphicData>
            </a:graphic>
          </wp:inline>
        </w:drawing>
      </w:r>
    </w:p>
    <w:p w:rsidR="00E42B60" w:rsidRPr="00E42B60" w:rsidRDefault="00E42B60" w:rsidP="00E42B60">
      <w:pPr>
        <w:jc w:val="both"/>
        <w:rPr>
          <w:lang w:val="sq-AL"/>
        </w:rPr>
      </w:pPr>
      <w:r w:rsidRPr="00E42B60">
        <w:rPr>
          <w:b/>
          <w:sz w:val="20"/>
          <w:szCs w:val="20"/>
          <w:lang w:val="sq-AL"/>
        </w:rPr>
        <w:t xml:space="preserve">             Burimi:</w:t>
      </w:r>
      <w:r w:rsidRPr="00E42B60">
        <w:rPr>
          <w:b/>
          <w:i/>
          <w:sz w:val="20"/>
          <w:szCs w:val="20"/>
          <w:lang w:val="sq-AL"/>
        </w:rPr>
        <w:t xml:space="preserve"> </w:t>
      </w:r>
      <w:r w:rsidRPr="00E42B60">
        <w:rPr>
          <w:i/>
          <w:sz w:val="20"/>
          <w:szCs w:val="20"/>
          <w:lang w:val="sq-AL"/>
        </w:rPr>
        <w:t>Ministria e Financave (2016)</w:t>
      </w:r>
    </w:p>
    <w:p w:rsidR="00E42B60" w:rsidRPr="00E42B60" w:rsidRDefault="00E42B60" w:rsidP="00E42B60">
      <w:pPr>
        <w:jc w:val="both"/>
        <w:rPr>
          <w:rFonts w:eastAsia="Calibri"/>
          <w:b/>
          <w:i/>
          <w:lang w:val="sq-AL"/>
        </w:rPr>
      </w:pPr>
    </w:p>
    <w:p w:rsidR="00E42B60" w:rsidRPr="00E42B60" w:rsidRDefault="00E42B60" w:rsidP="00E42B60">
      <w:pPr>
        <w:jc w:val="both"/>
        <w:rPr>
          <w:rFonts w:eastAsia="Calibri"/>
          <w:b/>
          <w:i/>
          <w:lang w:val="sq-AL"/>
        </w:rPr>
      </w:pPr>
    </w:p>
    <w:p w:rsidR="00E42B60" w:rsidRPr="00E42B60" w:rsidRDefault="00E42B60" w:rsidP="00E42B60">
      <w:pPr>
        <w:spacing w:line="276" w:lineRule="auto"/>
        <w:jc w:val="both"/>
        <w:rPr>
          <w:rFonts w:eastAsia="Calibri"/>
          <w:lang w:val="it-IT"/>
        </w:rPr>
      </w:pPr>
      <w:r w:rsidRPr="00E42B60">
        <w:rPr>
          <w:rFonts w:eastAsia="Calibri"/>
          <w:b/>
          <w:i/>
          <w:lang w:val="sq-AL"/>
        </w:rPr>
        <w:t>Të ardhurat nga  tatimi mbi fitimin</w:t>
      </w:r>
      <w:r w:rsidRPr="00E42B60">
        <w:rPr>
          <w:rFonts w:eastAsia="Calibri"/>
          <w:lang w:val="sq-AL"/>
        </w:rPr>
        <w:t xml:space="preserve"> janë realizuar në vlerën 21.7 miliardë lekë, 19.2% më shumë se e njëjta periudhë e vitit të kaluar dhe 20% më shumë se plani. Ndikimin kryesor në këtë rezultat e ka patur rritja e ndërgjegjësimit të taksapaguesve për deklarimin real të transaksioneve në import dhe zinxhirin e shitjeve. Faktorë të tjerë përmendim: fazën e dytë të planit të veprimit kundër informalitetit të orientuar drejt kontrolleve bazuar në analizën e riskut dhe në vazhdimësinë e proceseve. </w:t>
      </w:r>
      <w:r w:rsidRPr="00E42B60">
        <w:rPr>
          <w:rFonts w:eastAsia="Calibri"/>
          <w:lang w:val="it-IT"/>
        </w:rPr>
        <w:t>Thjeshtëzimi i procedurave të deklarimit dhe instalimi i një komunikimi permanent me operatorët e biznesit po gjeneron performancë më të lartë.</w:t>
      </w:r>
    </w:p>
    <w:p w:rsidR="00E42B60" w:rsidRPr="00E42B60" w:rsidRDefault="00E42B60" w:rsidP="00E42B60">
      <w:pPr>
        <w:spacing w:line="360" w:lineRule="auto"/>
        <w:jc w:val="both"/>
        <w:rPr>
          <w:rFonts w:eastAsia="Times New Roman"/>
          <w:i/>
          <w:sz w:val="20"/>
          <w:lang w:val="sq-AL"/>
        </w:rPr>
      </w:pPr>
      <w:r w:rsidRPr="00E42B60">
        <w:rPr>
          <w:rFonts w:eastAsia="Calibri"/>
          <w:b/>
          <w:i/>
          <w:sz w:val="20"/>
          <w:szCs w:val="20"/>
          <w:lang w:val="it-IT"/>
        </w:rPr>
        <w:t xml:space="preserve">Grafiku </w:t>
      </w:r>
      <w:r w:rsidR="00596ACC">
        <w:rPr>
          <w:rFonts w:eastAsia="Calibri"/>
          <w:b/>
          <w:i/>
          <w:sz w:val="20"/>
          <w:szCs w:val="20"/>
          <w:lang w:val="it-IT"/>
        </w:rPr>
        <w:t>12</w:t>
      </w:r>
      <w:r w:rsidRPr="00E42B60">
        <w:rPr>
          <w:rFonts w:eastAsia="Calibri"/>
          <w:i/>
          <w:sz w:val="20"/>
          <w:szCs w:val="20"/>
          <w:lang w:val="it-IT"/>
        </w:rPr>
        <w:t xml:space="preserve"> Të ardhurat  e realizuara nga Tatimi  mbi fitimin  për periudhën </w:t>
      </w:r>
      <w:r w:rsidRPr="00E42B60">
        <w:rPr>
          <w:rFonts w:eastAsia="Times New Roman"/>
          <w:i/>
          <w:sz w:val="20"/>
          <w:lang w:val="sq-AL"/>
        </w:rPr>
        <w:t>Janar-Shtator ndër vite(në milion lekë)</w:t>
      </w:r>
    </w:p>
    <w:p w:rsidR="00E42B60" w:rsidRPr="00E42B60" w:rsidRDefault="00E42B60" w:rsidP="00E42B60">
      <w:pPr>
        <w:jc w:val="both"/>
        <w:rPr>
          <w:rFonts w:eastAsia="Calibri"/>
          <w:lang w:val="it-IT"/>
        </w:rPr>
      </w:pPr>
    </w:p>
    <w:p w:rsidR="00E42B60" w:rsidRPr="00E42B60" w:rsidRDefault="00E42B60" w:rsidP="00E42B60">
      <w:pPr>
        <w:jc w:val="center"/>
        <w:rPr>
          <w:rFonts w:eastAsia="Calibri"/>
          <w:i/>
          <w:sz w:val="20"/>
          <w:szCs w:val="20"/>
          <w:lang w:val="it-IT"/>
        </w:rPr>
      </w:pPr>
      <w:r w:rsidRPr="00E42B60">
        <w:rPr>
          <w:noProof/>
          <w:lang w:val="sq-AL" w:eastAsia="sq-AL"/>
        </w:rPr>
        <w:drawing>
          <wp:inline distT="0" distB="0" distL="0" distR="0" wp14:anchorId="1F55B775" wp14:editId="366BCBA9">
            <wp:extent cx="5864225" cy="1837690"/>
            <wp:effectExtent l="19050" t="19050" r="22225" b="1016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4225" cy="1837690"/>
                    </a:xfrm>
                    <a:prstGeom prst="rect">
                      <a:avLst/>
                    </a:prstGeom>
                    <a:noFill/>
                    <a:ln w="6350" cmpd="sng">
                      <a:solidFill>
                        <a:srgbClr val="000000"/>
                      </a:solidFill>
                      <a:miter lim="800000"/>
                      <a:headEnd/>
                      <a:tailEnd/>
                    </a:ln>
                    <a:effectLst/>
                  </pic:spPr>
                </pic:pic>
              </a:graphicData>
            </a:graphic>
          </wp:inline>
        </w:drawing>
      </w:r>
    </w:p>
    <w:p w:rsidR="00E42B60" w:rsidRPr="00E42B60" w:rsidRDefault="00E42B60" w:rsidP="00E42B60">
      <w:pPr>
        <w:rPr>
          <w:lang w:val="sq-AL"/>
        </w:rPr>
      </w:pPr>
      <w:r w:rsidRPr="00E42B60">
        <w:rPr>
          <w:b/>
          <w:sz w:val="20"/>
          <w:szCs w:val="20"/>
          <w:lang w:val="sq-AL"/>
        </w:rPr>
        <w:t xml:space="preserve">           Burimi:</w:t>
      </w:r>
      <w:r w:rsidRPr="00E42B60">
        <w:rPr>
          <w:b/>
          <w:i/>
          <w:sz w:val="20"/>
          <w:szCs w:val="20"/>
          <w:lang w:val="sq-AL"/>
        </w:rPr>
        <w:t xml:space="preserve"> </w:t>
      </w:r>
      <w:r w:rsidRPr="00E42B60">
        <w:rPr>
          <w:i/>
          <w:sz w:val="20"/>
          <w:szCs w:val="20"/>
          <w:lang w:val="sq-AL"/>
        </w:rPr>
        <w:t>Ministria e Financave (2016)</w:t>
      </w:r>
    </w:p>
    <w:p w:rsidR="00E42B60" w:rsidRPr="00E42B60" w:rsidRDefault="00E42B60" w:rsidP="00E42B60">
      <w:pPr>
        <w:rPr>
          <w:rFonts w:eastAsia="Calibri"/>
          <w:b/>
          <w:i/>
          <w:sz w:val="20"/>
          <w:szCs w:val="20"/>
        </w:rPr>
      </w:pPr>
    </w:p>
    <w:p w:rsidR="00E42B60" w:rsidRPr="00E42B60" w:rsidRDefault="00E42B60" w:rsidP="00E42B60">
      <w:pPr>
        <w:rPr>
          <w:rFonts w:eastAsia="Calibri"/>
          <w:b/>
          <w:i/>
          <w:sz w:val="20"/>
          <w:szCs w:val="20"/>
        </w:rPr>
      </w:pPr>
    </w:p>
    <w:p w:rsidR="00E42B60" w:rsidRPr="00E42B60" w:rsidRDefault="00E42B60" w:rsidP="00E42B60">
      <w:pPr>
        <w:rPr>
          <w:rFonts w:eastAsia="Times New Roman"/>
          <w:i/>
          <w:sz w:val="20"/>
          <w:lang w:val="sq-AL"/>
        </w:rPr>
      </w:pPr>
      <w:r w:rsidRPr="00E42B60">
        <w:rPr>
          <w:rFonts w:eastAsia="Calibri"/>
          <w:b/>
          <w:i/>
          <w:sz w:val="20"/>
          <w:szCs w:val="20"/>
        </w:rPr>
        <w:t xml:space="preserve">Grafiku </w:t>
      </w:r>
      <w:r w:rsidR="00596ACC">
        <w:rPr>
          <w:rFonts w:eastAsia="Calibri"/>
          <w:b/>
          <w:i/>
          <w:sz w:val="20"/>
          <w:szCs w:val="20"/>
        </w:rPr>
        <w:t>13</w:t>
      </w:r>
      <w:r w:rsidRPr="00E42B60">
        <w:rPr>
          <w:rFonts w:eastAsia="Calibri"/>
          <w:i/>
          <w:sz w:val="20"/>
          <w:szCs w:val="20"/>
        </w:rPr>
        <w:t xml:space="preserve"> Të ardhurat e realizuara nga Tatimi mbi të ardhurat personale për periudhën </w:t>
      </w:r>
      <w:r w:rsidRPr="00E42B60">
        <w:rPr>
          <w:rFonts w:eastAsia="Times New Roman"/>
          <w:i/>
          <w:sz w:val="20"/>
          <w:lang w:val="sq-AL"/>
        </w:rPr>
        <w:t>Janar-Shtator ndër vite. (në milion lekë)</w:t>
      </w:r>
    </w:p>
    <w:p w:rsidR="00E42B60" w:rsidRPr="00E42B60" w:rsidRDefault="00E42B60" w:rsidP="00E42B60">
      <w:pPr>
        <w:jc w:val="center"/>
        <w:rPr>
          <w:rFonts w:eastAsia="Calibri"/>
          <w:b/>
          <w:i/>
        </w:rPr>
      </w:pPr>
      <w:r w:rsidRPr="00E42B60">
        <w:rPr>
          <w:rFonts w:eastAsia="Calibri"/>
          <w:i/>
          <w:noProof/>
          <w:sz w:val="20"/>
          <w:szCs w:val="20"/>
          <w:lang w:val="sq-AL" w:eastAsia="sq-AL"/>
        </w:rPr>
        <w:drawing>
          <wp:inline distT="0" distB="0" distL="0" distR="0" wp14:anchorId="6070E929" wp14:editId="66ADB0C5">
            <wp:extent cx="5925820" cy="1670685"/>
            <wp:effectExtent l="19050" t="19050" r="17780" b="24765"/>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2">
                      <a:extLst>
                        <a:ext uri="{28A0092B-C50C-407E-A947-70E740481C1C}">
                          <a14:useLocalDpi xmlns:a14="http://schemas.microsoft.com/office/drawing/2010/main" val="0"/>
                        </a:ext>
                      </a:extLst>
                    </a:blip>
                    <a:srcRect b="-92"/>
                    <a:stretch>
                      <a:fillRect/>
                    </a:stretch>
                  </pic:blipFill>
                  <pic:spPr bwMode="auto">
                    <a:xfrm>
                      <a:off x="0" y="0"/>
                      <a:ext cx="5925820" cy="1670685"/>
                    </a:xfrm>
                    <a:prstGeom prst="rect">
                      <a:avLst/>
                    </a:prstGeom>
                    <a:noFill/>
                    <a:ln w="19050" cmpd="sng">
                      <a:solidFill>
                        <a:srgbClr val="000000"/>
                      </a:solidFill>
                      <a:miter lim="800000"/>
                      <a:headEnd/>
                      <a:tailEnd/>
                    </a:ln>
                    <a:effectLst/>
                  </pic:spPr>
                </pic:pic>
              </a:graphicData>
            </a:graphic>
          </wp:inline>
        </w:drawing>
      </w:r>
    </w:p>
    <w:p w:rsidR="00E42B60" w:rsidRPr="00E42B60" w:rsidRDefault="00E42B60" w:rsidP="00E42B60">
      <w:pPr>
        <w:rPr>
          <w:lang w:val="sq-AL"/>
        </w:rPr>
      </w:pPr>
      <w:r w:rsidRPr="00E42B60">
        <w:rPr>
          <w:b/>
          <w:sz w:val="20"/>
          <w:szCs w:val="20"/>
          <w:lang w:val="sq-AL"/>
        </w:rPr>
        <w:t xml:space="preserve">            Burimi:</w:t>
      </w:r>
      <w:r w:rsidRPr="00E42B60">
        <w:rPr>
          <w:b/>
          <w:i/>
          <w:sz w:val="20"/>
          <w:szCs w:val="20"/>
          <w:lang w:val="sq-AL"/>
        </w:rPr>
        <w:t xml:space="preserve"> </w:t>
      </w:r>
      <w:r w:rsidRPr="00E42B60">
        <w:rPr>
          <w:i/>
          <w:sz w:val="20"/>
          <w:szCs w:val="20"/>
          <w:lang w:val="sq-AL"/>
        </w:rPr>
        <w:t>Ministria e Financave (2016)</w:t>
      </w:r>
    </w:p>
    <w:p w:rsidR="00E42B60" w:rsidRPr="00E42B60" w:rsidRDefault="00E42B60" w:rsidP="00E42B60">
      <w:pPr>
        <w:jc w:val="both"/>
        <w:rPr>
          <w:rFonts w:eastAsia="Calibri"/>
          <w:b/>
          <w:i/>
        </w:rPr>
      </w:pPr>
    </w:p>
    <w:p w:rsidR="00E42B60" w:rsidRPr="00E42B60" w:rsidRDefault="00E42B60" w:rsidP="00E42B60">
      <w:pPr>
        <w:spacing w:line="276" w:lineRule="auto"/>
        <w:jc w:val="both"/>
        <w:rPr>
          <w:rFonts w:eastAsia="Calibri"/>
        </w:rPr>
      </w:pPr>
      <w:r w:rsidRPr="00E42B60">
        <w:rPr>
          <w:rFonts w:eastAsia="Calibri"/>
          <w:b/>
          <w:i/>
        </w:rPr>
        <w:lastRenderedPageBreak/>
        <w:t xml:space="preserve">Të ardhurat nga tatimi mbi të ardhurat personale </w:t>
      </w:r>
      <w:r w:rsidRPr="00E42B60">
        <w:rPr>
          <w:rFonts w:eastAsia="Calibri"/>
        </w:rPr>
        <w:t>janë realizuar në vlerën 24.4 miliardë lekë. Kontributi i këtij zëri në të ardhura është 11 % më shumë se 9-mujori i vitit 2015 dhe 1.5% më shumë se plani.</w:t>
      </w:r>
    </w:p>
    <w:p w:rsidR="00E42B60" w:rsidRPr="00E42B60" w:rsidRDefault="00E42B60" w:rsidP="00E42B60">
      <w:pPr>
        <w:spacing w:line="276" w:lineRule="auto"/>
        <w:jc w:val="both"/>
        <w:rPr>
          <w:rFonts w:eastAsia="Calibri"/>
          <w:lang w:val="sq-AL"/>
        </w:rPr>
      </w:pPr>
      <w:r w:rsidRPr="00E42B60">
        <w:rPr>
          <w:rFonts w:eastAsia="Calibri"/>
          <w:b/>
          <w:i/>
          <w:lang w:val="sq-AL"/>
        </w:rPr>
        <w:t xml:space="preserve">Të ardhurat nga taksat nacionale </w:t>
      </w:r>
      <w:r w:rsidRPr="00E42B60">
        <w:rPr>
          <w:rFonts w:eastAsia="Calibri"/>
          <w:lang w:val="sq-AL"/>
        </w:rPr>
        <w:t>paraqitet me një performancë pozitive duke realizuar 24 miliardë lekë, 11% më shumë se 9-mujori i vitit 2015 me  një realizim të planit në masën 98% ose rreth 500 milion lekë më pak. Faktor që ka ndikuar në këtë diferencë në masën më të madhe, është konjuktura e çmimit ndërkombëtar të mineraleve duke sjellë uljen e sasisë së prodhimit dhe të vlerës së rentës për kg.</w:t>
      </w:r>
    </w:p>
    <w:p w:rsidR="00E42B60" w:rsidRPr="00E42B60" w:rsidRDefault="00E42B60" w:rsidP="00E42B60">
      <w:pPr>
        <w:rPr>
          <w:rFonts w:eastAsia="Calibri"/>
          <w:b/>
          <w:i/>
          <w:sz w:val="20"/>
          <w:szCs w:val="20"/>
          <w:lang w:val="it-IT"/>
        </w:rPr>
      </w:pPr>
    </w:p>
    <w:p w:rsidR="00E42B60" w:rsidRPr="00E42B60" w:rsidRDefault="00E42B60" w:rsidP="00E42B60">
      <w:pPr>
        <w:rPr>
          <w:rFonts w:eastAsia="Calibri"/>
          <w:i/>
          <w:sz w:val="20"/>
          <w:szCs w:val="20"/>
          <w:lang w:val="it-IT"/>
        </w:rPr>
      </w:pPr>
      <w:r w:rsidRPr="00E42B60">
        <w:rPr>
          <w:rFonts w:eastAsia="Calibri"/>
          <w:b/>
          <w:i/>
          <w:sz w:val="20"/>
          <w:szCs w:val="20"/>
          <w:lang w:val="it-IT"/>
        </w:rPr>
        <w:t xml:space="preserve">Grafiku </w:t>
      </w:r>
      <w:r w:rsidR="00596ACC">
        <w:rPr>
          <w:rFonts w:eastAsia="Calibri"/>
          <w:b/>
          <w:i/>
          <w:sz w:val="20"/>
          <w:szCs w:val="20"/>
          <w:lang w:val="it-IT"/>
        </w:rPr>
        <w:t>14</w:t>
      </w:r>
      <w:r w:rsidRPr="00E42B60">
        <w:rPr>
          <w:rFonts w:eastAsia="Calibri"/>
          <w:i/>
          <w:sz w:val="20"/>
          <w:szCs w:val="20"/>
          <w:lang w:val="it-IT"/>
        </w:rPr>
        <w:t xml:space="preserve"> Të ardhurat  e realizuara nga  Taksat Nacionale për periudhën </w:t>
      </w:r>
      <w:r w:rsidRPr="00E42B60">
        <w:rPr>
          <w:rFonts w:eastAsia="Times New Roman"/>
          <w:i/>
          <w:sz w:val="20"/>
          <w:lang w:val="sq-AL"/>
        </w:rPr>
        <w:t>Janar-Shtator ndër vite</w:t>
      </w:r>
      <w:r w:rsidRPr="00E42B60">
        <w:rPr>
          <w:rFonts w:eastAsia="Calibri"/>
          <w:i/>
          <w:sz w:val="20"/>
          <w:szCs w:val="20"/>
          <w:lang w:val="it-IT"/>
        </w:rPr>
        <w:t xml:space="preserve"> </w:t>
      </w:r>
      <w:r w:rsidRPr="00E42B60">
        <w:rPr>
          <w:rFonts w:eastAsia="Times New Roman"/>
          <w:i/>
          <w:sz w:val="20"/>
          <w:lang w:val="sq-AL"/>
        </w:rPr>
        <w:t>(në milion lekë)</w:t>
      </w:r>
    </w:p>
    <w:p w:rsidR="00E42B60" w:rsidRPr="00E42B60" w:rsidRDefault="00E42B60" w:rsidP="00E42B60">
      <w:pPr>
        <w:jc w:val="center"/>
        <w:rPr>
          <w:rFonts w:eastAsia="Calibri"/>
          <w:i/>
          <w:noProof/>
          <w:sz w:val="20"/>
          <w:szCs w:val="20"/>
          <w:lang w:val="sq-AL"/>
        </w:rPr>
      </w:pPr>
      <w:r w:rsidRPr="00E42B60">
        <w:rPr>
          <w:noProof/>
          <w:lang w:val="sq-AL" w:eastAsia="sq-AL"/>
        </w:rPr>
        <w:drawing>
          <wp:inline distT="0" distB="0" distL="0" distR="0" wp14:anchorId="30635E78" wp14:editId="6F2BE075">
            <wp:extent cx="5345430" cy="1784985"/>
            <wp:effectExtent l="19050" t="19050" r="26670" b="24765"/>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5430" cy="1784985"/>
                    </a:xfrm>
                    <a:prstGeom prst="rect">
                      <a:avLst/>
                    </a:prstGeom>
                    <a:noFill/>
                    <a:ln w="6350" cmpd="sng">
                      <a:solidFill>
                        <a:srgbClr val="000000"/>
                      </a:solidFill>
                      <a:miter lim="800000"/>
                      <a:headEnd/>
                      <a:tailEnd/>
                    </a:ln>
                    <a:effectLst/>
                  </pic:spPr>
                </pic:pic>
              </a:graphicData>
            </a:graphic>
          </wp:inline>
        </w:drawing>
      </w:r>
    </w:p>
    <w:p w:rsidR="00E42B60" w:rsidRPr="00E42B60" w:rsidRDefault="00E42B60" w:rsidP="00E42B60">
      <w:pPr>
        <w:rPr>
          <w:i/>
          <w:sz w:val="20"/>
          <w:szCs w:val="20"/>
          <w:lang w:val="sq-AL"/>
        </w:rPr>
      </w:pPr>
      <w:r w:rsidRPr="00E42B60">
        <w:rPr>
          <w:b/>
          <w:sz w:val="20"/>
          <w:szCs w:val="20"/>
          <w:lang w:val="sq-AL"/>
        </w:rPr>
        <w:t xml:space="preserve">                     Burimi:</w:t>
      </w:r>
      <w:r w:rsidRPr="00E42B60">
        <w:rPr>
          <w:b/>
          <w:i/>
          <w:sz w:val="20"/>
          <w:szCs w:val="20"/>
          <w:lang w:val="sq-AL"/>
        </w:rPr>
        <w:t xml:space="preserve"> </w:t>
      </w:r>
      <w:r w:rsidRPr="00E42B60">
        <w:rPr>
          <w:i/>
          <w:sz w:val="20"/>
          <w:szCs w:val="20"/>
          <w:lang w:val="sq-AL"/>
        </w:rPr>
        <w:t>Ministria e Financave (2016)</w:t>
      </w:r>
    </w:p>
    <w:p w:rsidR="00E42B60" w:rsidRPr="00E42B60" w:rsidRDefault="00E42B60" w:rsidP="00E42B60">
      <w:pPr>
        <w:rPr>
          <w:lang w:val="sq-AL"/>
        </w:rPr>
      </w:pPr>
    </w:p>
    <w:p w:rsidR="00E42B60" w:rsidRPr="00E42B60" w:rsidRDefault="00E42B60" w:rsidP="00E42B60">
      <w:pPr>
        <w:rPr>
          <w:rFonts w:eastAsia="Calibri"/>
          <w:i/>
          <w:sz w:val="20"/>
          <w:szCs w:val="20"/>
        </w:rPr>
      </w:pPr>
      <w:r w:rsidRPr="00E42B60">
        <w:rPr>
          <w:rFonts w:eastAsia="Calibri"/>
          <w:b/>
          <w:i/>
          <w:sz w:val="20"/>
          <w:szCs w:val="20"/>
        </w:rPr>
        <w:t xml:space="preserve">Grafiku </w:t>
      </w:r>
      <w:r w:rsidR="00596ACC">
        <w:rPr>
          <w:rFonts w:eastAsia="Calibri"/>
          <w:b/>
          <w:i/>
          <w:sz w:val="20"/>
          <w:szCs w:val="20"/>
        </w:rPr>
        <w:t>15</w:t>
      </w:r>
      <w:r w:rsidRPr="00E42B60">
        <w:rPr>
          <w:rFonts w:eastAsia="Calibri"/>
          <w:b/>
          <w:i/>
          <w:sz w:val="20"/>
          <w:szCs w:val="20"/>
        </w:rPr>
        <w:t xml:space="preserve"> </w:t>
      </w:r>
      <w:r w:rsidRPr="00E42B60">
        <w:rPr>
          <w:rFonts w:eastAsia="Calibri"/>
          <w:i/>
          <w:sz w:val="20"/>
          <w:szCs w:val="20"/>
        </w:rPr>
        <w:t xml:space="preserve">Të ardhurat  e realizuara nga Kontributet  për periudhën Janar-Shtator ndër vite </w:t>
      </w:r>
      <w:r w:rsidRPr="00E42B60">
        <w:rPr>
          <w:rFonts w:eastAsia="Times New Roman"/>
          <w:i/>
          <w:sz w:val="20"/>
          <w:lang w:val="sq-AL"/>
        </w:rPr>
        <w:t>(në milion lekë)</w:t>
      </w:r>
    </w:p>
    <w:p w:rsidR="00E42B60" w:rsidRPr="00E42B60" w:rsidRDefault="00E42B60" w:rsidP="00E42B60">
      <w:pPr>
        <w:jc w:val="center"/>
        <w:rPr>
          <w:rFonts w:eastAsia="Calibri"/>
          <w:b/>
          <w:i/>
          <w:lang w:val="sq-AL"/>
        </w:rPr>
      </w:pPr>
      <w:r w:rsidRPr="00E42B60">
        <w:rPr>
          <w:i/>
          <w:noProof/>
          <w:sz w:val="20"/>
          <w:szCs w:val="20"/>
          <w:lang w:val="sq-AL" w:eastAsia="sq-AL"/>
        </w:rPr>
        <w:drawing>
          <wp:inline distT="0" distB="0" distL="0" distR="0" wp14:anchorId="014ED18F" wp14:editId="47CA018A">
            <wp:extent cx="5222875" cy="1784985"/>
            <wp:effectExtent l="19050" t="19050" r="15875" b="24765"/>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4">
                      <a:extLst>
                        <a:ext uri="{28A0092B-C50C-407E-A947-70E740481C1C}">
                          <a14:useLocalDpi xmlns:a14="http://schemas.microsoft.com/office/drawing/2010/main" val="0"/>
                        </a:ext>
                      </a:extLst>
                    </a:blip>
                    <a:srcRect r="-21" b="-24"/>
                    <a:stretch>
                      <a:fillRect/>
                    </a:stretch>
                  </pic:blipFill>
                  <pic:spPr bwMode="auto">
                    <a:xfrm>
                      <a:off x="0" y="0"/>
                      <a:ext cx="5222875" cy="1784985"/>
                    </a:xfrm>
                    <a:prstGeom prst="rect">
                      <a:avLst/>
                    </a:prstGeom>
                    <a:noFill/>
                    <a:ln w="19050" cmpd="sng">
                      <a:solidFill>
                        <a:srgbClr val="000000"/>
                      </a:solidFill>
                      <a:miter lim="800000"/>
                      <a:headEnd/>
                      <a:tailEnd/>
                    </a:ln>
                    <a:effectLst/>
                  </pic:spPr>
                </pic:pic>
              </a:graphicData>
            </a:graphic>
          </wp:inline>
        </w:drawing>
      </w:r>
    </w:p>
    <w:p w:rsidR="00E42B60" w:rsidRPr="00E42B60" w:rsidRDefault="00E42B60" w:rsidP="00E42B60">
      <w:pPr>
        <w:rPr>
          <w:lang w:val="sq-AL"/>
        </w:rPr>
      </w:pPr>
      <w:r w:rsidRPr="00E42B60">
        <w:rPr>
          <w:b/>
          <w:sz w:val="20"/>
          <w:szCs w:val="20"/>
          <w:lang w:val="sq-AL"/>
        </w:rPr>
        <w:t xml:space="preserve">                         Burimi:</w:t>
      </w:r>
      <w:r w:rsidRPr="00E42B60">
        <w:rPr>
          <w:b/>
          <w:i/>
          <w:sz w:val="20"/>
          <w:szCs w:val="20"/>
          <w:lang w:val="sq-AL"/>
        </w:rPr>
        <w:t xml:space="preserve"> </w:t>
      </w:r>
      <w:r w:rsidRPr="00E42B60">
        <w:rPr>
          <w:i/>
          <w:sz w:val="20"/>
          <w:szCs w:val="20"/>
          <w:lang w:val="sq-AL"/>
        </w:rPr>
        <w:t>Ministria e Financave (2016)</w:t>
      </w:r>
    </w:p>
    <w:p w:rsidR="00E42B60" w:rsidRPr="00E42B60" w:rsidRDefault="00E42B60" w:rsidP="00E42B60">
      <w:pPr>
        <w:jc w:val="both"/>
        <w:rPr>
          <w:rFonts w:eastAsia="Calibri"/>
          <w:b/>
          <w:i/>
          <w:lang w:val="sq-AL"/>
        </w:rPr>
      </w:pPr>
    </w:p>
    <w:p w:rsidR="00E42B60" w:rsidRPr="00E42B60" w:rsidRDefault="00E42B60" w:rsidP="00E42B60">
      <w:pPr>
        <w:spacing w:line="276" w:lineRule="auto"/>
        <w:jc w:val="both"/>
        <w:rPr>
          <w:rFonts w:eastAsia="Calibri"/>
          <w:lang w:val="sq-AL"/>
        </w:rPr>
      </w:pPr>
      <w:r w:rsidRPr="00E42B60">
        <w:rPr>
          <w:rFonts w:eastAsia="Calibri"/>
          <w:b/>
          <w:i/>
          <w:lang w:val="sq-AL"/>
        </w:rPr>
        <w:t xml:space="preserve">Të ardhurat nga kontributet e Drejtorise së Përgjithshme të Tatimeve </w:t>
      </w:r>
      <w:r w:rsidRPr="00E42B60">
        <w:rPr>
          <w:rFonts w:eastAsia="Calibri"/>
          <w:lang w:val="sq-AL"/>
        </w:rPr>
        <w:t>janë realizuar në vlerën 55.5 miliardë lekë, 13.1% më shumë se 9 mujori i vitit 2015 dhe 1.4% më shumë se plani.</w:t>
      </w:r>
    </w:p>
    <w:p w:rsidR="00B0121D" w:rsidRPr="00D73F43" w:rsidRDefault="00B0121D" w:rsidP="00E42B60">
      <w:pPr>
        <w:spacing w:line="276" w:lineRule="auto"/>
        <w:jc w:val="both"/>
        <w:rPr>
          <w:rFonts w:eastAsia="Calibri"/>
          <w:lang w:val="sq-AL"/>
        </w:rPr>
      </w:pPr>
    </w:p>
    <w:p w:rsidR="00B0121D" w:rsidRPr="00E42B60" w:rsidRDefault="00E42B60" w:rsidP="00534AA6">
      <w:pPr>
        <w:pStyle w:val="Heading2"/>
        <w:numPr>
          <w:ilvl w:val="1"/>
          <w:numId w:val="36"/>
        </w:numPr>
        <w:rPr>
          <w:rFonts w:ascii="Times New Roman" w:hAnsi="Times New Roman"/>
          <w:i w:val="0"/>
          <w:lang w:val="sq-AL"/>
        </w:rPr>
      </w:pPr>
      <w:bookmarkStart w:id="181" w:name="_Toc374447187"/>
      <w:bookmarkStart w:id="182" w:name="_Toc374620506"/>
      <w:bookmarkStart w:id="183" w:name="_Toc466445506"/>
      <w:r w:rsidRPr="00E42B60">
        <w:rPr>
          <w:rFonts w:ascii="Times New Roman" w:hAnsi="Times New Roman"/>
          <w:i w:val="0"/>
          <w:lang w:val="sq-AL"/>
        </w:rPr>
        <w:t>ANALIZA E SHPENZIMEVE BUXHETORE PËR PERIUDHËN JANAR</w:t>
      </w:r>
      <w:bookmarkEnd w:id="181"/>
      <w:r w:rsidRPr="00E42B60">
        <w:rPr>
          <w:rFonts w:ascii="Times New Roman" w:hAnsi="Times New Roman"/>
          <w:i w:val="0"/>
          <w:lang w:val="sq-AL"/>
        </w:rPr>
        <w:t xml:space="preserve">-SHTATOR </w:t>
      </w:r>
      <w:bookmarkEnd w:id="182"/>
      <w:r w:rsidRPr="00E42B60">
        <w:rPr>
          <w:rFonts w:ascii="Times New Roman" w:hAnsi="Times New Roman"/>
          <w:i w:val="0"/>
          <w:lang w:val="sq-AL"/>
        </w:rPr>
        <w:t>2016</w:t>
      </w:r>
      <w:bookmarkEnd w:id="183"/>
    </w:p>
    <w:p w:rsidR="00B0121D" w:rsidRPr="00D73F43" w:rsidRDefault="00B0121D" w:rsidP="00B0121D">
      <w:pPr>
        <w:spacing w:line="276" w:lineRule="auto"/>
        <w:jc w:val="both"/>
        <w:rPr>
          <w:b/>
          <w:iCs/>
          <w:caps/>
          <w:sz w:val="26"/>
          <w:szCs w:val="26"/>
          <w:lang w:val="sq-AL"/>
        </w:rPr>
      </w:pPr>
    </w:p>
    <w:p w:rsidR="00756AEE" w:rsidRPr="00756AEE" w:rsidRDefault="00B0121D" w:rsidP="00534AA6">
      <w:pPr>
        <w:numPr>
          <w:ilvl w:val="0"/>
          <w:numId w:val="23"/>
        </w:numPr>
        <w:spacing w:line="276" w:lineRule="auto"/>
        <w:jc w:val="both"/>
        <w:rPr>
          <w:b/>
          <w:iCs/>
          <w:caps/>
          <w:sz w:val="26"/>
          <w:szCs w:val="26"/>
          <w:lang w:val="sq-AL"/>
        </w:rPr>
      </w:pPr>
      <w:r w:rsidRPr="00D73F43">
        <w:rPr>
          <w:b/>
          <w:iCs/>
          <w:caps/>
          <w:sz w:val="26"/>
          <w:szCs w:val="26"/>
          <w:lang w:val="sq-AL"/>
        </w:rPr>
        <w:t xml:space="preserve"> BUXHETI QENDROR</w:t>
      </w:r>
    </w:p>
    <w:p w:rsidR="00756AEE" w:rsidRPr="00756AEE" w:rsidRDefault="00756AEE" w:rsidP="00756AEE">
      <w:pPr>
        <w:spacing w:line="276" w:lineRule="auto"/>
        <w:jc w:val="both"/>
        <w:rPr>
          <w:rFonts w:eastAsia="Times New Roman"/>
          <w:b/>
          <w:bCs/>
          <w:iCs/>
          <w:sz w:val="16"/>
          <w:szCs w:val="16"/>
          <w:lang w:val="sq-AL"/>
        </w:rPr>
      </w:pPr>
    </w:p>
    <w:p w:rsidR="00756AEE" w:rsidRPr="00756AEE" w:rsidRDefault="00756AEE" w:rsidP="00756AEE">
      <w:pPr>
        <w:spacing w:line="276" w:lineRule="auto"/>
        <w:jc w:val="both"/>
        <w:rPr>
          <w:rFonts w:eastAsia="Times New Roman"/>
          <w:b/>
          <w:bCs/>
          <w:iCs/>
          <w:sz w:val="16"/>
          <w:szCs w:val="16"/>
          <w:lang w:val="sq-AL"/>
        </w:rPr>
      </w:pPr>
    </w:p>
    <w:p w:rsidR="00756AEE" w:rsidRPr="00756AEE" w:rsidRDefault="00756AEE" w:rsidP="00756AEE">
      <w:pPr>
        <w:spacing w:line="276" w:lineRule="auto"/>
        <w:jc w:val="both"/>
        <w:rPr>
          <w:rFonts w:eastAsia="Times New Roman"/>
          <w:lang w:val="sq-AL"/>
        </w:rPr>
      </w:pPr>
      <w:r w:rsidRPr="00756AEE">
        <w:rPr>
          <w:rFonts w:eastAsia="Times New Roman"/>
          <w:lang w:val="sq-AL"/>
        </w:rPr>
        <w:t>Zbatimi i buxhetit të shtetit në kohë dhe në respekt të përcaktimeve ligjore, përveçse një faktor orientues, është edhe një instrument stimulues për aktivitetin ekonomik nëpërmjet ekzekutimit të shpenzimeve publike. Realizimi me efektivitet i shpenzimeve buxhetore sipas programit, mbetet një prioritet i Qeverisë, duke krijuar në këtë mënyrë një pasqyrë të saktë të shpenzimeve 9 mujore të realizuara për vitin 2016. Ministria e Financave ka kontribuar në lehtësimin e këtij procesi duke harmonizuar kërkesat e institucioneve buxhetore me politikën fiskale të Qeverisë dhe si rezultat i monitorimit të vazhdueshëm, . ka trajtuar me kompetencë çdo specifikë të luhatjes së shpenzimeve qeveritare.</w:t>
      </w:r>
    </w:p>
    <w:p w:rsidR="00756AEE" w:rsidRPr="00756AEE" w:rsidRDefault="00756AEE" w:rsidP="00756AEE">
      <w:pPr>
        <w:spacing w:line="276" w:lineRule="auto"/>
        <w:ind w:firstLine="420"/>
        <w:rPr>
          <w:i/>
          <w:lang w:val="sq-AL"/>
        </w:rPr>
      </w:pPr>
    </w:p>
    <w:p w:rsidR="00756AEE" w:rsidRPr="00756AEE" w:rsidRDefault="00756AEE" w:rsidP="00756AEE">
      <w:pPr>
        <w:spacing w:line="276" w:lineRule="auto"/>
        <w:ind w:firstLine="420"/>
        <w:rPr>
          <w:i/>
          <w:lang w:val="sq-AL"/>
        </w:rPr>
      </w:pPr>
      <w:r>
        <w:rPr>
          <w:i/>
          <w:lang w:val="sq-AL"/>
        </w:rPr>
        <w:t xml:space="preserve">       </w:t>
      </w:r>
      <w:r w:rsidRPr="00756AEE">
        <w:rPr>
          <w:i/>
          <w:lang w:val="sq-AL"/>
        </w:rPr>
        <w:t xml:space="preserve">Tabela </w:t>
      </w:r>
      <w:r w:rsidR="00596ACC">
        <w:rPr>
          <w:i/>
          <w:lang w:val="sq-AL"/>
        </w:rPr>
        <w:t>11</w:t>
      </w:r>
      <w:r w:rsidRPr="00756AEE">
        <w:rPr>
          <w:i/>
          <w:lang w:val="sq-AL"/>
        </w:rPr>
        <w:t>: Treguesit fiskalë të konsoliduar për 9 mujorin e vitit 2016.</w:t>
      </w:r>
    </w:p>
    <w:p w:rsidR="00756AEE" w:rsidRPr="00756AEE" w:rsidRDefault="00756AEE" w:rsidP="00756AEE">
      <w:pPr>
        <w:spacing w:line="276" w:lineRule="auto"/>
        <w:ind w:firstLine="420"/>
        <w:rPr>
          <w:sz w:val="16"/>
          <w:lang w:val="sq-AL"/>
        </w:rPr>
      </w:pPr>
    </w:p>
    <w:tbl>
      <w:tblPr>
        <w:tblW w:w="8760" w:type="dxa"/>
        <w:jc w:val="center"/>
        <w:tblCellMar>
          <w:left w:w="0" w:type="dxa"/>
          <w:right w:w="0" w:type="dxa"/>
        </w:tblCellMar>
        <w:tblLook w:val="04A0" w:firstRow="1" w:lastRow="0" w:firstColumn="1" w:lastColumn="0" w:noHBand="0" w:noVBand="1"/>
      </w:tblPr>
      <w:tblGrid>
        <w:gridCol w:w="2538"/>
        <w:gridCol w:w="891"/>
        <w:gridCol w:w="891"/>
        <w:gridCol w:w="1080"/>
        <w:gridCol w:w="940"/>
        <w:gridCol w:w="1120"/>
        <w:gridCol w:w="1300"/>
      </w:tblGrid>
      <w:tr w:rsidR="00596ACC" w:rsidTr="00596ACC">
        <w:trPr>
          <w:trHeight w:val="285"/>
          <w:jc w:val="center"/>
        </w:trPr>
        <w:tc>
          <w:tcPr>
            <w:tcW w:w="2538" w:type="dxa"/>
            <w:vMerge w:val="restart"/>
            <w:tcBorders>
              <w:top w:val="single" w:sz="12" w:space="0" w:color="auto"/>
              <w:left w:val="single" w:sz="12" w:space="0" w:color="auto"/>
              <w:bottom w:val="single" w:sz="8" w:space="0" w:color="000000"/>
              <w:right w:val="single" w:sz="8" w:space="0" w:color="auto"/>
            </w:tcBorders>
            <w:shd w:val="clear" w:color="auto" w:fill="DAEEF3"/>
            <w:noWrap/>
            <w:tcMar>
              <w:top w:w="0" w:type="dxa"/>
              <w:left w:w="108" w:type="dxa"/>
              <w:bottom w:w="0" w:type="dxa"/>
              <w:right w:w="108" w:type="dxa"/>
            </w:tcMar>
            <w:vAlign w:val="center"/>
            <w:hideMark/>
          </w:tcPr>
          <w:p w:rsidR="00596ACC" w:rsidRDefault="00596ACC">
            <w:pPr>
              <w:jc w:val="center"/>
              <w:rPr>
                <w:rFonts w:eastAsiaTheme="minorHAnsi"/>
                <w:b/>
                <w:bCs/>
                <w:color w:val="000000"/>
                <w:sz w:val="20"/>
                <w:szCs w:val="20"/>
              </w:rPr>
            </w:pPr>
            <w:r>
              <w:rPr>
                <w:b/>
                <w:bCs/>
                <w:color w:val="000000"/>
                <w:sz w:val="20"/>
                <w:szCs w:val="20"/>
              </w:rPr>
              <w:t>Emertimi</w:t>
            </w:r>
          </w:p>
        </w:tc>
        <w:tc>
          <w:tcPr>
            <w:tcW w:w="1782" w:type="dxa"/>
            <w:gridSpan w:val="2"/>
            <w:tcBorders>
              <w:top w:val="single" w:sz="12" w:space="0" w:color="auto"/>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596ACC" w:rsidRDefault="00596ACC">
            <w:pPr>
              <w:jc w:val="center"/>
              <w:rPr>
                <w:b/>
                <w:bCs/>
                <w:color w:val="000000"/>
                <w:sz w:val="20"/>
                <w:szCs w:val="20"/>
              </w:rPr>
            </w:pPr>
            <w:r>
              <w:rPr>
                <w:b/>
                <w:bCs/>
                <w:color w:val="000000"/>
                <w:sz w:val="20"/>
                <w:szCs w:val="20"/>
              </w:rPr>
              <w:t>Shtator 2016</w:t>
            </w:r>
          </w:p>
        </w:tc>
        <w:tc>
          <w:tcPr>
            <w:tcW w:w="2020" w:type="dxa"/>
            <w:gridSpan w:val="2"/>
            <w:tcBorders>
              <w:top w:val="single" w:sz="12" w:space="0" w:color="auto"/>
              <w:left w:val="nil"/>
              <w:bottom w:val="single" w:sz="8" w:space="0" w:color="auto"/>
              <w:right w:val="single" w:sz="8" w:space="0" w:color="auto"/>
            </w:tcBorders>
            <w:shd w:val="clear" w:color="auto" w:fill="DAEEF3"/>
            <w:noWrap/>
            <w:tcMar>
              <w:top w:w="0" w:type="dxa"/>
              <w:left w:w="108" w:type="dxa"/>
              <w:bottom w:w="0" w:type="dxa"/>
              <w:right w:w="108" w:type="dxa"/>
            </w:tcMar>
            <w:vAlign w:val="center"/>
            <w:hideMark/>
          </w:tcPr>
          <w:p w:rsidR="00596ACC" w:rsidRDefault="00596ACC">
            <w:pPr>
              <w:jc w:val="center"/>
              <w:rPr>
                <w:b/>
                <w:bCs/>
                <w:color w:val="000000"/>
                <w:sz w:val="20"/>
                <w:szCs w:val="20"/>
              </w:rPr>
            </w:pPr>
            <w:r>
              <w:rPr>
                <w:b/>
                <w:bCs/>
                <w:color w:val="000000"/>
                <w:sz w:val="20"/>
                <w:szCs w:val="20"/>
              </w:rPr>
              <w:t>Diferenca</w:t>
            </w:r>
          </w:p>
        </w:tc>
        <w:tc>
          <w:tcPr>
            <w:tcW w:w="2420" w:type="dxa"/>
            <w:gridSpan w:val="2"/>
            <w:tcBorders>
              <w:top w:val="single" w:sz="12" w:space="0" w:color="auto"/>
              <w:left w:val="nil"/>
              <w:bottom w:val="single" w:sz="8" w:space="0" w:color="auto"/>
              <w:right w:val="single" w:sz="12" w:space="0" w:color="000000"/>
            </w:tcBorders>
            <w:shd w:val="clear" w:color="auto" w:fill="DAEEF3"/>
            <w:tcMar>
              <w:top w:w="0" w:type="dxa"/>
              <w:left w:w="108" w:type="dxa"/>
              <w:bottom w:w="0" w:type="dxa"/>
              <w:right w:w="108" w:type="dxa"/>
            </w:tcMar>
            <w:vAlign w:val="center"/>
            <w:hideMark/>
          </w:tcPr>
          <w:p w:rsidR="00596ACC" w:rsidRDefault="00596ACC">
            <w:pPr>
              <w:jc w:val="center"/>
              <w:rPr>
                <w:b/>
                <w:bCs/>
                <w:color w:val="000000"/>
                <w:sz w:val="20"/>
                <w:szCs w:val="20"/>
              </w:rPr>
            </w:pPr>
            <w:r>
              <w:rPr>
                <w:b/>
                <w:bCs/>
                <w:color w:val="000000"/>
                <w:sz w:val="20"/>
                <w:szCs w:val="20"/>
              </w:rPr>
              <w:t>Viti 2016</w:t>
            </w:r>
          </w:p>
        </w:tc>
      </w:tr>
      <w:tr w:rsidR="00596ACC" w:rsidTr="00596ACC">
        <w:trPr>
          <w:trHeight w:val="615"/>
          <w:jc w:val="center"/>
        </w:trPr>
        <w:tc>
          <w:tcPr>
            <w:tcW w:w="0" w:type="auto"/>
            <w:vMerge/>
            <w:tcBorders>
              <w:top w:val="single" w:sz="12" w:space="0" w:color="auto"/>
              <w:left w:val="single" w:sz="12" w:space="0" w:color="auto"/>
              <w:bottom w:val="single" w:sz="8" w:space="0" w:color="000000"/>
              <w:right w:val="single" w:sz="8" w:space="0" w:color="auto"/>
            </w:tcBorders>
            <w:vAlign w:val="center"/>
            <w:hideMark/>
          </w:tcPr>
          <w:p w:rsidR="00596ACC" w:rsidRDefault="00596ACC">
            <w:pPr>
              <w:rPr>
                <w:rFonts w:eastAsiaTheme="minorHAnsi"/>
                <w:b/>
                <w:bCs/>
                <w:color w:val="000000"/>
                <w:sz w:val="20"/>
                <w:szCs w:val="20"/>
              </w:rPr>
            </w:pPr>
          </w:p>
        </w:tc>
        <w:tc>
          <w:tcPr>
            <w:tcW w:w="891" w:type="dxa"/>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596ACC" w:rsidRDefault="00596ACC">
            <w:pPr>
              <w:jc w:val="center"/>
              <w:rPr>
                <w:b/>
                <w:bCs/>
                <w:color w:val="000000"/>
                <w:sz w:val="20"/>
                <w:szCs w:val="20"/>
              </w:rPr>
            </w:pPr>
            <w:r>
              <w:rPr>
                <w:b/>
                <w:bCs/>
                <w:color w:val="000000"/>
                <w:sz w:val="20"/>
                <w:szCs w:val="20"/>
              </w:rPr>
              <w:t>Plan</w:t>
            </w:r>
          </w:p>
        </w:tc>
        <w:tc>
          <w:tcPr>
            <w:tcW w:w="891" w:type="dxa"/>
            <w:tcBorders>
              <w:top w:val="nil"/>
              <w:left w:val="nil"/>
              <w:bottom w:val="single" w:sz="8" w:space="0" w:color="auto"/>
              <w:right w:val="single" w:sz="8" w:space="0" w:color="auto"/>
            </w:tcBorders>
            <w:shd w:val="clear" w:color="auto" w:fill="DAEEF3"/>
            <w:noWrap/>
            <w:tcMar>
              <w:top w:w="0" w:type="dxa"/>
              <w:left w:w="108" w:type="dxa"/>
              <w:bottom w:w="0" w:type="dxa"/>
              <w:right w:w="108" w:type="dxa"/>
            </w:tcMar>
            <w:vAlign w:val="center"/>
            <w:hideMark/>
          </w:tcPr>
          <w:p w:rsidR="00596ACC" w:rsidRDefault="00596ACC">
            <w:pPr>
              <w:jc w:val="center"/>
              <w:rPr>
                <w:b/>
                <w:bCs/>
                <w:color w:val="000000"/>
                <w:sz w:val="20"/>
                <w:szCs w:val="20"/>
              </w:rPr>
            </w:pPr>
            <w:r>
              <w:rPr>
                <w:b/>
                <w:bCs/>
                <w:color w:val="000000"/>
                <w:sz w:val="20"/>
                <w:szCs w:val="20"/>
              </w:rPr>
              <w:t>Fakt</w:t>
            </w:r>
          </w:p>
        </w:tc>
        <w:tc>
          <w:tcPr>
            <w:tcW w:w="1080" w:type="dxa"/>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596ACC" w:rsidRDefault="00596ACC">
            <w:pPr>
              <w:jc w:val="center"/>
              <w:rPr>
                <w:b/>
                <w:bCs/>
                <w:color w:val="000000"/>
                <w:sz w:val="20"/>
                <w:szCs w:val="20"/>
              </w:rPr>
            </w:pPr>
            <w:r>
              <w:rPr>
                <w:b/>
                <w:bCs/>
                <w:color w:val="000000"/>
                <w:sz w:val="20"/>
                <w:szCs w:val="20"/>
              </w:rPr>
              <w:t>Fakt-Plan</w:t>
            </w:r>
          </w:p>
        </w:tc>
        <w:tc>
          <w:tcPr>
            <w:tcW w:w="940" w:type="dxa"/>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596ACC" w:rsidRDefault="00596ACC">
            <w:pPr>
              <w:jc w:val="center"/>
              <w:rPr>
                <w:b/>
                <w:bCs/>
                <w:color w:val="000000"/>
                <w:sz w:val="20"/>
                <w:szCs w:val="20"/>
              </w:rPr>
            </w:pPr>
            <w:r>
              <w:rPr>
                <w:b/>
                <w:bCs/>
                <w:color w:val="000000"/>
                <w:sz w:val="20"/>
                <w:szCs w:val="20"/>
              </w:rPr>
              <w:t>ne % mbi Plan</w:t>
            </w:r>
          </w:p>
        </w:tc>
        <w:tc>
          <w:tcPr>
            <w:tcW w:w="1120" w:type="dxa"/>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596ACC" w:rsidRDefault="00596ACC">
            <w:pPr>
              <w:jc w:val="center"/>
              <w:rPr>
                <w:b/>
                <w:bCs/>
                <w:color w:val="000000"/>
                <w:sz w:val="20"/>
                <w:szCs w:val="20"/>
              </w:rPr>
            </w:pPr>
            <w:r>
              <w:rPr>
                <w:b/>
                <w:bCs/>
                <w:color w:val="000000"/>
                <w:sz w:val="20"/>
                <w:szCs w:val="20"/>
              </w:rPr>
              <w:t>Plan Vjetor</w:t>
            </w:r>
          </w:p>
        </w:tc>
        <w:tc>
          <w:tcPr>
            <w:tcW w:w="1300" w:type="dxa"/>
            <w:tcBorders>
              <w:top w:val="nil"/>
              <w:left w:val="nil"/>
              <w:bottom w:val="single" w:sz="8" w:space="0" w:color="auto"/>
              <w:right w:val="single" w:sz="12" w:space="0" w:color="auto"/>
            </w:tcBorders>
            <w:shd w:val="clear" w:color="auto" w:fill="DAEEF3"/>
            <w:tcMar>
              <w:top w:w="0" w:type="dxa"/>
              <w:left w:w="108" w:type="dxa"/>
              <w:bottom w:w="0" w:type="dxa"/>
              <w:right w:w="108" w:type="dxa"/>
            </w:tcMar>
            <w:vAlign w:val="center"/>
            <w:hideMark/>
          </w:tcPr>
          <w:p w:rsidR="00596ACC" w:rsidRDefault="00596ACC">
            <w:pPr>
              <w:jc w:val="center"/>
              <w:rPr>
                <w:b/>
                <w:bCs/>
                <w:color w:val="000000"/>
                <w:sz w:val="20"/>
                <w:szCs w:val="20"/>
              </w:rPr>
            </w:pPr>
            <w:r>
              <w:rPr>
                <w:b/>
                <w:bCs/>
                <w:color w:val="000000"/>
                <w:sz w:val="20"/>
                <w:szCs w:val="20"/>
              </w:rPr>
              <w:t>% e realizimit vjetor</w:t>
            </w:r>
          </w:p>
        </w:tc>
      </w:tr>
      <w:tr w:rsidR="00596ACC" w:rsidTr="00596ACC">
        <w:trPr>
          <w:trHeight w:val="255"/>
          <w:jc w:val="center"/>
        </w:trPr>
        <w:tc>
          <w:tcPr>
            <w:tcW w:w="2538" w:type="dxa"/>
            <w:tcBorders>
              <w:top w:val="nil"/>
              <w:left w:val="single" w:sz="12" w:space="0" w:color="auto"/>
              <w:bottom w:val="nil"/>
              <w:right w:val="single" w:sz="8" w:space="0" w:color="auto"/>
            </w:tcBorders>
            <w:noWrap/>
            <w:tcMar>
              <w:top w:w="0" w:type="dxa"/>
              <w:left w:w="108" w:type="dxa"/>
              <w:bottom w:w="0" w:type="dxa"/>
              <w:right w:w="108" w:type="dxa"/>
            </w:tcMar>
            <w:vAlign w:val="center"/>
            <w:hideMark/>
          </w:tcPr>
          <w:p w:rsidR="00596ACC" w:rsidRDefault="00596ACC">
            <w:pPr>
              <w:rPr>
                <w:b/>
                <w:bCs/>
                <w:color w:val="000000"/>
                <w:sz w:val="20"/>
                <w:szCs w:val="20"/>
              </w:rPr>
            </w:pPr>
            <w:r>
              <w:rPr>
                <w:b/>
                <w:bCs/>
                <w:color w:val="000000"/>
                <w:sz w:val="20"/>
                <w:szCs w:val="20"/>
              </w:rPr>
              <w:t>Te ardhurat e Pergjithshme</w:t>
            </w:r>
          </w:p>
        </w:tc>
        <w:tc>
          <w:tcPr>
            <w:tcW w:w="891" w:type="dxa"/>
            <w:tcBorders>
              <w:top w:val="nil"/>
              <w:left w:val="nil"/>
              <w:bottom w:val="nil"/>
              <w:right w:val="single" w:sz="8" w:space="0" w:color="auto"/>
            </w:tcBorders>
            <w:noWrap/>
            <w:tcMar>
              <w:top w:w="0" w:type="dxa"/>
              <w:left w:w="108" w:type="dxa"/>
              <w:bottom w:w="0" w:type="dxa"/>
              <w:right w:w="108" w:type="dxa"/>
            </w:tcMar>
            <w:vAlign w:val="center"/>
            <w:hideMark/>
          </w:tcPr>
          <w:p w:rsidR="00596ACC" w:rsidRDefault="00596ACC">
            <w:pPr>
              <w:jc w:val="center"/>
              <w:rPr>
                <w:color w:val="000000"/>
                <w:sz w:val="20"/>
                <w:szCs w:val="20"/>
              </w:rPr>
            </w:pPr>
            <w:r>
              <w:rPr>
                <w:color w:val="000000"/>
                <w:sz w:val="20"/>
                <w:szCs w:val="20"/>
              </w:rPr>
              <w:t>302.577</w:t>
            </w:r>
          </w:p>
        </w:tc>
        <w:tc>
          <w:tcPr>
            <w:tcW w:w="891" w:type="dxa"/>
            <w:tcBorders>
              <w:top w:val="nil"/>
              <w:left w:val="nil"/>
              <w:bottom w:val="nil"/>
              <w:right w:val="single" w:sz="8" w:space="0" w:color="auto"/>
            </w:tcBorders>
            <w:noWrap/>
            <w:tcMar>
              <w:top w:w="0" w:type="dxa"/>
              <w:left w:w="108" w:type="dxa"/>
              <w:bottom w:w="0" w:type="dxa"/>
              <w:right w:w="108" w:type="dxa"/>
            </w:tcMar>
            <w:vAlign w:val="center"/>
            <w:hideMark/>
          </w:tcPr>
          <w:p w:rsidR="00596ACC" w:rsidRDefault="00596ACC">
            <w:pPr>
              <w:jc w:val="center"/>
              <w:rPr>
                <w:color w:val="000000"/>
                <w:sz w:val="20"/>
                <w:szCs w:val="20"/>
              </w:rPr>
            </w:pPr>
            <w:r>
              <w:rPr>
                <w:color w:val="000000"/>
                <w:sz w:val="20"/>
                <w:szCs w:val="20"/>
              </w:rPr>
              <w:t>298.109</w:t>
            </w:r>
          </w:p>
        </w:tc>
        <w:tc>
          <w:tcPr>
            <w:tcW w:w="1080" w:type="dxa"/>
            <w:tcBorders>
              <w:top w:val="nil"/>
              <w:left w:val="nil"/>
              <w:bottom w:val="nil"/>
              <w:right w:val="single" w:sz="8" w:space="0" w:color="auto"/>
            </w:tcBorders>
            <w:noWrap/>
            <w:tcMar>
              <w:top w:w="0" w:type="dxa"/>
              <w:left w:w="108" w:type="dxa"/>
              <w:bottom w:w="0" w:type="dxa"/>
              <w:right w:w="108" w:type="dxa"/>
            </w:tcMar>
            <w:vAlign w:val="center"/>
            <w:hideMark/>
          </w:tcPr>
          <w:p w:rsidR="00596ACC" w:rsidRDefault="00596ACC">
            <w:pPr>
              <w:jc w:val="center"/>
              <w:rPr>
                <w:color w:val="000000"/>
                <w:sz w:val="20"/>
                <w:szCs w:val="20"/>
              </w:rPr>
            </w:pPr>
            <w:r>
              <w:rPr>
                <w:color w:val="000000"/>
                <w:sz w:val="20"/>
                <w:szCs w:val="20"/>
              </w:rPr>
              <w:t>-4.468</w:t>
            </w:r>
          </w:p>
        </w:tc>
        <w:tc>
          <w:tcPr>
            <w:tcW w:w="940" w:type="dxa"/>
            <w:tcBorders>
              <w:top w:val="nil"/>
              <w:left w:val="nil"/>
              <w:bottom w:val="nil"/>
              <w:right w:val="single" w:sz="8" w:space="0" w:color="auto"/>
            </w:tcBorders>
            <w:noWrap/>
            <w:tcMar>
              <w:top w:w="0" w:type="dxa"/>
              <w:left w:w="108" w:type="dxa"/>
              <w:bottom w:w="0" w:type="dxa"/>
              <w:right w:w="108" w:type="dxa"/>
            </w:tcMar>
            <w:vAlign w:val="center"/>
            <w:hideMark/>
          </w:tcPr>
          <w:p w:rsidR="00596ACC" w:rsidRDefault="00596ACC">
            <w:pPr>
              <w:jc w:val="center"/>
              <w:rPr>
                <w:color w:val="000000"/>
                <w:sz w:val="20"/>
                <w:szCs w:val="20"/>
              </w:rPr>
            </w:pPr>
            <w:r>
              <w:rPr>
                <w:color w:val="000000"/>
                <w:sz w:val="20"/>
                <w:szCs w:val="20"/>
              </w:rPr>
              <w:t>98,5%</w:t>
            </w:r>
          </w:p>
        </w:tc>
        <w:tc>
          <w:tcPr>
            <w:tcW w:w="1120" w:type="dxa"/>
            <w:tcBorders>
              <w:top w:val="nil"/>
              <w:left w:val="nil"/>
              <w:bottom w:val="nil"/>
              <w:right w:val="single" w:sz="8" w:space="0" w:color="auto"/>
            </w:tcBorders>
            <w:noWrap/>
            <w:tcMar>
              <w:top w:w="0" w:type="dxa"/>
              <w:left w:w="108" w:type="dxa"/>
              <w:bottom w:w="0" w:type="dxa"/>
              <w:right w:w="108" w:type="dxa"/>
            </w:tcMar>
            <w:vAlign w:val="center"/>
            <w:hideMark/>
          </w:tcPr>
          <w:p w:rsidR="00596ACC" w:rsidRDefault="00596ACC">
            <w:pPr>
              <w:jc w:val="center"/>
              <w:rPr>
                <w:color w:val="000000"/>
                <w:sz w:val="20"/>
                <w:szCs w:val="20"/>
              </w:rPr>
            </w:pPr>
            <w:r>
              <w:rPr>
                <w:color w:val="000000"/>
                <w:sz w:val="20"/>
                <w:szCs w:val="20"/>
              </w:rPr>
              <w:t>414.494</w:t>
            </w:r>
          </w:p>
        </w:tc>
        <w:tc>
          <w:tcPr>
            <w:tcW w:w="1300" w:type="dxa"/>
            <w:tcBorders>
              <w:top w:val="nil"/>
              <w:left w:val="nil"/>
              <w:bottom w:val="nil"/>
              <w:right w:val="single" w:sz="12" w:space="0" w:color="auto"/>
            </w:tcBorders>
            <w:noWrap/>
            <w:tcMar>
              <w:top w:w="0" w:type="dxa"/>
              <w:left w:w="108" w:type="dxa"/>
              <w:bottom w:w="0" w:type="dxa"/>
              <w:right w:w="108" w:type="dxa"/>
            </w:tcMar>
            <w:vAlign w:val="center"/>
            <w:hideMark/>
          </w:tcPr>
          <w:p w:rsidR="00596ACC" w:rsidRDefault="00596ACC">
            <w:pPr>
              <w:jc w:val="center"/>
              <w:rPr>
                <w:color w:val="000000"/>
                <w:sz w:val="20"/>
                <w:szCs w:val="20"/>
              </w:rPr>
            </w:pPr>
            <w:r>
              <w:rPr>
                <w:color w:val="000000"/>
                <w:sz w:val="20"/>
                <w:szCs w:val="20"/>
              </w:rPr>
              <w:t>71,9%</w:t>
            </w:r>
          </w:p>
        </w:tc>
      </w:tr>
      <w:tr w:rsidR="00596ACC" w:rsidTr="00596ACC">
        <w:trPr>
          <w:trHeight w:val="255"/>
          <w:jc w:val="center"/>
        </w:trPr>
        <w:tc>
          <w:tcPr>
            <w:tcW w:w="2538" w:type="dxa"/>
            <w:tcBorders>
              <w:top w:val="nil"/>
              <w:left w:val="single" w:sz="12" w:space="0" w:color="auto"/>
              <w:bottom w:val="nil"/>
              <w:right w:val="single" w:sz="8" w:space="0" w:color="auto"/>
            </w:tcBorders>
            <w:noWrap/>
            <w:tcMar>
              <w:top w:w="0" w:type="dxa"/>
              <w:left w:w="108" w:type="dxa"/>
              <w:bottom w:w="0" w:type="dxa"/>
              <w:right w:w="108" w:type="dxa"/>
            </w:tcMar>
            <w:vAlign w:val="center"/>
            <w:hideMark/>
          </w:tcPr>
          <w:p w:rsidR="00596ACC" w:rsidRDefault="00596ACC">
            <w:pPr>
              <w:rPr>
                <w:b/>
                <w:bCs/>
                <w:color w:val="000000"/>
                <w:sz w:val="20"/>
                <w:szCs w:val="20"/>
              </w:rPr>
            </w:pPr>
            <w:r>
              <w:rPr>
                <w:b/>
                <w:bCs/>
                <w:color w:val="000000"/>
                <w:sz w:val="20"/>
                <w:szCs w:val="20"/>
              </w:rPr>
              <w:t>Shpenzimet e Pergjithshme</w:t>
            </w:r>
          </w:p>
        </w:tc>
        <w:tc>
          <w:tcPr>
            <w:tcW w:w="891" w:type="dxa"/>
            <w:tcBorders>
              <w:top w:val="nil"/>
              <w:left w:val="nil"/>
              <w:bottom w:val="nil"/>
              <w:right w:val="single" w:sz="8" w:space="0" w:color="auto"/>
            </w:tcBorders>
            <w:noWrap/>
            <w:tcMar>
              <w:top w:w="0" w:type="dxa"/>
              <w:left w:w="108" w:type="dxa"/>
              <w:bottom w:w="0" w:type="dxa"/>
              <w:right w:w="108" w:type="dxa"/>
            </w:tcMar>
            <w:vAlign w:val="center"/>
            <w:hideMark/>
          </w:tcPr>
          <w:p w:rsidR="00596ACC" w:rsidRDefault="00596ACC">
            <w:pPr>
              <w:jc w:val="center"/>
              <w:rPr>
                <w:color w:val="000000"/>
                <w:sz w:val="20"/>
                <w:szCs w:val="20"/>
              </w:rPr>
            </w:pPr>
            <w:r>
              <w:rPr>
                <w:color w:val="000000"/>
                <w:sz w:val="20"/>
                <w:szCs w:val="20"/>
              </w:rPr>
              <w:t>297.912</w:t>
            </w:r>
          </w:p>
        </w:tc>
        <w:tc>
          <w:tcPr>
            <w:tcW w:w="891" w:type="dxa"/>
            <w:tcBorders>
              <w:top w:val="nil"/>
              <w:left w:val="nil"/>
              <w:bottom w:val="nil"/>
              <w:right w:val="single" w:sz="8" w:space="0" w:color="auto"/>
            </w:tcBorders>
            <w:noWrap/>
            <w:tcMar>
              <w:top w:w="0" w:type="dxa"/>
              <w:left w:w="108" w:type="dxa"/>
              <w:bottom w:w="0" w:type="dxa"/>
              <w:right w:w="108" w:type="dxa"/>
            </w:tcMar>
            <w:vAlign w:val="center"/>
            <w:hideMark/>
          </w:tcPr>
          <w:p w:rsidR="00596ACC" w:rsidRDefault="00596ACC">
            <w:pPr>
              <w:jc w:val="center"/>
              <w:rPr>
                <w:color w:val="000000"/>
                <w:sz w:val="20"/>
                <w:szCs w:val="20"/>
              </w:rPr>
            </w:pPr>
            <w:r>
              <w:rPr>
                <w:color w:val="000000"/>
                <w:sz w:val="20"/>
                <w:szCs w:val="20"/>
              </w:rPr>
              <w:t>287.541</w:t>
            </w:r>
          </w:p>
        </w:tc>
        <w:tc>
          <w:tcPr>
            <w:tcW w:w="1080" w:type="dxa"/>
            <w:tcBorders>
              <w:top w:val="nil"/>
              <w:left w:val="nil"/>
              <w:bottom w:val="nil"/>
              <w:right w:val="single" w:sz="8" w:space="0" w:color="auto"/>
            </w:tcBorders>
            <w:noWrap/>
            <w:tcMar>
              <w:top w:w="0" w:type="dxa"/>
              <w:left w:w="108" w:type="dxa"/>
              <w:bottom w:w="0" w:type="dxa"/>
              <w:right w:w="108" w:type="dxa"/>
            </w:tcMar>
            <w:vAlign w:val="center"/>
            <w:hideMark/>
          </w:tcPr>
          <w:p w:rsidR="00596ACC" w:rsidRDefault="00596ACC">
            <w:pPr>
              <w:jc w:val="center"/>
              <w:rPr>
                <w:color w:val="000000"/>
                <w:sz w:val="20"/>
                <w:szCs w:val="20"/>
              </w:rPr>
            </w:pPr>
            <w:r>
              <w:rPr>
                <w:color w:val="000000"/>
                <w:sz w:val="20"/>
                <w:szCs w:val="20"/>
              </w:rPr>
              <w:t>-10.371</w:t>
            </w:r>
          </w:p>
        </w:tc>
        <w:tc>
          <w:tcPr>
            <w:tcW w:w="940" w:type="dxa"/>
            <w:tcBorders>
              <w:top w:val="nil"/>
              <w:left w:val="nil"/>
              <w:bottom w:val="nil"/>
              <w:right w:val="single" w:sz="8" w:space="0" w:color="auto"/>
            </w:tcBorders>
            <w:noWrap/>
            <w:tcMar>
              <w:top w:w="0" w:type="dxa"/>
              <w:left w:w="108" w:type="dxa"/>
              <w:bottom w:w="0" w:type="dxa"/>
              <w:right w:w="108" w:type="dxa"/>
            </w:tcMar>
            <w:vAlign w:val="center"/>
            <w:hideMark/>
          </w:tcPr>
          <w:p w:rsidR="00596ACC" w:rsidRDefault="00596ACC">
            <w:pPr>
              <w:jc w:val="center"/>
              <w:rPr>
                <w:color w:val="000000"/>
                <w:sz w:val="20"/>
                <w:szCs w:val="20"/>
              </w:rPr>
            </w:pPr>
            <w:r>
              <w:rPr>
                <w:color w:val="000000"/>
                <w:sz w:val="20"/>
                <w:szCs w:val="20"/>
              </w:rPr>
              <w:t>96,5%</w:t>
            </w:r>
          </w:p>
        </w:tc>
        <w:tc>
          <w:tcPr>
            <w:tcW w:w="1120" w:type="dxa"/>
            <w:tcBorders>
              <w:top w:val="nil"/>
              <w:left w:val="nil"/>
              <w:bottom w:val="nil"/>
              <w:right w:val="single" w:sz="8" w:space="0" w:color="auto"/>
            </w:tcBorders>
            <w:noWrap/>
            <w:tcMar>
              <w:top w:w="0" w:type="dxa"/>
              <w:left w:w="108" w:type="dxa"/>
              <w:bottom w:w="0" w:type="dxa"/>
              <w:right w:w="108" w:type="dxa"/>
            </w:tcMar>
            <w:vAlign w:val="center"/>
            <w:hideMark/>
          </w:tcPr>
          <w:p w:rsidR="00596ACC" w:rsidRDefault="00596ACC">
            <w:pPr>
              <w:jc w:val="center"/>
              <w:rPr>
                <w:color w:val="000000"/>
                <w:sz w:val="20"/>
                <w:szCs w:val="20"/>
              </w:rPr>
            </w:pPr>
            <w:r>
              <w:rPr>
                <w:color w:val="000000"/>
                <w:sz w:val="20"/>
                <w:szCs w:val="20"/>
              </w:rPr>
              <w:t>450.224</w:t>
            </w:r>
          </w:p>
        </w:tc>
        <w:tc>
          <w:tcPr>
            <w:tcW w:w="1300" w:type="dxa"/>
            <w:tcBorders>
              <w:top w:val="nil"/>
              <w:left w:val="nil"/>
              <w:bottom w:val="nil"/>
              <w:right w:val="single" w:sz="12" w:space="0" w:color="auto"/>
            </w:tcBorders>
            <w:noWrap/>
            <w:tcMar>
              <w:top w:w="0" w:type="dxa"/>
              <w:left w:w="108" w:type="dxa"/>
              <w:bottom w:w="0" w:type="dxa"/>
              <w:right w:w="108" w:type="dxa"/>
            </w:tcMar>
            <w:vAlign w:val="center"/>
            <w:hideMark/>
          </w:tcPr>
          <w:p w:rsidR="00596ACC" w:rsidRDefault="00596ACC">
            <w:pPr>
              <w:jc w:val="center"/>
              <w:rPr>
                <w:color w:val="000000"/>
                <w:sz w:val="20"/>
                <w:szCs w:val="20"/>
              </w:rPr>
            </w:pPr>
            <w:r>
              <w:rPr>
                <w:color w:val="000000"/>
                <w:sz w:val="20"/>
                <w:szCs w:val="20"/>
              </w:rPr>
              <w:t>63,9%</w:t>
            </w:r>
          </w:p>
        </w:tc>
      </w:tr>
      <w:tr w:rsidR="00596ACC" w:rsidTr="00596ACC">
        <w:trPr>
          <w:trHeight w:val="270"/>
          <w:jc w:val="center"/>
        </w:trPr>
        <w:tc>
          <w:tcPr>
            <w:tcW w:w="2538" w:type="dxa"/>
            <w:tcBorders>
              <w:top w:val="nil"/>
              <w:left w:val="single" w:sz="12" w:space="0" w:color="auto"/>
              <w:bottom w:val="nil"/>
              <w:right w:val="single" w:sz="8" w:space="0" w:color="auto"/>
            </w:tcBorders>
            <w:noWrap/>
            <w:tcMar>
              <w:top w:w="0" w:type="dxa"/>
              <w:left w:w="108" w:type="dxa"/>
              <w:bottom w:w="0" w:type="dxa"/>
              <w:right w:w="108" w:type="dxa"/>
            </w:tcMar>
            <w:vAlign w:val="center"/>
            <w:hideMark/>
          </w:tcPr>
          <w:p w:rsidR="00596ACC" w:rsidRDefault="00596ACC">
            <w:pPr>
              <w:jc w:val="right"/>
              <w:rPr>
                <w:b/>
                <w:bCs/>
                <w:i/>
                <w:iCs/>
                <w:color w:val="000000"/>
                <w:sz w:val="20"/>
                <w:szCs w:val="20"/>
              </w:rPr>
            </w:pPr>
            <w:r>
              <w:rPr>
                <w:b/>
                <w:bCs/>
                <w:i/>
                <w:iCs/>
                <w:color w:val="000000"/>
                <w:sz w:val="20"/>
                <w:szCs w:val="20"/>
              </w:rPr>
              <w:t>Shpenzimet Korente</w:t>
            </w:r>
          </w:p>
        </w:tc>
        <w:tc>
          <w:tcPr>
            <w:tcW w:w="891" w:type="dxa"/>
            <w:tcBorders>
              <w:top w:val="nil"/>
              <w:left w:val="nil"/>
              <w:bottom w:val="nil"/>
              <w:right w:val="single" w:sz="8" w:space="0" w:color="auto"/>
            </w:tcBorders>
            <w:noWrap/>
            <w:tcMar>
              <w:top w:w="0" w:type="dxa"/>
              <w:left w:w="108" w:type="dxa"/>
              <w:bottom w:w="0" w:type="dxa"/>
              <w:right w:w="108" w:type="dxa"/>
            </w:tcMar>
            <w:vAlign w:val="center"/>
            <w:hideMark/>
          </w:tcPr>
          <w:p w:rsidR="00596ACC" w:rsidRDefault="00596ACC">
            <w:pPr>
              <w:jc w:val="right"/>
              <w:rPr>
                <w:i/>
                <w:iCs/>
                <w:color w:val="000000"/>
                <w:sz w:val="20"/>
                <w:szCs w:val="20"/>
              </w:rPr>
            </w:pPr>
            <w:r>
              <w:rPr>
                <w:i/>
                <w:iCs/>
                <w:color w:val="000000"/>
                <w:sz w:val="20"/>
                <w:szCs w:val="20"/>
              </w:rPr>
              <w:t>260.509</w:t>
            </w:r>
          </w:p>
        </w:tc>
        <w:tc>
          <w:tcPr>
            <w:tcW w:w="891" w:type="dxa"/>
            <w:tcBorders>
              <w:top w:val="nil"/>
              <w:left w:val="nil"/>
              <w:bottom w:val="nil"/>
              <w:right w:val="single" w:sz="8" w:space="0" w:color="auto"/>
            </w:tcBorders>
            <w:noWrap/>
            <w:tcMar>
              <w:top w:w="0" w:type="dxa"/>
              <w:left w:w="108" w:type="dxa"/>
              <w:bottom w:w="0" w:type="dxa"/>
              <w:right w:w="108" w:type="dxa"/>
            </w:tcMar>
            <w:vAlign w:val="center"/>
            <w:hideMark/>
          </w:tcPr>
          <w:p w:rsidR="00596ACC" w:rsidRDefault="00596ACC">
            <w:pPr>
              <w:jc w:val="right"/>
              <w:rPr>
                <w:i/>
                <w:iCs/>
                <w:color w:val="000000"/>
                <w:sz w:val="20"/>
                <w:szCs w:val="20"/>
              </w:rPr>
            </w:pPr>
            <w:r>
              <w:rPr>
                <w:i/>
                <w:iCs/>
                <w:color w:val="000000"/>
                <w:sz w:val="20"/>
                <w:szCs w:val="20"/>
              </w:rPr>
              <w:t>252.876</w:t>
            </w:r>
          </w:p>
        </w:tc>
        <w:tc>
          <w:tcPr>
            <w:tcW w:w="1080" w:type="dxa"/>
            <w:tcBorders>
              <w:top w:val="nil"/>
              <w:left w:val="nil"/>
              <w:bottom w:val="nil"/>
              <w:right w:val="single" w:sz="8" w:space="0" w:color="auto"/>
            </w:tcBorders>
            <w:noWrap/>
            <w:tcMar>
              <w:top w:w="0" w:type="dxa"/>
              <w:left w:w="108" w:type="dxa"/>
              <w:bottom w:w="0" w:type="dxa"/>
              <w:right w:w="108" w:type="dxa"/>
            </w:tcMar>
            <w:vAlign w:val="center"/>
            <w:hideMark/>
          </w:tcPr>
          <w:p w:rsidR="00596ACC" w:rsidRDefault="00596ACC">
            <w:pPr>
              <w:jc w:val="right"/>
              <w:rPr>
                <w:i/>
                <w:iCs/>
                <w:color w:val="000000"/>
                <w:sz w:val="20"/>
                <w:szCs w:val="20"/>
              </w:rPr>
            </w:pPr>
            <w:r>
              <w:rPr>
                <w:i/>
                <w:iCs/>
                <w:color w:val="000000"/>
                <w:sz w:val="20"/>
                <w:szCs w:val="20"/>
              </w:rPr>
              <w:t>-7.633</w:t>
            </w:r>
          </w:p>
        </w:tc>
        <w:tc>
          <w:tcPr>
            <w:tcW w:w="940" w:type="dxa"/>
            <w:tcBorders>
              <w:top w:val="nil"/>
              <w:left w:val="nil"/>
              <w:bottom w:val="nil"/>
              <w:right w:val="single" w:sz="8" w:space="0" w:color="auto"/>
            </w:tcBorders>
            <w:noWrap/>
            <w:tcMar>
              <w:top w:w="0" w:type="dxa"/>
              <w:left w:w="108" w:type="dxa"/>
              <w:bottom w:w="0" w:type="dxa"/>
              <w:right w:w="108" w:type="dxa"/>
            </w:tcMar>
            <w:vAlign w:val="center"/>
            <w:hideMark/>
          </w:tcPr>
          <w:p w:rsidR="00596ACC" w:rsidRDefault="00596ACC">
            <w:pPr>
              <w:jc w:val="right"/>
              <w:rPr>
                <w:i/>
                <w:iCs/>
                <w:color w:val="000000"/>
                <w:sz w:val="20"/>
                <w:szCs w:val="20"/>
              </w:rPr>
            </w:pPr>
            <w:r>
              <w:rPr>
                <w:i/>
                <w:iCs/>
                <w:color w:val="000000"/>
                <w:sz w:val="20"/>
                <w:szCs w:val="20"/>
              </w:rPr>
              <w:t>97,1%</w:t>
            </w:r>
          </w:p>
        </w:tc>
        <w:tc>
          <w:tcPr>
            <w:tcW w:w="1120" w:type="dxa"/>
            <w:tcBorders>
              <w:top w:val="nil"/>
              <w:left w:val="nil"/>
              <w:bottom w:val="nil"/>
              <w:right w:val="single" w:sz="8" w:space="0" w:color="auto"/>
            </w:tcBorders>
            <w:noWrap/>
            <w:tcMar>
              <w:top w:w="0" w:type="dxa"/>
              <w:left w:w="108" w:type="dxa"/>
              <w:bottom w:w="0" w:type="dxa"/>
              <w:right w:w="108" w:type="dxa"/>
            </w:tcMar>
            <w:vAlign w:val="center"/>
            <w:hideMark/>
          </w:tcPr>
          <w:p w:rsidR="00596ACC" w:rsidRDefault="00596ACC">
            <w:pPr>
              <w:jc w:val="right"/>
              <w:rPr>
                <w:i/>
                <w:iCs/>
                <w:color w:val="000000"/>
                <w:sz w:val="20"/>
                <w:szCs w:val="20"/>
              </w:rPr>
            </w:pPr>
            <w:r>
              <w:rPr>
                <w:i/>
                <w:iCs/>
                <w:color w:val="000000"/>
                <w:sz w:val="20"/>
                <w:szCs w:val="20"/>
              </w:rPr>
              <w:t>382.466</w:t>
            </w:r>
          </w:p>
        </w:tc>
        <w:tc>
          <w:tcPr>
            <w:tcW w:w="1300" w:type="dxa"/>
            <w:tcBorders>
              <w:top w:val="nil"/>
              <w:left w:val="nil"/>
              <w:bottom w:val="nil"/>
              <w:right w:val="single" w:sz="12" w:space="0" w:color="auto"/>
            </w:tcBorders>
            <w:noWrap/>
            <w:tcMar>
              <w:top w:w="0" w:type="dxa"/>
              <w:left w:w="108" w:type="dxa"/>
              <w:bottom w:w="0" w:type="dxa"/>
              <w:right w:w="108" w:type="dxa"/>
            </w:tcMar>
            <w:vAlign w:val="center"/>
            <w:hideMark/>
          </w:tcPr>
          <w:p w:rsidR="00596ACC" w:rsidRDefault="00596ACC">
            <w:pPr>
              <w:jc w:val="right"/>
              <w:rPr>
                <w:i/>
                <w:iCs/>
                <w:color w:val="000000"/>
                <w:sz w:val="20"/>
                <w:szCs w:val="20"/>
              </w:rPr>
            </w:pPr>
            <w:r>
              <w:rPr>
                <w:i/>
                <w:iCs/>
                <w:color w:val="000000"/>
                <w:sz w:val="20"/>
                <w:szCs w:val="20"/>
              </w:rPr>
              <w:t>66,1%</w:t>
            </w:r>
          </w:p>
        </w:tc>
      </w:tr>
      <w:tr w:rsidR="00596ACC" w:rsidTr="00596ACC">
        <w:trPr>
          <w:trHeight w:val="270"/>
          <w:jc w:val="center"/>
        </w:trPr>
        <w:tc>
          <w:tcPr>
            <w:tcW w:w="2538" w:type="dxa"/>
            <w:tcBorders>
              <w:top w:val="nil"/>
              <w:left w:val="single" w:sz="12" w:space="0" w:color="auto"/>
              <w:bottom w:val="nil"/>
              <w:right w:val="single" w:sz="8" w:space="0" w:color="auto"/>
            </w:tcBorders>
            <w:noWrap/>
            <w:tcMar>
              <w:top w:w="0" w:type="dxa"/>
              <w:left w:w="108" w:type="dxa"/>
              <w:bottom w:w="0" w:type="dxa"/>
              <w:right w:w="108" w:type="dxa"/>
            </w:tcMar>
            <w:vAlign w:val="center"/>
            <w:hideMark/>
          </w:tcPr>
          <w:p w:rsidR="00596ACC" w:rsidRDefault="00596ACC">
            <w:pPr>
              <w:jc w:val="right"/>
              <w:rPr>
                <w:b/>
                <w:bCs/>
                <w:i/>
                <w:iCs/>
                <w:color w:val="000000"/>
                <w:sz w:val="20"/>
                <w:szCs w:val="20"/>
              </w:rPr>
            </w:pPr>
            <w:r>
              <w:rPr>
                <w:b/>
                <w:bCs/>
                <w:i/>
                <w:iCs/>
                <w:color w:val="000000"/>
                <w:sz w:val="20"/>
                <w:szCs w:val="20"/>
              </w:rPr>
              <w:t>Shpenzimet Kapitale</w:t>
            </w:r>
          </w:p>
        </w:tc>
        <w:tc>
          <w:tcPr>
            <w:tcW w:w="891" w:type="dxa"/>
            <w:tcBorders>
              <w:top w:val="nil"/>
              <w:left w:val="nil"/>
              <w:bottom w:val="nil"/>
              <w:right w:val="single" w:sz="8" w:space="0" w:color="auto"/>
            </w:tcBorders>
            <w:noWrap/>
            <w:tcMar>
              <w:top w:w="0" w:type="dxa"/>
              <w:left w:w="108" w:type="dxa"/>
              <w:bottom w:w="0" w:type="dxa"/>
              <w:right w:w="108" w:type="dxa"/>
            </w:tcMar>
            <w:vAlign w:val="center"/>
            <w:hideMark/>
          </w:tcPr>
          <w:p w:rsidR="00596ACC" w:rsidRDefault="00596ACC">
            <w:pPr>
              <w:jc w:val="right"/>
              <w:rPr>
                <w:i/>
                <w:iCs/>
                <w:color w:val="000000"/>
                <w:sz w:val="20"/>
                <w:szCs w:val="20"/>
              </w:rPr>
            </w:pPr>
            <w:r>
              <w:rPr>
                <w:i/>
                <w:iCs/>
                <w:color w:val="000000"/>
                <w:sz w:val="20"/>
                <w:szCs w:val="20"/>
              </w:rPr>
              <w:t>34.475</w:t>
            </w:r>
          </w:p>
        </w:tc>
        <w:tc>
          <w:tcPr>
            <w:tcW w:w="891" w:type="dxa"/>
            <w:tcBorders>
              <w:top w:val="nil"/>
              <w:left w:val="nil"/>
              <w:bottom w:val="nil"/>
              <w:right w:val="single" w:sz="8" w:space="0" w:color="auto"/>
            </w:tcBorders>
            <w:noWrap/>
            <w:tcMar>
              <w:top w:w="0" w:type="dxa"/>
              <w:left w:w="108" w:type="dxa"/>
              <w:bottom w:w="0" w:type="dxa"/>
              <w:right w:w="108" w:type="dxa"/>
            </w:tcMar>
            <w:vAlign w:val="center"/>
            <w:hideMark/>
          </w:tcPr>
          <w:p w:rsidR="00596ACC" w:rsidRDefault="00596ACC">
            <w:pPr>
              <w:jc w:val="right"/>
              <w:rPr>
                <w:i/>
                <w:iCs/>
                <w:color w:val="000000"/>
                <w:sz w:val="20"/>
                <w:szCs w:val="20"/>
              </w:rPr>
            </w:pPr>
            <w:r>
              <w:rPr>
                <w:i/>
                <w:iCs/>
                <w:color w:val="000000"/>
                <w:sz w:val="20"/>
                <w:szCs w:val="20"/>
              </w:rPr>
              <w:t>34.665</w:t>
            </w:r>
          </w:p>
        </w:tc>
        <w:tc>
          <w:tcPr>
            <w:tcW w:w="1080" w:type="dxa"/>
            <w:tcBorders>
              <w:top w:val="nil"/>
              <w:left w:val="nil"/>
              <w:bottom w:val="nil"/>
              <w:right w:val="single" w:sz="8" w:space="0" w:color="auto"/>
            </w:tcBorders>
            <w:noWrap/>
            <w:tcMar>
              <w:top w:w="0" w:type="dxa"/>
              <w:left w:w="108" w:type="dxa"/>
              <w:bottom w:w="0" w:type="dxa"/>
              <w:right w:w="108" w:type="dxa"/>
            </w:tcMar>
            <w:vAlign w:val="center"/>
            <w:hideMark/>
          </w:tcPr>
          <w:p w:rsidR="00596ACC" w:rsidRDefault="00596ACC">
            <w:pPr>
              <w:jc w:val="right"/>
              <w:rPr>
                <w:i/>
                <w:iCs/>
                <w:color w:val="000000"/>
                <w:sz w:val="20"/>
                <w:szCs w:val="20"/>
              </w:rPr>
            </w:pPr>
            <w:r>
              <w:rPr>
                <w:i/>
                <w:iCs/>
                <w:color w:val="000000"/>
                <w:sz w:val="20"/>
                <w:szCs w:val="20"/>
              </w:rPr>
              <w:t>190</w:t>
            </w:r>
          </w:p>
        </w:tc>
        <w:tc>
          <w:tcPr>
            <w:tcW w:w="940" w:type="dxa"/>
            <w:tcBorders>
              <w:top w:val="nil"/>
              <w:left w:val="nil"/>
              <w:bottom w:val="nil"/>
              <w:right w:val="single" w:sz="8" w:space="0" w:color="auto"/>
            </w:tcBorders>
            <w:noWrap/>
            <w:tcMar>
              <w:top w:w="0" w:type="dxa"/>
              <w:left w:w="108" w:type="dxa"/>
              <w:bottom w:w="0" w:type="dxa"/>
              <w:right w:w="108" w:type="dxa"/>
            </w:tcMar>
            <w:vAlign w:val="center"/>
            <w:hideMark/>
          </w:tcPr>
          <w:p w:rsidR="00596ACC" w:rsidRDefault="00596ACC">
            <w:pPr>
              <w:jc w:val="right"/>
              <w:rPr>
                <w:i/>
                <w:iCs/>
                <w:color w:val="000000"/>
                <w:sz w:val="20"/>
                <w:szCs w:val="20"/>
              </w:rPr>
            </w:pPr>
            <w:r>
              <w:rPr>
                <w:i/>
                <w:iCs/>
                <w:color w:val="000000"/>
                <w:sz w:val="20"/>
                <w:szCs w:val="20"/>
              </w:rPr>
              <w:t>100,6%</w:t>
            </w:r>
          </w:p>
        </w:tc>
        <w:tc>
          <w:tcPr>
            <w:tcW w:w="1120" w:type="dxa"/>
            <w:tcBorders>
              <w:top w:val="nil"/>
              <w:left w:val="nil"/>
              <w:bottom w:val="nil"/>
              <w:right w:val="single" w:sz="8" w:space="0" w:color="auto"/>
            </w:tcBorders>
            <w:noWrap/>
            <w:tcMar>
              <w:top w:w="0" w:type="dxa"/>
              <w:left w:w="108" w:type="dxa"/>
              <w:bottom w:w="0" w:type="dxa"/>
              <w:right w:w="108" w:type="dxa"/>
            </w:tcMar>
            <w:vAlign w:val="center"/>
            <w:hideMark/>
          </w:tcPr>
          <w:p w:rsidR="00596ACC" w:rsidRDefault="00596ACC">
            <w:pPr>
              <w:jc w:val="right"/>
              <w:rPr>
                <w:i/>
                <w:iCs/>
                <w:color w:val="000000"/>
                <w:sz w:val="20"/>
                <w:szCs w:val="20"/>
              </w:rPr>
            </w:pPr>
            <w:r>
              <w:rPr>
                <w:i/>
                <w:iCs/>
                <w:color w:val="000000"/>
                <w:sz w:val="20"/>
                <w:szCs w:val="20"/>
              </w:rPr>
              <w:t>59.259</w:t>
            </w:r>
          </w:p>
        </w:tc>
        <w:tc>
          <w:tcPr>
            <w:tcW w:w="1300" w:type="dxa"/>
            <w:tcBorders>
              <w:top w:val="nil"/>
              <w:left w:val="nil"/>
              <w:bottom w:val="nil"/>
              <w:right w:val="single" w:sz="12" w:space="0" w:color="auto"/>
            </w:tcBorders>
            <w:noWrap/>
            <w:tcMar>
              <w:top w:w="0" w:type="dxa"/>
              <w:left w:w="108" w:type="dxa"/>
              <w:bottom w:w="0" w:type="dxa"/>
              <w:right w:w="108" w:type="dxa"/>
            </w:tcMar>
            <w:vAlign w:val="center"/>
            <w:hideMark/>
          </w:tcPr>
          <w:p w:rsidR="00596ACC" w:rsidRDefault="00596ACC">
            <w:pPr>
              <w:jc w:val="right"/>
              <w:rPr>
                <w:i/>
                <w:iCs/>
                <w:color w:val="000000"/>
                <w:sz w:val="20"/>
                <w:szCs w:val="20"/>
              </w:rPr>
            </w:pPr>
            <w:r>
              <w:rPr>
                <w:i/>
                <w:iCs/>
                <w:color w:val="000000"/>
                <w:sz w:val="20"/>
                <w:szCs w:val="20"/>
              </w:rPr>
              <w:t>58,5%</w:t>
            </w:r>
          </w:p>
        </w:tc>
      </w:tr>
      <w:tr w:rsidR="00596ACC" w:rsidTr="00596ACC">
        <w:trPr>
          <w:trHeight w:val="270"/>
          <w:jc w:val="center"/>
        </w:trPr>
        <w:tc>
          <w:tcPr>
            <w:tcW w:w="2538" w:type="dxa"/>
            <w:tcBorders>
              <w:top w:val="nil"/>
              <w:left w:val="single" w:sz="12" w:space="0" w:color="auto"/>
              <w:bottom w:val="single" w:sz="12" w:space="0" w:color="auto"/>
              <w:right w:val="single" w:sz="8" w:space="0" w:color="auto"/>
            </w:tcBorders>
            <w:noWrap/>
            <w:tcMar>
              <w:top w:w="0" w:type="dxa"/>
              <w:left w:w="108" w:type="dxa"/>
              <w:bottom w:w="0" w:type="dxa"/>
              <w:right w:w="108" w:type="dxa"/>
            </w:tcMar>
            <w:vAlign w:val="center"/>
            <w:hideMark/>
          </w:tcPr>
          <w:p w:rsidR="00596ACC" w:rsidRDefault="00596ACC">
            <w:pPr>
              <w:rPr>
                <w:b/>
                <w:bCs/>
                <w:color w:val="000000"/>
                <w:sz w:val="20"/>
                <w:szCs w:val="20"/>
              </w:rPr>
            </w:pPr>
            <w:r>
              <w:rPr>
                <w:b/>
                <w:bCs/>
                <w:color w:val="000000"/>
                <w:sz w:val="20"/>
                <w:szCs w:val="20"/>
              </w:rPr>
              <w:t>Deficit/Suficit</w:t>
            </w:r>
          </w:p>
        </w:tc>
        <w:tc>
          <w:tcPr>
            <w:tcW w:w="891" w:type="dxa"/>
            <w:tcBorders>
              <w:top w:val="nil"/>
              <w:left w:val="nil"/>
              <w:bottom w:val="single" w:sz="12" w:space="0" w:color="auto"/>
              <w:right w:val="single" w:sz="8" w:space="0" w:color="auto"/>
            </w:tcBorders>
            <w:noWrap/>
            <w:tcMar>
              <w:top w:w="0" w:type="dxa"/>
              <w:left w:w="108" w:type="dxa"/>
              <w:bottom w:w="0" w:type="dxa"/>
              <w:right w:w="108" w:type="dxa"/>
            </w:tcMar>
            <w:vAlign w:val="center"/>
            <w:hideMark/>
          </w:tcPr>
          <w:p w:rsidR="00596ACC" w:rsidRDefault="00596ACC">
            <w:pPr>
              <w:jc w:val="center"/>
              <w:rPr>
                <w:color w:val="000000"/>
                <w:sz w:val="20"/>
                <w:szCs w:val="20"/>
              </w:rPr>
            </w:pPr>
            <w:r>
              <w:rPr>
                <w:color w:val="000000"/>
                <w:sz w:val="20"/>
                <w:szCs w:val="20"/>
              </w:rPr>
              <w:t>4.665</w:t>
            </w:r>
          </w:p>
        </w:tc>
        <w:tc>
          <w:tcPr>
            <w:tcW w:w="891" w:type="dxa"/>
            <w:tcBorders>
              <w:top w:val="nil"/>
              <w:left w:val="nil"/>
              <w:bottom w:val="single" w:sz="12" w:space="0" w:color="auto"/>
              <w:right w:val="single" w:sz="8" w:space="0" w:color="auto"/>
            </w:tcBorders>
            <w:noWrap/>
            <w:tcMar>
              <w:top w:w="0" w:type="dxa"/>
              <w:left w:w="108" w:type="dxa"/>
              <w:bottom w:w="0" w:type="dxa"/>
              <w:right w:w="108" w:type="dxa"/>
            </w:tcMar>
            <w:vAlign w:val="center"/>
            <w:hideMark/>
          </w:tcPr>
          <w:p w:rsidR="00596ACC" w:rsidRDefault="00596ACC">
            <w:pPr>
              <w:jc w:val="center"/>
              <w:rPr>
                <w:color w:val="000000"/>
                <w:sz w:val="20"/>
                <w:szCs w:val="20"/>
              </w:rPr>
            </w:pPr>
            <w:r>
              <w:rPr>
                <w:color w:val="000000"/>
                <w:sz w:val="20"/>
                <w:szCs w:val="20"/>
              </w:rPr>
              <w:t>10.568</w:t>
            </w:r>
          </w:p>
        </w:tc>
        <w:tc>
          <w:tcPr>
            <w:tcW w:w="1080" w:type="dxa"/>
            <w:tcBorders>
              <w:top w:val="nil"/>
              <w:left w:val="nil"/>
              <w:bottom w:val="single" w:sz="12" w:space="0" w:color="auto"/>
              <w:right w:val="single" w:sz="8" w:space="0" w:color="auto"/>
            </w:tcBorders>
            <w:noWrap/>
            <w:tcMar>
              <w:top w:w="0" w:type="dxa"/>
              <w:left w:w="108" w:type="dxa"/>
              <w:bottom w:w="0" w:type="dxa"/>
              <w:right w:w="108" w:type="dxa"/>
            </w:tcMar>
            <w:vAlign w:val="center"/>
            <w:hideMark/>
          </w:tcPr>
          <w:p w:rsidR="00596ACC" w:rsidRDefault="00596ACC">
            <w:pPr>
              <w:jc w:val="center"/>
              <w:rPr>
                <w:color w:val="000000"/>
                <w:sz w:val="20"/>
                <w:szCs w:val="20"/>
              </w:rPr>
            </w:pPr>
            <w:r>
              <w:rPr>
                <w:color w:val="000000"/>
                <w:sz w:val="20"/>
                <w:szCs w:val="20"/>
              </w:rPr>
              <w:t>5.903</w:t>
            </w:r>
          </w:p>
        </w:tc>
        <w:tc>
          <w:tcPr>
            <w:tcW w:w="940" w:type="dxa"/>
            <w:tcBorders>
              <w:top w:val="nil"/>
              <w:left w:val="nil"/>
              <w:bottom w:val="single" w:sz="12" w:space="0" w:color="auto"/>
              <w:right w:val="single" w:sz="8" w:space="0" w:color="auto"/>
            </w:tcBorders>
            <w:noWrap/>
            <w:tcMar>
              <w:top w:w="0" w:type="dxa"/>
              <w:left w:w="108" w:type="dxa"/>
              <w:bottom w:w="0" w:type="dxa"/>
              <w:right w:w="108" w:type="dxa"/>
            </w:tcMar>
            <w:vAlign w:val="center"/>
            <w:hideMark/>
          </w:tcPr>
          <w:p w:rsidR="00596ACC" w:rsidRDefault="00596ACC">
            <w:pPr>
              <w:jc w:val="center"/>
              <w:rPr>
                <w:color w:val="000000"/>
                <w:sz w:val="20"/>
                <w:szCs w:val="20"/>
              </w:rPr>
            </w:pPr>
            <w:r>
              <w:rPr>
                <w:color w:val="000000"/>
                <w:sz w:val="20"/>
                <w:szCs w:val="20"/>
              </w:rPr>
              <w:t>226,5%</w:t>
            </w:r>
          </w:p>
        </w:tc>
        <w:tc>
          <w:tcPr>
            <w:tcW w:w="1120" w:type="dxa"/>
            <w:tcBorders>
              <w:top w:val="nil"/>
              <w:left w:val="nil"/>
              <w:bottom w:val="single" w:sz="12" w:space="0" w:color="auto"/>
              <w:right w:val="single" w:sz="8" w:space="0" w:color="auto"/>
            </w:tcBorders>
            <w:noWrap/>
            <w:tcMar>
              <w:top w:w="0" w:type="dxa"/>
              <w:left w:w="108" w:type="dxa"/>
              <w:bottom w:w="0" w:type="dxa"/>
              <w:right w:w="108" w:type="dxa"/>
            </w:tcMar>
            <w:vAlign w:val="center"/>
            <w:hideMark/>
          </w:tcPr>
          <w:p w:rsidR="00596ACC" w:rsidRDefault="00596ACC">
            <w:pPr>
              <w:jc w:val="center"/>
              <w:rPr>
                <w:color w:val="000000"/>
                <w:sz w:val="20"/>
                <w:szCs w:val="20"/>
              </w:rPr>
            </w:pPr>
            <w:r>
              <w:rPr>
                <w:color w:val="000000"/>
                <w:sz w:val="20"/>
                <w:szCs w:val="20"/>
              </w:rPr>
              <w:t>-35.730</w:t>
            </w:r>
          </w:p>
        </w:tc>
        <w:tc>
          <w:tcPr>
            <w:tcW w:w="1300"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rsidR="00596ACC" w:rsidRDefault="00596ACC">
            <w:pPr>
              <w:jc w:val="center"/>
              <w:rPr>
                <w:color w:val="000000"/>
                <w:sz w:val="20"/>
                <w:szCs w:val="20"/>
              </w:rPr>
            </w:pPr>
            <w:r>
              <w:rPr>
                <w:color w:val="000000"/>
                <w:sz w:val="20"/>
                <w:szCs w:val="20"/>
              </w:rPr>
              <w:t>-29,6%</w:t>
            </w:r>
          </w:p>
        </w:tc>
      </w:tr>
    </w:tbl>
    <w:p w:rsidR="00756AEE" w:rsidRPr="00756AEE" w:rsidRDefault="00756AEE" w:rsidP="00596ACC">
      <w:pPr>
        <w:spacing w:line="276" w:lineRule="auto"/>
        <w:rPr>
          <w:lang w:val="sq-AL"/>
        </w:rPr>
      </w:pPr>
    </w:p>
    <w:p w:rsidR="00756AEE" w:rsidRPr="00756AEE" w:rsidRDefault="00756AEE" w:rsidP="00756AEE">
      <w:pPr>
        <w:spacing w:line="276" w:lineRule="auto"/>
        <w:ind w:firstLine="720"/>
        <w:jc w:val="both"/>
        <w:rPr>
          <w:i/>
          <w:sz w:val="20"/>
          <w:lang w:val="sq-AL"/>
        </w:rPr>
      </w:pPr>
      <w:r w:rsidRPr="00756AEE">
        <w:rPr>
          <w:i/>
          <w:sz w:val="20"/>
          <w:lang w:val="sq-AL"/>
        </w:rPr>
        <w:t>Burimi: Ministria e Financave (2016)</w:t>
      </w:r>
    </w:p>
    <w:p w:rsidR="00756AEE" w:rsidRPr="00756AEE" w:rsidRDefault="00756AEE" w:rsidP="00756AEE">
      <w:pPr>
        <w:spacing w:line="276" w:lineRule="auto"/>
        <w:ind w:firstLine="720"/>
        <w:jc w:val="both"/>
        <w:rPr>
          <w:sz w:val="16"/>
          <w:szCs w:val="16"/>
          <w:lang w:val="sq-AL"/>
        </w:rPr>
      </w:pPr>
    </w:p>
    <w:p w:rsidR="00756AEE" w:rsidRPr="00756AEE" w:rsidRDefault="00756AEE" w:rsidP="00756AEE">
      <w:pPr>
        <w:spacing w:line="276" w:lineRule="auto"/>
        <w:jc w:val="both"/>
        <w:rPr>
          <w:bCs/>
          <w:lang w:val="sq-AL"/>
        </w:rPr>
      </w:pPr>
      <w:r w:rsidRPr="00756AEE">
        <w:rPr>
          <w:b/>
          <w:bCs/>
          <w:lang w:val="sq-AL"/>
        </w:rPr>
        <w:t>Shpenzimet e përgjithshme publike</w:t>
      </w:r>
      <w:r w:rsidRPr="00756AEE">
        <w:rPr>
          <w:bCs/>
          <w:lang w:val="sq-AL"/>
        </w:rPr>
        <w:t xml:space="preserve">, për 9 mujorin e vitit 2016, arritën në rreth 287.5 miliardë lekë me një realizim në masën 97.1 përqind të planit të periudhës. </w:t>
      </w:r>
    </w:p>
    <w:p w:rsidR="00756AEE" w:rsidRPr="00756AEE" w:rsidRDefault="00756AEE" w:rsidP="00756AEE">
      <w:pPr>
        <w:spacing w:line="276" w:lineRule="auto"/>
        <w:jc w:val="both"/>
        <w:rPr>
          <w:bCs/>
          <w:lang w:val="sq-AL"/>
        </w:rPr>
      </w:pPr>
      <w:r w:rsidRPr="00756AEE">
        <w:rPr>
          <w:bCs/>
          <w:lang w:val="sq-AL"/>
        </w:rPr>
        <w:t>Gjatë 9- mujorit është ndjekur një politikë e kujdesshme për realizimin e shp</w:t>
      </w:r>
      <w:r>
        <w:rPr>
          <w:bCs/>
          <w:lang w:val="sq-AL"/>
        </w:rPr>
        <w:t>enzimeve buxhetore, duke synuar</w:t>
      </w:r>
      <w:r w:rsidRPr="00756AEE">
        <w:rPr>
          <w:bCs/>
          <w:lang w:val="sq-AL"/>
        </w:rPr>
        <w:t xml:space="preserve"> kufizimin e shpenzimeve të panevojshme,  kryesisht shpenzimeve korrente, dhe rritjen e shpenzimeve që sjellin vlerë të shtuar në ekonomi. </w:t>
      </w:r>
    </w:p>
    <w:p w:rsidR="00756AEE" w:rsidRPr="00756AEE" w:rsidRDefault="00756AEE" w:rsidP="00756AEE">
      <w:pPr>
        <w:spacing w:line="276" w:lineRule="auto"/>
        <w:jc w:val="both"/>
        <w:rPr>
          <w:bCs/>
          <w:lang w:val="sq-AL"/>
        </w:rPr>
      </w:pPr>
      <w:r w:rsidRPr="00756AEE">
        <w:rPr>
          <w:bCs/>
          <w:lang w:val="sq-AL"/>
        </w:rPr>
        <w:t>Shpenzimet kapitale në raport me planin 9- mujor janë realizuar në masën 100 për qind, duke ruajtur nivelin optimal të realizimit, në përputhje me objektivat e programimit.</w:t>
      </w:r>
    </w:p>
    <w:p w:rsidR="00756AEE" w:rsidRPr="00756AEE" w:rsidRDefault="00756AEE" w:rsidP="00756AEE">
      <w:pPr>
        <w:spacing w:line="276" w:lineRule="auto"/>
        <w:rPr>
          <w:i/>
          <w:sz w:val="16"/>
          <w:szCs w:val="16"/>
          <w:lang w:val="sq-AL"/>
        </w:rPr>
      </w:pPr>
    </w:p>
    <w:p w:rsidR="00756AEE" w:rsidRPr="00756AEE" w:rsidRDefault="00756AEE" w:rsidP="00756AEE">
      <w:pPr>
        <w:spacing w:line="276" w:lineRule="auto"/>
        <w:jc w:val="center"/>
        <w:rPr>
          <w:i/>
          <w:lang w:val="sq-AL"/>
        </w:rPr>
      </w:pPr>
      <w:r w:rsidRPr="00756AEE">
        <w:rPr>
          <w:i/>
          <w:lang w:val="sq-AL"/>
        </w:rPr>
        <w:t xml:space="preserve">Grafiku </w:t>
      </w:r>
      <w:r w:rsidR="00596ACC">
        <w:rPr>
          <w:i/>
          <w:lang w:val="sq-AL"/>
        </w:rPr>
        <w:t>16</w:t>
      </w:r>
      <w:r w:rsidRPr="00756AEE">
        <w:rPr>
          <w:i/>
          <w:lang w:val="sq-AL"/>
        </w:rPr>
        <w:t>: Shpenzimet e pergjithshme dhe ritmi i rritjes se tyre (ne milion LEK)</w:t>
      </w:r>
    </w:p>
    <w:p w:rsidR="00756AEE" w:rsidRPr="00756AEE" w:rsidRDefault="00756AEE" w:rsidP="00756AEE">
      <w:pPr>
        <w:spacing w:line="276" w:lineRule="auto"/>
        <w:jc w:val="center"/>
        <w:rPr>
          <w:i/>
          <w:lang w:val="sq-AL"/>
        </w:rPr>
      </w:pPr>
      <w:r w:rsidRPr="00756AEE">
        <w:rPr>
          <w:i/>
          <w:noProof/>
          <w:lang w:val="sq-AL" w:eastAsia="sq-AL"/>
        </w:rPr>
        <w:drawing>
          <wp:inline distT="0" distB="0" distL="0" distR="0" wp14:anchorId="755792D1" wp14:editId="3BA854B6">
            <wp:extent cx="5133975" cy="2000250"/>
            <wp:effectExtent l="152400" t="152400" r="371475" b="3619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3975" cy="2000250"/>
                    </a:xfrm>
                    <a:prstGeom prst="rect">
                      <a:avLst/>
                    </a:prstGeom>
                    <a:ln>
                      <a:noFill/>
                    </a:ln>
                    <a:effectLst>
                      <a:outerShdw blurRad="292100" dist="139700" dir="2700000" algn="tl" rotWithShape="0">
                        <a:srgbClr val="333333">
                          <a:alpha val="65000"/>
                        </a:srgbClr>
                      </a:outerShdw>
                    </a:effectLst>
                  </pic:spPr>
                </pic:pic>
              </a:graphicData>
            </a:graphic>
          </wp:inline>
        </w:drawing>
      </w:r>
    </w:p>
    <w:p w:rsidR="00756AEE" w:rsidRPr="00756AEE" w:rsidRDefault="00756AEE" w:rsidP="00756AEE">
      <w:pPr>
        <w:spacing w:line="276" w:lineRule="auto"/>
        <w:ind w:firstLine="720"/>
        <w:rPr>
          <w:i/>
          <w:sz w:val="20"/>
          <w:lang w:val="sq-AL"/>
        </w:rPr>
      </w:pPr>
      <w:r w:rsidRPr="00756AEE">
        <w:rPr>
          <w:i/>
          <w:sz w:val="20"/>
          <w:lang w:val="sq-AL"/>
        </w:rPr>
        <w:t>Burimi: Ministria e Financ</w:t>
      </w:r>
      <w:r w:rsidR="00596ACC">
        <w:rPr>
          <w:i/>
          <w:sz w:val="20"/>
          <w:lang w:val="sq-AL"/>
        </w:rPr>
        <w:t>ave</w:t>
      </w:r>
      <w:r w:rsidRPr="00756AEE">
        <w:rPr>
          <w:i/>
          <w:sz w:val="20"/>
          <w:lang w:val="sq-AL"/>
        </w:rPr>
        <w:t xml:space="preserve"> (2016)</w:t>
      </w:r>
    </w:p>
    <w:p w:rsidR="00596ACC" w:rsidRDefault="00596ACC" w:rsidP="00756AEE">
      <w:pPr>
        <w:spacing w:line="276" w:lineRule="auto"/>
        <w:jc w:val="both"/>
        <w:rPr>
          <w:lang w:val="sq-AL"/>
        </w:rPr>
      </w:pPr>
    </w:p>
    <w:p w:rsidR="00756AEE" w:rsidRPr="00756AEE" w:rsidRDefault="00756AEE" w:rsidP="00756AEE">
      <w:pPr>
        <w:spacing w:line="276" w:lineRule="auto"/>
        <w:jc w:val="both"/>
        <w:rPr>
          <w:lang w:val="sq-AL"/>
        </w:rPr>
      </w:pPr>
      <w:r w:rsidRPr="00756AEE">
        <w:rPr>
          <w:lang w:val="sq-AL"/>
        </w:rPr>
        <w:t xml:space="preserve">Në terma vjetorë, shpenzimet e përgjithshme për 9 muajt e parë të 2016 u realizuan në masën 64 përqind te planit vjetor. Shpenzimet faktike, krahasuar me planin e periudhës 9 mujore, janë realizuar në masën 97.1 përqind, </w:t>
      </w:r>
      <w:r w:rsidRPr="00756AEE">
        <w:rPr>
          <w:rFonts w:eastAsia="Times New Roman"/>
          <w:lang w:val="sq-AL"/>
        </w:rPr>
        <w:t xml:space="preserve">duke ruajtur një trend të qendrueshëm. Si shpenzimet korente ashtu edhe ato kapitale, kanë shënuar një realizim tejet të mirë, në nivele përkatësisht </w:t>
      </w:r>
      <w:r w:rsidRPr="00756AEE">
        <w:rPr>
          <w:lang w:val="sq-AL"/>
        </w:rPr>
        <w:t xml:space="preserve">97 dhe 100 përqind të planit të periudhës, duke treguar rritje nga muaji paraardhës. Treguesit e buxhetit të konsoliduar për 9 mujorin që lamë pas, reflektojnë njëkohësisht edhe ndryshimet e muajit Korrik 2016, përmes Aktit Normativ të Buxhetit 2016 </w:t>
      </w:r>
    </w:p>
    <w:p w:rsidR="00596ACC" w:rsidRDefault="00596ACC" w:rsidP="00756AEE">
      <w:pPr>
        <w:spacing w:line="276" w:lineRule="auto"/>
        <w:jc w:val="both"/>
        <w:rPr>
          <w:b/>
          <w:lang w:val="sq-AL"/>
        </w:rPr>
      </w:pPr>
    </w:p>
    <w:p w:rsidR="00756AEE" w:rsidRPr="00756AEE" w:rsidRDefault="00756AEE" w:rsidP="00756AEE">
      <w:pPr>
        <w:spacing w:line="276" w:lineRule="auto"/>
        <w:jc w:val="both"/>
        <w:rPr>
          <w:lang w:val="sq-AL"/>
        </w:rPr>
      </w:pPr>
      <w:r w:rsidRPr="00756AEE">
        <w:rPr>
          <w:b/>
          <w:lang w:val="sq-AL"/>
        </w:rPr>
        <w:t>Shpenzimet korrente</w:t>
      </w:r>
      <w:r w:rsidRPr="00756AEE">
        <w:rPr>
          <w:lang w:val="sq-AL"/>
        </w:rPr>
        <w:t xml:space="preserve"> paraqesin një realizim në raport me planin 9 mujor të këtij viti, prej 97.1 përqind, duke rezultuar 252.9 miliardë lekë nga 260.5 miliardë lekë të planifikuara. Zërat kryesorë që ndikuan në </w:t>
      </w:r>
      <w:r w:rsidRPr="00756AEE">
        <w:rPr>
          <w:lang w:val="sq-AL"/>
        </w:rPr>
        <w:lastRenderedPageBreak/>
        <w:t xml:space="preserve">nivelin e realizimit të shpenzimeve korrente kundrejt planit 9 mujor, janë përkatësisht: shpenzimet e personelit me 99.2 përqind, shpenzimet për fondet speciale me 99 përqind, shpenzimet e pushtetit vendor me 88.7 përqind, shpenzimet e tjera sociale me 94 përqind. </w:t>
      </w:r>
    </w:p>
    <w:p w:rsidR="00756AEE" w:rsidRDefault="00756AEE" w:rsidP="00756AEE">
      <w:pPr>
        <w:spacing w:line="276" w:lineRule="auto"/>
        <w:jc w:val="both"/>
        <w:rPr>
          <w:lang w:val="sq-AL"/>
        </w:rPr>
      </w:pPr>
    </w:p>
    <w:p w:rsidR="00756AEE" w:rsidRPr="00756AEE" w:rsidRDefault="00756AEE" w:rsidP="00756AEE">
      <w:pPr>
        <w:spacing w:line="276" w:lineRule="auto"/>
        <w:jc w:val="both"/>
        <w:rPr>
          <w:lang w:val="sq-AL"/>
        </w:rPr>
      </w:pPr>
      <w:r w:rsidRPr="00756AEE">
        <w:rPr>
          <w:lang w:val="sq-AL"/>
        </w:rPr>
        <w:t xml:space="preserve">Krahasimi me një muaj më parë tregon përmirësim në terma të realizimit për treguesit e shpenzimeve në tërësi. Rishikimi i strukturave administrative të institucioneve publike, si dhe menaxhimi efektiv i kostos së personelit ka sjellë një trajtim të kujdeshëm të shpenzimeve dhe masës së përdorimit të fondit te veçantë. </w:t>
      </w:r>
    </w:p>
    <w:p w:rsidR="00756AEE" w:rsidRDefault="00756AEE" w:rsidP="00756AEE">
      <w:pPr>
        <w:spacing w:line="276" w:lineRule="auto"/>
        <w:jc w:val="both"/>
        <w:rPr>
          <w:lang w:val="sq-AL"/>
        </w:rPr>
      </w:pPr>
    </w:p>
    <w:p w:rsidR="00756AEE" w:rsidRDefault="00756AEE" w:rsidP="00756AEE">
      <w:pPr>
        <w:spacing w:line="276" w:lineRule="auto"/>
        <w:jc w:val="both"/>
        <w:rPr>
          <w:lang w:val="sq-AL"/>
        </w:rPr>
      </w:pPr>
      <w:r w:rsidRPr="00756AEE">
        <w:rPr>
          <w:lang w:val="sq-AL"/>
        </w:rPr>
        <w:t>Gjithashtu, niveli i shpenzimeve publike dhe realizimi pothuajse i plotë i të ardhurave të planifikuara në masën 99 përqind të planit të periudhës, është shoqëruar me një nivel sufiçiti prej afërsisht 10.5 miliard lekë ose 3.2 miliard më pak se një muaj më parë. Kjo politikë, sigurisht që edhe në muajit në vazhdim do të synojë një efiçiencë të shpenzimeve korrente dhe rritje të atyre kapitale, në mënyrë që të influencohet drejtpërdrejt në nxitjen ekonomike të vendit përmes investimeve. Nga sa më sipër, vërehet qartë që në 9 mujorin e vitit 2016, performanca fiskale dhe buxhetore ka qënë në nivele shumë të mira duke realizuar planin e të ardhurave dhe duke u treguar e kujdesshme me kryerjen e shpenzimeve me qëllim rritjen e produktivitetit të ekonomisë.</w:t>
      </w:r>
    </w:p>
    <w:p w:rsidR="00596ACC" w:rsidRPr="00756AEE" w:rsidRDefault="00596ACC" w:rsidP="00756AEE">
      <w:pPr>
        <w:spacing w:line="276" w:lineRule="auto"/>
        <w:jc w:val="both"/>
        <w:rPr>
          <w:i/>
          <w:sz w:val="16"/>
          <w:szCs w:val="16"/>
          <w:lang w:val="sq-AL"/>
        </w:rPr>
      </w:pPr>
    </w:p>
    <w:p w:rsidR="00756AEE" w:rsidRPr="00756AEE" w:rsidRDefault="00756AEE" w:rsidP="00756AEE">
      <w:pPr>
        <w:spacing w:line="276" w:lineRule="auto"/>
        <w:jc w:val="center"/>
        <w:rPr>
          <w:i/>
          <w:lang w:val="sq-AL"/>
        </w:rPr>
      </w:pPr>
      <w:r w:rsidRPr="00756AEE">
        <w:rPr>
          <w:i/>
          <w:lang w:val="sq-AL"/>
        </w:rPr>
        <w:t xml:space="preserve">Grafiku </w:t>
      </w:r>
      <w:r w:rsidR="00596ACC">
        <w:rPr>
          <w:i/>
          <w:lang w:val="sq-AL"/>
        </w:rPr>
        <w:t>17</w:t>
      </w:r>
      <w:r w:rsidRPr="00756AEE">
        <w:rPr>
          <w:i/>
          <w:lang w:val="sq-AL"/>
        </w:rPr>
        <w:t>: Shpenzimet Korente dhe ritmi i rritjes se tyre (ne milion LEK)</w:t>
      </w:r>
    </w:p>
    <w:p w:rsidR="00756AEE" w:rsidRPr="00756AEE" w:rsidRDefault="00756AEE" w:rsidP="00756AEE">
      <w:pPr>
        <w:spacing w:line="276" w:lineRule="auto"/>
        <w:jc w:val="center"/>
        <w:rPr>
          <w:lang w:val="sq-AL"/>
        </w:rPr>
      </w:pPr>
      <w:r w:rsidRPr="00756AEE">
        <w:rPr>
          <w:noProof/>
          <w:lang w:val="sq-AL" w:eastAsia="sq-AL"/>
        </w:rPr>
        <w:drawing>
          <wp:inline distT="0" distB="0" distL="0" distR="0" wp14:anchorId="43C69C77" wp14:editId="356D4C9C">
            <wp:extent cx="5410200" cy="2362200"/>
            <wp:effectExtent l="171450" t="171450" r="381000" b="361950"/>
            <wp:docPr id="76"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3005" cy="2162580"/>
                    </a:xfrm>
                    <a:prstGeom prst="rect">
                      <a:avLst/>
                    </a:prstGeom>
                    <a:ln>
                      <a:noFill/>
                    </a:ln>
                    <a:effectLst>
                      <a:outerShdw blurRad="292100" dist="139700" dir="2700000" algn="tl" rotWithShape="0">
                        <a:srgbClr val="333333">
                          <a:alpha val="65000"/>
                        </a:srgbClr>
                      </a:outerShdw>
                    </a:effectLst>
                  </pic:spPr>
                </pic:pic>
              </a:graphicData>
            </a:graphic>
          </wp:inline>
        </w:drawing>
      </w:r>
    </w:p>
    <w:p w:rsidR="00756AEE" w:rsidRPr="00756AEE" w:rsidRDefault="00756AEE" w:rsidP="00756AEE">
      <w:pPr>
        <w:spacing w:line="276" w:lineRule="auto"/>
        <w:ind w:firstLine="720"/>
        <w:rPr>
          <w:i/>
          <w:sz w:val="20"/>
          <w:lang w:val="sq-AL"/>
        </w:rPr>
      </w:pPr>
      <w:r w:rsidRPr="00756AEE">
        <w:rPr>
          <w:i/>
          <w:sz w:val="20"/>
          <w:lang w:val="sq-AL"/>
        </w:rPr>
        <w:t>Burimi: Ministria e Financ</w:t>
      </w:r>
      <w:r w:rsidR="00596ACC">
        <w:rPr>
          <w:i/>
          <w:sz w:val="20"/>
          <w:lang w:val="sq-AL"/>
        </w:rPr>
        <w:t>ave</w:t>
      </w:r>
      <w:r w:rsidRPr="00756AEE">
        <w:rPr>
          <w:i/>
          <w:sz w:val="20"/>
          <w:lang w:val="sq-AL"/>
        </w:rPr>
        <w:t xml:space="preserve"> (2016)</w:t>
      </w:r>
    </w:p>
    <w:p w:rsidR="00756AEE" w:rsidRPr="00756AEE" w:rsidRDefault="00756AEE" w:rsidP="00756AEE">
      <w:pPr>
        <w:spacing w:line="276" w:lineRule="auto"/>
        <w:ind w:firstLine="720"/>
        <w:rPr>
          <w:i/>
          <w:sz w:val="20"/>
          <w:lang w:val="sq-AL"/>
        </w:rPr>
      </w:pPr>
    </w:p>
    <w:p w:rsidR="00756AEE" w:rsidRPr="00756AEE" w:rsidRDefault="00756AEE" w:rsidP="00756AEE">
      <w:pPr>
        <w:spacing w:line="276" w:lineRule="auto"/>
        <w:jc w:val="both"/>
        <w:rPr>
          <w:b/>
          <w:lang w:val="sq-AL"/>
        </w:rPr>
      </w:pPr>
      <w:r w:rsidRPr="00756AEE">
        <w:rPr>
          <w:i/>
          <w:lang w:val="sq-AL"/>
        </w:rPr>
        <w:t>Shpenzimet e Personelit,</w:t>
      </w:r>
      <w:r w:rsidRPr="00756AEE">
        <w:rPr>
          <w:lang w:val="sq-AL"/>
        </w:rPr>
        <w:t xml:space="preserve"> gjatë periudhës Janar-Shtator 2016, përfaqësuan rreth 20 përqind të totalit të shpenzimeve korente. Niveli i shpenzimet faktike të personelit prej rreth 50.1 miliard LEK, realizon nivelin e parashikuar për këtë zë në planin e periudhës 9 mujore, në masën 99.2 përqind. </w:t>
      </w:r>
    </w:p>
    <w:p w:rsidR="00756AEE" w:rsidRDefault="00756AEE" w:rsidP="00756AEE">
      <w:pPr>
        <w:spacing w:line="276" w:lineRule="auto"/>
        <w:rPr>
          <w:i/>
          <w:lang w:val="sq-AL"/>
        </w:rPr>
      </w:pPr>
    </w:p>
    <w:p w:rsidR="00756AEE" w:rsidRDefault="00756AEE" w:rsidP="00756AEE">
      <w:pPr>
        <w:spacing w:line="276" w:lineRule="auto"/>
        <w:rPr>
          <w:i/>
          <w:lang w:val="sq-AL"/>
        </w:rPr>
      </w:pPr>
    </w:p>
    <w:p w:rsidR="00756AEE" w:rsidRDefault="00756AEE" w:rsidP="00756AEE">
      <w:pPr>
        <w:spacing w:line="276" w:lineRule="auto"/>
        <w:rPr>
          <w:i/>
          <w:lang w:val="sq-AL"/>
        </w:rPr>
      </w:pPr>
    </w:p>
    <w:p w:rsidR="00756AEE" w:rsidRDefault="00756AEE" w:rsidP="00756AEE">
      <w:pPr>
        <w:spacing w:line="276" w:lineRule="auto"/>
        <w:rPr>
          <w:i/>
          <w:lang w:val="sq-AL"/>
        </w:rPr>
      </w:pPr>
    </w:p>
    <w:p w:rsidR="00756AEE" w:rsidRDefault="00756AEE" w:rsidP="00756AEE">
      <w:pPr>
        <w:spacing w:line="276" w:lineRule="auto"/>
        <w:rPr>
          <w:i/>
          <w:lang w:val="sq-AL"/>
        </w:rPr>
      </w:pPr>
    </w:p>
    <w:p w:rsidR="00756AEE" w:rsidRDefault="00756AEE" w:rsidP="00756AEE">
      <w:pPr>
        <w:spacing w:line="276" w:lineRule="auto"/>
        <w:rPr>
          <w:i/>
          <w:lang w:val="sq-AL"/>
        </w:rPr>
      </w:pPr>
    </w:p>
    <w:p w:rsidR="00756AEE" w:rsidRDefault="00756AEE" w:rsidP="00756AEE">
      <w:pPr>
        <w:spacing w:line="276" w:lineRule="auto"/>
        <w:rPr>
          <w:i/>
          <w:lang w:val="sq-AL"/>
        </w:rPr>
      </w:pPr>
    </w:p>
    <w:p w:rsidR="00756AEE" w:rsidRDefault="00756AEE" w:rsidP="00756AEE">
      <w:pPr>
        <w:spacing w:line="276" w:lineRule="auto"/>
        <w:rPr>
          <w:i/>
          <w:lang w:val="sq-AL"/>
        </w:rPr>
      </w:pPr>
    </w:p>
    <w:p w:rsidR="00756AEE" w:rsidRDefault="00756AEE" w:rsidP="00756AEE">
      <w:pPr>
        <w:spacing w:line="276" w:lineRule="auto"/>
        <w:rPr>
          <w:i/>
          <w:lang w:val="sq-AL"/>
        </w:rPr>
      </w:pPr>
    </w:p>
    <w:p w:rsidR="00756AEE" w:rsidRDefault="00756AEE" w:rsidP="00756AEE">
      <w:pPr>
        <w:spacing w:line="276" w:lineRule="auto"/>
        <w:rPr>
          <w:i/>
          <w:lang w:val="sq-AL"/>
        </w:rPr>
      </w:pPr>
    </w:p>
    <w:p w:rsidR="00756AEE" w:rsidRPr="00756AEE" w:rsidRDefault="00756AEE" w:rsidP="00756AEE">
      <w:pPr>
        <w:spacing w:line="276" w:lineRule="auto"/>
        <w:jc w:val="center"/>
        <w:rPr>
          <w:i/>
          <w:lang w:val="sq-AL"/>
        </w:rPr>
      </w:pPr>
      <w:r w:rsidRPr="00756AEE">
        <w:rPr>
          <w:i/>
          <w:lang w:val="sq-AL"/>
        </w:rPr>
        <w:t xml:space="preserve">Grafiku </w:t>
      </w:r>
      <w:r w:rsidR="00596ACC">
        <w:rPr>
          <w:i/>
          <w:lang w:val="sq-AL"/>
        </w:rPr>
        <w:t>18</w:t>
      </w:r>
      <w:r w:rsidRPr="00756AEE">
        <w:rPr>
          <w:i/>
          <w:lang w:val="sq-AL"/>
        </w:rPr>
        <w:t>: Shpenzimet e Personelit dhe ritmi i rritjes se tyre (ne milion LEK)</w:t>
      </w:r>
    </w:p>
    <w:p w:rsidR="00756AEE" w:rsidRPr="00756AEE" w:rsidRDefault="00756AEE" w:rsidP="00756AEE">
      <w:pPr>
        <w:spacing w:line="276" w:lineRule="auto"/>
        <w:jc w:val="center"/>
        <w:rPr>
          <w:lang w:val="sq-AL"/>
        </w:rPr>
      </w:pPr>
      <w:r w:rsidRPr="00756AEE">
        <w:rPr>
          <w:noProof/>
          <w:lang w:val="sq-AL" w:eastAsia="sq-AL"/>
        </w:rPr>
        <w:drawing>
          <wp:inline distT="0" distB="0" distL="0" distR="0" wp14:anchorId="3D20CC2C" wp14:editId="2E45831C">
            <wp:extent cx="5381625" cy="2038350"/>
            <wp:effectExtent l="152400" t="152400" r="371475" b="361950"/>
            <wp:docPr id="7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14901" cy="1861573"/>
                    </a:xfrm>
                    <a:prstGeom prst="rect">
                      <a:avLst/>
                    </a:prstGeom>
                    <a:ln>
                      <a:noFill/>
                    </a:ln>
                    <a:effectLst>
                      <a:outerShdw blurRad="292100" dist="139700" dir="2700000" algn="tl" rotWithShape="0">
                        <a:srgbClr val="333333">
                          <a:alpha val="65000"/>
                        </a:srgbClr>
                      </a:outerShdw>
                    </a:effectLst>
                  </pic:spPr>
                </pic:pic>
              </a:graphicData>
            </a:graphic>
          </wp:inline>
        </w:drawing>
      </w:r>
    </w:p>
    <w:p w:rsidR="00756AEE" w:rsidRPr="00756AEE" w:rsidRDefault="00756AEE" w:rsidP="00756AEE">
      <w:pPr>
        <w:spacing w:line="276" w:lineRule="auto"/>
        <w:ind w:firstLine="720"/>
        <w:rPr>
          <w:i/>
          <w:sz w:val="20"/>
          <w:lang w:val="sq-AL"/>
        </w:rPr>
      </w:pPr>
      <w:r w:rsidRPr="00756AEE">
        <w:rPr>
          <w:i/>
          <w:sz w:val="20"/>
          <w:lang w:val="sq-AL"/>
        </w:rPr>
        <w:t>Burimi: Ministria e Financ</w:t>
      </w:r>
      <w:r w:rsidR="00596ACC">
        <w:rPr>
          <w:i/>
          <w:sz w:val="20"/>
          <w:lang w:val="sq-AL"/>
        </w:rPr>
        <w:t>ave</w:t>
      </w:r>
      <w:r w:rsidRPr="00756AEE">
        <w:rPr>
          <w:i/>
          <w:sz w:val="20"/>
          <w:lang w:val="sq-AL"/>
        </w:rPr>
        <w:t xml:space="preserve"> (2016)</w:t>
      </w:r>
    </w:p>
    <w:p w:rsidR="00756AEE" w:rsidRPr="00756AEE" w:rsidRDefault="00756AEE" w:rsidP="00756AEE">
      <w:pPr>
        <w:spacing w:line="276" w:lineRule="auto"/>
        <w:ind w:firstLine="720"/>
        <w:jc w:val="both"/>
        <w:rPr>
          <w:i/>
          <w:sz w:val="16"/>
          <w:szCs w:val="16"/>
          <w:lang w:val="sq-AL"/>
        </w:rPr>
      </w:pPr>
    </w:p>
    <w:p w:rsidR="00756AEE" w:rsidRPr="00756AEE" w:rsidRDefault="00756AEE" w:rsidP="00756AEE">
      <w:pPr>
        <w:spacing w:line="276" w:lineRule="auto"/>
        <w:jc w:val="both"/>
        <w:rPr>
          <w:rFonts w:eastAsia="Times New Roman"/>
          <w:lang w:val="sq-AL"/>
        </w:rPr>
      </w:pPr>
      <w:r w:rsidRPr="00756AEE">
        <w:rPr>
          <w:i/>
          <w:lang w:val="sq-AL"/>
        </w:rPr>
        <w:t>Shpenzimet për Paga,</w:t>
      </w:r>
      <w:r w:rsidRPr="00756AEE">
        <w:rPr>
          <w:lang w:val="sq-AL"/>
        </w:rPr>
        <w:t xml:space="preserve"> në fund të 9 mujorit 2016, u realizuan në masën 99.8 përqind e planit të periudhës, por </w:t>
      </w:r>
      <w:r w:rsidRPr="00756AEE">
        <w:rPr>
          <w:rFonts w:eastAsia="Times New Roman"/>
          <w:lang w:val="sq-AL"/>
        </w:rPr>
        <w:t xml:space="preserve">në 9-mujorin 2016 ato ishin </w:t>
      </w:r>
      <w:r w:rsidRPr="00756AEE">
        <w:rPr>
          <w:lang w:val="sq-AL"/>
        </w:rPr>
        <w:t xml:space="preserve">rreth 5.8 përqind më të ulta se e njëjta periudhë e vitit 2015, ose rreth 2.6 miliard më pak. Për rrjedhojë, edhe shpenzimet për sigurime shoqërore ndoqën të njëjtin trend me to, duke rezultuar po rreth 5.8 përqind më të ulta se një vit më parë. Ky reduktim vjen në kuadër të thellimit të procesit të decentralizimit </w:t>
      </w:r>
      <w:r w:rsidRPr="00756AEE">
        <w:rPr>
          <w:rFonts w:eastAsia="Times New Roman"/>
          <w:lang w:val="sq-AL"/>
        </w:rPr>
        <w:t xml:space="preserve">si rezultat i </w:t>
      </w:r>
      <w:r w:rsidRPr="00756AEE">
        <w:rPr>
          <w:lang w:val="sq-AL"/>
        </w:rPr>
        <w:t xml:space="preserve">zbatimit të reformës administrative-territoriale, ku në fillim të vitit 2016 </w:t>
      </w:r>
      <w:r w:rsidRPr="00756AEE">
        <w:rPr>
          <w:rFonts w:eastAsia="Times New Roman"/>
          <w:lang w:val="sq-AL"/>
        </w:rPr>
        <w:t xml:space="preserve">një numër funksionesh kaluan në kompetencë të bashkive të reja, duke përfshirë numrin e punonjësve dhe shpenzimet e lidhura me: </w:t>
      </w:r>
    </w:p>
    <w:p w:rsidR="00756AEE" w:rsidRPr="00756AEE" w:rsidRDefault="00756AEE" w:rsidP="00534AA6">
      <w:pPr>
        <w:numPr>
          <w:ilvl w:val="0"/>
          <w:numId w:val="9"/>
        </w:numPr>
        <w:spacing w:after="160" w:line="276" w:lineRule="auto"/>
        <w:contextualSpacing/>
        <w:jc w:val="both"/>
        <w:rPr>
          <w:rFonts w:eastAsia="Times New Roman"/>
          <w:lang w:val="sq-AL"/>
        </w:rPr>
      </w:pPr>
      <w:r w:rsidRPr="00756AEE">
        <w:rPr>
          <w:rFonts w:eastAsia="Times New Roman"/>
          <w:lang w:val="sq-AL"/>
        </w:rPr>
        <w:t>Personelin edukativ dhe mbështetës në arsimin parashkollor;</w:t>
      </w:r>
    </w:p>
    <w:p w:rsidR="00756AEE" w:rsidRPr="00756AEE" w:rsidRDefault="00756AEE" w:rsidP="00534AA6">
      <w:pPr>
        <w:numPr>
          <w:ilvl w:val="0"/>
          <w:numId w:val="9"/>
        </w:numPr>
        <w:spacing w:after="160" w:line="276" w:lineRule="auto"/>
        <w:contextualSpacing/>
        <w:jc w:val="both"/>
        <w:rPr>
          <w:rFonts w:eastAsia="Times New Roman"/>
          <w:lang w:val="sq-AL"/>
        </w:rPr>
      </w:pPr>
      <w:r w:rsidRPr="00756AEE">
        <w:rPr>
          <w:rFonts w:eastAsia="Times New Roman"/>
          <w:lang w:val="sq-AL"/>
        </w:rPr>
        <w:t>Personelin mbështetës të arsimit parauniversitar;</w:t>
      </w:r>
    </w:p>
    <w:p w:rsidR="00756AEE" w:rsidRPr="00756AEE" w:rsidRDefault="00756AEE" w:rsidP="00534AA6">
      <w:pPr>
        <w:numPr>
          <w:ilvl w:val="0"/>
          <w:numId w:val="9"/>
        </w:numPr>
        <w:spacing w:after="160" w:line="276" w:lineRule="auto"/>
        <w:contextualSpacing/>
        <w:jc w:val="both"/>
        <w:rPr>
          <w:rFonts w:eastAsia="Times New Roman"/>
          <w:lang w:val="sq-AL"/>
        </w:rPr>
      </w:pPr>
      <w:r w:rsidRPr="00756AEE">
        <w:rPr>
          <w:rFonts w:eastAsia="Times New Roman"/>
          <w:lang w:val="sq-AL"/>
        </w:rPr>
        <w:t>Shërbimin e mbrojtjes nga zjarri;</w:t>
      </w:r>
    </w:p>
    <w:p w:rsidR="00756AEE" w:rsidRPr="00756AEE" w:rsidRDefault="00756AEE" w:rsidP="00534AA6">
      <w:pPr>
        <w:numPr>
          <w:ilvl w:val="0"/>
          <w:numId w:val="9"/>
        </w:numPr>
        <w:spacing w:after="160" w:line="276" w:lineRule="auto"/>
        <w:contextualSpacing/>
        <w:jc w:val="both"/>
        <w:rPr>
          <w:rFonts w:eastAsia="Times New Roman"/>
          <w:lang w:val="sq-AL"/>
        </w:rPr>
      </w:pPr>
      <w:r w:rsidRPr="00756AEE">
        <w:rPr>
          <w:rFonts w:eastAsia="Times New Roman"/>
          <w:lang w:val="sq-AL"/>
        </w:rPr>
        <w:t>Shërbimi pyjor, etj.</w:t>
      </w:r>
    </w:p>
    <w:p w:rsidR="00756AEE" w:rsidRPr="00756AEE" w:rsidRDefault="00756AEE" w:rsidP="00756AEE">
      <w:pPr>
        <w:spacing w:line="276" w:lineRule="auto"/>
        <w:ind w:firstLine="720"/>
        <w:jc w:val="both"/>
        <w:rPr>
          <w:lang w:val="sq-AL"/>
        </w:rPr>
      </w:pPr>
      <w:r w:rsidRPr="00756AEE">
        <w:rPr>
          <w:lang w:val="sq-AL"/>
        </w:rPr>
        <w:t>Realizimi faktik i këtyre zërave së bashku, është në nivelin 99.2 përqind krahasuar me planin e periudhës, ose rreth 71.3 përqind e planit vjetor të tyre.</w:t>
      </w:r>
    </w:p>
    <w:p w:rsidR="00756AEE" w:rsidRDefault="00756AEE" w:rsidP="00756AEE">
      <w:pPr>
        <w:spacing w:line="276" w:lineRule="auto"/>
        <w:rPr>
          <w:i/>
          <w:lang w:val="sq-AL"/>
        </w:rPr>
      </w:pPr>
    </w:p>
    <w:p w:rsidR="00756AEE" w:rsidRPr="00756AEE" w:rsidRDefault="00756AEE" w:rsidP="00756AEE">
      <w:pPr>
        <w:spacing w:line="276" w:lineRule="auto"/>
        <w:jc w:val="center"/>
        <w:rPr>
          <w:i/>
          <w:lang w:val="sq-AL"/>
        </w:rPr>
      </w:pPr>
      <w:r w:rsidRPr="00756AEE">
        <w:rPr>
          <w:i/>
          <w:lang w:val="sq-AL"/>
        </w:rPr>
        <w:t xml:space="preserve">Grafiku </w:t>
      </w:r>
      <w:r w:rsidR="00596ACC">
        <w:rPr>
          <w:i/>
          <w:lang w:val="sq-AL"/>
        </w:rPr>
        <w:t>19</w:t>
      </w:r>
      <w:r w:rsidRPr="00756AEE">
        <w:rPr>
          <w:i/>
          <w:lang w:val="sq-AL"/>
        </w:rPr>
        <w:t>: Shpenzimet e Pagave dhe ritmi i rritjes se tyre (ne milion LEK)</w:t>
      </w:r>
    </w:p>
    <w:p w:rsidR="00756AEE" w:rsidRPr="00756AEE" w:rsidRDefault="00756AEE" w:rsidP="00756AEE">
      <w:pPr>
        <w:spacing w:line="276" w:lineRule="auto"/>
        <w:jc w:val="center"/>
        <w:rPr>
          <w:lang w:val="sq-AL"/>
        </w:rPr>
      </w:pPr>
      <w:r w:rsidRPr="00756AEE">
        <w:rPr>
          <w:noProof/>
          <w:lang w:val="sq-AL" w:eastAsia="sq-AL"/>
        </w:rPr>
        <w:drawing>
          <wp:inline distT="0" distB="0" distL="0" distR="0" wp14:anchorId="3BC39BD2" wp14:editId="5A3D882D">
            <wp:extent cx="5248275" cy="2162175"/>
            <wp:effectExtent l="171450" t="171450" r="390525" b="352425"/>
            <wp:docPr id="78"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97898" cy="1976629"/>
                    </a:xfrm>
                    <a:prstGeom prst="rect">
                      <a:avLst/>
                    </a:prstGeom>
                    <a:ln>
                      <a:noFill/>
                    </a:ln>
                    <a:effectLst>
                      <a:outerShdw blurRad="292100" dist="139700" dir="2700000" algn="tl" rotWithShape="0">
                        <a:srgbClr val="333333">
                          <a:alpha val="65000"/>
                        </a:srgbClr>
                      </a:outerShdw>
                    </a:effectLst>
                  </pic:spPr>
                </pic:pic>
              </a:graphicData>
            </a:graphic>
          </wp:inline>
        </w:drawing>
      </w:r>
    </w:p>
    <w:p w:rsidR="00756AEE" w:rsidRPr="00756AEE" w:rsidRDefault="00756AEE" w:rsidP="00756AEE">
      <w:pPr>
        <w:spacing w:line="276" w:lineRule="auto"/>
        <w:ind w:firstLine="720"/>
        <w:rPr>
          <w:i/>
          <w:sz w:val="20"/>
          <w:lang w:val="sq-AL"/>
        </w:rPr>
      </w:pPr>
      <w:r w:rsidRPr="00756AEE">
        <w:rPr>
          <w:i/>
          <w:sz w:val="20"/>
          <w:lang w:val="sq-AL"/>
        </w:rPr>
        <w:lastRenderedPageBreak/>
        <w:t>Burimi: Ministria e Financ</w:t>
      </w:r>
      <w:r w:rsidR="00596ACC">
        <w:rPr>
          <w:i/>
          <w:sz w:val="20"/>
          <w:lang w:val="sq-AL"/>
        </w:rPr>
        <w:t>ave</w:t>
      </w:r>
      <w:r w:rsidRPr="00756AEE">
        <w:rPr>
          <w:i/>
          <w:sz w:val="20"/>
          <w:lang w:val="sq-AL"/>
        </w:rPr>
        <w:t xml:space="preserve"> (2016)</w:t>
      </w:r>
    </w:p>
    <w:p w:rsidR="00756AEE" w:rsidRPr="00756AEE" w:rsidRDefault="00756AEE" w:rsidP="00756AEE">
      <w:pPr>
        <w:spacing w:line="276" w:lineRule="auto"/>
        <w:jc w:val="both"/>
        <w:rPr>
          <w:i/>
          <w:lang w:val="sq-AL"/>
        </w:rPr>
      </w:pPr>
    </w:p>
    <w:p w:rsidR="00756AEE" w:rsidRPr="00756AEE" w:rsidRDefault="00756AEE" w:rsidP="00756AEE">
      <w:pPr>
        <w:spacing w:line="276" w:lineRule="auto"/>
        <w:jc w:val="both"/>
        <w:rPr>
          <w:lang w:val="sq-AL"/>
        </w:rPr>
      </w:pPr>
      <w:r w:rsidRPr="00756AEE">
        <w:rPr>
          <w:i/>
          <w:lang w:val="sq-AL"/>
        </w:rPr>
        <w:t>Shpenzimet për Interesa,</w:t>
      </w:r>
      <w:r w:rsidRPr="00756AEE">
        <w:rPr>
          <w:lang w:val="sq-AL"/>
        </w:rPr>
        <w:t xml:space="preserve"> gjatë periudhës 9 mujore janar-shtator 2016, kanë përfaqësuar rreth 10.2 përqind të shpenzimeve korente. Niveli faktik i tyre ka rezultuar në masën 94.8 përqind të planit të periudhës. </w:t>
      </w:r>
      <w:r w:rsidRPr="00756AEE">
        <w:rPr>
          <w:rFonts w:eastAsia="Times New Roman"/>
          <w:lang w:val="sq-AL"/>
        </w:rPr>
        <w:t xml:space="preserve">Në raport me </w:t>
      </w:r>
      <w:r w:rsidRPr="00756AEE">
        <w:rPr>
          <w:lang w:val="sq-AL"/>
        </w:rPr>
        <w:t>planin vjetor prej 43 miliard LEK, në nivel 9 mujori këto shpenzime janë realizuar në masën 60 përqind të tij, n</w:t>
      </w:r>
      <w:r w:rsidRPr="00756AEE">
        <w:rPr>
          <w:rFonts w:eastAsia="Times New Roman"/>
          <w:lang w:val="sq-AL"/>
        </w:rPr>
        <w:t xml:space="preserve">dërsa krahasuar me të njëjtën </w:t>
      </w:r>
      <w:r w:rsidRPr="00756AEE">
        <w:rPr>
          <w:lang w:val="sq-AL"/>
        </w:rPr>
        <w:t>periudhë të vitit 2015, ky zë ka rezultuar rreth 5.5 përqind më i ulët, me një kursim nominal në masën 1.5 miliard LEK.</w:t>
      </w:r>
    </w:p>
    <w:p w:rsidR="00596ACC" w:rsidRDefault="00596ACC" w:rsidP="00756AEE">
      <w:pPr>
        <w:spacing w:line="276" w:lineRule="auto"/>
        <w:rPr>
          <w:i/>
          <w:lang w:val="sq-AL"/>
        </w:rPr>
      </w:pPr>
    </w:p>
    <w:p w:rsidR="00756AEE" w:rsidRPr="00756AEE" w:rsidRDefault="00596ACC" w:rsidP="00756AEE">
      <w:pPr>
        <w:spacing w:line="276" w:lineRule="auto"/>
        <w:rPr>
          <w:i/>
          <w:lang w:val="sq-AL"/>
        </w:rPr>
      </w:pPr>
      <w:r>
        <w:rPr>
          <w:i/>
          <w:lang w:val="sq-AL"/>
        </w:rPr>
        <w:t xml:space="preserve">              </w:t>
      </w:r>
      <w:r w:rsidR="00756AEE" w:rsidRPr="00756AEE">
        <w:rPr>
          <w:i/>
          <w:lang w:val="sq-AL"/>
        </w:rPr>
        <w:t xml:space="preserve">Grafiku </w:t>
      </w:r>
      <w:r>
        <w:rPr>
          <w:i/>
          <w:lang w:val="sq-AL"/>
        </w:rPr>
        <w:t>20</w:t>
      </w:r>
      <w:r w:rsidR="00756AEE" w:rsidRPr="00756AEE">
        <w:rPr>
          <w:i/>
          <w:lang w:val="sq-AL"/>
        </w:rPr>
        <w:t>: Shpenzimet per Interesa (ne milion LEK)</w:t>
      </w:r>
    </w:p>
    <w:p w:rsidR="00756AEE" w:rsidRPr="00756AEE" w:rsidRDefault="00756AEE" w:rsidP="00756AEE">
      <w:pPr>
        <w:spacing w:line="276" w:lineRule="auto"/>
        <w:jc w:val="center"/>
        <w:rPr>
          <w:lang w:val="sq-AL"/>
        </w:rPr>
      </w:pPr>
      <w:r w:rsidRPr="00756AEE">
        <w:rPr>
          <w:noProof/>
          <w:lang w:val="sq-AL" w:eastAsia="sq-AL"/>
        </w:rPr>
        <w:drawing>
          <wp:inline distT="0" distB="0" distL="0" distR="0" wp14:anchorId="059E0BBB" wp14:editId="1B34AF32">
            <wp:extent cx="5305424" cy="1990725"/>
            <wp:effectExtent l="171450" t="171450" r="372110" b="352425"/>
            <wp:docPr id="79"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38700" cy="1815599"/>
                    </a:xfrm>
                    <a:prstGeom prst="rect">
                      <a:avLst/>
                    </a:prstGeom>
                    <a:ln>
                      <a:noFill/>
                    </a:ln>
                    <a:effectLst>
                      <a:outerShdw blurRad="292100" dist="139700" dir="2700000" algn="tl" rotWithShape="0">
                        <a:srgbClr val="333333">
                          <a:alpha val="65000"/>
                        </a:srgbClr>
                      </a:outerShdw>
                    </a:effectLst>
                  </pic:spPr>
                </pic:pic>
              </a:graphicData>
            </a:graphic>
          </wp:inline>
        </w:drawing>
      </w:r>
    </w:p>
    <w:p w:rsidR="00756AEE" w:rsidRPr="00756AEE" w:rsidRDefault="00756AEE" w:rsidP="00756AEE">
      <w:pPr>
        <w:spacing w:line="276" w:lineRule="auto"/>
        <w:ind w:firstLine="720"/>
        <w:rPr>
          <w:i/>
          <w:sz w:val="20"/>
          <w:lang w:val="sq-AL"/>
        </w:rPr>
      </w:pPr>
      <w:r w:rsidRPr="00756AEE">
        <w:rPr>
          <w:i/>
          <w:sz w:val="20"/>
          <w:lang w:val="sq-AL"/>
        </w:rPr>
        <w:t>Burimi: Ministria e Financ</w:t>
      </w:r>
      <w:r w:rsidR="00596ACC">
        <w:rPr>
          <w:i/>
          <w:sz w:val="20"/>
          <w:lang w:val="sq-AL"/>
        </w:rPr>
        <w:t>ave</w:t>
      </w:r>
      <w:r w:rsidRPr="00756AEE">
        <w:rPr>
          <w:i/>
          <w:sz w:val="20"/>
          <w:lang w:val="sq-AL"/>
        </w:rPr>
        <w:t xml:space="preserve"> (2016)</w:t>
      </w:r>
    </w:p>
    <w:p w:rsidR="00756AEE" w:rsidRPr="00756AEE" w:rsidRDefault="00756AEE" w:rsidP="00756AEE">
      <w:pPr>
        <w:spacing w:line="276" w:lineRule="auto"/>
        <w:jc w:val="both"/>
        <w:rPr>
          <w:i/>
          <w:sz w:val="16"/>
          <w:szCs w:val="16"/>
          <w:lang w:val="sq-AL"/>
        </w:rPr>
      </w:pPr>
      <w:r w:rsidRPr="00756AEE">
        <w:rPr>
          <w:i/>
          <w:lang w:val="sq-AL"/>
        </w:rPr>
        <w:t xml:space="preserve">Shpenzimet Operative &amp; Mirëmbajtje, </w:t>
      </w:r>
      <w:r w:rsidRPr="00756AEE">
        <w:rPr>
          <w:lang w:val="sq-AL"/>
        </w:rPr>
        <w:t>gjatë 9 mujorit që lamë pas, kanë rezultuar me një realizim në masën 99 përqind kundrejt planit të periudhës, ose rreth 63 përqind e planit vjetor. Grafiku i mëposhtëm tregon nivelin e tyre krahasuar me të njëjtën periudhë të viteve paraardhëse.</w:t>
      </w:r>
    </w:p>
    <w:p w:rsidR="00596ACC" w:rsidRDefault="00596ACC" w:rsidP="00756AEE">
      <w:pPr>
        <w:spacing w:line="276" w:lineRule="auto"/>
        <w:rPr>
          <w:i/>
          <w:lang w:val="sq-AL"/>
        </w:rPr>
      </w:pPr>
    </w:p>
    <w:p w:rsidR="00756AEE" w:rsidRPr="00756AEE" w:rsidRDefault="00756AEE" w:rsidP="00756AEE">
      <w:pPr>
        <w:spacing w:line="276" w:lineRule="auto"/>
        <w:rPr>
          <w:i/>
          <w:lang w:val="sq-AL"/>
        </w:rPr>
      </w:pPr>
      <w:r w:rsidRPr="00756AEE">
        <w:rPr>
          <w:i/>
          <w:lang w:val="sq-AL"/>
        </w:rPr>
        <w:t xml:space="preserve">Grafiku </w:t>
      </w:r>
      <w:r w:rsidR="00596ACC">
        <w:rPr>
          <w:i/>
          <w:lang w:val="sq-AL"/>
        </w:rPr>
        <w:t>21</w:t>
      </w:r>
      <w:r w:rsidRPr="00756AEE">
        <w:rPr>
          <w:i/>
          <w:lang w:val="sq-AL"/>
        </w:rPr>
        <w:t>: Shpenzimet Operative dhe ritmi i rritjes se tyre (ne milion LEK)</w:t>
      </w:r>
    </w:p>
    <w:p w:rsidR="00756AEE" w:rsidRPr="00756AEE" w:rsidRDefault="00756AEE" w:rsidP="00756AEE">
      <w:pPr>
        <w:spacing w:line="276" w:lineRule="auto"/>
        <w:jc w:val="center"/>
        <w:rPr>
          <w:lang w:val="sq-AL"/>
        </w:rPr>
      </w:pPr>
      <w:r w:rsidRPr="00756AEE">
        <w:rPr>
          <w:noProof/>
          <w:lang w:val="sq-AL" w:eastAsia="sq-AL"/>
        </w:rPr>
        <w:drawing>
          <wp:inline distT="0" distB="0" distL="0" distR="0" wp14:anchorId="4F31D5B9" wp14:editId="45E0FBC3">
            <wp:extent cx="5305425" cy="2314575"/>
            <wp:effectExtent l="171450" t="171450" r="390525" b="371475"/>
            <wp:docPr id="80"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38700" cy="2110959"/>
                    </a:xfrm>
                    <a:prstGeom prst="rect">
                      <a:avLst/>
                    </a:prstGeom>
                    <a:ln>
                      <a:noFill/>
                    </a:ln>
                    <a:effectLst>
                      <a:outerShdw blurRad="292100" dist="139700" dir="2700000" algn="tl" rotWithShape="0">
                        <a:srgbClr val="333333">
                          <a:alpha val="65000"/>
                        </a:srgbClr>
                      </a:outerShdw>
                    </a:effectLst>
                  </pic:spPr>
                </pic:pic>
              </a:graphicData>
            </a:graphic>
          </wp:inline>
        </w:drawing>
      </w:r>
    </w:p>
    <w:p w:rsidR="00756AEE" w:rsidRPr="00756AEE" w:rsidRDefault="00756AEE" w:rsidP="00756AEE">
      <w:pPr>
        <w:spacing w:line="276" w:lineRule="auto"/>
        <w:ind w:firstLine="720"/>
        <w:rPr>
          <w:i/>
          <w:sz w:val="20"/>
          <w:lang w:val="sq-AL"/>
        </w:rPr>
      </w:pPr>
      <w:r w:rsidRPr="00756AEE">
        <w:rPr>
          <w:i/>
          <w:sz w:val="20"/>
          <w:lang w:val="sq-AL"/>
        </w:rPr>
        <w:t>Burimi: Ministria e Financ</w:t>
      </w:r>
      <w:r w:rsidR="00596ACC">
        <w:rPr>
          <w:i/>
          <w:sz w:val="20"/>
          <w:lang w:val="sq-AL"/>
        </w:rPr>
        <w:t>ave</w:t>
      </w:r>
      <w:r w:rsidRPr="00756AEE">
        <w:rPr>
          <w:i/>
          <w:sz w:val="20"/>
          <w:lang w:val="sq-AL"/>
        </w:rPr>
        <w:t xml:space="preserve"> (2016)</w:t>
      </w:r>
    </w:p>
    <w:p w:rsidR="00756AEE" w:rsidRPr="00756AEE" w:rsidRDefault="00756AEE" w:rsidP="00756AEE">
      <w:pPr>
        <w:spacing w:line="276" w:lineRule="auto"/>
        <w:jc w:val="both"/>
        <w:rPr>
          <w:i/>
          <w:sz w:val="16"/>
          <w:szCs w:val="16"/>
          <w:lang w:val="sq-AL"/>
        </w:rPr>
      </w:pPr>
    </w:p>
    <w:p w:rsidR="00756AEE" w:rsidRPr="00756AEE" w:rsidRDefault="00756AEE" w:rsidP="00756AEE">
      <w:pPr>
        <w:spacing w:line="276" w:lineRule="auto"/>
        <w:jc w:val="both"/>
        <w:rPr>
          <w:lang w:val="sq-AL"/>
        </w:rPr>
      </w:pPr>
      <w:r w:rsidRPr="00756AEE">
        <w:rPr>
          <w:i/>
          <w:lang w:val="sq-AL"/>
        </w:rPr>
        <w:t>Shpenzimet për Subvencione,</w:t>
      </w:r>
      <w:r w:rsidRPr="00756AEE">
        <w:rPr>
          <w:lang w:val="sq-AL"/>
        </w:rPr>
        <w:t xml:space="preserve"> në fund të periudhës 9 mujore janar-shtator 2016, arritën nivelin 1.1 miliard LEK, </w:t>
      </w:r>
      <w:r w:rsidRPr="00756AEE">
        <w:rPr>
          <w:rFonts w:eastAsia="Times New Roman"/>
          <w:lang w:val="sq-AL"/>
        </w:rPr>
        <w:t xml:space="preserve">me një realizim </w:t>
      </w:r>
      <w:r w:rsidRPr="00756AEE">
        <w:rPr>
          <w:lang w:val="sq-AL"/>
        </w:rPr>
        <w:t xml:space="preserve">në masën 94.7 përqind ose rreth 63 milion LEK më pak se plani i periudhës. </w:t>
      </w:r>
      <w:r w:rsidRPr="00756AEE">
        <w:rPr>
          <w:rFonts w:eastAsia="Times New Roman"/>
          <w:lang w:val="sq-AL"/>
        </w:rPr>
        <w:t xml:space="preserve">Në raport me planin </w:t>
      </w:r>
      <w:r w:rsidRPr="00756AEE">
        <w:rPr>
          <w:lang w:val="sq-AL"/>
        </w:rPr>
        <w:t xml:space="preserve">vjetor ky zë rezulton i realizuar në masën 64 përqind, ndërkohë që kundrejt të njëjtës </w:t>
      </w:r>
      <w:r w:rsidRPr="00756AEE">
        <w:rPr>
          <w:lang w:val="sq-AL"/>
        </w:rPr>
        <w:lastRenderedPageBreak/>
        <w:t xml:space="preserve">periudhë të vitit 2015 </w:t>
      </w:r>
      <w:r w:rsidRPr="00756AEE">
        <w:rPr>
          <w:rFonts w:eastAsia="Times New Roman"/>
          <w:lang w:val="sq-AL"/>
        </w:rPr>
        <w:t>shpenzimet për subvencione</w:t>
      </w:r>
      <w:r w:rsidRPr="00756AEE">
        <w:rPr>
          <w:lang w:val="sq-AL"/>
        </w:rPr>
        <w:t xml:space="preserve"> rezultojnë rreth 0.5 përqind ose rreth 113 milion LEK më të ulta.</w:t>
      </w:r>
    </w:p>
    <w:p w:rsidR="00756AEE" w:rsidRPr="00756AEE" w:rsidRDefault="00756AEE" w:rsidP="00756AEE">
      <w:pPr>
        <w:spacing w:line="276" w:lineRule="auto"/>
        <w:rPr>
          <w:i/>
          <w:lang w:val="sq-AL"/>
        </w:rPr>
      </w:pPr>
      <w:r w:rsidRPr="00756AEE">
        <w:rPr>
          <w:i/>
          <w:lang w:val="sq-AL"/>
        </w:rPr>
        <w:t xml:space="preserve">Grafiku </w:t>
      </w:r>
      <w:r w:rsidR="00596ACC">
        <w:rPr>
          <w:i/>
          <w:lang w:val="sq-AL"/>
        </w:rPr>
        <w:t>22</w:t>
      </w:r>
      <w:r w:rsidRPr="00756AEE">
        <w:rPr>
          <w:i/>
          <w:lang w:val="sq-AL"/>
        </w:rPr>
        <w:t>: Shpenzimet per Subvencione dhe ritmi i rritjes se tyre (ne milion LEK)</w:t>
      </w:r>
    </w:p>
    <w:p w:rsidR="00756AEE" w:rsidRPr="00756AEE" w:rsidRDefault="00756AEE" w:rsidP="00756AEE">
      <w:pPr>
        <w:spacing w:line="276" w:lineRule="auto"/>
        <w:jc w:val="center"/>
        <w:rPr>
          <w:lang w:val="sq-AL"/>
        </w:rPr>
      </w:pPr>
      <w:r w:rsidRPr="00756AEE">
        <w:rPr>
          <w:noProof/>
          <w:lang w:val="sq-AL" w:eastAsia="sq-AL"/>
        </w:rPr>
        <w:drawing>
          <wp:inline distT="0" distB="0" distL="0" distR="0" wp14:anchorId="632754B5" wp14:editId="76E9A108">
            <wp:extent cx="5323057" cy="2286000"/>
            <wp:effectExtent l="171450" t="171450" r="373380" b="361950"/>
            <wp:docPr id="81"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69153" cy="2091070"/>
                    </a:xfrm>
                    <a:prstGeom prst="rect">
                      <a:avLst/>
                    </a:prstGeom>
                    <a:ln>
                      <a:noFill/>
                    </a:ln>
                    <a:effectLst>
                      <a:outerShdw blurRad="292100" dist="139700" dir="2700000" algn="tl" rotWithShape="0">
                        <a:srgbClr val="333333">
                          <a:alpha val="65000"/>
                        </a:srgbClr>
                      </a:outerShdw>
                    </a:effectLst>
                  </pic:spPr>
                </pic:pic>
              </a:graphicData>
            </a:graphic>
          </wp:inline>
        </w:drawing>
      </w:r>
    </w:p>
    <w:p w:rsidR="00756AEE" w:rsidRPr="00756AEE" w:rsidRDefault="00756AEE" w:rsidP="00756AEE">
      <w:pPr>
        <w:spacing w:line="276" w:lineRule="auto"/>
        <w:ind w:firstLine="720"/>
        <w:rPr>
          <w:i/>
          <w:sz w:val="16"/>
          <w:szCs w:val="16"/>
          <w:lang w:val="sq-AL"/>
        </w:rPr>
      </w:pPr>
      <w:r w:rsidRPr="00756AEE">
        <w:rPr>
          <w:i/>
          <w:sz w:val="20"/>
          <w:lang w:val="sq-AL"/>
        </w:rPr>
        <w:t>Burimi: Ministria e Financ</w:t>
      </w:r>
      <w:r w:rsidR="00596ACC">
        <w:rPr>
          <w:i/>
          <w:sz w:val="20"/>
          <w:lang w:val="sq-AL"/>
        </w:rPr>
        <w:t>ave</w:t>
      </w:r>
      <w:r w:rsidRPr="00756AEE">
        <w:rPr>
          <w:i/>
          <w:sz w:val="20"/>
          <w:lang w:val="sq-AL"/>
        </w:rPr>
        <w:t xml:space="preserve"> (2016)</w:t>
      </w:r>
    </w:p>
    <w:p w:rsidR="00756AEE" w:rsidRPr="00756AEE" w:rsidRDefault="00756AEE" w:rsidP="00756AEE">
      <w:pPr>
        <w:spacing w:line="276" w:lineRule="auto"/>
        <w:ind w:firstLine="720"/>
        <w:jc w:val="both"/>
        <w:rPr>
          <w:i/>
          <w:sz w:val="16"/>
          <w:szCs w:val="16"/>
          <w:lang w:val="sq-AL"/>
        </w:rPr>
      </w:pPr>
    </w:p>
    <w:p w:rsidR="00756AEE" w:rsidRPr="00756AEE" w:rsidRDefault="00756AEE" w:rsidP="00756AEE">
      <w:pPr>
        <w:spacing w:line="276" w:lineRule="auto"/>
        <w:jc w:val="both"/>
        <w:rPr>
          <w:lang w:val="sq-AL"/>
        </w:rPr>
      </w:pPr>
      <w:r w:rsidRPr="00756AEE">
        <w:rPr>
          <w:i/>
          <w:lang w:val="sq-AL"/>
        </w:rPr>
        <w:t>Shpenzimet për Fondet Speciale</w:t>
      </w:r>
      <w:r w:rsidRPr="00756AEE">
        <w:rPr>
          <w:lang w:val="sq-AL"/>
        </w:rPr>
        <w:t xml:space="preserve"> </w:t>
      </w:r>
      <w:r w:rsidRPr="00756AEE">
        <w:rPr>
          <w:rFonts w:eastAsia="Times New Roman"/>
          <w:lang w:val="sq-AL"/>
        </w:rPr>
        <w:t xml:space="preserve">për 9-mujorin 2016 </w:t>
      </w:r>
      <w:r w:rsidRPr="00756AEE">
        <w:rPr>
          <w:lang w:val="sq-AL"/>
        </w:rPr>
        <w:t xml:space="preserve">rezultuan në nivelin 107.8 miliard LEK, me një realizim prej rreth 99 përqind kundrejt planit të periudhës 9 mujore. Përkatësisht, shpenzimet për Sigurime Shoqërore </w:t>
      </w:r>
      <w:r w:rsidRPr="00756AEE">
        <w:rPr>
          <w:rFonts w:eastAsia="Times New Roman"/>
          <w:lang w:val="sq-AL"/>
        </w:rPr>
        <w:t>u realizuan në masën</w:t>
      </w:r>
      <w:r w:rsidRPr="00756AEE">
        <w:rPr>
          <w:lang w:val="sq-AL"/>
        </w:rPr>
        <w:t xml:space="preserve"> 100 përqind, </w:t>
      </w:r>
      <w:r w:rsidRPr="00756AEE">
        <w:rPr>
          <w:rFonts w:eastAsia="Times New Roman"/>
          <w:lang w:val="sq-AL"/>
        </w:rPr>
        <w:t>shpenzimet</w:t>
      </w:r>
      <w:r w:rsidRPr="00756AEE">
        <w:rPr>
          <w:lang w:val="sq-AL"/>
        </w:rPr>
        <w:t xml:space="preserve"> për sigurime shëndetësore në rreth 98 përqind dhe ato për kompensimin e ish-pronarëve në masën rreth 66.7 përqind, të planit të periudhës. Kundrejt të njëjtës periudhë të vitit 2015, shpenzimet për sigurime shoqërore janë rreth 3.6 miliard më të larta </w:t>
      </w:r>
      <w:r w:rsidRPr="00756AEE">
        <w:rPr>
          <w:rFonts w:eastAsia="Times New Roman"/>
          <w:lang w:val="sq-AL"/>
        </w:rPr>
        <w:t xml:space="preserve">dhe shpenzimet </w:t>
      </w:r>
      <w:r w:rsidRPr="00756AEE">
        <w:rPr>
          <w:lang w:val="sq-AL"/>
        </w:rPr>
        <w:t>për sigurime shëndetësore rreth 1.4 miliard më shumë.</w:t>
      </w:r>
    </w:p>
    <w:p w:rsidR="00596ACC" w:rsidRDefault="00596ACC" w:rsidP="00756AEE">
      <w:pPr>
        <w:spacing w:line="276" w:lineRule="auto"/>
        <w:rPr>
          <w:i/>
          <w:lang w:val="sq-AL"/>
        </w:rPr>
      </w:pPr>
    </w:p>
    <w:p w:rsidR="00756AEE" w:rsidRPr="00756AEE" w:rsidRDefault="00756AEE" w:rsidP="00756AEE">
      <w:pPr>
        <w:spacing w:line="276" w:lineRule="auto"/>
        <w:rPr>
          <w:i/>
          <w:lang w:val="sq-AL"/>
        </w:rPr>
      </w:pPr>
      <w:r w:rsidRPr="00756AEE">
        <w:rPr>
          <w:i/>
          <w:lang w:val="sq-AL"/>
        </w:rPr>
        <w:t xml:space="preserve">Grafiku </w:t>
      </w:r>
      <w:r w:rsidR="00596ACC">
        <w:rPr>
          <w:i/>
          <w:lang w:val="sq-AL"/>
        </w:rPr>
        <w:t>23</w:t>
      </w:r>
      <w:r w:rsidRPr="00756AEE">
        <w:rPr>
          <w:i/>
          <w:lang w:val="sq-AL"/>
        </w:rPr>
        <w:t>: Shpenzimet per Sigurime Shoqerore dhe Shendetesore (ne milion LEK)</w:t>
      </w:r>
    </w:p>
    <w:p w:rsidR="00756AEE" w:rsidRPr="00756AEE" w:rsidRDefault="00756AEE" w:rsidP="00756AEE">
      <w:pPr>
        <w:spacing w:line="276" w:lineRule="auto"/>
        <w:jc w:val="center"/>
        <w:rPr>
          <w:lang w:val="sq-AL"/>
        </w:rPr>
      </w:pPr>
      <w:r w:rsidRPr="00756AEE">
        <w:rPr>
          <w:noProof/>
          <w:lang w:val="sq-AL" w:eastAsia="sq-AL"/>
        </w:rPr>
        <w:drawing>
          <wp:inline distT="0" distB="0" distL="0" distR="0" wp14:anchorId="7BD3A4B7" wp14:editId="01630795">
            <wp:extent cx="5457825" cy="2876550"/>
            <wp:effectExtent l="171450" t="171450" r="390525" b="361950"/>
            <wp:docPr id="82"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00625" cy="2635582"/>
                    </a:xfrm>
                    <a:prstGeom prst="rect">
                      <a:avLst/>
                    </a:prstGeom>
                    <a:ln>
                      <a:noFill/>
                    </a:ln>
                    <a:effectLst>
                      <a:outerShdw blurRad="292100" dist="139700" dir="2700000" algn="tl" rotWithShape="0">
                        <a:srgbClr val="333333">
                          <a:alpha val="65000"/>
                        </a:srgbClr>
                      </a:outerShdw>
                    </a:effectLst>
                  </pic:spPr>
                </pic:pic>
              </a:graphicData>
            </a:graphic>
          </wp:inline>
        </w:drawing>
      </w:r>
    </w:p>
    <w:p w:rsidR="00756AEE" w:rsidRPr="00756AEE" w:rsidRDefault="00756AEE" w:rsidP="00756AEE">
      <w:pPr>
        <w:spacing w:line="276" w:lineRule="auto"/>
        <w:ind w:firstLine="720"/>
        <w:rPr>
          <w:i/>
          <w:sz w:val="20"/>
          <w:lang w:val="sq-AL"/>
        </w:rPr>
      </w:pPr>
      <w:r w:rsidRPr="00756AEE">
        <w:rPr>
          <w:i/>
          <w:sz w:val="20"/>
          <w:lang w:val="sq-AL"/>
        </w:rPr>
        <w:t>Burimi: Ministria e Finance (2016)</w:t>
      </w:r>
    </w:p>
    <w:p w:rsidR="00756AEE" w:rsidRPr="00756AEE" w:rsidRDefault="00756AEE" w:rsidP="00756AEE">
      <w:pPr>
        <w:spacing w:line="276" w:lineRule="auto"/>
        <w:ind w:firstLine="720"/>
        <w:jc w:val="both"/>
        <w:rPr>
          <w:i/>
          <w:sz w:val="16"/>
          <w:szCs w:val="16"/>
          <w:lang w:val="sq-AL"/>
        </w:rPr>
      </w:pPr>
    </w:p>
    <w:p w:rsidR="00756AEE" w:rsidRPr="00756AEE" w:rsidRDefault="00756AEE" w:rsidP="00756AEE">
      <w:pPr>
        <w:spacing w:line="276" w:lineRule="auto"/>
        <w:jc w:val="both"/>
        <w:rPr>
          <w:lang w:val="sq-AL"/>
        </w:rPr>
      </w:pPr>
      <w:r w:rsidRPr="00756AEE">
        <w:rPr>
          <w:i/>
          <w:lang w:val="sq-AL"/>
        </w:rPr>
        <w:lastRenderedPageBreak/>
        <w:t>Shpenzimet për Papunësinë</w:t>
      </w:r>
      <w:r w:rsidRPr="00756AEE">
        <w:rPr>
          <w:lang w:val="sq-AL"/>
        </w:rPr>
        <w:t xml:space="preserve"> </w:t>
      </w:r>
      <w:r w:rsidRPr="00756AEE">
        <w:rPr>
          <w:rFonts w:eastAsia="Times New Roman"/>
          <w:lang w:val="sq-AL"/>
        </w:rPr>
        <w:t xml:space="preserve">për 9-mujorin 2016 </w:t>
      </w:r>
      <w:r w:rsidRPr="00756AEE">
        <w:rPr>
          <w:lang w:val="sq-AL"/>
        </w:rPr>
        <w:t xml:space="preserve">janë realizuar në masën 90.2 përqind e planit të periudhës ose rreth 59.1 përqind e planit vjetor. Këto shpenzime ruajnë pak a shumë të njëjtin nivel në terma nominalë planifikimi dhe realizimi, si në periudhat paraardhëse. </w:t>
      </w:r>
    </w:p>
    <w:p w:rsidR="00756AEE" w:rsidRPr="00756AEE" w:rsidRDefault="00756AEE" w:rsidP="00756AEE">
      <w:pPr>
        <w:spacing w:line="276" w:lineRule="auto"/>
        <w:jc w:val="both"/>
        <w:rPr>
          <w:lang w:val="sq-AL"/>
        </w:rPr>
      </w:pPr>
      <w:r w:rsidRPr="00756AEE">
        <w:rPr>
          <w:i/>
          <w:lang w:val="sq-AL"/>
        </w:rPr>
        <w:t>Shpenzimet për Ndihmën Ekonomike,</w:t>
      </w:r>
      <w:r w:rsidRPr="00756AEE">
        <w:rPr>
          <w:lang w:val="sq-AL"/>
        </w:rPr>
        <w:t xml:space="preserve"> </w:t>
      </w:r>
      <w:r w:rsidRPr="00756AEE">
        <w:rPr>
          <w:rFonts w:eastAsia="Times New Roman"/>
          <w:lang w:val="sq-AL"/>
        </w:rPr>
        <w:t xml:space="preserve">në 9-mujorin 2016 u realizuan në masën </w:t>
      </w:r>
      <w:r w:rsidRPr="00756AEE">
        <w:rPr>
          <w:lang w:val="sq-AL"/>
        </w:rPr>
        <w:t xml:space="preserve">96 përqind ose 561 milion LEK më pak kundrejt planit të periudhës. </w:t>
      </w:r>
      <w:r w:rsidRPr="00756AEE">
        <w:rPr>
          <w:rFonts w:eastAsia="Times New Roman"/>
          <w:lang w:val="sq-AL"/>
        </w:rPr>
        <w:t xml:space="preserve">Në raport me planin vjetor janë realizuar </w:t>
      </w:r>
      <w:r w:rsidRPr="00756AEE">
        <w:rPr>
          <w:lang w:val="sq-AL"/>
        </w:rPr>
        <w:t xml:space="preserve">në masën 63.7 përqind të tij. Kundrejt të njëtës periudhë të vitit 2015 </w:t>
      </w:r>
      <w:r w:rsidRPr="00756AEE">
        <w:rPr>
          <w:rFonts w:eastAsia="Times New Roman"/>
          <w:lang w:val="sq-AL"/>
        </w:rPr>
        <w:t>shpenzimet për Ndihmë Ekonomike</w:t>
      </w:r>
      <w:r w:rsidRPr="00756AEE">
        <w:rPr>
          <w:lang w:val="sq-AL"/>
        </w:rPr>
        <w:t xml:space="preserve"> rezultojnë me një rritje në masën 5.1 përqind, ose rreth 632 milion LEK në terma nominalë.</w:t>
      </w:r>
    </w:p>
    <w:p w:rsidR="00756AEE" w:rsidRPr="00756AEE" w:rsidRDefault="00756AEE" w:rsidP="00756AEE">
      <w:pPr>
        <w:spacing w:line="276" w:lineRule="auto"/>
        <w:jc w:val="both"/>
        <w:rPr>
          <w:lang w:val="sq-AL"/>
        </w:rPr>
      </w:pPr>
      <w:r w:rsidRPr="00756AEE">
        <w:rPr>
          <w:i/>
          <w:lang w:val="sq-AL"/>
        </w:rPr>
        <w:t>Kompensimi për ish-të Përndjekurit Politikë,</w:t>
      </w:r>
      <w:r w:rsidRPr="00756AEE">
        <w:rPr>
          <w:lang w:val="sq-AL"/>
        </w:rPr>
        <w:t xml:space="preserve"> në fund të 9-mujorit 2016, arriti nivelin 949 milion LEK, me një realizim në masën 76 përqind të planit të periudhës dhe rreth 48 përqind e planit vjetor. Ecuria e shpenzimeve për këtë zë është e lidhur ngushtë me ritmin dhe korrektësinë e aplikimit dhe kompletimit të dosjeve nga ana e përfituesve, </w:t>
      </w:r>
      <w:r w:rsidRPr="00756AEE">
        <w:rPr>
          <w:rFonts w:eastAsia="Times New Roman"/>
          <w:lang w:val="sq-AL"/>
        </w:rPr>
        <w:t xml:space="preserve">proces i cili kërkon një kohë </w:t>
      </w:r>
      <w:r w:rsidRPr="00756AEE">
        <w:rPr>
          <w:lang w:val="sq-AL"/>
        </w:rPr>
        <w:t xml:space="preserve">të konsiderueshme.  </w:t>
      </w:r>
    </w:p>
    <w:p w:rsidR="00756AEE" w:rsidRPr="00756AEE" w:rsidRDefault="00756AEE" w:rsidP="00756AEE">
      <w:pPr>
        <w:spacing w:line="276" w:lineRule="auto"/>
        <w:rPr>
          <w:i/>
          <w:lang w:val="sq-AL"/>
        </w:rPr>
      </w:pPr>
    </w:p>
    <w:p w:rsidR="00756AEE" w:rsidRPr="00756AEE" w:rsidRDefault="00756AEE" w:rsidP="00756AEE">
      <w:pPr>
        <w:spacing w:line="276" w:lineRule="auto"/>
        <w:rPr>
          <w:lang w:val="sq-AL"/>
        </w:rPr>
      </w:pPr>
      <w:r w:rsidRPr="00756AEE">
        <w:rPr>
          <w:i/>
          <w:lang w:val="sq-AL"/>
        </w:rPr>
        <w:t xml:space="preserve">Grafiku </w:t>
      </w:r>
      <w:r w:rsidR="00596ACC">
        <w:rPr>
          <w:i/>
          <w:lang w:val="sq-AL"/>
        </w:rPr>
        <w:t>24</w:t>
      </w:r>
      <w:r w:rsidRPr="00756AEE">
        <w:rPr>
          <w:i/>
          <w:lang w:val="sq-AL"/>
        </w:rPr>
        <w:t>: Shpenzimet Sociale dhe ritmi i rritjes se tyre (ne milion LEK)</w:t>
      </w:r>
      <w:r w:rsidRPr="00756AEE">
        <w:rPr>
          <w:lang w:val="sq-AL"/>
        </w:rPr>
        <w:t xml:space="preserve">   </w:t>
      </w:r>
    </w:p>
    <w:p w:rsidR="00756AEE" w:rsidRPr="00756AEE" w:rsidRDefault="00756AEE" w:rsidP="00756AEE">
      <w:pPr>
        <w:spacing w:line="276" w:lineRule="auto"/>
        <w:jc w:val="center"/>
        <w:rPr>
          <w:lang w:val="sq-AL"/>
        </w:rPr>
      </w:pPr>
      <w:r w:rsidRPr="00756AEE">
        <w:rPr>
          <w:noProof/>
          <w:lang w:val="sq-AL" w:eastAsia="sq-AL"/>
        </w:rPr>
        <w:drawing>
          <wp:inline distT="0" distB="0" distL="0" distR="0" wp14:anchorId="4F267F6C" wp14:editId="12F33718">
            <wp:extent cx="5391150" cy="2667000"/>
            <wp:effectExtent l="171450" t="171450" r="381000" b="361950"/>
            <wp:docPr id="83"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30128" cy="2438933"/>
                    </a:xfrm>
                    <a:prstGeom prst="rect">
                      <a:avLst/>
                    </a:prstGeom>
                    <a:ln>
                      <a:noFill/>
                    </a:ln>
                    <a:effectLst>
                      <a:outerShdw blurRad="292100" dist="139700" dir="2700000" algn="tl" rotWithShape="0">
                        <a:srgbClr val="333333">
                          <a:alpha val="65000"/>
                        </a:srgbClr>
                      </a:outerShdw>
                    </a:effectLst>
                  </pic:spPr>
                </pic:pic>
              </a:graphicData>
            </a:graphic>
          </wp:inline>
        </w:drawing>
      </w:r>
    </w:p>
    <w:p w:rsidR="00756AEE" w:rsidRPr="00756AEE" w:rsidRDefault="00756AEE" w:rsidP="00756AEE">
      <w:pPr>
        <w:spacing w:line="276" w:lineRule="auto"/>
        <w:ind w:firstLine="720"/>
        <w:rPr>
          <w:i/>
          <w:sz w:val="20"/>
          <w:lang w:val="sq-AL"/>
        </w:rPr>
      </w:pPr>
      <w:r w:rsidRPr="00756AEE">
        <w:rPr>
          <w:i/>
          <w:sz w:val="20"/>
          <w:lang w:val="sq-AL"/>
        </w:rPr>
        <w:t>Burimi: Ministria e Financ</w:t>
      </w:r>
      <w:r w:rsidR="00596ACC">
        <w:rPr>
          <w:i/>
          <w:sz w:val="20"/>
          <w:lang w:val="sq-AL"/>
        </w:rPr>
        <w:t xml:space="preserve">ave </w:t>
      </w:r>
      <w:r w:rsidRPr="00756AEE">
        <w:rPr>
          <w:i/>
          <w:sz w:val="20"/>
          <w:lang w:val="sq-AL"/>
        </w:rPr>
        <w:t>(2016)</w:t>
      </w:r>
    </w:p>
    <w:p w:rsidR="00756AEE" w:rsidRPr="00756AEE" w:rsidRDefault="00756AEE" w:rsidP="00756AEE">
      <w:pPr>
        <w:spacing w:line="276" w:lineRule="auto"/>
        <w:jc w:val="both"/>
        <w:rPr>
          <w:b/>
          <w:sz w:val="16"/>
          <w:szCs w:val="16"/>
          <w:lang w:val="sq-AL"/>
        </w:rPr>
      </w:pPr>
    </w:p>
    <w:p w:rsidR="00756AEE" w:rsidRPr="00756AEE" w:rsidRDefault="00756AEE" w:rsidP="00756AEE">
      <w:pPr>
        <w:spacing w:line="276" w:lineRule="auto"/>
        <w:jc w:val="both"/>
        <w:rPr>
          <w:bCs/>
          <w:lang w:val="sq-AL"/>
        </w:rPr>
      </w:pPr>
      <w:r w:rsidRPr="00756AEE">
        <w:rPr>
          <w:b/>
          <w:lang w:val="sq-AL"/>
        </w:rPr>
        <w:t xml:space="preserve">Shpenzimet kapitale, </w:t>
      </w:r>
      <w:r w:rsidRPr="00756AEE">
        <w:rPr>
          <w:lang w:val="sq-AL"/>
        </w:rPr>
        <w:t>në vijim të analizës</w:t>
      </w:r>
      <w:r w:rsidRPr="00756AEE">
        <w:rPr>
          <w:b/>
          <w:lang w:val="sq-AL"/>
        </w:rPr>
        <w:t xml:space="preserve"> </w:t>
      </w:r>
      <w:r w:rsidRPr="00756AEE">
        <w:rPr>
          <w:lang w:val="sq-AL"/>
        </w:rPr>
        <w:t>së ecurisë së realizimit të investimeve për 9 mujorin e vitit 2016 është konstatuar një realizim në masën 100 përqind, si i investimeve me financim të huaj dhe atyre me financim të brendshëm, në raport me fondet e planifikuara për këtë periudhë. Konstatojmë së në krahasim me një muaj më parë, është ruajtur niveli optimal i realizimit, duke paraqitur në këtë mënyrë ecurinë e kënaqshme të procesit të disbursimit të financimeve në investime. Njëkohësisht, ecuria e</w:t>
      </w:r>
      <w:r w:rsidRPr="00756AEE">
        <w:rPr>
          <w:bCs/>
          <w:lang w:val="sq-AL"/>
        </w:rPr>
        <w:t xml:space="preserve"> punimeve dhe e shlyerjes së projektve të investimit ka një performancë shumë të mirë për 9 mujorin e vitit 2016. </w:t>
      </w:r>
    </w:p>
    <w:p w:rsidR="00756AEE" w:rsidRDefault="00756AEE" w:rsidP="00756AEE">
      <w:pPr>
        <w:spacing w:line="276" w:lineRule="auto"/>
        <w:rPr>
          <w:i/>
          <w:lang w:val="sq-AL"/>
        </w:rPr>
      </w:pPr>
    </w:p>
    <w:p w:rsidR="00596ACC" w:rsidRDefault="00596ACC" w:rsidP="00756AEE">
      <w:pPr>
        <w:spacing w:line="276" w:lineRule="auto"/>
        <w:rPr>
          <w:i/>
          <w:lang w:val="sq-AL"/>
        </w:rPr>
      </w:pPr>
    </w:p>
    <w:p w:rsidR="00596ACC" w:rsidRDefault="00596ACC" w:rsidP="00756AEE">
      <w:pPr>
        <w:spacing w:line="276" w:lineRule="auto"/>
        <w:rPr>
          <w:i/>
          <w:lang w:val="sq-AL"/>
        </w:rPr>
      </w:pPr>
    </w:p>
    <w:p w:rsidR="00596ACC" w:rsidRDefault="00596ACC" w:rsidP="00756AEE">
      <w:pPr>
        <w:spacing w:line="276" w:lineRule="auto"/>
        <w:rPr>
          <w:i/>
          <w:lang w:val="sq-AL"/>
        </w:rPr>
      </w:pPr>
    </w:p>
    <w:p w:rsidR="00596ACC" w:rsidRDefault="00596ACC" w:rsidP="00756AEE">
      <w:pPr>
        <w:spacing w:line="276" w:lineRule="auto"/>
        <w:rPr>
          <w:i/>
          <w:lang w:val="sq-AL"/>
        </w:rPr>
      </w:pPr>
    </w:p>
    <w:p w:rsidR="00596ACC" w:rsidRDefault="00596ACC" w:rsidP="00756AEE">
      <w:pPr>
        <w:spacing w:line="276" w:lineRule="auto"/>
        <w:rPr>
          <w:i/>
          <w:lang w:val="sq-AL"/>
        </w:rPr>
      </w:pPr>
    </w:p>
    <w:p w:rsidR="00596ACC" w:rsidRDefault="00596ACC" w:rsidP="00756AEE">
      <w:pPr>
        <w:spacing w:line="276" w:lineRule="auto"/>
        <w:rPr>
          <w:i/>
          <w:lang w:val="sq-AL"/>
        </w:rPr>
      </w:pPr>
    </w:p>
    <w:p w:rsidR="00596ACC" w:rsidRDefault="00596ACC" w:rsidP="00756AEE">
      <w:pPr>
        <w:spacing w:line="276" w:lineRule="auto"/>
        <w:rPr>
          <w:i/>
          <w:lang w:val="sq-AL"/>
        </w:rPr>
      </w:pPr>
    </w:p>
    <w:p w:rsidR="00596ACC" w:rsidRDefault="00596ACC" w:rsidP="00756AEE">
      <w:pPr>
        <w:spacing w:line="276" w:lineRule="auto"/>
        <w:rPr>
          <w:i/>
          <w:lang w:val="sq-AL"/>
        </w:rPr>
      </w:pPr>
    </w:p>
    <w:p w:rsidR="00756AEE" w:rsidRPr="00756AEE" w:rsidRDefault="00756AEE" w:rsidP="00756AEE">
      <w:pPr>
        <w:spacing w:line="276" w:lineRule="auto"/>
        <w:rPr>
          <w:lang w:val="sq-AL"/>
        </w:rPr>
      </w:pPr>
      <w:r w:rsidRPr="00756AEE">
        <w:rPr>
          <w:i/>
          <w:lang w:val="sq-AL"/>
        </w:rPr>
        <w:t xml:space="preserve">Grafiku </w:t>
      </w:r>
      <w:r w:rsidR="00596ACC">
        <w:rPr>
          <w:i/>
          <w:lang w:val="sq-AL"/>
        </w:rPr>
        <w:t>25</w:t>
      </w:r>
      <w:r w:rsidRPr="00756AEE">
        <w:rPr>
          <w:i/>
          <w:lang w:val="sq-AL"/>
        </w:rPr>
        <w:t>: Shpenzimet Kapitale dhe ritmi i rritjes se tyre (ne milion LEK)</w:t>
      </w:r>
      <w:r w:rsidRPr="00756AEE">
        <w:rPr>
          <w:lang w:val="sq-AL"/>
        </w:rPr>
        <w:t xml:space="preserve">   </w:t>
      </w:r>
    </w:p>
    <w:p w:rsidR="00756AEE" w:rsidRPr="00756AEE" w:rsidRDefault="00756AEE" w:rsidP="00756AEE">
      <w:pPr>
        <w:spacing w:line="276" w:lineRule="auto"/>
        <w:jc w:val="center"/>
        <w:rPr>
          <w:bCs/>
          <w:lang w:val="sq-AL"/>
        </w:rPr>
      </w:pPr>
      <w:r w:rsidRPr="00756AEE">
        <w:rPr>
          <w:bCs/>
          <w:noProof/>
          <w:lang w:val="sq-AL" w:eastAsia="sq-AL"/>
        </w:rPr>
        <w:drawing>
          <wp:inline distT="0" distB="0" distL="0" distR="0" wp14:anchorId="33EC470D" wp14:editId="0A6E897B">
            <wp:extent cx="5105400" cy="1771650"/>
            <wp:effectExtent l="152400" t="152400" r="361950" b="3619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05400" cy="1771650"/>
                    </a:xfrm>
                    <a:prstGeom prst="rect">
                      <a:avLst/>
                    </a:prstGeom>
                    <a:ln>
                      <a:noFill/>
                    </a:ln>
                    <a:effectLst>
                      <a:outerShdw blurRad="292100" dist="139700" dir="2700000" algn="tl" rotWithShape="0">
                        <a:srgbClr val="333333">
                          <a:alpha val="65000"/>
                        </a:srgbClr>
                      </a:outerShdw>
                    </a:effectLst>
                  </pic:spPr>
                </pic:pic>
              </a:graphicData>
            </a:graphic>
          </wp:inline>
        </w:drawing>
      </w:r>
    </w:p>
    <w:p w:rsidR="00756AEE" w:rsidRPr="00756AEE" w:rsidRDefault="00756AEE" w:rsidP="00756AEE">
      <w:pPr>
        <w:spacing w:line="276" w:lineRule="auto"/>
        <w:rPr>
          <w:i/>
          <w:sz w:val="20"/>
          <w:lang w:val="sq-AL"/>
        </w:rPr>
      </w:pPr>
      <w:r w:rsidRPr="00756AEE">
        <w:rPr>
          <w:i/>
          <w:sz w:val="20"/>
          <w:lang w:val="sq-AL"/>
        </w:rPr>
        <w:t>Burimi: Ministria e Financ</w:t>
      </w:r>
      <w:r>
        <w:rPr>
          <w:i/>
          <w:sz w:val="20"/>
          <w:lang w:val="sq-AL"/>
        </w:rPr>
        <w:t>ave</w:t>
      </w:r>
      <w:r w:rsidRPr="00756AEE">
        <w:rPr>
          <w:i/>
          <w:sz w:val="20"/>
          <w:lang w:val="sq-AL"/>
        </w:rPr>
        <w:t xml:space="preserve"> (2016)</w:t>
      </w:r>
    </w:p>
    <w:p w:rsidR="00756AEE" w:rsidRPr="00756AEE" w:rsidRDefault="00756AEE" w:rsidP="00756AEE">
      <w:pPr>
        <w:spacing w:line="276" w:lineRule="auto"/>
        <w:ind w:firstLine="720"/>
        <w:jc w:val="both"/>
        <w:rPr>
          <w:bCs/>
          <w:sz w:val="16"/>
          <w:szCs w:val="16"/>
          <w:lang w:val="sq-AL"/>
        </w:rPr>
      </w:pPr>
    </w:p>
    <w:p w:rsidR="00756AEE" w:rsidRPr="00756AEE" w:rsidRDefault="00756AEE" w:rsidP="00756AEE">
      <w:pPr>
        <w:spacing w:line="276" w:lineRule="auto"/>
        <w:rPr>
          <w:lang w:val="sq-AL"/>
        </w:rPr>
      </w:pPr>
      <w:r>
        <w:rPr>
          <w:i/>
          <w:lang w:val="sq-AL"/>
        </w:rPr>
        <w:t xml:space="preserve">         </w:t>
      </w:r>
      <w:r w:rsidRPr="00756AEE">
        <w:rPr>
          <w:i/>
          <w:lang w:val="sq-AL"/>
        </w:rPr>
        <w:t xml:space="preserve">Grafiku </w:t>
      </w:r>
      <w:r w:rsidR="00596ACC">
        <w:rPr>
          <w:i/>
          <w:lang w:val="sq-AL"/>
        </w:rPr>
        <w:t>26</w:t>
      </w:r>
      <w:r w:rsidRPr="00756AEE">
        <w:rPr>
          <w:i/>
          <w:lang w:val="sq-AL"/>
        </w:rPr>
        <w:t>: Shpenzimet Kapitale dhe burimi i financimit te tyre (ne milion LEK)</w:t>
      </w:r>
      <w:r w:rsidRPr="00756AEE">
        <w:rPr>
          <w:lang w:val="sq-AL"/>
        </w:rPr>
        <w:t xml:space="preserve">   </w:t>
      </w:r>
    </w:p>
    <w:p w:rsidR="00756AEE" w:rsidRPr="00756AEE" w:rsidRDefault="00756AEE" w:rsidP="00756AEE">
      <w:pPr>
        <w:spacing w:line="276" w:lineRule="auto"/>
        <w:jc w:val="center"/>
        <w:rPr>
          <w:lang w:val="sq-AL"/>
        </w:rPr>
      </w:pPr>
      <w:r w:rsidRPr="00756AEE">
        <w:rPr>
          <w:noProof/>
          <w:lang w:val="sq-AL" w:eastAsia="sq-AL"/>
        </w:rPr>
        <w:drawing>
          <wp:inline distT="0" distB="0" distL="0" distR="0" wp14:anchorId="4D9CD94C" wp14:editId="1549197F">
            <wp:extent cx="5124450" cy="2524125"/>
            <wp:effectExtent l="171450" t="171450" r="381000" b="3714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24450" cy="2524125"/>
                    </a:xfrm>
                    <a:prstGeom prst="rect">
                      <a:avLst/>
                    </a:prstGeom>
                    <a:ln>
                      <a:noFill/>
                    </a:ln>
                    <a:effectLst>
                      <a:outerShdw blurRad="292100" dist="139700" dir="2700000" algn="tl" rotWithShape="0">
                        <a:srgbClr val="333333">
                          <a:alpha val="65000"/>
                        </a:srgbClr>
                      </a:outerShdw>
                    </a:effectLst>
                  </pic:spPr>
                </pic:pic>
              </a:graphicData>
            </a:graphic>
          </wp:inline>
        </w:drawing>
      </w:r>
    </w:p>
    <w:p w:rsidR="00756AEE" w:rsidRPr="00756AEE" w:rsidRDefault="00756AEE" w:rsidP="00756AEE">
      <w:pPr>
        <w:spacing w:line="276" w:lineRule="auto"/>
        <w:ind w:firstLine="720"/>
        <w:rPr>
          <w:i/>
          <w:sz w:val="20"/>
          <w:lang w:val="sq-AL"/>
        </w:rPr>
      </w:pPr>
      <w:r w:rsidRPr="00756AEE">
        <w:rPr>
          <w:i/>
          <w:sz w:val="20"/>
          <w:lang w:val="sq-AL"/>
        </w:rPr>
        <w:t>Burimi: Ministria e Financ</w:t>
      </w:r>
      <w:r w:rsidR="00596ACC">
        <w:rPr>
          <w:i/>
          <w:sz w:val="20"/>
          <w:lang w:val="sq-AL"/>
        </w:rPr>
        <w:t>ave</w:t>
      </w:r>
      <w:r w:rsidRPr="00756AEE">
        <w:rPr>
          <w:i/>
          <w:sz w:val="20"/>
          <w:lang w:val="sq-AL"/>
        </w:rPr>
        <w:t xml:space="preserve"> (2016)</w:t>
      </w:r>
    </w:p>
    <w:p w:rsidR="00756AEE" w:rsidRPr="00756AEE" w:rsidRDefault="00756AEE" w:rsidP="00756AEE">
      <w:pPr>
        <w:spacing w:line="276" w:lineRule="auto"/>
        <w:jc w:val="both"/>
        <w:rPr>
          <w:sz w:val="16"/>
          <w:szCs w:val="16"/>
          <w:lang w:val="sq-AL"/>
        </w:rPr>
      </w:pPr>
    </w:p>
    <w:p w:rsidR="00756AEE" w:rsidRPr="00756AEE" w:rsidRDefault="00756AEE" w:rsidP="00756AEE">
      <w:pPr>
        <w:spacing w:line="276" w:lineRule="auto"/>
        <w:jc w:val="both"/>
        <w:rPr>
          <w:lang w:val="sq-AL"/>
        </w:rPr>
      </w:pPr>
      <w:r w:rsidRPr="00756AEE">
        <w:rPr>
          <w:lang w:val="sq-AL"/>
        </w:rPr>
        <w:t xml:space="preserve">Grafiku i mëposhtëm paraqet ndarjen e </w:t>
      </w:r>
      <w:r w:rsidRPr="00756AEE">
        <w:rPr>
          <w:b/>
          <w:lang w:val="sq-AL"/>
        </w:rPr>
        <w:t>shpenzimeve publike faktike</w:t>
      </w:r>
      <w:r w:rsidRPr="00756AEE">
        <w:rPr>
          <w:lang w:val="sq-AL"/>
        </w:rPr>
        <w:t xml:space="preserve"> për 9 mujorin e vitit 2016, në milionë lekë. Shpenzimet korrente për këtë periudhë përbëjnë </w:t>
      </w:r>
      <w:r w:rsidRPr="00756AEE">
        <w:rPr>
          <w:rFonts w:eastAsia="Times New Roman"/>
          <w:lang w:val="sq-AL"/>
        </w:rPr>
        <w:t>pjesën</w:t>
      </w:r>
      <w:r w:rsidRPr="00756AEE">
        <w:rPr>
          <w:lang w:val="sq-AL"/>
        </w:rPr>
        <w:t xml:space="preserve"> më të madhe të shpenzimeve totale faktike me 87.9 përqind, kurse shpenzimet kapitale përbëjnë një pjesë më të vogël prej 12.1 përqind.</w:t>
      </w:r>
    </w:p>
    <w:p w:rsidR="00596ACC" w:rsidRDefault="00596ACC" w:rsidP="00756AEE">
      <w:pPr>
        <w:spacing w:line="276" w:lineRule="auto"/>
        <w:ind w:firstLine="720"/>
        <w:rPr>
          <w:i/>
          <w:lang w:val="sq-AL"/>
        </w:rPr>
      </w:pPr>
    </w:p>
    <w:p w:rsidR="00596ACC" w:rsidRDefault="00596ACC" w:rsidP="00756AEE">
      <w:pPr>
        <w:spacing w:line="276" w:lineRule="auto"/>
        <w:ind w:firstLine="720"/>
        <w:rPr>
          <w:i/>
          <w:lang w:val="sq-AL"/>
        </w:rPr>
      </w:pPr>
    </w:p>
    <w:p w:rsidR="00596ACC" w:rsidRDefault="00596ACC" w:rsidP="00756AEE">
      <w:pPr>
        <w:spacing w:line="276" w:lineRule="auto"/>
        <w:ind w:firstLine="720"/>
        <w:rPr>
          <w:i/>
          <w:lang w:val="sq-AL"/>
        </w:rPr>
      </w:pPr>
    </w:p>
    <w:p w:rsidR="00596ACC" w:rsidRDefault="00596ACC" w:rsidP="00756AEE">
      <w:pPr>
        <w:spacing w:line="276" w:lineRule="auto"/>
        <w:ind w:firstLine="720"/>
        <w:rPr>
          <w:i/>
          <w:lang w:val="sq-AL"/>
        </w:rPr>
      </w:pPr>
    </w:p>
    <w:p w:rsidR="00596ACC" w:rsidRDefault="00596ACC" w:rsidP="00756AEE">
      <w:pPr>
        <w:spacing w:line="276" w:lineRule="auto"/>
        <w:ind w:firstLine="720"/>
        <w:rPr>
          <w:i/>
          <w:lang w:val="sq-AL"/>
        </w:rPr>
      </w:pPr>
    </w:p>
    <w:p w:rsidR="00596ACC" w:rsidRDefault="00596ACC" w:rsidP="00756AEE">
      <w:pPr>
        <w:spacing w:line="276" w:lineRule="auto"/>
        <w:ind w:firstLine="720"/>
        <w:rPr>
          <w:i/>
          <w:lang w:val="sq-AL"/>
        </w:rPr>
      </w:pPr>
    </w:p>
    <w:p w:rsidR="00596ACC" w:rsidRDefault="00596ACC" w:rsidP="00756AEE">
      <w:pPr>
        <w:spacing w:line="276" w:lineRule="auto"/>
        <w:ind w:firstLine="720"/>
        <w:rPr>
          <w:i/>
          <w:lang w:val="sq-AL"/>
        </w:rPr>
      </w:pPr>
    </w:p>
    <w:p w:rsidR="00596ACC" w:rsidRDefault="00596ACC" w:rsidP="00756AEE">
      <w:pPr>
        <w:spacing w:line="276" w:lineRule="auto"/>
        <w:ind w:firstLine="720"/>
        <w:rPr>
          <w:i/>
          <w:lang w:val="sq-AL"/>
        </w:rPr>
      </w:pPr>
    </w:p>
    <w:p w:rsidR="00596ACC" w:rsidRDefault="00596ACC" w:rsidP="00756AEE">
      <w:pPr>
        <w:spacing w:line="276" w:lineRule="auto"/>
        <w:ind w:firstLine="720"/>
        <w:rPr>
          <w:i/>
          <w:lang w:val="sq-AL"/>
        </w:rPr>
      </w:pPr>
    </w:p>
    <w:p w:rsidR="00596ACC" w:rsidRDefault="00596ACC" w:rsidP="00756AEE">
      <w:pPr>
        <w:spacing w:line="276" w:lineRule="auto"/>
        <w:ind w:firstLine="720"/>
        <w:rPr>
          <w:i/>
          <w:lang w:val="sq-AL"/>
        </w:rPr>
      </w:pPr>
    </w:p>
    <w:p w:rsidR="00596ACC" w:rsidRDefault="00596ACC" w:rsidP="00756AEE">
      <w:pPr>
        <w:spacing w:line="276" w:lineRule="auto"/>
        <w:ind w:firstLine="720"/>
        <w:rPr>
          <w:i/>
          <w:lang w:val="sq-AL"/>
        </w:rPr>
      </w:pPr>
    </w:p>
    <w:p w:rsidR="00596ACC" w:rsidRDefault="00596ACC" w:rsidP="00756AEE">
      <w:pPr>
        <w:spacing w:line="276" w:lineRule="auto"/>
        <w:ind w:firstLine="720"/>
        <w:rPr>
          <w:i/>
          <w:lang w:val="sq-AL"/>
        </w:rPr>
      </w:pPr>
    </w:p>
    <w:p w:rsidR="00596ACC" w:rsidRDefault="00596ACC" w:rsidP="00756AEE">
      <w:pPr>
        <w:spacing w:line="276" w:lineRule="auto"/>
        <w:ind w:firstLine="720"/>
        <w:rPr>
          <w:i/>
          <w:lang w:val="sq-AL"/>
        </w:rPr>
      </w:pPr>
    </w:p>
    <w:p w:rsidR="00756AEE" w:rsidRPr="00756AEE" w:rsidRDefault="00756AEE" w:rsidP="00756AEE">
      <w:pPr>
        <w:spacing w:line="276" w:lineRule="auto"/>
        <w:ind w:firstLine="720"/>
        <w:rPr>
          <w:i/>
          <w:lang w:val="sq-AL"/>
        </w:rPr>
      </w:pPr>
      <w:r w:rsidRPr="00756AEE">
        <w:rPr>
          <w:i/>
          <w:lang w:val="sq-AL"/>
        </w:rPr>
        <w:t xml:space="preserve">Grafiku </w:t>
      </w:r>
      <w:r w:rsidR="00596ACC">
        <w:rPr>
          <w:i/>
          <w:lang w:val="sq-AL"/>
        </w:rPr>
        <w:t>27</w:t>
      </w:r>
      <w:r w:rsidRPr="00756AEE">
        <w:rPr>
          <w:i/>
          <w:lang w:val="sq-AL"/>
        </w:rPr>
        <w:t>: Detajimi i Shpenzimeve Buxhetore (ne milion LEK)</w:t>
      </w:r>
    </w:p>
    <w:p w:rsidR="00756AEE" w:rsidRPr="00756AEE" w:rsidRDefault="00756AEE" w:rsidP="00756AEE">
      <w:pPr>
        <w:spacing w:line="276" w:lineRule="auto"/>
        <w:jc w:val="center"/>
        <w:rPr>
          <w:i/>
          <w:lang w:val="sq-AL"/>
        </w:rPr>
      </w:pPr>
      <w:r w:rsidRPr="00756AEE">
        <w:rPr>
          <w:i/>
          <w:noProof/>
          <w:lang w:val="sq-AL" w:eastAsia="sq-AL"/>
        </w:rPr>
        <w:drawing>
          <wp:inline distT="0" distB="0" distL="0" distR="0" wp14:anchorId="3063CB4B" wp14:editId="7F7AD1E3">
            <wp:extent cx="4638675" cy="2638425"/>
            <wp:effectExtent l="171450" t="171450" r="390525" b="3714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38675" cy="2638425"/>
                    </a:xfrm>
                    <a:prstGeom prst="rect">
                      <a:avLst/>
                    </a:prstGeom>
                    <a:ln>
                      <a:noFill/>
                    </a:ln>
                    <a:effectLst>
                      <a:outerShdw blurRad="292100" dist="139700" dir="2700000" algn="tl" rotWithShape="0">
                        <a:srgbClr val="333333">
                          <a:alpha val="65000"/>
                        </a:srgbClr>
                      </a:outerShdw>
                    </a:effectLst>
                  </pic:spPr>
                </pic:pic>
              </a:graphicData>
            </a:graphic>
          </wp:inline>
        </w:drawing>
      </w:r>
    </w:p>
    <w:p w:rsidR="00756AEE" w:rsidRPr="00756AEE" w:rsidRDefault="00756AEE" w:rsidP="00756AEE">
      <w:pPr>
        <w:spacing w:line="276" w:lineRule="auto"/>
        <w:ind w:firstLine="720"/>
        <w:rPr>
          <w:i/>
          <w:sz w:val="20"/>
          <w:lang w:val="sq-AL"/>
        </w:rPr>
      </w:pPr>
      <w:r w:rsidRPr="00756AEE">
        <w:rPr>
          <w:i/>
          <w:sz w:val="20"/>
          <w:lang w:val="sq-AL"/>
        </w:rPr>
        <w:t>Burimi: Ministria e Financ</w:t>
      </w:r>
      <w:r w:rsidR="00596ACC">
        <w:rPr>
          <w:i/>
          <w:sz w:val="20"/>
          <w:lang w:val="sq-AL"/>
        </w:rPr>
        <w:t>ave</w:t>
      </w:r>
      <w:r w:rsidRPr="00756AEE">
        <w:rPr>
          <w:i/>
          <w:sz w:val="20"/>
          <w:lang w:val="sq-AL"/>
        </w:rPr>
        <w:t xml:space="preserve"> (2016)</w:t>
      </w:r>
    </w:p>
    <w:p w:rsidR="00756AEE" w:rsidRPr="00756AEE" w:rsidRDefault="00756AEE" w:rsidP="00756AEE">
      <w:pPr>
        <w:spacing w:line="276" w:lineRule="auto"/>
        <w:ind w:firstLine="720"/>
        <w:jc w:val="both"/>
        <w:rPr>
          <w:sz w:val="16"/>
          <w:szCs w:val="16"/>
          <w:lang w:val="sq-AL"/>
        </w:rPr>
      </w:pPr>
    </w:p>
    <w:p w:rsidR="00756AEE" w:rsidRPr="00756AEE" w:rsidRDefault="00756AEE" w:rsidP="00756AEE">
      <w:pPr>
        <w:spacing w:line="276" w:lineRule="auto"/>
        <w:jc w:val="both"/>
        <w:rPr>
          <w:lang w:val="sq-AL"/>
        </w:rPr>
      </w:pPr>
      <w:r w:rsidRPr="00756AEE">
        <w:rPr>
          <w:lang w:val="sq-AL"/>
        </w:rPr>
        <w:t xml:space="preserve">Sikurse evidentohet nga tabela e treguesve fiskalë të konsoliduar, të ardhurat totale </w:t>
      </w:r>
      <w:r w:rsidRPr="00756AEE">
        <w:rPr>
          <w:rFonts w:eastAsia="Times New Roman"/>
          <w:lang w:val="sq-AL"/>
        </w:rPr>
        <w:t xml:space="preserve">në 9-mujorin 2016 </w:t>
      </w:r>
      <w:r w:rsidRPr="00756AEE">
        <w:rPr>
          <w:lang w:val="sq-AL"/>
        </w:rPr>
        <w:t xml:space="preserve">janë realizuar </w:t>
      </w:r>
      <w:r w:rsidRPr="00756AEE">
        <w:rPr>
          <w:rFonts w:eastAsia="Times New Roman"/>
          <w:lang w:val="sq-AL"/>
        </w:rPr>
        <w:t xml:space="preserve">në masën </w:t>
      </w:r>
      <w:r w:rsidRPr="00756AEE">
        <w:rPr>
          <w:lang w:val="sq-AL"/>
        </w:rPr>
        <w:t>298.1 miliardë lekë ose me një realizim 99 përqind në raport me planin e periudhës. Realizimi i shpenzimeve të përgjithshme është 287.5 miliardë lekë, ose rreth 97 përqind kundrejt planit të periudhës. Kjo situatë është shoqëruar me një sufiçit buxhetor prej afërsisht 10.5 miliardë lekë</w:t>
      </w:r>
      <w:r w:rsidRPr="00756AEE">
        <w:rPr>
          <w:rFonts w:eastAsia="Times New Roman"/>
        </w:rPr>
        <w:t xml:space="preserve"> </w:t>
      </w:r>
      <w:r w:rsidRPr="00756AEE">
        <w:rPr>
          <w:lang w:val="sq-AL"/>
        </w:rPr>
        <w:t xml:space="preserve">Kjo performancë, është rezultat i drejtpëdrejtë i efekteve pozitive të reformave të ndërmarra në favor të përforcimit të disiplinës dhe qendrueshmërisë fiskale e buxhetore, të cilat kanë prodhuar efektet e pritshme në ekonomi, reflektuar në  rritjen e parametrave të treguesve fiskale të buxhetit të konsoliduar. Grafiku i mëposhtëm tregon qartë tendencat pozitive të treguesve kryesorë të  buxhetit. </w:t>
      </w:r>
    </w:p>
    <w:p w:rsidR="00596ACC" w:rsidRDefault="00596ACC" w:rsidP="00756AEE">
      <w:pPr>
        <w:spacing w:line="276" w:lineRule="auto"/>
        <w:rPr>
          <w:i/>
          <w:sz w:val="22"/>
          <w:lang w:val="sq-AL"/>
        </w:rPr>
      </w:pPr>
    </w:p>
    <w:p w:rsidR="00756AEE" w:rsidRPr="00756AEE" w:rsidRDefault="00756AEE" w:rsidP="00756AEE">
      <w:pPr>
        <w:spacing w:line="276" w:lineRule="auto"/>
        <w:rPr>
          <w:i/>
          <w:sz w:val="22"/>
          <w:lang w:val="sq-AL"/>
        </w:rPr>
      </w:pPr>
      <w:r w:rsidRPr="00756AEE">
        <w:rPr>
          <w:i/>
          <w:sz w:val="22"/>
          <w:lang w:val="sq-AL"/>
        </w:rPr>
        <w:t xml:space="preserve">Grafiku </w:t>
      </w:r>
      <w:r w:rsidR="00596ACC">
        <w:rPr>
          <w:i/>
          <w:sz w:val="22"/>
          <w:lang w:val="sq-AL"/>
        </w:rPr>
        <w:t>28</w:t>
      </w:r>
      <w:r w:rsidRPr="00756AEE">
        <w:rPr>
          <w:i/>
          <w:sz w:val="22"/>
          <w:lang w:val="sq-AL"/>
        </w:rPr>
        <w:t>: Te ardhurat, shpenzimet dhe deficitt/suficiti - Plan vs Fakt 2016 (ne million LEK)</w:t>
      </w:r>
    </w:p>
    <w:p w:rsidR="00756AEE" w:rsidRPr="00756AEE" w:rsidRDefault="00756AEE" w:rsidP="00756AEE">
      <w:pPr>
        <w:spacing w:line="276" w:lineRule="auto"/>
        <w:jc w:val="center"/>
        <w:rPr>
          <w:i/>
          <w:lang w:val="sq-AL"/>
        </w:rPr>
      </w:pPr>
      <w:r w:rsidRPr="00756AEE">
        <w:rPr>
          <w:i/>
          <w:noProof/>
          <w:lang w:val="sq-AL" w:eastAsia="sq-AL"/>
        </w:rPr>
        <w:drawing>
          <wp:inline distT="0" distB="0" distL="0" distR="0" wp14:anchorId="25D2E2E9" wp14:editId="2657B86C">
            <wp:extent cx="4743450" cy="2476500"/>
            <wp:effectExtent l="171450" t="171450" r="381000" b="3619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43450" cy="2476500"/>
                    </a:xfrm>
                    <a:prstGeom prst="rect">
                      <a:avLst/>
                    </a:prstGeom>
                    <a:ln>
                      <a:noFill/>
                    </a:ln>
                    <a:effectLst>
                      <a:outerShdw blurRad="292100" dist="139700" dir="2700000" algn="tl" rotWithShape="0">
                        <a:srgbClr val="333333">
                          <a:alpha val="65000"/>
                        </a:srgbClr>
                      </a:outerShdw>
                    </a:effectLst>
                  </pic:spPr>
                </pic:pic>
              </a:graphicData>
            </a:graphic>
          </wp:inline>
        </w:drawing>
      </w:r>
    </w:p>
    <w:p w:rsidR="00756AEE" w:rsidRPr="00756AEE" w:rsidRDefault="00756AEE" w:rsidP="00756AEE">
      <w:pPr>
        <w:ind w:firstLine="720"/>
        <w:rPr>
          <w:rFonts w:eastAsia="Times New Roman"/>
          <w:lang w:val="sq-AL"/>
        </w:rPr>
      </w:pPr>
      <w:r w:rsidRPr="00756AEE">
        <w:rPr>
          <w:i/>
          <w:sz w:val="20"/>
          <w:lang w:val="sq-AL"/>
        </w:rPr>
        <w:lastRenderedPageBreak/>
        <w:t>Burimi: Ministria e Financ</w:t>
      </w:r>
      <w:r>
        <w:rPr>
          <w:i/>
          <w:sz w:val="20"/>
          <w:lang w:val="sq-AL"/>
        </w:rPr>
        <w:t>ave</w:t>
      </w:r>
      <w:r w:rsidRPr="00756AEE">
        <w:rPr>
          <w:i/>
          <w:sz w:val="20"/>
          <w:lang w:val="sq-AL"/>
        </w:rPr>
        <w:t xml:space="preserve"> (2016)</w:t>
      </w:r>
    </w:p>
    <w:p w:rsidR="002101A3" w:rsidRPr="00D73F43" w:rsidRDefault="002101A3" w:rsidP="00756AEE">
      <w:pPr>
        <w:spacing w:line="276" w:lineRule="auto"/>
        <w:jc w:val="both"/>
        <w:rPr>
          <w:b/>
          <w:i/>
          <w:iCs/>
          <w:caps/>
          <w:sz w:val="26"/>
          <w:szCs w:val="26"/>
          <w:lang w:val="sq-AL"/>
        </w:rPr>
      </w:pPr>
    </w:p>
    <w:p w:rsidR="00B0121D" w:rsidRPr="00D73F43" w:rsidRDefault="00B0121D" w:rsidP="00534AA6">
      <w:pPr>
        <w:numPr>
          <w:ilvl w:val="0"/>
          <w:numId w:val="23"/>
        </w:numPr>
        <w:spacing w:line="276" w:lineRule="auto"/>
        <w:jc w:val="both"/>
        <w:rPr>
          <w:b/>
          <w:iCs/>
          <w:caps/>
          <w:sz w:val="26"/>
          <w:szCs w:val="26"/>
          <w:lang w:val="sq-AL"/>
        </w:rPr>
      </w:pPr>
      <w:r w:rsidRPr="00D73F43">
        <w:rPr>
          <w:b/>
          <w:iCs/>
          <w:caps/>
          <w:sz w:val="26"/>
          <w:szCs w:val="26"/>
          <w:lang w:val="sq-AL"/>
        </w:rPr>
        <w:t>BUXHETI vendor</w:t>
      </w:r>
    </w:p>
    <w:p w:rsidR="00B0121D" w:rsidRPr="00D73F43" w:rsidRDefault="00B0121D" w:rsidP="00756AEE">
      <w:pPr>
        <w:spacing w:line="276" w:lineRule="auto"/>
        <w:ind w:left="90"/>
        <w:jc w:val="both"/>
        <w:rPr>
          <w:lang w:val="sq-AL"/>
        </w:rPr>
      </w:pPr>
    </w:p>
    <w:p w:rsidR="00756AEE" w:rsidRDefault="00B0121D" w:rsidP="00756AEE">
      <w:pPr>
        <w:tabs>
          <w:tab w:val="left" w:pos="4962"/>
        </w:tabs>
        <w:spacing w:line="276" w:lineRule="auto"/>
        <w:ind w:left="90"/>
        <w:jc w:val="both"/>
        <w:rPr>
          <w:lang w:val="sq-AL"/>
        </w:rPr>
      </w:pPr>
      <w:r w:rsidRPr="00D73F43">
        <w:rPr>
          <w:b/>
          <w:lang w:val="sq-AL"/>
        </w:rPr>
        <w:t>Të ardhurat totale</w:t>
      </w:r>
      <w:r w:rsidRPr="00D73F43">
        <w:rPr>
          <w:lang w:val="sq-AL"/>
        </w:rPr>
        <w:t xml:space="preserve"> të pushtetit vendor për 9-mujorin e vitit 2016 janë realizuar në rreth 10.6 miliardë lekë duke shënuar një rritje me 1.2 miliardë lekë ose 13% krahasuar me 9-mujorin e vitit 2015. Performanca në rritje e të ardhurave është një ndër aspektet bazë që reflekton ndikimin pozitiv të ndarjes së re administrative në rritjen e eficencës së mbledhjes së të ardhurave dhe kontrollit.</w:t>
      </w:r>
    </w:p>
    <w:p w:rsidR="00756AEE" w:rsidRDefault="00756AEE" w:rsidP="00756AEE">
      <w:pPr>
        <w:tabs>
          <w:tab w:val="left" w:pos="4962"/>
        </w:tabs>
        <w:spacing w:line="276" w:lineRule="auto"/>
        <w:ind w:left="90"/>
        <w:jc w:val="both"/>
        <w:rPr>
          <w:lang w:val="sq-AL"/>
        </w:rPr>
      </w:pPr>
    </w:p>
    <w:p w:rsidR="00B0121D" w:rsidRPr="00D73F43" w:rsidRDefault="00B0121D" w:rsidP="00B0121D">
      <w:pPr>
        <w:tabs>
          <w:tab w:val="left" w:pos="4962"/>
        </w:tabs>
        <w:spacing w:line="276" w:lineRule="auto"/>
        <w:ind w:left="90"/>
        <w:jc w:val="center"/>
        <w:rPr>
          <w:lang w:val="sq-AL"/>
        </w:rPr>
      </w:pPr>
      <w:r w:rsidRPr="00D73F43">
        <w:rPr>
          <w:b/>
          <w:lang w:val="sq-AL"/>
        </w:rPr>
        <w:t>Grafiku</w:t>
      </w:r>
      <w:r w:rsidR="00596ACC">
        <w:rPr>
          <w:b/>
          <w:lang w:val="sq-AL"/>
        </w:rPr>
        <w:t xml:space="preserve"> 29</w:t>
      </w:r>
      <w:r w:rsidRPr="00D73F43">
        <w:rPr>
          <w:b/>
          <w:lang w:val="sq-AL"/>
        </w:rPr>
        <w:t>:</w:t>
      </w:r>
      <w:r w:rsidRPr="00D73F43">
        <w:rPr>
          <w:lang w:val="sq-AL"/>
        </w:rPr>
        <w:t xml:space="preserve"> Të ardhurat totale nga Pushteti Vendor</w:t>
      </w:r>
    </w:p>
    <w:p w:rsidR="00B0121D" w:rsidRPr="00D73F43" w:rsidRDefault="00B0121D" w:rsidP="00B0121D">
      <w:pPr>
        <w:spacing w:line="276" w:lineRule="auto"/>
        <w:ind w:left="90"/>
        <w:jc w:val="center"/>
        <w:rPr>
          <w:noProof/>
          <w:lang w:val="sq-AL" w:eastAsia="sq-AL"/>
        </w:rPr>
      </w:pPr>
      <w:r w:rsidRPr="00D73F43">
        <w:rPr>
          <w:noProof/>
          <w:lang w:val="sq-AL" w:eastAsia="sq-AL"/>
        </w:rPr>
        <w:drawing>
          <wp:inline distT="0" distB="0" distL="0" distR="0" wp14:anchorId="2009AC6D" wp14:editId="2E289D0D">
            <wp:extent cx="5675630" cy="2510790"/>
            <wp:effectExtent l="0" t="0" r="1270" b="381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0121D" w:rsidRPr="00D73F43" w:rsidRDefault="00B0121D" w:rsidP="00B0121D">
      <w:pPr>
        <w:spacing w:line="276" w:lineRule="auto"/>
        <w:ind w:left="90"/>
        <w:jc w:val="center"/>
        <w:rPr>
          <w:b/>
          <w:sz w:val="20"/>
          <w:lang w:val="sq-AL"/>
        </w:rPr>
      </w:pPr>
      <w:r w:rsidRPr="00D73F43">
        <w:rPr>
          <w:b/>
          <w:i/>
          <w:sz w:val="20"/>
          <w:lang w:val="sq-AL"/>
        </w:rPr>
        <w:t>Burimi:</w:t>
      </w:r>
      <w:r w:rsidRPr="00D73F43">
        <w:rPr>
          <w:i/>
          <w:sz w:val="20"/>
          <w:lang w:val="sq-AL"/>
        </w:rPr>
        <w:t xml:space="preserve"> Ministria e Financave, Drejtoria e Financave Vendore (2016);</w:t>
      </w:r>
    </w:p>
    <w:p w:rsidR="00B0121D" w:rsidRPr="00D73F43" w:rsidRDefault="00B0121D" w:rsidP="00B0121D">
      <w:pPr>
        <w:spacing w:line="276" w:lineRule="auto"/>
        <w:ind w:left="90"/>
        <w:jc w:val="both"/>
        <w:rPr>
          <w:b/>
          <w:lang w:val="sq-AL"/>
        </w:rPr>
      </w:pPr>
    </w:p>
    <w:p w:rsidR="00D71C7A" w:rsidRPr="00756AEE" w:rsidRDefault="00B0121D" w:rsidP="00756AEE">
      <w:pPr>
        <w:spacing w:line="276" w:lineRule="auto"/>
        <w:ind w:left="90"/>
        <w:jc w:val="both"/>
        <w:rPr>
          <w:lang w:val="sq-AL"/>
        </w:rPr>
      </w:pPr>
      <w:r w:rsidRPr="00D73F43">
        <w:rPr>
          <w:b/>
          <w:lang w:val="sq-AL"/>
        </w:rPr>
        <w:t xml:space="preserve">Të ardhurat nga taksa mbi pasurinë </w:t>
      </w:r>
      <w:r w:rsidRPr="00D73F43">
        <w:rPr>
          <w:lang w:val="sq-AL"/>
        </w:rPr>
        <w:t>përbëjnë</w:t>
      </w:r>
      <w:r w:rsidRPr="00D73F43">
        <w:rPr>
          <w:b/>
          <w:lang w:val="sq-AL"/>
        </w:rPr>
        <w:t xml:space="preserve"> </w:t>
      </w:r>
      <w:r w:rsidRPr="00D73F43">
        <w:rPr>
          <w:lang w:val="sq-AL"/>
        </w:rPr>
        <w:t>një pjesë të konsiderueshme të të ardhurave të pushtetit vendor. Për 9- mujorin 2016 kjo taksë është mbledhur në vlerën rreth 4.4 miliardë lekë, ose rreth 1.2 miliardë lekë më shumë se 9 -mujori 2015</w:t>
      </w:r>
      <w:r w:rsidR="00890180">
        <w:rPr>
          <w:lang w:val="sq-AL"/>
        </w:rPr>
        <w:t xml:space="preserve">. </w:t>
      </w:r>
      <w:r w:rsidRPr="00D73F43">
        <w:rPr>
          <w:lang w:val="sq-AL"/>
        </w:rPr>
        <w:t>Parë në këndvështrimin e eficencës, mbledhja e kësaj takse është përmirësuar me 40% në raport me një vit më parë.</w:t>
      </w:r>
    </w:p>
    <w:p w:rsidR="00D71C7A" w:rsidRPr="00D73F43" w:rsidRDefault="00D71C7A" w:rsidP="00596ACC">
      <w:pPr>
        <w:spacing w:line="276" w:lineRule="auto"/>
        <w:rPr>
          <w:b/>
          <w:lang w:val="sq-AL"/>
        </w:rPr>
      </w:pPr>
    </w:p>
    <w:p w:rsidR="00B0121D" w:rsidRPr="00D73F43" w:rsidRDefault="00B0121D" w:rsidP="00B0121D">
      <w:pPr>
        <w:spacing w:line="276" w:lineRule="auto"/>
        <w:ind w:left="90"/>
        <w:jc w:val="center"/>
        <w:rPr>
          <w:lang w:val="sq-AL"/>
        </w:rPr>
      </w:pPr>
      <w:r w:rsidRPr="00D73F43">
        <w:rPr>
          <w:b/>
          <w:lang w:val="sq-AL"/>
        </w:rPr>
        <w:t>Grafiku</w:t>
      </w:r>
      <w:r w:rsidR="00596ACC">
        <w:rPr>
          <w:b/>
          <w:lang w:val="sq-AL"/>
        </w:rPr>
        <w:t xml:space="preserve"> 30</w:t>
      </w:r>
      <w:r w:rsidRPr="00D73F43">
        <w:rPr>
          <w:b/>
          <w:lang w:val="sq-AL"/>
        </w:rPr>
        <w:t>:</w:t>
      </w:r>
      <w:r w:rsidRPr="00D73F43">
        <w:rPr>
          <w:lang w:val="sq-AL"/>
        </w:rPr>
        <w:t xml:space="preserve"> Të ardhurat nga taksa mbi pasurinë</w:t>
      </w:r>
    </w:p>
    <w:p w:rsidR="00B0121D" w:rsidRPr="00D73F43" w:rsidRDefault="00B0121D" w:rsidP="00B0121D">
      <w:pPr>
        <w:spacing w:line="276" w:lineRule="auto"/>
        <w:ind w:left="90"/>
        <w:jc w:val="center"/>
        <w:rPr>
          <w:noProof/>
          <w:lang w:val="sq-AL" w:eastAsia="sq-AL"/>
        </w:rPr>
      </w:pPr>
      <w:r w:rsidRPr="00D73F43">
        <w:rPr>
          <w:noProof/>
          <w:lang w:val="sq-AL" w:eastAsia="sq-AL"/>
        </w:rPr>
        <w:drawing>
          <wp:inline distT="0" distB="0" distL="0" distR="0" wp14:anchorId="671DD230" wp14:editId="7E156CCD">
            <wp:extent cx="5728335" cy="2737485"/>
            <wp:effectExtent l="0" t="0" r="5715" b="571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0121D" w:rsidRPr="00D73F43" w:rsidRDefault="00B0121D" w:rsidP="00B0121D">
      <w:pPr>
        <w:spacing w:line="276" w:lineRule="auto"/>
        <w:ind w:left="90"/>
        <w:jc w:val="center"/>
        <w:rPr>
          <w:b/>
          <w:sz w:val="20"/>
          <w:lang w:val="sq-AL"/>
        </w:rPr>
      </w:pPr>
      <w:r w:rsidRPr="00D73F43">
        <w:rPr>
          <w:b/>
          <w:i/>
          <w:sz w:val="20"/>
          <w:lang w:val="sq-AL"/>
        </w:rPr>
        <w:t>Burimi:</w:t>
      </w:r>
      <w:r w:rsidRPr="00D73F43">
        <w:rPr>
          <w:i/>
          <w:sz w:val="20"/>
          <w:lang w:val="sq-AL"/>
        </w:rPr>
        <w:t xml:space="preserve"> Ministria e Financave, Drejtoria e Financave Vendore (2016);</w:t>
      </w:r>
    </w:p>
    <w:p w:rsidR="00B0121D" w:rsidRPr="00D73F43" w:rsidRDefault="00B0121D" w:rsidP="00B0121D">
      <w:pPr>
        <w:spacing w:line="276" w:lineRule="auto"/>
        <w:ind w:left="90"/>
        <w:jc w:val="both"/>
        <w:rPr>
          <w:b/>
          <w:lang w:val="sq-AL"/>
        </w:rPr>
      </w:pPr>
    </w:p>
    <w:p w:rsidR="00B0121D" w:rsidRPr="00D73F43" w:rsidRDefault="00B0121D" w:rsidP="00B0121D">
      <w:pPr>
        <w:spacing w:line="276" w:lineRule="auto"/>
        <w:ind w:left="90"/>
        <w:jc w:val="both"/>
        <w:rPr>
          <w:lang w:val="sq-AL"/>
        </w:rPr>
      </w:pPr>
      <w:r w:rsidRPr="00D73F43">
        <w:rPr>
          <w:b/>
          <w:lang w:val="sq-AL"/>
        </w:rPr>
        <w:lastRenderedPageBreak/>
        <w:t xml:space="preserve">Të ardhurat nga taksa mbi biznesin e vogël, </w:t>
      </w:r>
      <w:r w:rsidRPr="00D73F43">
        <w:rPr>
          <w:lang w:val="sq-AL"/>
        </w:rPr>
        <w:t>për 9- mujorin- janë realizuar në masën 565 milionë lekë, me një diferencë prej afërsisht 1.1 miliardë lekë krahasuar me të njëjtën periudhë të një viti më parë. Kjo diferencë vjen si rezultat i ndryshimeve të prezantuara në fundin e vitit 2015,</w:t>
      </w:r>
      <w:r w:rsidR="00890180">
        <w:rPr>
          <w:lang w:val="sq-AL"/>
        </w:rPr>
        <w:t xml:space="preserve"> </w:t>
      </w:r>
      <w:r w:rsidRPr="00D73F43">
        <w:rPr>
          <w:lang w:val="sq-AL"/>
        </w:rPr>
        <w:t>ku subjektet me një xhiro nga 0-5 milionë lekë janë përjashtuar nga detyrimi tatimor ndërsa ato me xhiro 5-8 milionë kanë përfituar një reduktim me 2.5% të detyrimit, ndryshime të cilat kanë ndikuar pozitivisht në përmirësimin e klimës së biznesit. Këto u shoqëruan me ndryshime të tjera ligjore për kompensimin e këtyre të ardhurave për pushtetin vendor.</w:t>
      </w:r>
    </w:p>
    <w:p w:rsidR="00B0121D" w:rsidRPr="00D73F43" w:rsidRDefault="00B0121D" w:rsidP="00B0121D">
      <w:pPr>
        <w:spacing w:line="276" w:lineRule="auto"/>
        <w:ind w:left="90"/>
        <w:jc w:val="both"/>
        <w:rPr>
          <w:b/>
          <w:lang w:val="sq-AL"/>
        </w:rPr>
      </w:pPr>
    </w:p>
    <w:p w:rsidR="00B0121D" w:rsidRPr="00D73F43" w:rsidRDefault="00B0121D" w:rsidP="00B0121D">
      <w:pPr>
        <w:spacing w:line="276" w:lineRule="auto"/>
        <w:ind w:left="90"/>
        <w:jc w:val="center"/>
        <w:rPr>
          <w:lang w:val="sq-AL"/>
        </w:rPr>
      </w:pPr>
      <w:r w:rsidRPr="00D73F43">
        <w:rPr>
          <w:b/>
          <w:lang w:val="sq-AL"/>
        </w:rPr>
        <w:t>Grafiku</w:t>
      </w:r>
      <w:r w:rsidR="00596ACC">
        <w:rPr>
          <w:b/>
          <w:lang w:val="sq-AL"/>
        </w:rPr>
        <w:t xml:space="preserve"> 31</w:t>
      </w:r>
      <w:r w:rsidRPr="00D73F43">
        <w:rPr>
          <w:b/>
          <w:lang w:val="sq-AL"/>
        </w:rPr>
        <w:t>:</w:t>
      </w:r>
      <w:r w:rsidRPr="00D73F43">
        <w:rPr>
          <w:lang w:val="sq-AL"/>
        </w:rPr>
        <w:t xml:space="preserve"> Të ardhurat nga taksa mbi Biznesin e Vogël</w:t>
      </w:r>
    </w:p>
    <w:p w:rsidR="00B0121D" w:rsidRPr="00D73F43" w:rsidRDefault="00B0121D" w:rsidP="00B0121D">
      <w:pPr>
        <w:spacing w:line="276" w:lineRule="auto"/>
        <w:ind w:left="90"/>
        <w:jc w:val="center"/>
        <w:rPr>
          <w:noProof/>
          <w:lang w:val="sq-AL" w:eastAsia="sq-AL"/>
        </w:rPr>
      </w:pPr>
      <w:r w:rsidRPr="00D73F43">
        <w:rPr>
          <w:noProof/>
          <w:lang w:val="sq-AL" w:eastAsia="sq-AL"/>
        </w:rPr>
        <w:drawing>
          <wp:inline distT="0" distB="0" distL="0" distR="0" wp14:anchorId="16FBEDDC" wp14:editId="59E0CE49">
            <wp:extent cx="5674360" cy="2486025"/>
            <wp:effectExtent l="0" t="0" r="2540" b="9525"/>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0121D" w:rsidRPr="00D73F43" w:rsidRDefault="00B0121D" w:rsidP="00B0121D">
      <w:pPr>
        <w:spacing w:line="276" w:lineRule="auto"/>
        <w:ind w:left="90"/>
        <w:jc w:val="center"/>
        <w:rPr>
          <w:b/>
          <w:sz w:val="20"/>
          <w:lang w:val="sq-AL"/>
        </w:rPr>
      </w:pPr>
      <w:r w:rsidRPr="00D73F43">
        <w:rPr>
          <w:b/>
          <w:i/>
          <w:sz w:val="20"/>
          <w:lang w:val="sq-AL"/>
        </w:rPr>
        <w:t>Burimi:</w:t>
      </w:r>
      <w:r w:rsidRPr="00D73F43">
        <w:rPr>
          <w:i/>
          <w:sz w:val="20"/>
          <w:lang w:val="sq-AL"/>
        </w:rPr>
        <w:t xml:space="preserve"> Ministria e Financave, Drejtoria e Financave Vendore (2016);</w:t>
      </w:r>
    </w:p>
    <w:p w:rsidR="00B0121D" w:rsidRPr="00D73F43" w:rsidRDefault="00B0121D" w:rsidP="00B0121D">
      <w:pPr>
        <w:spacing w:line="276" w:lineRule="auto"/>
        <w:ind w:left="90"/>
        <w:jc w:val="both"/>
        <w:rPr>
          <w:lang w:val="sq-AL"/>
        </w:rPr>
      </w:pPr>
      <w:r w:rsidRPr="00D73F43">
        <w:rPr>
          <w:b/>
          <w:lang w:val="sq-AL"/>
        </w:rPr>
        <w:t xml:space="preserve">Të ardhurat nga taksat lokale </w:t>
      </w:r>
      <w:r w:rsidRPr="00D73F43">
        <w:rPr>
          <w:lang w:val="sq-AL"/>
        </w:rPr>
        <w:t>rezultojnë me një rritje të konsiderueshme krahasuar me një vit më parë. Mbështetur në raportet e Sistemit Informatik Financiar të Qeverisë dhe sikurse tregohet në grafikun e mëposhtëm,  për 9-mujorin 2016 kjo taksë është mbledhur në shumën rreth 5.7 miliardë lekë, ose rreth 1.1 miliardë lekë më shumë se e njëjta periudhë e një vitit më parë. Rritja e kapaciteteve të krijuara nga njësitë e reja dhe kontrolli më i mirë i shtrirjes territoriale ka rritur mbledhshmërinë e këtyre taksave duke ndikuar pozitivisht në qëndrueshmërinë financiare të njësive të vetëqeverisjes vendore.</w:t>
      </w:r>
    </w:p>
    <w:p w:rsidR="00B0121D" w:rsidRPr="00D73F43" w:rsidRDefault="00B0121D" w:rsidP="00B0121D">
      <w:pPr>
        <w:spacing w:line="276" w:lineRule="auto"/>
        <w:ind w:left="450"/>
        <w:jc w:val="both"/>
        <w:rPr>
          <w:b/>
          <w:lang w:val="sq-AL"/>
        </w:rPr>
      </w:pPr>
    </w:p>
    <w:p w:rsidR="00B0121D" w:rsidRPr="00D73F43" w:rsidRDefault="00B0121D" w:rsidP="00B0121D">
      <w:pPr>
        <w:spacing w:line="276" w:lineRule="auto"/>
        <w:ind w:left="450"/>
        <w:jc w:val="center"/>
        <w:rPr>
          <w:lang w:val="sq-AL"/>
        </w:rPr>
      </w:pPr>
      <w:r w:rsidRPr="00D73F43">
        <w:rPr>
          <w:b/>
          <w:lang w:val="sq-AL"/>
        </w:rPr>
        <w:t>Grafiku</w:t>
      </w:r>
      <w:r w:rsidR="00596ACC">
        <w:rPr>
          <w:b/>
          <w:lang w:val="sq-AL"/>
        </w:rPr>
        <w:t xml:space="preserve"> 32</w:t>
      </w:r>
      <w:r w:rsidRPr="00D73F43">
        <w:rPr>
          <w:b/>
          <w:lang w:val="sq-AL"/>
        </w:rPr>
        <w:t>:</w:t>
      </w:r>
      <w:r w:rsidRPr="00D73F43">
        <w:rPr>
          <w:lang w:val="sq-AL"/>
        </w:rPr>
        <w:t xml:space="preserve"> Të ardhurat nga Taksa Lokale</w:t>
      </w:r>
    </w:p>
    <w:p w:rsidR="00B0121D" w:rsidRPr="00D73F43" w:rsidRDefault="00B0121D" w:rsidP="00B0121D">
      <w:pPr>
        <w:spacing w:line="276" w:lineRule="auto"/>
        <w:ind w:left="90"/>
        <w:jc w:val="center"/>
        <w:rPr>
          <w:b/>
          <w:lang w:val="sq-AL"/>
        </w:rPr>
      </w:pPr>
      <w:r w:rsidRPr="00D73F43">
        <w:rPr>
          <w:noProof/>
          <w:lang w:val="sq-AL" w:eastAsia="sq-AL"/>
        </w:rPr>
        <w:drawing>
          <wp:inline distT="0" distB="0" distL="0" distR="0" wp14:anchorId="2056BDA8" wp14:editId="3AB6A887">
            <wp:extent cx="5589270" cy="2541270"/>
            <wp:effectExtent l="0" t="0" r="11430" b="1143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0121D" w:rsidRPr="00D73F43" w:rsidRDefault="00B0121D" w:rsidP="00B0121D">
      <w:pPr>
        <w:spacing w:line="276" w:lineRule="auto"/>
        <w:ind w:left="450"/>
        <w:jc w:val="center"/>
        <w:rPr>
          <w:b/>
          <w:sz w:val="20"/>
          <w:lang w:val="sq-AL"/>
        </w:rPr>
      </w:pPr>
      <w:r w:rsidRPr="00D73F43">
        <w:rPr>
          <w:b/>
          <w:i/>
          <w:sz w:val="20"/>
          <w:lang w:val="sq-AL"/>
        </w:rPr>
        <w:t>Burimi:</w:t>
      </w:r>
      <w:r w:rsidRPr="00D73F43">
        <w:rPr>
          <w:i/>
          <w:sz w:val="20"/>
          <w:lang w:val="sq-AL"/>
        </w:rPr>
        <w:t xml:space="preserve"> Ministria e Financave, Drejtoria e Financave Vendore (2016);</w:t>
      </w:r>
    </w:p>
    <w:p w:rsidR="00B0121D" w:rsidRPr="00D73F43" w:rsidRDefault="00B0121D" w:rsidP="00B0121D">
      <w:pPr>
        <w:spacing w:line="276" w:lineRule="auto"/>
        <w:ind w:left="90"/>
        <w:jc w:val="both"/>
        <w:rPr>
          <w:b/>
          <w:lang w:val="sq-AL"/>
        </w:rPr>
      </w:pPr>
    </w:p>
    <w:p w:rsidR="00B0121D" w:rsidRPr="00D73F43" w:rsidRDefault="00B0121D" w:rsidP="00B0121D">
      <w:pPr>
        <w:spacing w:line="276" w:lineRule="auto"/>
        <w:ind w:left="90"/>
        <w:jc w:val="both"/>
        <w:rPr>
          <w:lang w:val="sq-AL"/>
        </w:rPr>
      </w:pPr>
      <w:r w:rsidRPr="00D73F43">
        <w:rPr>
          <w:b/>
          <w:lang w:val="sq-AL"/>
        </w:rPr>
        <w:lastRenderedPageBreak/>
        <w:t xml:space="preserve">Shpenzimet e Pushtetit Vendor </w:t>
      </w:r>
      <w:r w:rsidRPr="00D73F43">
        <w:rPr>
          <w:lang w:val="sq-AL"/>
        </w:rPr>
        <w:t xml:space="preserve">për 9-mujorin 2016 arritën në 26.1 miliardë lekë  me një rritje prej afërsisht 3 miliardë lekë më shumë se e njëjta periudhë e një viti më parë. </w:t>
      </w:r>
    </w:p>
    <w:p w:rsidR="00B0121D" w:rsidRPr="00D73F43" w:rsidRDefault="00B0121D" w:rsidP="00756AEE">
      <w:pPr>
        <w:spacing w:line="276" w:lineRule="auto"/>
        <w:ind w:left="90"/>
        <w:jc w:val="both"/>
        <w:rPr>
          <w:b/>
          <w:lang w:val="sq-AL"/>
        </w:rPr>
      </w:pPr>
      <w:r w:rsidRPr="00D73F43">
        <w:rPr>
          <w:lang w:val="sq-AL"/>
        </w:rPr>
        <w:t xml:space="preserve">Nëse shpenzimet e vitit 2016 do t’i zhvishnim nga efekti financiar që ka shkaktuar transferimi i funksioneve me një efekt prej afërsisht 6 miliardë lekë, shpenzimet për 9 -mujorin e vitit 2016 do të jenë krahasimisht më të ulëta se ato të vitit 2015, duke shprehur në terma financiarë, efektet pozitive të Reformës administrative-territoriale mes të njëjtave periudha në dy vitet e fundit. </w:t>
      </w:r>
    </w:p>
    <w:p w:rsidR="00B0121D" w:rsidRPr="00D73F43" w:rsidRDefault="00B0121D" w:rsidP="00B0121D">
      <w:pPr>
        <w:spacing w:line="276" w:lineRule="auto"/>
        <w:ind w:left="90"/>
        <w:jc w:val="both"/>
        <w:rPr>
          <w:b/>
          <w:lang w:val="sq-AL"/>
        </w:rPr>
      </w:pPr>
    </w:p>
    <w:p w:rsidR="00B0121D" w:rsidRPr="00D73F43" w:rsidRDefault="00B0121D" w:rsidP="00B0121D">
      <w:pPr>
        <w:spacing w:line="276" w:lineRule="auto"/>
        <w:ind w:left="90"/>
        <w:jc w:val="center"/>
        <w:rPr>
          <w:lang w:val="sq-AL"/>
        </w:rPr>
      </w:pPr>
      <w:r w:rsidRPr="00D73F43">
        <w:rPr>
          <w:b/>
          <w:lang w:val="sq-AL"/>
        </w:rPr>
        <w:t>Grafiku</w:t>
      </w:r>
      <w:r w:rsidR="00596ACC">
        <w:rPr>
          <w:b/>
          <w:lang w:val="sq-AL"/>
        </w:rPr>
        <w:t xml:space="preserve"> 33</w:t>
      </w:r>
      <w:r w:rsidRPr="00D73F43">
        <w:rPr>
          <w:b/>
          <w:lang w:val="sq-AL"/>
        </w:rPr>
        <w:t>:</w:t>
      </w:r>
      <w:r w:rsidRPr="00D73F43">
        <w:rPr>
          <w:lang w:val="sq-AL"/>
        </w:rPr>
        <w:t xml:space="preserve"> Shpenzimet për pushtetin </w:t>
      </w:r>
      <w:r w:rsidR="00756AEE">
        <w:rPr>
          <w:lang w:val="sq-AL"/>
        </w:rPr>
        <w:t>vendor</w:t>
      </w:r>
      <w:r w:rsidRPr="00D73F43">
        <w:rPr>
          <w:lang w:val="sq-AL"/>
        </w:rPr>
        <w:t xml:space="preserve"> dhe ritmi i rritjes së tyre</w:t>
      </w:r>
    </w:p>
    <w:p w:rsidR="00B0121D" w:rsidRPr="00D73F43" w:rsidRDefault="00B0121D" w:rsidP="00B0121D">
      <w:pPr>
        <w:spacing w:line="276" w:lineRule="auto"/>
        <w:ind w:left="90"/>
        <w:jc w:val="center"/>
        <w:rPr>
          <w:lang w:val="sq-AL"/>
        </w:rPr>
      </w:pPr>
      <w:r w:rsidRPr="00D73F43">
        <w:rPr>
          <w:noProof/>
          <w:lang w:val="sq-AL" w:eastAsia="sq-AL"/>
        </w:rPr>
        <w:drawing>
          <wp:inline distT="0" distB="0" distL="0" distR="0" wp14:anchorId="0C6C1C5C" wp14:editId="2A88BCAE">
            <wp:extent cx="5671820" cy="2758440"/>
            <wp:effectExtent l="0" t="0" r="5080" b="381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0121D" w:rsidRPr="00D73F43" w:rsidRDefault="00B0121D" w:rsidP="00B0121D">
      <w:pPr>
        <w:spacing w:line="276" w:lineRule="auto"/>
        <w:ind w:left="450"/>
        <w:jc w:val="center"/>
        <w:rPr>
          <w:b/>
          <w:lang w:val="sq-AL"/>
        </w:rPr>
      </w:pPr>
      <w:r w:rsidRPr="00D73F43">
        <w:rPr>
          <w:b/>
          <w:i/>
          <w:sz w:val="22"/>
          <w:lang w:val="sq-AL"/>
        </w:rPr>
        <w:t>Burimi:</w:t>
      </w:r>
      <w:r w:rsidRPr="00D73F43">
        <w:rPr>
          <w:i/>
          <w:sz w:val="22"/>
          <w:lang w:val="sq-AL"/>
        </w:rPr>
        <w:t xml:space="preserve"> Ministria e Financave, Drejtoria e Financave Vendore (2016);</w:t>
      </w:r>
    </w:p>
    <w:p w:rsidR="00B0121D" w:rsidRPr="00D73F43" w:rsidRDefault="00B0121D" w:rsidP="00B0121D">
      <w:pPr>
        <w:spacing w:line="276" w:lineRule="auto"/>
        <w:ind w:left="90"/>
        <w:jc w:val="both"/>
        <w:rPr>
          <w:lang w:val="sq-AL"/>
        </w:rPr>
      </w:pPr>
    </w:p>
    <w:p w:rsidR="00B0121D" w:rsidRPr="00D73F43" w:rsidRDefault="00B0121D" w:rsidP="00B0121D">
      <w:pPr>
        <w:spacing w:line="276" w:lineRule="auto"/>
        <w:ind w:left="90"/>
        <w:jc w:val="both"/>
        <w:rPr>
          <w:lang w:val="sq-AL"/>
        </w:rPr>
      </w:pPr>
      <w:r w:rsidRPr="00D73F43">
        <w:rPr>
          <w:lang w:val="sq-AL"/>
        </w:rPr>
        <w:t xml:space="preserve">Edhe në kushtet e krahasimit të shpenzimeve në nivel artikulli, vihet re që shpenzimet e pagave dhe sigurimeve tejkalojnë shpenzimet e vitit 2015, sepse brenda tyre përfshihen edhe fondet e transfertës specifike në afërsisht 6 miliardë lekë për financimin e 7 funksioneve të reja të transferuara, të cilat  vetëm për pagat dhe Sigurimet shoqërore kanë një efekt prej 4.3 miliardë lekë. Pra nësë e korrektojmë këtë faktor në krahasimin midis të njëjtës periudhë të dy viteve, rezulton që për pagat dhe sigurimet shoqërore kemi një kursim prej 850 milionë lekë për 9- mujorin  </w:t>
      </w:r>
    </w:p>
    <w:p w:rsidR="00B0121D" w:rsidRDefault="00B0121D" w:rsidP="00756AEE">
      <w:pPr>
        <w:spacing w:line="276" w:lineRule="auto"/>
        <w:ind w:left="90"/>
        <w:jc w:val="both"/>
        <w:rPr>
          <w:lang w:val="sq-AL"/>
        </w:rPr>
      </w:pPr>
      <w:r w:rsidRPr="00D73F43">
        <w:rPr>
          <w:lang w:val="sq-AL"/>
        </w:rPr>
        <w:t>Nga analiza rezulton se shpenzimet e vitit 2016 janë më të vogla krahasuar më një vit më parë në të gjithë artikujt e shpenzimeve buxhetore. Në kuadrin e strategjisë ndërsektoriale për decentralizimin dhe qeverisjen vendore shpenzimet e pushtetit vendore do të kornizohen brenda një sistemi efikas të ndërtimi</w:t>
      </w:r>
      <w:r w:rsidR="00756AEE">
        <w:rPr>
          <w:lang w:val="sq-AL"/>
        </w:rPr>
        <w:t>t të projekt-buxhetit afatmesëm.</w:t>
      </w:r>
    </w:p>
    <w:p w:rsidR="00596ACC" w:rsidRDefault="00596ACC" w:rsidP="00756AEE">
      <w:pPr>
        <w:spacing w:line="276" w:lineRule="auto"/>
        <w:ind w:left="90"/>
        <w:jc w:val="both"/>
        <w:rPr>
          <w:lang w:val="sq-AL"/>
        </w:rPr>
      </w:pPr>
    </w:p>
    <w:p w:rsidR="00596ACC" w:rsidRDefault="00596ACC" w:rsidP="00756AEE">
      <w:pPr>
        <w:spacing w:line="276" w:lineRule="auto"/>
        <w:ind w:left="90"/>
        <w:jc w:val="both"/>
        <w:rPr>
          <w:lang w:val="sq-AL"/>
        </w:rPr>
      </w:pPr>
    </w:p>
    <w:p w:rsidR="00596ACC" w:rsidRDefault="00596ACC" w:rsidP="00756AEE">
      <w:pPr>
        <w:spacing w:line="276" w:lineRule="auto"/>
        <w:ind w:left="90"/>
        <w:jc w:val="both"/>
        <w:rPr>
          <w:lang w:val="sq-AL"/>
        </w:rPr>
      </w:pPr>
    </w:p>
    <w:p w:rsidR="00596ACC" w:rsidRDefault="00596ACC" w:rsidP="00756AEE">
      <w:pPr>
        <w:spacing w:line="276" w:lineRule="auto"/>
        <w:ind w:left="90"/>
        <w:jc w:val="both"/>
        <w:rPr>
          <w:lang w:val="sq-AL"/>
        </w:rPr>
      </w:pPr>
    </w:p>
    <w:p w:rsidR="00596ACC" w:rsidRDefault="00596ACC" w:rsidP="00756AEE">
      <w:pPr>
        <w:spacing w:line="276" w:lineRule="auto"/>
        <w:ind w:left="90"/>
        <w:jc w:val="both"/>
        <w:rPr>
          <w:lang w:val="sq-AL"/>
        </w:rPr>
      </w:pPr>
    </w:p>
    <w:p w:rsidR="00596ACC" w:rsidRDefault="00596ACC" w:rsidP="00756AEE">
      <w:pPr>
        <w:spacing w:line="276" w:lineRule="auto"/>
        <w:ind w:left="90"/>
        <w:jc w:val="both"/>
        <w:rPr>
          <w:lang w:val="sq-AL"/>
        </w:rPr>
      </w:pPr>
    </w:p>
    <w:p w:rsidR="00596ACC" w:rsidRDefault="00596ACC" w:rsidP="00756AEE">
      <w:pPr>
        <w:spacing w:line="276" w:lineRule="auto"/>
        <w:ind w:left="90"/>
        <w:jc w:val="both"/>
        <w:rPr>
          <w:lang w:val="sq-AL"/>
        </w:rPr>
      </w:pPr>
    </w:p>
    <w:p w:rsidR="00596ACC" w:rsidRDefault="00596ACC" w:rsidP="00756AEE">
      <w:pPr>
        <w:spacing w:line="276" w:lineRule="auto"/>
        <w:ind w:left="90"/>
        <w:jc w:val="both"/>
        <w:rPr>
          <w:lang w:val="sq-AL"/>
        </w:rPr>
      </w:pPr>
    </w:p>
    <w:p w:rsidR="00596ACC" w:rsidRDefault="00596ACC" w:rsidP="00756AEE">
      <w:pPr>
        <w:spacing w:line="276" w:lineRule="auto"/>
        <w:ind w:left="90"/>
        <w:jc w:val="both"/>
        <w:rPr>
          <w:lang w:val="sq-AL"/>
        </w:rPr>
      </w:pPr>
    </w:p>
    <w:p w:rsidR="00596ACC" w:rsidRDefault="00596ACC" w:rsidP="00756AEE">
      <w:pPr>
        <w:spacing w:line="276" w:lineRule="auto"/>
        <w:ind w:left="90"/>
        <w:jc w:val="both"/>
        <w:rPr>
          <w:lang w:val="sq-AL"/>
        </w:rPr>
      </w:pPr>
    </w:p>
    <w:p w:rsidR="00596ACC" w:rsidRPr="00756AEE" w:rsidRDefault="00596ACC" w:rsidP="00756AEE">
      <w:pPr>
        <w:spacing w:line="276" w:lineRule="auto"/>
        <w:ind w:left="90"/>
        <w:jc w:val="both"/>
        <w:rPr>
          <w:lang w:val="sq-AL"/>
        </w:rPr>
      </w:pPr>
    </w:p>
    <w:p w:rsidR="00B0121D" w:rsidRPr="00D73F43" w:rsidRDefault="00B0121D" w:rsidP="00B0121D">
      <w:pPr>
        <w:spacing w:line="276" w:lineRule="auto"/>
        <w:ind w:left="450"/>
        <w:rPr>
          <w:b/>
          <w:bCs/>
          <w:lang w:val="sq-AL"/>
        </w:rPr>
      </w:pPr>
    </w:p>
    <w:p w:rsidR="00B0121D" w:rsidRPr="00D73F43" w:rsidRDefault="00B0121D" w:rsidP="00B0121D">
      <w:pPr>
        <w:spacing w:line="276" w:lineRule="auto"/>
        <w:ind w:left="450"/>
        <w:jc w:val="center"/>
        <w:rPr>
          <w:lang w:val="sq-AL"/>
        </w:rPr>
      </w:pPr>
      <w:r w:rsidRPr="00D73F43">
        <w:rPr>
          <w:b/>
          <w:bCs/>
          <w:lang w:val="sq-AL"/>
        </w:rPr>
        <w:lastRenderedPageBreak/>
        <w:t>Grafiku</w:t>
      </w:r>
      <w:r w:rsidR="00596ACC">
        <w:rPr>
          <w:b/>
          <w:bCs/>
          <w:lang w:val="sq-AL"/>
        </w:rPr>
        <w:t xml:space="preserve"> 34</w:t>
      </w:r>
      <w:r w:rsidRPr="00D73F43">
        <w:rPr>
          <w:b/>
          <w:bCs/>
          <w:lang w:val="sq-AL"/>
        </w:rPr>
        <w:t>:</w:t>
      </w:r>
      <w:r w:rsidRPr="00D73F43">
        <w:rPr>
          <w:bCs/>
          <w:lang w:val="sq-AL"/>
        </w:rPr>
        <w:t xml:space="preserve"> Shpenzimet e Pushtetit Vendor sipas artikullit</w:t>
      </w:r>
    </w:p>
    <w:p w:rsidR="00B0121D" w:rsidRPr="00D73F43" w:rsidRDefault="00B0121D" w:rsidP="00596ACC">
      <w:pPr>
        <w:spacing w:line="276" w:lineRule="auto"/>
        <w:ind w:left="450"/>
        <w:jc w:val="center"/>
        <w:rPr>
          <w:lang w:val="sq-AL"/>
        </w:rPr>
      </w:pPr>
      <w:r w:rsidRPr="00D73F43">
        <w:rPr>
          <w:noProof/>
          <w:lang w:val="sq-AL" w:eastAsia="sq-AL"/>
        </w:rPr>
        <w:drawing>
          <wp:inline distT="0" distB="0" distL="0" distR="0" wp14:anchorId="5ABB2F15" wp14:editId="5A0A2A98">
            <wp:extent cx="5738495" cy="2695575"/>
            <wp:effectExtent l="0" t="0" r="14605" b="9525"/>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0121D" w:rsidRPr="00D73F43" w:rsidRDefault="00B0121D" w:rsidP="00B0121D">
      <w:pPr>
        <w:spacing w:line="276" w:lineRule="auto"/>
        <w:ind w:left="90"/>
        <w:jc w:val="center"/>
        <w:rPr>
          <w:b/>
          <w:sz w:val="20"/>
          <w:lang w:val="sq-AL"/>
        </w:rPr>
      </w:pPr>
      <w:r w:rsidRPr="00D73F43">
        <w:rPr>
          <w:b/>
          <w:i/>
          <w:sz w:val="20"/>
          <w:lang w:val="sq-AL"/>
        </w:rPr>
        <w:t>Burimi:</w:t>
      </w:r>
      <w:r w:rsidRPr="00D73F43">
        <w:rPr>
          <w:i/>
          <w:sz w:val="20"/>
          <w:lang w:val="sq-AL"/>
        </w:rPr>
        <w:t xml:space="preserve"> Ministria e Financave, Drejtoria e Financave Vendore (2016);</w:t>
      </w:r>
    </w:p>
    <w:p w:rsidR="00B0121D" w:rsidRPr="00D73F43" w:rsidRDefault="00B0121D" w:rsidP="00B0121D">
      <w:pPr>
        <w:spacing w:line="276" w:lineRule="auto"/>
        <w:jc w:val="both"/>
        <w:rPr>
          <w:b/>
          <w:lang w:val="sq-AL"/>
        </w:rPr>
      </w:pPr>
    </w:p>
    <w:p w:rsidR="00756AEE" w:rsidRPr="00596ACC" w:rsidRDefault="00B0121D" w:rsidP="00B0121D">
      <w:pPr>
        <w:spacing w:line="276" w:lineRule="auto"/>
        <w:jc w:val="both"/>
        <w:rPr>
          <w:lang w:val="sq-AL"/>
        </w:rPr>
      </w:pPr>
      <w:r w:rsidRPr="00D73F43">
        <w:rPr>
          <w:b/>
          <w:lang w:val="sq-AL"/>
        </w:rPr>
        <w:t>Shpenzimet kapitale</w:t>
      </w:r>
      <w:r w:rsidRPr="00D73F43">
        <w:rPr>
          <w:lang w:val="sq-AL"/>
        </w:rPr>
        <w:t xml:space="preserve"> të pushtetit vendor për vitin 2016, rezultojnë të jenë në masën rreth 7.4 miliardë lekë, ose 783 milionë lekë më pak se e njëjta periudhë e një viti më parë Kjo diferencë vjen si pasojë kryesisht e </w:t>
      </w:r>
      <w:r w:rsidRPr="00D73F43">
        <w:rPr>
          <w:bCs/>
          <w:lang w:val="sq-AL"/>
        </w:rPr>
        <w:t xml:space="preserve">shtyrjes së afatit të realizimit nga procesi i prokurimit, vonesat në paraqitjen e dokumentacionit teknik e financiar për lëvrimin e fondeve </w:t>
      </w:r>
      <w:r w:rsidRPr="00D73F43">
        <w:rPr>
          <w:lang w:val="sq-AL"/>
        </w:rPr>
        <w:t>dhe vonesat në procesin e disbursimeve të projekteve të ndryshme që njësitë e qeverisjes vendore kanë në zbatim. Rritja e investimeve në nivel vendor mbetet një sfidë për t’u adresuar në favor të përmirësimit të cilësisë së jetës për qytetarët.</w:t>
      </w:r>
      <w:r w:rsidR="00596ACC">
        <w:rPr>
          <w:lang w:val="sq-AL"/>
        </w:rPr>
        <w:t xml:space="preserve"> </w:t>
      </w:r>
    </w:p>
    <w:p w:rsidR="002101A3" w:rsidRPr="00D73F43" w:rsidRDefault="002101A3" w:rsidP="00B0121D">
      <w:pPr>
        <w:spacing w:line="276" w:lineRule="auto"/>
        <w:jc w:val="both"/>
        <w:rPr>
          <w:b/>
          <w:lang w:val="sq-AL"/>
        </w:rPr>
      </w:pPr>
    </w:p>
    <w:p w:rsidR="00B0121D" w:rsidRPr="00D73F43" w:rsidRDefault="00B0121D" w:rsidP="00B0121D">
      <w:pPr>
        <w:spacing w:line="276" w:lineRule="auto"/>
        <w:jc w:val="center"/>
        <w:rPr>
          <w:lang w:val="sq-AL"/>
        </w:rPr>
      </w:pPr>
      <w:r w:rsidRPr="00D73F43">
        <w:rPr>
          <w:b/>
          <w:lang w:val="sq-AL"/>
        </w:rPr>
        <w:t>Tabela</w:t>
      </w:r>
      <w:r w:rsidR="00596ACC">
        <w:rPr>
          <w:b/>
          <w:lang w:val="sq-AL"/>
        </w:rPr>
        <w:t xml:space="preserve"> 12</w:t>
      </w:r>
      <w:r w:rsidRPr="00D73F43">
        <w:rPr>
          <w:b/>
          <w:lang w:val="sq-AL"/>
        </w:rPr>
        <w:t xml:space="preserve">: </w:t>
      </w:r>
      <w:r w:rsidRPr="00D73F43">
        <w:rPr>
          <w:lang w:val="sq-AL"/>
        </w:rPr>
        <w:t>Treguesit fiskalë të konsoliduar për vitin 9 mujorin 2015 dhe 2016 në milionë lekë</w:t>
      </w:r>
    </w:p>
    <w:p w:rsidR="00B0121D" w:rsidRPr="00D73F43" w:rsidRDefault="00B0121D" w:rsidP="00B0121D">
      <w:pPr>
        <w:spacing w:line="276" w:lineRule="auto"/>
        <w:jc w:val="both"/>
        <w:rPr>
          <w:b/>
          <w:lang w:val="sq-AL"/>
        </w:rPr>
      </w:pPr>
    </w:p>
    <w:tbl>
      <w:tblPr>
        <w:tblW w:w="9128" w:type="dxa"/>
        <w:jc w:val="center"/>
        <w:tblLook w:val="04A0" w:firstRow="1" w:lastRow="0" w:firstColumn="1" w:lastColumn="0" w:noHBand="0" w:noVBand="1"/>
      </w:tblPr>
      <w:tblGrid>
        <w:gridCol w:w="556"/>
        <w:gridCol w:w="4454"/>
        <w:gridCol w:w="1094"/>
        <w:gridCol w:w="887"/>
        <w:gridCol w:w="1014"/>
        <w:gridCol w:w="1123"/>
      </w:tblGrid>
      <w:tr w:rsidR="00B0121D" w:rsidRPr="00D73F43" w:rsidTr="00AD09A8">
        <w:trPr>
          <w:trHeight w:val="330"/>
          <w:jc w:val="center"/>
        </w:trPr>
        <w:tc>
          <w:tcPr>
            <w:tcW w:w="556" w:type="dxa"/>
            <w:vMerge w:val="restart"/>
            <w:tcBorders>
              <w:top w:val="double" w:sz="6" w:space="0" w:color="auto"/>
              <w:left w:val="double" w:sz="6" w:space="0" w:color="auto"/>
              <w:bottom w:val="single" w:sz="8" w:space="0" w:color="000000"/>
              <w:right w:val="nil"/>
            </w:tcBorders>
            <w:shd w:val="clear" w:color="auto" w:fill="FFFFFF"/>
            <w:noWrap/>
            <w:vAlign w:val="center"/>
            <w:hideMark/>
          </w:tcPr>
          <w:p w:rsidR="00B0121D" w:rsidRPr="00D73F43" w:rsidRDefault="00B0121D" w:rsidP="00AD09A8">
            <w:pPr>
              <w:spacing w:line="276" w:lineRule="auto"/>
              <w:jc w:val="both"/>
              <w:rPr>
                <w:rFonts w:eastAsia="Times New Roman"/>
                <w:b/>
                <w:bCs/>
                <w:lang w:val="sq-AL" w:eastAsia="sq-AL"/>
              </w:rPr>
            </w:pPr>
            <w:r w:rsidRPr="00D73F43">
              <w:rPr>
                <w:rFonts w:eastAsia="Times New Roman"/>
                <w:b/>
                <w:bCs/>
                <w:lang w:val="sq-AL" w:eastAsia="sq-AL"/>
              </w:rPr>
              <w:t>Nr</w:t>
            </w:r>
          </w:p>
        </w:tc>
        <w:tc>
          <w:tcPr>
            <w:tcW w:w="4454" w:type="dxa"/>
            <w:vMerge w:val="restart"/>
            <w:tcBorders>
              <w:top w:val="double" w:sz="6" w:space="0" w:color="auto"/>
              <w:left w:val="single" w:sz="8" w:space="0" w:color="auto"/>
              <w:bottom w:val="single" w:sz="8" w:space="0" w:color="000000"/>
              <w:right w:val="double" w:sz="6" w:space="0" w:color="auto"/>
            </w:tcBorders>
            <w:shd w:val="clear" w:color="auto" w:fill="FFFFFF"/>
            <w:noWrap/>
            <w:vAlign w:val="center"/>
            <w:hideMark/>
          </w:tcPr>
          <w:p w:rsidR="00B0121D" w:rsidRPr="00D73F43" w:rsidRDefault="00B0121D" w:rsidP="00AD09A8">
            <w:pPr>
              <w:spacing w:line="276" w:lineRule="auto"/>
              <w:jc w:val="both"/>
              <w:rPr>
                <w:rFonts w:eastAsia="Times New Roman"/>
                <w:b/>
                <w:bCs/>
                <w:lang w:val="sq-AL" w:eastAsia="sq-AL"/>
              </w:rPr>
            </w:pPr>
            <w:r w:rsidRPr="00D73F43">
              <w:rPr>
                <w:rFonts w:eastAsia="Times New Roman"/>
                <w:b/>
                <w:bCs/>
                <w:lang w:val="sq-AL" w:eastAsia="sq-AL"/>
              </w:rPr>
              <w:t>E  M  Ë  R  T  I  M  I</w:t>
            </w:r>
          </w:p>
        </w:tc>
        <w:tc>
          <w:tcPr>
            <w:tcW w:w="1981" w:type="dxa"/>
            <w:gridSpan w:val="2"/>
            <w:tcBorders>
              <w:top w:val="double" w:sz="6" w:space="0" w:color="auto"/>
              <w:left w:val="nil"/>
              <w:bottom w:val="single" w:sz="8" w:space="0" w:color="auto"/>
              <w:right w:val="nil"/>
            </w:tcBorders>
            <w:shd w:val="clear" w:color="auto" w:fill="FFFFFF"/>
            <w:noWrap/>
            <w:vAlign w:val="center"/>
            <w:hideMark/>
          </w:tcPr>
          <w:p w:rsidR="00B0121D" w:rsidRPr="00D73F43" w:rsidRDefault="00B0121D" w:rsidP="00AD09A8">
            <w:pPr>
              <w:spacing w:line="276" w:lineRule="auto"/>
              <w:jc w:val="both"/>
              <w:rPr>
                <w:rFonts w:eastAsia="Times New Roman"/>
                <w:b/>
                <w:bCs/>
                <w:lang w:val="sq-AL" w:eastAsia="sq-AL"/>
              </w:rPr>
            </w:pPr>
            <w:r w:rsidRPr="00D73F43">
              <w:rPr>
                <w:rFonts w:eastAsia="Times New Roman"/>
                <w:b/>
                <w:bCs/>
                <w:lang w:val="sq-AL" w:eastAsia="sq-AL"/>
              </w:rPr>
              <w:t>Fakt 9 mujori</w:t>
            </w:r>
          </w:p>
        </w:tc>
        <w:tc>
          <w:tcPr>
            <w:tcW w:w="2137" w:type="dxa"/>
            <w:gridSpan w:val="2"/>
            <w:tcBorders>
              <w:top w:val="double" w:sz="6" w:space="0" w:color="auto"/>
              <w:left w:val="double" w:sz="6" w:space="0" w:color="auto"/>
              <w:bottom w:val="single" w:sz="8" w:space="0" w:color="auto"/>
              <w:right w:val="double" w:sz="6" w:space="0" w:color="000000"/>
            </w:tcBorders>
            <w:shd w:val="clear" w:color="auto" w:fill="FFFFFF"/>
            <w:noWrap/>
            <w:vAlign w:val="center"/>
            <w:hideMark/>
          </w:tcPr>
          <w:p w:rsidR="00B0121D" w:rsidRPr="00D73F43" w:rsidRDefault="00B0121D" w:rsidP="00AD09A8">
            <w:pPr>
              <w:spacing w:line="276" w:lineRule="auto"/>
              <w:jc w:val="both"/>
              <w:rPr>
                <w:rFonts w:eastAsia="Times New Roman"/>
                <w:b/>
                <w:bCs/>
                <w:lang w:val="sq-AL" w:eastAsia="sq-AL"/>
              </w:rPr>
            </w:pPr>
            <w:r w:rsidRPr="00D73F43">
              <w:rPr>
                <w:rFonts w:eastAsia="Times New Roman"/>
                <w:b/>
                <w:bCs/>
                <w:lang w:val="sq-AL" w:eastAsia="sq-AL"/>
              </w:rPr>
              <w:t>Diferenca</w:t>
            </w:r>
          </w:p>
        </w:tc>
      </w:tr>
      <w:tr w:rsidR="00B0121D" w:rsidRPr="00D73F43" w:rsidTr="00AD09A8">
        <w:trPr>
          <w:trHeight w:val="300"/>
          <w:jc w:val="center"/>
        </w:trPr>
        <w:tc>
          <w:tcPr>
            <w:tcW w:w="556" w:type="dxa"/>
            <w:vMerge/>
            <w:tcBorders>
              <w:top w:val="nil"/>
              <w:left w:val="double" w:sz="6" w:space="0" w:color="auto"/>
              <w:bottom w:val="single" w:sz="8" w:space="0" w:color="000000"/>
              <w:right w:val="nil"/>
            </w:tcBorders>
            <w:shd w:val="clear" w:color="auto" w:fill="FFFFFF"/>
            <w:vAlign w:val="center"/>
            <w:hideMark/>
          </w:tcPr>
          <w:p w:rsidR="00B0121D" w:rsidRPr="00D73F43" w:rsidRDefault="00B0121D" w:rsidP="00AD09A8">
            <w:pPr>
              <w:spacing w:line="276" w:lineRule="auto"/>
              <w:jc w:val="both"/>
              <w:rPr>
                <w:rFonts w:eastAsia="Times New Roman"/>
                <w:b/>
                <w:bCs/>
                <w:lang w:val="sq-AL" w:eastAsia="sq-AL"/>
              </w:rPr>
            </w:pPr>
          </w:p>
        </w:tc>
        <w:tc>
          <w:tcPr>
            <w:tcW w:w="4454" w:type="dxa"/>
            <w:vMerge/>
            <w:tcBorders>
              <w:top w:val="nil"/>
              <w:left w:val="single" w:sz="8" w:space="0" w:color="auto"/>
              <w:bottom w:val="single" w:sz="8" w:space="0" w:color="000000"/>
              <w:right w:val="double" w:sz="6" w:space="0" w:color="auto"/>
            </w:tcBorders>
            <w:shd w:val="clear" w:color="auto" w:fill="FFFFFF"/>
            <w:vAlign w:val="center"/>
            <w:hideMark/>
          </w:tcPr>
          <w:p w:rsidR="00B0121D" w:rsidRPr="00D73F43" w:rsidRDefault="00B0121D" w:rsidP="00AD09A8">
            <w:pPr>
              <w:spacing w:line="276" w:lineRule="auto"/>
              <w:jc w:val="both"/>
              <w:rPr>
                <w:rFonts w:eastAsia="Times New Roman"/>
                <w:b/>
                <w:bCs/>
                <w:lang w:val="sq-AL" w:eastAsia="sq-AL"/>
              </w:rPr>
            </w:pPr>
          </w:p>
        </w:tc>
        <w:tc>
          <w:tcPr>
            <w:tcW w:w="1094" w:type="dxa"/>
            <w:vMerge w:val="restart"/>
            <w:tcBorders>
              <w:top w:val="nil"/>
              <w:left w:val="double" w:sz="6" w:space="0" w:color="auto"/>
              <w:bottom w:val="single" w:sz="8" w:space="0" w:color="000000"/>
              <w:right w:val="nil"/>
            </w:tcBorders>
            <w:shd w:val="clear" w:color="auto" w:fill="FFFFFF"/>
            <w:noWrap/>
            <w:vAlign w:val="center"/>
            <w:hideMark/>
          </w:tcPr>
          <w:p w:rsidR="00B0121D" w:rsidRPr="00D73F43" w:rsidRDefault="00B0121D" w:rsidP="00AD09A8">
            <w:pPr>
              <w:spacing w:line="276" w:lineRule="auto"/>
              <w:jc w:val="both"/>
              <w:rPr>
                <w:rFonts w:eastAsia="Times New Roman"/>
                <w:b/>
                <w:bCs/>
                <w:lang w:val="sq-AL" w:eastAsia="sq-AL"/>
              </w:rPr>
            </w:pPr>
            <w:r w:rsidRPr="00D73F43">
              <w:rPr>
                <w:rFonts w:eastAsia="Times New Roman"/>
                <w:b/>
                <w:bCs/>
                <w:lang w:val="sq-AL" w:eastAsia="sq-AL"/>
              </w:rPr>
              <w:t>2016</w:t>
            </w:r>
          </w:p>
        </w:tc>
        <w:tc>
          <w:tcPr>
            <w:tcW w:w="887" w:type="dxa"/>
            <w:vMerge w:val="restart"/>
            <w:tcBorders>
              <w:top w:val="nil"/>
              <w:left w:val="single" w:sz="4" w:space="0" w:color="auto"/>
              <w:bottom w:val="single" w:sz="8" w:space="0" w:color="000000"/>
              <w:right w:val="double" w:sz="6" w:space="0" w:color="auto"/>
            </w:tcBorders>
            <w:shd w:val="clear" w:color="auto" w:fill="FFFFFF"/>
            <w:noWrap/>
            <w:vAlign w:val="center"/>
            <w:hideMark/>
          </w:tcPr>
          <w:p w:rsidR="00B0121D" w:rsidRPr="00D73F43" w:rsidRDefault="00B0121D" w:rsidP="00AD09A8">
            <w:pPr>
              <w:spacing w:line="276" w:lineRule="auto"/>
              <w:jc w:val="both"/>
              <w:rPr>
                <w:rFonts w:eastAsia="Times New Roman"/>
                <w:b/>
                <w:bCs/>
                <w:lang w:val="sq-AL" w:eastAsia="sq-AL"/>
              </w:rPr>
            </w:pPr>
            <w:r w:rsidRPr="00D73F43">
              <w:rPr>
                <w:rFonts w:eastAsia="Times New Roman"/>
                <w:b/>
                <w:bCs/>
                <w:lang w:val="sq-AL" w:eastAsia="sq-AL"/>
              </w:rPr>
              <w:t>2015</w:t>
            </w:r>
          </w:p>
        </w:tc>
        <w:tc>
          <w:tcPr>
            <w:tcW w:w="1014" w:type="dxa"/>
            <w:tcBorders>
              <w:top w:val="nil"/>
              <w:left w:val="nil"/>
              <w:bottom w:val="nil"/>
              <w:right w:val="nil"/>
            </w:tcBorders>
            <w:shd w:val="clear" w:color="auto" w:fill="FFFFFF"/>
            <w:vAlign w:val="center"/>
            <w:hideMark/>
          </w:tcPr>
          <w:p w:rsidR="00B0121D" w:rsidRPr="00D73F43" w:rsidRDefault="00B0121D" w:rsidP="00AD09A8">
            <w:pPr>
              <w:spacing w:line="276" w:lineRule="auto"/>
              <w:jc w:val="both"/>
              <w:rPr>
                <w:rFonts w:eastAsia="Times New Roman"/>
                <w:b/>
                <w:bCs/>
                <w:lang w:val="sq-AL" w:eastAsia="sq-AL"/>
              </w:rPr>
            </w:pPr>
            <w:r w:rsidRPr="00D73F43">
              <w:rPr>
                <w:rFonts w:eastAsia="Times New Roman"/>
                <w:b/>
                <w:bCs/>
                <w:lang w:val="sq-AL" w:eastAsia="sq-AL"/>
              </w:rPr>
              <w:t>2016 /</w:t>
            </w:r>
          </w:p>
        </w:tc>
        <w:tc>
          <w:tcPr>
            <w:tcW w:w="1123" w:type="dxa"/>
            <w:vMerge w:val="restart"/>
            <w:tcBorders>
              <w:top w:val="nil"/>
              <w:left w:val="single" w:sz="4" w:space="0" w:color="auto"/>
              <w:bottom w:val="single" w:sz="8" w:space="0" w:color="000000"/>
              <w:right w:val="double" w:sz="6" w:space="0" w:color="auto"/>
            </w:tcBorders>
            <w:shd w:val="clear" w:color="auto" w:fill="FFFFFF"/>
            <w:vAlign w:val="center"/>
            <w:hideMark/>
          </w:tcPr>
          <w:p w:rsidR="00B0121D" w:rsidRPr="00D73F43" w:rsidRDefault="00B0121D" w:rsidP="00AD09A8">
            <w:pPr>
              <w:spacing w:line="276" w:lineRule="auto"/>
              <w:jc w:val="both"/>
              <w:rPr>
                <w:rFonts w:eastAsia="Times New Roman"/>
                <w:b/>
                <w:bCs/>
                <w:lang w:val="sq-AL" w:eastAsia="sq-AL"/>
              </w:rPr>
            </w:pPr>
            <w:r w:rsidRPr="00D73F43">
              <w:rPr>
                <w:rFonts w:eastAsia="Times New Roman"/>
                <w:b/>
                <w:bCs/>
                <w:lang w:val="sq-AL" w:eastAsia="sq-AL"/>
              </w:rPr>
              <w:t>% e 2016 kundrejt 2015</w:t>
            </w:r>
          </w:p>
        </w:tc>
      </w:tr>
      <w:tr w:rsidR="00B0121D" w:rsidRPr="00D73F43" w:rsidTr="00AD09A8">
        <w:trPr>
          <w:trHeight w:val="420"/>
          <w:jc w:val="center"/>
        </w:trPr>
        <w:tc>
          <w:tcPr>
            <w:tcW w:w="556" w:type="dxa"/>
            <w:vMerge/>
            <w:tcBorders>
              <w:top w:val="nil"/>
              <w:left w:val="double" w:sz="6" w:space="0" w:color="auto"/>
              <w:bottom w:val="single" w:sz="8" w:space="0" w:color="000000"/>
              <w:right w:val="nil"/>
            </w:tcBorders>
            <w:shd w:val="clear" w:color="auto" w:fill="FFFFFF"/>
            <w:vAlign w:val="center"/>
            <w:hideMark/>
          </w:tcPr>
          <w:p w:rsidR="00B0121D" w:rsidRPr="00D73F43" w:rsidRDefault="00B0121D" w:rsidP="00AD09A8">
            <w:pPr>
              <w:spacing w:line="276" w:lineRule="auto"/>
              <w:jc w:val="both"/>
              <w:rPr>
                <w:rFonts w:eastAsia="Times New Roman"/>
                <w:b/>
                <w:bCs/>
                <w:lang w:val="sq-AL" w:eastAsia="sq-AL"/>
              </w:rPr>
            </w:pPr>
          </w:p>
        </w:tc>
        <w:tc>
          <w:tcPr>
            <w:tcW w:w="4454" w:type="dxa"/>
            <w:vMerge/>
            <w:tcBorders>
              <w:top w:val="nil"/>
              <w:left w:val="single" w:sz="8" w:space="0" w:color="auto"/>
              <w:bottom w:val="single" w:sz="8" w:space="0" w:color="000000"/>
              <w:right w:val="double" w:sz="6" w:space="0" w:color="auto"/>
            </w:tcBorders>
            <w:shd w:val="clear" w:color="auto" w:fill="FFFFFF"/>
            <w:vAlign w:val="center"/>
            <w:hideMark/>
          </w:tcPr>
          <w:p w:rsidR="00B0121D" w:rsidRPr="00D73F43" w:rsidRDefault="00B0121D" w:rsidP="00AD09A8">
            <w:pPr>
              <w:spacing w:line="276" w:lineRule="auto"/>
              <w:jc w:val="both"/>
              <w:rPr>
                <w:rFonts w:eastAsia="Times New Roman"/>
                <w:b/>
                <w:bCs/>
                <w:lang w:val="sq-AL" w:eastAsia="sq-AL"/>
              </w:rPr>
            </w:pPr>
          </w:p>
        </w:tc>
        <w:tc>
          <w:tcPr>
            <w:tcW w:w="1094" w:type="dxa"/>
            <w:vMerge/>
            <w:tcBorders>
              <w:top w:val="nil"/>
              <w:left w:val="double" w:sz="6" w:space="0" w:color="auto"/>
              <w:bottom w:val="single" w:sz="8" w:space="0" w:color="000000"/>
              <w:right w:val="nil"/>
            </w:tcBorders>
            <w:shd w:val="clear" w:color="auto" w:fill="FFFFFF"/>
            <w:vAlign w:val="center"/>
            <w:hideMark/>
          </w:tcPr>
          <w:p w:rsidR="00B0121D" w:rsidRPr="00D73F43" w:rsidRDefault="00B0121D" w:rsidP="00AD09A8">
            <w:pPr>
              <w:spacing w:line="276" w:lineRule="auto"/>
              <w:jc w:val="both"/>
              <w:rPr>
                <w:rFonts w:eastAsia="Times New Roman"/>
                <w:b/>
                <w:bCs/>
                <w:lang w:val="sq-AL" w:eastAsia="sq-AL"/>
              </w:rPr>
            </w:pPr>
          </w:p>
        </w:tc>
        <w:tc>
          <w:tcPr>
            <w:tcW w:w="887" w:type="dxa"/>
            <w:vMerge/>
            <w:tcBorders>
              <w:top w:val="nil"/>
              <w:left w:val="single" w:sz="4" w:space="0" w:color="auto"/>
              <w:bottom w:val="single" w:sz="8" w:space="0" w:color="000000"/>
              <w:right w:val="double" w:sz="6" w:space="0" w:color="auto"/>
            </w:tcBorders>
            <w:shd w:val="clear" w:color="auto" w:fill="FFFFFF"/>
            <w:vAlign w:val="center"/>
            <w:hideMark/>
          </w:tcPr>
          <w:p w:rsidR="00B0121D" w:rsidRPr="00D73F43" w:rsidRDefault="00B0121D" w:rsidP="00AD09A8">
            <w:pPr>
              <w:spacing w:line="276" w:lineRule="auto"/>
              <w:jc w:val="both"/>
              <w:rPr>
                <w:rFonts w:eastAsia="Times New Roman"/>
                <w:b/>
                <w:bCs/>
                <w:lang w:val="sq-AL" w:eastAsia="sq-AL"/>
              </w:rPr>
            </w:pPr>
          </w:p>
        </w:tc>
        <w:tc>
          <w:tcPr>
            <w:tcW w:w="1014" w:type="dxa"/>
            <w:tcBorders>
              <w:top w:val="nil"/>
              <w:left w:val="nil"/>
              <w:bottom w:val="single" w:sz="8" w:space="0" w:color="auto"/>
              <w:right w:val="nil"/>
            </w:tcBorders>
            <w:shd w:val="clear" w:color="auto" w:fill="FFFFFF"/>
            <w:vAlign w:val="center"/>
            <w:hideMark/>
          </w:tcPr>
          <w:p w:rsidR="00B0121D" w:rsidRPr="00D73F43" w:rsidRDefault="00B0121D" w:rsidP="00AD09A8">
            <w:pPr>
              <w:spacing w:line="276" w:lineRule="auto"/>
              <w:jc w:val="both"/>
              <w:rPr>
                <w:rFonts w:eastAsia="Times New Roman"/>
                <w:b/>
                <w:bCs/>
                <w:lang w:val="sq-AL" w:eastAsia="sq-AL"/>
              </w:rPr>
            </w:pPr>
            <w:r w:rsidRPr="00D73F43">
              <w:rPr>
                <w:rFonts w:eastAsia="Times New Roman"/>
                <w:b/>
                <w:bCs/>
                <w:lang w:val="sq-AL" w:eastAsia="sq-AL"/>
              </w:rPr>
              <w:t>2015</w:t>
            </w:r>
          </w:p>
        </w:tc>
        <w:tc>
          <w:tcPr>
            <w:tcW w:w="1123" w:type="dxa"/>
            <w:vMerge/>
            <w:tcBorders>
              <w:top w:val="nil"/>
              <w:left w:val="single" w:sz="4" w:space="0" w:color="auto"/>
              <w:bottom w:val="single" w:sz="8" w:space="0" w:color="000000"/>
              <w:right w:val="double" w:sz="6" w:space="0" w:color="auto"/>
            </w:tcBorders>
            <w:shd w:val="clear" w:color="auto" w:fill="FFFFFF"/>
            <w:vAlign w:val="center"/>
            <w:hideMark/>
          </w:tcPr>
          <w:p w:rsidR="00B0121D" w:rsidRPr="00D73F43" w:rsidRDefault="00B0121D" w:rsidP="00AD09A8">
            <w:pPr>
              <w:spacing w:line="276" w:lineRule="auto"/>
              <w:jc w:val="both"/>
              <w:rPr>
                <w:rFonts w:eastAsia="Times New Roman"/>
                <w:b/>
                <w:bCs/>
                <w:lang w:val="sq-AL" w:eastAsia="sq-AL"/>
              </w:rPr>
            </w:pPr>
          </w:p>
        </w:tc>
      </w:tr>
      <w:tr w:rsidR="00B0121D" w:rsidRPr="00D73F43" w:rsidTr="00AD09A8">
        <w:trPr>
          <w:trHeight w:val="330"/>
          <w:jc w:val="center"/>
        </w:trPr>
        <w:tc>
          <w:tcPr>
            <w:tcW w:w="556" w:type="dxa"/>
            <w:tcBorders>
              <w:top w:val="nil"/>
              <w:left w:val="double" w:sz="6" w:space="0" w:color="auto"/>
              <w:bottom w:val="single" w:sz="8" w:space="0" w:color="auto"/>
              <w:right w:val="single" w:sz="8" w:space="0" w:color="C0C0C0"/>
            </w:tcBorders>
            <w:shd w:val="clear" w:color="auto" w:fill="auto"/>
            <w:noWrap/>
            <w:vAlign w:val="center"/>
            <w:hideMark/>
          </w:tcPr>
          <w:p w:rsidR="00B0121D" w:rsidRPr="00D73F43" w:rsidRDefault="00B0121D" w:rsidP="00AD09A8">
            <w:pPr>
              <w:spacing w:line="276" w:lineRule="auto"/>
              <w:jc w:val="both"/>
              <w:rPr>
                <w:rFonts w:eastAsia="Times New Roman"/>
                <w:b/>
                <w:bCs/>
                <w:lang w:val="sq-AL" w:eastAsia="sq-AL"/>
              </w:rPr>
            </w:pPr>
            <w:r w:rsidRPr="00D73F43">
              <w:rPr>
                <w:rFonts w:eastAsia="Times New Roman"/>
                <w:b/>
                <w:bCs/>
                <w:lang w:val="sq-AL" w:eastAsia="sq-AL"/>
              </w:rPr>
              <w:t>I.</w:t>
            </w:r>
          </w:p>
        </w:tc>
        <w:tc>
          <w:tcPr>
            <w:tcW w:w="4454" w:type="dxa"/>
            <w:tcBorders>
              <w:top w:val="nil"/>
              <w:left w:val="nil"/>
              <w:bottom w:val="single" w:sz="8" w:space="0" w:color="auto"/>
              <w:right w:val="double" w:sz="6" w:space="0" w:color="auto"/>
            </w:tcBorders>
            <w:shd w:val="clear" w:color="auto" w:fill="auto"/>
            <w:noWrap/>
            <w:vAlign w:val="center"/>
            <w:hideMark/>
          </w:tcPr>
          <w:p w:rsidR="00B0121D" w:rsidRPr="00D73F43" w:rsidRDefault="00B0121D" w:rsidP="00AD09A8">
            <w:pPr>
              <w:spacing w:line="276" w:lineRule="auto"/>
              <w:jc w:val="both"/>
              <w:rPr>
                <w:rFonts w:eastAsia="Times New Roman"/>
                <w:b/>
                <w:bCs/>
                <w:lang w:val="sq-AL" w:eastAsia="sq-AL"/>
              </w:rPr>
            </w:pPr>
            <w:r w:rsidRPr="00D73F43">
              <w:rPr>
                <w:rFonts w:eastAsia="Times New Roman"/>
                <w:b/>
                <w:bCs/>
                <w:lang w:val="sq-AL" w:eastAsia="sq-AL"/>
              </w:rPr>
              <w:t>Të ardhura nga Pushteti vendor</w:t>
            </w:r>
          </w:p>
        </w:tc>
        <w:tc>
          <w:tcPr>
            <w:tcW w:w="1094" w:type="dxa"/>
            <w:tcBorders>
              <w:top w:val="nil"/>
              <w:left w:val="nil"/>
              <w:bottom w:val="single" w:sz="8" w:space="0" w:color="auto"/>
              <w:right w:val="nil"/>
            </w:tcBorders>
            <w:shd w:val="clear" w:color="auto" w:fill="auto"/>
            <w:noWrap/>
            <w:vAlign w:val="center"/>
            <w:hideMark/>
          </w:tcPr>
          <w:p w:rsidR="00B0121D" w:rsidRPr="00D73F43" w:rsidRDefault="00B0121D" w:rsidP="00AD09A8">
            <w:pPr>
              <w:spacing w:line="276" w:lineRule="auto"/>
              <w:jc w:val="both"/>
              <w:rPr>
                <w:rFonts w:eastAsia="Times New Roman"/>
                <w:b/>
                <w:bCs/>
                <w:lang w:val="sq-AL" w:eastAsia="sq-AL"/>
              </w:rPr>
            </w:pPr>
            <w:r w:rsidRPr="00D73F43">
              <w:rPr>
                <w:rFonts w:eastAsia="Times New Roman"/>
                <w:b/>
                <w:bCs/>
                <w:lang w:val="sq-AL" w:eastAsia="sq-AL"/>
              </w:rPr>
              <w:t>10.635</w:t>
            </w:r>
          </w:p>
        </w:tc>
        <w:tc>
          <w:tcPr>
            <w:tcW w:w="887" w:type="dxa"/>
            <w:tcBorders>
              <w:top w:val="nil"/>
              <w:left w:val="nil"/>
              <w:bottom w:val="single" w:sz="8" w:space="0" w:color="auto"/>
              <w:right w:val="nil"/>
            </w:tcBorders>
            <w:shd w:val="clear" w:color="auto" w:fill="auto"/>
            <w:noWrap/>
            <w:vAlign w:val="center"/>
            <w:hideMark/>
          </w:tcPr>
          <w:p w:rsidR="00B0121D" w:rsidRPr="00D73F43" w:rsidRDefault="00B0121D" w:rsidP="00AD09A8">
            <w:pPr>
              <w:spacing w:line="276" w:lineRule="auto"/>
              <w:jc w:val="both"/>
              <w:rPr>
                <w:rFonts w:eastAsia="Times New Roman"/>
                <w:b/>
                <w:bCs/>
                <w:lang w:val="sq-AL" w:eastAsia="sq-AL"/>
              </w:rPr>
            </w:pPr>
            <w:r w:rsidRPr="00D73F43">
              <w:rPr>
                <w:rFonts w:eastAsia="Times New Roman"/>
                <w:b/>
                <w:bCs/>
                <w:lang w:val="sq-AL" w:eastAsia="sq-AL"/>
              </w:rPr>
              <w:t>9.440</w:t>
            </w:r>
          </w:p>
        </w:tc>
        <w:tc>
          <w:tcPr>
            <w:tcW w:w="1014" w:type="dxa"/>
            <w:tcBorders>
              <w:top w:val="nil"/>
              <w:left w:val="double" w:sz="6" w:space="0" w:color="auto"/>
              <w:bottom w:val="single" w:sz="8" w:space="0" w:color="auto"/>
              <w:right w:val="nil"/>
            </w:tcBorders>
            <w:shd w:val="clear" w:color="auto" w:fill="auto"/>
            <w:noWrap/>
            <w:vAlign w:val="center"/>
            <w:hideMark/>
          </w:tcPr>
          <w:p w:rsidR="00B0121D" w:rsidRPr="00D73F43" w:rsidRDefault="00B0121D" w:rsidP="00AD09A8">
            <w:pPr>
              <w:spacing w:line="276" w:lineRule="auto"/>
              <w:jc w:val="both"/>
              <w:rPr>
                <w:rFonts w:eastAsia="Times New Roman"/>
                <w:b/>
                <w:bCs/>
                <w:lang w:val="sq-AL" w:eastAsia="sq-AL"/>
              </w:rPr>
            </w:pPr>
            <w:r w:rsidRPr="00D73F43">
              <w:rPr>
                <w:rFonts w:eastAsia="Times New Roman"/>
                <w:b/>
                <w:bCs/>
                <w:lang w:val="sq-AL" w:eastAsia="sq-AL"/>
              </w:rPr>
              <w:t>1.195</w:t>
            </w:r>
          </w:p>
        </w:tc>
        <w:tc>
          <w:tcPr>
            <w:tcW w:w="1123" w:type="dxa"/>
            <w:tcBorders>
              <w:top w:val="nil"/>
              <w:left w:val="nil"/>
              <w:bottom w:val="single" w:sz="8" w:space="0" w:color="auto"/>
              <w:right w:val="double" w:sz="6" w:space="0" w:color="auto"/>
            </w:tcBorders>
            <w:shd w:val="clear" w:color="auto" w:fill="auto"/>
            <w:noWrap/>
            <w:vAlign w:val="center"/>
            <w:hideMark/>
          </w:tcPr>
          <w:p w:rsidR="00B0121D" w:rsidRPr="00D73F43" w:rsidRDefault="00B0121D" w:rsidP="00AD09A8">
            <w:pPr>
              <w:spacing w:line="276" w:lineRule="auto"/>
              <w:jc w:val="both"/>
              <w:rPr>
                <w:rFonts w:eastAsia="Times New Roman"/>
                <w:b/>
                <w:bCs/>
                <w:lang w:val="sq-AL" w:eastAsia="sq-AL"/>
              </w:rPr>
            </w:pPr>
            <w:r w:rsidRPr="00D73F43">
              <w:rPr>
                <w:rFonts w:eastAsia="Times New Roman"/>
                <w:b/>
                <w:bCs/>
                <w:lang w:val="sq-AL" w:eastAsia="sq-AL"/>
              </w:rPr>
              <w:t>113%</w:t>
            </w:r>
          </w:p>
        </w:tc>
      </w:tr>
      <w:tr w:rsidR="00B0121D" w:rsidRPr="00D73F43" w:rsidTr="00AD09A8">
        <w:trPr>
          <w:trHeight w:val="360"/>
          <w:jc w:val="center"/>
        </w:trPr>
        <w:tc>
          <w:tcPr>
            <w:tcW w:w="556" w:type="dxa"/>
            <w:tcBorders>
              <w:top w:val="nil"/>
              <w:left w:val="double" w:sz="6" w:space="0" w:color="auto"/>
              <w:bottom w:val="single" w:sz="8" w:space="0" w:color="C0C0C0"/>
              <w:right w:val="single" w:sz="8" w:space="0" w:color="C0C0C0"/>
            </w:tcBorders>
            <w:shd w:val="clear" w:color="auto" w:fill="auto"/>
            <w:noWrap/>
            <w:vAlign w:val="center"/>
            <w:hideMark/>
          </w:tcPr>
          <w:p w:rsidR="00B0121D" w:rsidRPr="00D73F43" w:rsidRDefault="00B0121D" w:rsidP="00AD09A8">
            <w:pPr>
              <w:spacing w:line="276" w:lineRule="auto"/>
              <w:jc w:val="both"/>
              <w:rPr>
                <w:rFonts w:eastAsia="Times New Roman"/>
                <w:lang w:val="sq-AL" w:eastAsia="sq-AL"/>
              </w:rPr>
            </w:pPr>
            <w:r w:rsidRPr="00D73F43">
              <w:rPr>
                <w:rFonts w:eastAsia="Times New Roman"/>
                <w:lang w:val="sq-AL" w:eastAsia="sq-AL"/>
              </w:rPr>
              <w:t>I.1</w:t>
            </w:r>
          </w:p>
        </w:tc>
        <w:tc>
          <w:tcPr>
            <w:tcW w:w="4454" w:type="dxa"/>
            <w:tcBorders>
              <w:top w:val="nil"/>
              <w:left w:val="nil"/>
              <w:bottom w:val="single" w:sz="8" w:space="0" w:color="C0C0C0"/>
              <w:right w:val="double" w:sz="6" w:space="0" w:color="auto"/>
            </w:tcBorders>
            <w:shd w:val="clear" w:color="auto" w:fill="auto"/>
            <w:noWrap/>
            <w:vAlign w:val="center"/>
            <w:hideMark/>
          </w:tcPr>
          <w:p w:rsidR="00B0121D" w:rsidRPr="00D73F43" w:rsidRDefault="00B0121D" w:rsidP="00AD09A8">
            <w:pPr>
              <w:spacing w:line="276" w:lineRule="auto"/>
              <w:jc w:val="both"/>
              <w:rPr>
                <w:rFonts w:eastAsia="Times New Roman"/>
                <w:i/>
                <w:iCs/>
                <w:lang w:val="sq-AL" w:eastAsia="sq-AL"/>
              </w:rPr>
            </w:pPr>
            <w:r w:rsidRPr="00D73F43">
              <w:rPr>
                <w:rFonts w:eastAsia="Times New Roman"/>
                <w:i/>
                <w:iCs/>
                <w:lang w:val="sq-AL" w:eastAsia="sq-AL"/>
              </w:rPr>
              <w:t>Taksa mbi pasurinë</w:t>
            </w:r>
          </w:p>
        </w:tc>
        <w:tc>
          <w:tcPr>
            <w:tcW w:w="1094" w:type="dxa"/>
            <w:tcBorders>
              <w:top w:val="nil"/>
              <w:left w:val="nil"/>
              <w:bottom w:val="single" w:sz="8" w:space="0" w:color="C0C0C0"/>
              <w:right w:val="nil"/>
            </w:tcBorders>
            <w:shd w:val="clear" w:color="auto" w:fill="auto"/>
            <w:noWrap/>
            <w:vAlign w:val="center"/>
            <w:hideMark/>
          </w:tcPr>
          <w:p w:rsidR="00B0121D" w:rsidRPr="00D73F43" w:rsidRDefault="00B0121D" w:rsidP="00AD09A8">
            <w:pPr>
              <w:spacing w:line="276" w:lineRule="auto"/>
              <w:jc w:val="both"/>
              <w:rPr>
                <w:rFonts w:eastAsia="Times New Roman"/>
                <w:i/>
                <w:lang w:val="sq-AL" w:eastAsia="sq-AL"/>
              </w:rPr>
            </w:pPr>
            <w:r w:rsidRPr="00D73F43">
              <w:rPr>
                <w:rFonts w:eastAsia="Times New Roman"/>
                <w:i/>
                <w:lang w:val="sq-AL" w:eastAsia="sq-AL"/>
              </w:rPr>
              <w:t>4.403</w:t>
            </w:r>
          </w:p>
        </w:tc>
        <w:tc>
          <w:tcPr>
            <w:tcW w:w="887" w:type="dxa"/>
            <w:tcBorders>
              <w:top w:val="nil"/>
              <w:left w:val="nil"/>
              <w:bottom w:val="single" w:sz="8" w:space="0" w:color="C0C0C0"/>
              <w:right w:val="nil"/>
            </w:tcBorders>
            <w:shd w:val="clear" w:color="auto" w:fill="auto"/>
            <w:noWrap/>
            <w:vAlign w:val="center"/>
            <w:hideMark/>
          </w:tcPr>
          <w:p w:rsidR="00B0121D" w:rsidRPr="00D73F43" w:rsidRDefault="00B0121D" w:rsidP="00AD09A8">
            <w:pPr>
              <w:spacing w:line="276" w:lineRule="auto"/>
              <w:jc w:val="both"/>
              <w:rPr>
                <w:rFonts w:eastAsia="Times New Roman"/>
                <w:i/>
                <w:lang w:val="sq-AL" w:eastAsia="sq-AL"/>
              </w:rPr>
            </w:pPr>
            <w:r w:rsidRPr="00D73F43">
              <w:rPr>
                <w:rFonts w:eastAsia="Times New Roman"/>
                <w:i/>
                <w:lang w:val="sq-AL" w:eastAsia="sq-AL"/>
              </w:rPr>
              <w:t>3.150</w:t>
            </w:r>
          </w:p>
        </w:tc>
        <w:tc>
          <w:tcPr>
            <w:tcW w:w="1014" w:type="dxa"/>
            <w:tcBorders>
              <w:top w:val="nil"/>
              <w:left w:val="double" w:sz="6" w:space="0" w:color="auto"/>
              <w:bottom w:val="single" w:sz="8" w:space="0" w:color="C0C0C0"/>
              <w:right w:val="nil"/>
            </w:tcBorders>
            <w:shd w:val="clear" w:color="auto" w:fill="auto"/>
            <w:noWrap/>
            <w:vAlign w:val="center"/>
            <w:hideMark/>
          </w:tcPr>
          <w:p w:rsidR="00B0121D" w:rsidRPr="00D73F43" w:rsidRDefault="00B0121D" w:rsidP="00AD09A8">
            <w:pPr>
              <w:spacing w:line="276" w:lineRule="auto"/>
              <w:jc w:val="both"/>
              <w:rPr>
                <w:rFonts w:eastAsia="Times New Roman"/>
                <w:i/>
                <w:lang w:val="sq-AL" w:eastAsia="sq-AL"/>
              </w:rPr>
            </w:pPr>
            <w:r w:rsidRPr="00D73F43">
              <w:rPr>
                <w:rFonts w:eastAsia="Times New Roman"/>
                <w:i/>
                <w:lang w:val="sq-AL" w:eastAsia="sq-AL"/>
              </w:rPr>
              <w:t>1.253</w:t>
            </w:r>
          </w:p>
        </w:tc>
        <w:tc>
          <w:tcPr>
            <w:tcW w:w="1123" w:type="dxa"/>
            <w:tcBorders>
              <w:top w:val="nil"/>
              <w:left w:val="nil"/>
              <w:bottom w:val="single" w:sz="8" w:space="0" w:color="C0C0C0"/>
              <w:right w:val="double" w:sz="6" w:space="0" w:color="auto"/>
            </w:tcBorders>
            <w:shd w:val="clear" w:color="auto" w:fill="auto"/>
            <w:noWrap/>
            <w:vAlign w:val="center"/>
            <w:hideMark/>
          </w:tcPr>
          <w:p w:rsidR="00B0121D" w:rsidRPr="00D73F43" w:rsidRDefault="00B0121D" w:rsidP="00AD09A8">
            <w:pPr>
              <w:spacing w:line="276" w:lineRule="auto"/>
              <w:jc w:val="both"/>
              <w:rPr>
                <w:rFonts w:eastAsia="Times New Roman"/>
                <w:i/>
                <w:lang w:val="sq-AL" w:eastAsia="sq-AL"/>
              </w:rPr>
            </w:pPr>
            <w:r w:rsidRPr="00D73F43">
              <w:rPr>
                <w:rFonts w:eastAsia="Times New Roman"/>
                <w:i/>
                <w:lang w:val="sq-AL" w:eastAsia="sq-AL"/>
              </w:rPr>
              <w:t>140%</w:t>
            </w:r>
          </w:p>
        </w:tc>
      </w:tr>
      <w:tr w:rsidR="00B0121D" w:rsidRPr="00D73F43" w:rsidTr="00AD09A8">
        <w:trPr>
          <w:trHeight w:val="330"/>
          <w:jc w:val="center"/>
        </w:trPr>
        <w:tc>
          <w:tcPr>
            <w:tcW w:w="556" w:type="dxa"/>
            <w:tcBorders>
              <w:top w:val="nil"/>
              <w:left w:val="double" w:sz="6" w:space="0" w:color="auto"/>
              <w:bottom w:val="single" w:sz="8" w:space="0" w:color="C0C0C0"/>
              <w:right w:val="single" w:sz="8" w:space="0" w:color="C0C0C0"/>
            </w:tcBorders>
            <w:shd w:val="clear" w:color="auto" w:fill="auto"/>
            <w:noWrap/>
            <w:vAlign w:val="center"/>
            <w:hideMark/>
          </w:tcPr>
          <w:p w:rsidR="00B0121D" w:rsidRPr="00D73F43" w:rsidRDefault="00B0121D" w:rsidP="00AD09A8">
            <w:pPr>
              <w:spacing w:line="276" w:lineRule="auto"/>
              <w:jc w:val="both"/>
              <w:rPr>
                <w:rFonts w:eastAsia="Times New Roman"/>
                <w:lang w:val="sq-AL" w:eastAsia="sq-AL"/>
              </w:rPr>
            </w:pPr>
            <w:r w:rsidRPr="00D73F43">
              <w:rPr>
                <w:rFonts w:eastAsia="Times New Roman"/>
                <w:lang w:val="sq-AL" w:eastAsia="sq-AL"/>
              </w:rPr>
              <w:t>I.2</w:t>
            </w:r>
          </w:p>
        </w:tc>
        <w:tc>
          <w:tcPr>
            <w:tcW w:w="4454" w:type="dxa"/>
            <w:tcBorders>
              <w:top w:val="nil"/>
              <w:left w:val="nil"/>
              <w:bottom w:val="single" w:sz="8" w:space="0" w:color="C0C0C0"/>
              <w:right w:val="double" w:sz="6" w:space="0" w:color="auto"/>
            </w:tcBorders>
            <w:shd w:val="clear" w:color="auto" w:fill="auto"/>
            <w:noWrap/>
            <w:vAlign w:val="center"/>
            <w:hideMark/>
          </w:tcPr>
          <w:p w:rsidR="00B0121D" w:rsidRPr="00D73F43" w:rsidRDefault="00B0121D" w:rsidP="00AD09A8">
            <w:pPr>
              <w:spacing w:line="276" w:lineRule="auto"/>
              <w:jc w:val="both"/>
              <w:rPr>
                <w:rFonts w:eastAsia="Times New Roman"/>
                <w:i/>
                <w:iCs/>
                <w:lang w:val="sq-AL" w:eastAsia="sq-AL"/>
              </w:rPr>
            </w:pPr>
            <w:r w:rsidRPr="00D73F43">
              <w:rPr>
                <w:rFonts w:eastAsia="Times New Roman"/>
                <w:i/>
                <w:iCs/>
                <w:lang w:val="sq-AL" w:eastAsia="sq-AL"/>
              </w:rPr>
              <w:t>Taksa e biznesit të vogël</w:t>
            </w:r>
          </w:p>
        </w:tc>
        <w:tc>
          <w:tcPr>
            <w:tcW w:w="1094" w:type="dxa"/>
            <w:tcBorders>
              <w:top w:val="nil"/>
              <w:left w:val="nil"/>
              <w:bottom w:val="single" w:sz="8" w:space="0" w:color="C0C0C0"/>
              <w:right w:val="nil"/>
            </w:tcBorders>
            <w:shd w:val="clear" w:color="auto" w:fill="auto"/>
            <w:noWrap/>
            <w:vAlign w:val="center"/>
            <w:hideMark/>
          </w:tcPr>
          <w:p w:rsidR="00B0121D" w:rsidRPr="00D73F43" w:rsidRDefault="00B0121D" w:rsidP="00AD09A8">
            <w:pPr>
              <w:spacing w:line="276" w:lineRule="auto"/>
              <w:jc w:val="both"/>
              <w:rPr>
                <w:rFonts w:eastAsia="Times New Roman"/>
                <w:i/>
                <w:iCs/>
                <w:lang w:val="sq-AL" w:eastAsia="sq-AL"/>
              </w:rPr>
            </w:pPr>
            <w:r w:rsidRPr="00D73F43">
              <w:rPr>
                <w:rFonts w:eastAsia="Times New Roman"/>
                <w:i/>
                <w:iCs/>
                <w:lang w:val="sq-AL" w:eastAsia="sq-AL"/>
              </w:rPr>
              <w:t>565</w:t>
            </w:r>
          </w:p>
        </w:tc>
        <w:tc>
          <w:tcPr>
            <w:tcW w:w="887" w:type="dxa"/>
            <w:tcBorders>
              <w:top w:val="nil"/>
              <w:left w:val="nil"/>
              <w:bottom w:val="single" w:sz="8" w:space="0" w:color="C0C0C0"/>
              <w:right w:val="nil"/>
            </w:tcBorders>
            <w:shd w:val="clear" w:color="auto" w:fill="auto"/>
            <w:noWrap/>
            <w:vAlign w:val="center"/>
            <w:hideMark/>
          </w:tcPr>
          <w:p w:rsidR="00B0121D" w:rsidRPr="00D73F43" w:rsidRDefault="00B0121D" w:rsidP="00AD09A8">
            <w:pPr>
              <w:spacing w:line="276" w:lineRule="auto"/>
              <w:jc w:val="both"/>
              <w:rPr>
                <w:rFonts w:eastAsia="Times New Roman"/>
                <w:i/>
                <w:iCs/>
                <w:lang w:val="sq-AL" w:eastAsia="sq-AL"/>
              </w:rPr>
            </w:pPr>
            <w:r w:rsidRPr="00D73F43">
              <w:rPr>
                <w:rFonts w:eastAsia="Times New Roman"/>
                <w:i/>
                <w:iCs/>
                <w:lang w:val="sq-AL" w:eastAsia="sq-AL"/>
              </w:rPr>
              <w:t>1.715</w:t>
            </w:r>
          </w:p>
        </w:tc>
        <w:tc>
          <w:tcPr>
            <w:tcW w:w="1014" w:type="dxa"/>
            <w:tcBorders>
              <w:top w:val="nil"/>
              <w:left w:val="double" w:sz="6" w:space="0" w:color="auto"/>
              <w:bottom w:val="single" w:sz="8" w:space="0" w:color="C0C0C0"/>
              <w:right w:val="nil"/>
            </w:tcBorders>
            <w:shd w:val="clear" w:color="auto" w:fill="auto"/>
            <w:noWrap/>
            <w:vAlign w:val="center"/>
            <w:hideMark/>
          </w:tcPr>
          <w:p w:rsidR="00B0121D" w:rsidRPr="00D73F43" w:rsidRDefault="00B0121D" w:rsidP="00AD09A8">
            <w:pPr>
              <w:spacing w:line="276" w:lineRule="auto"/>
              <w:jc w:val="both"/>
              <w:rPr>
                <w:rFonts w:eastAsia="Times New Roman"/>
                <w:i/>
                <w:lang w:val="sq-AL" w:eastAsia="sq-AL"/>
              </w:rPr>
            </w:pPr>
            <w:r w:rsidRPr="00D73F43">
              <w:rPr>
                <w:rFonts w:eastAsia="Times New Roman"/>
                <w:i/>
                <w:lang w:val="sq-AL" w:eastAsia="sq-AL"/>
              </w:rPr>
              <w:t>-1.150</w:t>
            </w:r>
          </w:p>
        </w:tc>
        <w:tc>
          <w:tcPr>
            <w:tcW w:w="1123" w:type="dxa"/>
            <w:tcBorders>
              <w:top w:val="nil"/>
              <w:left w:val="nil"/>
              <w:bottom w:val="single" w:sz="8" w:space="0" w:color="C0C0C0"/>
              <w:right w:val="double" w:sz="6" w:space="0" w:color="auto"/>
            </w:tcBorders>
            <w:shd w:val="clear" w:color="auto" w:fill="auto"/>
            <w:noWrap/>
            <w:vAlign w:val="center"/>
            <w:hideMark/>
          </w:tcPr>
          <w:p w:rsidR="00B0121D" w:rsidRPr="00D73F43" w:rsidRDefault="00B0121D" w:rsidP="00AD09A8">
            <w:pPr>
              <w:spacing w:line="276" w:lineRule="auto"/>
              <w:jc w:val="both"/>
              <w:rPr>
                <w:rFonts w:eastAsia="Times New Roman"/>
                <w:i/>
                <w:lang w:val="sq-AL" w:eastAsia="sq-AL"/>
              </w:rPr>
            </w:pPr>
            <w:r w:rsidRPr="00D73F43">
              <w:rPr>
                <w:rFonts w:eastAsia="Times New Roman"/>
                <w:i/>
                <w:lang w:val="sq-AL" w:eastAsia="sq-AL"/>
              </w:rPr>
              <w:t>33%</w:t>
            </w:r>
          </w:p>
        </w:tc>
      </w:tr>
      <w:tr w:rsidR="00B0121D" w:rsidRPr="00D73F43" w:rsidTr="00AD09A8">
        <w:trPr>
          <w:trHeight w:val="330"/>
          <w:jc w:val="center"/>
        </w:trPr>
        <w:tc>
          <w:tcPr>
            <w:tcW w:w="556" w:type="dxa"/>
            <w:tcBorders>
              <w:top w:val="nil"/>
              <w:left w:val="double" w:sz="6" w:space="0" w:color="auto"/>
              <w:bottom w:val="single" w:sz="8" w:space="0" w:color="auto"/>
              <w:right w:val="single" w:sz="8" w:space="0" w:color="C0C0C0"/>
            </w:tcBorders>
            <w:shd w:val="clear" w:color="auto" w:fill="auto"/>
            <w:noWrap/>
            <w:vAlign w:val="center"/>
            <w:hideMark/>
          </w:tcPr>
          <w:p w:rsidR="00B0121D" w:rsidRPr="00D73F43" w:rsidRDefault="00B0121D" w:rsidP="00AD09A8">
            <w:pPr>
              <w:spacing w:line="276" w:lineRule="auto"/>
              <w:jc w:val="both"/>
              <w:rPr>
                <w:rFonts w:eastAsia="Times New Roman"/>
                <w:lang w:val="sq-AL" w:eastAsia="sq-AL"/>
              </w:rPr>
            </w:pPr>
            <w:r w:rsidRPr="00D73F43">
              <w:rPr>
                <w:rFonts w:eastAsia="Times New Roman"/>
                <w:lang w:val="sq-AL" w:eastAsia="sq-AL"/>
              </w:rPr>
              <w:t>I.3</w:t>
            </w:r>
          </w:p>
        </w:tc>
        <w:tc>
          <w:tcPr>
            <w:tcW w:w="4454" w:type="dxa"/>
            <w:tcBorders>
              <w:top w:val="nil"/>
              <w:left w:val="nil"/>
              <w:bottom w:val="single" w:sz="8" w:space="0" w:color="auto"/>
              <w:right w:val="double" w:sz="6" w:space="0" w:color="auto"/>
            </w:tcBorders>
            <w:shd w:val="clear" w:color="auto" w:fill="auto"/>
            <w:noWrap/>
            <w:vAlign w:val="center"/>
            <w:hideMark/>
          </w:tcPr>
          <w:p w:rsidR="00B0121D" w:rsidRPr="00D73F43" w:rsidRDefault="00B0121D" w:rsidP="00AD09A8">
            <w:pPr>
              <w:spacing w:line="276" w:lineRule="auto"/>
              <w:jc w:val="both"/>
              <w:rPr>
                <w:rFonts w:eastAsia="Times New Roman"/>
                <w:i/>
                <w:iCs/>
                <w:lang w:val="sq-AL" w:eastAsia="sq-AL"/>
              </w:rPr>
            </w:pPr>
            <w:r w:rsidRPr="00D73F43">
              <w:rPr>
                <w:rFonts w:eastAsia="Times New Roman"/>
                <w:i/>
                <w:iCs/>
                <w:lang w:val="sq-AL" w:eastAsia="sq-AL"/>
              </w:rPr>
              <w:t>Taksa Lokale</w:t>
            </w:r>
          </w:p>
        </w:tc>
        <w:tc>
          <w:tcPr>
            <w:tcW w:w="1094" w:type="dxa"/>
            <w:tcBorders>
              <w:top w:val="nil"/>
              <w:left w:val="nil"/>
              <w:bottom w:val="single" w:sz="8" w:space="0" w:color="auto"/>
              <w:right w:val="nil"/>
            </w:tcBorders>
            <w:shd w:val="clear" w:color="auto" w:fill="auto"/>
            <w:noWrap/>
            <w:vAlign w:val="center"/>
            <w:hideMark/>
          </w:tcPr>
          <w:p w:rsidR="00B0121D" w:rsidRPr="00D73F43" w:rsidRDefault="00B0121D" w:rsidP="00AD09A8">
            <w:pPr>
              <w:spacing w:line="276" w:lineRule="auto"/>
              <w:jc w:val="both"/>
              <w:rPr>
                <w:rFonts w:eastAsia="Times New Roman"/>
                <w:i/>
                <w:iCs/>
                <w:lang w:val="sq-AL" w:eastAsia="sq-AL"/>
              </w:rPr>
            </w:pPr>
            <w:r w:rsidRPr="00D73F43">
              <w:rPr>
                <w:rFonts w:eastAsia="Times New Roman"/>
                <w:i/>
                <w:iCs/>
                <w:lang w:val="sq-AL" w:eastAsia="sq-AL"/>
              </w:rPr>
              <w:t>5.667</w:t>
            </w:r>
          </w:p>
        </w:tc>
        <w:tc>
          <w:tcPr>
            <w:tcW w:w="887" w:type="dxa"/>
            <w:tcBorders>
              <w:top w:val="nil"/>
              <w:left w:val="nil"/>
              <w:bottom w:val="single" w:sz="8" w:space="0" w:color="auto"/>
              <w:right w:val="nil"/>
            </w:tcBorders>
            <w:shd w:val="clear" w:color="auto" w:fill="auto"/>
            <w:noWrap/>
            <w:vAlign w:val="center"/>
            <w:hideMark/>
          </w:tcPr>
          <w:p w:rsidR="00B0121D" w:rsidRPr="00D73F43" w:rsidRDefault="00B0121D" w:rsidP="00AD09A8">
            <w:pPr>
              <w:spacing w:line="276" w:lineRule="auto"/>
              <w:jc w:val="both"/>
              <w:rPr>
                <w:rFonts w:eastAsia="Times New Roman"/>
                <w:i/>
                <w:iCs/>
                <w:lang w:val="sq-AL" w:eastAsia="sq-AL"/>
              </w:rPr>
            </w:pPr>
            <w:r w:rsidRPr="00D73F43">
              <w:rPr>
                <w:rFonts w:eastAsia="Times New Roman"/>
                <w:i/>
                <w:iCs/>
                <w:lang w:val="sq-AL" w:eastAsia="sq-AL"/>
              </w:rPr>
              <w:t>4.575</w:t>
            </w:r>
          </w:p>
        </w:tc>
        <w:tc>
          <w:tcPr>
            <w:tcW w:w="1014" w:type="dxa"/>
            <w:tcBorders>
              <w:top w:val="nil"/>
              <w:left w:val="double" w:sz="6" w:space="0" w:color="auto"/>
              <w:bottom w:val="single" w:sz="8" w:space="0" w:color="auto"/>
              <w:right w:val="nil"/>
            </w:tcBorders>
            <w:shd w:val="clear" w:color="auto" w:fill="auto"/>
            <w:noWrap/>
            <w:vAlign w:val="center"/>
            <w:hideMark/>
          </w:tcPr>
          <w:p w:rsidR="00B0121D" w:rsidRPr="00D73F43" w:rsidRDefault="00B0121D" w:rsidP="00AD09A8">
            <w:pPr>
              <w:spacing w:line="276" w:lineRule="auto"/>
              <w:jc w:val="both"/>
              <w:rPr>
                <w:rFonts w:eastAsia="Times New Roman"/>
                <w:i/>
                <w:lang w:val="sq-AL" w:eastAsia="sq-AL"/>
              </w:rPr>
            </w:pPr>
            <w:r w:rsidRPr="00D73F43">
              <w:rPr>
                <w:rFonts w:eastAsia="Times New Roman"/>
                <w:i/>
                <w:lang w:val="sq-AL" w:eastAsia="sq-AL"/>
              </w:rPr>
              <w:t>1.092</w:t>
            </w:r>
          </w:p>
        </w:tc>
        <w:tc>
          <w:tcPr>
            <w:tcW w:w="1123" w:type="dxa"/>
            <w:tcBorders>
              <w:top w:val="nil"/>
              <w:left w:val="nil"/>
              <w:bottom w:val="single" w:sz="8" w:space="0" w:color="auto"/>
              <w:right w:val="double" w:sz="6" w:space="0" w:color="auto"/>
            </w:tcBorders>
            <w:shd w:val="clear" w:color="auto" w:fill="auto"/>
            <w:noWrap/>
            <w:vAlign w:val="center"/>
            <w:hideMark/>
          </w:tcPr>
          <w:p w:rsidR="00B0121D" w:rsidRPr="00D73F43" w:rsidRDefault="00B0121D" w:rsidP="00AD09A8">
            <w:pPr>
              <w:spacing w:line="276" w:lineRule="auto"/>
              <w:jc w:val="both"/>
              <w:rPr>
                <w:rFonts w:eastAsia="Times New Roman"/>
                <w:i/>
                <w:lang w:val="sq-AL" w:eastAsia="sq-AL"/>
              </w:rPr>
            </w:pPr>
            <w:r w:rsidRPr="00D73F43">
              <w:rPr>
                <w:rFonts w:eastAsia="Times New Roman"/>
                <w:i/>
                <w:lang w:val="sq-AL" w:eastAsia="sq-AL"/>
              </w:rPr>
              <w:t>124%</w:t>
            </w:r>
          </w:p>
        </w:tc>
      </w:tr>
      <w:tr w:rsidR="00B0121D" w:rsidRPr="00D73F43" w:rsidTr="00AD09A8">
        <w:trPr>
          <w:trHeight w:val="330"/>
          <w:jc w:val="center"/>
        </w:trPr>
        <w:tc>
          <w:tcPr>
            <w:tcW w:w="556" w:type="dxa"/>
            <w:tcBorders>
              <w:top w:val="nil"/>
              <w:left w:val="double" w:sz="6" w:space="0" w:color="auto"/>
              <w:bottom w:val="single" w:sz="8" w:space="0" w:color="auto"/>
              <w:right w:val="single" w:sz="8" w:space="0" w:color="C0C0C0"/>
            </w:tcBorders>
            <w:shd w:val="clear" w:color="auto" w:fill="auto"/>
            <w:noWrap/>
            <w:vAlign w:val="center"/>
            <w:hideMark/>
          </w:tcPr>
          <w:p w:rsidR="00B0121D" w:rsidRPr="00D73F43" w:rsidRDefault="00B0121D" w:rsidP="00AD09A8">
            <w:pPr>
              <w:spacing w:line="276" w:lineRule="auto"/>
              <w:jc w:val="both"/>
              <w:rPr>
                <w:rFonts w:eastAsia="Times New Roman"/>
                <w:b/>
                <w:bCs/>
                <w:lang w:val="sq-AL" w:eastAsia="sq-AL"/>
              </w:rPr>
            </w:pPr>
            <w:r w:rsidRPr="00D73F43">
              <w:rPr>
                <w:rFonts w:eastAsia="Times New Roman"/>
                <w:b/>
                <w:bCs/>
                <w:lang w:val="sq-AL" w:eastAsia="sq-AL"/>
              </w:rPr>
              <w:t>II.</w:t>
            </w:r>
          </w:p>
        </w:tc>
        <w:tc>
          <w:tcPr>
            <w:tcW w:w="4454" w:type="dxa"/>
            <w:tcBorders>
              <w:top w:val="nil"/>
              <w:left w:val="nil"/>
              <w:bottom w:val="single" w:sz="8" w:space="0" w:color="auto"/>
              <w:right w:val="double" w:sz="6" w:space="0" w:color="auto"/>
            </w:tcBorders>
            <w:shd w:val="clear" w:color="auto" w:fill="auto"/>
            <w:noWrap/>
            <w:vAlign w:val="center"/>
            <w:hideMark/>
          </w:tcPr>
          <w:p w:rsidR="00B0121D" w:rsidRPr="00D73F43" w:rsidRDefault="00B0121D" w:rsidP="00AD09A8">
            <w:pPr>
              <w:spacing w:line="276" w:lineRule="auto"/>
              <w:jc w:val="both"/>
              <w:rPr>
                <w:rFonts w:eastAsia="Times New Roman"/>
                <w:b/>
                <w:bCs/>
                <w:lang w:val="sq-AL" w:eastAsia="sq-AL"/>
              </w:rPr>
            </w:pPr>
            <w:r w:rsidRPr="00D73F43">
              <w:rPr>
                <w:rFonts w:eastAsia="Times New Roman"/>
                <w:b/>
                <w:bCs/>
                <w:lang w:val="sq-AL" w:eastAsia="sq-AL"/>
              </w:rPr>
              <w:t>Shpenzime nga Pushtetit Vendor</w:t>
            </w:r>
          </w:p>
        </w:tc>
        <w:tc>
          <w:tcPr>
            <w:tcW w:w="1094" w:type="dxa"/>
            <w:tcBorders>
              <w:top w:val="nil"/>
              <w:left w:val="nil"/>
              <w:bottom w:val="single" w:sz="8" w:space="0" w:color="auto"/>
              <w:right w:val="nil"/>
            </w:tcBorders>
            <w:shd w:val="clear" w:color="auto" w:fill="auto"/>
            <w:noWrap/>
            <w:vAlign w:val="center"/>
            <w:hideMark/>
          </w:tcPr>
          <w:p w:rsidR="00B0121D" w:rsidRPr="00D73F43" w:rsidRDefault="00B0121D" w:rsidP="00AD09A8">
            <w:pPr>
              <w:spacing w:line="276" w:lineRule="auto"/>
              <w:jc w:val="both"/>
              <w:rPr>
                <w:rFonts w:eastAsia="Times New Roman"/>
                <w:b/>
                <w:bCs/>
                <w:lang w:val="sq-AL" w:eastAsia="sq-AL"/>
              </w:rPr>
            </w:pPr>
            <w:r w:rsidRPr="00D73F43">
              <w:rPr>
                <w:rFonts w:eastAsia="Times New Roman"/>
                <w:b/>
                <w:bCs/>
                <w:lang w:val="sq-AL" w:eastAsia="sq-AL"/>
              </w:rPr>
              <w:t>26.047</w:t>
            </w:r>
          </w:p>
        </w:tc>
        <w:tc>
          <w:tcPr>
            <w:tcW w:w="887" w:type="dxa"/>
            <w:tcBorders>
              <w:top w:val="nil"/>
              <w:left w:val="nil"/>
              <w:bottom w:val="single" w:sz="8" w:space="0" w:color="auto"/>
              <w:right w:val="nil"/>
            </w:tcBorders>
            <w:shd w:val="clear" w:color="auto" w:fill="auto"/>
            <w:noWrap/>
            <w:vAlign w:val="center"/>
            <w:hideMark/>
          </w:tcPr>
          <w:p w:rsidR="00B0121D" w:rsidRPr="00D73F43" w:rsidRDefault="00B0121D" w:rsidP="00AD09A8">
            <w:pPr>
              <w:spacing w:line="276" w:lineRule="auto"/>
              <w:jc w:val="both"/>
              <w:rPr>
                <w:rFonts w:eastAsia="Times New Roman"/>
                <w:b/>
                <w:bCs/>
                <w:lang w:val="sq-AL" w:eastAsia="sq-AL"/>
              </w:rPr>
            </w:pPr>
            <w:r w:rsidRPr="00D73F43">
              <w:rPr>
                <w:rFonts w:eastAsia="Times New Roman"/>
                <w:b/>
                <w:bCs/>
                <w:lang w:val="sq-AL" w:eastAsia="sq-AL"/>
              </w:rPr>
              <w:t>23.241</w:t>
            </w:r>
          </w:p>
        </w:tc>
        <w:tc>
          <w:tcPr>
            <w:tcW w:w="1014" w:type="dxa"/>
            <w:tcBorders>
              <w:top w:val="nil"/>
              <w:left w:val="double" w:sz="6" w:space="0" w:color="auto"/>
              <w:bottom w:val="single" w:sz="8" w:space="0" w:color="auto"/>
              <w:right w:val="nil"/>
            </w:tcBorders>
            <w:shd w:val="clear" w:color="auto" w:fill="auto"/>
            <w:noWrap/>
            <w:vAlign w:val="center"/>
            <w:hideMark/>
          </w:tcPr>
          <w:p w:rsidR="00B0121D" w:rsidRPr="00D73F43" w:rsidRDefault="00B0121D" w:rsidP="00AD09A8">
            <w:pPr>
              <w:spacing w:line="276" w:lineRule="auto"/>
              <w:jc w:val="both"/>
              <w:rPr>
                <w:rFonts w:eastAsia="Times New Roman"/>
                <w:b/>
                <w:bCs/>
                <w:lang w:val="sq-AL" w:eastAsia="sq-AL"/>
              </w:rPr>
            </w:pPr>
            <w:r w:rsidRPr="00D73F43">
              <w:rPr>
                <w:rFonts w:eastAsia="Times New Roman"/>
                <w:b/>
                <w:bCs/>
                <w:lang w:val="sq-AL" w:eastAsia="sq-AL"/>
              </w:rPr>
              <w:t>2.806</w:t>
            </w:r>
          </w:p>
        </w:tc>
        <w:tc>
          <w:tcPr>
            <w:tcW w:w="1123" w:type="dxa"/>
            <w:tcBorders>
              <w:top w:val="nil"/>
              <w:left w:val="nil"/>
              <w:bottom w:val="single" w:sz="8" w:space="0" w:color="auto"/>
              <w:right w:val="double" w:sz="6" w:space="0" w:color="auto"/>
            </w:tcBorders>
            <w:shd w:val="clear" w:color="auto" w:fill="auto"/>
            <w:noWrap/>
            <w:vAlign w:val="center"/>
            <w:hideMark/>
          </w:tcPr>
          <w:p w:rsidR="00B0121D" w:rsidRPr="00D73F43" w:rsidRDefault="00B0121D" w:rsidP="00AD09A8">
            <w:pPr>
              <w:spacing w:line="276" w:lineRule="auto"/>
              <w:jc w:val="both"/>
              <w:rPr>
                <w:rFonts w:eastAsia="Times New Roman"/>
                <w:b/>
                <w:bCs/>
                <w:lang w:val="sq-AL" w:eastAsia="sq-AL"/>
              </w:rPr>
            </w:pPr>
            <w:r w:rsidRPr="00D73F43">
              <w:rPr>
                <w:rFonts w:eastAsia="Times New Roman"/>
                <w:b/>
                <w:bCs/>
                <w:lang w:val="sq-AL" w:eastAsia="sq-AL"/>
              </w:rPr>
              <w:t>112%</w:t>
            </w:r>
          </w:p>
        </w:tc>
      </w:tr>
      <w:tr w:rsidR="00B0121D" w:rsidRPr="00D73F43" w:rsidTr="00AD09A8">
        <w:trPr>
          <w:trHeight w:val="330"/>
          <w:jc w:val="center"/>
        </w:trPr>
        <w:tc>
          <w:tcPr>
            <w:tcW w:w="556" w:type="dxa"/>
            <w:tcBorders>
              <w:top w:val="nil"/>
              <w:left w:val="double" w:sz="6" w:space="0" w:color="auto"/>
              <w:bottom w:val="single" w:sz="8" w:space="0" w:color="C0C0C0"/>
              <w:right w:val="single" w:sz="8" w:space="0" w:color="C0C0C0"/>
            </w:tcBorders>
            <w:shd w:val="clear" w:color="auto" w:fill="auto"/>
            <w:noWrap/>
            <w:vAlign w:val="center"/>
            <w:hideMark/>
          </w:tcPr>
          <w:p w:rsidR="00B0121D" w:rsidRPr="00D73F43" w:rsidRDefault="00B0121D" w:rsidP="00AD09A8">
            <w:pPr>
              <w:spacing w:line="276" w:lineRule="auto"/>
              <w:jc w:val="both"/>
              <w:rPr>
                <w:rFonts w:eastAsia="Times New Roman"/>
                <w:lang w:val="sq-AL" w:eastAsia="sq-AL"/>
              </w:rPr>
            </w:pPr>
            <w:r w:rsidRPr="00D73F43">
              <w:rPr>
                <w:rFonts w:eastAsia="Times New Roman"/>
                <w:lang w:val="sq-AL" w:eastAsia="sq-AL"/>
              </w:rPr>
              <w:t>II.1</w:t>
            </w:r>
          </w:p>
        </w:tc>
        <w:tc>
          <w:tcPr>
            <w:tcW w:w="4454" w:type="dxa"/>
            <w:tcBorders>
              <w:top w:val="nil"/>
              <w:left w:val="nil"/>
              <w:bottom w:val="single" w:sz="8" w:space="0" w:color="C0C0C0"/>
              <w:right w:val="double" w:sz="6" w:space="0" w:color="auto"/>
            </w:tcBorders>
            <w:shd w:val="clear" w:color="auto" w:fill="auto"/>
            <w:noWrap/>
            <w:vAlign w:val="center"/>
            <w:hideMark/>
          </w:tcPr>
          <w:p w:rsidR="00B0121D" w:rsidRPr="00D73F43" w:rsidRDefault="00B0121D" w:rsidP="00AD09A8">
            <w:pPr>
              <w:spacing w:line="276" w:lineRule="auto"/>
              <w:jc w:val="both"/>
              <w:rPr>
                <w:rFonts w:eastAsia="Times New Roman"/>
                <w:b/>
                <w:bCs/>
                <w:i/>
                <w:iCs/>
                <w:lang w:val="sq-AL" w:eastAsia="sq-AL"/>
              </w:rPr>
            </w:pPr>
            <w:r w:rsidRPr="00D73F43">
              <w:rPr>
                <w:rFonts w:eastAsia="Times New Roman"/>
                <w:b/>
                <w:bCs/>
                <w:i/>
                <w:iCs/>
                <w:lang w:val="sq-AL" w:eastAsia="sq-AL"/>
              </w:rPr>
              <w:t>Shpenzime Korente</w:t>
            </w:r>
          </w:p>
        </w:tc>
        <w:tc>
          <w:tcPr>
            <w:tcW w:w="1094" w:type="dxa"/>
            <w:tcBorders>
              <w:top w:val="nil"/>
              <w:left w:val="nil"/>
              <w:bottom w:val="single" w:sz="8" w:space="0" w:color="C0C0C0"/>
              <w:right w:val="nil"/>
            </w:tcBorders>
            <w:shd w:val="clear" w:color="auto" w:fill="auto"/>
            <w:noWrap/>
            <w:vAlign w:val="center"/>
            <w:hideMark/>
          </w:tcPr>
          <w:p w:rsidR="00B0121D" w:rsidRPr="00D73F43" w:rsidRDefault="00B0121D" w:rsidP="00AD09A8">
            <w:pPr>
              <w:spacing w:line="276" w:lineRule="auto"/>
              <w:jc w:val="both"/>
              <w:rPr>
                <w:rFonts w:eastAsia="Times New Roman"/>
                <w:lang w:val="sq-AL" w:eastAsia="sq-AL"/>
              </w:rPr>
            </w:pPr>
            <w:r w:rsidRPr="00D73F43">
              <w:rPr>
                <w:rFonts w:eastAsia="Times New Roman"/>
                <w:lang w:val="sq-AL" w:eastAsia="sq-AL"/>
              </w:rPr>
              <w:t>18.672</w:t>
            </w:r>
          </w:p>
        </w:tc>
        <w:tc>
          <w:tcPr>
            <w:tcW w:w="887" w:type="dxa"/>
            <w:tcBorders>
              <w:top w:val="nil"/>
              <w:left w:val="nil"/>
              <w:bottom w:val="single" w:sz="8" w:space="0" w:color="C0C0C0"/>
              <w:right w:val="nil"/>
            </w:tcBorders>
            <w:shd w:val="clear" w:color="auto" w:fill="auto"/>
            <w:noWrap/>
            <w:vAlign w:val="center"/>
            <w:hideMark/>
          </w:tcPr>
          <w:p w:rsidR="00B0121D" w:rsidRPr="00D73F43" w:rsidRDefault="00B0121D" w:rsidP="00AD09A8">
            <w:pPr>
              <w:spacing w:line="276" w:lineRule="auto"/>
              <w:jc w:val="both"/>
              <w:rPr>
                <w:rFonts w:eastAsia="Times New Roman"/>
                <w:lang w:val="sq-AL" w:eastAsia="sq-AL"/>
              </w:rPr>
            </w:pPr>
            <w:r w:rsidRPr="00D73F43">
              <w:rPr>
                <w:rFonts w:eastAsia="Times New Roman"/>
                <w:lang w:val="sq-AL" w:eastAsia="sq-AL"/>
              </w:rPr>
              <w:t>15.083</w:t>
            </w:r>
          </w:p>
        </w:tc>
        <w:tc>
          <w:tcPr>
            <w:tcW w:w="1014" w:type="dxa"/>
            <w:tcBorders>
              <w:top w:val="nil"/>
              <w:left w:val="double" w:sz="6" w:space="0" w:color="auto"/>
              <w:bottom w:val="single" w:sz="8" w:space="0" w:color="C0C0C0"/>
              <w:right w:val="nil"/>
            </w:tcBorders>
            <w:shd w:val="clear" w:color="auto" w:fill="auto"/>
            <w:noWrap/>
            <w:vAlign w:val="center"/>
            <w:hideMark/>
          </w:tcPr>
          <w:p w:rsidR="00B0121D" w:rsidRPr="00D73F43" w:rsidRDefault="00B0121D" w:rsidP="00AD09A8">
            <w:pPr>
              <w:spacing w:line="276" w:lineRule="auto"/>
              <w:jc w:val="both"/>
              <w:rPr>
                <w:rFonts w:eastAsia="Times New Roman"/>
                <w:lang w:val="sq-AL" w:eastAsia="sq-AL"/>
              </w:rPr>
            </w:pPr>
            <w:r w:rsidRPr="00D73F43">
              <w:rPr>
                <w:rFonts w:eastAsia="Times New Roman"/>
                <w:lang w:val="sq-AL" w:eastAsia="sq-AL"/>
              </w:rPr>
              <w:t>3.589</w:t>
            </w:r>
          </w:p>
        </w:tc>
        <w:tc>
          <w:tcPr>
            <w:tcW w:w="1123" w:type="dxa"/>
            <w:tcBorders>
              <w:top w:val="nil"/>
              <w:left w:val="nil"/>
              <w:bottom w:val="single" w:sz="8" w:space="0" w:color="C0C0C0"/>
              <w:right w:val="double" w:sz="6" w:space="0" w:color="auto"/>
            </w:tcBorders>
            <w:shd w:val="clear" w:color="auto" w:fill="auto"/>
            <w:noWrap/>
            <w:vAlign w:val="center"/>
            <w:hideMark/>
          </w:tcPr>
          <w:p w:rsidR="00B0121D" w:rsidRPr="00D73F43" w:rsidRDefault="00B0121D" w:rsidP="00AD09A8">
            <w:pPr>
              <w:spacing w:line="276" w:lineRule="auto"/>
              <w:jc w:val="both"/>
              <w:rPr>
                <w:rFonts w:eastAsia="Times New Roman"/>
                <w:lang w:val="sq-AL" w:eastAsia="sq-AL"/>
              </w:rPr>
            </w:pPr>
            <w:r w:rsidRPr="00D73F43">
              <w:rPr>
                <w:rFonts w:eastAsia="Times New Roman"/>
                <w:lang w:val="sq-AL" w:eastAsia="sq-AL"/>
              </w:rPr>
              <w:t>124%</w:t>
            </w:r>
          </w:p>
        </w:tc>
      </w:tr>
      <w:tr w:rsidR="00B0121D" w:rsidRPr="00D73F43" w:rsidTr="00AD09A8">
        <w:trPr>
          <w:trHeight w:val="330"/>
          <w:jc w:val="center"/>
        </w:trPr>
        <w:tc>
          <w:tcPr>
            <w:tcW w:w="556" w:type="dxa"/>
            <w:tcBorders>
              <w:top w:val="nil"/>
              <w:left w:val="double" w:sz="6" w:space="0" w:color="auto"/>
              <w:bottom w:val="single" w:sz="8" w:space="0" w:color="C0C0C0"/>
              <w:right w:val="single" w:sz="8" w:space="0" w:color="C0C0C0"/>
            </w:tcBorders>
            <w:shd w:val="clear" w:color="auto" w:fill="auto"/>
            <w:noWrap/>
            <w:vAlign w:val="center"/>
            <w:hideMark/>
          </w:tcPr>
          <w:p w:rsidR="00B0121D" w:rsidRPr="00D73F43" w:rsidRDefault="00B0121D" w:rsidP="00AD09A8">
            <w:pPr>
              <w:spacing w:line="276" w:lineRule="auto"/>
              <w:jc w:val="both"/>
              <w:rPr>
                <w:rFonts w:eastAsia="Times New Roman"/>
                <w:lang w:val="sq-AL" w:eastAsia="sq-AL"/>
              </w:rPr>
            </w:pPr>
            <w:r w:rsidRPr="00D73F43">
              <w:rPr>
                <w:rFonts w:eastAsia="Times New Roman"/>
                <w:lang w:val="sq-AL" w:eastAsia="sq-AL"/>
              </w:rPr>
              <w:t> </w:t>
            </w:r>
          </w:p>
        </w:tc>
        <w:tc>
          <w:tcPr>
            <w:tcW w:w="4454" w:type="dxa"/>
            <w:tcBorders>
              <w:top w:val="nil"/>
              <w:left w:val="nil"/>
              <w:bottom w:val="single" w:sz="8" w:space="0" w:color="C0C0C0"/>
              <w:right w:val="double" w:sz="6" w:space="0" w:color="auto"/>
            </w:tcBorders>
            <w:shd w:val="clear" w:color="auto" w:fill="auto"/>
            <w:noWrap/>
            <w:vAlign w:val="center"/>
            <w:hideMark/>
          </w:tcPr>
          <w:p w:rsidR="00B0121D" w:rsidRPr="00D73F43" w:rsidRDefault="00B0121D" w:rsidP="00AD09A8">
            <w:pPr>
              <w:spacing w:line="276" w:lineRule="auto"/>
              <w:jc w:val="both"/>
              <w:rPr>
                <w:rFonts w:eastAsia="Times New Roman"/>
                <w:i/>
                <w:iCs/>
                <w:lang w:val="sq-AL" w:eastAsia="sq-AL"/>
              </w:rPr>
            </w:pPr>
            <w:r w:rsidRPr="00D73F43">
              <w:rPr>
                <w:rFonts w:eastAsia="Times New Roman"/>
                <w:i/>
                <w:iCs/>
                <w:lang w:val="sq-AL" w:eastAsia="sq-AL"/>
              </w:rPr>
              <w:t xml:space="preserve">Personeli </w:t>
            </w:r>
          </w:p>
        </w:tc>
        <w:tc>
          <w:tcPr>
            <w:tcW w:w="1094" w:type="dxa"/>
            <w:tcBorders>
              <w:top w:val="nil"/>
              <w:left w:val="nil"/>
              <w:bottom w:val="single" w:sz="8" w:space="0" w:color="C0C0C0"/>
              <w:right w:val="nil"/>
            </w:tcBorders>
            <w:shd w:val="clear" w:color="auto" w:fill="auto"/>
            <w:noWrap/>
            <w:vAlign w:val="center"/>
            <w:hideMark/>
          </w:tcPr>
          <w:p w:rsidR="00B0121D" w:rsidRPr="00D73F43" w:rsidRDefault="00B0121D" w:rsidP="00AD09A8">
            <w:pPr>
              <w:spacing w:line="276" w:lineRule="auto"/>
              <w:jc w:val="both"/>
              <w:rPr>
                <w:rFonts w:eastAsia="Times New Roman"/>
                <w:i/>
                <w:iCs/>
                <w:lang w:val="sq-AL" w:eastAsia="sq-AL"/>
              </w:rPr>
            </w:pPr>
            <w:r w:rsidRPr="00D73F43">
              <w:rPr>
                <w:rFonts w:eastAsia="Times New Roman"/>
                <w:i/>
                <w:iCs/>
                <w:lang w:val="sq-AL" w:eastAsia="sq-AL"/>
              </w:rPr>
              <w:t>11.538</w:t>
            </w:r>
          </w:p>
        </w:tc>
        <w:tc>
          <w:tcPr>
            <w:tcW w:w="887" w:type="dxa"/>
            <w:tcBorders>
              <w:top w:val="nil"/>
              <w:left w:val="nil"/>
              <w:bottom w:val="single" w:sz="8" w:space="0" w:color="C0C0C0"/>
              <w:right w:val="nil"/>
            </w:tcBorders>
            <w:shd w:val="clear" w:color="auto" w:fill="auto"/>
            <w:noWrap/>
            <w:vAlign w:val="center"/>
            <w:hideMark/>
          </w:tcPr>
          <w:p w:rsidR="00B0121D" w:rsidRPr="00D73F43" w:rsidRDefault="00B0121D" w:rsidP="00AD09A8">
            <w:pPr>
              <w:spacing w:line="276" w:lineRule="auto"/>
              <w:jc w:val="both"/>
              <w:rPr>
                <w:rFonts w:eastAsia="Times New Roman"/>
                <w:i/>
                <w:iCs/>
                <w:lang w:val="sq-AL" w:eastAsia="sq-AL"/>
              </w:rPr>
            </w:pPr>
            <w:r w:rsidRPr="00D73F43">
              <w:rPr>
                <w:rFonts w:eastAsia="Times New Roman"/>
                <w:i/>
                <w:iCs/>
                <w:lang w:val="sq-AL" w:eastAsia="sq-AL"/>
              </w:rPr>
              <w:t>8.088</w:t>
            </w:r>
          </w:p>
        </w:tc>
        <w:tc>
          <w:tcPr>
            <w:tcW w:w="1014" w:type="dxa"/>
            <w:tcBorders>
              <w:top w:val="nil"/>
              <w:left w:val="double" w:sz="6" w:space="0" w:color="auto"/>
              <w:bottom w:val="single" w:sz="8" w:space="0" w:color="C0C0C0"/>
              <w:right w:val="nil"/>
            </w:tcBorders>
            <w:shd w:val="clear" w:color="auto" w:fill="auto"/>
            <w:noWrap/>
            <w:vAlign w:val="center"/>
            <w:hideMark/>
          </w:tcPr>
          <w:p w:rsidR="00B0121D" w:rsidRPr="00D73F43" w:rsidRDefault="00B0121D" w:rsidP="00AD09A8">
            <w:pPr>
              <w:spacing w:line="276" w:lineRule="auto"/>
              <w:jc w:val="both"/>
              <w:rPr>
                <w:rFonts w:eastAsia="Times New Roman"/>
                <w:i/>
                <w:lang w:val="sq-AL" w:eastAsia="sq-AL"/>
              </w:rPr>
            </w:pPr>
            <w:r w:rsidRPr="00D73F43">
              <w:rPr>
                <w:rFonts w:eastAsia="Times New Roman"/>
                <w:i/>
                <w:lang w:val="sq-AL" w:eastAsia="sq-AL"/>
              </w:rPr>
              <w:t>3.450</w:t>
            </w:r>
          </w:p>
        </w:tc>
        <w:tc>
          <w:tcPr>
            <w:tcW w:w="1123" w:type="dxa"/>
            <w:tcBorders>
              <w:top w:val="nil"/>
              <w:left w:val="nil"/>
              <w:bottom w:val="single" w:sz="8" w:space="0" w:color="C0C0C0"/>
              <w:right w:val="double" w:sz="6" w:space="0" w:color="auto"/>
            </w:tcBorders>
            <w:shd w:val="clear" w:color="auto" w:fill="auto"/>
            <w:noWrap/>
            <w:vAlign w:val="center"/>
            <w:hideMark/>
          </w:tcPr>
          <w:p w:rsidR="00B0121D" w:rsidRPr="00D73F43" w:rsidRDefault="00B0121D" w:rsidP="00AD09A8">
            <w:pPr>
              <w:spacing w:line="276" w:lineRule="auto"/>
              <w:jc w:val="both"/>
              <w:rPr>
                <w:rFonts w:eastAsia="Times New Roman"/>
                <w:i/>
                <w:lang w:val="sq-AL" w:eastAsia="sq-AL"/>
              </w:rPr>
            </w:pPr>
            <w:r w:rsidRPr="00D73F43">
              <w:rPr>
                <w:rFonts w:eastAsia="Times New Roman"/>
                <w:i/>
                <w:lang w:val="sq-AL" w:eastAsia="sq-AL"/>
              </w:rPr>
              <w:t>143%</w:t>
            </w:r>
          </w:p>
        </w:tc>
      </w:tr>
      <w:tr w:rsidR="00B0121D" w:rsidRPr="00D73F43" w:rsidTr="00AD09A8">
        <w:trPr>
          <w:trHeight w:val="330"/>
          <w:jc w:val="center"/>
        </w:trPr>
        <w:tc>
          <w:tcPr>
            <w:tcW w:w="556" w:type="dxa"/>
            <w:tcBorders>
              <w:top w:val="nil"/>
              <w:left w:val="double" w:sz="6" w:space="0" w:color="auto"/>
              <w:bottom w:val="single" w:sz="8" w:space="0" w:color="C0C0C0"/>
              <w:right w:val="single" w:sz="8" w:space="0" w:color="C0C0C0"/>
            </w:tcBorders>
            <w:shd w:val="clear" w:color="auto" w:fill="auto"/>
            <w:noWrap/>
            <w:vAlign w:val="center"/>
            <w:hideMark/>
          </w:tcPr>
          <w:p w:rsidR="00B0121D" w:rsidRPr="00D73F43" w:rsidRDefault="00B0121D" w:rsidP="00AD09A8">
            <w:pPr>
              <w:spacing w:line="276" w:lineRule="auto"/>
              <w:jc w:val="both"/>
              <w:rPr>
                <w:rFonts w:eastAsia="Times New Roman"/>
                <w:lang w:val="sq-AL" w:eastAsia="sq-AL"/>
              </w:rPr>
            </w:pPr>
            <w:r w:rsidRPr="00D73F43">
              <w:rPr>
                <w:rFonts w:eastAsia="Times New Roman"/>
                <w:lang w:val="sq-AL" w:eastAsia="sq-AL"/>
              </w:rPr>
              <w:t> </w:t>
            </w:r>
          </w:p>
        </w:tc>
        <w:tc>
          <w:tcPr>
            <w:tcW w:w="4454" w:type="dxa"/>
            <w:tcBorders>
              <w:top w:val="nil"/>
              <w:left w:val="nil"/>
              <w:bottom w:val="single" w:sz="8" w:space="0" w:color="C0C0C0"/>
              <w:right w:val="double" w:sz="6" w:space="0" w:color="auto"/>
            </w:tcBorders>
            <w:shd w:val="clear" w:color="auto" w:fill="auto"/>
            <w:noWrap/>
            <w:vAlign w:val="center"/>
            <w:hideMark/>
          </w:tcPr>
          <w:p w:rsidR="00B0121D" w:rsidRPr="00D73F43" w:rsidRDefault="00B0121D" w:rsidP="00AD09A8">
            <w:pPr>
              <w:spacing w:line="276" w:lineRule="auto"/>
              <w:jc w:val="both"/>
              <w:rPr>
                <w:rFonts w:eastAsia="Times New Roman"/>
                <w:i/>
                <w:iCs/>
                <w:lang w:val="sq-AL" w:eastAsia="sq-AL"/>
              </w:rPr>
            </w:pPr>
            <w:r w:rsidRPr="00D73F43">
              <w:rPr>
                <w:rFonts w:eastAsia="Times New Roman"/>
                <w:i/>
                <w:iCs/>
                <w:lang w:val="sq-AL" w:eastAsia="sq-AL"/>
              </w:rPr>
              <w:t>Shpenzime Oper. Mirmbajtje</w:t>
            </w:r>
          </w:p>
        </w:tc>
        <w:tc>
          <w:tcPr>
            <w:tcW w:w="1094" w:type="dxa"/>
            <w:tcBorders>
              <w:top w:val="nil"/>
              <w:left w:val="nil"/>
              <w:bottom w:val="single" w:sz="8" w:space="0" w:color="C0C0C0"/>
              <w:right w:val="nil"/>
            </w:tcBorders>
            <w:shd w:val="clear" w:color="auto" w:fill="auto"/>
            <w:noWrap/>
            <w:vAlign w:val="center"/>
            <w:hideMark/>
          </w:tcPr>
          <w:p w:rsidR="00B0121D" w:rsidRPr="00D73F43" w:rsidRDefault="00B0121D" w:rsidP="00AD09A8">
            <w:pPr>
              <w:spacing w:line="276" w:lineRule="auto"/>
              <w:jc w:val="both"/>
              <w:rPr>
                <w:rFonts w:eastAsia="Times New Roman"/>
                <w:i/>
                <w:iCs/>
                <w:lang w:val="sq-AL" w:eastAsia="sq-AL"/>
              </w:rPr>
            </w:pPr>
            <w:r w:rsidRPr="00D73F43">
              <w:rPr>
                <w:rFonts w:eastAsia="Times New Roman"/>
                <w:i/>
                <w:iCs/>
                <w:lang w:val="sq-AL" w:eastAsia="sq-AL"/>
              </w:rPr>
              <w:t>6.589</w:t>
            </w:r>
          </w:p>
        </w:tc>
        <w:tc>
          <w:tcPr>
            <w:tcW w:w="887" w:type="dxa"/>
            <w:tcBorders>
              <w:top w:val="nil"/>
              <w:left w:val="nil"/>
              <w:bottom w:val="single" w:sz="8" w:space="0" w:color="C0C0C0"/>
              <w:right w:val="nil"/>
            </w:tcBorders>
            <w:shd w:val="clear" w:color="auto" w:fill="auto"/>
            <w:noWrap/>
            <w:vAlign w:val="center"/>
            <w:hideMark/>
          </w:tcPr>
          <w:p w:rsidR="00B0121D" w:rsidRPr="00D73F43" w:rsidRDefault="00B0121D" w:rsidP="00AD09A8">
            <w:pPr>
              <w:spacing w:line="276" w:lineRule="auto"/>
              <w:jc w:val="both"/>
              <w:rPr>
                <w:rFonts w:eastAsia="Times New Roman"/>
                <w:i/>
                <w:iCs/>
                <w:lang w:val="sq-AL" w:eastAsia="sq-AL"/>
              </w:rPr>
            </w:pPr>
            <w:r w:rsidRPr="00D73F43">
              <w:rPr>
                <w:rFonts w:eastAsia="Times New Roman"/>
                <w:i/>
                <w:iCs/>
                <w:lang w:val="sq-AL" w:eastAsia="sq-AL"/>
              </w:rPr>
              <w:t>6.530</w:t>
            </w:r>
          </w:p>
        </w:tc>
        <w:tc>
          <w:tcPr>
            <w:tcW w:w="1014" w:type="dxa"/>
            <w:tcBorders>
              <w:top w:val="nil"/>
              <w:left w:val="double" w:sz="6" w:space="0" w:color="auto"/>
              <w:bottom w:val="single" w:sz="8" w:space="0" w:color="C0C0C0"/>
              <w:right w:val="nil"/>
            </w:tcBorders>
            <w:shd w:val="clear" w:color="auto" w:fill="auto"/>
            <w:noWrap/>
            <w:vAlign w:val="center"/>
            <w:hideMark/>
          </w:tcPr>
          <w:p w:rsidR="00B0121D" w:rsidRPr="00D73F43" w:rsidRDefault="00B0121D" w:rsidP="00AD09A8">
            <w:pPr>
              <w:spacing w:line="276" w:lineRule="auto"/>
              <w:jc w:val="both"/>
              <w:rPr>
                <w:rFonts w:eastAsia="Times New Roman"/>
                <w:i/>
                <w:lang w:val="sq-AL" w:eastAsia="sq-AL"/>
              </w:rPr>
            </w:pPr>
            <w:r w:rsidRPr="00D73F43">
              <w:rPr>
                <w:rFonts w:eastAsia="Times New Roman"/>
                <w:i/>
                <w:lang w:val="sq-AL" w:eastAsia="sq-AL"/>
              </w:rPr>
              <w:t>59</w:t>
            </w:r>
          </w:p>
        </w:tc>
        <w:tc>
          <w:tcPr>
            <w:tcW w:w="1123" w:type="dxa"/>
            <w:tcBorders>
              <w:top w:val="nil"/>
              <w:left w:val="nil"/>
              <w:bottom w:val="single" w:sz="8" w:space="0" w:color="C0C0C0"/>
              <w:right w:val="double" w:sz="6" w:space="0" w:color="auto"/>
            </w:tcBorders>
            <w:shd w:val="clear" w:color="auto" w:fill="auto"/>
            <w:noWrap/>
            <w:vAlign w:val="center"/>
            <w:hideMark/>
          </w:tcPr>
          <w:p w:rsidR="00B0121D" w:rsidRPr="00D73F43" w:rsidRDefault="00B0121D" w:rsidP="00AD09A8">
            <w:pPr>
              <w:spacing w:line="276" w:lineRule="auto"/>
              <w:jc w:val="both"/>
              <w:rPr>
                <w:rFonts w:eastAsia="Times New Roman"/>
                <w:i/>
                <w:lang w:val="sq-AL" w:eastAsia="sq-AL"/>
              </w:rPr>
            </w:pPr>
            <w:r w:rsidRPr="00D73F43">
              <w:rPr>
                <w:rFonts w:eastAsia="Times New Roman"/>
                <w:i/>
                <w:lang w:val="sq-AL" w:eastAsia="sq-AL"/>
              </w:rPr>
              <w:t>101%</w:t>
            </w:r>
          </w:p>
        </w:tc>
      </w:tr>
      <w:tr w:rsidR="00B0121D" w:rsidRPr="00D73F43" w:rsidTr="00AD09A8">
        <w:trPr>
          <w:trHeight w:val="330"/>
          <w:jc w:val="center"/>
        </w:trPr>
        <w:tc>
          <w:tcPr>
            <w:tcW w:w="556" w:type="dxa"/>
            <w:tcBorders>
              <w:top w:val="nil"/>
              <w:left w:val="double" w:sz="6" w:space="0" w:color="auto"/>
              <w:bottom w:val="nil"/>
              <w:right w:val="single" w:sz="8" w:space="0" w:color="C0C0C0"/>
            </w:tcBorders>
            <w:shd w:val="clear" w:color="auto" w:fill="auto"/>
            <w:noWrap/>
            <w:vAlign w:val="center"/>
            <w:hideMark/>
          </w:tcPr>
          <w:p w:rsidR="00B0121D" w:rsidRPr="00D73F43" w:rsidRDefault="00B0121D" w:rsidP="00AD09A8">
            <w:pPr>
              <w:spacing w:line="276" w:lineRule="auto"/>
              <w:jc w:val="both"/>
              <w:rPr>
                <w:rFonts w:eastAsia="Times New Roman"/>
                <w:lang w:val="sq-AL" w:eastAsia="sq-AL"/>
              </w:rPr>
            </w:pPr>
            <w:r w:rsidRPr="00D73F43">
              <w:rPr>
                <w:rFonts w:eastAsia="Times New Roman"/>
                <w:lang w:val="sq-AL" w:eastAsia="sq-AL"/>
              </w:rPr>
              <w:t> </w:t>
            </w:r>
          </w:p>
        </w:tc>
        <w:tc>
          <w:tcPr>
            <w:tcW w:w="4454" w:type="dxa"/>
            <w:tcBorders>
              <w:top w:val="nil"/>
              <w:left w:val="nil"/>
              <w:bottom w:val="single" w:sz="8" w:space="0" w:color="C0C0C0"/>
              <w:right w:val="double" w:sz="6" w:space="0" w:color="auto"/>
            </w:tcBorders>
            <w:shd w:val="clear" w:color="auto" w:fill="auto"/>
            <w:noWrap/>
            <w:vAlign w:val="center"/>
            <w:hideMark/>
          </w:tcPr>
          <w:p w:rsidR="00B0121D" w:rsidRPr="00D73F43" w:rsidRDefault="00B0121D" w:rsidP="00AD09A8">
            <w:pPr>
              <w:spacing w:line="276" w:lineRule="auto"/>
              <w:jc w:val="both"/>
              <w:rPr>
                <w:rFonts w:eastAsia="Times New Roman"/>
                <w:i/>
                <w:iCs/>
                <w:lang w:val="sq-AL" w:eastAsia="sq-AL"/>
              </w:rPr>
            </w:pPr>
            <w:r w:rsidRPr="00D73F43">
              <w:rPr>
                <w:rFonts w:eastAsia="Times New Roman"/>
                <w:i/>
                <w:iCs/>
                <w:lang w:val="sq-AL" w:eastAsia="sq-AL"/>
              </w:rPr>
              <w:t>Interesa</w:t>
            </w:r>
          </w:p>
        </w:tc>
        <w:tc>
          <w:tcPr>
            <w:tcW w:w="1094" w:type="dxa"/>
            <w:tcBorders>
              <w:top w:val="nil"/>
              <w:left w:val="nil"/>
              <w:bottom w:val="single" w:sz="8" w:space="0" w:color="C0C0C0"/>
              <w:right w:val="nil"/>
            </w:tcBorders>
            <w:shd w:val="clear" w:color="auto" w:fill="auto"/>
            <w:noWrap/>
            <w:vAlign w:val="center"/>
            <w:hideMark/>
          </w:tcPr>
          <w:p w:rsidR="00B0121D" w:rsidRPr="00D73F43" w:rsidRDefault="00B0121D" w:rsidP="00AD09A8">
            <w:pPr>
              <w:spacing w:line="276" w:lineRule="auto"/>
              <w:jc w:val="both"/>
              <w:rPr>
                <w:rFonts w:eastAsia="Times New Roman"/>
                <w:i/>
                <w:iCs/>
                <w:lang w:val="sq-AL" w:eastAsia="sq-AL"/>
              </w:rPr>
            </w:pPr>
            <w:r w:rsidRPr="00D73F43">
              <w:rPr>
                <w:rFonts w:eastAsia="Times New Roman"/>
                <w:i/>
                <w:iCs/>
                <w:lang w:val="sq-AL" w:eastAsia="sq-AL"/>
              </w:rPr>
              <w:t>36</w:t>
            </w:r>
          </w:p>
        </w:tc>
        <w:tc>
          <w:tcPr>
            <w:tcW w:w="887" w:type="dxa"/>
            <w:tcBorders>
              <w:top w:val="nil"/>
              <w:left w:val="nil"/>
              <w:bottom w:val="single" w:sz="8" w:space="0" w:color="C0C0C0"/>
              <w:right w:val="nil"/>
            </w:tcBorders>
            <w:shd w:val="clear" w:color="auto" w:fill="auto"/>
            <w:noWrap/>
            <w:vAlign w:val="center"/>
            <w:hideMark/>
          </w:tcPr>
          <w:p w:rsidR="00B0121D" w:rsidRPr="00D73F43" w:rsidRDefault="00B0121D" w:rsidP="00AD09A8">
            <w:pPr>
              <w:spacing w:line="276" w:lineRule="auto"/>
              <w:jc w:val="both"/>
              <w:rPr>
                <w:rFonts w:eastAsia="Times New Roman"/>
                <w:i/>
                <w:iCs/>
                <w:lang w:val="sq-AL" w:eastAsia="sq-AL"/>
              </w:rPr>
            </w:pPr>
            <w:r w:rsidRPr="00D73F43">
              <w:rPr>
                <w:rFonts w:eastAsia="Times New Roman"/>
                <w:i/>
                <w:iCs/>
                <w:lang w:val="sq-AL" w:eastAsia="sq-AL"/>
              </w:rPr>
              <w:t>40</w:t>
            </w:r>
          </w:p>
        </w:tc>
        <w:tc>
          <w:tcPr>
            <w:tcW w:w="1014" w:type="dxa"/>
            <w:tcBorders>
              <w:top w:val="nil"/>
              <w:left w:val="double" w:sz="6" w:space="0" w:color="auto"/>
              <w:bottom w:val="single" w:sz="8" w:space="0" w:color="C0C0C0"/>
              <w:right w:val="nil"/>
            </w:tcBorders>
            <w:shd w:val="clear" w:color="auto" w:fill="auto"/>
            <w:noWrap/>
            <w:vAlign w:val="center"/>
            <w:hideMark/>
          </w:tcPr>
          <w:p w:rsidR="00B0121D" w:rsidRPr="00D73F43" w:rsidRDefault="00B0121D" w:rsidP="00AD09A8">
            <w:pPr>
              <w:spacing w:line="276" w:lineRule="auto"/>
              <w:jc w:val="both"/>
              <w:rPr>
                <w:rFonts w:eastAsia="Times New Roman"/>
                <w:i/>
                <w:lang w:val="sq-AL" w:eastAsia="sq-AL"/>
              </w:rPr>
            </w:pPr>
            <w:r w:rsidRPr="00D73F43">
              <w:rPr>
                <w:rFonts w:eastAsia="Times New Roman"/>
                <w:i/>
                <w:lang w:val="sq-AL" w:eastAsia="sq-AL"/>
              </w:rPr>
              <w:t>-4</w:t>
            </w:r>
          </w:p>
        </w:tc>
        <w:tc>
          <w:tcPr>
            <w:tcW w:w="1123" w:type="dxa"/>
            <w:tcBorders>
              <w:top w:val="nil"/>
              <w:left w:val="nil"/>
              <w:bottom w:val="single" w:sz="8" w:space="0" w:color="C0C0C0"/>
              <w:right w:val="double" w:sz="6" w:space="0" w:color="auto"/>
            </w:tcBorders>
            <w:shd w:val="clear" w:color="auto" w:fill="auto"/>
            <w:noWrap/>
            <w:vAlign w:val="center"/>
            <w:hideMark/>
          </w:tcPr>
          <w:p w:rsidR="00B0121D" w:rsidRPr="00D73F43" w:rsidRDefault="00B0121D" w:rsidP="00AD09A8">
            <w:pPr>
              <w:spacing w:line="276" w:lineRule="auto"/>
              <w:jc w:val="both"/>
              <w:rPr>
                <w:rFonts w:eastAsia="Times New Roman"/>
                <w:i/>
                <w:lang w:val="sq-AL" w:eastAsia="sq-AL"/>
              </w:rPr>
            </w:pPr>
            <w:r w:rsidRPr="00D73F43">
              <w:rPr>
                <w:rFonts w:eastAsia="Times New Roman"/>
                <w:i/>
                <w:lang w:val="sq-AL" w:eastAsia="sq-AL"/>
              </w:rPr>
              <w:t>90%</w:t>
            </w:r>
          </w:p>
        </w:tc>
      </w:tr>
      <w:tr w:rsidR="00B0121D" w:rsidRPr="00D73F43" w:rsidTr="00AD09A8">
        <w:trPr>
          <w:trHeight w:val="330"/>
          <w:jc w:val="center"/>
        </w:trPr>
        <w:tc>
          <w:tcPr>
            <w:tcW w:w="556" w:type="dxa"/>
            <w:tcBorders>
              <w:top w:val="nil"/>
              <w:left w:val="double" w:sz="6" w:space="0" w:color="auto"/>
              <w:bottom w:val="single" w:sz="8" w:space="0" w:color="C0C0C0"/>
              <w:right w:val="single" w:sz="8" w:space="0" w:color="C0C0C0"/>
            </w:tcBorders>
            <w:shd w:val="clear" w:color="auto" w:fill="auto"/>
            <w:noWrap/>
            <w:vAlign w:val="center"/>
            <w:hideMark/>
          </w:tcPr>
          <w:p w:rsidR="00B0121D" w:rsidRPr="00D73F43" w:rsidRDefault="00B0121D" w:rsidP="00AD09A8">
            <w:pPr>
              <w:spacing w:line="276" w:lineRule="auto"/>
              <w:jc w:val="both"/>
              <w:rPr>
                <w:rFonts w:eastAsia="Times New Roman"/>
                <w:lang w:val="sq-AL" w:eastAsia="sq-AL"/>
              </w:rPr>
            </w:pPr>
            <w:r w:rsidRPr="00D73F43">
              <w:rPr>
                <w:rFonts w:eastAsia="Times New Roman"/>
                <w:lang w:val="sq-AL" w:eastAsia="sq-AL"/>
              </w:rPr>
              <w:t> </w:t>
            </w:r>
          </w:p>
        </w:tc>
        <w:tc>
          <w:tcPr>
            <w:tcW w:w="4454" w:type="dxa"/>
            <w:tcBorders>
              <w:top w:val="nil"/>
              <w:left w:val="nil"/>
              <w:bottom w:val="single" w:sz="8" w:space="0" w:color="C0C0C0"/>
              <w:right w:val="double" w:sz="6" w:space="0" w:color="auto"/>
            </w:tcBorders>
            <w:shd w:val="clear" w:color="auto" w:fill="auto"/>
            <w:noWrap/>
            <w:vAlign w:val="center"/>
            <w:hideMark/>
          </w:tcPr>
          <w:p w:rsidR="00B0121D" w:rsidRPr="00D73F43" w:rsidRDefault="00B0121D" w:rsidP="00AD09A8">
            <w:pPr>
              <w:spacing w:line="276" w:lineRule="auto"/>
              <w:jc w:val="both"/>
              <w:rPr>
                <w:rFonts w:eastAsia="Times New Roman"/>
                <w:i/>
                <w:iCs/>
                <w:lang w:val="sq-AL" w:eastAsia="sq-AL"/>
              </w:rPr>
            </w:pPr>
            <w:r w:rsidRPr="00D73F43">
              <w:rPr>
                <w:rFonts w:eastAsia="Times New Roman"/>
                <w:i/>
                <w:iCs/>
                <w:lang w:val="sq-AL" w:eastAsia="sq-AL"/>
              </w:rPr>
              <w:t>Subvencione</w:t>
            </w:r>
          </w:p>
        </w:tc>
        <w:tc>
          <w:tcPr>
            <w:tcW w:w="1094" w:type="dxa"/>
            <w:tcBorders>
              <w:top w:val="nil"/>
              <w:left w:val="nil"/>
              <w:bottom w:val="single" w:sz="8" w:space="0" w:color="C0C0C0"/>
              <w:right w:val="nil"/>
            </w:tcBorders>
            <w:shd w:val="clear" w:color="auto" w:fill="auto"/>
            <w:noWrap/>
            <w:vAlign w:val="center"/>
            <w:hideMark/>
          </w:tcPr>
          <w:p w:rsidR="00B0121D" w:rsidRPr="00D73F43" w:rsidRDefault="00B0121D" w:rsidP="00AD09A8">
            <w:pPr>
              <w:spacing w:line="276" w:lineRule="auto"/>
              <w:jc w:val="both"/>
              <w:rPr>
                <w:rFonts w:eastAsia="Times New Roman"/>
                <w:i/>
                <w:iCs/>
                <w:lang w:val="sq-AL" w:eastAsia="sq-AL"/>
              </w:rPr>
            </w:pPr>
            <w:r w:rsidRPr="00D73F43">
              <w:rPr>
                <w:rFonts w:eastAsia="Times New Roman"/>
                <w:i/>
                <w:iCs/>
                <w:lang w:val="sq-AL" w:eastAsia="sq-AL"/>
              </w:rPr>
              <w:t>72</w:t>
            </w:r>
          </w:p>
        </w:tc>
        <w:tc>
          <w:tcPr>
            <w:tcW w:w="887" w:type="dxa"/>
            <w:tcBorders>
              <w:top w:val="nil"/>
              <w:left w:val="nil"/>
              <w:bottom w:val="single" w:sz="8" w:space="0" w:color="C0C0C0"/>
              <w:right w:val="nil"/>
            </w:tcBorders>
            <w:shd w:val="clear" w:color="auto" w:fill="auto"/>
            <w:noWrap/>
            <w:vAlign w:val="center"/>
            <w:hideMark/>
          </w:tcPr>
          <w:p w:rsidR="00B0121D" w:rsidRPr="00D73F43" w:rsidRDefault="00B0121D" w:rsidP="00AD09A8">
            <w:pPr>
              <w:spacing w:line="276" w:lineRule="auto"/>
              <w:jc w:val="both"/>
              <w:rPr>
                <w:rFonts w:eastAsia="Times New Roman"/>
                <w:i/>
                <w:iCs/>
                <w:lang w:val="sq-AL" w:eastAsia="sq-AL"/>
              </w:rPr>
            </w:pPr>
            <w:r w:rsidRPr="00D73F43">
              <w:rPr>
                <w:rFonts w:eastAsia="Times New Roman"/>
                <w:i/>
                <w:iCs/>
                <w:lang w:val="sq-AL" w:eastAsia="sq-AL"/>
              </w:rPr>
              <w:t>93</w:t>
            </w:r>
          </w:p>
        </w:tc>
        <w:tc>
          <w:tcPr>
            <w:tcW w:w="1014" w:type="dxa"/>
            <w:tcBorders>
              <w:top w:val="nil"/>
              <w:left w:val="double" w:sz="6" w:space="0" w:color="auto"/>
              <w:bottom w:val="single" w:sz="8" w:space="0" w:color="C0C0C0"/>
              <w:right w:val="nil"/>
            </w:tcBorders>
            <w:shd w:val="clear" w:color="auto" w:fill="auto"/>
            <w:noWrap/>
            <w:vAlign w:val="center"/>
            <w:hideMark/>
          </w:tcPr>
          <w:p w:rsidR="00B0121D" w:rsidRPr="00D73F43" w:rsidRDefault="00B0121D" w:rsidP="00AD09A8">
            <w:pPr>
              <w:spacing w:line="276" w:lineRule="auto"/>
              <w:jc w:val="both"/>
              <w:rPr>
                <w:rFonts w:eastAsia="Times New Roman"/>
                <w:i/>
                <w:lang w:val="sq-AL" w:eastAsia="sq-AL"/>
              </w:rPr>
            </w:pPr>
            <w:r w:rsidRPr="00D73F43">
              <w:rPr>
                <w:rFonts w:eastAsia="Times New Roman"/>
                <w:i/>
                <w:lang w:val="sq-AL" w:eastAsia="sq-AL"/>
              </w:rPr>
              <w:t>-21</w:t>
            </w:r>
          </w:p>
        </w:tc>
        <w:tc>
          <w:tcPr>
            <w:tcW w:w="1123" w:type="dxa"/>
            <w:tcBorders>
              <w:top w:val="nil"/>
              <w:left w:val="nil"/>
              <w:bottom w:val="single" w:sz="8" w:space="0" w:color="C0C0C0"/>
              <w:right w:val="double" w:sz="6" w:space="0" w:color="auto"/>
            </w:tcBorders>
            <w:shd w:val="clear" w:color="auto" w:fill="auto"/>
            <w:noWrap/>
            <w:vAlign w:val="center"/>
            <w:hideMark/>
          </w:tcPr>
          <w:p w:rsidR="00B0121D" w:rsidRPr="00D73F43" w:rsidRDefault="00B0121D" w:rsidP="00AD09A8">
            <w:pPr>
              <w:spacing w:line="276" w:lineRule="auto"/>
              <w:jc w:val="both"/>
              <w:rPr>
                <w:rFonts w:eastAsia="Times New Roman"/>
                <w:i/>
                <w:lang w:val="sq-AL" w:eastAsia="sq-AL"/>
              </w:rPr>
            </w:pPr>
            <w:r w:rsidRPr="00D73F43">
              <w:rPr>
                <w:rFonts w:eastAsia="Times New Roman"/>
                <w:i/>
                <w:lang w:val="sq-AL" w:eastAsia="sq-AL"/>
              </w:rPr>
              <w:t>77%</w:t>
            </w:r>
          </w:p>
        </w:tc>
      </w:tr>
      <w:tr w:rsidR="00B0121D" w:rsidRPr="00D73F43" w:rsidTr="00AD09A8">
        <w:trPr>
          <w:trHeight w:val="330"/>
          <w:jc w:val="center"/>
        </w:trPr>
        <w:tc>
          <w:tcPr>
            <w:tcW w:w="556" w:type="dxa"/>
            <w:tcBorders>
              <w:top w:val="nil"/>
              <w:left w:val="double" w:sz="6" w:space="0" w:color="auto"/>
              <w:bottom w:val="single" w:sz="8" w:space="0" w:color="C0C0C0"/>
              <w:right w:val="single" w:sz="8" w:space="0" w:color="C0C0C0"/>
            </w:tcBorders>
            <w:shd w:val="clear" w:color="auto" w:fill="auto"/>
            <w:noWrap/>
            <w:vAlign w:val="center"/>
            <w:hideMark/>
          </w:tcPr>
          <w:p w:rsidR="00B0121D" w:rsidRPr="00D73F43" w:rsidRDefault="00B0121D" w:rsidP="00AD09A8">
            <w:pPr>
              <w:spacing w:line="276" w:lineRule="auto"/>
              <w:jc w:val="both"/>
              <w:rPr>
                <w:rFonts w:eastAsia="Times New Roman"/>
                <w:lang w:val="sq-AL" w:eastAsia="sq-AL"/>
              </w:rPr>
            </w:pPr>
            <w:r w:rsidRPr="00D73F43">
              <w:rPr>
                <w:rFonts w:eastAsia="Times New Roman"/>
                <w:lang w:val="sq-AL" w:eastAsia="sq-AL"/>
              </w:rPr>
              <w:t> </w:t>
            </w:r>
          </w:p>
        </w:tc>
        <w:tc>
          <w:tcPr>
            <w:tcW w:w="4454" w:type="dxa"/>
            <w:tcBorders>
              <w:top w:val="nil"/>
              <w:left w:val="nil"/>
              <w:bottom w:val="single" w:sz="8" w:space="0" w:color="C0C0C0"/>
              <w:right w:val="double" w:sz="6" w:space="0" w:color="auto"/>
            </w:tcBorders>
            <w:shd w:val="clear" w:color="auto" w:fill="auto"/>
            <w:noWrap/>
            <w:vAlign w:val="center"/>
            <w:hideMark/>
          </w:tcPr>
          <w:p w:rsidR="00B0121D" w:rsidRPr="00D73F43" w:rsidRDefault="00B0121D" w:rsidP="00AD09A8">
            <w:pPr>
              <w:spacing w:line="276" w:lineRule="auto"/>
              <w:jc w:val="both"/>
              <w:rPr>
                <w:rFonts w:eastAsia="Times New Roman"/>
                <w:i/>
                <w:iCs/>
                <w:lang w:val="sq-AL" w:eastAsia="sq-AL"/>
              </w:rPr>
            </w:pPr>
            <w:r w:rsidRPr="00D73F43">
              <w:rPr>
                <w:rFonts w:eastAsia="Times New Roman"/>
                <w:i/>
                <w:iCs/>
                <w:lang w:val="sq-AL" w:eastAsia="sq-AL"/>
              </w:rPr>
              <w:t>Të tjera</w:t>
            </w:r>
          </w:p>
        </w:tc>
        <w:tc>
          <w:tcPr>
            <w:tcW w:w="1094" w:type="dxa"/>
            <w:tcBorders>
              <w:top w:val="nil"/>
              <w:left w:val="nil"/>
              <w:bottom w:val="single" w:sz="8" w:space="0" w:color="C0C0C0"/>
              <w:right w:val="nil"/>
            </w:tcBorders>
            <w:shd w:val="clear" w:color="auto" w:fill="auto"/>
            <w:noWrap/>
            <w:vAlign w:val="center"/>
            <w:hideMark/>
          </w:tcPr>
          <w:p w:rsidR="00B0121D" w:rsidRPr="00D73F43" w:rsidRDefault="00B0121D" w:rsidP="00AD09A8">
            <w:pPr>
              <w:spacing w:line="276" w:lineRule="auto"/>
              <w:jc w:val="both"/>
              <w:rPr>
                <w:rFonts w:eastAsia="Times New Roman"/>
                <w:i/>
                <w:iCs/>
                <w:lang w:val="sq-AL" w:eastAsia="sq-AL"/>
              </w:rPr>
            </w:pPr>
            <w:r w:rsidRPr="00D73F43">
              <w:rPr>
                <w:rFonts w:eastAsia="Times New Roman"/>
                <w:i/>
                <w:iCs/>
                <w:lang w:val="sq-AL" w:eastAsia="sq-AL"/>
              </w:rPr>
              <w:t>437</w:t>
            </w:r>
          </w:p>
        </w:tc>
        <w:tc>
          <w:tcPr>
            <w:tcW w:w="887" w:type="dxa"/>
            <w:tcBorders>
              <w:top w:val="nil"/>
              <w:left w:val="nil"/>
              <w:bottom w:val="single" w:sz="8" w:space="0" w:color="C0C0C0"/>
              <w:right w:val="nil"/>
            </w:tcBorders>
            <w:shd w:val="clear" w:color="auto" w:fill="auto"/>
            <w:noWrap/>
            <w:vAlign w:val="center"/>
            <w:hideMark/>
          </w:tcPr>
          <w:p w:rsidR="00B0121D" w:rsidRPr="00D73F43" w:rsidRDefault="00B0121D" w:rsidP="00AD09A8">
            <w:pPr>
              <w:spacing w:line="276" w:lineRule="auto"/>
              <w:jc w:val="both"/>
              <w:rPr>
                <w:rFonts w:eastAsia="Times New Roman"/>
                <w:i/>
                <w:iCs/>
                <w:lang w:val="sq-AL" w:eastAsia="sq-AL"/>
              </w:rPr>
            </w:pPr>
            <w:r w:rsidRPr="00D73F43">
              <w:rPr>
                <w:rFonts w:eastAsia="Times New Roman"/>
                <w:i/>
                <w:iCs/>
                <w:lang w:val="sq-AL" w:eastAsia="sq-AL"/>
              </w:rPr>
              <w:t>332</w:t>
            </w:r>
          </w:p>
        </w:tc>
        <w:tc>
          <w:tcPr>
            <w:tcW w:w="1014" w:type="dxa"/>
            <w:tcBorders>
              <w:top w:val="nil"/>
              <w:left w:val="double" w:sz="6" w:space="0" w:color="auto"/>
              <w:bottom w:val="single" w:sz="8" w:space="0" w:color="C0C0C0"/>
              <w:right w:val="nil"/>
            </w:tcBorders>
            <w:shd w:val="clear" w:color="auto" w:fill="auto"/>
            <w:noWrap/>
            <w:vAlign w:val="center"/>
            <w:hideMark/>
          </w:tcPr>
          <w:p w:rsidR="00B0121D" w:rsidRPr="00D73F43" w:rsidRDefault="00B0121D" w:rsidP="00AD09A8">
            <w:pPr>
              <w:spacing w:line="276" w:lineRule="auto"/>
              <w:jc w:val="both"/>
              <w:rPr>
                <w:rFonts w:eastAsia="Times New Roman"/>
                <w:i/>
                <w:lang w:val="sq-AL" w:eastAsia="sq-AL"/>
              </w:rPr>
            </w:pPr>
            <w:r w:rsidRPr="00D73F43">
              <w:rPr>
                <w:rFonts w:eastAsia="Times New Roman"/>
                <w:i/>
                <w:lang w:val="sq-AL" w:eastAsia="sq-AL"/>
              </w:rPr>
              <w:t>105</w:t>
            </w:r>
          </w:p>
        </w:tc>
        <w:tc>
          <w:tcPr>
            <w:tcW w:w="1123" w:type="dxa"/>
            <w:tcBorders>
              <w:top w:val="nil"/>
              <w:left w:val="nil"/>
              <w:bottom w:val="single" w:sz="8" w:space="0" w:color="C0C0C0"/>
              <w:right w:val="double" w:sz="6" w:space="0" w:color="auto"/>
            </w:tcBorders>
            <w:shd w:val="clear" w:color="auto" w:fill="auto"/>
            <w:noWrap/>
            <w:vAlign w:val="center"/>
            <w:hideMark/>
          </w:tcPr>
          <w:p w:rsidR="00B0121D" w:rsidRPr="00D73F43" w:rsidRDefault="00B0121D" w:rsidP="00AD09A8">
            <w:pPr>
              <w:spacing w:line="276" w:lineRule="auto"/>
              <w:jc w:val="both"/>
              <w:rPr>
                <w:rFonts w:eastAsia="Times New Roman"/>
                <w:i/>
                <w:lang w:val="sq-AL" w:eastAsia="sq-AL"/>
              </w:rPr>
            </w:pPr>
            <w:r w:rsidRPr="00D73F43">
              <w:rPr>
                <w:rFonts w:eastAsia="Times New Roman"/>
                <w:i/>
                <w:lang w:val="sq-AL" w:eastAsia="sq-AL"/>
              </w:rPr>
              <w:t>132%</w:t>
            </w:r>
          </w:p>
        </w:tc>
      </w:tr>
      <w:tr w:rsidR="00B0121D" w:rsidRPr="00D73F43" w:rsidTr="00AD09A8">
        <w:trPr>
          <w:trHeight w:val="330"/>
          <w:jc w:val="center"/>
        </w:trPr>
        <w:tc>
          <w:tcPr>
            <w:tcW w:w="556" w:type="dxa"/>
            <w:tcBorders>
              <w:top w:val="single" w:sz="8" w:space="0" w:color="C0C0C0"/>
              <w:left w:val="double" w:sz="6" w:space="0" w:color="auto"/>
              <w:bottom w:val="double" w:sz="6" w:space="0" w:color="auto"/>
              <w:right w:val="single" w:sz="8" w:space="0" w:color="C0C0C0"/>
            </w:tcBorders>
            <w:shd w:val="clear" w:color="auto" w:fill="auto"/>
            <w:noWrap/>
            <w:vAlign w:val="center"/>
            <w:hideMark/>
          </w:tcPr>
          <w:p w:rsidR="00B0121D" w:rsidRPr="00D73F43" w:rsidRDefault="00B0121D" w:rsidP="00AD09A8">
            <w:pPr>
              <w:spacing w:line="276" w:lineRule="auto"/>
              <w:jc w:val="both"/>
              <w:rPr>
                <w:rFonts w:eastAsia="Times New Roman"/>
                <w:lang w:val="sq-AL" w:eastAsia="sq-AL"/>
              </w:rPr>
            </w:pPr>
            <w:r w:rsidRPr="00D73F43">
              <w:rPr>
                <w:rFonts w:eastAsia="Times New Roman"/>
                <w:lang w:val="sq-AL" w:eastAsia="sq-AL"/>
              </w:rPr>
              <w:t>II.2</w:t>
            </w:r>
          </w:p>
        </w:tc>
        <w:tc>
          <w:tcPr>
            <w:tcW w:w="4454" w:type="dxa"/>
            <w:tcBorders>
              <w:top w:val="single" w:sz="8" w:space="0" w:color="C0C0C0"/>
              <w:left w:val="nil"/>
              <w:bottom w:val="double" w:sz="6" w:space="0" w:color="auto"/>
              <w:right w:val="double" w:sz="6" w:space="0" w:color="auto"/>
            </w:tcBorders>
            <w:shd w:val="clear" w:color="auto" w:fill="auto"/>
            <w:noWrap/>
            <w:vAlign w:val="center"/>
            <w:hideMark/>
          </w:tcPr>
          <w:p w:rsidR="00B0121D" w:rsidRPr="00D73F43" w:rsidRDefault="00B0121D" w:rsidP="00AD09A8">
            <w:pPr>
              <w:spacing w:line="276" w:lineRule="auto"/>
              <w:jc w:val="both"/>
              <w:rPr>
                <w:rFonts w:eastAsia="Times New Roman"/>
                <w:b/>
                <w:bCs/>
                <w:i/>
                <w:iCs/>
                <w:lang w:val="sq-AL" w:eastAsia="sq-AL"/>
              </w:rPr>
            </w:pPr>
            <w:r w:rsidRPr="00D73F43">
              <w:rPr>
                <w:rFonts w:eastAsia="Times New Roman"/>
                <w:b/>
                <w:bCs/>
                <w:i/>
                <w:iCs/>
                <w:lang w:val="sq-AL" w:eastAsia="sq-AL"/>
              </w:rPr>
              <w:t>Shpenzime Kapitale</w:t>
            </w:r>
          </w:p>
        </w:tc>
        <w:tc>
          <w:tcPr>
            <w:tcW w:w="1094" w:type="dxa"/>
            <w:tcBorders>
              <w:top w:val="single" w:sz="8" w:space="0" w:color="C0C0C0"/>
              <w:left w:val="nil"/>
              <w:bottom w:val="double" w:sz="6" w:space="0" w:color="auto"/>
              <w:right w:val="nil"/>
            </w:tcBorders>
            <w:shd w:val="clear" w:color="auto" w:fill="auto"/>
            <w:noWrap/>
            <w:vAlign w:val="center"/>
            <w:hideMark/>
          </w:tcPr>
          <w:p w:rsidR="00B0121D" w:rsidRPr="00D73F43" w:rsidRDefault="00B0121D" w:rsidP="00AD09A8">
            <w:pPr>
              <w:spacing w:line="276" w:lineRule="auto"/>
              <w:jc w:val="both"/>
              <w:rPr>
                <w:rFonts w:eastAsia="Times New Roman"/>
                <w:lang w:val="sq-AL" w:eastAsia="sq-AL"/>
              </w:rPr>
            </w:pPr>
            <w:r w:rsidRPr="00D73F43">
              <w:rPr>
                <w:rFonts w:eastAsia="Times New Roman"/>
                <w:lang w:val="sq-AL" w:eastAsia="sq-AL"/>
              </w:rPr>
              <w:t>7.375</w:t>
            </w:r>
          </w:p>
        </w:tc>
        <w:tc>
          <w:tcPr>
            <w:tcW w:w="887" w:type="dxa"/>
            <w:tcBorders>
              <w:top w:val="single" w:sz="8" w:space="0" w:color="C0C0C0"/>
              <w:left w:val="nil"/>
              <w:bottom w:val="double" w:sz="6" w:space="0" w:color="auto"/>
              <w:right w:val="nil"/>
            </w:tcBorders>
            <w:shd w:val="clear" w:color="auto" w:fill="auto"/>
            <w:noWrap/>
            <w:vAlign w:val="center"/>
            <w:hideMark/>
          </w:tcPr>
          <w:p w:rsidR="00B0121D" w:rsidRPr="00D73F43" w:rsidRDefault="00B0121D" w:rsidP="00AD09A8">
            <w:pPr>
              <w:spacing w:line="276" w:lineRule="auto"/>
              <w:jc w:val="both"/>
              <w:rPr>
                <w:rFonts w:eastAsia="Times New Roman"/>
                <w:lang w:val="sq-AL" w:eastAsia="sq-AL"/>
              </w:rPr>
            </w:pPr>
            <w:r w:rsidRPr="00D73F43">
              <w:rPr>
                <w:rFonts w:eastAsia="Times New Roman"/>
                <w:lang w:val="sq-AL" w:eastAsia="sq-AL"/>
              </w:rPr>
              <w:t>8.158</w:t>
            </w:r>
          </w:p>
        </w:tc>
        <w:tc>
          <w:tcPr>
            <w:tcW w:w="1014" w:type="dxa"/>
            <w:tcBorders>
              <w:top w:val="single" w:sz="8" w:space="0" w:color="C0C0C0"/>
              <w:left w:val="double" w:sz="6" w:space="0" w:color="auto"/>
              <w:bottom w:val="double" w:sz="6" w:space="0" w:color="auto"/>
              <w:right w:val="nil"/>
            </w:tcBorders>
            <w:shd w:val="clear" w:color="auto" w:fill="auto"/>
            <w:noWrap/>
            <w:vAlign w:val="center"/>
            <w:hideMark/>
          </w:tcPr>
          <w:p w:rsidR="00B0121D" w:rsidRPr="00D73F43" w:rsidRDefault="00B0121D" w:rsidP="00AD09A8">
            <w:pPr>
              <w:spacing w:line="276" w:lineRule="auto"/>
              <w:jc w:val="both"/>
              <w:rPr>
                <w:rFonts w:eastAsia="Times New Roman"/>
                <w:lang w:val="sq-AL" w:eastAsia="sq-AL"/>
              </w:rPr>
            </w:pPr>
            <w:r w:rsidRPr="00D73F43">
              <w:rPr>
                <w:rFonts w:eastAsia="Times New Roman"/>
                <w:lang w:val="sq-AL" w:eastAsia="sq-AL"/>
              </w:rPr>
              <w:t>-783</w:t>
            </w:r>
          </w:p>
        </w:tc>
        <w:tc>
          <w:tcPr>
            <w:tcW w:w="1123" w:type="dxa"/>
            <w:tcBorders>
              <w:top w:val="single" w:sz="8" w:space="0" w:color="C0C0C0"/>
              <w:left w:val="nil"/>
              <w:bottom w:val="double" w:sz="6" w:space="0" w:color="auto"/>
              <w:right w:val="double" w:sz="6" w:space="0" w:color="auto"/>
            </w:tcBorders>
            <w:shd w:val="clear" w:color="auto" w:fill="auto"/>
            <w:noWrap/>
            <w:vAlign w:val="center"/>
            <w:hideMark/>
          </w:tcPr>
          <w:p w:rsidR="00B0121D" w:rsidRPr="00D73F43" w:rsidRDefault="00B0121D" w:rsidP="00AD09A8">
            <w:pPr>
              <w:spacing w:line="276" w:lineRule="auto"/>
              <w:jc w:val="both"/>
              <w:rPr>
                <w:rFonts w:eastAsia="Times New Roman"/>
                <w:lang w:val="sq-AL" w:eastAsia="sq-AL"/>
              </w:rPr>
            </w:pPr>
            <w:r w:rsidRPr="00D73F43">
              <w:rPr>
                <w:rFonts w:eastAsia="Times New Roman"/>
                <w:lang w:val="sq-AL" w:eastAsia="sq-AL"/>
              </w:rPr>
              <w:t>90%</w:t>
            </w:r>
          </w:p>
        </w:tc>
      </w:tr>
    </w:tbl>
    <w:p w:rsidR="00B0121D" w:rsidRPr="00D73F43" w:rsidRDefault="00B0121D" w:rsidP="00B0121D">
      <w:pPr>
        <w:spacing w:line="276" w:lineRule="auto"/>
        <w:jc w:val="center"/>
        <w:rPr>
          <w:i/>
          <w:lang w:val="sq-AL"/>
        </w:rPr>
      </w:pPr>
      <w:r w:rsidRPr="00D73F43">
        <w:rPr>
          <w:b/>
          <w:i/>
          <w:sz w:val="20"/>
          <w:lang w:val="sq-AL"/>
        </w:rPr>
        <w:t>Burimi:</w:t>
      </w:r>
      <w:r w:rsidRPr="00D73F43">
        <w:rPr>
          <w:i/>
          <w:sz w:val="20"/>
          <w:lang w:val="sq-AL"/>
        </w:rPr>
        <w:t xml:space="preserve"> Sistemi Informatik Financiar i Qeverisë, Ministria e Financave (2016);</w:t>
      </w:r>
    </w:p>
    <w:p w:rsidR="00B0121D" w:rsidRPr="00D73F43" w:rsidRDefault="00B0121D" w:rsidP="00B0121D">
      <w:pPr>
        <w:spacing w:line="276" w:lineRule="auto"/>
        <w:ind w:left="90" w:right="-43"/>
        <w:jc w:val="both"/>
        <w:rPr>
          <w:lang w:val="sq-AL"/>
        </w:rPr>
      </w:pPr>
    </w:p>
    <w:p w:rsidR="00B0121D" w:rsidRPr="00D73F43" w:rsidRDefault="00B0121D" w:rsidP="00B0121D">
      <w:pPr>
        <w:spacing w:line="276" w:lineRule="auto"/>
        <w:ind w:left="90" w:right="-43"/>
        <w:jc w:val="both"/>
        <w:rPr>
          <w:lang w:val="sq-AL"/>
        </w:rPr>
      </w:pPr>
      <w:r w:rsidRPr="00D73F43">
        <w:rPr>
          <w:lang w:val="sq-AL"/>
        </w:rPr>
        <w:lastRenderedPageBreak/>
        <w:t xml:space="preserve">Të ardhurat e pushtetit vendor të vitit 2016, me të gjithë komponentët e tij (transfertë e pakushtëzuar, transfertat specifike, Fondi për Zhvillimin e Rajoneve, Renta minerare dhe të ardhurat e veta) janë rreth 18 për qind më të larta se sa ato të vitit 2015, ndërkohë që shpenzimet e njësive të qeverisjes vendore në terma të krahasimit 9- mujor faktik jo vetëm nuk kanë pësuar rritje, por janë ulur në shumë zëra, duke konfirmuar edhe njëherë përmbushjen e objektivit kryesore të Reformës, për rritjen e eficencës, uljen e kostove dhe përmirësimin e administrimit në nivel </w:t>
      </w:r>
      <w:r w:rsidR="00756AEE">
        <w:rPr>
          <w:lang w:val="sq-AL"/>
        </w:rPr>
        <w:t>vendor</w:t>
      </w:r>
      <w:r w:rsidRPr="00D73F43">
        <w:rPr>
          <w:lang w:val="sq-AL"/>
        </w:rPr>
        <w:t>.</w:t>
      </w:r>
    </w:p>
    <w:p w:rsidR="00B0121D" w:rsidRPr="00D73F43" w:rsidRDefault="00B0121D" w:rsidP="00B0121D">
      <w:pPr>
        <w:spacing w:line="276" w:lineRule="auto"/>
        <w:ind w:left="90" w:right="-43"/>
        <w:jc w:val="both"/>
        <w:rPr>
          <w:lang w:val="sq-AL"/>
        </w:rPr>
      </w:pPr>
    </w:p>
    <w:p w:rsidR="00B0121D" w:rsidRPr="00756AEE" w:rsidRDefault="00756AEE" w:rsidP="00534AA6">
      <w:pPr>
        <w:pStyle w:val="Heading2"/>
        <w:numPr>
          <w:ilvl w:val="1"/>
          <w:numId w:val="36"/>
        </w:numPr>
        <w:rPr>
          <w:rFonts w:ascii="Times New Roman" w:hAnsi="Times New Roman"/>
          <w:i w:val="0"/>
          <w:lang w:val="sq-AL"/>
        </w:rPr>
      </w:pPr>
      <w:bookmarkStart w:id="184" w:name="_Toc466445507"/>
      <w:r w:rsidRPr="00756AEE">
        <w:rPr>
          <w:rFonts w:ascii="Times New Roman" w:hAnsi="Times New Roman"/>
          <w:i w:val="0"/>
          <w:lang w:val="sq-AL"/>
        </w:rPr>
        <w:t>ECURIA E BORXHIT PUBLIK PËR PERIUDHËN JANAR-SHTATOR 2016</w:t>
      </w:r>
      <w:bookmarkEnd w:id="184"/>
    </w:p>
    <w:p w:rsidR="00B0121D" w:rsidRPr="00D73F43" w:rsidRDefault="00B0121D" w:rsidP="00B0121D">
      <w:pPr>
        <w:autoSpaceDE w:val="0"/>
        <w:autoSpaceDN w:val="0"/>
        <w:spacing w:line="276" w:lineRule="auto"/>
        <w:jc w:val="both"/>
        <w:rPr>
          <w:lang w:val="sq-AL"/>
        </w:rPr>
      </w:pPr>
    </w:p>
    <w:p w:rsidR="00B0121D" w:rsidRPr="00D73F43" w:rsidRDefault="00B0121D" w:rsidP="00B0121D">
      <w:pPr>
        <w:autoSpaceDE w:val="0"/>
        <w:autoSpaceDN w:val="0"/>
        <w:spacing w:line="276" w:lineRule="auto"/>
        <w:jc w:val="both"/>
        <w:rPr>
          <w:lang w:val="sq-AL"/>
        </w:rPr>
      </w:pPr>
      <w:r w:rsidRPr="00D73F43">
        <w:rPr>
          <w:lang w:val="sq-AL"/>
        </w:rPr>
        <w:t xml:space="preserve">Borxhi publik gjatë 9-mujorit  të vitit 2016 është karakterizuar nga një ecuri pozitive, kryesisht në aspektin e plotësimit të nevojave të Qeverisë për likuiditet, në aspektin e </w:t>
      </w:r>
      <w:r w:rsidR="007C2D89">
        <w:rPr>
          <w:lang w:val="sq-AL"/>
        </w:rPr>
        <w:t xml:space="preserve">përmirësimit të raporteve ndërmjet kostos dhe riskut, dhe në aspektin e </w:t>
      </w:r>
      <w:r w:rsidRPr="00D73F43">
        <w:rPr>
          <w:lang w:val="sq-AL"/>
        </w:rPr>
        <w:t>aktiviteteve të ndërmarra në kuadër të zhvillimit të tregut primar dhe krijimit të kushteve për zhvillimin e tregut sekondar.</w:t>
      </w:r>
    </w:p>
    <w:p w:rsidR="00B0121D" w:rsidRPr="00D73F43" w:rsidRDefault="00B0121D" w:rsidP="00B0121D">
      <w:pPr>
        <w:autoSpaceDE w:val="0"/>
        <w:autoSpaceDN w:val="0"/>
        <w:spacing w:line="276" w:lineRule="auto"/>
        <w:jc w:val="both"/>
        <w:rPr>
          <w:lang w:val="sq-AL"/>
        </w:rPr>
      </w:pPr>
    </w:p>
    <w:p w:rsidR="00B0121D" w:rsidRPr="00D73F43" w:rsidRDefault="00B0121D" w:rsidP="00B0121D">
      <w:pPr>
        <w:spacing w:line="276" w:lineRule="auto"/>
        <w:jc w:val="both"/>
        <w:rPr>
          <w:lang w:val="sq-AL"/>
        </w:rPr>
      </w:pPr>
      <w:r w:rsidRPr="00D73F43">
        <w:rPr>
          <w:lang w:val="sq-AL"/>
        </w:rPr>
        <w:t>Në shtator 2016 borxhi i Qeverisjes Qendore është në vlerën 1,067.0 miliardë lekë ose 71.04% e PBB</w:t>
      </w:r>
      <w:r w:rsidRPr="00D73F43">
        <w:rPr>
          <w:vertAlign w:val="superscript"/>
          <w:lang w:val="sq-AL"/>
        </w:rPr>
        <w:footnoteReference w:id="2"/>
      </w:r>
      <w:r w:rsidRPr="00D73F43">
        <w:rPr>
          <w:lang w:val="sq-AL"/>
        </w:rPr>
        <w:t>. Në kuadër të realizimit të planit vjetor të huamarrjes dhe mbulimit të nevojave të Qeverisë për likuiditet, borxhi i Qeverisjes Qendrore gjatë nëntëmujorit është rritur me rreth 24.7 miliardë lekë ose rreth 71% më pak se e njëjta periudhë e vitit të kaluar. Shtesa e borxhit i atribuohet tërësisht borxhit shtetëror, ndërkohë borxhi i garantuar vlerësohet në rënie si rezultat i përfundimit të disbursimeve për pjesën më të madhe të kredive dhe kalimit në fazën e shlyerjes. Duke iu referuar deficitit buxhetor të planifikuar, parashikimeve të rritjes ekonomike dhe supozimeve të kursit të këmbimit, në fund të vitit 2016 borxhi i Qeverisjes Qendore në raport me PBB pritet të ulet me rreth 1 pikë përqindje krahasuar me vitin e kaluar, duke e futur borxhin në një trajektore rënëse për herë të parë pas shumë vitesh.</w:t>
      </w:r>
    </w:p>
    <w:p w:rsidR="00B0121D" w:rsidRPr="00D73F43" w:rsidRDefault="00B0121D" w:rsidP="00B0121D">
      <w:pPr>
        <w:spacing w:line="276" w:lineRule="auto"/>
        <w:jc w:val="both"/>
        <w:rPr>
          <w:sz w:val="16"/>
          <w:szCs w:val="16"/>
          <w:lang w:val="sq-AL"/>
        </w:rPr>
      </w:pPr>
    </w:p>
    <w:p w:rsidR="00B0121D" w:rsidRPr="00D73F43" w:rsidRDefault="00B0121D" w:rsidP="00B0121D">
      <w:pPr>
        <w:ind w:left="-1080"/>
        <w:jc w:val="center"/>
        <w:rPr>
          <w:i/>
          <w:sz w:val="20"/>
          <w:szCs w:val="20"/>
          <w:lang w:val="sq-AL"/>
        </w:rPr>
      </w:pPr>
      <w:r w:rsidRPr="00D73F43">
        <w:rPr>
          <w:b/>
          <w:sz w:val="20"/>
          <w:szCs w:val="20"/>
          <w:lang w:val="sq-AL"/>
        </w:rPr>
        <w:t>Tabela</w:t>
      </w:r>
      <w:r w:rsidR="00596ACC">
        <w:rPr>
          <w:b/>
          <w:sz w:val="20"/>
          <w:szCs w:val="20"/>
          <w:lang w:val="sq-AL"/>
        </w:rPr>
        <w:t xml:space="preserve"> 13</w:t>
      </w:r>
      <w:r w:rsidRPr="00D73F43">
        <w:rPr>
          <w:b/>
          <w:sz w:val="20"/>
          <w:szCs w:val="20"/>
          <w:lang w:val="sq-AL"/>
        </w:rPr>
        <w:t xml:space="preserve">: </w:t>
      </w:r>
      <w:r w:rsidRPr="00D73F43">
        <w:rPr>
          <w:i/>
          <w:sz w:val="20"/>
          <w:szCs w:val="20"/>
          <w:lang w:val="sq-AL"/>
        </w:rPr>
        <w:t>Ecuria</w:t>
      </w:r>
      <w:r w:rsidRPr="00D73F43">
        <w:rPr>
          <w:b/>
          <w:i/>
          <w:sz w:val="20"/>
          <w:szCs w:val="20"/>
          <w:lang w:val="sq-AL"/>
        </w:rPr>
        <w:t xml:space="preserve"> </w:t>
      </w:r>
      <w:r w:rsidRPr="00D73F43">
        <w:rPr>
          <w:i/>
          <w:sz w:val="20"/>
          <w:szCs w:val="20"/>
          <w:lang w:val="sq-AL"/>
        </w:rPr>
        <w:t>e</w:t>
      </w:r>
      <w:r w:rsidRPr="00D73F43">
        <w:rPr>
          <w:b/>
          <w:sz w:val="20"/>
          <w:szCs w:val="20"/>
          <w:lang w:val="sq-AL"/>
        </w:rPr>
        <w:t xml:space="preserve"> </w:t>
      </w:r>
      <w:r w:rsidRPr="00D73F43">
        <w:rPr>
          <w:i/>
          <w:sz w:val="20"/>
          <w:szCs w:val="20"/>
          <w:lang w:val="sq-AL"/>
        </w:rPr>
        <w:t xml:space="preserve">stokut i borxhit të Qeverisjes Qendrore                                                               ( </w:t>
      </w:r>
      <w:r w:rsidRPr="00D73F43">
        <w:rPr>
          <w:rFonts w:eastAsia="Times New Roman"/>
          <w:i/>
          <w:sz w:val="18"/>
          <w:szCs w:val="18"/>
          <w:lang w:val="sq-AL"/>
        </w:rPr>
        <w:t>në milion Lek)</w:t>
      </w:r>
    </w:p>
    <w:tbl>
      <w:tblPr>
        <w:tblW w:w="8908" w:type="dxa"/>
        <w:jc w:val="center"/>
        <w:tblLook w:val="04A0" w:firstRow="1" w:lastRow="0" w:firstColumn="1" w:lastColumn="0" w:noHBand="0" w:noVBand="1"/>
      </w:tblPr>
      <w:tblGrid>
        <w:gridCol w:w="3508"/>
        <w:gridCol w:w="1080"/>
        <w:gridCol w:w="1080"/>
        <w:gridCol w:w="1080"/>
        <w:gridCol w:w="1080"/>
        <w:gridCol w:w="1080"/>
      </w:tblGrid>
      <w:tr w:rsidR="00B0121D" w:rsidRPr="00D73F43" w:rsidTr="00AD09A8">
        <w:trPr>
          <w:trHeight w:val="315"/>
          <w:jc w:val="center"/>
        </w:trPr>
        <w:tc>
          <w:tcPr>
            <w:tcW w:w="3508" w:type="dxa"/>
            <w:tcBorders>
              <w:top w:val="single" w:sz="8" w:space="0" w:color="auto"/>
              <w:left w:val="nil"/>
              <w:bottom w:val="single" w:sz="8" w:space="0" w:color="auto"/>
              <w:right w:val="nil"/>
            </w:tcBorders>
            <w:shd w:val="clear" w:color="auto" w:fill="auto"/>
            <w:noWrap/>
            <w:vAlign w:val="center"/>
            <w:hideMark/>
          </w:tcPr>
          <w:p w:rsidR="00B0121D" w:rsidRPr="00D73F43" w:rsidRDefault="00B0121D" w:rsidP="00AD09A8">
            <w:pPr>
              <w:jc w:val="center"/>
              <w:rPr>
                <w:rFonts w:eastAsia="Times New Roman"/>
                <w:sz w:val="18"/>
                <w:szCs w:val="18"/>
                <w:lang w:val="sq-AL"/>
              </w:rPr>
            </w:pPr>
          </w:p>
        </w:tc>
        <w:tc>
          <w:tcPr>
            <w:tcW w:w="1080" w:type="dxa"/>
            <w:tcBorders>
              <w:top w:val="single" w:sz="8" w:space="0" w:color="auto"/>
              <w:left w:val="nil"/>
              <w:bottom w:val="single" w:sz="8" w:space="0" w:color="auto"/>
              <w:right w:val="nil"/>
            </w:tcBorders>
            <w:shd w:val="clear" w:color="auto" w:fill="auto"/>
            <w:noWrap/>
            <w:vAlign w:val="center"/>
            <w:hideMark/>
          </w:tcPr>
          <w:p w:rsidR="00B0121D" w:rsidRPr="00D73F43" w:rsidRDefault="00B0121D" w:rsidP="00AD09A8">
            <w:pPr>
              <w:jc w:val="center"/>
              <w:rPr>
                <w:rFonts w:eastAsia="Times New Roman"/>
                <w:b/>
                <w:bCs/>
                <w:sz w:val="18"/>
                <w:szCs w:val="18"/>
                <w:lang w:val="sq-AL"/>
              </w:rPr>
            </w:pPr>
            <w:r w:rsidRPr="00D73F43">
              <w:rPr>
                <w:rFonts w:eastAsia="Times New Roman"/>
                <w:b/>
                <w:bCs/>
                <w:sz w:val="18"/>
                <w:szCs w:val="18"/>
                <w:lang w:val="sq-AL"/>
              </w:rPr>
              <w:t>2012</w:t>
            </w:r>
          </w:p>
        </w:tc>
        <w:tc>
          <w:tcPr>
            <w:tcW w:w="1080" w:type="dxa"/>
            <w:tcBorders>
              <w:top w:val="single" w:sz="8" w:space="0" w:color="auto"/>
              <w:left w:val="nil"/>
              <w:bottom w:val="single" w:sz="8" w:space="0" w:color="auto"/>
              <w:right w:val="nil"/>
            </w:tcBorders>
            <w:shd w:val="clear" w:color="auto" w:fill="auto"/>
            <w:noWrap/>
            <w:vAlign w:val="center"/>
            <w:hideMark/>
          </w:tcPr>
          <w:p w:rsidR="00B0121D" w:rsidRPr="00D73F43" w:rsidRDefault="00B0121D" w:rsidP="00AD09A8">
            <w:pPr>
              <w:jc w:val="center"/>
              <w:rPr>
                <w:rFonts w:eastAsia="Times New Roman"/>
                <w:b/>
                <w:bCs/>
                <w:sz w:val="18"/>
                <w:szCs w:val="18"/>
                <w:lang w:val="sq-AL"/>
              </w:rPr>
            </w:pPr>
            <w:r w:rsidRPr="00D73F43">
              <w:rPr>
                <w:rFonts w:eastAsia="Times New Roman"/>
                <w:b/>
                <w:bCs/>
                <w:sz w:val="18"/>
                <w:szCs w:val="18"/>
                <w:lang w:val="sq-AL"/>
              </w:rPr>
              <w:t>2013</w:t>
            </w:r>
          </w:p>
        </w:tc>
        <w:tc>
          <w:tcPr>
            <w:tcW w:w="1080" w:type="dxa"/>
            <w:tcBorders>
              <w:top w:val="single" w:sz="8" w:space="0" w:color="auto"/>
              <w:left w:val="nil"/>
              <w:bottom w:val="single" w:sz="8" w:space="0" w:color="auto"/>
              <w:right w:val="nil"/>
            </w:tcBorders>
            <w:shd w:val="clear" w:color="auto" w:fill="auto"/>
            <w:noWrap/>
            <w:vAlign w:val="center"/>
            <w:hideMark/>
          </w:tcPr>
          <w:p w:rsidR="00B0121D" w:rsidRPr="00D73F43" w:rsidRDefault="00B0121D" w:rsidP="00AD09A8">
            <w:pPr>
              <w:jc w:val="center"/>
              <w:rPr>
                <w:rFonts w:eastAsia="Times New Roman"/>
                <w:b/>
                <w:bCs/>
                <w:sz w:val="18"/>
                <w:szCs w:val="18"/>
                <w:lang w:val="sq-AL"/>
              </w:rPr>
            </w:pPr>
            <w:r w:rsidRPr="00D73F43">
              <w:rPr>
                <w:rFonts w:eastAsia="Times New Roman"/>
                <w:b/>
                <w:bCs/>
                <w:sz w:val="18"/>
                <w:szCs w:val="18"/>
                <w:lang w:val="sq-AL"/>
              </w:rPr>
              <w:t>2014</w:t>
            </w:r>
          </w:p>
        </w:tc>
        <w:tc>
          <w:tcPr>
            <w:tcW w:w="1080" w:type="dxa"/>
            <w:tcBorders>
              <w:top w:val="single" w:sz="8" w:space="0" w:color="auto"/>
              <w:left w:val="nil"/>
              <w:bottom w:val="single" w:sz="8" w:space="0" w:color="auto"/>
              <w:right w:val="nil"/>
            </w:tcBorders>
            <w:shd w:val="clear" w:color="auto" w:fill="auto"/>
            <w:vAlign w:val="center"/>
            <w:hideMark/>
          </w:tcPr>
          <w:p w:rsidR="00B0121D" w:rsidRPr="00D73F43" w:rsidRDefault="00B0121D" w:rsidP="00AD09A8">
            <w:pPr>
              <w:jc w:val="center"/>
              <w:rPr>
                <w:rFonts w:eastAsia="Times New Roman"/>
                <w:b/>
                <w:bCs/>
                <w:sz w:val="18"/>
                <w:szCs w:val="18"/>
                <w:lang w:val="sq-AL"/>
              </w:rPr>
            </w:pPr>
            <w:r w:rsidRPr="00D73F43">
              <w:rPr>
                <w:rFonts w:eastAsia="Times New Roman"/>
                <w:b/>
                <w:bCs/>
                <w:sz w:val="18"/>
                <w:szCs w:val="18"/>
                <w:lang w:val="sq-AL"/>
              </w:rPr>
              <w:t>2015</w:t>
            </w:r>
          </w:p>
        </w:tc>
        <w:tc>
          <w:tcPr>
            <w:tcW w:w="1080" w:type="dxa"/>
            <w:tcBorders>
              <w:top w:val="single" w:sz="8" w:space="0" w:color="auto"/>
              <w:left w:val="nil"/>
              <w:bottom w:val="single" w:sz="8" w:space="0" w:color="auto"/>
              <w:right w:val="nil"/>
            </w:tcBorders>
            <w:shd w:val="clear" w:color="auto" w:fill="auto"/>
            <w:noWrap/>
            <w:vAlign w:val="center"/>
            <w:hideMark/>
          </w:tcPr>
          <w:p w:rsidR="00B0121D" w:rsidRPr="00D73F43" w:rsidRDefault="00B0121D" w:rsidP="00AD09A8">
            <w:pPr>
              <w:jc w:val="center"/>
              <w:rPr>
                <w:rFonts w:eastAsia="Times New Roman"/>
                <w:b/>
                <w:bCs/>
                <w:sz w:val="18"/>
                <w:szCs w:val="18"/>
                <w:lang w:val="sq-AL"/>
              </w:rPr>
            </w:pPr>
            <w:r w:rsidRPr="00D73F43">
              <w:rPr>
                <w:rFonts w:eastAsia="Times New Roman"/>
                <w:b/>
                <w:bCs/>
                <w:sz w:val="18"/>
                <w:szCs w:val="18"/>
                <w:lang w:val="sq-AL"/>
              </w:rPr>
              <w:t>Sht-16</w:t>
            </w:r>
          </w:p>
        </w:tc>
      </w:tr>
      <w:tr w:rsidR="00B0121D" w:rsidRPr="00D73F43" w:rsidTr="00AD09A8">
        <w:trPr>
          <w:trHeight w:val="300"/>
          <w:jc w:val="center"/>
        </w:trPr>
        <w:tc>
          <w:tcPr>
            <w:tcW w:w="3508" w:type="dxa"/>
            <w:tcBorders>
              <w:top w:val="nil"/>
              <w:left w:val="nil"/>
              <w:bottom w:val="single" w:sz="4" w:space="0" w:color="auto"/>
              <w:right w:val="nil"/>
            </w:tcBorders>
            <w:shd w:val="clear" w:color="auto" w:fill="auto"/>
            <w:noWrap/>
            <w:vAlign w:val="center"/>
            <w:hideMark/>
          </w:tcPr>
          <w:p w:rsidR="00B0121D" w:rsidRPr="00D73F43" w:rsidRDefault="00B0121D" w:rsidP="00AD09A8">
            <w:pPr>
              <w:rPr>
                <w:rFonts w:eastAsia="Times New Roman"/>
                <w:b/>
                <w:bCs/>
                <w:sz w:val="18"/>
                <w:szCs w:val="18"/>
                <w:lang w:val="sq-AL"/>
              </w:rPr>
            </w:pPr>
            <w:r w:rsidRPr="00D73F43">
              <w:rPr>
                <w:rFonts w:eastAsia="Times New Roman"/>
                <w:b/>
                <w:bCs/>
                <w:sz w:val="18"/>
                <w:szCs w:val="18"/>
                <w:lang w:val="sq-AL"/>
              </w:rPr>
              <w:t>Borxhi i Qeverisë Qendrore (I+II)</w:t>
            </w:r>
          </w:p>
        </w:tc>
        <w:tc>
          <w:tcPr>
            <w:tcW w:w="1080" w:type="dxa"/>
            <w:tcBorders>
              <w:top w:val="nil"/>
              <w:left w:val="nil"/>
              <w:bottom w:val="single" w:sz="4" w:space="0" w:color="auto"/>
              <w:right w:val="nil"/>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827,981</w:t>
            </w:r>
          </w:p>
        </w:tc>
        <w:tc>
          <w:tcPr>
            <w:tcW w:w="1080" w:type="dxa"/>
            <w:tcBorders>
              <w:top w:val="nil"/>
              <w:left w:val="nil"/>
              <w:bottom w:val="single" w:sz="4" w:space="0" w:color="auto"/>
              <w:right w:val="nil"/>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884,692</w:t>
            </w:r>
          </w:p>
        </w:tc>
        <w:tc>
          <w:tcPr>
            <w:tcW w:w="1080" w:type="dxa"/>
            <w:tcBorders>
              <w:top w:val="nil"/>
              <w:left w:val="nil"/>
              <w:bottom w:val="single" w:sz="4" w:space="0" w:color="auto"/>
              <w:right w:val="nil"/>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977,102</w:t>
            </w:r>
          </w:p>
        </w:tc>
        <w:tc>
          <w:tcPr>
            <w:tcW w:w="1080" w:type="dxa"/>
            <w:tcBorders>
              <w:top w:val="nil"/>
              <w:left w:val="nil"/>
              <w:bottom w:val="single" w:sz="4" w:space="0" w:color="auto"/>
              <w:right w:val="nil"/>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1,042,272</w:t>
            </w:r>
          </w:p>
        </w:tc>
        <w:tc>
          <w:tcPr>
            <w:tcW w:w="1080" w:type="dxa"/>
            <w:tcBorders>
              <w:top w:val="nil"/>
              <w:left w:val="nil"/>
              <w:bottom w:val="single" w:sz="4" w:space="0" w:color="auto"/>
              <w:right w:val="nil"/>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1,067,008</w:t>
            </w:r>
          </w:p>
        </w:tc>
      </w:tr>
      <w:tr w:rsidR="00B0121D" w:rsidRPr="00D73F43" w:rsidTr="00AD09A8">
        <w:trPr>
          <w:trHeight w:val="300"/>
          <w:jc w:val="center"/>
        </w:trPr>
        <w:tc>
          <w:tcPr>
            <w:tcW w:w="3508" w:type="dxa"/>
            <w:tcBorders>
              <w:top w:val="nil"/>
              <w:left w:val="nil"/>
              <w:bottom w:val="nil"/>
              <w:right w:val="nil"/>
            </w:tcBorders>
            <w:shd w:val="clear" w:color="auto" w:fill="auto"/>
            <w:noWrap/>
            <w:vAlign w:val="center"/>
            <w:hideMark/>
          </w:tcPr>
          <w:p w:rsidR="00B0121D" w:rsidRPr="00D73F43" w:rsidRDefault="00B0121D" w:rsidP="00AD09A8">
            <w:pPr>
              <w:rPr>
                <w:rFonts w:eastAsia="Times New Roman"/>
                <w:b/>
                <w:bCs/>
                <w:sz w:val="18"/>
                <w:szCs w:val="18"/>
                <w:lang w:val="sq-AL"/>
              </w:rPr>
            </w:pPr>
            <w:r w:rsidRPr="00D73F43">
              <w:rPr>
                <w:rFonts w:eastAsia="Times New Roman"/>
                <w:b/>
                <w:bCs/>
                <w:sz w:val="18"/>
                <w:szCs w:val="18"/>
                <w:lang w:val="sq-AL"/>
              </w:rPr>
              <w:t xml:space="preserve">  I. Borxhi i Brendshëm</w:t>
            </w:r>
          </w:p>
        </w:tc>
        <w:tc>
          <w:tcPr>
            <w:tcW w:w="1080"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470,358</w:t>
            </w:r>
          </w:p>
        </w:tc>
        <w:tc>
          <w:tcPr>
            <w:tcW w:w="1080"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520,786</w:t>
            </w:r>
          </w:p>
        </w:tc>
        <w:tc>
          <w:tcPr>
            <w:tcW w:w="1080"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564,673</w:t>
            </w:r>
          </w:p>
        </w:tc>
        <w:tc>
          <w:tcPr>
            <w:tcW w:w="1080"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551,374</w:t>
            </w:r>
          </w:p>
        </w:tc>
        <w:tc>
          <w:tcPr>
            <w:tcW w:w="1080"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559,172</w:t>
            </w:r>
          </w:p>
        </w:tc>
      </w:tr>
      <w:tr w:rsidR="00B0121D" w:rsidRPr="00D73F43" w:rsidTr="00AD09A8">
        <w:trPr>
          <w:trHeight w:val="300"/>
          <w:jc w:val="center"/>
        </w:trPr>
        <w:tc>
          <w:tcPr>
            <w:tcW w:w="3508" w:type="dxa"/>
            <w:tcBorders>
              <w:top w:val="nil"/>
              <w:left w:val="nil"/>
              <w:bottom w:val="nil"/>
              <w:right w:val="nil"/>
            </w:tcBorders>
            <w:shd w:val="clear" w:color="auto" w:fill="auto"/>
            <w:noWrap/>
            <w:vAlign w:val="center"/>
            <w:hideMark/>
          </w:tcPr>
          <w:p w:rsidR="00B0121D" w:rsidRPr="00D73F43" w:rsidRDefault="00B0121D" w:rsidP="00AD09A8">
            <w:pPr>
              <w:rPr>
                <w:rFonts w:eastAsia="Times New Roman"/>
                <w:i/>
                <w:iCs/>
                <w:sz w:val="18"/>
                <w:szCs w:val="18"/>
                <w:lang w:val="sq-AL"/>
              </w:rPr>
            </w:pPr>
            <w:r w:rsidRPr="00D73F43">
              <w:rPr>
                <w:rFonts w:eastAsia="Times New Roman"/>
                <w:i/>
                <w:iCs/>
                <w:sz w:val="18"/>
                <w:szCs w:val="18"/>
                <w:lang w:val="sq-AL"/>
              </w:rPr>
              <w:t xml:space="preserve">     i. Shtetëror</w:t>
            </w:r>
          </w:p>
        </w:tc>
        <w:tc>
          <w:tcPr>
            <w:tcW w:w="1080"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454,695</w:t>
            </w:r>
          </w:p>
        </w:tc>
        <w:tc>
          <w:tcPr>
            <w:tcW w:w="1080"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500,868</w:t>
            </w:r>
          </w:p>
        </w:tc>
        <w:tc>
          <w:tcPr>
            <w:tcW w:w="1080"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538,641</w:t>
            </w:r>
          </w:p>
        </w:tc>
        <w:tc>
          <w:tcPr>
            <w:tcW w:w="1080"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520,936</w:t>
            </w:r>
          </w:p>
        </w:tc>
        <w:tc>
          <w:tcPr>
            <w:tcW w:w="1080" w:type="dxa"/>
            <w:tcBorders>
              <w:top w:val="nil"/>
              <w:left w:val="nil"/>
              <w:bottom w:val="nil"/>
              <w:right w:val="nil"/>
            </w:tcBorders>
            <w:shd w:val="clear" w:color="auto" w:fill="auto"/>
            <w:noWrap/>
            <w:vAlign w:val="bottom"/>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528,731</w:t>
            </w:r>
          </w:p>
        </w:tc>
      </w:tr>
      <w:tr w:rsidR="00B0121D" w:rsidRPr="00D73F43" w:rsidTr="00AD09A8">
        <w:trPr>
          <w:trHeight w:val="300"/>
          <w:jc w:val="center"/>
        </w:trPr>
        <w:tc>
          <w:tcPr>
            <w:tcW w:w="3508" w:type="dxa"/>
            <w:tcBorders>
              <w:top w:val="nil"/>
              <w:left w:val="nil"/>
              <w:bottom w:val="single" w:sz="4" w:space="0" w:color="auto"/>
              <w:right w:val="nil"/>
            </w:tcBorders>
            <w:shd w:val="clear" w:color="auto" w:fill="auto"/>
            <w:noWrap/>
            <w:vAlign w:val="center"/>
            <w:hideMark/>
          </w:tcPr>
          <w:p w:rsidR="00B0121D" w:rsidRPr="00D73F43" w:rsidRDefault="00B0121D" w:rsidP="00AD09A8">
            <w:pPr>
              <w:rPr>
                <w:rFonts w:eastAsia="Times New Roman"/>
                <w:i/>
                <w:iCs/>
                <w:sz w:val="18"/>
                <w:szCs w:val="18"/>
                <w:lang w:val="sq-AL"/>
              </w:rPr>
            </w:pPr>
            <w:r w:rsidRPr="00D73F43">
              <w:rPr>
                <w:rFonts w:eastAsia="Times New Roman"/>
                <w:i/>
                <w:iCs/>
                <w:sz w:val="18"/>
                <w:szCs w:val="18"/>
                <w:lang w:val="sq-AL"/>
              </w:rPr>
              <w:t xml:space="preserve">     ii. Garantuar</w:t>
            </w:r>
          </w:p>
        </w:tc>
        <w:tc>
          <w:tcPr>
            <w:tcW w:w="1080" w:type="dxa"/>
            <w:tcBorders>
              <w:top w:val="nil"/>
              <w:left w:val="nil"/>
              <w:bottom w:val="single" w:sz="4" w:space="0" w:color="auto"/>
              <w:right w:val="nil"/>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15,663</w:t>
            </w:r>
          </w:p>
        </w:tc>
        <w:tc>
          <w:tcPr>
            <w:tcW w:w="1080" w:type="dxa"/>
            <w:tcBorders>
              <w:top w:val="nil"/>
              <w:left w:val="nil"/>
              <w:bottom w:val="single" w:sz="4" w:space="0" w:color="auto"/>
              <w:right w:val="nil"/>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19,918</w:t>
            </w:r>
          </w:p>
        </w:tc>
        <w:tc>
          <w:tcPr>
            <w:tcW w:w="1080" w:type="dxa"/>
            <w:tcBorders>
              <w:top w:val="nil"/>
              <w:left w:val="nil"/>
              <w:bottom w:val="single" w:sz="4" w:space="0" w:color="auto"/>
              <w:right w:val="nil"/>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26,033</w:t>
            </w:r>
          </w:p>
        </w:tc>
        <w:tc>
          <w:tcPr>
            <w:tcW w:w="1080" w:type="dxa"/>
            <w:tcBorders>
              <w:top w:val="nil"/>
              <w:left w:val="nil"/>
              <w:bottom w:val="single" w:sz="4" w:space="0" w:color="auto"/>
              <w:right w:val="nil"/>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30,439</w:t>
            </w:r>
          </w:p>
        </w:tc>
        <w:tc>
          <w:tcPr>
            <w:tcW w:w="1080" w:type="dxa"/>
            <w:tcBorders>
              <w:top w:val="nil"/>
              <w:left w:val="nil"/>
              <w:bottom w:val="single" w:sz="4" w:space="0" w:color="auto"/>
              <w:right w:val="nil"/>
            </w:tcBorders>
            <w:shd w:val="clear" w:color="auto" w:fill="auto"/>
            <w:noWrap/>
            <w:vAlign w:val="bottom"/>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30,441</w:t>
            </w:r>
          </w:p>
        </w:tc>
      </w:tr>
      <w:tr w:rsidR="00B0121D" w:rsidRPr="00D73F43" w:rsidTr="00AD09A8">
        <w:trPr>
          <w:trHeight w:val="300"/>
          <w:jc w:val="center"/>
        </w:trPr>
        <w:tc>
          <w:tcPr>
            <w:tcW w:w="3508" w:type="dxa"/>
            <w:tcBorders>
              <w:top w:val="nil"/>
              <w:left w:val="nil"/>
              <w:bottom w:val="nil"/>
              <w:right w:val="nil"/>
            </w:tcBorders>
            <w:shd w:val="clear" w:color="auto" w:fill="auto"/>
            <w:noWrap/>
            <w:vAlign w:val="center"/>
            <w:hideMark/>
          </w:tcPr>
          <w:p w:rsidR="00B0121D" w:rsidRPr="00D73F43" w:rsidRDefault="00B0121D" w:rsidP="00AD09A8">
            <w:pPr>
              <w:rPr>
                <w:rFonts w:eastAsia="Times New Roman"/>
                <w:b/>
                <w:bCs/>
                <w:sz w:val="18"/>
                <w:szCs w:val="18"/>
                <w:lang w:val="sq-AL"/>
              </w:rPr>
            </w:pPr>
            <w:r w:rsidRPr="00D73F43">
              <w:rPr>
                <w:rFonts w:eastAsia="Times New Roman"/>
                <w:b/>
                <w:bCs/>
                <w:sz w:val="18"/>
                <w:szCs w:val="18"/>
                <w:lang w:val="sq-AL"/>
              </w:rPr>
              <w:t>II. Borxhi i Jashtëm</w:t>
            </w:r>
          </w:p>
        </w:tc>
        <w:tc>
          <w:tcPr>
            <w:tcW w:w="1080"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357,622</w:t>
            </w:r>
          </w:p>
        </w:tc>
        <w:tc>
          <w:tcPr>
            <w:tcW w:w="1080"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363,906</w:t>
            </w:r>
          </w:p>
        </w:tc>
        <w:tc>
          <w:tcPr>
            <w:tcW w:w="1080"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412,429</w:t>
            </w:r>
          </w:p>
        </w:tc>
        <w:tc>
          <w:tcPr>
            <w:tcW w:w="1080"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490,898</w:t>
            </w:r>
          </w:p>
        </w:tc>
        <w:tc>
          <w:tcPr>
            <w:tcW w:w="1080"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507,836</w:t>
            </w:r>
          </w:p>
        </w:tc>
      </w:tr>
      <w:tr w:rsidR="00B0121D" w:rsidRPr="00D73F43" w:rsidTr="00AD09A8">
        <w:trPr>
          <w:trHeight w:val="300"/>
          <w:jc w:val="center"/>
        </w:trPr>
        <w:tc>
          <w:tcPr>
            <w:tcW w:w="3508" w:type="dxa"/>
            <w:tcBorders>
              <w:top w:val="nil"/>
              <w:left w:val="nil"/>
              <w:bottom w:val="nil"/>
              <w:right w:val="nil"/>
            </w:tcBorders>
            <w:shd w:val="clear" w:color="auto" w:fill="auto"/>
            <w:noWrap/>
            <w:vAlign w:val="center"/>
            <w:hideMark/>
          </w:tcPr>
          <w:p w:rsidR="00B0121D" w:rsidRPr="00D73F43" w:rsidRDefault="00B0121D" w:rsidP="00AD09A8">
            <w:pPr>
              <w:rPr>
                <w:rFonts w:eastAsia="Times New Roman"/>
                <w:i/>
                <w:iCs/>
                <w:sz w:val="18"/>
                <w:szCs w:val="18"/>
                <w:lang w:val="sq-AL"/>
              </w:rPr>
            </w:pPr>
            <w:r w:rsidRPr="00D73F43">
              <w:rPr>
                <w:rFonts w:eastAsia="Times New Roman"/>
                <w:i/>
                <w:iCs/>
                <w:sz w:val="18"/>
                <w:szCs w:val="18"/>
                <w:lang w:val="sq-AL"/>
              </w:rPr>
              <w:t xml:space="preserve">     i. Shtetëror</w:t>
            </w:r>
          </w:p>
        </w:tc>
        <w:tc>
          <w:tcPr>
            <w:tcW w:w="1080"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319,833</w:t>
            </w:r>
          </w:p>
        </w:tc>
        <w:tc>
          <w:tcPr>
            <w:tcW w:w="1080"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332,500</w:t>
            </w:r>
          </w:p>
        </w:tc>
        <w:tc>
          <w:tcPr>
            <w:tcW w:w="1080"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383,922</w:t>
            </w:r>
          </w:p>
        </w:tc>
        <w:tc>
          <w:tcPr>
            <w:tcW w:w="1080"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465,306</w:t>
            </w:r>
          </w:p>
        </w:tc>
        <w:tc>
          <w:tcPr>
            <w:tcW w:w="1080" w:type="dxa"/>
            <w:tcBorders>
              <w:top w:val="nil"/>
              <w:left w:val="nil"/>
              <w:bottom w:val="nil"/>
              <w:right w:val="nil"/>
            </w:tcBorders>
            <w:shd w:val="clear" w:color="auto" w:fill="auto"/>
            <w:noWrap/>
            <w:vAlign w:val="bottom"/>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483,301</w:t>
            </w:r>
          </w:p>
        </w:tc>
      </w:tr>
      <w:tr w:rsidR="00B0121D" w:rsidRPr="00D73F43" w:rsidTr="00AD09A8">
        <w:trPr>
          <w:trHeight w:val="300"/>
          <w:jc w:val="center"/>
        </w:trPr>
        <w:tc>
          <w:tcPr>
            <w:tcW w:w="3508" w:type="dxa"/>
            <w:tcBorders>
              <w:top w:val="nil"/>
              <w:left w:val="nil"/>
              <w:bottom w:val="single" w:sz="4" w:space="0" w:color="auto"/>
              <w:right w:val="nil"/>
            </w:tcBorders>
            <w:shd w:val="clear" w:color="auto" w:fill="auto"/>
            <w:noWrap/>
            <w:vAlign w:val="center"/>
            <w:hideMark/>
          </w:tcPr>
          <w:p w:rsidR="00B0121D" w:rsidRPr="00D73F43" w:rsidRDefault="00B0121D" w:rsidP="00AD09A8">
            <w:pPr>
              <w:rPr>
                <w:rFonts w:eastAsia="Times New Roman"/>
                <w:i/>
                <w:iCs/>
                <w:sz w:val="18"/>
                <w:szCs w:val="18"/>
                <w:lang w:val="sq-AL"/>
              </w:rPr>
            </w:pPr>
            <w:r w:rsidRPr="00D73F43">
              <w:rPr>
                <w:rFonts w:eastAsia="Times New Roman"/>
                <w:i/>
                <w:iCs/>
                <w:sz w:val="18"/>
                <w:szCs w:val="18"/>
                <w:lang w:val="sq-AL"/>
              </w:rPr>
              <w:t xml:space="preserve">     ii. Garantuar</w:t>
            </w:r>
          </w:p>
        </w:tc>
        <w:tc>
          <w:tcPr>
            <w:tcW w:w="1080" w:type="dxa"/>
            <w:tcBorders>
              <w:top w:val="nil"/>
              <w:left w:val="nil"/>
              <w:bottom w:val="single" w:sz="4" w:space="0" w:color="auto"/>
              <w:right w:val="nil"/>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37,790</w:t>
            </w:r>
          </w:p>
        </w:tc>
        <w:tc>
          <w:tcPr>
            <w:tcW w:w="1080" w:type="dxa"/>
            <w:tcBorders>
              <w:top w:val="nil"/>
              <w:left w:val="nil"/>
              <w:bottom w:val="single" w:sz="4" w:space="0" w:color="auto"/>
              <w:right w:val="nil"/>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31,406</w:t>
            </w:r>
          </w:p>
        </w:tc>
        <w:tc>
          <w:tcPr>
            <w:tcW w:w="1080" w:type="dxa"/>
            <w:tcBorders>
              <w:top w:val="nil"/>
              <w:left w:val="nil"/>
              <w:bottom w:val="single" w:sz="4" w:space="0" w:color="auto"/>
              <w:right w:val="nil"/>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28,507</w:t>
            </w:r>
          </w:p>
        </w:tc>
        <w:tc>
          <w:tcPr>
            <w:tcW w:w="1080" w:type="dxa"/>
            <w:tcBorders>
              <w:top w:val="nil"/>
              <w:left w:val="nil"/>
              <w:bottom w:val="single" w:sz="4" w:space="0" w:color="auto"/>
              <w:right w:val="nil"/>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25,591</w:t>
            </w:r>
          </w:p>
        </w:tc>
        <w:tc>
          <w:tcPr>
            <w:tcW w:w="1080" w:type="dxa"/>
            <w:tcBorders>
              <w:top w:val="nil"/>
              <w:left w:val="nil"/>
              <w:bottom w:val="single" w:sz="4" w:space="0" w:color="auto"/>
              <w:right w:val="nil"/>
            </w:tcBorders>
            <w:shd w:val="clear" w:color="auto" w:fill="auto"/>
            <w:noWrap/>
            <w:vAlign w:val="bottom"/>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24,534</w:t>
            </w:r>
          </w:p>
        </w:tc>
      </w:tr>
      <w:tr w:rsidR="00B0121D" w:rsidRPr="00D73F43" w:rsidTr="00AD09A8">
        <w:trPr>
          <w:trHeight w:val="300"/>
          <w:jc w:val="center"/>
        </w:trPr>
        <w:tc>
          <w:tcPr>
            <w:tcW w:w="3508" w:type="dxa"/>
            <w:tcBorders>
              <w:top w:val="nil"/>
              <w:left w:val="nil"/>
              <w:bottom w:val="single" w:sz="4" w:space="0" w:color="auto"/>
              <w:right w:val="nil"/>
            </w:tcBorders>
            <w:shd w:val="clear" w:color="auto" w:fill="auto"/>
            <w:noWrap/>
            <w:vAlign w:val="center"/>
            <w:hideMark/>
          </w:tcPr>
          <w:p w:rsidR="00B0121D" w:rsidRPr="00D73F43" w:rsidRDefault="00B0121D" w:rsidP="00AD09A8">
            <w:pPr>
              <w:rPr>
                <w:rFonts w:eastAsia="Times New Roman"/>
                <w:b/>
                <w:bCs/>
                <w:sz w:val="18"/>
                <w:szCs w:val="18"/>
                <w:lang w:val="sq-AL"/>
              </w:rPr>
            </w:pPr>
            <w:r w:rsidRPr="00D73F43">
              <w:rPr>
                <w:rFonts w:eastAsia="Times New Roman"/>
                <w:b/>
                <w:bCs/>
                <w:sz w:val="18"/>
                <w:szCs w:val="18"/>
                <w:lang w:val="sq-AL"/>
              </w:rPr>
              <w:t>PBB</w:t>
            </w:r>
          </w:p>
        </w:tc>
        <w:tc>
          <w:tcPr>
            <w:tcW w:w="1080" w:type="dxa"/>
            <w:tcBorders>
              <w:top w:val="nil"/>
              <w:left w:val="nil"/>
              <w:bottom w:val="single" w:sz="4" w:space="0" w:color="auto"/>
              <w:right w:val="nil"/>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1,332,811</w:t>
            </w:r>
          </w:p>
        </w:tc>
        <w:tc>
          <w:tcPr>
            <w:tcW w:w="1080" w:type="dxa"/>
            <w:tcBorders>
              <w:top w:val="nil"/>
              <w:left w:val="nil"/>
              <w:bottom w:val="single" w:sz="4" w:space="0" w:color="auto"/>
              <w:right w:val="nil"/>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1,350,053</w:t>
            </w:r>
          </w:p>
        </w:tc>
        <w:tc>
          <w:tcPr>
            <w:tcW w:w="1080" w:type="dxa"/>
            <w:tcBorders>
              <w:top w:val="nil"/>
              <w:left w:val="nil"/>
              <w:bottom w:val="single" w:sz="4" w:space="0" w:color="auto"/>
              <w:right w:val="nil"/>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1,394,419</w:t>
            </w:r>
          </w:p>
        </w:tc>
        <w:tc>
          <w:tcPr>
            <w:tcW w:w="1080" w:type="dxa"/>
            <w:tcBorders>
              <w:top w:val="nil"/>
              <w:left w:val="nil"/>
              <w:bottom w:val="single" w:sz="4" w:space="0" w:color="auto"/>
              <w:right w:val="nil"/>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1,435,751</w:t>
            </w:r>
          </w:p>
        </w:tc>
        <w:tc>
          <w:tcPr>
            <w:tcW w:w="1080" w:type="dxa"/>
            <w:tcBorders>
              <w:top w:val="nil"/>
              <w:left w:val="nil"/>
              <w:bottom w:val="single" w:sz="4" w:space="0" w:color="auto"/>
              <w:right w:val="nil"/>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1,501,891</w:t>
            </w:r>
          </w:p>
        </w:tc>
      </w:tr>
      <w:tr w:rsidR="00B0121D" w:rsidRPr="00D73F43" w:rsidTr="00AD09A8">
        <w:trPr>
          <w:trHeight w:val="300"/>
          <w:jc w:val="center"/>
        </w:trPr>
        <w:tc>
          <w:tcPr>
            <w:tcW w:w="3508" w:type="dxa"/>
            <w:tcBorders>
              <w:top w:val="nil"/>
              <w:left w:val="nil"/>
              <w:bottom w:val="nil"/>
              <w:right w:val="nil"/>
            </w:tcBorders>
            <w:shd w:val="clear" w:color="auto" w:fill="auto"/>
            <w:noWrap/>
            <w:vAlign w:val="center"/>
            <w:hideMark/>
          </w:tcPr>
          <w:p w:rsidR="00B0121D" w:rsidRPr="00D73F43" w:rsidRDefault="00B0121D" w:rsidP="00AD09A8">
            <w:pPr>
              <w:rPr>
                <w:rFonts w:eastAsia="Times New Roman"/>
                <w:b/>
                <w:bCs/>
                <w:sz w:val="18"/>
                <w:szCs w:val="18"/>
                <w:lang w:val="sq-AL"/>
              </w:rPr>
            </w:pPr>
            <w:r w:rsidRPr="00D73F43">
              <w:rPr>
                <w:rFonts w:eastAsia="Times New Roman"/>
                <w:b/>
                <w:bCs/>
                <w:sz w:val="18"/>
                <w:szCs w:val="18"/>
                <w:lang w:val="sq-AL"/>
              </w:rPr>
              <w:t>Borxhi i Qeverisë Qendore/PBB</w:t>
            </w:r>
          </w:p>
        </w:tc>
        <w:tc>
          <w:tcPr>
            <w:tcW w:w="1080"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62.12%</w:t>
            </w:r>
          </w:p>
        </w:tc>
        <w:tc>
          <w:tcPr>
            <w:tcW w:w="1080"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65.53%</w:t>
            </w:r>
          </w:p>
        </w:tc>
        <w:tc>
          <w:tcPr>
            <w:tcW w:w="1080"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70.07%</w:t>
            </w:r>
          </w:p>
        </w:tc>
        <w:tc>
          <w:tcPr>
            <w:tcW w:w="1080"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72.59%</w:t>
            </w:r>
          </w:p>
        </w:tc>
        <w:tc>
          <w:tcPr>
            <w:tcW w:w="1080"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71.04%</w:t>
            </w:r>
          </w:p>
        </w:tc>
      </w:tr>
      <w:tr w:rsidR="00B0121D" w:rsidRPr="00D73F43" w:rsidTr="00AD09A8">
        <w:trPr>
          <w:trHeight w:val="300"/>
          <w:jc w:val="center"/>
        </w:trPr>
        <w:tc>
          <w:tcPr>
            <w:tcW w:w="3508" w:type="dxa"/>
            <w:tcBorders>
              <w:top w:val="nil"/>
              <w:left w:val="nil"/>
              <w:bottom w:val="nil"/>
              <w:right w:val="nil"/>
            </w:tcBorders>
            <w:shd w:val="clear" w:color="auto" w:fill="auto"/>
            <w:noWrap/>
            <w:vAlign w:val="center"/>
            <w:hideMark/>
          </w:tcPr>
          <w:p w:rsidR="00B0121D" w:rsidRPr="00D73F43" w:rsidRDefault="00B0121D" w:rsidP="00AD09A8">
            <w:pPr>
              <w:rPr>
                <w:rFonts w:eastAsia="Times New Roman"/>
                <w:i/>
                <w:sz w:val="18"/>
                <w:szCs w:val="18"/>
                <w:lang w:val="sq-AL"/>
              </w:rPr>
            </w:pPr>
            <w:r w:rsidRPr="00D73F43">
              <w:rPr>
                <w:rFonts w:eastAsia="Times New Roman"/>
                <w:i/>
                <w:sz w:val="18"/>
                <w:szCs w:val="18"/>
                <w:lang w:val="sq-AL"/>
              </w:rPr>
              <w:t xml:space="preserve">     Stoku Borxhit të Brendshëm/PBB</w:t>
            </w:r>
          </w:p>
        </w:tc>
        <w:tc>
          <w:tcPr>
            <w:tcW w:w="1080"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i/>
                <w:sz w:val="18"/>
                <w:szCs w:val="18"/>
                <w:lang w:val="sq-AL"/>
              </w:rPr>
            </w:pPr>
            <w:r w:rsidRPr="00D73F43">
              <w:rPr>
                <w:rFonts w:eastAsia="Times New Roman"/>
                <w:i/>
                <w:sz w:val="18"/>
                <w:szCs w:val="18"/>
                <w:lang w:val="sq-AL"/>
              </w:rPr>
              <w:t>35.29%</w:t>
            </w:r>
          </w:p>
        </w:tc>
        <w:tc>
          <w:tcPr>
            <w:tcW w:w="1080"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i/>
                <w:sz w:val="18"/>
                <w:szCs w:val="18"/>
                <w:lang w:val="sq-AL"/>
              </w:rPr>
            </w:pPr>
            <w:r w:rsidRPr="00D73F43">
              <w:rPr>
                <w:rFonts w:eastAsia="Times New Roman"/>
                <w:i/>
                <w:sz w:val="18"/>
                <w:szCs w:val="18"/>
                <w:lang w:val="sq-AL"/>
              </w:rPr>
              <w:t>38.58%</w:t>
            </w:r>
          </w:p>
        </w:tc>
        <w:tc>
          <w:tcPr>
            <w:tcW w:w="1080"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i/>
                <w:sz w:val="18"/>
                <w:szCs w:val="18"/>
                <w:lang w:val="sq-AL"/>
              </w:rPr>
            </w:pPr>
            <w:r w:rsidRPr="00D73F43">
              <w:rPr>
                <w:rFonts w:eastAsia="Times New Roman"/>
                <w:i/>
                <w:sz w:val="18"/>
                <w:szCs w:val="18"/>
                <w:lang w:val="sq-AL"/>
              </w:rPr>
              <w:t>40.50%</w:t>
            </w:r>
          </w:p>
        </w:tc>
        <w:tc>
          <w:tcPr>
            <w:tcW w:w="1080"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i/>
                <w:sz w:val="18"/>
                <w:szCs w:val="18"/>
                <w:lang w:val="sq-AL"/>
              </w:rPr>
            </w:pPr>
            <w:r w:rsidRPr="00D73F43">
              <w:rPr>
                <w:rFonts w:eastAsia="Times New Roman"/>
                <w:i/>
                <w:sz w:val="18"/>
                <w:szCs w:val="18"/>
                <w:lang w:val="sq-AL"/>
              </w:rPr>
              <w:t>38.40%</w:t>
            </w:r>
          </w:p>
        </w:tc>
        <w:tc>
          <w:tcPr>
            <w:tcW w:w="1080"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i/>
                <w:sz w:val="18"/>
                <w:szCs w:val="18"/>
                <w:lang w:val="sq-AL"/>
              </w:rPr>
            </w:pPr>
            <w:r w:rsidRPr="00D73F43">
              <w:rPr>
                <w:rFonts w:eastAsia="Times New Roman"/>
                <w:i/>
                <w:sz w:val="18"/>
                <w:szCs w:val="18"/>
                <w:lang w:val="sq-AL"/>
              </w:rPr>
              <w:t>37.23%</w:t>
            </w:r>
          </w:p>
        </w:tc>
      </w:tr>
      <w:tr w:rsidR="00B0121D" w:rsidRPr="00D73F43" w:rsidTr="00AD09A8">
        <w:trPr>
          <w:trHeight w:val="315"/>
          <w:jc w:val="center"/>
        </w:trPr>
        <w:tc>
          <w:tcPr>
            <w:tcW w:w="3508" w:type="dxa"/>
            <w:tcBorders>
              <w:top w:val="nil"/>
              <w:left w:val="nil"/>
              <w:bottom w:val="single" w:sz="8" w:space="0" w:color="auto"/>
              <w:right w:val="nil"/>
            </w:tcBorders>
            <w:shd w:val="clear" w:color="auto" w:fill="auto"/>
            <w:noWrap/>
            <w:vAlign w:val="center"/>
            <w:hideMark/>
          </w:tcPr>
          <w:p w:rsidR="00B0121D" w:rsidRPr="00D73F43" w:rsidRDefault="00B0121D" w:rsidP="00AD09A8">
            <w:pPr>
              <w:rPr>
                <w:rFonts w:eastAsia="Times New Roman"/>
                <w:i/>
                <w:sz w:val="18"/>
                <w:szCs w:val="18"/>
                <w:lang w:val="sq-AL"/>
              </w:rPr>
            </w:pPr>
            <w:r w:rsidRPr="00D73F43">
              <w:rPr>
                <w:rFonts w:eastAsia="Times New Roman"/>
                <w:i/>
                <w:sz w:val="18"/>
                <w:szCs w:val="18"/>
                <w:lang w:val="sq-AL"/>
              </w:rPr>
              <w:t xml:space="preserve">     Stoku Borxhit të Jashtëm/PBB</w:t>
            </w:r>
          </w:p>
        </w:tc>
        <w:tc>
          <w:tcPr>
            <w:tcW w:w="1080" w:type="dxa"/>
            <w:tcBorders>
              <w:top w:val="nil"/>
              <w:left w:val="nil"/>
              <w:bottom w:val="single" w:sz="8" w:space="0" w:color="auto"/>
              <w:right w:val="nil"/>
            </w:tcBorders>
            <w:shd w:val="clear" w:color="auto" w:fill="auto"/>
            <w:noWrap/>
            <w:vAlign w:val="center"/>
            <w:hideMark/>
          </w:tcPr>
          <w:p w:rsidR="00B0121D" w:rsidRPr="00D73F43" w:rsidRDefault="00B0121D" w:rsidP="00AD09A8">
            <w:pPr>
              <w:jc w:val="right"/>
              <w:rPr>
                <w:rFonts w:eastAsia="Times New Roman"/>
                <w:i/>
                <w:sz w:val="18"/>
                <w:szCs w:val="18"/>
                <w:lang w:val="sq-AL"/>
              </w:rPr>
            </w:pPr>
            <w:r w:rsidRPr="00D73F43">
              <w:rPr>
                <w:rFonts w:eastAsia="Times New Roman"/>
                <w:i/>
                <w:sz w:val="18"/>
                <w:szCs w:val="18"/>
                <w:lang w:val="sq-AL"/>
              </w:rPr>
              <w:t>26.83%</w:t>
            </w:r>
          </w:p>
        </w:tc>
        <w:tc>
          <w:tcPr>
            <w:tcW w:w="1080" w:type="dxa"/>
            <w:tcBorders>
              <w:top w:val="nil"/>
              <w:left w:val="nil"/>
              <w:bottom w:val="single" w:sz="8" w:space="0" w:color="auto"/>
              <w:right w:val="nil"/>
            </w:tcBorders>
            <w:shd w:val="clear" w:color="auto" w:fill="auto"/>
            <w:noWrap/>
            <w:vAlign w:val="center"/>
            <w:hideMark/>
          </w:tcPr>
          <w:p w:rsidR="00B0121D" w:rsidRPr="00D73F43" w:rsidRDefault="00B0121D" w:rsidP="00AD09A8">
            <w:pPr>
              <w:jc w:val="right"/>
              <w:rPr>
                <w:rFonts w:eastAsia="Times New Roman"/>
                <w:i/>
                <w:sz w:val="18"/>
                <w:szCs w:val="18"/>
                <w:lang w:val="sq-AL"/>
              </w:rPr>
            </w:pPr>
            <w:r w:rsidRPr="00D73F43">
              <w:rPr>
                <w:rFonts w:eastAsia="Times New Roman"/>
                <w:i/>
                <w:sz w:val="18"/>
                <w:szCs w:val="18"/>
                <w:lang w:val="sq-AL"/>
              </w:rPr>
              <w:t>26.95%</w:t>
            </w:r>
          </w:p>
        </w:tc>
        <w:tc>
          <w:tcPr>
            <w:tcW w:w="1080" w:type="dxa"/>
            <w:tcBorders>
              <w:top w:val="nil"/>
              <w:left w:val="nil"/>
              <w:bottom w:val="single" w:sz="8" w:space="0" w:color="auto"/>
              <w:right w:val="nil"/>
            </w:tcBorders>
            <w:shd w:val="clear" w:color="auto" w:fill="auto"/>
            <w:noWrap/>
            <w:vAlign w:val="center"/>
            <w:hideMark/>
          </w:tcPr>
          <w:p w:rsidR="00B0121D" w:rsidRPr="00D73F43" w:rsidRDefault="00B0121D" w:rsidP="00AD09A8">
            <w:pPr>
              <w:jc w:val="right"/>
              <w:rPr>
                <w:rFonts w:eastAsia="Times New Roman"/>
                <w:i/>
                <w:sz w:val="18"/>
                <w:szCs w:val="18"/>
                <w:lang w:val="sq-AL"/>
              </w:rPr>
            </w:pPr>
            <w:r w:rsidRPr="00D73F43">
              <w:rPr>
                <w:rFonts w:eastAsia="Times New Roman"/>
                <w:i/>
                <w:sz w:val="18"/>
                <w:szCs w:val="18"/>
                <w:lang w:val="sq-AL"/>
              </w:rPr>
              <w:t>29.58%</w:t>
            </w:r>
          </w:p>
        </w:tc>
        <w:tc>
          <w:tcPr>
            <w:tcW w:w="1080" w:type="dxa"/>
            <w:tcBorders>
              <w:top w:val="nil"/>
              <w:left w:val="nil"/>
              <w:bottom w:val="single" w:sz="8" w:space="0" w:color="auto"/>
              <w:right w:val="nil"/>
            </w:tcBorders>
            <w:shd w:val="clear" w:color="auto" w:fill="auto"/>
            <w:noWrap/>
            <w:vAlign w:val="center"/>
            <w:hideMark/>
          </w:tcPr>
          <w:p w:rsidR="00B0121D" w:rsidRPr="00D73F43" w:rsidRDefault="00B0121D" w:rsidP="00AD09A8">
            <w:pPr>
              <w:jc w:val="right"/>
              <w:rPr>
                <w:rFonts w:eastAsia="Times New Roman"/>
                <w:i/>
                <w:sz w:val="18"/>
                <w:szCs w:val="18"/>
                <w:lang w:val="sq-AL"/>
              </w:rPr>
            </w:pPr>
            <w:r w:rsidRPr="00D73F43">
              <w:rPr>
                <w:rFonts w:eastAsia="Times New Roman"/>
                <w:i/>
                <w:sz w:val="18"/>
                <w:szCs w:val="18"/>
                <w:lang w:val="sq-AL"/>
              </w:rPr>
              <w:t>34.19%</w:t>
            </w:r>
          </w:p>
        </w:tc>
        <w:tc>
          <w:tcPr>
            <w:tcW w:w="1080" w:type="dxa"/>
            <w:tcBorders>
              <w:top w:val="nil"/>
              <w:left w:val="nil"/>
              <w:bottom w:val="single" w:sz="8" w:space="0" w:color="auto"/>
              <w:right w:val="nil"/>
            </w:tcBorders>
            <w:shd w:val="clear" w:color="auto" w:fill="auto"/>
            <w:noWrap/>
            <w:vAlign w:val="center"/>
            <w:hideMark/>
          </w:tcPr>
          <w:p w:rsidR="00B0121D" w:rsidRPr="00D73F43" w:rsidRDefault="00B0121D" w:rsidP="00AD09A8">
            <w:pPr>
              <w:jc w:val="right"/>
              <w:rPr>
                <w:rFonts w:eastAsia="Times New Roman"/>
                <w:i/>
                <w:sz w:val="18"/>
                <w:szCs w:val="18"/>
                <w:lang w:val="sq-AL"/>
              </w:rPr>
            </w:pPr>
            <w:r w:rsidRPr="00D73F43">
              <w:rPr>
                <w:rFonts w:eastAsia="Times New Roman"/>
                <w:i/>
                <w:sz w:val="18"/>
                <w:szCs w:val="18"/>
                <w:lang w:val="sq-AL"/>
              </w:rPr>
              <w:t>33.81%</w:t>
            </w:r>
          </w:p>
        </w:tc>
      </w:tr>
    </w:tbl>
    <w:p w:rsidR="00B0121D" w:rsidRPr="00D73F43" w:rsidRDefault="00B0121D" w:rsidP="00B0121D">
      <w:pPr>
        <w:spacing w:line="276" w:lineRule="auto"/>
        <w:jc w:val="both"/>
        <w:rPr>
          <w:i/>
          <w:sz w:val="20"/>
          <w:szCs w:val="20"/>
          <w:lang w:val="sq-AL"/>
        </w:rPr>
      </w:pPr>
      <w:r w:rsidRPr="00D73F43">
        <w:rPr>
          <w:i/>
          <w:sz w:val="20"/>
          <w:szCs w:val="20"/>
          <w:lang w:val="sq-AL"/>
        </w:rPr>
        <w:t xml:space="preserve"> </w:t>
      </w:r>
      <w:r w:rsidR="00596ACC">
        <w:rPr>
          <w:i/>
          <w:sz w:val="20"/>
          <w:szCs w:val="20"/>
          <w:lang w:val="sq-AL"/>
        </w:rPr>
        <w:tab/>
      </w:r>
      <w:r w:rsidRPr="00D73F43">
        <w:rPr>
          <w:b/>
          <w:sz w:val="20"/>
          <w:szCs w:val="20"/>
          <w:lang w:val="sq-AL"/>
        </w:rPr>
        <w:t>Burimi:</w:t>
      </w:r>
      <w:r w:rsidRPr="00D73F43">
        <w:rPr>
          <w:b/>
          <w:i/>
          <w:sz w:val="20"/>
          <w:szCs w:val="20"/>
          <w:lang w:val="sq-AL"/>
        </w:rPr>
        <w:t xml:space="preserve"> </w:t>
      </w:r>
      <w:r w:rsidRPr="00D73F43">
        <w:rPr>
          <w:i/>
          <w:sz w:val="20"/>
          <w:szCs w:val="20"/>
          <w:lang w:val="sq-AL"/>
        </w:rPr>
        <w:t>Ministria e Financave (2016)</w:t>
      </w:r>
    </w:p>
    <w:p w:rsidR="00B0121D" w:rsidRPr="00D73F43" w:rsidRDefault="00B0121D" w:rsidP="00B0121D">
      <w:pPr>
        <w:spacing w:line="276" w:lineRule="auto"/>
        <w:jc w:val="both"/>
        <w:rPr>
          <w:i/>
          <w:lang w:val="sq-AL"/>
        </w:rPr>
      </w:pPr>
    </w:p>
    <w:p w:rsidR="00B0121D" w:rsidRPr="00D73F43" w:rsidRDefault="00B0121D" w:rsidP="00B0121D">
      <w:pPr>
        <w:spacing w:line="276" w:lineRule="auto"/>
        <w:jc w:val="both"/>
        <w:rPr>
          <w:b/>
          <w:u w:val="single"/>
          <w:lang w:val="sq-AL"/>
        </w:rPr>
      </w:pPr>
      <w:r w:rsidRPr="00D73F43">
        <w:rPr>
          <w:b/>
          <w:u w:val="single"/>
          <w:lang w:val="sq-AL"/>
        </w:rPr>
        <w:t>Huamarrja e brendshme</w:t>
      </w:r>
    </w:p>
    <w:p w:rsidR="00B0121D" w:rsidRPr="00D73F43" w:rsidRDefault="00B0121D" w:rsidP="00B0121D">
      <w:pPr>
        <w:spacing w:line="276" w:lineRule="auto"/>
        <w:jc w:val="both"/>
        <w:rPr>
          <w:lang w:val="sq-AL"/>
        </w:rPr>
      </w:pPr>
    </w:p>
    <w:p w:rsidR="00B0121D" w:rsidRPr="00D73F43" w:rsidRDefault="00B0121D" w:rsidP="00B0121D">
      <w:pPr>
        <w:spacing w:line="276" w:lineRule="auto"/>
        <w:ind w:right="6"/>
        <w:jc w:val="both"/>
        <w:rPr>
          <w:rFonts w:eastAsia="Times New Roman"/>
          <w:lang w:val="sq-AL"/>
        </w:rPr>
      </w:pPr>
      <w:r w:rsidRPr="00D73F43">
        <w:rPr>
          <w:rFonts w:eastAsia="Times New Roman"/>
          <w:lang w:val="sq-AL"/>
        </w:rPr>
        <w:t>Huamarrja në tregun e brendshëm</w:t>
      </w:r>
      <w:r w:rsidRPr="00D73F43">
        <w:rPr>
          <w:rFonts w:eastAsia="Times New Roman"/>
          <w:i/>
          <w:lang w:val="sq-AL"/>
        </w:rPr>
        <w:t xml:space="preserve"> </w:t>
      </w:r>
      <w:r w:rsidRPr="00D73F43">
        <w:rPr>
          <w:rFonts w:eastAsia="Times New Roman"/>
          <w:lang w:val="sq-AL"/>
        </w:rPr>
        <w:t xml:space="preserve">gjatë nëntëmujorit të vitit 2016 ka arritur të rifinancojë me sukses titujt që maturoheshin dhe në të njëjtën kohë ka përmbushur nevojat e Qeverisë për likuiditet. Në tregun e brendshëm janë emetuar tituj në vlerën 273.0 miliardë </w:t>
      </w:r>
      <w:r w:rsidRPr="00D73F43">
        <w:rPr>
          <w:lang w:val="sq-AL"/>
        </w:rPr>
        <w:t>lekë</w:t>
      </w:r>
      <w:r w:rsidRPr="00D73F43">
        <w:rPr>
          <w:rFonts w:eastAsia="Times New Roman"/>
          <w:lang w:val="sq-AL"/>
        </w:rPr>
        <w:t xml:space="preserve">, nga të cilat 264.5 miliardë kanë shërbyer për </w:t>
      </w:r>
      <w:r w:rsidRPr="00D73F43">
        <w:rPr>
          <w:rFonts w:eastAsia="Times New Roman"/>
          <w:lang w:val="sq-AL"/>
        </w:rPr>
        <w:lastRenderedPageBreak/>
        <w:t>rifinancimin e titujve ekzistues dhe 8.5 miliardë për financimin e deficitit buxhetor të planifikuar. Financimi i brendshëm neto është realizuar plotësisht nëpërmjet titujve afatgjatë, ndërkohë që është shoqëruar dhe me maturim të titujve afatshkurtër, në përputhje me objektivat strategjike për uljen e ekspozimit ndaj risqeve. Rol të rëndësishëm në realizimin e këtij objektivi kanë pasur emetimet e suksesshme dhe në vlera të konsiderueshme të obligacioneve 5, 7 dhe 10- vjeçare.</w:t>
      </w:r>
    </w:p>
    <w:p w:rsidR="00B0121D" w:rsidRPr="00D73F43" w:rsidRDefault="00B0121D" w:rsidP="00B0121D">
      <w:pPr>
        <w:spacing w:line="276" w:lineRule="auto"/>
        <w:ind w:right="6"/>
        <w:jc w:val="both"/>
        <w:rPr>
          <w:rFonts w:eastAsia="Times New Roman"/>
          <w:lang w:val="sq-AL"/>
        </w:rPr>
      </w:pPr>
    </w:p>
    <w:p w:rsidR="00B0121D" w:rsidRPr="00D73F43" w:rsidRDefault="00B0121D" w:rsidP="00B0121D">
      <w:pPr>
        <w:ind w:left="-1080"/>
        <w:jc w:val="center"/>
        <w:rPr>
          <w:i/>
          <w:sz w:val="20"/>
          <w:szCs w:val="20"/>
          <w:lang w:val="sq-AL"/>
        </w:rPr>
      </w:pPr>
      <w:r w:rsidRPr="00D73F43">
        <w:rPr>
          <w:b/>
          <w:sz w:val="20"/>
          <w:szCs w:val="20"/>
          <w:lang w:val="sq-AL"/>
        </w:rPr>
        <w:t>Tabela</w:t>
      </w:r>
      <w:r w:rsidR="00596ACC">
        <w:rPr>
          <w:b/>
          <w:sz w:val="20"/>
          <w:szCs w:val="20"/>
          <w:lang w:val="sq-AL"/>
        </w:rPr>
        <w:t xml:space="preserve"> 14</w:t>
      </w:r>
      <w:r w:rsidRPr="00D73F43">
        <w:rPr>
          <w:b/>
          <w:sz w:val="20"/>
          <w:szCs w:val="20"/>
          <w:lang w:val="sq-AL"/>
        </w:rPr>
        <w:t xml:space="preserve">: </w:t>
      </w:r>
      <w:r w:rsidRPr="00D73F43">
        <w:rPr>
          <w:i/>
          <w:sz w:val="20"/>
          <w:szCs w:val="20"/>
          <w:lang w:val="sq-AL"/>
        </w:rPr>
        <w:t>Financimi i brendshëm sipas titujve shtetërorë</w:t>
      </w:r>
    </w:p>
    <w:tbl>
      <w:tblPr>
        <w:tblW w:w="8856" w:type="dxa"/>
        <w:jc w:val="center"/>
        <w:tblLook w:val="04A0" w:firstRow="1" w:lastRow="0" w:firstColumn="1" w:lastColumn="0" w:noHBand="0" w:noVBand="1"/>
      </w:tblPr>
      <w:tblGrid>
        <w:gridCol w:w="3686"/>
        <w:gridCol w:w="1417"/>
        <w:gridCol w:w="1266"/>
        <w:gridCol w:w="1555"/>
        <w:gridCol w:w="932"/>
      </w:tblGrid>
      <w:tr w:rsidR="00B0121D" w:rsidRPr="00D73F43" w:rsidTr="00AD09A8">
        <w:trPr>
          <w:trHeight w:val="315"/>
          <w:jc w:val="center"/>
        </w:trPr>
        <w:tc>
          <w:tcPr>
            <w:tcW w:w="3686"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B0121D" w:rsidRPr="00D73F43" w:rsidRDefault="00B0121D" w:rsidP="00AD09A8">
            <w:pPr>
              <w:jc w:val="center"/>
              <w:rPr>
                <w:rFonts w:eastAsia="Times New Roman"/>
                <w:b/>
                <w:bCs/>
                <w:sz w:val="18"/>
                <w:szCs w:val="18"/>
                <w:lang w:val="sq-AL"/>
              </w:rPr>
            </w:pPr>
            <w:r w:rsidRPr="00D73F43">
              <w:rPr>
                <w:rFonts w:eastAsia="Times New Roman"/>
                <w:b/>
                <w:bCs/>
                <w:sz w:val="18"/>
                <w:szCs w:val="18"/>
                <w:lang w:val="sq-AL"/>
              </w:rPr>
              <w:t>Tituj Shtetërorë</w:t>
            </w:r>
          </w:p>
        </w:tc>
        <w:tc>
          <w:tcPr>
            <w:tcW w:w="2683" w:type="dxa"/>
            <w:gridSpan w:val="2"/>
            <w:tcBorders>
              <w:top w:val="single" w:sz="8" w:space="0" w:color="auto"/>
              <w:left w:val="nil"/>
              <w:bottom w:val="single" w:sz="8" w:space="0" w:color="auto"/>
              <w:right w:val="single" w:sz="8" w:space="0" w:color="000000"/>
            </w:tcBorders>
            <w:shd w:val="clear" w:color="auto" w:fill="auto"/>
            <w:noWrap/>
            <w:vAlign w:val="center"/>
            <w:hideMark/>
          </w:tcPr>
          <w:p w:rsidR="00B0121D" w:rsidRPr="00D73F43" w:rsidRDefault="00B0121D" w:rsidP="00AD09A8">
            <w:pPr>
              <w:jc w:val="center"/>
              <w:rPr>
                <w:rFonts w:eastAsia="Times New Roman"/>
                <w:b/>
                <w:bCs/>
                <w:sz w:val="18"/>
                <w:szCs w:val="18"/>
                <w:lang w:val="sq-AL"/>
              </w:rPr>
            </w:pPr>
            <w:r w:rsidRPr="00D73F43">
              <w:rPr>
                <w:rFonts w:eastAsia="Times New Roman"/>
                <w:b/>
                <w:bCs/>
                <w:sz w:val="18"/>
                <w:szCs w:val="18"/>
                <w:lang w:val="sq-AL"/>
              </w:rPr>
              <w:t>Financim bruto (9m-2016)</w:t>
            </w:r>
          </w:p>
        </w:tc>
        <w:tc>
          <w:tcPr>
            <w:tcW w:w="2487" w:type="dxa"/>
            <w:gridSpan w:val="2"/>
            <w:tcBorders>
              <w:top w:val="single" w:sz="8" w:space="0" w:color="auto"/>
              <w:left w:val="nil"/>
              <w:bottom w:val="single" w:sz="8" w:space="0" w:color="auto"/>
              <w:right w:val="single" w:sz="8" w:space="0" w:color="000000"/>
            </w:tcBorders>
            <w:shd w:val="clear" w:color="auto" w:fill="auto"/>
            <w:noWrap/>
            <w:vAlign w:val="center"/>
            <w:hideMark/>
          </w:tcPr>
          <w:p w:rsidR="00B0121D" w:rsidRPr="00D73F43" w:rsidRDefault="00B0121D" w:rsidP="00AD09A8">
            <w:pPr>
              <w:jc w:val="center"/>
              <w:rPr>
                <w:rFonts w:eastAsia="Times New Roman"/>
                <w:b/>
                <w:bCs/>
                <w:sz w:val="18"/>
                <w:szCs w:val="18"/>
                <w:lang w:val="sq-AL"/>
              </w:rPr>
            </w:pPr>
            <w:r w:rsidRPr="00D73F43">
              <w:rPr>
                <w:rFonts w:eastAsia="Times New Roman"/>
                <w:b/>
                <w:bCs/>
                <w:sz w:val="18"/>
                <w:szCs w:val="18"/>
                <w:lang w:val="sq-AL"/>
              </w:rPr>
              <w:t>Financim neto (9m-2016)</w:t>
            </w:r>
          </w:p>
        </w:tc>
      </w:tr>
      <w:tr w:rsidR="00B0121D" w:rsidRPr="00D73F43" w:rsidTr="00AD09A8">
        <w:trPr>
          <w:trHeight w:val="315"/>
          <w:jc w:val="center"/>
        </w:trPr>
        <w:tc>
          <w:tcPr>
            <w:tcW w:w="3686" w:type="dxa"/>
            <w:vMerge/>
            <w:tcBorders>
              <w:top w:val="single" w:sz="8" w:space="0" w:color="auto"/>
              <w:left w:val="single" w:sz="4" w:space="0" w:color="auto"/>
              <w:bottom w:val="single" w:sz="8" w:space="0" w:color="000000"/>
              <w:right w:val="single" w:sz="8" w:space="0" w:color="auto"/>
            </w:tcBorders>
            <w:vAlign w:val="center"/>
            <w:hideMark/>
          </w:tcPr>
          <w:p w:rsidR="00B0121D" w:rsidRPr="00D73F43" w:rsidRDefault="00B0121D" w:rsidP="00AD09A8">
            <w:pPr>
              <w:rPr>
                <w:rFonts w:eastAsia="Times New Roman"/>
                <w:b/>
                <w:bCs/>
                <w:sz w:val="18"/>
                <w:szCs w:val="18"/>
                <w:lang w:val="sq-AL"/>
              </w:rPr>
            </w:pPr>
          </w:p>
        </w:tc>
        <w:tc>
          <w:tcPr>
            <w:tcW w:w="1417" w:type="dxa"/>
            <w:tcBorders>
              <w:top w:val="nil"/>
              <w:left w:val="nil"/>
              <w:bottom w:val="single" w:sz="8" w:space="0" w:color="auto"/>
              <w:right w:val="single" w:sz="8" w:space="0" w:color="auto"/>
            </w:tcBorders>
            <w:shd w:val="clear" w:color="auto" w:fill="auto"/>
            <w:noWrap/>
            <w:vAlign w:val="center"/>
            <w:hideMark/>
          </w:tcPr>
          <w:p w:rsidR="00B0121D" w:rsidRPr="00D73F43" w:rsidRDefault="00B0121D" w:rsidP="00AD09A8">
            <w:pPr>
              <w:jc w:val="center"/>
              <w:rPr>
                <w:rFonts w:eastAsia="Times New Roman"/>
                <w:b/>
                <w:bCs/>
                <w:sz w:val="18"/>
                <w:szCs w:val="18"/>
                <w:lang w:val="sq-AL"/>
              </w:rPr>
            </w:pPr>
            <w:r w:rsidRPr="00D73F43">
              <w:rPr>
                <w:rFonts w:eastAsia="Times New Roman"/>
                <w:b/>
                <w:bCs/>
                <w:sz w:val="18"/>
                <w:szCs w:val="18"/>
                <w:lang w:val="sq-AL"/>
              </w:rPr>
              <w:t>Në mln Lek</w:t>
            </w:r>
          </w:p>
        </w:tc>
        <w:tc>
          <w:tcPr>
            <w:tcW w:w="1266" w:type="dxa"/>
            <w:tcBorders>
              <w:top w:val="nil"/>
              <w:left w:val="nil"/>
              <w:bottom w:val="single" w:sz="8" w:space="0" w:color="auto"/>
              <w:right w:val="single" w:sz="8" w:space="0" w:color="auto"/>
            </w:tcBorders>
            <w:shd w:val="clear" w:color="auto" w:fill="auto"/>
            <w:noWrap/>
            <w:vAlign w:val="center"/>
            <w:hideMark/>
          </w:tcPr>
          <w:p w:rsidR="00B0121D" w:rsidRPr="00D73F43" w:rsidRDefault="00B0121D" w:rsidP="00AD09A8">
            <w:pPr>
              <w:jc w:val="center"/>
              <w:rPr>
                <w:rFonts w:eastAsia="Times New Roman"/>
                <w:b/>
                <w:bCs/>
                <w:sz w:val="18"/>
                <w:szCs w:val="18"/>
                <w:lang w:val="sq-AL"/>
              </w:rPr>
            </w:pPr>
            <w:r w:rsidRPr="00D73F43">
              <w:rPr>
                <w:rFonts w:eastAsia="Times New Roman"/>
                <w:b/>
                <w:bCs/>
                <w:sz w:val="18"/>
                <w:szCs w:val="18"/>
                <w:lang w:val="sq-AL"/>
              </w:rPr>
              <w:t>Në %</w:t>
            </w:r>
          </w:p>
        </w:tc>
        <w:tc>
          <w:tcPr>
            <w:tcW w:w="1555" w:type="dxa"/>
            <w:tcBorders>
              <w:top w:val="nil"/>
              <w:left w:val="nil"/>
              <w:bottom w:val="single" w:sz="8" w:space="0" w:color="auto"/>
              <w:right w:val="single" w:sz="8" w:space="0" w:color="auto"/>
            </w:tcBorders>
            <w:shd w:val="clear" w:color="auto" w:fill="auto"/>
            <w:noWrap/>
            <w:vAlign w:val="center"/>
            <w:hideMark/>
          </w:tcPr>
          <w:p w:rsidR="00B0121D" w:rsidRPr="00D73F43" w:rsidRDefault="00B0121D" w:rsidP="00AD09A8">
            <w:pPr>
              <w:jc w:val="center"/>
              <w:rPr>
                <w:rFonts w:eastAsia="Times New Roman"/>
                <w:b/>
                <w:bCs/>
                <w:sz w:val="18"/>
                <w:szCs w:val="18"/>
                <w:lang w:val="sq-AL"/>
              </w:rPr>
            </w:pPr>
            <w:r w:rsidRPr="00D73F43">
              <w:rPr>
                <w:rFonts w:eastAsia="Times New Roman"/>
                <w:b/>
                <w:bCs/>
                <w:sz w:val="18"/>
                <w:szCs w:val="18"/>
                <w:lang w:val="sq-AL"/>
              </w:rPr>
              <w:t>Në mln Lek</w:t>
            </w:r>
          </w:p>
        </w:tc>
        <w:tc>
          <w:tcPr>
            <w:tcW w:w="932" w:type="dxa"/>
            <w:tcBorders>
              <w:top w:val="nil"/>
              <w:left w:val="nil"/>
              <w:bottom w:val="single" w:sz="8" w:space="0" w:color="auto"/>
              <w:right w:val="single" w:sz="8" w:space="0" w:color="auto"/>
            </w:tcBorders>
            <w:shd w:val="clear" w:color="auto" w:fill="auto"/>
            <w:noWrap/>
            <w:vAlign w:val="center"/>
            <w:hideMark/>
          </w:tcPr>
          <w:p w:rsidR="00B0121D" w:rsidRPr="00D73F43" w:rsidRDefault="00B0121D" w:rsidP="00AD09A8">
            <w:pPr>
              <w:jc w:val="center"/>
              <w:rPr>
                <w:rFonts w:eastAsia="Times New Roman"/>
                <w:b/>
                <w:bCs/>
                <w:sz w:val="18"/>
                <w:szCs w:val="18"/>
                <w:lang w:val="sq-AL"/>
              </w:rPr>
            </w:pPr>
            <w:r w:rsidRPr="00D73F43">
              <w:rPr>
                <w:rFonts w:eastAsia="Times New Roman"/>
                <w:b/>
                <w:bCs/>
                <w:sz w:val="18"/>
                <w:szCs w:val="18"/>
                <w:lang w:val="sq-AL"/>
              </w:rPr>
              <w:t>Në %</w:t>
            </w:r>
          </w:p>
        </w:tc>
      </w:tr>
      <w:tr w:rsidR="00B0121D" w:rsidRPr="00D73F43" w:rsidTr="00AD09A8">
        <w:trPr>
          <w:trHeight w:val="315"/>
          <w:jc w:val="center"/>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rsidR="00B0121D" w:rsidRPr="00D73F43" w:rsidRDefault="00B0121D" w:rsidP="00AD09A8">
            <w:pPr>
              <w:rPr>
                <w:rFonts w:eastAsia="Times New Roman"/>
                <w:b/>
                <w:bCs/>
                <w:sz w:val="18"/>
                <w:szCs w:val="18"/>
                <w:lang w:val="sq-AL"/>
              </w:rPr>
            </w:pPr>
            <w:r w:rsidRPr="00D73F43">
              <w:rPr>
                <w:rFonts w:eastAsia="Times New Roman"/>
                <w:b/>
                <w:bCs/>
                <w:sz w:val="18"/>
                <w:szCs w:val="18"/>
                <w:lang w:val="sq-AL"/>
              </w:rPr>
              <w:t>Financimi Gjithsej</w:t>
            </w:r>
          </w:p>
        </w:tc>
        <w:tc>
          <w:tcPr>
            <w:tcW w:w="1417" w:type="dxa"/>
            <w:tcBorders>
              <w:top w:val="nil"/>
              <w:left w:val="nil"/>
              <w:bottom w:val="single" w:sz="8" w:space="0" w:color="auto"/>
              <w:right w:val="nil"/>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272,986.4</w:t>
            </w:r>
          </w:p>
        </w:tc>
        <w:tc>
          <w:tcPr>
            <w:tcW w:w="1266" w:type="dxa"/>
            <w:tcBorders>
              <w:top w:val="nil"/>
              <w:left w:val="nil"/>
              <w:bottom w:val="single" w:sz="8" w:space="0" w:color="auto"/>
              <w:right w:val="single" w:sz="8" w:space="0" w:color="auto"/>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100.0%</w:t>
            </w:r>
          </w:p>
        </w:tc>
        <w:tc>
          <w:tcPr>
            <w:tcW w:w="1555" w:type="dxa"/>
            <w:tcBorders>
              <w:top w:val="nil"/>
              <w:left w:val="nil"/>
              <w:bottom w:val="single" w:sz="8" w:space="0" w:color="auto"/>
              <w:right w:val="nil"/>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8,535.6</w:t>
            </w:r>
          </w:p>
        </w:tc>
        <w:tc>
          <w:tcPr>
            <w:tcW w:w="932" w:type="dxa"/>
            <w:tcBorders>
              <w:top w:val="nil"/>
              <w:left w:val="nil"/>
              <w:bottom w:val="single" w:sz="8" w:space="0" w:color="auto"/>
              <w:right w:val="single" w:sz="8" w:space="0" w:color="auto"/>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100.0%</w:t>
            </w:r>
          </w:p>
        </w:tc>
      </w:tr>
      <w:tr w:rsidR="00B0121D" w:rsidRPr="00D73F43" w:rsidTr="00AD09A8">
        <w:trPr>
          <w:trHeight w:val="300"/>
          <w:jc w:val="center"/>
        </w:trPr>
        <w:tc>
          <w:tcPr>
            <w:tcW w:w="3686" w:type="dxa"/>
            <w:tcBorders>
              <w:top w:val="nil"/>
              <w:left w:val="single" w:sz="8" w:space="0" w:color="auto"/>
              <w:bottom w:val="nil"/>
              <w:right w:val="single" w:sz="8" w:space="0" w:color="auto"/>
            </w:tcBorders>
            <w:shd w:val="clear" w:color="auto" w:fill="auto"/>
            <w:noWrap/>
            <w:vAlign w:val="center"/>
            <w:hideMark/>
          </w:tcPr>
          <w:p w:rsidR="00B0121D" w:rsidRPr="00D73F43" w:rsidRDefault="00B0121D" w:rsidP="00AD09A8">
            <w:pPr>
              <w:rPr>
                <w:rFonts w:eastAsia="Times New Roman"/>
                <w:b/>
                <w:bCs/>
                <w:sz w:val="18"/>
                <w:szCs w:val="18"/>
                <w:lang w:val="sq-AL"/>
              </w:rPr>
            </w:pPr>
            <w:r w:rsidRPr="00D73F43">
              <w:rPr>
                <w:rFonts w:eastAsia="Times New Roman"/>
                <w:b/>
                <w:bCs/>
                <w:sz w:val="18"/>
                <w:szCs w:val="18"/>
                <w:lang w:val="sq-AL"/>
              </w:rPr>
              <w:t>Instrumenta Afatshkurtër</w:t>
            </w:r>
          </w:p>
        </w:tc>
        <w:tc>
          <w:tcPr>
            <w:tcW w:w="1417"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201,338.0</w:t>
            </w:r>
          </w:p>
        </w:tc>
        <w:tc>
          <w:tcPr>
            <w:tcW w:w="1266" w:type="dxa"/>
            <w:tcBorders>
              <w:top w:val="nil"/>
              <w:left w:val="nil"/>
              <w:bottom w:val="nil"/>
              <w:right w:val="single" w:sz="8" w:space="0" w:color="auto"/>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73.8%</w:t>
            </w:r>
          </w:p>
        </w:tc>
        <w:tc>
          <w:tcPr>
            <w:tcW w:w="1555"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-13,508.1</w:t>
            </w:r>
          </w:p>
        </w:tc>
        <w:tc>
          <w:tcPr>
            <w:tcW w:w="932" w:type="dxa"/>
            <w:tcBorders>
              <w:top w:val="nil"/>
              <w:left w:val="nil"/>
              <w:bottom w:val="nil"/>
              <w:right w:val="single" w:sz="8" w:space="0" w:color="auto"/>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-158.3%</w:t>
            </w:r>
          </w:p>
        </w:tc>
      </w:tr>
      <w:tr w:rsidR="00B0121D" w:rsidRPr="00D73F43" w:rsidTr="00AD09A8">
        <w:trPr>
          <w:trHeight w:val="315"/>
          <w:jc w:val="center"/>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rsidR="00B0121D" w:rsidRPr="00D73F43" w:rsidRDefault="00B0121D" w:rsidP="00AD09A8">
            <w:pPr>
              <w:rPr>
                <w:rFonts w:eastAsia="Times New Roman"/>
                <w:i/>
                <w:iCs/>
                <w:sz w:val="18"/>
                <w:szCs w:val="18"/>
                <w:lang w:val="sq-AL"/>
              </w:rPr>
            </w:pPr>
            <w:r w:rsidRPr="00D73F43">
              <w:rPr>
                <w:rFonts w:eastAsia="Times New Roman"/>
                <w:i/>
                <w:iCs/>
                <w:sz w:val="18"/>
                <w:szCs w:val="18"/>
                <w:lang w:val="sq-AL"/>
              </w:rPr>
              <w:t xml:space="preserve">  - Bono Thesari </w:t>
            </w:r>
          </w:p>
        </w:tc>
        <w:tc>
          <w:tcPr>
            <w:tcW w:w="1417" w:type="dxa"/>
            <w:tcBorders>
              <w:top w:val="nil"/>
              <w:left w:val="nil"/>
              <w:bottom w:val="single" w:sz="8" w:space="0" w:color="auto"/>
              <w:right w:val="nil"/>
            </w:tcBorders>
            <w:shd w:val="clear" w:color="auto" w:fill="auto"/>
            <w:noWrap/>
            <w:vAlign w:val="bottom"/>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201,338.0</w:t>
            </w:r>
          </w:p>
        </w:tc>
        <w:tc>
          <w:tcPr>
            <w:tcW w:w="1266" w:type="dxa"/>
            <w:tcBorders>
              <w:top w:val="nil"/>
              <w:left w:val="nil"/>
              <w:bottom w:val="single" w:sz="8" w:space="0" w:color="auto"/>
              <w:right w:val="single" w:sz="8" w:space="0" w:color="auto"/>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73.8%</w:t>
            </w:r>
          </w:p>
        </w:tc>
        <w:tc>
          <w:tcPr>
            <w:tcW w:w="1555" w:type="dxa"/>
            <w:tcBorders>
              <w:top w:val="nil"/>
              <w:left w:val="nil"/>
              <w:bottom w:val="single" w:sz="8" w:space="0" w:color="auto"/>
              <w:right w:val="nil"/>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-13,508.1</w:t>
            </w:r>
          </w:p>
        </w:tc>
        <w:tc>
          <w:tcPr>
            <w:tcW w:w="932" w:type="dxa"/>
            <w:tcBorders>
              <w:top w:val="nil"/>
              <w:left w:val="nil"/>
              <w:bottom w:val="single" w:sz="8" w:space="0" w:color="auto"/>
              <w:right w:val="single" w:sz="8" w:space="0" w:color="auto"/>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-158.3%</w:t>
            </w:r>
          </w:p>
        </w:tc>
      </w:tr>
      <w:tr w:rsidR="00B0121D" w:rsidRPr="00D73F43" w:rsidTr="00AD09A8">
        <w:trPr>
          <w:trHeight w:val="300"/>
          <w:jc w:val="center"/>
        </w:trPr>
        <w:tc>
          <w:tcPr>
            <w:tcW w:w="3686" w:type="dxa"/>
            <w:tcBorders>
              <w:top w:val="nil"/>
              <w:left w:val="single" w:sz="8" w:space="0" w:color="auto"/>
              <w:bottom w:val="nil"/>
              <w:right w:val="single" w:sz="8" w:space="0" w:color="auto"/>
            </w:tcBorders>
            <w:shd w:val="clear" w:color="auto" w:fill="auto"/>
            <w:noWrap/>
            <w:vAlign w:val="center"/>
            <w:hideMark/>
          </w:tcPr>
          <w:p w:rsidR="00B0121D" w:rsidRPr="00D73F43" w:rsidRDefault="00B0121D" w:rsidP="00AD09A8">
            <w:pPr>
              <w:rPr>
                <w:rFonts w:eastAsia="Times New Roman"/>
                <w:b/>
                <w:bCs/>
                <w:sz w:val="18"/>
                <w:szCs w:val="18"/>
                <w:lang w:val="sq-AL"/>
              </w:rPr>
            </w:pPr>
            <w:r w:rsidRPr="00D73F43">
              <w:rPr>
                <w:rFonts w:eastAsia="Times New Roman"/>
                <w:b/>
                <w:bCs/>
                <w:sz w:val="18"/>
                <w:szCs w:val="18"/>
                <w:lang w:val="sq-AL"/>
              </w:rPr>
              <w:t>Instrumenta Afatgjatë</w:t>
            </w:r>
          </w:p>
        </w:tc>
        <w:tc>
          <w:tcPr>
            <w:tcW w:w="1417"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71,648.4</w:t>
            </w:r>
          </w:p>
        </w:tc>
        <w:tc>
          <w:tcPr>
            <w:tcW w:w="1266" w:type="dxa"/>
            <w:tcBorders>
              <w:top w:val="nil"/>
              <w:left w:val="nil"/>
              <w:bottom w:val="nil"/>
              <w:right w:val="single" w:sz="8" w:space="0" w:color="auto"/>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26.2%</w:t>
            </w:r>
          </w:p>
        </w:tc>
        <w:tc>
          <w:tcPr>
            <w:tcW w:w="1555"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22,043.8</w:t>
            </w:r>
          </w:p>
        </w:tc>
        <w:tc>
          <w:tcPr>
            <w:tcW w:w="932" w:type="dxa"/>
            <w:tcBorders>
              <w:top w:val="nil"/>
              <w:left w:val="nil"/>
              <w:bottom w:val="nil"/>
              <w:right w:val="single" w:sz="8" w:space="0" w:color="auto"/>
            </w:tcBorders>
            <w:shd w:val="clear" w:color="auto" w:fill="auto"/>
            <w:noWrap/>
            <w:vAlign w:val="center"/>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258.3%</w:t>
            </w:r>
          </w:p>
        </w:tc>
      </w:tr>
      <w:tr w:rsidR="00B0121D" w:rsidRPr="00D73F43" w:rsidTr="00AD09A8">
        <w:trPr>
          <w:trHeight w:val="300"/>
          <w:jc w:val="center"/>
        </w:trPr>
        <w:tc>
          <w:tcPr>
            <w:tcW w:w="3686" w:type="dxa"/>
            <w:tcBorders>
              <w:top w:val="nil"/>
              <w:left w:val="single" w:sz="8" w:space="0" w:color="auto"/>
              <w:bottom w:val="nil"/>
              <w:right w:val="single" w:sz="8" w:space="0" w:color="auto"/>
            </w:tcBorders>
            <w:shd w:val="clear" w:color="auto" w:fill="auto"/>
            <w:noWrap/>
            <w:vAlign w:val="center"/>
            <w:hideMark/>
          </w:tcPr>
          <w:p w:rsidR="00B0121D" w:rsidRPr="00D73F43" w:rsidRDefault="00B0121D" w:rsidP="00AD09A8">
            <w:pPr>
              <w:rPr>
                <w:rFonts w:eastAsia="Times New Roman"/>
                <w:i/>
                <w:iCs/>
                <w:sz w:val="18"/>
                <w:szCs w:val="18"/>
                <w:lang w:val="sq-AL"/>
              </w:rPr>
            </w:pPr>
            <w:r w:rsidRPr="00D73F43">
              <w:rPr>
                <w:rFonts w:eastAsia="Times New Roman"/>
                <w:i/>
                <w:iCs/>
                <w:sz w:val="18"/>
                <w:szCs w:val="18"/>
                <w:lang w:val="sq-AL"/>
              </w:rPr>
              <w:t xml:space="preserve">  - Obligacione 2 vjeçare</w:t>
            </w:r>
          </w:p>
        </w:tc>
        <w:tc>
          <w:tcPr>
            <w:tcW w:w="1417"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27,421.5</w:t>
            </w:r>
          </w:p>
        </w:tc>
        <w:tc>
          <w:tcPr>
            <w:tcW w:w="1266" w:type="dxa"/>
            <w:tcBorders>
              <w:top w:val="nil"/>
              <w:left w:val="nil"/>
              <w:bottom w:val="nil"/>
              <w:right w:val="single" w:sz="8" w:space="0" w:color="auto"/>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10.0%</w:t>
            </w:r>
          </w:p>
        </w:tc>
        <w:tc>
          <w:tcPr>
            <w:tcW w:w="1555"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-2,969.0</w:t>
            </w:r>
          </w:p>
        </w:tc>
        <w:tc>
          <w:tcPr>
            <w:tcW w:w="932" w:type="dxa"/>
            <w:tcBorders>
              <w:top w:val="nil"/>
              <w:left w:val="nil"/>
              <w:bottom w:val="nil"/>
              <w:right w:val="single" w:sz="8" w:space="0" w:color="auto"/>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-34.8%</w:t>
            </w:r>
          </w:p>
        </w:tc>
      </w:tr>
      <w:tr w:rsidR="00B0121D" w:rsidRPr="00D73F43" w:rsidTr="00AD09A8">
        <w:trPr>
          <w:trHeight w:val="300"/>
          <w:jc w:val="center"/>
        </w:trPr>
        <w:tc>
          <w:tcPr>
            <w:tcW w:w="3686" w:type="dxa"/>
            <w:tcBorders>
              <w:top w:val="nil"/>
              <w:left w:val="single" w:sz="8" w:space="0" w:color="auto"/>
              <w:bottom w:val="nil"/>
              <w:right w:val="single" w:sz="8" w:space="0" w:color="auto"/>
            </w:tcBorders>
            <w:shd w:val="clear" w:color="auto" w:fill="auto"/>
            <w:noWrap/>
            <w:vAlign w:val="center"/>
            <w:hideMark/>
          </w:tcPr>
          <w:p w:rsidR="00B0121D" w:rsidRPr="00D73F43" w:rsidRDefault="00B0121D" w:rsidP="00AD09A8">
            <w:pPr>
              <w:rPr>
                <w:rFonts w:eastAsia="Times New Roman"/>
                <w:i/>
                <w:iCs/>
                <w:sz w:val="18"/>
                <w:szCs w:val="18"/>
                <w:lang w:val="sq-AL"/>
              </w:rPr>
            </w:pPr>
            <w:r w:rsidRPr="00D73F43">
              <w:rPr>
                <w:rFonts w:eastAsia="Times New Roman"/>
                <w:i/>
                <w:iCs/>
                <w:sz w:val="18"/>
                <w:szCs w:val="18"/>
                <w:lang w:val="sq-AL"/>
              </w:rPr>
              <w:t xml:space="preserve">  - Obligacione 3 vjeçare</w:t>
            </w:r>
          </w:p>
        </w:tc>
        <w:tc>
          <w:tcPr>
            <w:tcW w:w="1417"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10,678.7</w:t>
            </w:r>
          </w:p>
        </w:tc>
        <w:tc>
          <w:tcPr>
            <w:tcW w:w="1266" w:type="dxa"/>
            <w:tcBorders>
              <w:top w:val="nil"/>
              <w:left w:val="nil"/>
              <w:bottom w:val="nil"/>
              <w:right w:val="single" w:sz="8" w:space="0" w:color="auto"/>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3.9%</w:t>
            </w:r>
          </w:p>
        </w:tc>
        <w:tc>
          <w:tcPr>
            <w:tcW w:w="1555"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-3,371.6</w:t>
            </w:r>
          </w:p>
        </w:tc>
        <w:tc>
          <w:tcPr>
            <w:tcW w:w="932" w:type="dxa"/>
            <w:tcBorders>
              <w:top w:val="nil"/>
              <w:left w:val="nil"/>
              <w:bottom w:val="nil"/>
              <w:right w:val="single" w:sz="8" w:space="0" w:color="auto"/>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-39.5%</w:t>
            </w:r>
          </w:p>
        </w:tc>
      </w:tr>
      <w:tr w:rsidR="00B0121D" w:rsidRPr="00D73F43" w:rsidTr="00AD09A8">
        <w:trPr>
          <w:trHeight w:val="300"/>
          <w:jc w:val="center"/>
        </w:trPr>
        <w:tc>
          <w:tcPr>
            <w:tcW w:w="3686" w:type="dxa"/>
            <w:tcBorders>
              <w:top w:val="nil"/>
              <w:left w:val="single" w:sz="8" w:space="0" w:color="auto"/>
              <w:bottom w:val="nil"/>
              <w:right w:val="single" w:sz="8" w:space="0" w:color="auto"/>
            </w:tcBorders>
            <w:shd w:val="clear" w:color="auto" w:fill="auto"/>
            <w:noWrap/>
            <w:vAlign w:val="center"/>
            <w:hideMark/>
          </w:tcPr>
          <w:p w:rsidR="00B0121D" w:rsidRPr="00D73F43" w:rsidRDefault="00B0121D" w:rsidP="00AD09A8">
            <w:pPr>
              <w:rPr>
                <w:rFonts w:eastAsia="Times New Roman"/>
                <w:i/>
                <w:iCs/>
                <w:sz w:val="18"/>
                <w:szCs w:val="18"/>
                <w:lang w:val="sq-AL"/>
              </w:rPr>
            </w:pPr>
            <w:r w:rsidRPr="00D73F43">
              <w:rPr>
                <w:rFonts w:eastAsia="Times New Roman"/>
                <w:i/>
                <w:iCs/>
                <w:sz w:val="18"/>
                <w:szCs w:val="18"/>
                <w:lang w:val="sq-AL"/>
              </w:rPr>
              <w:t xml:space="preserve">  - Obligacione 5 vjeçare</w:t>
            </w:r>
          </w:p>
        </w:tc>
        <w:tc>
          <w:tcPr>
            <w:tcW w:w="1417"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14,768.3</w:t>
            </w:r>
          </w:p>
        </w:tc>
        <w:tc>
          <w:tcPr>
            <w:tcW w:w="1266" w:type="dxa"/>
            <w:tcBorders>
              <w:top w:val="nil"/>
              <w:left w:val="nil"/>
              <w:bottom w:val="nil"/>
              <w:right w:val="single" w:sz="8" w:space="0" w:color="auto"/>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5.4%</w:t>
            </w:r>
          </w:p>
        </w:tc>
        <w:tc>
          <w:tcPr>
            <w:tcW w:w="1555"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9,604.5</w:t>
            </w:r>
          </w:p>
        </w:tc>
        <w:tc>
          <w:tcPr>
            <w:tcW w:w="932" w:type="dxa"/>
            <w:tcBorders>
              <w:top w:val="nil"/>
              <w:left w:val="nil"/>
              <w:bottom w:val="nil"/>
              <w:right w:val="single" w:sz="8" w:space="0" w:color="auto"/>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112.5%</w:t>
            </w:r>
          </w:p>
        </w:tc>
      </w:tr>
      <w:tr w:rsidR="00B0121D" w:rsidRPr="00D73F43" w:rsidTr="00AD09A8">
        <w:trPr>
          <w:trHeight w:val="300"/>
          <w:jc w:val="center"/>
        </w:trPr>
        <w:tc>
          <w:tcPr>
            <w:tcW w:w="3686" w:type="dxa"/>
            <w:tcBorders>
              <w:top w:val="nil"/>
              <w:left w:val="single" w:sz="8" w:space="0" w:color="auto"/>
              <w:bottom w:val="nil"/>
              <w:right w:val="single" w:sz="8" w:space="0" w:color="auto"/>
            </w:tcBorders>
            <w:shd w:val="clear" w:color="auto" w:fill="auto"/>
            <w:noWrap/>
            <w:vAlign w:val="center"/>
            <w:hideMark/>
          </w:tcPr>
          <w:p w:rsidR="00B0121D" w:rsidRPr="00D73F43" w:rsidRDefault="00B0121D" w:rsidP="00AD09A8">
            <w:pPr>
              <w:rPr>
                <w:rFonts w:eastAsia="Times New Roman"/>
                <w:i/>
                <w:iCs/>
                <w:sz w:val="18"/>
                <w:szCs w:val="18"/>
                <w:lang w:val="sq-AL"/>
              </w:rPr>
            </w:pPr>
            <w:r w:rsidRPr="00D73F43">
              <w:rPr>
                <w:rFonts w:eastAsia="Times New Roman"/>
                <w:i/>
                <w:iCs/>
                <w:sz w:val="18"/>
                <w:szCs w:val="18"/>
                <w:lang w:val="sq-AL"/>
              </w:rPr>
              <w:t xml:space="preserve">  - Obligacione 7 vjeçare</w:t>
            </w:r>
          </w:p>
        </w:tc>
        <w:tc>
          <w:tcPr>
            <w:tcW w:w="1417"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7,414.8</w:t>
            </w:r>
          </w:p>
        </w:tc>
        <w:tc>
          <w:tcPr>
            <w:tcW w:w="1266" w:type="dxa"/>
            <w:tcBorders>
              <w:top w:val="nil"/>
              <w:left w:val="nil"/>
              <w:bottom w:val="nil"/>
              <w:right w:val="single" w:sz="8" w:space="0" w:color="auto"/>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2.7%</w:t>
            </w:r>
          </w:p>
        </w:tc>
        <w:tc>
          <w:tcPr>
            <w:tcW w:w="1555" w:type="dxa"/>
            <w:tcBorders>
              <w:top w:val="nil"/>
              <w:left w:val="nil"/>
              <w:bottom w:val="nil"/>
              <w:right w:val="nil"/>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7,414.8</w:t>
            </w:r>
          </w:p>
        </w:tc>
        <w:tc>
          <w:tcPr>
            <w:tcW w:w="932" w:type="dxa"/>
            <w:tcBorders>
              <w:top w:val="nil"/>
              <w:left w:val="nil"/>
              <w:bottom w:val="nil"/>
              <w:right w:val="single" w:sz="8" w:space="0" w:color="auto"/>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86.9%</w:t>
            </w:r>
          </w:p>
        </w:tc>
      </w:tr>
      <w:tr w:rsidR="00B0121D" w:rsidRPr="00D73F43" w:rsidTr="00AD09A8">
        <w:trPr>
          <w:trHeight w:val="315"/>
          <w:jc w:val="center"/>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rsidR="00B0121D" w:rsidRPr="00D73F43" w:rsidRDefault="00B0121D" w:rsidP="00AD09A8">
            <w:pPr>
              <w:rPr>
                <w:rFonts w:eastAsia="Times New Roman"/>
                <w:i/>
                <w:iCs/>
                <w:sz w:val="18"/>
                <w:szCs w:val="18"/>
                <w:lang w:val="sq-AL"/>
              </w:rPr>
            </w:pPr>
            <w:r w:rsidRPr="00D73F43">
              <w:rPr>
                <w:rFonts w:eastAsia="Times New Roman"/>
                <w:i/>
                <w:iCs/>
                <w:sz w:val="18"/>
                <w:szCs w:val="18"/>
                <w:lang w:val="sq-AL"/>
              </w:rPr>
              <w:t xml:space="preserve">  - Obligacione 10 vjeçare</w:t>
            </w:r>
          </w:p>
        </w:tc>
        <w:tc>
          <w:tcPr>
            <w:tcW w:w="1417" w:type="dxa"/>
            <w:tcBorders>
              <w:top w:val="nil"/>
              <w:left w:val="nil"/>
              <w:bottom w:val="single" w:sz="8" w:space="0" w:color="auto"/>
              <w:right w:val="nil"/>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11,365.1</w:t>
            </w:r>
          </w:p>
        </w:tc>
        <w:tc>
          <w:tcPr>
            <w:tcW w:w="1266" w:type="dxa"/>
            <w:tcBorders>
              <w:top w:val="nil"/>
              <w:left w:val="nil"/>
              <w:bottom w:val="single" w:sz="8" w:space="0" w:color="auto"/>
              <w:right w:val="single" w:sz="8" w:space="0" w:color="auto"/>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4.2%</w:t>
            </w:r>
          </w:p>
        </w:tc>
        <w:tc>
          <w:tcPr>
            <w:tcW w:w="1555" w:type="dxa"/>
            <w:tcBorders>
              <w:top w:val="nil"/>
              <w:left w:val="nil"/>
              <w:bottom w:val="single" w:sz="8" w:space="0" w:color="auto"/>
              <w:right w:val="nil"/>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11,365.1</w:t>
            </w:r>
          </w:p>
        </w:tc>
        <w:tc>
          <w:tcPr>
            <w:tcW w:w="932" w:type="dxa"/>
            <w:tcBorders>
              <w:top w:val="nil"/>
              <w:left w:val="nil"/>
              <w:bottom w:val="single" w:sz="8" w:space="0" w:color="auto"/>
              <w:right w:val="single" w:sz="8" w:space="0" w:color="auto"/>
            </w:tcBorders>
            <w:shd w:val="clear" w:color="auto" w:fill="auto"/>
            <w:noWrap/>
            <w:vAlign w:val="center"/>
            <w:hideMark/>
          </w:tcPr>
          <w:p w:rsidR="00B0121D" w:rsidRPr="00D73F43" w:rsidRDefault="00B0121D" w:rsidP="00AD09A8">
            <w:pPr>
              <w:jc w:val="right"/>
              <w:rPr>
                <w:rFonts w:eastAsia="Times New Roman"/>
                <w:i/>
                <w:iCs/>
                <w:sz w:val="18"/>
                <w:szCs w:val="18"/>
                <w:lang w:val="sq-AL"/>
              </w:rPr>
            </w:pPr>
            <w:r w:rsidRPr="00D73F43">
              <w:rPr>
                <w:rFonts w:eastAsia="Times New Roman"/>
                <w:i/>
                <w:iCs/>
                <w:sz w:val="18"/>
                <w:szCs w:val="18"/>
                <w:lang w:val="sq-AL"/>
              </w:rPr>
              <w:t>133.1%</w:t>
            </w:r>
          </w:p>
        </w:tc>
      </w:tr>
    </w:tbl>
    <w:p w:rsidR="00756AEE" w:rsidRPr="00972D4F" w:rsidRDefault="00B0121D" w:rsidP="00972D4F">
      <w:pPr>
        <w:ind w:right="4"/>
        <w:jc w:val="both"/>
        <w:rPr>
          <w:i/>
          <w:sz w:val="20"/>
          <w:szCs w:val="20"/>
          <w:lang w:val="sq-AL"/>
        </w:rPr>
      </w:pPr>
      <w:r w:rsidRPr="00D73F43">
        <w:rPr>
          <w:i/>
          <w:sz w:val="20"/>
          <w:szCs w:val="20"/>
          <w:lang w:val="sq-AL"/>
        </w:rPr>
        <w:t xml:space="preserve">                  </w:t>
      </w:r>
      <w:r w:rsidRPr="00D73F43">
        <w:rPr>
          <w:b/>
          <w:sz w:val="20"/>
          <w:szCs w:val="20"/>
          <w:lang w:val="sq-AL"/>
        </w:rPr>
        <w:t>Burimi:</w:t>
      </w:r>
      <w:r w:rsidRPr="00D73F43">
        <w:rPr>
          <w:b/>
          <w:i/>
          <w:sz w:val="20"/>
          <w:szCs w:val="20"/>
          <w:lang w:val="sq-AL"/>
        </w:rPr>
        <w:t xml:space="preserve"> </w:t>
      </w:r>
      <w:r w:rsidR="00972D4F">
        <w:rPr>
          <w:i/>
          <w:sz w:val="20"/>
          <w:szCs w:val="20"/>
          <w:lang w:val="sq-AL"/>
        </w:rPr>
        <w:t>Ministria e Financave (2016)</w:t>
      </w:r>
    </w:p>
    <w:p w:rsidR="00756AEE" w:rsidRDefault="00756AEE" w:rsidP="00B0121D">
      <w:pPr>
        <w:spacing w:line="276" w:lineRule="auto"/>
        <w:ind w:right="4"/>
        <w:jc w:val="both"/>
        <w:rPr>
          <w:rFonts w:eastAsia="Times New Roman"/>
          <w:b/>
          <w:u w:val="single"/>
          <w:lang w:val="sq-AL"/>
        </w:rPr>
      </w:pPr>
    </w:p>
    <w:p w:rsidR="00756AEE" w:rsidRDefault="00756AEE" w:rsidP="00B0121D">
      <w:pPr>
        <w:spacing w:line="276" w:lineRule="auto"/>
        <w:ind w:right="4"/>
        <w:jc w:val="both"/>
        <w:rPr>
          <w:rFonts w:eastAsia="Times New Roman"/>
          <w:b/>
          <w:u w:val="single"/>
          <w:lang w:val="sq-AL"/>
        </w:rPr>
      </w:pPr>
    </w:p>
    <w:p w:rsidR="00B0121D" w:rsidRDefault="00B0121D" w:rsidP="00B0121D">
      <w:pPr>
        <w:spacing w:line="276" w:lineRule="auto"/>
        <w:ind w:right="4"/>
        <w:jc w:val="both"/>
        <w:rPr>
          <w:rFonts w:eastAsia="Times New Roman"/>
          <w:b/>
          <w:u w:val="single"/>
          <w:lang w:val="sq-AL"/>
        </w:rPr>
      </w:pPr>
      <w:r w:rsidRPr="00D73F43">
        <w:rPr>
          <w:rFonts w:eastAsia="Times New Roman"/>
          <w:b/>
          <w:u w:val="single"/>
          <w:lang w:val="sq-AL"/>
        </w:rPr>
        <w:t>Kostot dhe Risqet</w:t>
      </w:r>
    </w:p>
    <w:p w:rsidR="00D1521F" w:rsidRPr="00D73F43" w:rsidRDefault="00D1521F" w:rsidP="00B0121D">
      <w:pPr>
        <w:spacing w:line="276" w:lineRule="auto"/>
        <w:ind w:right="4"/>
        <w:jc w:val="both"/>
        <w:rPr>
          <w:rFonts w:eastAsia="Times New Roman"/>
          <w:b/>
          <w:u w:val="single"/>
          <w:lang w:val="sq-AL"/>
        </w:rPr>
      </w:pPr>
    </w:p>
    <w:p w:rsidR="00B0121D" w:rsidRDefault="00B0121D" w:rsidP="00B0121D">
      <w:pPr>
        <w:spacing w:line="276" w:lineRule="auto"/>
        <w:ind w:right="6"/>
        <w:jc w:val="both"/>
        <w:rPr>
          <w:rFonts w:eastAsia="Times New Roman"/>
          <w:lang w:val="sq-AL"/>
        </w:rPr>
      </w:pPr>
      <w:r w:rsidRPr="00D73F43">
        <w:rPr>
          <w:rFonts w:eastAsia="Times New Roman"/>
          <w:lang w:val="sq-AL"/>
        </w:rPr>
        <w:t>Gjatë nëntëmujorit 2016, progres i dukshëm është bërë në kuadër të përmirësimit të raporteve ndërmjet kostos dhe riskut të borxhit të brendshëm</w:t>
      </w:r>
      <w:r w:rsidRPr="00D73F43">
        <w:rPr>
          <w:rFonts w:eastAsia="Times New Roman"/>
          <w:vertAlign w:val="superscript"/>
          <w:lang w:val="sq-AL"/>
        </w:rPr>
        <w:footnoteReference w:id="3"/>
      </w:r>
      <w:r w:rsidRPr="00D73F43">
        <w:rPr>
          <w:rFonts w:eastAsia="Times New Roman"/>
          <w:lang w:val="sq-AL"/>
        </w:rPr>
        <w:t>. Në këtë drejtim, borxhi i brendshëm është karakterizuar nga një ulje e ekspozimit ndaj risqeve</w:t>
      </w:r>
      <w:r w:rsidRPr="00D73F43">
        <w:rPr>
          <w:rFonts w:eastAsia="Times New Roman"/>
          <w:i/>
          <w:lang w:val="sq-AL"/>
        </w:rPr>
        <w:t xml:space="preserve">(kryesisht ndaj </w:t>
      </w:r>
      <w:r w:rsidR="00CA6D1A">
        <w:rPr>
          <w:rFonts w:eastAsia="Times New Roman"/>
          <w:i/>
          <w:lang w:val="sq-AL"/>
        </w:rPr>
        <w:t>riskut</w:t>
      </w:r>
      <w:r w:rsidRPr="00D73F43">
        <w:rPr>
          <w:rFonts w:eastAsia="Times New Roman"/>
          <w:i/>
          <w:lang w:val="sq-AL"/>
        </w:rPr>
        <w:t xml:space="preserve"> të rifinancimit dhe atij të normave të interesit)</w:t>
      </w:r>
      <w:r w:rsidRPr="00D73F43">
        <w:rPr>
          <w:rFonts w:eastAsia="Times New Roman"/>
          <w:lang w:val="sq-AL"/>
        </w:rPr>
        <w:t xml:space="preserve"> dhe në të njëjtën kohë nga një ulje e kostos. Përmirësimi i risqeve është i lidhur ngushtë me rritjen e peshës së borxhit afatgjatë dhe me reduktimin e borxhit afatshkurtër; reduktimi i të cilit ka ndikim jo vetëm mbi riskun e rifinancimit, por edhe mbi atë të normave të interesit. Nga ana tjetër, ulja e kostos i atribuohet rënies së normave të interesit, por edhe shfrytëzimit të mirë të burimeve të financimit në dispozicion të Qeverisë, të cilat përveç se kanë mundësuar financimin me kosto të ulët, kanë ushtruar edhe presion mbi rënien e normave të interesit.</w:t>
      </w:r>
    </w:p>
    <w:p w:rsidR="00972D4F" w:rsidRDefault="00972D4F" w:rsidP="00B0121D">
      <w:pPr>
        <w:spacing w:line="276" w:lineRule="auto"/>
        <w:ind w:right="6"/>
        <w:jc w:val="both"/>
        <w:rPr>
          <w:rFonts w:eastAsia="Times New Roman"/>
          <w:lang w:val="sq-AL"/>
        </w:rPr>
      </w:pPr>
    </w:p>
    <w:p w:rsidR="00972D4F" w:rsidRDefault="00972D4F" w:rsidP="00B0121D">
      <w:pPr>
        <w:spacing w:line="276" w:lineRule="auto"/>
        <w:ind w:right="6"/>
        <w:jc w:val="both"/>
        <w:rPr>
          <w:rFonts w:eastAsia="Times New Roman"/>
          <w:lang w:val="sq-AL"/>
        </w:rPr>
      </w:pPr>
    </w:p>
    <w:p w:rsidR="00972D4F" w:rsidRDefault="00972D4F" w:rsidP="00B0121D">
      <w:pPr>
        <w:spacing w:line="276" w:lineRule="auto"/>
        <w:ind w:right="6"/>
        <w:jc w:val="both"/>
        <w:rPr>
          <w:rFonts w:eastAsia="Times New Roman"/>
          <w:lang w:val="sq-AL"/>
        </w:rPr>
      </w:pPr>
    </w:p>
    <w:p w:rsidR="00972D4F" w:rsidRDefault="00972D4F" w:rsidP="00B0121D">
      <w:pPr>
        <w:spacing w:line="276" w:lineRule="auto"/>
        <w:ind w:right="6"/>
        <w:jc w:val="both"/>
        <w:rPr>
          <w:rFonts w:eastAsia="Times New Roman"/>
          <w:lang w:val="sq-AL"/>
        </w:rPr>
      </w:pPr>
    </w:p>
    <w:p w:rsidR="00972D4F" w:rsidRDefault="00972D4F" w:rsidP="00B0121D">
      <w:pPr>
        <w:spacing w:line="276" w:lineRule="auto"/>
        <w:ind w:right="6"/>
        <w:jc w:val="both"/>
        <w:rPr>
          <w:rFonts w:eastAsia="Times New Roman"/>
          <w:lang w:val="sq-AL"/>
        </w:rPr>
      </w:pPr>
    </w:p>
    <w:p w:rsidR="00972D4F" w:rsidRDefault="00972D4F" w:rsidP="00B0121D">
      <w:pPr>
        <w:spacing w:line="276" w:lineRule="auto"/>
        <w:ind w:right="6"/>
        <w:jc w:val="both"/>
        <w:rPr>
          <w:rFonts w:eastAsia="Times New Roman"/>
          <w:lang w:val="sq-AL"/>
        </w:rPr>
      </w:pPr>
    </w:p>
    <w:p w:rsidR="00972D4F" w:rsidRDefault="00972D4F" w:rsidP="00B0121D">
      <w:pPr>
        <w:spacing w:line="276" w:lineRule="auto"/>
        <w:ind w:right="6"/>
        <w:jc w:val="both"/>
        <w:rPr>
          <w:rFonts w:eastAsia="Times New Roman"/>
          <w:lang w:val="sq-AL"/>
        </w:rPr>
      </w:pPr>
    </w:p>
    <w:p w:rsidR="00972D4F" w:rsidRDefault="00972D4F" w:rsidP="00B0121D">
      <w:pPr>
        <w:spacing w:line="276" w:lineRule="auto"/>
        <w:ind w:right="6"/>
        <w:jc w:val="both"/>
        <w:rPr>
          <w:rFonts w:eastAsia="Times New Roman"/>
          <w:lang w:val="sq-AL"/>
        </w:rPr>
      </w:pPr>
    </w:p>
    <w:p w:rsidR="00972D4F" w:rsidRDefault="00972D4F" w:rsidP="00B0121D">
      <w:pPr>
        <w:spacing w:line="276" w:lineRule="auto"/>
        <w:ind w:right="6"/>
        <w:jc w:val="both"/>
        <w:rPr>
          <w:rFonts w:eastAsia="Times New Roman"/>
          <w:lang w:val="sq-AL"/>
        </w:rPr>
      </w:pPr>
    </w:p>
    <w:p w:rsidR="00972D4F" w:rsidRDefault="00972D4F" w:rsidP="00B0121D">
      <w:pPr>
        <w:spacing w:line="276" w:lineRule="auto"/>
        <w:ind w:right="6"/>
        <w:jc w:val="both"/>
        <w:rPr>
          <w:rFonts w:eastAsia="Times New Roman"/>
          <w:lang w:val="sq-AL"/>
        </w:rPr>
      </w:pPr>
    </w:p>
    <w:p w:rsidR="00972D4F" w:rsidRPr="00D73F43" w:rsidRDefault="00972D4F" w:rsidP="00B0121D">
      <w:pPr>
        <w:spacing w:line="276" w:lineRule="auto"/>
        <w:ind w:right="6"/>
        <w:jc w:val="both"/>
        <w:rPr>
          <w:rFonts w:eastAsia="Times New Roman"/>
          <w:lang w:val="sq-AL"/>
        </w:rPr>
      </w:pPr>
    </w:p>
    <w:p w:rsidR="00B0121D" w:rsidRPr="00D73F43" w:rsidRDefault="00972D4F" w:rsidP="00CA6D1A">
      <w:pPr>
        <w:spacing w:line="276" w:lineRule="auto"/>
        <w:ind w:right="6"/>
        <w:jc w:val="center"/>
        <w:rPr>
          <w:rFonts w:eastAsia="Times New Roman"/>
          <w:lang w:val="sq-AL"/>
        </w:rPr>
      </w:pPr>
      <w:r>
        <w:rPr>
          <w:b/>
          <w:sz w:val="20"/>
          <w:szCs w:val="20"/>
          <w:lang w:val="sq-AL"/>
        </w:rPr>
        <w:t>Grafiku 35</w:t>
      </w:r>
      <w:r w:rsidR="00B0121D" w:rsidRPr="00D73F43">
        <w:rPr>
          <w:b/>
          <w:sz w:val="20"/>
          <w:szCs w:val="20"/>
          <w:lang w:val="sq-AL"/>
        </w:rPr>
        <w:t xml:space="preserve">: </w:t>
      </w:r>
      <w:r w:rsidR="00B0121D" w:rsidRPr="00D73F43">
        <w:rPr>
          <w:i/>
          <w:sz w:val="20"/>
          <w:szCs w:val="20"/>
          <w:lang w:val="sq-AL"/>
        </w:rPr>
        <w:t>Jetëgjatësia mesatare dhe kosto mesatare e borxhit të brendshëm</w:t>
      </w:r>
    </w:p>
    <w:p w:rsidR="00B0121D" w:rsidRPr="00D73F43" w:rsidRDefault="00B0121D" w:rsidP="00B0121D">
      <w:pPr>
        <w:spacing w:line="276" w:lineRule="auto"/>
        <w:ind w:right="6"/>
        <w:jc w:val="center"/>
        <w:rPr>
          <w:rFonts w:eastAsia="Times New Roman"/>
          <w:lang w:val="sq-AL"/>
        </w:rPr>
      </w:pPr>
      <w:r w:rsidRPr="00D73F43">
        <w:rPr>
          <w:noProof/>
          <w:lang w:val="sq-AL" w:eastAsia="sq-AL"/>
        </w:rPr>
        <w:lastRenderedPageBreak/>
        <w:drawing>
          <wp:inline distT="0" distB="0" distL="0" distR="0" wp14:anchorId="5310ED9F" wp14:editId="4B78D5E3">
            <wp:extent cx="5686425" cy="2366010"/>
            <wp:effectExtent l="0" t="0" r="9525" b="1524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0121D" w:rsidRPr="00D73F43" w:rsidRDefault="00B0121D" w:rsidP="00B0121D">
      <w:pPr>
        <w:spacing w:line="276" w:lineRule="auto"/>
        <w:ind w:right="6"/>
        <w:jc w:val="both"/>
        <w:rPr>
          <w:rFonts w:eastAsia="Times New Roman"/>
          <w:lang w:val="sq-AL"/>
        </w:rPr>
      </w:pPr>
      <w:r w:rsidRPr="00D73F43">
        <w:rPr>
          <w:b/>
          <w:sz w:val="20"/>
          <w:szCs w:val="20"/>
          <w:lang w:val="sq-AL"/>
        </w:rPr>
        <w:t>Burimi:</w:t>
      </w:r>
      <w:r w:rsidRPr="00D73F43">
        <w:rPr>
          <w:b/>
          <w:i/>
          <w:sz w:val="20"/>
          <w:szCs w:val="20"/>
          <w:lang w:val="sq-AL"/>
        </w:rPr>
        <w:t xml:space="preserve"> </w:t>
      </w:r>
      <w:r w:rsidRPr="00D73F43">
        <w:rPr>
          <w:i/>
          <w:sz w:val="20"/>
          <w:szCs w:val="20"/>
          <w:lang w:val="sq-AL"/>
        </w:rPr>
        <w:t>Ministria e Financave (2016)</w:t>
      </w:r>
    </w:p>
    <w:p w:rsidR="00B0121D" w:rsidRPr="00D73F43" w:rsidRDefault="00B0121D" w:rsidP="00B0121D">
      <w:pPr>
        <w:ind w:right="4"/>
        <w:jc w:val="both"/>
        <w:rPr>
          <w:rFonts w:eastAsia="Times New Roman"/>
          <w:lang w:val="sq-AL"/>
        </w:rPr>
      </w:pPr>
    </w:p>
    <w:p w:rsidR="00B0121D" w:rsidRPr="00D73F43" w:rsidRDefault="00B0121D" w:rsidP="00B0121D">
      <w:pPr>
        <w:spacing w:line="276" w:lineRule="auto"/>
        <w:ind w:right="6"/>
        <w:jc w:val="both"/>
        <w:rPr>
          <w:rFonts w:eastAsia="Times New Roman"/>
          <w:lang w:val="sq-AL"/>
        </w:rPr>
      </w:pPr>
      <w:r w:rsidRPr="00D73F43">
        <w:rPr>
          <w:rFonts w:eastAsia="Times New Roman"/>
          <w:lang w:val="sq-AL"/>
        </w:rPr>
        <w:t>Risku i rifinancimit është përmirësuar ndjeshëm pasi vetëm në harkun kohor të nëntë muajve jetëgjatësia e borxhit është rritur me 57 ditë. Ndërkohë, vlera e instrumenteve që rifinancohen në harkun kohor të një viti në raport me PBB është ulur nga 20.3% në vitin 2015 në 19.4% në Shtator 2016, duke reduktuar në këtë mënyrë  riskun fiskal të Qeverisë.</w:t>
      </w:r>
    </w:p>
    <w:p w:rsidR="00B0121D" w:rsidRPr="00D73F43" w:rsidRDefault="00B0121D" w:rsidP="00B0121D">
      <w:pPr>
        <w:spacing w:line="276" w:lineRule="auto"/>
        <w:ind w:right="6"/>
        <w:jc w:val="both"/>
        <w:rPr>
          <w:rFonts w:eastAsia="Times New Roman"/>
          <w:lang w:val="sq-AL"/>
        </w:rPr>
      </w:pPr>
    </w:p>
    <w:p w:rsidR="00B0121D" w:rsidRPr="00D73F43" w:rsidRDefault="00B0121D" w:rsidP="00B0121D">
      <w:pPr>
        <w:spacing w:line="276" w:lineRule="auto"/>
        <w:ind w:right="6"/>
        <w:jc w:val="both"/>
        <w:rPr>
          <w:rFonts w:eastAsia="Times New Roman"/>
          <w:lang w:val="sq-AL"/>
        </w:rPr>
      </w:pPr>
      <w:r w:rsidRPr="00D73F43">
        <w:rPr>
          <w:rFonts w:eastAsia="Times New Roman"/>
          <w:lang w:val="sq-AL"/>
        </w:rPr>
        <w:t>Risku i normave të interesit gjithashtu është përmirësuar ndjeshëm pasi pesha e instrumenteve që rivlerësojnë normën e interesit në harkun kohor të një viti është ulur nga 67.7% në vitin 2015 në 65.2% në Shtator 2016. Ulja e ekspozimit ndaj këtij r</w:t>
      </w:r>
      <w:r w:rsidR="00CA6D1A">
        <w:rPr>
          <w:rFonts w:eastAsia="Times New Roman"/>
          <w:lang w:val="sq-AL"/>
        </w:rPr>
        <w:t>isku</w:t>
      </w:r>
      <w:r w:rsidRPr="00D73F43">
        <w:rPr>
          <w:rFonts w:eastAsia="Times New Roman"/>
          <w:lang w:val="sq-AL"/>
        </w:rPr>
        <w:t xml:space="preserve"> redukton efektet që mund të shkaktohen në periudhën afatshkurtër dhe afatmesme nga goditjet e normave të interesit, duke reduktuar burimet që Qeveria duhet të angazhojë në raste të tilla.</w:t>
      </w:r>
    </w:p>
    <w:p w:rsidR="00B0121D" w:rsidRPr="00D73F43" w:rsidRDefault="00B0121D" w:rsidP="00B0121D">
      <w:pPr>
        <w:ind w:right="4"/>
        <w:jc w:val="both"/>
        <w:rPr>
          <w:rFonts w:eastAsia="Times New Roman"/>
          <w:lang w:val="sq-AL"/>
        </w:rPr>
      </w:pPr>
    </w:p>
    <w:p w:rsidR="00B0121D" w:rsidRDefault="00B0121D" w:rsidP="00CA6D1A">
      <w:pPr>
        <w:spacing w:line="276" w:lineRule="auto"/>
        <w:ind w:right="4"/>
        <w:jc w:val="both"/>
        <w:rPr>
          <w:rFonts w:eastAsia="Times New Roman"/>
          <w:lang w:val="sq-AL"/>
        </w:rPr>
      </w:pPr>
      <w:r w:rsidRPr="00D73F43">
        <w:rPr>
          <w:rFonts w:eastAsia="Times New Roman"/>
          <w:lang w:val="sq-AL"/>
        </w:rPr>
        <w:t xml:space="preserve">Kosto e borxhit të brendshëm për njësi </w:t>
      </w:r>
      <w:r w:rsidRPr="00D73F43">
        <w:rPr>
          <w:rFonts w:eastAsia="Times New Roman"/>
          <w:i/>
          <w:lang w:val="sq-AL"/>
        </w:rPr>
        <w:t xml:space="preserve">(yield-i mesatar i ponderuar) </w:t>
      </w:r>
      <w:r w:rsidRPr="00D73F43">
        <w:rPr>
          <w:rFonts w:eastAsia="Times New Roman"/>
          <w:lang w:val="sq-AL"/>
        </w:rPr>
        <w:t xml:space="preserve">gjatë vitit 2016 është ulur me 0.8 pikë përqindje, megjithëse në portofolin e borxhit është rritur ndjeshëm pesha e borxhit afatgjatë. Simulimet e realizuara tregojnë se vetëm nga rënia e normave të interesit gjatë vitit 2016, në harkun kohor të tre viteve </w:t>
      </w:r>
      <w:r w:rsidRPr="00D73F43">
        <w:rPr>
          <w:rFonts w:eastAsia="Times New Roman"/>
          <w:i/>
          <w:lang w:val="sq-AL"/>
        </w:rPr>
        <w:t>(2016-2018</w:t>
      </w:r>
      <w:r w:rsidR="00CA6D1A">
        <w:rPr>
          <w:rFonts w:eastAsia="Times New Roman"/>
          <w:i/>
          <w:lang w:val="sq-AL"/>
        </w:rPr>
        <w:t>)</w:t>
      </w:r>
      <w:r w:rsidRPr="00D73F43">
        <w:rPr>
          <w:rFonts w:eastAsia="Times New Roman"/>
          <w:lang w:val="sq-AL"/>
        </w:rPr>
        <w:t xml:space="preserve"> buxhetit të shtetit i kursehen rreth 5.45 miliardë lekë, përkatësisht 0.65 miliardë lekë në vitin aktual, 3.1 miliardë lekë në vitin 2017 dhe 1.7 miliardë lekë në vitin 2018.   </w:t>
      </w:r>
    </w:p>
    <w:p w:rsidR="00972D4F" w:rsidRPr="00D73F43" w:rsidRDefault="00972D4F" w:rsidP="00CA6D1A">
      <w:pPr>
        <w:spacing w:line="276" w:lineRule="auto"/>
        <w:ind w:right="4"/>
        <w:jc w:val="both"/>
        <w:rPr>
          <w:rFonts w:eastAsia="Times New Roman"/>
          <w:lang w:val="sq-AL"/>
        </w:rPr>
      </w:pPr>
    </w:p>
    <w:p w:rsidR="00B0121D" w:rsidRPr="00D73F43" w:rsidRDefault="00CA6D1A" w:rsidP="00CA6D1A">
      <w:pPr>
        <w:spacing w:line="276" w:lineRule="auto"/>
        <w:ind w:right="6"/>
        <w:jc w:val="center"/>
        <w:rPr>
          <w:rFonts w:eastAsia="Times New Roman"/>
          <w:lang w:val="sq-AL"/>
        </w:rPr>
      </w:pPr>
      <w:r>
        <w:rPr>
          <w:b/>
          <w:sz w:val="20"/>
          <w:szCs w:val="20"/>
          <w:lang w:val="sq-AL"/>
        </w:rPr>
        <w:t>Grafiku</w:t>
      </w:r>
      <w:r w:rsidR="00972D4F">
        <w:rPr>
          <w:b/>
          <w:sz w:val="20"/>
          <w:szCs w:val="20"/>
          <w:lang w:val="sq-AL"/>
        </w:rPr>
        <w:t xml:space="preserve"> 36</w:t>
      </w:r>
      <w:r w:rsidR="00B0121D" w:rsidRPr="00D73F43">
        <w:rPr>
          <w:b/>
          <w:sz w:val="20"/>
          <w:szCs w:val="20"/>
          <w:lang w:val="sq-AL"/>
        </w:rPr>
        <w:t xml:space="preserve">: </w:t>
      </w:r>
      <w:r w:rsidR="00B0121D" w:rsidRPr="00D73F43">
        <w:rPr>
          <w:i/>
          <w:sz w:val="20"/>
          <w:szCs w:val="20"/>
          <w:lang w:val="sq-AL"/>
        </w:rPr>
        <w:t>Jetëgjatësia mesatare e borxhit të brendshëm  dhe borxhi afatshkurtër-afatgjatë</w:t>
      </w:r>
    </w:p>
    <w:p w:rsidR="00B0121D" w:rsidRPr="00D73F43" w:rsidRDefault="00B0121D" w:rsidP="00B0121D">
      <w:pPr>
        <w:ind w:right="4"/>
        <w:jc w:val="center"/>
        <w:rPr>
          <w:rFonts w:eastAsia="Times New Roman"/>
          <w:lang w:val="sq-AL"/>
        </w:rPr>
      </w:pPr>
      <w:r w:rsidRPr="00D73F43">
        <w:rPr>
          <w:noProof/>
          <w:lang w:val="sq-AL" w:eastAsia="sq-AL"/>
        </w:rPr>
        <w:drawing>
          <wp:inline distT="0" distB="0" distL="0" distR="0" wp14:anchorId="75B2393B" wp14:editId="514A8F7C">
            <wp:extent cx="5683250" cy="2252980"/>
            <wp:effectExtent l="0" t="0" r="12700" b="1397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0121D" w:rsidRPr="00D73F43" w:rsidRDefault="00B0121D" w:rsidP="00972D4F">
      <w:pPr>
        <w:ind w:right="4" w:firstLine="720"/>
        <w:jc w:val="both"/>
        <w:rPr>
          <w:rFonts w:eastAsia="Times New Roman"/>
          <w:lang w:val="sq-AL"/>
        </w:rPr>
      </w:pPr>
      <w:r w:rsidRPr="00D73F43">
        <w:rPr>
          <w:b/>
          <w:sz w:val="20"/>
          <w:szCs w:val="20"/>
          <w:lang w:val="sq-AL"/>
        </w:rPr>
        <w:t>Burimi:</w:t>
      </w:r>
      <w:r w:rsidRPr="00D73F43">
        <w:rPr>
          <w:b/>
          <w:i/>
          <w:sz w:val="20"/>
          <w:szCs w:val="20"/>
          <w:lang w:val="sq-AL"/>
        </w:rPr>
        <w:t xml:space="preserve"> </w:t>
      </w:r>
      <w:r w:rsidRPr="00D73F43">
        <w:rPr>
          <w:i/>
          <w:sz w:val="20"/>
          <w:szCs w:val="20"/>
          <w:lang w:val="sq-AL"/>
        </w:rPr>
        <w:t>Ministria e Financave (2016)</w:t>
      </w:r>
    </w:p>
    <w:p w:rsidR="00B0121D" w:rsidRPr="00D73F43" w:rsidRDefault="00B0121D" w:rsidP="00B0121D">
      <w:pPr>
        <w:ind w:right="4"/>
        <w:jc w:val="both"/>
        <w:rPr>
          <w:rFonts w:eastAsia="Times New Roman"/>
          <w:lang w:val="sq-AL"/>
        </w:rPr>
      </w:pPr>
    </w:p>
    <w:p w:rsidR="00972D4F" w:rsidRDefault="00972D4F" w:rsidP="00B0121D">
      <w:pPr>
        <w:ind w:right="-46"/>
        <w:jc w:val="both"/>
        <w:rPr>
          <w:b/>
          <w:u w:val="single"/>
          <w:lang w:val="sq-AL"/>
        </w:rPr>
      </w:pPr>
    </w:p>
    <w:p w:rsidR="00972D4F" w:rsidRDefault="00972D4F" w:rsidP="00B0121D">
      <w:pPr>
        <w:ind w:right="-46"/>
        <w:jc w:val="both"/>
        <w:rPr>
          <w:b/>
          <w:u w:val="single"/>
          <w:lang w:val="sq-AL"/>
        </w:rPr>
      </w:pPr>
    </w:p>
    <w:p w:rsidR="00B0121D" w:rsidRPr="00D73F43" w:rsidRDefault="00B0121D" w:rsidP="00B0121D">
      <w:pPr>
        <w:ind w:right="-46"/>
        <w:jc w:val="both"/>
        <w:rPr>
          <w:b/>
          <w:u w:val="single"/>
          <w:lang w:val="sq-AL"/>
        </w:rPr>
      </w:pPr>
      <w:r w:rsidRPr="00D73F43">
        <w:rPr>
          <w:b/>
          <w:u w:val="single"/>
          <w:lang w:val="sq-AL"/>
        </w:rPr>
        <w:lastRenderedPageBreak/>
        <w:t>Zhvillimet e tregut primar</w:t>
      </w:r>
    </w:p>
    <w:p w:rsidR="00B0121D" w:rsidRPr="00D73F43" w:rsidRDefault="00B0121D" w:rsidP="00B0121D">
      <w:pPr>
        <w:ind w:right="-46"/>
        <w:jc w:val="both"/>
        <w:rPr>
          <w:b/>
          <w:u w:val="single"/>
          <w:lang w:val="sq-AL"/>
        </w:rPr>
      </w:pPr>
    </w:p>
    <w:p w:rsidR="00B0121D" w:rsidRPr="00D73F43" w:rsidRDefault="00B0121D" w:rsidP="00B0121D">
      <w:pPr>
        <w:spacing w:line="276" w:lineRule="auto"/>
        <w:ind w:right="-45"/>
        <w:jc w:val="both"/>
        <w:rPr>
          <w:lang w:val="sq-AL"/>
        </w:rPr>
      </w:pPr>
      <w:r w:rsidRPr="00D73F43">
        <w:rPr>
          <w:lang w:val="sq-AL"/>
        </w:rPr>
        <w:t>Gjatë vitit 2016, tregu primar i titujve shtetërorë është karakterizuar nga zhvillime pozitive, kryesisht për sa i përket nivelit të kënaqshëm të kërkesës në raport me ofertën e Qeverisë, rënies së normave të interesit dhe aktiviteteve të ndërmarra nga menaxhimi i borxhit në kuadër të zhvillimit të këtij tregu.</w:t>
      </w:r>
    </w:p>
    <w:p w:rsidR="00B0121D" w:rsidRPr="00D73F43" w:rsidRDefault="00B0121D" w:rsidP="00B0121D">
      <w:pPr>
        <w:spacing w:line="276" w:lineRule="auto"/>
        <w:ind w:right="-45"/>
        <w:jc w:val="both"/>
        <w:rPr>
          <w:lang w:val="sq-AL"/>
        </w:rPr>
      </w:pPr>
    </w:p>
    <w:p w:rsidR="00B0121D" w:rsidRPr="00D73F43" w:rsidRDefault="00B0121D" w:rsidP="00B0121D">
      <w:pPr>
        <w:spacing w:line="276" w:lineRule="auto"/>
        <w:ind w:right="-45"/>
        <w:jc w:val="both"/>
        <w:rPr>
          <w:lang w:val="sq-AL"/>
        </w:rPr>
      </w:pPr>
      <w:r w:rsidRPr="00D73F43">
        <w:rPr>
          <w:lang w:val="sq-AL"/>
        </w:rPr>
        <w:t xml:space="preserve">Gjatë nëntëmujorit 2016 kërkesa për tituj shtetërorë ka qenë 356.2 miliardë </w:t>
      </w:r>
      <w:r w:rsidRPr="00D73F43">
        <w:rPr>
          <w:rFonts w:eastAsia="Times New Roman"/>
          <w:lang w:val="sq-AL"/>
        </w:rPr>
        <w:t>lekë</w:t>
      </w:r>
      <w:r w:rsidRPr="00D73F43">
        <w:rPr>
          <w:lang w:val="sq-AL"/>
        </w:rPr>
        <w:t xml:space="preserve">, relativisht më e lartë se sa oferta e Qeverisë që ka qenë rreth 289.4 miliardë </w:t>
      </w:r>
      <w:r w:rsidRPr="00D73F43">
        <w:rPr>
          <w:rFonts w:eastAsia="Times New Roman"/>
          <w:lang w:val="sq-AL"/>
        </w:rPr>
        <w:t>lekë</w:t>
      </w:r>
      <w:r w:rsidRPr="00D73F43">
        <w:rPr>
          <w:lang w:val="sq-AL"/>
        </w:rPr>
        <w:t>. Kërkesa ka tejkaluar ofertën e Qeverisë me rreth 23%, ndërkohë që në të njëjtën periudhë të vitit të kaluar kërkesa ka qenë vetëm 11% më e lartë se oferta.</w:t>
      </w:r>
    </w:p>
    <w:p w:rsidR="00B0121D" w:rsidRPr="00D73F43" w:rsidRDefault="00B0121D" w:rsidP="00B0121D">
      <w:pPr>
        <w:spacing w:line="276" w:lineRule="auto"/>
        <w:ind w:right="-45"/>
        <w:jc w:val="both"/>
        <w:rPr>
          <w:lang w:val="sq-AL"/>
        </w:rPr>
      </w:pPr>
    </w:p>
    <w:p w:rsidR="00B0121D" w:rsidRPr="00D73F43" w:rsidRDefault="00B0121D" w:rsidP="00B0121D">
      <w:pPr>
        <w:spacing w:line="276" w:lineRule="auto"/>
        <w:ind w:right="-45"/>
        <w:jc w:val="both"/>
        <w:rPr>
          <w:lang w:val="sq-AL"/>
        </w:rPr>
      </w:pPr>
      <w:r w:rsidRPr="00D73F43">
        <w:rPr>
          <w:lang w:val="sq-AL"/>
        </w:rPr>
        <w:t xml:space="preserve">Ndikim pozitiv në ecurinë e kënaqshme të kërkesës </w:t>
      </w:r>
      <w:r w:rsidRPr="00D73F43">
        <w:rPr>
          <w:i/>
          <w:lang w:val="sq-AL"/>
        </w:rPr>
        <w:t>(kryesisht për 6-mujorin e parë të vitit)</w:t>
      </w:r>
      <w:r w:rsidRPr="00D73F43">
        <w:rPr>
          <w:lang w:val="sq-AL"/>
        </w:rPr>
        <w:t xml:space="preserve"> ka luajtur procesi i riblerjes </w:t>
      </w:r>
      <w:r w:rsidRPr="00D73F43">
        <w:rPr>
          <w:i/>
          <w:lang w:val="sq-AL"/>
        </w:rPr>
        <w:t>(buyback)</w:t>
      </w:r>
      <w:r w:rsidRPr="00D73F43">
        <w:rPr>
          <w:lang w:val="sq-AL"/>
        </w:rPr>
        <w:t xml:space="preserve"> së titujve në muajt e fundit të vitit 2015, si edhe oferta për hua në nivele relativisht të ulta gjatë vitit 2016. </w:t>
      </w:r>
    </w:p>
    <w:p w:rsidR="00B0121D" w:rsidRPr="00D73F43" w:rsidRDefault="00B0121D" w:rsidP="00B0121D">
      <w:pPr>
        <w:spacing w:after="120" w:line="276" w:lineRule="auto"/>
        <w:ind w:right="-45"/>
        <w:jc w:val="both"/>
        <w:rPr>
          <w:lang w:val="sq-AL"/>
        </w:rPr>
      </w:pPr>
      <w:r w:rsidRPr="00D73F43">
        <w:rPr>
          <w:lang w:val="sq-AL"/>
        </w:rPr>
        <w:t>Baza e investitorëve, pavarësisht përpjekjeve që janë bërë ndër vite në kuadër të diversifikimit dhe zgjerimit të saj, vazhdon të jetë e kufizuar edhe gjatë vitit 2016, pasi kërkesa bazohet në mbi 56% tek sektori bankar.</w:t>
      </w:r>
    </w:p>
    <w:p w:rsidR="00B0121D" w:rsidRPr="00D73F43" w:rsidRDefault="00B0121D" w:rsidP="00B0121D">
      <w:pPr>
        <w:spacing w:after="120" w:line="276" w:lineRule="auto"/>
        <w:ind w:right="-45"/>
        <w:jc w:val="both"/>
        <w:rPr>
          <w:lang w:val="sq-AL"/>
        </w:rPr>
      </w:pPr>
    </w:p>
    <w:p w:rsidR="00B0121D" w:rsidRPr="00D73F43" w:rsidRDefault="00B0121D" w:rsidP="00B0121D">
      <w:pPr>
        <w:spacing w:line="276" w:lineRule="auto"/>
        <w:ind w:right="6"/>
        <w:jc w:val="both"/>
        <w:rPr>
          <w:rFonts w:eastAsia="Times New Roman"/>
          <w:lang w:val="sq-AL"/>
        </w:rPr>
      </w:pPr>
      <w:r w:rsidRPr="00D73F43">
        <w:rPr>
          <w:b/>
          <w:sz w:val="20"/>
          <w:szCs w:val="20"/>
          <w:lang w:val="sq-AL"/>
        </w:rPr>
        <w:t xml:space="preserve"> </w:t>
      </w:r>
      <w:r w:rsidR="00972D4F">
        <w:rPr>
          <w:b/>
          <w:sz w:val="20"/>
          <w:szCs w:val="20"/>
          <w:lang w:val="sq-AL"/>
        </w:rPr>
        <w:t>Grafiku 37</w:t>
      </w:r>
      <w:r w:rsidRPr="00D73F43">
        <w:rPr>
          <w:b/>
          <w:sz w:val="20"/>
          <w:szCs w:val="20"/>
          <w:lang w:val="sq-AL"/>
        </w:rPr>
        <w:t xml:space="preserve">: </w:t>
      </w:r>
      <w:r w:rsidRPr="00D73F43">
        <w:rPr>
          <w:i/>
          <w:sz w:val="20"/>
          <w:szCs w:val="20"/>
          <w:lang w:val="sq-AL"/>
        </w:rPr>
        <w:t>Kërkesa për tituj shtetërorë sipas investitorëve</w:t>
      </w:r>
    </w:p>
    <w:p w:rsidR="00B0121D" w:rsidRPr="00D73F43" w:rsidRDefault="00B0121D" w:rsidP="00B0121D">
      <w:pPr>
        <w:ind w:right="-45"/>
        <w:jc w:val="center"/>
        <w:rPr>
          <w:lang w:val="sq-AL"/>
        </w:rPr>
      </w:pPr>
      <w:r w:rsidRPr="00D73F43">
        <w:rPr>
          <w:noProof/>
          <w:lang w:val="sq-AL" w:eastAsia="sq-AL"/>
        </w:rPr>
        <w:drawing>
          <wp:inline distT="0" distB="0" distL="0" distR="0" wp14:anchorId="346F560C" wp14:editId="2E44E792">
            <wp:extent cx="5674360" cy="2082800"/>
            <wp:effectExtent l="0" t="0" r="2540" b="1270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0121D" w:rsidRPr="00D73F43" w:rsidRDefault="00B0121D" w:rsidP="00B0121D">
      <w:pPr>
        <w:ind w:right="4"/>
        <w:jc w:val="both"/>
        <w:rPr>
          <w:rFonts w:eastAsia="Times New Roman"/>
          <w:lang w:val="sq-AL"/>
        </w:rPr>
      </w:pPr>
      <w:r w:rsidRPr="00D73F43">
        <w:rPr>
          <w:b/>
          <w:sz w:val="20"/>
          <w:szCs w:val="20"/>
          <w:lang w:val="sq-AL"/>
        </w:rPr>
        <w:t xml:space="preserve">  Burimi:</w:t>
      </w:r>
      <w:r w:rsidRPr="00D73F43">
        <w:rPr>
          <w:b/>
          <w:i/>
          <w:sz w:val="20"/>
          <w:szCs w:val="20"/>
          <w:lang w:val="sq-AL"/>
        </w:rPr>
        <w:t xml:space="preserve"> </w:t>
      </w:r>
      <w:r w:rsidRPr="00D73F43">
        <w:rPr>
          <w:i/>
          <w:sz w:val="20"/>
          <w:szCs w:val="20"/>
          <w:lang w:val="sq-AL"/>
        </w:rPr>
        <w:t>Ministria e Financave (2016)</w:t>
      </w:r>
    </w:p>
    <w:p w:rsidR="00B0121D" w:rsidRPr="00D73F43" w:rsidRDefault="00B0121D" w:rsidP="00B0121D">
      <w:pPr>
        <w:spacing w:line="276" w:lineRule="auto"/>
        <w:ind w:right="-45"/>
        <w:jc w:val="both"/>
        <w:rPr>
          <w:lang w:val="sq-AL"/>
        </w:rPr>
      </w:pPr>
    </w:p>
    <w:p w:rsidR="00B0121D" w:rsidRPr="00D73F43" w:rsidRDefault="00B0121D" w:rsidP="00B0121D">
      <w:pPr>
        <w:spacing w:line="276" w:lineRule="auto"/>
        <w:ind w:right="-45"/>
        <w:jc w:val="both"/>
        <w:rPr>
          <w:lang w:val="sq-AL"/>
        </w:rPr>
      </w:pPr>
      <w:r w:rsidRPr="00D73F43">
        <w:rPr>
          <w:lang w:val="sq-AL"/>
        </w:rPr>
        <w:t xml:space="preserve">Oferta e Qeverisë gjatë nëntëmujorit 2016 është organizuar në 57 ankande titujsh qeveritarë, përkatësisht 32 ankande për bono thesari dhe 25 ankande për obligacione </w:t>
      </w:r>
      <w:r w:rsidRPr="00D73F43">
        <w:rPr>
          <w:i/>
          <w:lang w:val="sq-AL"/>
        </w:rPr>
        <w:t xml:space="preserve">(nga të cilat 4 janë rihapje </w:t>
      </w:r>
      <w:r w:rsidRPr="00D73F43">
        <w:rPr>
          <w:rStyle w:val="FootnoteReference"/>
          <w:b/>
          <w:i/>
          <w:lang w:val="sq-AL"/>
        </w:rPr>
        <w:footnoteReference w:id="4"/>
      </w:r>
      <w:r w:rsidRPr="00D73F43">
        <w:rPr>
          <w:i/>
          <w:lang w:val="sq-AL"/>
        </w:rPr>
        <w:t>).</w:t>
      </w:r>
    </w:p>
    <w:p w:rsidR="00B0121D" w:rsidRPr="00D73F43" w:rsidRDefault="00B0121D" w:rsidP="00B0121D">
      <w:pPr>
        <w:spacing w:line="276" w:lineRule="auto"/>
        <w:ind w:right="-45"/>
        <w:jc w:val="both"/>
        <w:rPr>
          <w:lang w:val="sq-AL"/>
        </w:rPr>
      </w:pPr>
      <w:r w:rsidRPr="00D73F43">
        <w:rPr>
          <w:lang w:val="sq-AL"/>
        </w:rPr>
        <w:t>Krahasuar me vitin e kaluar numri i ankandeve të zhvilluara është relativisht më i ulët, duke qenë në përputhje me objektivat strategjike për përmirësimin e tregut primar dhe krijimin e kushteve për zhvillimin e tregut sekondar. Menaxhimi i përmirësuar i borxhit ka ulur frekuencën e emetimit me qëllim që të krijojë tituj me vlera të larta, të cilat mund të stimulojnë edhe tregtimin në tregun sekondar. Gjithashtu gjatë vitit 2016, janë ndërmarrë aktivitete në kuadër të shmangies së segmentimit të kërkesës, nëpërmjet tërheqjes graduale të obligacionit 3- vjeçar dhe tërheqjes së obligacionit 7- vjeçar me norma interesi të ndryshueshme.</w:t>
      </w:r>
    </w:p>
    <w:p w:rsidR="00B0121D" w:rsidRPr="00D73F43" w:rsidRDefault="00B0121D" w:rsidP="00B0121D">
      <w:pPr>
        <w:spacing w:line="276" w:lineRule="auto"/>
        <w:ind w:right="-45"/>
        <w:jc w:val="both"/>
        <w:rPr>
          <w:lang w:val="sq-AL"/>
        </w:rPr>
      </w:pPr>
    </w:p>
    <w:p w:rsidR="00B0121D" w:rsidRPr="00D73F43" w:rsidRDefault="00B0121D" w:rsidP="00B0121D">
      <w:pPr>
        <w:ind w:right="294"/>
        <w:jc w:val="both"/>
        <w:rPr>
          <w:sz w:val="20"/>
          <w:szCs w:val="20"/>
          <w:lang w:val="sq-AL"/>
        </w:rPr>
      </w:pPr>
    </w:p>
    <w:p w:rsidR="00B0121D" w:rsidRPr="00D73F43" w:rsidRDefault="00B0121D" w:rsidP="00B0121D">
      <w:pPr>
        <w:tabs>
          <w:tab w:val="left" w:pos="9450"/>
        </w:tabs>
        <w:ind w:right="780"/>
        <w:rPr>
          <w:sz w:val="20"/>
          <w:szCs w:val="20"/>
          <w:lang w:val="sq-AL"/>
        </w:rPr>
      </w:pPr>
      <w:r w:rsidRPr="00D73F43">
        <w:rPr>
          <w:b/>
          <w:sz w:val="20"/>
          <w:szCs w:val="20"/>
          <w:lang w:val="sq-AL"/>
        </w:rPr>
        <w:t xml:space="preserve"> Tabela</w:t>
      </w:r>
      <w:r w:rsidR="00972D4F">
        <w:rPr>
          <w:b/>
          <w:sz w:val="20"/>
          <w:szCs w:val="20"/>
          <w:lang w:val="sq-AL"/>
        </w:rPr>
        <w:t xml:space="preserve">15 </w:t>
      </w:r>
      <w:r w:rsidRPr="00D73F43">
        <w:rPr>
          <w:b/>
          <w:sz w:val="20"/>
          <w:szCs w:val="20"/>
          <w:lang w:val="sq-AL"/>
        </w:rPr>
        <w:t xml:space="preserve">: </w:t>
      </w:r>
      <w:r w:rsidRPr="00D73F43">
        <w:rPr>
          <w:i/>
          <w:sz w:val="20"/>
          <w:szCs w:val="20"/>
          <w:lang w:val="sq-AL"/>
        </w:rPr>
        <w:t>Treguesit e ecurisë së ankandeve</w:t>
      </w:r>
    </w:p>
    <w:tbl>
      <w:tblPr>
        <w:tblW w:w="8926" w:type="dxa"/>
        <w:tblBorders>
          <w:top w:val="single" w:sz="12" w:space="0" w:color="000000"/>
          <w:bottom w:val="single" w:sz="12" w:space="0" w:color="000000"/>
        </w:tblBorders>
        <w:tblLook w:val="04A0" w:firstRow="1" w:lastRow="0" w:firstColumn="1" w:lastColumn="0" w:noHBand="0" w:noVBand="1"/>
      </w:tblPr>
      <w:tblGrid>
        <w:gridCol w:w="1570"/>
        <w:gridCol w:w="2943"/>
        <w:gridCol w:w="1323"/>
        <w:gridCol w:w="1406"/>
        <w:gridCol w:w="1684"/>
      </w:tblGrid>
      <w:tr w:rsidR="00B0121D" w:rsidRPr="00D73F43" w:rsidTr="00AD09A8">
        <w:trPr>
          <w:trHeight w:val="315"/>
        </w:trPr>
        <w:tc>
          <w:tcPr>
            <w:tcW w:w="1570" w:type="dxa"/>
            <w:tcBorders>
              <w:bottom w:val="single" w:sz="6" w:space="0" w:color="000000"/>
              <w:right w:val="single" w:sz="6" w:space="0" w:color="000000"/>
            </w:tcBorders>
            <w:shd w:val="clear" w:color="auto" w:fill="auto"/>
            <w:noWrap/>
            <w:hideMark/>
          </w:tcPr>
          <w:p w:rsidR="00B0121D" w:rsidRPr="00D73F43" w:rsidRDefault="00B0121D" w:rsidP="00AD09A8">
            <w:pPr>
              <w:jc w:val="center"/>
              <w:rPr>
                <w:rFonts w:eastAsia="Times New Roman"/>
                <w:b/>
                <w:bCs/>
                <w:i/>
                <w:iCs/>
                <w:sz w:val="18"/>
                <w:szCs w:val="18"/>
                <w:lang w:val="sq-AL"/>
              </w:rPr>
            </w:pPr>
            <w:r w:rsidRPr="00D73F43">
              <w:rPr>
                <w:rFonts w:eastAsia="Times New Roman"/>
                <w:b/>
                <w:bCs/>
                <w:i/>
                <w:iCs/>
                <w:sz w:val="18"/>
                <w:szCs w:val="18"/>
                <w:lang w:val="sq-AL"/>
              </w:rPr>
              <w:t>Periudha</w:t>
            </w:r>
          </w:p>
        </w:tc>
        <w:tc>
          <w:tcPr>
            <w:tcW w:w="2943" w:type="dxa"/>
            <w:tcBorders>
              <w:bottom w:val="single" w:sz="6" w:space="0" w:color="000000"/>
            </w:tcBorders>
            <w:shd w:val="clear" w:color="auto" w:fill="auto"/>
            <w:noWrap/>
            <w:hideMark/>
          </w:tcPr>
          <w:p w:rsidR="00B0121D" w:rsidRPr="00D73F43" w:rsidRDefault="00B0121D" w:rsidP="00AD09A8">
            <w:pPr>
              <w:jc w:val="center"/>
              <w:rPr>
                <w:rFonts w:eastAsia="Times New Roman"/>
                <w:b/>
                <w:bCs/>
                <w:i/>
                <w:iCs/>
                <w:sz w:val="18"/>
                <w:szCs w:val="18"/>
                <w:lang w:val="sq-AL"/>
              </w:rPr>
            </w:pPr>
            <w:r w:rsidRPr="00D73F43">
              <w:rPr>
                <w:rFonts w:eastAsia="Times New Roman"/>
                <w:b/>
                <w:bCs/>
                <w:i/>
                <w:iCs/>
                <w:sz w:val="18"/>
                <w:szCs w:val="18"/>
                <w:lang w:val="sq-AL"/>
              </w:rPr>
              <w:t>Treguesi</w:t>
            </w:r>
          </w:p>
        </w:tc>
        <w:tc>
          <w:tcPr>
            <w:tcW w:w="1323" w:type="dxa"/>
            <w:tcBorders>
              <w:bottom w:val="single" w:sz="6" w:space="0" w:color="000000"/>
            </w:tcBorders>
            <w:shd w:val="clear" w:color="auto" w:fill="auto"/>
            <w:noWrap/>
            <w:hideMark/>
          </w:tcPr>
          <w:p w:rsidR="00B0121D" w:rsidRPr="00D73F43" w:rsidRDefault="00B0121D" w:rsidP="00AD09A8">
            <w:pPr>
              <w:jc w:val="center"/>
              <w:rPr>
                <w:rFonts w:eastAsia="Times New Roman"/>
                <w:b/>
                <w:bCs/>
                <w:i/>
                <w:iCs/>
                <w:sz w:val="18"/>
                <w:szCs w:val="18"/>
                <w:lang w:val="sq-AL"/>
              </w:rPr>
            </w:pPr>
            <w:r w:rsidRPr="00D73F43">
              <w:rPr>
                <w:rFonts w:eastAsia="Times New Roman"/>
                <w:b/>
                <w:bCs/>
                <w:i/>
                <w:iCs/>
                <w:sz w:val="18"/>
                <w:szCs w:val="18"/>
                <w:lang w:val="sq-AL"/>
              </w:rPr>
              <w:t>B.Thesari</w:t>
            </w:r>
          </w:p>
        </w:tc>
        <w:tc>
          <w:tcPr>
            <w:tcW w:w="1406" w:type="dxa"/>
            <w:tcBorders>
              <w:bottom w:val="single" w:sz="6" w:space="0" w:color="000000"/>
            </w:tcBorders>
            <w:shd w:val="clear" w:color="auto" w:fill="auto"/>
            <w:noWrap/>
            <w:hideMark/>
          </w:tcPr>
          <w:p w:rsidR="00B0121D" w:rsidRPr="00D73F43" w:rsidRDefault="00B0121D" w:rsidP="00AD09A8">
            <w:pPr>
              <w:jc w:val="center"/>
              <w:rPr>
                <w:rFonts w:eastAsia="Times New Roman"/>
                <w:b/>
                <w:bCs/>
                <w:i/>
                <w:iCs/>
                <w:sz w:val="18"/>
                <w:szCs w:val="18"/>
                <w:lang w:val="sq-AL"/>
              </w:rPr>
            </w:pPr>
            <w:r w:rsidRPr="00D73F43">
              <w:rPr>
                <w:rFonts w:eastAsia="Times New Roman"/>
                <w:b/>
                <w:bCs/>
                <w:i/>
                <w:iCs/>
                <w:sz w:val="18"/>
                <w:szCs w:val="18"/>
                <w:lang w:val="sq-AL"/>
              </w:rPr>
              <w:t>Obligacione</w:t>
            </w:r>
          </w:p>
        </w:tc>
        <w:tc>
          <w:tcPr>
            <w:tcW w:w="1684" w:type="dxa"/>
            <w:tcBorders>
              <w:bottom w:val="single" w:sz="6" w:space="0" w:color="000000"/>
            </w:tcBorders>
            <w:shd w:val="clear" w:color="auto" w:fill="auto"/>
            <w:noWrap/>
            <w:hideMark/>
          </w:tcPr>
          <w:p w:rsidR="00B0121D" w:rsidRPr="00D73F43" w:rsidRDefault="00B0121D" w:rsidP="00AD09A8">
            <w:pPr>
              <w:jc w:val="center"/>
              <w:rPr>
                <w:rFonts w:eastAsia="Times New Roman"/>
                <w:b/>
                <w:bCs/>
                <w:i/>
                <w:iCs/>
                <w:sz w:val="18"/>
                <w:szCs w:val="18"/>
                <w:lang w:val="sq-AL"/>
              </w:rPr>
            </w:pPr>
            <w:r w:rsidRPr="00D73F43">
              <w:rPr>
                <w:rFonts w:eastAsia="Times New Roman"/>
                <w:b/>
                <w:bCs/>
                <w:i/>
                <w:iCs/>
                <w:sz w:val="18"/>
                <w:szCs w:val="18"/>
                <w:lang w:val="sq-AL"/>
              </w:rPr>
              <w:t xml:space="preserve"> Gjithsej</w:t>
            </w:r>
          </w:p>
        </w:tc>
      </w:tr>
      <w:tr w:rsidR="00B0121D" w:rsidRPr="00D73F43" w:rsidTr="00AD09A8">
        <w:trPr>
          <w:trHeight w:val="300"/>
        </w:trPr>
        <w:tc>
          <w:tcPr>
            <w:tcW w:w="1570" w:type="dxa"/>
            <w:vMerge w:val="restart"/>
            <w:tcBorders>
              <w:right w:val="single" w:sz="6" w:space="0" w:color="000000"/>
            </w:tcBorders>
            <w:shd w:val="clear" w:color="auto" w:fill="auto"/>
            <w:hideMark/>
          </w:tcPr>
          <w:p w:rsidR="00B0121D" w:rsidRPr="00D73F43" w:rsidRDefault="00B0121D" w:rsidP="00AD09A8">
            <w:pPr>
              <w:jc w:val="center"/>
              <w:rPr>
                <w:rFonts w:eastAsia="Times New Roman"/>
                <w:b/>
                <w:bCs/>
                <w:sz w:val="18"/>
                <w:szCs w:val="18"/>
                <w:lang w:val="sq-AL"/>
              </w:rPr>
            </w:pPr>
            <w:r w:rsidRPr="00D73F43">
              <w:rPr>
                <w:rFonts w:eastAsia="Times New Roman"/>
                <w:b/>
                <w:bCs/>
                <w:sz w:val="18"/>
                <w:szCs w:val="18"/>
                <w:lang w:val="sq-AL"/>
              </w:rPr>
              <w:lastRenderedPageBreak/>
              <w:t>9m-2016</w:t>
            </w:r>
          </w:p>
        </w:tc>
        <w:tc>
          <w:tcPr>
            <w:tcW w:w="2943" w:type="dxa"/>
            <w:shd w:val="clear" w:color="auto" w:fill="auto"/>
            <w:noWrap/>
            <w:hideMark/>
          </w:tcPr>
          <w:p w:rsidR="00B0121D" w:rsidRPr="00D73F43" w:rsidRDefault="00B0121D" w:rsidP="00AD09A8">
            <w:pPr>
              <w:jc w:val="center"/>
              <w:rPr>
                <w:rFonts w:eastAsia="Times New Roman"/>
                <w:b/>
                <w:bCs/>
                <w:sz w:val="18"/>
                <w:szCs w:val="18"/>
                <w:lang w:val="sq-AL"/>
              </w:rPr>
            </w:pPr>
            <w:r w:rsidRPr="00D73F43">
              <w:rPr>
                <w:rFonts w:eastAsia="Times New Roman"/>
                <w:b/>
                <w:bCs/>
                <w:sz w:val="18"/>
                <w:szCs w:val="18"/>
                <w:lang w:val="sq-AL"/>
              </w:rPr>
              <w:t>Nr. ankandesh</w:t>
            </w:r>
          </w:p>
        </w:tc>
        <w:tc>
          <w:tcPr>
            <w:tcW w:w="1323"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32</w:t>
            </w:r>
          </w:p>
        </w:tc>
        <w:tc>
          <w:tcPr>
            <w:tcW w:w="1406"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25</w:t>
            </w:r>
          </w:p>
        </w:tc>
        <w:tc>
          <w:tcPr>
            <w:tcW w:w="1684"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57</w:t>
            </w:r>
          </w:p>
        </w:tc>
      </w:tr>
      <w:tr w:rsidR="00B0121D" w:rsidRPr="00D73F43" w:rsidTr="00AD09A8">
        <w:trPr>
          <w:trHeight w:val="300"/>
        </w:trPr>
        <w:tc>
          <w:tcPr>
            <w:tcW w:w="1570" w:type="dxa"/>
            <w:vMerge/>
            <w:tcBorders>
              <w:right w:val="single" w:sz="6" w:space="0" w:color="000000"/>
            </w:tcBorders>
            <w:shd w:val="clear" w:color="auto" w:fill="auto"/>
            <w:hideMark/>
          </w:tcPr>
          <w:p w:rsidR="00B0121D" w:rsidRPr="00D73F43" w:rsidRDefault="00B0121D" w:rsidP="00AD09A8">
            <w:pPr>
              <w:rPr>
                <w:rFonts w:eastAsia="Times New Roman"/>
                <w:b/>
                <w:bCs/>
                <w:sz w:val="18"/>
                <w:szCs w:val="18"/>
                <w:lang w:val="sq-AL"/>
              </w:rPr>
            </w:pPr>
          </w:p>
        </w:tc>
        <w:tc>
          <w:tcPr>
            <w:tcW w:w="2943" w:type="dxa"/>
            <w:shd w:val="clear" w:color="auto" w:fill="auto"/>
            <w:noWrap/>
            <w:hideMark/>
          </w:tcPr>
          <w:p w:rsidR="00B0121D" w:rsidRPr="00D73F43" w:rsidRDefault="00B0121D" w:rsidP="00AD09A8">
            <w:pPr>
              <w:jc w:val="center"/>
              <w:rPr>
                <w:rFonts w:eastAsia="Times New Roman"/>
                <w:b/>
                <w:bCs/>
                <w:sz w:val="18"/>
                <w:szCs w:val="18"/>
                <w:lang w:val="sq-AL"/>
              </w:rPr>
            </w:pPr>
            <w:r w:rsidRPr="00D73F43">
              <w:rPr>
                <w:rFonts w:eastAsia="Times New Roman"/>
                <w:b/>
                <w:bCs/>
                <w:sz w:val="18"/>
                <w:szCs w:val="18"/>
                <w:lang w:val="sq-AL"/>
              </w:rPr>
              <w:t xml:space="preserve">Shuma e kërkuar </w:t>
            </w:r>
            <w:r w:rsidRPr="00D73F43">
              <w:rPr>
                <w:rFonts w:eastAsia="Times New Roman"/>
                <w:i/>
                <w:iCs/>
                <w:sz w:val="18"/>
                <w:szCs w:val="18"/>
                <w:lang w:val="sq-AL"/>
              </w:rPr>
              <w:t>(në mld Lek)</w:t>
            </w:r>
          </w:p>
        </w:tc>
        <w:tc>
          <w:tcPr>
            <w:tcW w:w="1323"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247.6</w:t>
            </w:r>
          </w:p>
        </w:tc>
        <w:tc>
          <w:tcPr>
            <w:tcW w:w="1406"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108.6</w:t>
            </w:r>
          </w:p>
        </w:tc>
        <w:tc>
          <w:tcPr>
            <w:tcW w:w="1684"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356.2</w:t>
            </w:r>
          </w:p>
        </w:tc>
      </w:tr>
      <w:tr w:rsidR="00B0121D" w:rsidRPr="00D73F43" w:rsidTr="00AD09A8">
        <w:trPr>
          <w:trHeight w:val="300"/>
        </w:trPr>
        <w:tc>
          <w:tcPr>
            <w:tcW w:w="1570" w:type="dxa"/>
            <w:vMerge/>
            <w:tcBorders>
              <w:right w:val="single" w:sz="6" w:space="0" w:color="000000"/>
            </w:tcBorders>
            <w:shd w:val="clear" w:color="auto" w:fill="auto"/>
            <w:hideMark/>
          </w:tcPr>
          <w:p w:rsidR="00B0121D" w:rsidRPr="00D73F43" w:rsidRDefault="00B0121D" w:rsidP="00AD09A8">
            <w:pPr>
              <w:rPr>
                <w:rFonts w:eastAsia="Times New Roman"/>
                <w:b/>
                <w:bCs/>
                <w:sz w:val="18"/>
                <w:szCs w:val="18"/>
                <w:lang w:val="sq-AL"/>
              </w:rPr>
            </w:pPr>
          </w:p>
        </w:tc>
        <w:tc>
          <w:tcPr>
            <w:tcW w:w="2943" w:type="dxa"/>
            <w:shd w:val="clear" w:color="auto" w:fill="auto"/>
            <w:noWrap/>
            <w:hideMark/>
          </w:tcPr>
          <w:p w:rsidR="00B0121D" w:rsidRPr="00D73F43" w:rsidRDefault="00B0121D" w:rsidP="00AD09A8">
            <w:pPr>
              <w:jc w:val="center"/>
              <w:rPr>
                <w:rFonts w:eastAsia="Times New Roman"/>
                <w:b/>
                <w:bCs/>
                <w:sz w:val="18"/>
                <w:szCs w:val="18"/>
                <w:lang w:val="sq-AL"/>
              </w:rPr>
            </w:pPr>
            <w:r w:rsidRPr="00D73F43">
              <w:rPr>
                <w:rFonts w:eastAsia="Times New Roman"/>
                <w:b/>
                <w:bCs/>
                <w:sz w:val="18"/>
                <w:szCs w:val="18"/>
                <w:lang w:val="sq-AL"/>
              </w:rPr>
              <w:t xml:space="preserve">Shuma e ofruar </w:t>
            </w:r>
            <w:r w:rsidRPr="00D73F43">
              <w:rPr>
                <w:rFonts w:eastAsia="Times New Roman"/>
                <w:i/>
                <w:iCs/>
                <w:sz w:val="18"/>
                <w:szCs w:val="18"/>
                <w:lang w:val="sq-AL"/>
              </w:rPr>
              <w:t>(në mld Lek)</w:t>
            </w:r>
          </w:p>
        </w:tc>
        <w:tc>
          <w:tcPr>
            <w:tcW w:w="1323"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209.2</w:t>
            </w:r>
          </w:p>
        </w:tc>
        <w:tc>
          <w:tcPr>
            <w:tcW w:w="1406"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80.2</w:t>
            </w:r>
          </w:p>
        </w:tc>
        <w:tc>
          <w:tcPr>
            <w:tcW w:w="1684"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289.4</w:t>
            </w:r>
          </w:p>
        </w:tc>
      </w:tr>
      <w:tr w:rsidR="00B0121D" w:rsidRPr="00D73F43" w:rsidTr="00AD09A8">
        <w:trPr>
          <w:trHeight w:val="315"/>
        </w:trPr>
        <w:tc>
          <w:tcPr>
            <w:tcW w:w="1570" w:type="dxa"/>
            <w:vMerge/>
            <w:tcBorders>
              <w:right w:val="single" w:sz="6" w:space="0" w:color="000000"/>
            </w:tcBorders>
            <w:shd w:val="clear" w:color="auto" w:fill="auto"/>
            <w:hideMark/>
          </w:tcPr>
          <w:p w:rsidR="00B0121D" w:rsidRPr="00D73F43" w:rsidRDefault="00B0121D" w:rsidP="00AD09A8">
            <w:pPr>
              <w:rPr>
                <w:rFonts w:eastAsia="Times New Roman"/>
                <w:b/>
                <w:bCs/>
                <w:sz w:val="18"/>
                <w:szCs w:val="18"/>
                <w:lang w:val="sq-AL"/>
              </w:rPr>
            </w:pPr>
          </w:p>
        </w:tc>
        <w:tc>
          <w:tcPr>
            <w:tcW w:w="2943" w:type="dxa"/>
            <w:shd w:val="clear" w:color="auto" w:fill="auto"/>
            <w:noWrap/>
            <w:hideMark/>
          </w:tcPr>
          <w:p w:rsidR="00B0121D" w:rsidRPr="00D73F43" w:rsidRDefault="00B0121D" w:rsidP="00AD09A8">
            <w:pPr>
              <w:jc w:val="center"/>
              <w:rPr>
                <w:rFonts w:eastAsia="Times New Roman"/>
                <w:b/>
                <w:bCs/>
                <w:sz w:val="18"/>
                <w:szCs w:val="18"/>
                <w:lang w:val="sq-AL"/>
              </w:rPr>
            </w:pPr>
            <w:r w:rsidRPr="00D73F43">
              <w:rPr>
                <w:rFonts w:eastAsia="Times New Roman"/>
                <w:b/>
                <w:bCs/>
                <w:sz w:val="18"/>
                <w:szCs w:val="18"/>
                <w:lang w:val="sq-AL"/>
              </w:rPr>
              <w:t>Raporti i mbulimit</w:t>
            </w:r>
          </w:p>
        </w:tc>
        <w:tc>
          <w:tcPr>
            <w:tcW w:w="1323" w:type="dxa"/>
            <w:shd w:val="clear" w:color="auto" w:fill="auto"/>
            <w:noWrap/>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1.18</w:t>
            </w:r>
          </w:p>
        </w:tc>
        <w:tc>
          <w:tcPr>
            <w:tcW w:w="1406" w:type="dxa"/>
            <w:shd w:val="clear" w:color="auto" w:fill="auto"/>
            <w:noWrap/>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1.35</w:t>
            </w:r>
          </w:p>
        </w:tc>
        <w:tc>
          <w:tcPr>
            <w:tcW w:w="1684" w:type="dxa"/>
            <w:shd w:val="clear" w:color="auto" w:fill="auto"/>
            <w:noWrap/>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1.23</w:t>
            </w:r>
          </w:p>
        </w:tc>
      </w:tr>
      <w:tr w:rsidR="00B0121D" w:rsidRPr="00D73F43" w:rsidTr="00AD09A8">
        <w:trPr>
          <w:trHeight w:val="300"/>
        </w:trPr>
        <w:tc>
          <w:tcPr>
            <w:tcW w:w="1570" w:type="dxa"/>
            <w:vMerge w:val="restart"/>
            <w:tcBorders>
              <w:right w:val="single" w:sz="6" w:space="0" w:color="000000"/>
            </w:tcBorders>
            <w:shd w:val="clear" w:color="auto" w:fill="auto"/>
            <w:hideMark/>
          </w:tcPr>
          <w:p w:rsidR="00B0121D" w:rsidRPr="00D73F43" w:rsidRDefault="00B0121D" w:rsidP="00AD09A8">
            <w:pPr>
              <w:jc w:val="center"/>
              <w:rPr>
                <w:rFonts w:eastAsia="Times New Roman"/>
                <w:b/>
                <w:bCs/>
                <w:sz w:val="18"/>
                <w:szCs w:val="18"/>
                <w:lang w:val="sq-AL"/>
              </w:rPr>
            </w:pPr>
            <w:r w:rsidRPr="00D73F43">
              <w:rPr>
                <w:rFonts w:eastAsia="Times New Roman"/>
                <w:b/>
                <w:bCs/>
                <w:sz w:val="18"/>
                <w:szCs w:val="18"/>
                <w:lang w:val="sq-AL"/>
              </w:rPr>
              <w:t>9m-2015</w:t>
            </w:r>
          </w:p>
        </w:tc>
        <w:tc>
          <w:tcPr>
            <w:tcW w:w="2943" w:type="dxa"/>
            <w:shd w:val="clear" w:color="auto" w:fill="auto"/>
            <w:noWrap/>
            <w:hideMark/>
          </w:tcPr>
          <w:p w:rsidR="00B0121D" w:rsidRPr="00D73F43" w:rsidRDefault="00B0121D" w:rsidP="00AD09A8">
            <w:pPr>
              <w:jc w:val="center"/>
              <w:rPr>
                <w:rFonts w:eastAsia="Times New Roman"/>
                <w:b/>
                <w:bCs/>
                <w:sz w:val="18"/>
                <w:szCs w:val="18"/>
                <w:lang w:val="sq-AL"/>
              </w:rPr>
            </w:pPr>
            <w:r w:rsidRPr="00D73F43">
              <w:rPr>
                <w:rFonts w:eastAsia="Times New Roman"/>
                <w:b/>
                <w:bCs/>
                <w:sz w:val="18"/>
                <w:szCs w:val="18"/>
                <w:lang w:val="sq-AL"/>
              </w:rPr>
              <w:t>Nr. ankandesh</w:t>
            </w:r>
          </w:p>
        </w:tc>
        <w:tc>
          <w:tcPr>
            <w:tcW w:w="1323"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43</w:t>
            </w:r>
          </w:p>
        </w:tc>
        <w:tc>
          <w:tcPr>
            <w:tcW w:w="1406"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36</w:t>
            </w:r>
          </w:p>
        </w:tc>
        <w:tc>
          <w:tcPr>
            <w:tcW w:w="1684"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79</w:t>
            </w:r>
          </w:p>
        </w:tc>
      </w:tr>
      <w:tr w:rsidR="00B0121D" w:rsidRPr="00D73F43" w:rsidTr="00AD09A8">
        <w:trPr>
          <w:trHeight w:val="300"/>
        </w:trPr>
        <w:tc>
          <w:tcPr>
            <w:tcW w:w="1570" w:type="dxa"/>
            <w:vMerge/>
            <w:tcBorders>
              <w:right w:val="single" w:sz="6" w:space="0" w:color="000000"/>
            </w:tcBorders>
            <w:shd w:val="clear" w:color="auto" w:fill="auto"/>
            <w:hideMark/>
          </w:tcPr>
          <w:p w:rsidR="00B0121D" w:rsidRPr="00D73F43" w:rsidRDefault="00B0121D" w:rsidP="00AD09A8">
            <w:pPr>
              <w:rPr>
                <w:rFonts w:eastAsia="Times New Roman"/>
                <w:b/>
                <w:bCs/>
                <w:sz w:val="18"/>
                <w:szCs w:val="18"/>
                <w:lang w:val="sq-AL"/>
              </w:rPr>
            </w:pPr>
          </w:p>
        </w:tc>
        <w:tc>
          <w:tcPr>
            <w:tcW w:w="2943" w:type="dxa"/>
            <w:shd w:val="clear" w:color="auto" w:fill="auto"/>
            <w:noWrap/>
            <w:hideMark/>
          </w:tcPr>
          <w:p w:rsidR="00B0121D" w:rsidRPr="00D73F43" w:rsidRDefault="00B0121D" w:rsidP="00AD09A8">
            <w:pPr>
              <w:jc w:val="center"/>
              <w:rPr>
                <w:rFonts w:eastAsia="Times New Roman"/>
                <w:b/>
                <w:bCs/>
                <w:sz w:val="18"/>
                <w:szCs w:val="18"/>
                <w:lang w:val="sq-AL"/>
              </w:rPr>
            </w:pPr>
            <w:r w:rsidRPr="00D73F43">
              <w:rPr>
                <w:rFonts w:eastAsia="Times New Roman"/>
                <w:b/>
                <w:bCs/>
                <w:sz w:val="18"/>
                <w:szCs w:val="18"/>
                <w:lang w:val="sq-AL"/>
              </w:rPr>
              <w:t xml:space="preserve">Shuma e kërkuar </w:t>
            </w:r>
            <w:r w:rsidRPr="00D73F43">
              <w:rPr>
                <w:rFonts w:eastAsia="Times New Roman"/>
                <w:i/>
                <w:iCs/>
                <w:sz w:val="18"/>
                <w:szCs w:val="18"/>
                <w:lang w:val="sq-AL"/>
              </w:rPr>
              <w:t>(në mld Lek)</w:t>
            </w:r>
          </w:p>
        </w:tc>
        <w:tc>
          <w:tcPr>
            <w:tcW w:w="1323"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316.0</w:t>
            </w:r>
          </w:p>
        </w:tc>
        <w:tc>
          <w:tcPr>
            <w:tcW w:w="1406"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99.8</w:t>
            </w:r>
          </w:p>
        </w:tc>
        <w:tc>
          <w:tcPr>
            <w:tcW w:w="1684" w:type="dxa"/>
            <w:shd w:val="clear" w:color="auto" w:fill="auto"/>
            <w:noWrap/>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415.8</w:t>
            </w:r>
          </w:p>
        </w:tc>
      </w:tr>
      <w:tr w:rsidR="00B0121D" w:rsidRPr="00D73F43" w:rsidTr="00AD09A8">
        <w:trPr>
          <w:trHeight w:val="300"/>
        </w:trPr>
        <w:tc>
          <w:tcPr>
            <w:tcW w:w="1570" w:type="dxa"/>
            <w:vMerge/>
            <w:tcBorders>
              <w:right w:val="single" w:sz="6" w:space="0" w:color="000000"/>
            </w:tcBorders>
            <w:shd w:val="clear" w:color="auto" w:fill="auto"/>
            <w:hideMark/>
          </w:tcPr>
          <w:p w:rsidR="00B0121D" w:rsidRPr="00D73F43" w:rsidRDefault="00B0121D" w:rsidP="00AD09A8">
            <w:pPr>
              <w:rPr>
                <w:rFonts w:eastAsia="Times New Roman"/>
                <w:b/>
                <w:bCs/>
                <w:sz w:val="18"/>
                <w:szCs w:val="18"/>
                <w:lang w:val="sq-AL"/>
              </w:rPr>
            </w:pPr>
          </w:p>
        </w:tc>
        <w:tc>
          <w:tcPr>
            <w:tcW w:w="2943" w:type="dxa"/>
            <w:shd w:val="clear" w:color="auto" w:fill="auto"/>
            <w:noWrap/>
            <w:hideMark/>
          </w:tcPr>
          <w:p w:rsidR="00B0121D" w:rsidRPr="00D73F43" w:rsidRDefault="00B0121D" w:rsidP="00AD09A8">
            <w:pPr>
              <w:jc w:val="center"/>
              <w:rPr>
                <w:rFonts w:eastAsia="Times New Roman"/>
                <w:b/>
                <w:bCs/>
                <w:sz w:val="18"/>
                <w:szCs w:val="18"/>
                <w:lang w:val="sq-AL"/>
              </w:rPr>
            </w:pPr>
            <w:r w:rsidRPr="00D73F43">
              <w:rPr>
                <w:rFonts w:eastAsia="Times New Roman"/>
                <w:b/>
                <w:bCs/>
                <w:sz w:val="18"/>
                <w:szCs w:val="18"/>
                <w:lang w:val="sq-AL"/>
              </w:rPr>
              <w:t xml:space="preserve">Shuma e ofruar </w:t>
            </w:r>
            <w:r w:rsidRPr="00D73F43">
              <w:rPr>
                <w:rFonts w:eastAsia="Times New Roman"/>
                <w:i/>
                <w:iCs/>
                <w:sz w:val="18"/>
                <w:szCs w:val="18"/>
                <w:lang w:val="sq-AL"/>
              </w:rPr>
              <w:t>(në mld Lek)</w:t>
            </w:r>
          </w:p>
        </w:tc>
        <w:tc>
          <w:tcPr>
            <w:tcW w:w="1323"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286.2</w:t>
            </w:r>
          </w:p>
        </w:tc>
        <w:tc>
          <w:tcPr>
            <w:tcW w:w="1406"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88.9</w:t>
            </w:r>
          </w:p>
        </w:tc>
        <w:tc>
          <w:tcPr>
            <w:tcW w:w="1684" w:type="dxa"/>
            <w:shd w:val="clear" w:color="auto" w:fill="auto"/>
            <w:noWrap/>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375.1</w:t>
            </w:r>
          </w:p>
        </w:tc>
      </w:tr>
      <w:tr w:rsidR="00B0121D" w:rsidRPr="00D73F43" w:rsidTr="00AD09A8">
        <w:trPr>
          <w:trHeight w:val="315"/>
        </w:trPr>
        <w:tc>
          <w:tcPr>
            <w:tcW w:w="1570" w:type="dxa"/>
            <w:vMerge/>
            <w:tcBorders>
              <w:right w:val="single" w:sz="6" w:space="0" w:color="000000"/>
            </w:tcBorders>
            <w:shd w:val="clear" w:color="auto" w:fill="auto"/>
            <w:hideMark/>
          </w:tcPr>
          <w:p w:rsidR="00B0121D" w:rsidRPr="00D73F43" w:rsidRDefault="00B0121D" w:rsidP="00AD09A8">
            <w:pPr>
              <w:rPr>
                <w:rFonts w:eastAsia="Times New Roman"/>
                <w:b/>
                <w:bCs/>
                <w:sz w:val="18"/>
                <w:szCs w:val="18"/>
                <w:lang w:val="sq-AL"/>
              </w:rPr>
            </w:pPr>
          </w:p>
        </w:tc>
        <w:tc>
          <w:tcPr>
            <w:tcW w:w="2943" w:type="dxa"/>
            <w:shd w:val="clear" w:color="auto" w:fill="auto"/>
            <w:noWrap/>
            <w:hideMark/>
          </w:tcPr>
          <w:p w:rsidR="00B0121D" w:rsidRPr="00D73F43" w:rsidRDefault="00B0121D" w:rsidP="00AD09A8">
            <w:pPr>
              <w:jc w:val="center"/>
              <w:rPr>
                <w:rFonts w:eastAsia="Times New Roman"/>
                <w:b/>
                <w:bCs/>
                <w:sz w:val="18"/>
                <w:szCs w:val="18"/>
                <w:lang w:val="sq-AL"/>
              </w:rPr>
            </w:pPr>
            <w:r w:rsidRPr="00D73F43">
              <w:rPr>
                <w:rFonts w:eastAsia="Times New Roman"/>
                <w:b/>
                <w:bCs/>
                <w:sz w:val="18"/>
                <w:szCs w:val="18"/>
                <w:lang w:val="sq-AL"/>
              </w:rPr>
              <w:t>Raporti i mbulimit</w:t>
            </w:r>
          </w:p>
        </w:tc>
        <w:tc>
          <w:tcPr>
            <w:tcW w:w="1323" w:type="dxa"/>
            <w:shd w:val="clear" w:color="auto" w:fill="auto"/>
            <w:noWrap/>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1.10</w:t>
            </w:r>
          </w:p>
        </w:tc>
        <w:tc>
          <w:tcPr>
            <w:tcW w:w="1406" w:type="dxa"/>
            <w:shd w:val="clear" w:color="auto" w:fill="auto"/>
            <w:noWrap/>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1.12</w:t>
            </w:r>
          </w:p>
        </w:tc>
        <w:tc>
          <w:tcPr>
            <w:tcW w:w="1684" w:type="dxa"/>
            <w:shd w:val="clear" w:color="auto" w:fill="auto"/>
            <w:noWrap/>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1.11</w:t>
            </w:r>
          </w:p>
        </w:tc>
      </w:tr>
    </w:tbl>
    <w:p w:rsidR="00B0121D" w:rsidRPr="00D73F43" w:rsidRDefault="00B0121D" w:rsidP="00B0121D">
      <w:pPr>
        <w:tabs>
          <w:tab w:val="left" w:pos="9450"/>
        </w:tabs>
        <w:ind w:right="780"/>
        <w:rPr>
          <w:i/>
          <w:sz w:val="20"/>
          <w:szCs w:val="20"/>
          <w:lang w:val="sq-AL"/>
        </w:rPr>
      </w:pPr>
      <w:r w:rsidRPr="00D73F43">
        <w:rPr>
          <w:b/>
          <w:sz w:val="20"/>
          <w:szCs w:val="20"/>
          <w:lang w:val="sq-AL"/>
        </w:rPr>
        <w:t xml:space="preserve">Burimi: </w:t>
      </w:r>
      <w:r w:rsidRPr="00D73F43">
        <w:rPr>
          <w:i/>
          <w:sz w:val="20"/>
          <w:szCs w:val="20"/>
          <w:lang w:val="sq-AL"/>
        </w:rPr>
        <w:t>Ministria e Financave (2016)</w:t>
      </w:r>
    </w:p>
    <w:p w:rsidR="00B0121D" w:rsidRPr="00D73F43" w:rsidRDefault="00B0121D" w:rsidP="00B0121D">
      <w:pPr>
        <w:tabs>
          <w:tab w:val="left" w:pos="9450"/>
        </w:tabs>
        <w:ind w:right="780"/>
        <w:rPr>
          <w:sz w:val="20"/>
          <w:szCs w:val="20"/>
          <w:lang w:val="sq-AL"/>
        </w:rPr>
      </w:pPr>
    </w:p>
    <w:p w:rsidR="00B0121D" w:rsidRPr="00D73F43" w:rsidRDefault="00B0121D" w:rsidP="00B0121D">
      <w:pPr>
        <w:tabs>
          <w:tab w:val="left" w:pos="9450"/>
        </w:tabs>
        <w:ind w:right="780"/>
        <w:rPr>
          <w:sz w:val="20"/>
          <w:szCs w:val="20"/>
          <w:lang w:val="sq-AL"/>
        </w:rPr>
      </w:pPr>
    </w:p>
    <w:p w:rsidR="00B0121D" w:rsidRPr="00D73F43" w:rsidRDefault="00B0121D" w:rsidP="00B0121D">
      <w:pPr>
        <w:ind w:right="-46"/>
        <w:jc w:val="both"/>
        <w:rPr>
          <w:lang w:val="sq-AL"/>
        </w:rPr>
      </w:pPr>
      <w:r w:rsidRPr="00D73F43">
        <w:rPr>
          <w:lang w:val="sq-AL"/>
        </w:rPr>
        <w:t xml:space="preserve">Normat e interesit janë karakterizuar nga një prirje e vazhdueshme rënëse në të gjitha kategoritë e titujve shtetërorë. </w:t>
      </w:r>
    </w:p>
    <w:p w:rsidR="00B0121D" w:rsidRPr="00D73F43" w:rsidRDefault="00B0121D" w:rsidP="00B0121D">
      <w:pPr>
        <w:ind w:right="-46"/>
        <w:jc w:val="both"/>
        <w:rPr>
          <w:lang w:val="sq-AL"/>
        </w:rPr>
      </w:pPr>
      <w:r w:rsidRPr="00D73F43">
        <w:rPr>
          <w:lang w:val="sq-AL"/>
        </w:rPr>
        <w:t>Rënie më të madhe ka pasur në segmentin e obligacioneve 2 dhe 7- vjeçare, përkatësisht me 2.86 pp dhe 2.62 pp. Rënia e normave të interesit ka ardhur kryesisht për arsyet e mëposhtme:</w:t>
      </w:r>
    </w:p>
    <w:p w:rsidR="00B0121D" w:rsidRPr="00D73F43" w:rsidRDefault="00B0121D" w:rsidP="00B0121D">
      <w:pPr>
        <w:ind w:right="-46"/>
        <w:jc w:val="both"/>
        <w:rPr>
          <w:lang w:val="sq-AL"/>
        </w:rPr>
      </w:pPr>
    </w:p>
    <w:p w:rsidR="00B0121D" w:rsidRPr="00D73F43" w:rsidRDefault="00B0121D" w:rsidP="00534AA6">
      <w:pPr>
        <w:numPr>
          <w:ilvl w:val="0"/>
          <w:numId w:val="13"/>
        </w:numPr>
        <w:tabs>
          <w:tab w:val="clear" w:pos="720"/>
          <w:tab w:val="num" w:pos="426"/>
          <w:tab w:val="left" w:pos="8505"/>
        </w:tabs>
        <w:spacing w:line="276" w:lineRule="auto"/>
        <w:ind w:left="426" w:right="-46" w:hanging="426"/>
        <w:jc w:val="both"/>
        <w:rPr>
          <w:lang w:val="sq-AL"/>
        </w:rPr>
      </w:pPr>
      <w:r w:rsidRPr="00D73F43">
        <w:rPr>
          <w:lang w:val="sq-AL"/>
        </w:rPr>
        <w:t xml:space="preserve">Likuiditeti i lartë që disponon sistemi bankar shoqëruar edhe me procesin e riblerjes së titujve nga Qeveria në fund të vitit 2015 </w:t>
      </w:r>
      <w:r w:rsidRPr="00D73F43">
        <w:rPr>
          <w:i/>
          <w:lang w:val="sq-AL"/>
        </w:rPr>
        <w:t>(proces i cili jep rezultate në gjashtëmujorin e parë të vitit 2016);</w:t>
      </w:r>
    </w:p>
    <w:p w:rsidR="00B0121D" w:rsidRPr="00D73F43" w:rsidRDefault="00B0121D" w:rsidP="00534AA6">
      <w:pPr>
        <w:numPr>
          <w:ilvl w:val="0"/>
          <w:numId w:val="13"/>
        </w:numPr>
        <w:tabs>
          <w:tab w:val="clear" w:pos="720"/>
          <w:tab w:val="num" w:pos="426"/>
        </w:tabs>
        <w:spacing w:line="276" w:lineRule="auto"/>
        <w:ind w:hanging="720"/>
        <w:jc w:val="both"/>
        <w:rPr>
          <w:lang w:val="sq-AL"/>
        </w:rPr>
      </w:pPr>
      <w:r w:rsidRPr="00D73F43">
        <w:rPr>
          <w:lang w:val="sq-AL"/>
        </w:rPr>
        <w:t>Kufizimi i kreditimit të sektorit privat nga sistemi bankar;</w:t>
      </w:r>
    </w:p>
    <w:p w:rsidR="00B0121D" w:rsidRPr="00D73F43" w:rsidRDefault="00B0121D" w:rsidP="00534AA6">
      <w:pPr>
        <w:numPr>
          <w:ilvl w:val="0"/>
          <w:numId w:val="13"/>
        </w:numPr>
        <w:tabs>
          <w:tab w:val="clear" w:pos="720"/>
          <w:tab w:val="num" w:pos="426"/>
        </w:tabs>
        <w:spacing w:line="276" w:lineRule="auto"/>
        <w:ind w:hanging="720"/>
        <w:jc w:val="both"/>
        <w:rPr>
          <w:lang w:val="sq-AL"/>
        </w:rPr>
      </w:pPr>
      <w:r w:rsidRPr="00D73F43">
        <w:rPr>
          <w:lang w:val="sq-AL"/>
        </w:rPr>
        <w:t xml:space="preserve">Ulja e normës bazë të interesit nga Banka e Shqipërisë në 1.25%; </w:t>
      </w:r>
    </w:p>
    <w:p w:rsidR="002101A3" w:rsidRPr="00972D4F" w:rsidRDefault="00B0121D" w:rsidP="00534AA6">
      <w:pPr>
        <w:numPr>
          <w:ilvl w:val="0"/>
          <w:numId w:val="13"/>
        </w:numPr>
        <w:tabs>
          <w:tab w:val="clear" w:pos="720"/>
          <w:tab w:val="num" w:pos="426"/>
          <w:tab w:val="left" w:pos="9450"/>
        </w:tabs>
        <w:spacing w:line="276" w:lineRule="auto"/>
        <w:ind w:left="426" w:right="-46" w:hanging="426"/>
        <w:jc w:val="both"/>
        <w:rPr>
          <w:rFonts w:eastAsia="Calibri"/>
          <w:lang w:val="sq-AL"/>
        </w:rPr>
      </w:pPr>
      <w:r w:rsidRPr="00D73F43">
        <w:rPr>
          <w:rFonts w:eastAsia="Calibri"/>
          <w:lang w:val="sq-AL"/>
        </w:rPr>
        <w:t>Rritje e kërkesës nga kategoria e Individëve për shkak të normave më të favorshme krahasuar me depozitat.</w:t>
      </w:r>
    </w:p>
    <w:p w:rsidR="002101A3" w:rsidRPr="00D73F43" w:rsidRDefault="002101A3" w:rsidP="00B0121D">
      <w:pPr>
        <w:rPr>
          <w:b/>
          <w:lang w:val="sq-AL"/>
        </w:rPr>
      </w:pPr>
    </w:p>
    <w:p w:rsidR="00B0121D" w:rsidRPr="00D73F43" w:rsidRDefault="00972D4F" w:rsidP="00B0121D">
      <w:pPr>
        <w:rPr>
          <w:b/>
          <w:lang w:val="sq-AL"/>
        </w:rPr>
      </w:pPr>
      <w:r>
        <w:rPr>
          <w:b/>
          <w:sz w:val="20"/>
          <w:szCs w:val="20"/>
          <w:lang w:val="sq-AL"/>
        </w:rPr>
        <w:t>G</w:t>
      </w:r>
      <w:r w:rsidR="00B0121D" w:rsidRPr="00D73F43">
        <w:rPr>
          <w:b/>
          <w:sz w:val="20"/>
          <w:szCs w:val="20"/>
          <w:lang w:val="sq-AL"/>
        </w:rPr>
        <w:t>rafik</w:t>
      </w:r>
      <w:r>
        <w:rPr>
          <w:b/>
          <w:sz w:val="20"/>
          <w:szCs w:val="20"/>
          <w:lang w:val="sq-AL"/>
        </w:rPr>
        <w:t xml:space="preserve"> 38</w:t>
      </w:r>
      <w:r w:rsidR="00B0121D" w:rsidRPr="00D73F43">
        <w:rPr>
          <w:b/>
          <w:sz w:val="20"/>
          <w:szCs w:val="20"/>
          <w:lang w:val="sq-AL"/>
        </w:rPr>
        <w:t xml:space="preserve">:  </w:t>
      </w:r>
      <w:r w:rsidR="00B0121D" w:rsidRPr="00D73F43">
        <w:rPr>
          <w:i/>
          <w:sz w:val="20"/>
          <w:szCs w:val="20"/>
          <w:lang w:val="sq-AL"/>
        </w:rPr>
        <w:t>Kurba e yield-it për titujt shtetërorë</w:t>
      </w:r>
    </w:p>
    <w:p w:rsidR="00B0121D" w:rsidRPr="00D73F43" w:rsidRDefault="00B0121D" w:rsidP="00972D4F">
      <w:pPr>
        <w:tabs>
          <w:tab w:val="left" w:pos="9450"/>
        </w:tabs>
        <w:ind w:right="780"/>
        <w:jc w:val="center"/>
        <w:rPr>
          <w:lang w:val="sq-AL"/>
        </w:rPr>
      </w:pPr>
      <w:r w:rsidRPr="00D73F43">
        <w:rPr>
          <w:noProof/>
          <w:lang w:val="sq-AL" w:eastAsia="sq-AL"/>
        </w:rPr>
        <w:drawing>
          <wp:inline distT="0" distB="0" distL="0" distR="0" wp14:anchorId="2474A462" wp14:editId="29D2FD00">
            <wp:extent cx="5748655" cy="2847340"/>
            <wp:effectExtent l="0" t="0" r="4445" b="1016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0121D" w:rsidRPr="00D73F43" w:rsidRDefault="00B0121D" w:rsidP="00972D4F">
      <w:pPr>
        <w:ind w:right="4" w:firstLine="720"/>
        <w:jc w:val="both"/>
        <w:rPr>
          <w:i/>
          <w:sz w:val="20"/>
          <w:szCs w:val="20"/>
          <w:lang w:val="sq-AL"/>
        </w:rPr>
      </w:pPr>
      <w:r w:rsidRPr="00D73F43">
        <w:rPr>
          <w:b/>
          <w:sz w:val="20"/>
          <w:szCs w:val="20"/>
          <w:lang w:val="sq-AL"/>
        </w:rPr>
        <w:t xml:space="preserve">Burimi: </w:t>
      </w:r>
      <w:r w:rsidRPr="00D73F43">
        <w:rPr>
          <w:i/>
          <w:sz w:val="20"/>
          <w:szCs w:val="20"/>
          <w:lang w:val="sq-AL"/>
        </w:rPr>
        <w:t>Ministria e Financave (2016)</w:t>
      </w:r>
    </w:p>
    <w:p w:rsidR="00B0121D" w:rsidRPr="00D73F43" w:rsidRDefault="00B0121D" w:rsidP="00B0121D">
      <w:pPr>
        <w:ind w:right="4"/>
        <w:jc w:val="both"/>
        <w:rPr>
          <w:rFonts w:eastAsia="Times New Roman"/>
          <w:lang w:val="sq-AL"/>
        </w:rPr>
      </w:pPr>
    </w:p>
    <w:p w:rsidR="00B0121D" w:rsidRPr="00D73F43" w:rsidRDefault="00B0121D" w:rsidP="00B0121D">
      <w:pPr>
        <w:spacing w:line="276" w:lineRule="auto"/>
        <w:jc w:val="both"/>
        <w:rPr>
          <w:rFonts w:eastAsia="Times New Roman"/>
          <w:b/>
          <w:u w:val="single"/>
          <w:lang w:val="sq-AL"/>
        </w:rPr>
      </w:pPr>
      <w:r w:rsidRPr="00D73F43">
        <w:rPr>
          <w:rFonts w:eastAsia="Times New Roman"/>
          <w:b/>
          <w:u w:val="single"/>
          <w:lang w:val="sq-AL"/>
        </w:rPr>
        <w:t>Borxhi i jashtëm</w:t>
      </w:r>
    </w:p>
    <w:p w:rsidR="00B0121D" w:rsidRPr="00D73F43" w:rsidRDefault="00B0121D" w:rsidP="00B0121D">
      <w:pPr>
        <w:spacing w:line="276" w:lineRule="auto"/>
        <w:jc w:val="both"/>
        <w:rPr>
          <w:rFonts w:eastAsia="Times New Roman"/>
          <w:b/>
          <w:u w:val="single"/>
          <w:lang w:val="sq-AL"/>
        </w:rPr>
      </w:pPr>
    </w:p>
    <w:p w:rsidR="00B0121D" w:rsidRPr="00D73F43" w:rsidRDefault="00B0121D" w:rsidP="00B0121D">
      <w:pPr>
        <w:spacing w:line="276" w:lineRule="auto"/>
        <w:ind w:right="-46"/>
        <w:jc w:val="both"/>
        <w:rPr>
          <w:i/>
          <w:lang w:val="sq-AL"/>
        </w:rPr>
      </w:pPr>
      <w:r w:rsidRPr="00D73F43">
        <w:rPr>
          <w:lang w:val="sq-AL"/>
        </w:rPr>
        <w:t xml:space="preserve">Borxhi i jashtëm gjatë vitit 2016 paraqitet i qëndrueshëm duke pësuar disa ndryshime relativisht të vogla në kuadër të diversifikimit të monedhave që e përbëjnë këtë portofol, si edhe në kuadër të rritjes së peshës së stokut me norma interesi koncesionale, kryesisht për shkak të disbursimeve të mbështetjes buxhetore që i është akorduar Republikës së Shqipërisë me terma të favorshme. </w:t>
      </w:r>
    </w:p>
    <w:p w:rsidR="00B0121D" w:rsidRPr="00D73F43" w:rsidRDefault="00B0121D" w:rsidP="00B0121D">
      <w:pPr>
        <w:rPr>
          <w:b/>
          <w:sz w:val="20"/>
          <w:szCs w:val="20"/>
          <w:lang w:val="sq-AL"/>
        </w:rPr>
      </w:pPr>
    </w:p>
    <w:p w:rsidR="00B0121D" w:rsidRPr="00D73F43" w:rsidRDefault="00B0121D" w:rsidP="00973581">
      <w:pPr>
        <w:tabs>
          <w:tab w:val="left" w:pos="8647"/>
          <w:tab w:val="left" w:pos="9781"/>
        </w:tabs>
        <w:spacing w:line="276" w:lineRule="auto"/>
        <w:ind w:right="-46"/>
        <w:jc w:val="both"/>
        <w:rPr>
          <w:lang w:val="sq-AL"/>
        </w:rPr>
      </w:pPr>
      <w:r w:rsidRPr="00D73F43">
        <w:rPr>
          <w:lang w:val="sq-AL"/>
        </w:rPr>
        <w:lastRenderedPageBreak/>
        <w:t xml:space="preserve">Në Shtator 2016 pjesa më e madhe e portofolit të borxhit të jashtëm është e përbërë nga tre monedha kryesore (EUR, USD, JPY), ku peshën më të madhe e mban monedha Euro me 68.19 % të portofolit. Krahasuar me fundin e vitit të kaluar kemi një rritje të peshës së monedhës USD dhe YEN me 60 pb secila, ndërkohë kemi një rënie në peshën e monedhës EUR me 135 pb. </w:t>
      </w:r>
    </w:p>
    <w:p w:rsidR="00B0121D" w:rsidRPr="00D73F43" w:rsidRDefault="00B0121D" w:rsidP="00B0121D">
      <w:pPr>
        <w:jc w:val="center"/>
        <w:rPr>
          <w:i/>
          <w:sz w:val="20"/>
          <w:szCs w:val="20"/>
          <w:lang w:val="sq-AL"/>
        </w:rPr>
      </w:pPr>
      <w:r w:rsidRPr="00D73F43">
        <w:rPr>
          <w:b/>
          <w:sz w:val="20"/>
          <w:szCs w:val="20"/>
          <w:lang w:val="sq-AL"/>
        </w:rPr>
        <w:t>Grafik</w:t>
      </w:r>
      <w:r w:rsidR="00972D4F">
        <w:rPr>
          <w:b/>
          <w:sz w:val="20"/>
          <w:szCs w:val="20"/>
          <w:lang w:val="sq-AL"/>
        </w:rPr>
        <w:t xml:space="preserve"> 39</w:t>
      </w:r>
      <w:r w:rsidRPr="00D73F43">
        <w:rPr>
          <w:b/>
          <w:i/>
          <w:sz w:val="20"/>
          <w:szCs w:val="20"/>
          <w:lang w:val="sq-AL"/>
        </w:rPr>
        <w:t xml:space="preserve">: </w:t>
      </w:r>
      <w:r w:rsidRPr="00D73F43">
        <w:rPr>
          <w:i/>
          <w:sz w:val="20"/>
          <w:szCs w:val="20"/>
          <w:lang w:val="sq-AL"/>
        </w:rPr>
        <w:t>Kompozimi i borxhit të jashtëm sipas monedhave</w:t>
      </w:r>
    </w:p>
    <w:p w:rsidR="00B0121D" w:rsidRPr="00D73F43" w:rsidRDefault="00B0121D" w:rsidP="00B0121D">
      <w:pPr>
        <w:jc w:val="center"/>
        <w:rPr>
          <w:b/>
          <w:i/>
          <w:sz w:val="20"/>
          <w:szCs w:val="20"/>
          <w:lang w:val="sq-AL"/>
        </w:rPr>
      </w:pPr>
    </w:p>
    <w:p w:rsidR="00B0121D" w:rsidRPr="00D73F43" w:rsidRDefault="00B0121D" w:rsidP="00B0121D">
      <w:pPr>
        <w:spacing w:line="276" w:lineRule="auto"/>
        <w:ind w:left="-284" w:right="-188"/>
        <w:jc w:val="center"/>
        <w:rPr>
          <w:lang w:val="sq-AL"/>
        </w:rPr>
      </w:pPr>
      <w:r w:rsidRPr="00D73F43">
        <w:rPr>
          <w:noProof/>
          <w:lang w:val="sq-AL" w:eastAsia="sq-AL"/>
        </w:rPr>
        <w:drawing>
          <wp:inline distT="0" distB="0" distL="0" distR="0" wp14:anchorId="1E40A1B9" wp14:editId="3088FCF1">
            <wp:extent cx="3038475" cy="2076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38475" cy="2076450"/>
                    </a:xfrm>
                    <a:prstGeom prst="rect">
                      <a:avLst/>
                    </a:prstGeom>
                    <a:noFill/>
                    <a:ln>
                      <a:noFill/>
                    </a:ln>
                  </pic:spPr>
                </pic:pic>
              </a:graphicData>
            </a:graphic>
          </wp:inline>
        </w:drawing>
      </w:r>
      <w:r w:rsidRPr="00D73F43">
        <w:rPr>
          <w:noProof/>
          <w:lang w:val="sq-AL" w:eastAsia="sq-AL"/>
        </w:rPr>
        <w:drawing>
          <wp:inline distT="0" distB="0" distL="0" distR="0" wp14:anchorId="125C6F03" wp14:editId="7F1B882C">
            <wp:extent cx="2971800" cy="2076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71800" cy="2076450"/>
                    </a:xfrm>
                    <a:prstGeom prst="rect">
                      <a:avLst/>
                    </a:prstGeom>
                    <a:noFill/>
                    <a:ln>
                      <a:noFill/>
                    </a:ln>
                  </pic:spPr>
                </pic:pic>
              </a:graphicData>
            </a:graphic>
          </wp:inline>
        </w:drawing>
      </w:r>
    </w:p>
    <w:p w:rsidR="00B0121D" w:rsidRPr="00D73F43" w:rsidRDefault="00B0121D" w:rsidP="00B0121D">
      <w:pPr>
        <w:ind w:right="4"/>
        <w:rPr>
          <w:i/>
          <w:sz w:val="20"/>
          <w:szCs w:val="20"/>
          <w:lang w:val="sq-AL"/>
        </w:rPr>
      </w:pPr>
      <w:r w:rsidRPr="00D73F43">
        <w:rPr>
          <w:b/>
          <w:sz w:val="20"/>
          <w:szCs w:val="20"/>
          <w:lang w:val="sq-AL"/>
        </w:rPr>
        <w:t xml:space="preserve">                 Burimi: </w:t>
      </w:r>
      <w:r w:rsidRPr="00D73F43">
        <w:rPr>
          <w:i/>
          <w:sz w:val="20"/>
          <w:szCs w:val="20"/>
          <w:lang w:val="sq-AL"/>
        </w:rPr>
        <w:t>Ministria e Financave (2016)</w:t>
      </w:r>
    </w:p>
    <w:p w:rsidR="00B0121D" w:rsidRPr="00D73F43" w:rsidRDefault="00B0121D" w:rsidP="00B0121D">
      <w:pPr>
        <w:spacing w:line="276" w:lineRule="auto"/>
        <w:ind w:right="-46"/>
        <w:jc w:val="both"/>
        <w:rPr>
          <w:lang w:val="sq-AL"/>
        </w:rPr>
      </w:pPr>
    </w:p>
    <w:p w:rsidR="00B0121D" w:rsidRPr="00D73F43" w:rsidRDefault="00B0121D" w:rsidP="00B0121D">
      <w:pPr>
        <w:spacing w:line="276" w:lineRule="auto"/>
        <w:ind w:right="-46"/>
        <w:jc w:val="both"/>
        <w:rPr>
          <w:lang w:val="sq-AL"/>
        </w:rPr>
      </w:pPr>
      <w:r w:rsidRPr="00D73F43">
        <w:rPr>
          <w:lang w:val="sq-AL"/>
        </w:rPr>
        <w:t xml:space="preserve">Gjatë dy viteve të fundit ka pasur një prirje në drejtim të diversifikimit të portofolit të borxhit të jashtëm, por megjithatë përqindja e stokut të borxhit në Euro është e lartë dhe bën që portofoli të jetë i ndjeshëm ndaj luhatjeve të kursit të këmbimit. Diversifikimi i mëtejshëm i portofolit, nëpërmjet shpërndarjes së peshës së monedhave është një instrument efikas në favor të uljes së riskut të kursit të këmbimit. Gjithsesi, përqindja e lartë e stokut në Euro është në përputhje me objektivat strategjike për huamarrje në monedhën Euro dhe në përputhje me aspiratat e vendit tonë për t’u integruar në Bashkimin Evropian. Gjithashtu, gjatë viteve të fundit politikat monetare dhe dinamikat e ekonomisë vendase kanë arritur të sigurojnë një qëndrueshmëri dhe stabilitet të kursit të këmbimit të monedhës vendase ndaj monedhës Euro. </w:t>
      </w:r>
    </w:p>
    <w:p w:rsidR="00B0121D" w:rsidRPr="00D73F43" w:rsidRDefault="00B0121D" w:rsidP="00B0121D">
      <w:pPr>
        <w:spacing w:line="276" w:lineRule="auto"/>
        <w:rPr>
          <w:b/>
          <w:sz w:val="20"/>
          <w:szCs w:val="20"/>
          <w:lang w:val="sq-AL"/>
        </w:rPr>
      </w:pPr>
    </w:p>
    <w:p w:rsidR="00B0121D" w:rsidRPr="00D73F43" w:rsidRDefault="00B0121D" w:rsidP="00B0121D">
      <w:pPr>
        <w:spacing w:line="276" w:lineRule="auto"/>
        <w:ind w:right="-46"/>
        <w:jc w:val="both"/>
        <w:rPr>
          <w:lang w:val="sq-AL"/>
        </w:rPr>
      </w:pPr>
      <w:r w:rsidRPr="00D73F43">
        <w:rPr>
          <w:lang w:val="sq-AL"/>
        </w:rPr>
        <w:t xml:space="preserve">Ecuria e disbursimeve gjatë nëntëmujorit 2016, ka qenë e kënaqshme dhe relativisht më e lartë se vitin e kaluar. Gjithsej janë disbursuar rreth 256.3 milionë Euro, nga të cilat 153.2 milionë Euro janë disbursime të mbështetjes buxhetore të akorduara në kuadër të marrëveshjes me FMN. Diferenca prej 103.1 milionë Euro i përket disbursimeve të projekteve me financim të huaj. Krahasuar me të njëjtën periudhë të vitit të kaluar, rezulton se në vitin 2016 ecuria e disbursimeve ka qenë rreth 71.9 milionë Euro ose 39.0% më e lartë. Nëse përjashtojmë disbursimet e akorduara për mbështetje buxhetore, rezulton se disbursimet e këtij gjashtëmujori për projektet me financim të huaj janë rreth 18.9 milionë Euro më të larta se e njëjta periudhë e një viti më parë. </w:t>
      </w:r>
    </w:p>
    <w:p w:rsidR="00B0121D" w:rsidRPr="00D73F43" w:rsidRDefault="00B0121D" w:rsidP="00B0121D">
      <w:pPr>
        <w:spacing w:line="276" w:lineRule="auto"/>
        <w:ind w:right="-46"/>
        <w:jc w:val="both"/>
        <w:rPr>
          <w:lang w:val="sq-AL"/>
        </w:rPr>
      </w:pPr>
    </w:p>
    <w:p w:rsidR="00B0121D" w:rsidRPr="00D73F43" w:rsidRDefault="00B0121D" w:rsidP="00B0121D">
      <w:pPr>
        <w:spacing w:line="276" w:lineRule="auto"/>
        <w:ind w:right="-46"/>
        <w:jc w:val="both"/>
        <w:rPr>
          <w:lang w:val="sq-AL"/>
        </w:rPr>
      </w:pPr>
      <w:r w:rsidRPr="00D73F43">
        <w:rPr>
          <w:lang w:val="sq-AL"/>
        </w:rPr>
        <w:t>Sektorët që kanë pasur ecurinë më të lartë të disbursimeve janë sektori i Transportit, Ujësjellës Kanalizime dhe ai i Energjisë, përkatësisht me 11.3%, 10.5% dhe 7.0% të totalit të disbursimeve.</w:t>
      </w:r>
    </w:p>
    <w:p w:rsidR="00B0121D" w:rsidRPr="00D73F43" w:rsidRDefault="00B0121D" w:rsidP="00B0121D">
      <w:pPr>
        <w:ind w:right="-46"/>
        <w:jc w:val="both"/>
        <w:rPr>
          <w:lang w:val="sq-AL"/>
        </w:rPr>
      </w:pPr>
    </w:p>
    <w:p w:rsidR="00B0121D" w:rsidRPr="00D73F43" w:rsidRDefault="00B0121D" w:rsidP="00B0121D">
      <w:pPr>
        <w:jc w:val="center"/>
        <w:rPr>
          <w:sz w:val="20"/>
          <w:szCs w:val="20"/>
          <w:lang w:val="sq-AL"/>
        </w:rPr>
      </w:pPr>
      <w:r w:rsidRPr="00D73F43">
        <w:rPr>
          <w:b/>
          <w:sz w:val="20"/>
          <w:szCs w:val="20"/>
          <w:lang w:val="sq-AL"/>
        </w:rPr>
        <w:t>Tabela</w:t>
      </w:r>
      <w:r w:rsidR="00972D4F">
        <w:rPr>
          <w:b/>
          <w:sz w:val="20"/>
          <w:szCs w:val="20"/>
          <w:lang w:val="sq-AL"/>
        </w:rPr>
        <w:t xml:space="preserve"> 19</w:t>
      </w:r>
      <w:r w:rsidRPr="00D73F43">
        <w:rPr>
          <w:b/>
          <w:sz w:val="20"/>
          <w:szCs w:val="20"/>
          <w:lang w:val="sq-AL"/>
        </w:rPr>
        <w:t>:</w:t>
      </w:r>
      <w:r w:rsidRPr="00D73F43">
        <w:rPr>
          <w:sz w:val="20"/>
          <w:szCs w:val="20"/>
          <w:lang w:val="sq-AL"/>
        </w:rPr>
        <w:t xml:space="preserve"> </w:t>
      </w:r>
      <w:r w:rsidRPr="00D73F43">
        <w:rPr>
          <w:i/>
          <w:sz w:val="20"/>
          <w:szCs w:val="20"/>
          <w:lang w:val="sq-AL"/>
        </w:rPr>
        <w:t>Disbursimet e borxhit të jashtëm të Qeverisë Qendrore</w:t>
      </w:r>
    </w:p>
    <w:tbl>
      <w:tblPr>
        <w:tblW w:w="8978" w:type="dxa"/>
        <w:tblBorders>
          <w:top w:val="single" w:sz="12" w:space="0" w:color="000000"/>
          <w:bottom w:val="single" w:sz="12" w:space="0" w:color="000000"/>
        </w:tblBorders>
        <w:tblLook w:val="04A0" w:firstRow="1" w:lastRow="0" w:firstColumn="1" w:lastColumn="0" w:noHBand="0" w:noVBand="1"/>
      </w:tblPr>
      <w:tblGrid>
        <w:gridCol w:w="4428"/>
        <w:gridCol w:w="1349"/>
        <w:gridCol w:w="932"/>
        <w:gridCol w:w="1337"/>
        <w:gridCol w:w="932"/>
      </w:tblGrid>
      <w:tr w:rsidR="00B0121D" w:rsidRPr="00D73F43" w:rsidTr="00AD09A8">
        <w:trPr>
          <w:trHeight w:val="315"/>
        </w:trPr>
        <w:tc>
          <w:tcPr>
            <w:tcW w:w="4428" w:type="dxa"/>
            <w:tcBorders>
              <w:bottom w:val="single" w:sz="6" w:space="0" w:color="000000"/>
              <w:right w:val="single" w:sz="6" w:space="0" w:color="000000"/>
            </w:tcBorders>
            <w:shd w:val="clear" w:color="auto" w:fill="auto"/>
            <w:noWrap/>
            <w:hideMark/>
          </w:tcPr>
          <w:p w:rsidR="00B0121D" w:rsidRPr="00D73F43" w:rsidRDefault="00B0121D" w:rsidP="00AD09A8">
            <w:pPr>
              <w:jc w:val="center"/>
              <w:rPr>
                <w:rFonts w:eastAsia="Times New Roman"/>
                <w:b/>
                <w:bCs/>
                <w:i/>
                <w:iCs/>
                <w:sz w:val="18"/>
                <w:szCs w:val="18"/>
                <w:lang w:val="sq-AL"/>
              </w:rPr>
            </w:pPr>
            <w:r w:rsidRPr="00D73F43">
              <w:rPr>
                <w:rFonts w:eastAsia="Times New Roman"/>
                <w:b/>
                <w:bCs/>
                <w:i/>
                <w:iCs/>
                <w:sz w:val="18"/>
                <w:szCs w:val="18"/>
                <w:lang w:val="sq-AL"/>
              </w:rPr>
              <w:t>Disbursime</w:t>
            </w:r>
          </w:p>
        </w:tc>
        <w:tc>
          <w:tcPr>
            <w:tcW w:w="2281" w:type="dxa"/>
            <w:gridSpan w:val="2"/>
            <w:tcBorders>
              <w:bottom w:val="single" w:sz="6" w:space="0" w:color="000000"/>
            </w:tcBorders>
            <w:shd w:val="clear" w:color="auto" w:fill="auto"/>
            <w:noWrap/>
            <w:hideMark/>
          </w:tcPr>
          <w:p w:rsidR="00B0121D" w:rsidRPr="00D73F43" w:rsidRDefault="00B0121D" w:rsidP="00AD09A8">
            <w:pPr>
              <w:jc w:val="center"/>
              <w:rPr>
                <w:rFonts w:eastAsia="Times New Roman"/>
                <w:b/>
                <w:bCs/>
                <w:i/>
                <w:iCs/>
                <w:sz w:val="18"/>
                <w:szCs w:val="18"/>
                <w:lang w:val="sq-AL"/>
              </w:rPr>
            </w:pPr>
            <w:r w:rsidRPr="00D73F43">
              <w:rPr>
                <w:rFonts w:eastAsia="Times New Roman"/>
                <w:b/>
                <w:bCs/>
                <w:i/>
                <w:iCs/>
                <w:sz w:val="18"/>
                <w:szCs w:val="18"/>
                <w:lang w:val="sq-AL"/>
              </w:rPr>
              <w:t>Sht-15</w:t>
            </w:r>
          </w:p>
        </w:tc>
        <w:tc>
          <w:tcPr>
            <w:tcW w:w="2269" w:type="dxa"/>
            <w:gridSpan w:val="2"/>
            <w:tcBorders>
              <w:bottom w:val="single" w:sz="6" w:space="0" w:color="000000"/>
            </w:tcBorders>
            <w:shd w:val="clear" w:color="auto" w:fill="auto"/>
            <w:noWrap/>
            <w:hideMark/>
          </w:tcPr>
          <w:p w:rsidR="00B0121D" w:rsidRPr="00D73F43" w:rsidRDefault="00B0121D" w:rsidP="00AD09A8">
            <w:pPr>
              <w:jc w:val="center"/>
              <w:rPr>
                <w:rFonts w:eastAsia="Times New Roman"/>
                <w:b/>
                <w:bCs/>
                <w:i/>
                <w:iCs/>
                <w:sz w:val="18"/>
                <w:szCs w:val="18"/>
                <w:lang w:val="sq-AL"/>
              </w:rPr>
            </w:pPr>
            <w:r w:rsidRPr="00D73F43">
              <w:rPr>
                <w:rFonts w:eastAsia="Times New Roman"/>
                <w:b/>
                <w:bCs/>
                <w:i/>
                <w:iCs/>
                <w:sz w:val="18"/>
                <w:szCs w:val="18"/>
                <w:lang w:val="sq-AL"/>
              </w:rPr>
              <w:t>Sht-16</w:t>
            </w:r>
          </w:p>
        </w:tc>
      </w:tr>
      <w:tr w:rsidR="00B0121D" w:rsidRPr="00D73F43" w:rsidTr="00AD09A8">
        <w:trPr>
          <w:trHeight w:val="315"/>
        </w:trPr>
        <w:tc>
          <w:tcPr>
            <w:tcW w:w="4428" w:type="dxa"/>
            <w:tcBorders>
              <w:right w:val="single" w:sz="6" w:space="0" w:color="000000"/>
            </w:tcBorders>
            <w:shd w:val="clear" w:color="auto" w:fill="auto"/>
            <w:hideMark/>
          </w:tcPr>
          <w:p w:rsidR="00B0121D" w:rsidRPr="00D73F43" w:rsidRDefault="00B0121D" w:rsidP="00AD09A8">
            <w:pPr>
              <w:rPr>
                <w:rFonts w:eastAsia="Times New Roman"/>
                <w:b/>
                <w:bCs/>
                <w:sz w:val="18"/>
                <w:szCs w:val="18"/>
                <w:lang w:val="sq-AL"/>
              </w:rPr>
            </w:pPr>
          </w:p>
        </w:tc>
        <w:tc>
          <w:tcPr>
            <w:tcW w:w="1349" w:type="dxa"/>
            <w:shd w:val="clear" w:color="auto" w:fill="auto"/>
            <w:noWrap/>
            <w:hideMark/>
          </w:tcPr>
          <w:p w:rsidR="00B0121D" w:rsidRPr="00D73F43" w:rsidRDefault="00B0121D" w:rsidP="00AD09A8">
            <w:pPr>
              <w:jc w:val="center"/>
              <w:rPr>
                <w:rFonts w:eastAsia="Times New Roman"/>
                <w:b/>
                <w:bCs/>
                <w:sz w:val="18"/>
                <w:szCs w:val="18"/>
                <w:lang w:val="sq-AL"/>
              </w:rPr>
            </w:pPr>
            <w:r w:rsidRPr="00D73F43">
              <w:rPr>
                <w:rFonts w:eastAsia="Times New Roman"/>
                <w:b/>
                <w:bCs/>
                <w:sz w:val="18"/>
                <w:szCs w:val="18"/>
                <w:lang w:val="sq-AL"/>
              </w:rPr>
              <w:t>Në mln EUR</w:t>
            </w:r>
          </w:p>
        </w:tc>
        <w:tc>
          <w:tcPr>
            <w:tcW w:w="932" w:type="dxa"/>
            <w:shd w:val="clear" w:color="auto" w:fill="auto"/>
            <w:noWrap/>
            <w:hideMark/>
          </w:tcPr>
          <w:p w:rsidR="00B0121D" w:rsidRPr="00D73F43" w:rsidRDefault="00B0121D" w:rsidP="00AD09A8">
            <w:pPr>
              <w:jc w:val="center"/>
              <w:rPr>
                <w:rFonts w:eastAsia="Times New Roman"/>
                <w:b/>
                <w:bCs/>
                <w:sz w:val="18"/>
                <w:szCs w:val="18"/>
                <w:lang w:val="sq-AL"/>
              </w:rPr>
            </w:pPr>
            <w:r w:rsidRPr="00D73F43">
              <w:rPr>
                <w:rFonts w:eastAsia="Times New Roman"/>
                <w:b/>
                <w:bCs/>
                <w:sz w:val="18"/>
                <w:szCs w:val="18"/>
                <w:lang w:val="sq-AL"/>
              </w:rPr>
              <w:t>Në %</w:t>
            </w:r>
          </w:p>
        </w:tc>
        <w:tc>
          <w:tcPr>
            <w:tcW w:w="1337" w:type="dxa"/>
            <w:shd w:val="clear" w:color="auto" w:fill="auto"/>
            <w:noWrap/>
            <w:hideMark/>
          </w:tcPr>
          <w:p w:rsidR="00B0121D" w:rsidRPr="00D73F43" w:rsidRDefault="00B0121D" w:rsidP="00AD09A8">
            <w:pPr>
              <w:jc w:val="center"/>
              <w:rPr>
                <w:rFonts w:eastAsia="Times New Roman"/>
                <w:b/>
                <w:bCs/>
                <w:sz w:val="18"/>
                <w:szCs w:val="18"/>
                <w:lang w:val="sq-AL"/>
              </w:rPr>
            </w:pPr>
            <w:r w:rsidRPr="00D73F43">
              <w:rPr>
                <w:rFonts w:eastAsia="Times New Roman"/>
                <w:b/>
                <w:bCs/>
                <w:sz w:val="18"/>
                <w:szCs w:val="18"/>
                <w:lang w:val="sq-AL"/>
              </w:rPr>
              <w:t>Në mln EUR</w:t>
            </w:r>
          </w:p>
        </w:tc>
        <w:tc>
          <w:tcPr>
            <w:tcW w:w="932" w:type="dxa"/>
            <w:shd w:val="clear" w:color="auto" w:fill="auto"/>
            <w:noWrap/>
            <w:hideMark/>
          </w:tcPr>
          <w:p w:rsidR="00B0121D" w:rsidRPr="00D73F43" w:rsidRDefault="00B0121D" w:rsidP="00AD09A8">
            <w:pPr>
              <w:jc w:val="center"/>
              <w:rPr>
                <w:rFonts w:eastAsia="Times New Roman"/>
                <w:b/>
                <w:bCs/>
                <w:sz w:val="18"/>
                <w:szCs w:val="18"/>
                <w:lang w:val="sq-AL"/>
              </w:rPr>
            </w:pPr>
            <w:r w:rsidRPr="00D73F43">
              <w:rPr>
                <w:rFonts w:eastAsia="Times New Roman"/>
                <w:b/>
                <w:bCs/>
                <w:sz w:val="18"/>
                <w:szCs w:val="18"/>
                <w:lang w:val="sq-AL"/>
              </w:rPr>
              <w:t>Në %</w:t>
            </w:r>
          </w:p>
        </w:tc>
      </w:tr>
      <w:tr w:rsidR="00B0121D" w:rsidRPr="00D73F43" w:rsidTr="00AD09A8">
        <w:trPr>
          <w:trHeight w:val="315"/>
        </w:trPr>
        <w:tc>
          <w:tcPr>
            <w:tcW w:w="4428" w:type="dxa"/>
            <w:tcBorders>
              <w:right w:val="single" w:sz="6" w:space="0" w:color="000000"/>
            </w:tcBorders>
            <w:shd w:val="clear" w:color="auto" w:fill="auto"/>
            <w:noWrap/>
            <w:hideMark/>
          </w:tcPr>
          <w:p w:rsidR="00B0121D" w:rsidRPr="00D73F43" w:rsidRDefault="00B0121D" w:rsidP="00AD09A8">
            <w:pPr>
              <w:rPr>
                <w:rFonts w:eastAsia="Times New Roman"/>
                <w:b/>
                <w:bCs/>
                <w:sz w:val="18"/>
                <w:szCs w:val="18"/>
                <w:lang w:val="sq-AL"/>
              </w:rPr>
            </w:pPr>
            <w:r w:rsidRPr="00D73F43">
              <w:rPr>
                <w:rFonts w:eastAsia="Times New Roman"/>
                <w:b/>
                <w:bCs/>
                <w:sz w:val="18"/>
                <w:szCs w:val="18"/>
                <w:lang w:val="sq-AL"/>
              </w:rPr>
              <w:t>Disbursime Gjithsej</w:t>
            </w:r>
          </w:p>
        </w:tc>
        <w:tc>
          <w:tcPr>
            <w:tcW w:w="1349" w:type="dxa"/>
            <w:shd w:val="clear" w:color="auto" w:fill="auto"/>
            <w:noWrap/>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184.3</w:t>
            </w:r>
          </w:p>
        </w:tc>
        <w:tc>
          <w:tcPr>
            <w:tcW w:w="932" w:type="dxa"/>
            <w:shd w:val="clear" w:color="auto" w:fill="auto"/>
            <w:noWrap/>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100.0%</w:t>
            </w:r>
          </w:p>
        </w:tc>
        <w:tc>
          <w:tcPr>
            <w:tcW w:w="1337" w:type="dxa"/>
            <w:shd w:val="clear" w:color="auto" w:fill="auto"/>
            <w:noWrap/>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256.3</w:t>
            </w:r>
          </w:p>
        </w:tc>
        <w:tc>
          <w:tcPr>
            <w:tcW w:w="932" w:type="dxa"/>
            <w:shd w:val="clear" w:color="auto" w:fill="auto"/>
            <w:noWrap/>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100.0%</w:t>
            </w:r>
          </w:p>
        </w:tc>
      </w:tr>
      <w:tr w:rsidR="00B0121D" w:rsidRPr="00D73F43" w:rsidTr="00AD09A8">
        <w:trPr>
          <w:trHeight w:val="300"/>
        </w:trPr>
        <w:tc>
          <w:tcPr>
            <w:tcW w:w="4428" w:type="dxa"/>
            <w:tcBorders>
              <w:right w:val="single" w:sz="6" w:space="0" w:color="000000"/>
            </w:tcBorders>
            <w:shd w:val="clear" w:color="auto" w:fill="auto"/>
            <w:noWrap/>
            <w:hideMark/>
          </w:tcPr>
          <w:p w:rsidR="00B0121D" w:rsidRPr="00D73F43" w:rsidRDefault="00B0121D" w:rsidP="00AD09A8">
            <w:pPr>
              <w:rPr>
                <w:rFonts w:eastAsia="Times New Roman"/>
                <w:b/>
                <w:bCs/>
                <w:sz w:val="18"/>
                <w:szCs w:val="18"/>
                <w:lang w:val="sq-AL"/>
              </w:rPr>
            </w:pPr>
            <w:r w:rsidRPr="00D73F43">
              <w:rPr>
                <w:rFonts w:eastAsia="Times New Roman"/>
                <w:b/>
                <w:bCs/>
                <w:sz w:val="18"/>
                <w:szCs w:val="18"/>
                <w:lang w:val="sq-AL"/>
              </w:rPr>
              <w:t>I. Financim Projektesh</w:t>
            </w:r>
          </w:p>
        </w:tc>
        <w:tc>
          <w:tcPr>
            <w:tcW w:w="1349" w:type="dxa"/>
            <w:shd w:val="clear" w:color="auto" w:fill="auto"/>
            <w:noWrap/>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84.3</w:t>
            </w:r>
          </w:p>
        </w:tc>
        <w:tc>
          <w:tcPr>
            <w:tcW w:w="932" w:type="dxa"/>
            <w:shd w:val="clear" w:color="auto" w:fill="auto"/>
            <w:noWrap/>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45.7%</w:t>
            </w:r>
          </w:p>
        </w:tc>
        <w:tc>
          <w:tcPr>
            <w:tcW w:w="1337" w:type="dxa"/>
            <w:shd w:val="clear" w:color="auto" w:fill="auto"/>
            <w:noWrap/>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103.1</w:t>
            </w:r>
          </w:p>
        </w:tc>
        <w:tc>
          <w:tcPr>
            <w:tcW w:w="932" w:type="dxa"/>
            <w:shd w:val="clear" w:color="auto" w:fill="auto"/>
            <w:noWrap/>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40.2%</w:t>
            </w:r>
          </w:p>
        </w:tc>
      </w:tr>
      <w:tr w:rsidR="00B0121D" w:rsidRPr="00D73F43" w:rsidTr="00AD09A8">
        <w:trPr>
          <w:trHeight w:val="300"/>
        </w:trPr>
        <w:tc>
          <w:tcPr>
            <w:tcW w:w="4428" w:type="dxa"/>
            <w:tcBorders>
              <w:right w:val="single" w:sz="6" w:space="0" w:color="000000"/>
            </w:tcBorders>
            <w:shd w:val="clear" w:color="auto" w:fill="auto"/>
            <w:noWrap/>
            <w:hideMark/>
          </w:tcPr>
          <w:p w:rsidR="00B0121D" w:rsidRPr="00D73F43" w:rsidRDefault="00B0121D" w:rsidP="00AD09A8">
            <w:pPr>
              <w:rPr>
                <w:rFonts w:eastAsia="Times New Roman"/>
                <w:sz w:val="18"/>
                <w:szCs w:val="18"/>
                <w:lang w:val="sq-AL"/>
              </w:rPr>
            </w:pPr>
            <w:r w:rsidRPr="00D73F43">
              <w:rPr>
                <w:rFonts w:eastAsia="Times New Roman"/>
                <w:sz w:val="18"/>
                <w:szCs w:val="18"/>
                <w:lang w:val="sq-AL"/>
              </w:rPr>
              <w:t xml:space="preserve">     -Energjia</w:t>
            </w:r>
          </w:p>
        </w:tc>
        <w:tc>
          <w:tcPr>
            <w:tcW w:w="1349"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23.6</w:t>
            </w:r>
          </w:p>
        </w:tc>
        <w:tc>
          <w:tcPr>
            <w:tcW w:w="932"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12.8%</w:t>
            </w:r>
          </w:p>
        </w:tc>
        <w:tc>
          <w:tcPr>
            <w:tcW w:w="1337"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18.1</w:t>
            </w:r>
          </w:p>
        </w:tc>
        <w:tc>
          <w:tcPr>
            <w:tcW w:w="932"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7.0%</w:t>
            </w:r>
          </w:p>
        </w:tc>
      </w:tr>
      <w:tr w:rsidR="00B0121D" w:rsidRPr="00D73F43" w:rsidTr="00AD09A8">
        <w:trPr>
          <w:trHeight w:val="300"/>
        </w:trPr>
        <w:tc>
          <w:tcPr>
            <w:tcW w:w="4428" w:type="dxa"/>
            <w:tcBorders>
              <w:right w:val="single" w:sz="6" w:space="0" w:color="000000"/>
            </w:tcBorders>
            <w:shd w:val="clear" w:color="auto" w:fill="auto"/>
            <w:noWrap/>
            <w:hideMark/>
          </w:tcPr>
          <w:p w:rsidR="00B0121D" w:rsidRPr="00D73F43" w:rsidRDefault="00B0121D" w:rsidP="00AD09A8">
            <w:pPr>
              <w:rPr>
                <w:rFonts w:eastAsia="Times New Roman"/>
                <w:sz w:val="18"/>
                <w:szCs w:val="18"/>
                <w:lang w:val="sq-AL"/>
              </w:rPr>
            </w:pPr>
            <w:r w:rsidRPr="00D73F43">
              <w:rPr>
                <w:rFonts w:eastAsia="Times New Roman"/>
                <w:sz w:val="18"/>
                <w:szCs w:val="18"/>
                <w:lang w:val="sq-AL"/>
              </w:rPr>
              <w:t xml:space="preserve">     -Transporti</w:t>
            </w:r>
          </w:p>
        </w:tc>
        <w:tc>
          <w:tcPr>
            <w:tcW w:w="1349"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27.8</w:t>
            </w:r>
          </w:p>
        </w:tc>
        <w:tc>
          <w:tcPr>
            <w:tcW w:w="932"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15.1%</w:t>
            </w:r>
          </w:p>
        </w:tc>
        <w:tc>
          <w:tcPr>
            <w:tcW w:w="1337"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29.1</w:t>
            </w:r>
          </w:p>
        </w:tc>
        <w:tc>
          <w:tcPr>
            <w:tcW w:w="932"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11.3%</w:t>
            </w:r>
          </w:p>
        </w:tc>
      </w:tr>
      <w:tr w:rsidR="00B0121D" w:rsidRPr="00D73F43" w:rsidTr="00AD09A8">
        <w:trPr>
          <w:trHeight w:val="300"/>
        </w:trPr>
        <w:tc>
          <w:tcPr>
            <w:tcW w:w="4428" w:type="dxa"/>
            <w:tcBorders>
              <w:right w:val="single" w:sz="6" w:space="0" w:color="000000"/>
            </w:tcBorders>
            <w:shd w:val="clear" w:color="auto" w:fill="auto"/>
            <w:noWrap/>
            <w:hideMark/>
          </w:tcPr>
          <w:p w:rsidR="00B0121D" w:rsidRPr="00D73F43" w:rsidRDefault="00B0121D" w:rsidP="00AD09A8">
            <w:pPr>
              <w:rPr>
                <w:rFonts w:eastAsia="Times New Roman"/>
                <w:sz w:val="18"/>
                <w:szCs w:val="18"/>
                <w:lang w:val="sq-AL"/>
              </w:rPr>
            </w:pPr>
            <w:r w:rsidRPr="00D73F43">
              <w:rPr>
                <w:rFonts w:eastAsia="Times New Roman"/>
                <w:sz w:val="18"/>
                <w:szCs w:val="18"/>
                <w:lang w:val="sq-AL"/>
              </w:rPr>
              <w:t xml:space="preserve">     -Ujësjellës Kanalizime</w:t>
            </w:r>
          </w:p>
        </w:tc>
        <w:tc>
          <w:tcPr>
            <w:tcW w:w="1349"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19.8</w:t>
            </w:r>
          </w:p>
        </w:tc>
        <w:tc>
          <w:tcPr>
            <w:tcW w:w="932"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10.7%</w:t>
            </w:r>
          </w:p>
        </w:tc>
        <w:tc>
          <w:tcPr>
            <w:tcW w:w="1337"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27.0</w:t>
            </w:r>
          </w:p>
        </w:tc>
        <w:tc>
          <w:tcPr>
            <w:tcW w:w="932"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10.5%</w:t>
            </w:r>
          </w:p>
        </w:tc>
      </w:tr>
      <w:tr w:rsidR="00B0121D" w:rsidRPr="00D73F43" w:rsidTr="00AD09A8">
        <w:trPr>
          <w:trHeight w:val="300"/>
        </w:trPr>
        <w:tc>
          <w:tcPr>
            <w:tcW w:w="4428" w:type="dxa"/>
            <w:tcBorders>
              <w:right w:val="single" w:sz="6" w:space="0" w:color="000000"/>
            </w:tcBorders>
            <w:shd w:val="clear" w:color="auto" w:fill="auto"/>
            <w:noWrap/>
            <w:hideMark/>
          </w:tcPr>
          <w:p w:rsidR="00B0121D" w:rsidRPr="00D73F43" w:rsidRDefault="00B0121D" w:rsidP="00AD09A8">
            <w:pPr>
              <w:rPr>
                <w:rFonts w:eastAsia="Times New Roman"/>
                <w:sz w:val="18"/>
                <w:szCs w:val="18"/>
                <w:lang w:val="sq-AL"/>
              </w:rPr>
            </w:pPr>
            <w:r w:rsidRPr="00D73F43">
              <w:rPr>
                <w:rFonts w:eastAsia="Times New Roman"/>
                <w:sz w:val="18"/>
                <w:szCs w:val="18"/>
                <w:lang w:val="sq-AL"/>
              </w:rPr>
              <w:lastRenderedPageBreak/>
              <w:t xml:space="preserve">     -Infrastruktura Urbane</w:t>
            </w:r>
          </w:p>
        </w:tc>
        <w:tc>
          <w:tcPr>
            <w:tcW w:w="1349"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4.7</w:t>
            </w:r>
          </w:p>
        </w:tc>
        <w:tc>
          <w:tcPr>
            <w:tcW w:w="932"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2.5%</w:t>
            </w:r>
          </w:p>
        </w:tc>
        <w:tc>
          <w:tcPr>
            <w:tcW w:w="1337"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13.1</w:t>
            </w:r>
          </w:p>
        </w:tc>
        <w:tc>
          <w:tcPr>
            <w:tcW w:w="932"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5.1%</w:t>
            </w:r>
          </w:p>
        </w:tc>
      </w:tr>
      <w:tr w:rsidR="00B0121D" w:rsidRPr="00D73F43" w:rsidTr="00AD09A8">
        <w:trPr>
          <w:trHeight w:val="315"/>
        </w:trPr>
        <w:tc>
          <w:tcPr>
            <w:tcW w:w="4428" w:type="dxa"/>
            <w:tcBorders>
              <w:right w:val="single" w:sz="6" w:space="0" w:color="000000"/>
            </w:tcBorders>
            <w:shd w:val="clear" w:color="auto" w:fill="auto"/>
            <w:noWrap/>
            <w:hideMark/>
          </w:tcPr>
          <w:p w:rsidR="00B0121D" w:rsidRPr="00D73F43" w:rsidRDefault="00B0121D" w:rsidP="00AD09A8">
            <w:pPr>
              <w:rPr>
                <w:rFonts w:eastAsia="Times New Roman"/>
                <w:sz w:val="18"/>
                <w:szCs w:val="18"/>
                <w:lang w:val="sq-AL"/>
              </w:rPr>
            </w:pPr>
            <w:r w:rsidRPr="00D73F43">
              <w:rPr>
                <w:rFonts w:eastAsia="Times New Roman"/>
                <w:sz w:val="18"/>
                <w:szCs w:val="18"/>
                <w:lang w:val="sq-AL"/>
              </w:rPr>
              <w:t xml:space="preserve">     -Të tjera</w:t>
            </w:r>
          </w:p>
        </w:tc>
        <w:tc>
          <w:tcPr>
            <w:tcW w:w="1349"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8.4</w:t>
            </w:r>
          </w:p>
        </w:tc>
        <w:tc>
          <w:tcPr>
            <w:tcW w:w="932"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4.6%</w:t>
            </w:r>
          </w:p>
        </w:tc>
        <w:tc>
          <w:tcPr>
            <w:tcW w:w="1337"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15.9</w:t>
            </w:r>
          </w:p>
        </w:tc>
        <w:tc>
          <w:tcPr>
            <w:tcW w:w="932" w:type="dxa"/>
            <w:shd w:val="clear" w:color="auto" w:fill="auto"/>
            <w:noWrap/>
            <w:hideMark/>
          </w:tcPr>
          <w:p w:rsidR="00B0121D" w:rsidRPr="00D73F43" w:rsidRDefault="00B0121D" w:rsidP="00AD09A8">
            <w:pPr>
              <w:jc w:val="right"/>
              <w:rPr>
                <w:rFonts w:eastAsia="Times New Roman"/>
                <w:sz w:val="18"/>
                <w:szCs w:val="18"/>
                <w:lang w:val="sq-AL"/>
              </w:rPr>
            </w:pPr>
            <w:r w:rsidRPr="00D73F43">
              <w:rPr>
                <w:rFonts w:eastAsia="Times New Roman"/>
                <w:sz w:val="18"/>
                <w:szCs w:val="18"/>
                <w:lang w:val="sq-AL"/>
              </w:rPr>
              <w:t>6.2%</w:t>
            </w:r>
          </w:p>
        </w:tc>
      </w:tr>
      <w:tr w:rsidR="00B0121D" w:rsidRPr="00D73F43" w:rsidTr="00AD09A8">
        <w:trPr>
          <w:trHeight w:val="315"/>
        </w:trPr>
        <w:tc>
          <w:tcPr>
            <w:tcW w:w="4428" w:type="dxa"/>
            <w:tcBorders>
              <w:right w:val="single" w:sz="6" w:space="0" w:color="000000"/>
            </w:tcBorders>
            <w:shd w:val="clear" w:color="auto" w:fill="auto"/>
            <w:noWrap/>
            <w:hideMark/>
          </w:tcPr>
          <w:p w:rsidR="00B0121D" w:rsidRPr="00D73F43" w:rsidRDefault="00B0121D" w:rsidP="00AD09A8">
            <w:pPr>
              <w:rPr>
                <w:rFonts w:eastAsia="Times New Roman"/>
                <w:b/>
                <w:bCs/>
                <w:sz w:val="18"/>
                <w:szCs w:val="18"/>
                <w:lang w:val="sq-AL"/>
              </w:rPr>
            </w:pPr>
            <w:r w:rsidRPr="00D73F43">
              <w:rPr>
                <w:rFonts w:eastAsia="Times New Roman"/>
                <w:b/>
                <w:bCs/>
                <w:sz w:val="18"/>
                <w:szCs w:val="18"/>
                <w:lang w:val="sq-AL"/>
              </w:rPr>
              <w:t>II. Mbështetje Buxhetore</w:t>
            </w:r>
          </w:p>
        </w:tc>
        <w:tc>
          <w:tcPr>
            <w:tcW w:w="1349" w:type="dxa"/>
            <w:shd w:val="clear" w:color="auto" w:fill="auto"/>
            <w:noWrap/>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100.1</w:t>
            </w:r>
          </w:p>
        </w:tc>
        <w:tc>
          <w:tcPr>
            <w:tcW w:w="932" w:type="dxa"/>
            <w:shd w:val="clear" w:color="auto" w:fill="auto"/>
            <w:noWrap/>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54.3%</w:t>
            </w:r>
          </w:p>
        </w:tc>
        <w:tc>
          <w:tcPr>
            <w:tcW w:w="1337" w:type="dxa"/>
            <w:shd w:val="clear" w:color="auto" w:fill="auto"/>
            <w:noWrap/>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153.2</w:t>
            </w:r>
          </w:p>
        </w:tc>
        <w:tc>
          <w:tcPr>
            <w:tcW w:w="932" w:type="dxa"/>
            <w:shd w:val="clear" w:color="auto" w:fill="auto"/>
            <w:noWrap/>
            <w:hideMark/>
          </w:tcPr>
          <w:p w:rsidR="00B0121D" w:rsidRPr="00D73F43" w:rsidRDefault="00B0121D" w:rsidP="00AD09A8">
            <w:pPr>
              <w:jc w:val="right"/>
              <w:rPr>
                <w:rFonts w:eastAsia="Times New Roman"/>
                <w:b/>
                <w:bCs/>
                <w:sz w:val="18"/>
                <w:szCs w:val="18"/>
                <w:lang w:val="sq-AL"/>
              </w:rPr>
            </w:pPr>
            <w:r w:rsidRPr="00D73F43">
              <w:rPr>
                <w:rFonts w:eastAsia="Times New Roman"/>
                <w:b/>
                <w:bCs/>
                <w:sz w:val="18"/>
                <w:szCs w:val="18"/>
                <w:lang w:val="sq-AL"/>
              </w:rPr>
              <w:t>59.8%</w:t>
            </w:r>
          </w:p>
        </w:tc>
      </w:tr>
    </w:tbl>
    <w:p w:rsidR="00B0121D" w:rsidRPr="00D73F43" w:rsidRDefault="00B0121D" w:rsidP="00B0121D">
      <w:pPr>
        <w:ind w:right="4"/>
        <w:jc w:val="both"/>
        <w:rPr>
          <w:i/>
          <w:sz w:val="20"/>
          <w:szCs w:val="20"/>
          <w:lang w:val="sq-AL"/>
        </w:rPr>
      </w:pPr>
      <w:r w:rsidRPr="00D73F43">
        <w:rPr>
          <w:b/>
          <w:sz w:val="20"/>
          <w:szCs w:val="20"/>
          <w:lang w:val="sq-AL"/>
        </w:rPr>
        <w:t xml:space="preserve">Burimi: </w:t>
      </w:r>
      <w:r w:rsidRPr="00D73F43">
        <w:rPr>
          <w:i/>
          <w:sz w:val="20"/>
          <w:szCs w:val="20"/>
          <w:lang w:val="sq-AL"/>
        </w:rPr>
        <w:t>Ministria e Financave (2016)</w:t>
      </w:r>
    </w:p>
    <w:p w:rsidR="00B0121D" w:rsidRPr="00D73F43" w:rsidRDefault="00B0121D" w:rsidP="00B0121D">
      <w:pPr>
        <w:ind w:right="4"/>
        <w:jc w:val="both"/>
        <w:rPr>
          <w:i/>
          <w:sz w:val="20"/>
          <w:szCs w:val="20"/>
          <w:lang w:val="sq-AL"/>
        </w:rPr>
      </w:pPr>
    </w:p>
    <w:p w:rsidR="00B0121D" w:rsidRPr="00D73F43" w:rsidRDefault="00B0121D" w:rsidP="00B0121D">
      <w:pPr>
        <w:ind w:right="4"/>
        <w:jc w:val="both"/>
        <w:rPr>
          <w:i/>
          <w:sz w:val="20"/>
          <w:szCs w:val="20"/>
          <w:lang w:val="sq-AL"/>
        </w:rPr>
      </w:pPr>
    </w:p>
    <w:p w:rsidR="00B0121D" w:rsidRPr="00D73F43" w:rsidRDefault="00B0121D" w:rsidP="00B0121D">
      <w:pPr>
        <w:spacing w:line="276" w:lineRule="auto"/>
        <w:jc w:val="both"/>
        <w:rPr>
          <w:lang w:val="sq-AL"/>
        </w:rPr>
      </w:pPr>
      <w:r w:rsidRPr="00D73F43">
        <w:rPr>
          <w:lang w:val="sq-AL"/>
        </w:rPr>
        <w:t>Një nga çështjet që mbetet për t’u adresuar në vijim është ajo e lidhur me vlerën e lartë të projekteve të padisbursuara, të akumuluar në vite për disa arsye:</w:t>
      </w:r>
    </w:p>
    <w:p w:rsidR="00B0121D" w:rsidRPr="00D73F43" w:rsidRDefault="00B0121D" w:rsidP="00B0121D">
      <w:pPr>
        <w:spacing w:line="276" w:lineRule="auto"/>
        <w:jc w:val="both"/>
        <w:rPr>
          <w:lang w:val="sq-AL"/>
        </w:rPr>
      </w:pPr>
    </w:p>
    <w:p w:rsidR="00B0121D" w:rsidRPr="00D73F43" w:rsidRDefault="00B0121D" w:rsidP="00534AA6">
      <w:pPr>
        <w:pStyle w:val="ListParagraph"/>
        <w:numPr>
          <w:ilvl w:val="0"/>
          <w:numId w:val="14"/>
        </w:numPr>
        <w:spacing w:after="200" w:line="276" w:lineRule="auto"/>
        <w:ind w:left="426" w:hanging="426"/>
        <w:contextualSpacing/>
        <w:jc w:val="both"/>
        <w:rPr>
          <w:lang w:val="sq-AL"/>
        </w:rPr>
      </w:pPr>
      <w:r w:rsidRPr="00D73F43">
        <w:rPr>
          <w:lang w:val="sq-AL"/>
        </w:rPr>
        <w:t xml:space="preserve">Performanca e dobët e kontraktorëve; </w:t>
      </w:r>
    </w:p>
    <w:p w:rsidR="00B0121D" w:rsidRPr="00D73F43" w:rsidRDefault="00B0121D" w:rsidP="00534AA6">
      <w:pPr>
        <w:pStyle w:val="ListParagraph"/>
        <w:numPr>
          <w:ilvl w:val="0"/>
          <w:numId w:val="14"/>
        </w:numPr>
        <w:spacing w:after="200" w:line="276" w:lineRule="auto"/>
        <w:ind w:left="426" w:hanging="426"/>
        <w:contextualSpacing/>
        <w:jc w:val="both"/>
        <w:rPr>
          <w:lang w:val="sq-AL"/>
        </w:rPr>
      </w:pPr>
      <w:r w:rsidRPr="00D73F43">
        <w:rPr>
          <w:lang w:val="sq-AL"/>
        </w:rPr>
        <w:t>Ndryshimet e bëra në projektet fillestare për shkak të problematikave të hasura gjatë zbatimit të projekteve;</w:t>
      </w:r>
    </w:p>
    <w:p w:rsidR="00B0121D" w:rsidRPr="00D73F43" w:rsidRDefault="00B0121D" w:rsidP="00534AA6">
      <w:pPr>
        <w:pStyle w:val="ListParagraph"/>
        <w:numPr>
          <w:ilvl w:val="0"/>
          <w:numId w:val="14"/>
        </w:numPr>
        <w:spacing w:after="200" w:line="276" w:lineRule="auto"/>
        <w:ind w:left="426" w:hanging="426"/>
        <w:contextualSpacing/>
        <w:jc w:val="both"/>
        <w:rPr>
          <w:i/>
          <w:lang w:val="sq-AL"/>
        </w:rPr>
      </w:pPr>
      <w:r w:rsidRPr="00D73F43">
        <w:rPr>
          <w:lang w:val="sq-AL"/>
        </w:rPr>
        <w:t xml:space="preserve">Kushtet natyrore dhe atmosferike </w:t>
      </w:r>
      <w:r w:rsidRPr="00D73F43">
        <w:rPr>
          <w:i/>
          <w:lang w:val="sq-AL"/>
        </w:rPr>
        <w:t>(sidomos në projektet e infrastrukturës)</w:t>
      </w:r>
      <w:r w:rsidRPr="00D73F43">
        <w:rPr>
          <w:lang w:val="sq-AL"/>
        </w:rPr>
        <w:t>;</w:t>
      </w:r>
    </w:p>
    <w:p w:rsidR="00B0121D" w:rsidRPr="00D73F43" w:rsidRDefault="00B0121D" w:rsidP="00534AA6">
      <w:pPr>
        <w:pStyle w:val="ListParagraph"/>
        <w:numPr>
          <w:ilvl w:val="0"/>
          <w:numId w:val="14"/>
        </w:numPr>
        <w:spacing w:after="200" w:line="276" w:lineRule="auto"/>
        <w:ind w:left="426" w:hanging="426"/>
        <w:contextualSpacing/>
        <w:jc w:val="both"/>
        <w:rPr>
          <w:lang w:val="sq-AL"/>
        </w:rPr>
      </w:pPr>
      <w:r w:rsidRPr="00D73F43">
        <w:rPr>
          <w:lang w:val="sq-AL"/>
        </w:rPr>
        <w:t>Proceset e tejzgjatura të shpronësimeve;</w:t>
      </w:r>
    </w:p>
    <w:p w:rsidR="00B0121D" w:rsidRPr="00D73F43" w:rsidRDefault="00B0121D" w:rsidP="00534AA6">
      <w:pPr>
        <w:pStyle w:val="ListParagraph"/>
        <w:numPr>
          <w:ilvl w:val="0"/>
          <w:numId w:val="14"/>
        </w:numPr>
        <w:spacing w:after="200" w:line="276" w:lineRule="auto"/>
        <w:ind w:left="426" w:hanging="426"/>
        <w:contextualSpacing/>
        <w:jc w:val="both"/>
        <w:rPr>
          <w:i/>
          <w:lang w:val="sq-AL"/>
        </w:rPr>
      </w:pPr>
      <w:r w:rsidRPr="00D73F43">
        <w:rPr>
          <w:lang w:val="sq-AL"/>
        </w:rPr>
        <w:t>Vonesat e shkaktuara nga kreditorët në dhënien e aprovimeve;</w:t>
      </w:r>
      <w:r w:rsidRPr="00D73F43">
        <w:rPr>
          <w:i/>
          <w:lang w:val="sq-AL"/>
        </w:rPr>
        <w:t xml:space="preserve"> </w:t>
      </w:r>
    </w:p>
    <w:p w:rsidR="00B0121D" w:rsidRDefault="00B0121D" w:rsidP="00534AA6">
      <w:pPr>
        <w:pStyle w:val="ListParagraph"/>
        <w:numPr>
          <w:ilvl w:val="0"/>
          <w:numId w:val="14"/>
        </w:numPr>
        <w:spacing w:after="200" w:line="276" w:lineRule="auto"/>
        <w:ind w:left="426" w:hanging="426"/>
        <w:contextualSpacing/>
        <w:jc w:val="both"/>
        <w:rPr>
          <w:lang w:val="sq-AL"/>
        </w:rPr>
      </w:pPr>
      <w:r w:rsidRPr="00D73F43">
        <w:rPr>
          <w:lang w:val="sq-AL"/>
        </w:rPr>
        <w:t>Mungesa e bashkërendimit mes institucioneve, për dhënien e lejeve të ndërtimit, për menaxhimin e mbetjeve që dalin nga ndërtimet, për marrjen në dorëzim të objekteve, etj.</w:t>
      </w:r>
    </w:p>
    <w:p w:rsidR="00B0121D" w:rsidRDefault="00B0121D" w:rsidP="00973581">
      <w:pPr>
        <w:spacing w:line="276" w:lineRule="auto"/>
        <w:ind w:right="-46"/>
        <w:jc w:val="both"/>
        <w:rPr>
          <w:lang w:val="sq-AL"/>
        </w:rPr>
      </w:pPr>
      <w:r w:rsidRPr="00D73F43">
        <w:rPr>
          <w:lang w:val="sq-AL"/>
        </w:rPr>
        <w:t>Në marrëdhënie me kreditorët e huaj Republika e Shqipërisë vazhdon të mbajë marrëdhënie të qëndrueshme duke paraqitur një nivel bashkëpunimi të lartë dhe duke përcjellë besim tek kreditorët nëpërmjet likuidimit të detyrimeve të saj në kohë.</w:t>
      </w:r>
    </w:p>
    <w:p w:rsidR="00AB477F" w:rsidRDefault="00AB477F" w:rsidP="00B0121D">
      <w:pPr>
        <w:ind w:right="-46"/>
        <w:jc w:val="both"/>
        <w:rPr>
          <w:lang w:val="sq-AL"/>
        </w:rPr>
      </w:pPr>
    </w:p>
    <w:p w:rsidR="00AB477F" w:rsidRDefault="00AB477F" w:rsidP="00B0121D">
      <w:pPr>
        <w:ind w:right="-46"/>
        <w:jc w:val="both"/>
        <w:rPr>
          <w:lang w:val="sq-AL"/>
        </w:rPr>
      </w:pPr>
    </w:p>
    <w:p w:rsidR="00973581" w:rsidRDefault="00973581" w:rsidP="00AB477F">
      <w:pPr>
        <w:ind w:right="-46"/>
        <w:jc w:val="center"/>
        <w:rPr>
          <w:b/>
          <w:sz w:val="28"/>
          <w:lang w:val="sq-AL"/>
        </w:rPr>
      </w:pPr>
    </w:p>
    <w:p w:rsidR="00AB477F" w:rsidRPr="00D90F32" w:rsidRDefault="00AB477F" w:rsidP="00AB477F">
      <w:pPr>
        <w:ind w:right="-46"/>
        <w:jc w:val="center"/>
        <w:rPr>
          <w:b/>
          <w:sz w:val="28"/>
          <w:lang w:val="sq-AL"/>
        </w:rPr>
      </w:pPr>
      <w:r w:rsidRPr="00D90F32">
        <w:rPr>
          <w:b/>
          <w:sz w:val="28"/>
          <w:lang w:val="sq-AL"/>
        </w:rPr>
        <w:t>KËSHILLI I MINISTRAVE</w:t>
      </w:r>
    </w:p>
    <w:p w:rsidR="00AB477F" w:rsidRDefault="00AB477F" w:rsidP="00B0121D">
      <w:pPr>
        <w:ind w:right="-46"/>
        <w:jc w:val="both"/>
        <w:rPr>
          <w:lang w:val="sq-AL"/>
        </w:rPr>
      </w:pPr>
    </w:p>
    <w:p w:rsidR="00AB477F" w:rsidRPr="00D73F43" w:rsidRDefault="00AB477F" w:rsidP="00B0121D">
      <w:pPr>
        <w:ind w:right="-46"/>
        <w:jc w:val="both"/>
        <w:rPr>
          <w:lang w:val="sq-AL"/>
        </w:rPr>
      </w:pPr>
    </w:p>
    <w:p w:rsidR="00F16C95" w:rsidRPr="00D73F43" w:rsidRDefault="00F16C95">
      <w:pPr>
        <w:rPr>
          <w:lang w:val="sq-AL"/>
        </w:rPr>
      </w:pPr>
    </w:p>
    <w:sectPr w:rsidR="00F16C95" w:rsidRPr="00D73F43" w:rsidSect="009E1577">
      <w:footerReference w:type="even" r:id="rId60"/>
      <w:footerReference w:type="default" r:id="rId61"/>
      <w:footerReference w:type="first" r:id="rId62"/>
      <w:pgSz w:w="11907" w:h="16839" w:code="9"/>
      <w:pgMar w:top="851" w:right="851" w:bottom="851" w:left="85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124D" w:rsidRDefault="00AE124D" w:rsidP="00B0121D">
      <w:r>
        <w:separator/>
      </w:r>
    </w:p>
  </w:endnote>
  <w:endnote w:type="continuationSeparator" w:id="0">
    <w:p w:rsidR="00AE124D" w:rsidRDefault="00AE124D" w:rsidP="00B01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onsolas">
    <w:panose1 w:val="020B0609020204030204"/>
    <w:charset w:val="EE"/>
    <w:family w:val="modern"/>
    <w:pitch w:val="fixed"/>
    <w:sig w:usb0="E10002FF" w:usb1="4000FCFF" w:usb2="00000009" w:usb3="00000000" w:csb0="0000019F" w:csb1="00000000"/>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Helvetica Neue">
    <w:altName w:val="Times New Roman"/>
    <w:panose1 w:val="00000000000000000000"/>
    <w:charset w:val="00"/>
    <w:family w:val="roman"/>
    <w:notTrueType/>
    <w:pitch w:val="default"/>
  </w:font>
  <w:font w:name="Sylfaen">
    <w:panose1 w:val="010A0502050306030303"/>
    <w:charset w:val="EE"/>
    <w:family w:val="roman"/>
    <w:pitch w:val="variable"/>
    <w:sig w:usb0="040006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6DB" w:rsidRDefault="008676DB" w:rsidP="00AD09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676DB" w:rsidRDefault="008676DB">
    <w:pPr>
      <w:pStyle w:val="Footer"/>
    </w:pPr>
  </w:p>
  <w:p w:rsidR="008676DB" w:rsidRDefault="008676DB"/>
  <w:p w:rsidR="008676DB" w:rsidRDefault="008676DB"/>
  <w:p w:rsidR="008676DB" w:rsidRDefault="008676D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9513704"/>
      <w:docPartObj>
        <w:docPartGallery w:val="Page Numbers (Bottom of Page)"/>
        <w:docPartUnique/>
      </w:docPartObj>
    </w:sdtPr>
    <w:sdtEndPr>
      <w:rPr>
        <w:noProof/>
      </w:rPr>
    </w:sdtEndPr>
    <w:sdtContent>
      <w:p w:rsidR="008676DB" w:rsidRDefault="008676DB">
        <w:pPr>
          <w:pStyle w:val="Footer"/>
          <w:jc w:val="center"/>
        </w:pPr>
        <w:r>
          <w:fldChar w:fldCharType="begin"/>
        </w:r>
        <w:r>
          <w:instrText xml:space="preserve"> PAGE   \* MERGEFORMAT </w:instrText>
        </w:r>
        <w:r>
          <w:fldChar w:fldCharType="separate"/>
        </w:r>
        <w:r w:rsidR="00810BD1">
          <w:rPr>
            <w:noProof/>
          </w:rPr>
          <w:t>2</w:t>
        </w:r>
        <w:r>
          <w:rPr>
            <w:noProof/>
          </w:rPr>
          <w:fldChar w:fldCharType="end"/>
        </w:r>
      </w:p>
    </w:sdtContent>
  </w:sdt>
  <w:p w:rsidR="008676DB" w:rsidRDefault="008676D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0832834"/>
      <w:docPartObj>
        <w:docPartGallery w:val="Page Numbers (Bottom of Page)"/>
        <w:docPartUnique/>
      </w:docPartObj>
    </w:sdtPr>
    <w:sdtEndPr>
      <w:rPr>
        <w:noProof/>
      </w:rPr>
    </w:sdtEndPr>
    <w:sdtContent>
      <w:p w:rsidR="008676DB" w:rsidRDefault="008676DB">
        <w:pPr>
          <w:pStyle w:val="Footer"/>
          <w:jc w:val="center"/>
        </w:pPr>
        <w:r>
          <w:fldChar w:fldCharType="begin"/>
        </w:r>
        <w:r>
          <w:instrText xml:space="preserve"> PAGE   \* MERGEFORMAT </w:instrText>
        </w:r>
        <w:r>
          <w:fldChar w:fldCharType="separate"/>
        </w:r>
        <w:r w:rsidR="00810BD1">
          <w:rPr>
            <w:noProof/>
          </w:rPr>
          <w:t>1</w:t>
        </w:r>
        <w:r>
          <w:rPr>
            <w:noProof/>
          </w:rPr>
          <w:fldChar w:fldCharType="end"/>
        </w:r>
      </w:p>
    </w:sdtContent>
  </w:sdt>
  <w:p w:rsidR="008676DB" w:rsidRDefault="008676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124D" w:rsidRDefault="00AE124D" w:rsidP="00B0121D">
      <w:r>
        <w:separator/>
      </w:r>
    </w:p>
  </w:footnote>
  <w:footnote w:type="continuationSeparator" w:id="0">
    <w:p w:rsidR="00AE124D" w:rsidRDefault="00AE124D" w:rsidP="00B0121D">
      <w:r>
        <w:continuationSeparator/>
      </w:r>
    </w:p>
  </w:footnote>
  <w:footnote w:id="1">
    <w:p w:rsidR="008676DB" w:rsidRDefault="008676DB" w:rsidP="00B0121D">
      <w:pPr>
        <w:pStyle w:val="FootnoteText"/>
      </w:pPr>
      <w:r>
        <w:rPr>
          <w:rStyle w:val="FootnoteReference"/>
        </w:rPr>
        <w:footnoteRef/>
      </w:r>
      <w:r>
        <w:t xml:space="preserve"> Nga kjo sasi rreth </w:t>
      </w:r>
      <w:r w:rsidRPr="003458AF">
        <w:t>120 milion/m³ në vit prodhohen me rrjedhje të lirë dhe 157 milion/m³ në vit prodhohen me ngritje mekanike</w:t>
      </w:r>
      <w:r>
        <w:t>.</w:t>
      </w:r>
    </w:p>
  </w:footnote>
  <w:footnote w:id="2">
    <w:p w:rsidR="008676DB" w:rsidRDefault="008676DB" w:rsidP="00B0121D">
      <w:pPr>
        <w:pStyle w:val="FootnoteText"/>
        <w:ind w:left="142" w:hanging="142"/>
        <w:jc w:val="both"/>
      </w:pPr>
      <w:r>
        <w:rPr>
          <w:rStyle w:val="FootnoteReference"/>
        </w:rPr>
        <w:footnoteRef/>
      </w:r>
      <w:r>
        <w:t xml:space="preserve"> Rënia e dukshme e nivelit të borxhit është rezultat i PBB së vlerësuar mbi baza vjetore, ndërkohë që stoku i borxhit i referohet vlerave të nëntëmujorit. </w:t>
      </w:r>
    </w:p>
  </w:footnote>
  <w:footnote w:id="3">
    <w:p w:rsidR="008676DB" w:rsidRDefault="008676DB" w:rsidP="00B0121D">
      <w:pPr>
        <w:pStyle w:val="FootnoteText"/>
        <w:ind w:left="142" w:hanging="142"/>
        <w:jc w:val="both"/>
      </w:pPr>
      <w:r>
        <w:rPr>
          <w:rStyle w:val="FootnoteReference"/>
        </w:rPr>
        <w:footnoteRef/>
      </w:r>
      <w:r>
        <w:t xml:space="preserve"> Analiza kosto-risk është përqendruar tek borxhi i brendshëm, pasi borxhi i jashtëm paraqet rreziqe relativisht të ulta. I gjithë borxhi i jashtëm është afatgjatë dhe me profile amortizimi të shtrira gjatë në kohë. Gjithashtu, rreth gjysma e borxhit të jashtëm është me norma interesi fikse dhe norma interesi jo tregtare </w:t>
      </w:r>
      <w:r w:rsidRPr="00597069">
        <w:rPr>
          <w:i/>
        </w:rPr>
        <w:t>(koncesionale).</w:t>
      </w:r>
    </w:p>
  </w:footnote>
  <w:footnote w:id="4">
    <w:p w:rsidR="008676DB" w:rsidRDefault="008676DB" w:rsidP="00B0121D">
      <w:pPr>
        <w:pStyle w:val="FootnoteText"/>
        <w:ind w:left="142" w:hanging="142"/>
        <w:jc w:val="both"/>
      </w:pPr>
      <w:r w:rsidRPr="00247982">
        <w:rPr>
          <w:rStyle w:val="FootnoteReference"/>
        </w:rPr>
        <w:footnoteRef/>
      </w:r>
      <w:r w:rsidRPr="00247982">
        <w:t xml:space="preserve"> </w:t>
      </w:r>
      <w:r w:rsidRPr="00247982">
        <w:rPr>
          <w:lang w:val="sq-AL"/>
        </w:rPr>
        <w:t xml:space="preserve">Rihapjet e ankandeve kanë përmirësuar dukshëm treguesit e borxhit të brendshëm pasi deri diku është arritur  madhësia benchamark për instrumentet afatgjatë 5, </w:t>
      </w:r>
      <w:r>
        <w:rPr>
          <w:lang w:val="sq-AL"/>
        </w:rPr>
        <w:t>7 dhe</w:t>
      </w:r>
      <w:r w:rsidRPr="00247982">
        <w:rPr>
          <w:lang w:val="sq-AL"/>
        </w:rPr>
        <w:t xml:space="preserve"> 10</w:t>
      </w:r>
      <w:r>
        <w:rPr>
          <w:lang w:val="sq-AL"/>
        </w:rPr>
        <w:t>-</w:t>
      </w:r>
      <w:r w:rsidRPr="00247982">
        <w:rPr>
          <w:lang w:val="sq-AL"/>
        </w:rPr>
        <w:t xml:space="preserve"> vjeçare.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3013E"/>
    <w:multiLevelType w:val="hybridMultilevel"/>
    <w:tmpl w:val="BC36E95A"/>
    <w:lvl w:ilvl="0" w:tplc="041C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
    <w:nsid w:val="014A27CE"/>
    <w:multiLevelType w:val="hybridMultilevel"/>
    <w:tmpl w:val="29A27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EC67B2"/>
    <w:multiLevelType w:val="hybridMultilevel"/>
    <w:tmpl w:val="C8C23A6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
    <w:nsid w:val="03E1051A"/>
    <w:multiLevelType w:val="hybridMultilevel"/>
    <w:tmpl w:val="E05CB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002786"/>
    <w:multiLevelType w:val="multilevel"/>
    <w:tmpl w:val="750CB2EE"/>
    <w:lvl w:ilvl="0">
      <w:start w:val="1"/>
      <w:numFmt w:val="decimal"/>
      <w:lvlText w:val="%1."/>
      <w:lvlJc w:val="left"/>
      <w:pPr>
        <w:ind w:left="360" w:hanging="360"/>
      </w:pPr>
    </w:lvl>
    <w:lvl w:ilvl="1">
      <w:start w:val="1"/>
      <w:numFmt w:val="decimal"/>
      <w:lvlText w:val="%1.%2."/>
      <w:lvlJc w:val="left"/>
      <w:pPr>
        <w:ind w:left="792" w:hanging="432"/>
      </w:pPr>
    </w:lvl>
    <w:lvl w:ilvl="2">
      <w:start w:val="1"/>
      <w:numFmt w:val="none"/>
      <w:lvlText w:val="2.2"/>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42E7F6A"/>
    <w:multiLevelType w:val="hybridMultilevel"/>
    <w:tmpl w:val="C23CEC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780E85"/>
    <w:multiLevelType w:val="hybridMultilevel"/>
    <w:tmpl w:val="02106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B65209"/>
    <w:multiLevelType w:val="hybridMultilevel"/>
    <w:tmpl w:val="E8C8F434"/>
    <w:lvl w:ilvl="0" w:tplc="041C0001">
      <w:start w:val="1"/>
      <w:numFmt w:val="bullet"/>
      <w:lvlText w:val=""/>
      <w:lvlJc w:val="left"/>
      <w:pPr>
        <w:ind w:left="63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0F04BC"/>
    <w:multiLevelType w:val="hybridMultilevel"/>
    <w:tmpl w:val="93BAF1BE"/>
    <w:lvl w:ilvl="0" w:tplc="04090001">
      <w:start w:val="1"/>
      <w:numFmt w:val="bullet"/>
      <w:lvlText w:val=""/>
      <w:lvlJc w:val="left"/>
      <w:pPr>
        <w:ind w:left="720" w:hanging="360"/>
      </w:pPr>
      <w:rPr>
        <w:rFonts w:ascii="Symbol" w:hAnsi="Symbol" w:hint="default"/>
      </w:rPr>
    </w:lvl>
    <w:lvl w:ilvl="1" w:tplc="611A910C">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AA79FC"/>
    <w:multiLevelType w:val="hybridMultilevel"/>
    <w:tmpl w:val="F6ACD19A"/>
    <w:lvl w:ilvl="0" w:tplc="04090001">
      <w:start w:val="1"/>
      <w:numFmt w:val="bullet"/>
      <w:lvlText w:val=""/>
      <w:lvlJc w:val="left"/>
      <w:pPr>
        <w:ind w:left="720" w:hanging="360"/>
      </w:pPr>
      <w:rPr>
        <w:rFonts w:ascii="Symbol" w:hAnsi="Symbol" w:hint="default"/>
      </w:rPr>
    </w:lvl>
    <w:lvl w:ilvl="1" w:tplc="611A910C">
      <w:numFmt w:val="bullet"/>
      <w:lvlText w:val="-"/>
      <w:lvlJc w:val="left"/>
      <w:pPr>
        <w:ind w:left="1440" w:hanging="360"/>
      </w:pPr>
      <w:rPr>
        <w:rFonts w:ascii="Times New Roman" w:eastAsia="Calibri" w:hAnsi="Times New Roman" w:cs="Times New Roman"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
    <w:nsid w:val="09EA78A8"/>
    <w:multiLevelType w:val="hybridMultilevel"/>
    <w:tmpl w:val="A9D28D78"/>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A661D9C"/>
    <w:multiLevelType w:val="hybridMultilevel"/>
    <w:tmpl w:val="8A88F2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EA33BD5"/>
    <w:multiLevelType w:val="hybridMultilevel"/>
    <w:tmpl w:val="2CFC0DF4"/>
    <w:lvl w:ilvl="0" w:tplc="611A910C">
      <w:numFmt w:val="bullet"/>
      <w:lvlText w:val="-"/>
      <w:lvlJc w:val="left"/>
      <w:pPr>
        <w:ind w:left="1350" w:hanging="360"/>
      </w:pPr>
      <w:rPr>
        <w:rFonts w:ascii="Times New Roman" w:eastAsia="Calibri" w:hAnsi="Times New Roman" w:cs="Times New Roman" w:hint="default"/>
      </w:rPr>
    </w:lvl>
    <w:lvl w:ilvl="1" w:tplc="041C0003" w:tentative="1">
      <w:start w:val="1"/>
      <w:numFmt w:val="bullet"/>
      <w:lvlText w:val="o"/>
      <w:lvlJc w:val="left"/>
      <w:pPr>
        <w:ind w:left="2070" w:hanging="360"/>
      </w:pPr>
      <w:rPr>
        <w:rFonts w:ascii="Courier New" w:hAnsi="Courier New" w:cs="Courier New" w:hint="default"/>
      </w:rPr>
    </w:lvl>
    <w:lvl w:ilvl="2" w:tplc="041C0005" w:tentative="1">
      <w:start w:val="1"/>
      <w:numFmt w:val="bullet"/>
      <w:lvlText w:val=""/>
      <w:lvlJc w:val="left"/>
      <w:pPr>
        <w:ind w:left="2790" w:hanging="360"/>
      </w:pPr>
      <w:rPr>
        <w:rFonts w:ascii="Wingdings" w:hAnsi="Wingdings" w:hint="default"/>
      </w:rPr>
    </w:lvl>
    <w:lvl w:ilvl="3" w:tplc="041C0001" w:tentative="1">
      <w:start w:val="1"/>
      <w:numFmt w:val="bullet"/>
      <w:lvlText w:val=""/>
      <w:lvlJc w:val="left"/>
      <w:pPr>
        <w:ind w:left="3510" w:hanging="360"/>
      </w:pPr>
      <w:rPr>
        <w:rFonts w:ascii="Symbol" w:hAnsi="Symbol" w:hint="default"/>
      </w:rPr>
    </w:lvl>
    <w:lvl w:ilvl="4" w:tplc="041C0003" w:tentative="1">
      <w:start w:val="1"/>
      <w:numFmt w:val="bullet"/>
      <w:lvlText w:val="o"/>
      <w:lvlJc w:val="left"/>
      <w:pPr>
        <w:ind w:left="4230" w:hanging="360"/>
      </w:pPr>
      <w:rPr>
        <w:rFonts w:ascii="Courier New" w:hAnsi="Courier New" w:cs="Courier New" w:hint="default"/>
      </w:rPr>
    </w:lvl>
    <w:lvl w:ilvl="5" w:tplc="041C0005" w:tentative="1">
      <w:start w:val="1"/>
      <w:numFmt w:val="bullet"/>
      <w:lvlText w:val=""/>
      <w:lvlJc w:val="left"/>
      <w:pPr>
        <w:ind w:left="4950" w:hanging="360"/>
      </w:pPr>
      <w:rPr>
        <w:rFonts w:ascii="Wingdings" w:hAnsi="Wingdings" w:hint="default"/>
      </w:rPr>
    </w:lvl>
    <w:lvl w:ilvl="6" w:tplc="041C0001" w:tentative="1">
      <w:start w:val="1"/>
      <w:numFmt w:val="bullet"/>
      <w:lvlText w:val=""/>
      <w:lvlJc w:val="left"/>
      <w:pPr>
        <w:ind w:left="5670" w:hanging="360"/>
      </w:pPr>
      <w:rPr>
        <w:rFonts w:ascii="Symbol" w:hAnsi="Symbol" w:hint="default"/>
      </w:rPr>
    </w:lvl>
    <w:lvl w:ilvl="7" w:tplc="041C0003" w:tentative="1">
      <w:start w:val="1"/>
      <w:numFmt w:val="bullet"/>
      <w:lvlText w:val="o"/>
      <w:lvlJc w:val="left"/>
      <w:pPr>
        <w:ind w:left="6390" w:hanging="360"/>
      </w:pPr>
      <w:rPr>
        <w:rFonts w:ascii="Courier New" w:hAnsi="Courier New" w:cs="Courier New" w:hint="default"/>
      </w:rPr>
    </w:lvl>
    <w:lvl w:ilvl="8" w:tplc="041C0005" w:tentative="1">
      <w:start w:val="1"/>
      <w:numFmt w:val="bullet"/>
      <w:lvlText w:val=""/>
      <w:lvlJc w:val="left"/>
      <w:pPr>
        <w:ind w:left="7110" w:hanging="360"/>
      </w:pPr>
      <w:rPr>
        <w:rFonts w:ascii="Wingdings" w:hAnsi="Wingdings" w:hint="default"/>
      </w:rPr>
    </w:lvl>
  </w:abstractNum>
  <w:abstractNum w:abstractNumId="13">
    <w:nsid w:val="12091229"/>
    <w:multiLevelType w:val="hybridMultilevel"/>
    <w:tmpl w:val="AC0E33D4"/>
    <w:lvl w:ilvl="0" w:tplc="04090001">
      <w:start w:val="1"/>
      <w:numFmt w:val="bullet"/>
      <w:lvlText w:val=""/>
      <w:lvlJc w:val="left"/>
      <w:pPr>
        <w:tabs>
          <w:tab w:val="num" w:pos="360"/>
        </w:tabs>
        <w:ind w:left="360" w:hanging="360"/>
      </w:pPr>
      <w:rPr>
        <w:rFonts w:ascii="Symbol" w:hAnsi="Symbol" w:hint="default"/>
      </w:rPr>
    </w:lvl>
    <w:lvl w:ilvl="1" w:tplc="B540C704">
      <w:start w:val="624"/>
      <w:numFmt w:val="bullet"/>
      <w:lvlText w:val=""/>
      <w:lvlJc w:val="left"/>
      <w:pPr>
        <w:tabs>
          <w:tab w:val="num" w:pos="1080"/>
        </w:tabs>
        <w:ind w:left="1080" w:hanging="360"/>
      </w:pPr>
      <w:rPr>
        <w:rFonts w:ascii="Symbol" w:hAnsi="Symbol" w:hint="default"/>
      </w:rPr>
    </w:lvl>
    <w:lvl w:ilvl="2" w:tplc="6A247796" w:tentative="1">
      <w:start w:val="1"/>
      <w:numFmt w:val="bullet"/>
      <w:lvlText w:val=""/>
      <w:lvlJc w:val="left"/>
      <w:pPr>
        <w:tabs>
          <w:tab w:val="num" w:pos="1800"/>
        </w:tabs>
        <w:ind w:left="1800" w:hanging="360"/>
      </w:pPr>
      <w:rPr>
        <w:rFonts w:ascii="Symbol" w:hAnsi="Symbol" w:hint="default"/>
      </w:rPr>
    </w:lvl>
    <w:lvl w:ilvl="3" w:tplc="112C1214" w:tentative="1">
      <w:start w:val="1"/>
      <w:numFmt w:val="bullet"/>
      <w:lvlText w:val=""/>
      <w:lvlJc w:val="left"/>
      <w:pPr>
        <w:tabs>
          <w:tab w:val="num" w:pos="2520"/>
        </w:tabs>
        <w:ind w:left="2520" w:hanging="360"/>
      </w:pPr>
      <w:rPr>
        <w:rFonts w:ascii="Symbol" w:hAnsi="Symbol" w:hint="default"/>
      </w:rPr>
    </w:lvl>
    <w:lvl w:ilvl="4" w:tplc="E09697B6" w:tentative="1">
      <w:start w:val="1"/>
      <w:numFmt w:val="bullet"/>
      <w:lvlText w:val=""/>
      <w:lvlJc w:val="left"/>
      <w:pPr>
        <w:tabs>
          <w:tab w:val="num" w:pos="3240"/>
        </w:tabs>
        <w:ind w:left="3240" w:hanging="360"/>
      </w:pPr>
      <w:rPr>
        <w:rFonts w:ascii="Symbol" w:hAnsi="Symbol" w:hint="default"/>
      </w:rPr>
    </w:lvl>
    <w:lvl w:ilvl="5" w:tplc="91FE62C2" w:tentative="1">
      <w:start w:val="1"/>
      <w:numFmt w:val="bullet"/>
      <w:lvlText w:val=""/>
      <w:lvlJc w:val="left"/>
      <w:pPr>
        <w:tabs>
          <w:tab w:val="num" w:pos="3960"/>
        </w:tabs>
        <w:ind w:left="3960" w:hanging="360"/>
      </w:pPr>
      <w:rPr>
        <w:rFonts w:ascii="Symbol" w:hAnsi="Symbol" w:hint="default"/>
      </w:rPr>
    </w:lvl>
    <w:lvl w:ilvl="6" w:tplc="3E36F344" w:tentative="1">
      <w:start w:val="1"/>
      <w:numFmt w:val="bullet"/>
      <w:lvlText w:val=""/>
      <w:lvlJc w:val="left"/>
      <w:pPr>
        <w:tabs>
          <w:tab w:val="num" w:pos="4680"/>
        </w:tabs>
        <w:ind w:left="4680" w:hanging="360"/>
      </w:pPr>
      <w:rPr>
        <w:rFonts w:ascii="Symbol" w:hAnsi="Symbol" w:hint="default"/>
      </w:rPr>
    </w:lvl>
    <w:lvl w:ilvl="7" w:tplc="0A2EC3C4" w:tentative="1">
      <w:start w:val="1"/>
      <w:numFmt w:val="bullet"/>
      <w:lvlText w:val=""/>
      <w:lvlJc w:val="left"/>
      <w:pPr>
        <w:tabs>
          <w:tab w:val="num" w:pos="5400"/>
        </w:tabs>
        <w:ind w:left="5400" w:hanging="360"/>
      </w:pPr>
      <w:rPr>
        <w:rFonts w:ascii="Symbol" w:hAnsi="Symbol" w:hint="default"/>
      </w:rPr>
    </w:lvl>
    <w:lvl w:ilvl="8" w:tplc="E24ADFA4" w:tentative="1">
      <w:start w:val="1"/>
      <w:numFmt w:val="bullet"/>
      <w:lvlText w:val=""/>
      <w:lvlJc w:val="left"/>
      <w:pPr>
        <w:tabs>
          <w:tab w:val="num" w:pos="6120"/>
        </w:tabs>
        <w:ind w:left="6120" w:hanging="360"/>
      </w:pPr>
      <w:rPr>
        <w:rFonts w:ascii="Symbol" w:hAnsi="Symbol" w:hint="default"/>
      </w:rPr>
    </w:lvl>
  </w:abstractNum>
  <w:abstractNum w:abstractNumId="14">
    <w:nsid w:val="128C3E4C"/>
    <w:multiLevelType w:val="multilevel"/>
    <w:tmpl w:val="F10CF31C"/>
    <w:lvl w:ilvl="0">
      <w:start w:val="6"/>
      <w:numFmt w:val="decimal"/>
      <w:lvlText w:val="%1."/>
      <w:lvlJc w:val="left"/>
      <w:pPr>
        <w:ind w:left="450" w:hanging="360"/>
      </w:pPr>
      <w:rPr>
        <w:rFonts w:hint="default"/>
        <w:color w:val="auto"/>
      </w:rPr>
    </w:lvl>
    <w:lvl w:ilvl="1">
      <w:start w:val="1"/>
      <w:numFmt w:val="decimal"/>
      <w:lvlText w:val="%1.%2."/>
      <w:lvlJc w:val="left"/>
      <w:pPr>
        <w:ind w:left="792" w:hanging="432"/>
      </w:pPr>
      <w:rPr>
        <w:rFonts w:hint="default"/>
        <w:b/>
        <w:color w:val="0000FF"/>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4053E07"/>
    <w:multiLevelType w:val="hybridMultilevel"/>
    <w:tmpl w:val="C5C0FC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53D0516"/>
    <w:multiLevelType w:val="hybridMultilevel"/>
    <w:tmpl w:val="8A2C3A9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54D677E"/>
    <w:multiLevelType w:val="hybridMultilevel"/>
    <w:tmpl w:val="9222B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6364D5B"/>
    <w:multiLevelType w:val="hybridMultilevel"/>
    <w:tmpl w:val="DDAEEA36"/>
    <w:lvl w:ilvl="0" w:tplc="611A910C">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78160F3"/>
    <w:multiLevelType w:val="hybridMultilevel"/>
    <w:tmpl w:val="37A8B04E"/>
    <w:lvl w:ilvl="0" w:tplc="611A910C">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17E30E15"/>
    <w:multiLevelType w:val="hybridMultilevel"/>
    <w:tmpl w:val="F44ED7A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9114F6C"/>
    <w:multiLevelType w:val="hybridMultilevel"/>
    <w:tmpl w:val="D9C02A26"/>
    <w:lvl w:ilvl="0" w:tplc="041C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2">
    <w:nsid w:val="1A387A65"/>
    <w:multiLevelType w:val="hybridMultilevel"/>
    <w:tmpl w:val="08F06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A975841"/>
    <w:multiLevelType w:val="hybridMultilevel"/>
    <w:tmpl w:val="DD88497A"/>
    <w:lvl w:ilvl="0" w:tplc="04090001">
      <w:start w:val="1"/>
      <w:numFmt w:val="bullet"/>
      <w:lvlText w:val=""/>
      <w:lvlJc w:val="left"/>
      <w:pPr>
        <w:ind w:left="720" w:hanging="360"/>
      </w:pPr>
      <w:rPr>
        <w:rFonts w:ascii="Symbol" w:hAnsi="Symbol" w:hint="default"/>
      </w:rPr>
    </w:lvl>
    <w:lvl w:ilvl="1" w:tplc="611A910C">
      <w:numFmt w:val="bullet"/>
      <w:lvlText w:val="-"/>
      <w:lvlJc w:val="left"/>
      <w:pPr>
        <w:ind w:left="1440" w:hanging="360"/>
      </w:pPr>
      <w:rPr>
        <w:rFonts w:ascii="Times New Roman" w:eastAsia="Calibri" w:hAnsi="Times New Roman" w:cs="Times New Roman"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4">
    <w:nsid w:val="1B247C44"/>
    <w:multiLevelType w:val="hybridMultilevel"/>
    <w:tmpl w:val="D3FE706A"/>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B9E2C24"/>
    <w:multiLevelType w:val="hybridMultilevel"/>
    <w:tmpl w:val="4B0470AA"/>
    <w:lvl w:ilvl="0" w:tplc="041C0001">
      <w:start w:val="1"/>
      <w:numFmt w:val="bullet"/>
      <w:lvlText w:val=""/>
      <w:lvlJc w:val="left"/>
      <w:pPr>
        <w:ind w:left="720" w:hanging="360"/>
      </w:pPr>
      <w:rPr>
        <w:rFonts w:ascii="Symbol" w:hAnsi="Symbol" w:hint="default"/>
      </w:rPr>
    </w:lvl>
    <w:lvl w:ilvl="1" w:tplc="611A910C">
      <w:numFmt w:val="bullet"/>
      <w:lvlText w:val="-"/>
      <w:lvlJc w:val="left"/>
      <w:pPr>
        <w:ind w:left="1440" w:hanging="360"/>
      </w:pPr>
      <w:rPr>
        <w:rFonts w:ascii="Times New Roman" w:eastAsia="Calibri" w:hAnsi="Times New Roman" w:cs="Times New Roman"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6">
    <w:nsid w:val="1BBC36E2"/>
    <w:multiLevelType w:val="multilevel"/>
    <w:tmpl w:val="8A44DD80"/>
    <w:lvl w:ilvl="0">
      <w:start w:val="4"/>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1C7D29A0"/>
    <w:multiLevelType w:val="hybridMultilevel"/>
    <w:tmpl w:val="28FCC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CD72056"/>
    <w:multiLevelType w:val="hybridMultilevel"/>
    <w:tmpl w:val="571C36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0187B24"/>
    <w:multiLevelType w:val="hybridMultilevel"/>
    <w:tmpl w:val="C5F4B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05C214C"/>
    <w:multiLevelType w:val="hybridMultilevel"/>
    <w:tmpl w:val="BBAA1756"/>
    <w:lvl w:ilvl="0" w:tplc="041C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1">
    <w:nsid w:val="206B73B5"/>
    <w:multiLevelType w:val="hybridMultilevel"/>
    <w:tmpl w:val="B2C4B510"/>
    <w:lvl w:ilvl="0" w:tplc="00CA9CE0">
      <w:numFmt w:val="bullet"/>
      <w:lvlText w:val="-"/>
      <w:lvlJc w:val="left"/>
      <w:pPr>
        <w:ind w:left="720" w:hanging="360"/>
      </w:pPr>
      <w:rPr>
        <w:rFonts w:ascii="Calibri" w:eastAsia="Calibri" w:hAnsi="Calibri" w:cs="Calibri" w:hint="default"/>
      </w:rPr>
    </w:lvl>
    <w:lvl w:ilvl="1" w:tplc="041C0003">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2">
    <w:nsid w:val="20951A14"/>
    <w:multiLevelType w:val="hybridMultilevel"/>
    <w:tmpl w:val="529486A6"/>
    <w:lvl w:ilvl="0" w:tplc="041C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23F51FBE"/>
    <w:multiLevelType w:val="multilevel"/>
    <w:tmpl w:val="ECAC1642"/>
    <w:lvl w:ilvl="0">
      <w:start w:val="9"/>
      <w:numFmt w:val="decimal"/>
      <w:lvlText w:val="%1."/>
      <w:lvlJc w:val="left"/>
      <w:pPr>
        <w:ind w:left="720" w:hanging="360"/>
      </w:pPr>
      <w:rPr>
        <w:rFonts w:eastAsia="Calibri" w:hint="default"/>
        <w:b/>
        <w:i w:val="0"/>
        <w:color w:val="auto"/>
        <w:sz w:val="28"/>
      </w:rPr>
    </w:lvl>
    <w:lvl w:ilvl="1">
      <w:start w:val="1"/>
      <w:numFmt w:val="decimal"/>
      <w:isLgl/>
      <w:lvlText w:val="%1.%2"/>
      <w:lvlJc w:val="left"/>
      <w:pPr>
        <w:ind w:left="720" w:hanging="72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860" w:hanging="144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265" w:hanging="1800"/>
      </w:pPr>
      <w:rPr>
        <w:rFonts w:hint="default"/>
      </w:rPr>
    </w:lvl>
    <w:lvl w:ilvl="8">
      <w:start w:val="1"/>
      <w:numFmt w:val="decimal"/>
      <w:isLgl/>
      <w:lvlText w:val="%1.%2.%3.%4.%5.%6.%7.%8.%9"/>
      <w:lvlJc w:val="left"/>
      <w:pPr>
        <w:ind w:left="2640" w:hanging="2160"/>
      </w:pPr>
      <w:rPr>
        <w:rFonts w:hint="default"/>
      </w:rPr>
    </w:lvl>
  </w:abstractNum>
  <w:abstractNum w:abstractNumId="34">
    <w:nsid w:val="25FC6B32"/>
    <w:multiLevelType w:val="hybridMultilevel"/>
    <w:tmpl w:val="7B2A8D2E"/>
    <w:lvl w:ilvl="0" w:tplc="04090005">
      <w:start w:val="1"/>
      <w:numFmt w:val="bullet"/>
      <w:lvlText w:val=""/>
      <w:lvlJc w:val="left"/>
      <w:pPr>
        <w:ind w:left="1080" w:hanging="360"/>
      </w:pPr>
      <w:rPr>
        <w:rFonts w:ascii="Wingdings" w:hAnsi="Wingdings"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35">
    <w:nsid w:val="262C24CB"/>
    <w:multiLevelType w:val="hybridMultilevel"/>
    <w:tmpl w:val="87D43634"/>
    <w:lvl w:ilvl="0" w:tplc="041C0001">
      <w:start w:val="1"/>
      <w:numFmt w:val="bullet"/>
      <w:lvlText w:val=""/>
      <w:lvlJc w:val="left"/>
      <w:pPr>
        <w:ind w:left="720" w:hanging="360"/>
      </w:pPr>
      <w:rPr>
        <w:rFonts w:ascii="Symbol" w:hAnsi="Symbol" w:hint="default"/>
      </w:rPr>
    </w:lvl>
    <w:lvl w:ilvl="1" w:tplc="611A910C">
      <w:numFmt w:val="bullet"/>
      <w:lvlText w:val="-"/>
      <w:lvlJc w:val="left"/>
      <w:pPr>
        <w:ind w:left="1440" w:hanging="360"/>
      </w:pPr>
      <w:rPr>
        <w:rFonts w:ascii="Times New Roman" w:eastAsia="Calibri" w:hAnsi="Times New Roman" w:cs="Times New Roman"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6">
    <w:nsid w:val="2652630C"/>
    <w:multiLevelType w:val="hybridMultilevel"/>
    <w:tmpl w:val="0DE8B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71D493C"/>
    <w:multiLevelType w:val="hybridMultilevel"/>
    <w:tmpl w:val="6C547054"/>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8">
    <w:nsid w:val="27B16620"/>
    <w:multiLevelType w:val="hybridMultilevel"/>
    <w:tmpl w:val="32A2FB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7EC4A29"/>
    <w:multiLevelType w:val="hybridMultilevel"/>
    <w:tmpl w:val="AD9CA410"/>
    <w:lvl w:ilvl="0" w:tplc="041C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0">
    <w:nsid w:val="29F37F11"/>
    <w:multiLevelType w:val="hybridMultilevel"/>
    <w:tmpl w:val="2BB2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A1E0A89"/>
    <w:multiLevelType w:val="hybridMultilevel"/>
    <w:tmpl w:val="BA90BF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2B410BE6"/>
    <w:multiLevelType w:val="hybridMultilevel"/>
    <w:tmpl w:val="4A365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BBA4025"/>
    <w:multiLevelType w:val="hybridMultilevel"/>
    <w:tmpl w:val="57FA9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BCA1FB2"/>
    <w:multiLevelType w:val="hybridMultilevel"/>
    <w:tmpl w:val="1730E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BCD0A93"/>
    <w:multiLevelType w:val="hybridMultilevel"/>
    <w:tmpl w:val="B9D00E4C"/>
    <w:lvl w:ilvl="0" w:tplc="041C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6">
    <w:nsid w:val="2E273714"/>
    <w:multiLevelType w:val="hybridMultilevel"/>
    <w:tmpl w:val="4D181C7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2EEB1959"/>
    <w:multiLevelType w:val="hybridMultilevel"/>
    <w:tmpl w:val="EFD8E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F8A05E8"/>
    <w:multiLevelType w:val="hybridMultilevel"/>
    <w:tmpl w:val="7D800F70"/>
    <w:lvl w:ilvl="0" w:tplc="04090001">
      <w:start w:val="1"/>
      <w:numFmt w:val="bullet"/>
      <w:lvlText w:val=""/>
      <w:lvlJc w:val="left"/>
      <w:pPr>
        <w:ind w:left="720" w:hanging="360"/>
      </w:pPr>
      <w:rPr>
        <w:rFonts w:ascii="Symbol" w:hAnsi="Symbol" w:hint="default"/>
      </w:rPr>
    </w:lvl>
    <w:lvl w:ilvl="1" w:tplc="611A910C">
      <w:numFmt w:val="bullet"/>
      <w:lvlText w:val="-"/>
      <w:lvlJc w:val="left"/>
      <w:pPr>
        <w:ind w:left="1440" w:hanging="360"/>
      </w:pPr>
      <w:rPr>
        <w:rFonts w:ascii="Times New Roman" w:eastAsia="Calibri" w:hAnsi="Times New Roman" w:cs="Times New Roman"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9">
    <w:nsid w:val="30782C80"/>
    <w:multiLevelType w:val="hybridMultilevel"/>
    <w:tmpl w:val="9C723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2094195"/>
    <w:multiLevelType w:val="hybridMultilevel"/>
    <w:tmpl w:val="5E3E0EA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326E5164"/>
    <w:multiLevelType w:val="hybridMultilevel"/>
    <w:tmpl w:val="F9FCFDA0"/>
    <w:lvl w:ilvl="0" w:tplc="3476F29C">
      <w:start w:val="2"/>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32C74A43"/>
    <w:multiLevelType w:val="hybridMultilevel"/>
    <w:tmpl w:val="4EB881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34A54DE1"/>
    <w:multiLevelType w:val="hybridMultilevel"/>
    <w:tmpl w:val="DC58BEEC"/>
    <w:lvl w:ilvl="0" w:tplc="04090001">
      <w:start w:val="1"/>
      <w:numFmt w:val="bullet"/>
      <w:lvlText w:val=""/>
      <w:lvlJc w:val="left"/>
      <w:pPr>
        <w:ind w:left="720" w:hanging="360"/>
      </w:pPr>
      <w:rPr>
        <w:rFonts w:ascii="Symbol" w:hAnsi="Symbol" w:hint="default"/>
      </w:rPr>
    </w:lvl>
    <w:lvl w:ilvl="1" w:tplc="6EF049E8">
      <w:numFmt w:val="bullet"/>
      <w:lvlText w:val="•"/>
      <w:lvlJc w:val="left"/>
      <w:pPr>
        <w:ind w:left="1440" w:hanging="360"/>
      </w:pPr>
      <w:rPr>
        <w:rFonts w:ascii="Calibri" w:eastAsia="Times New Roman" w:hAnsi="Calibri"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34E90FEC"/>
    <w:multiLevelType w:val="hybridMultilevel"/>
    <w:tmpl w:val="F13878EA"/>
    <w:lvl w:ilvl="0" w:tplc="041C0005">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5">
    <w:nsid w:val="35355E09"/>
    <w:multiLevelType w:val="hybridMultilevel"/>
    <w:tmpl w:val="AF249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6412413"/>
    <w:multiLevelType w:val="hybridMultilevel"/>
    <w:tmpl w:val="6A3C0368"/>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7">
    <w:nsid w:val="367B410D"/>
    <w:multiLevelType w:val="hybridMultilevel"/>
    <w:tmpl w:val="80B89CA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pStyle w:val="Heading3"/>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36B203A8"/>
    <w:multiLevelType w:val="multilevel"/>
    <w:tmpl w:val="91E47AC8"/>
    <w:lvl w:ilvl="0">
      <w:start w:val="1"/>
      <w:numFmt w:val="decimal"/>
      <w:lvlText w:val="%1."/>
      <w:lvlJc w:val="left"/>
      <w:pPr>
        <w:ind w:left="450" w:hanging="360"/>
      </w:pPr>
      <w:rPr>
        <w:rFonts w:hint="default"/>
        <w:color w:val="auto"/>
      </w:rPr>
    </w:lvl>
    <w:lvl w:ilvl="1">
      <w:start w:val="1"/>
      <w:numFmt w:val="decimal"/>
      <w:lvlText w:val="%1.%2."/>
      <w:lvlJc w:val="left"/>
      <w:pPr>
        <w:ind w:left="432" w:hanging="432"/>
      </w:pPr>
      <w:rPr>
        <w:rFonts w:hint="default"/>
        <w:b/>
        <w:color w:val="auto"/>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37921019"/>
    <w:multiLevelType w:val="hybridMultilevel"/>
    <w:tmpl w:val="1E9A62E0"/>
    <w:lvl w:ilvl="0" w:tplc="041C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nsid w:val="395532A9"/>
    <w:multiLevelType w:val="hybridMultilevel"/>
    <w:tmpl w:val="BD3ACB9E"/>
    <w:lvl w:ilvl="0" w:tplc="04090001">
      <w:start w:val="1"/>
      <w:numFmt w:val="bullet"/>
      <w:lvlText w:val=""/>
      <w:lvlJc w:val="left"/>
      <w:pPr>
        <w:ind w:left="990" w:hanging="360"/>
      </w:pPr>
      <w:rPr>
        <w:rFonts w:ascii="Symbol" w:hAnsi="Symbol" w:hint="default"/>
      </w:rPr>
    </w:lvl>
    <w:lvl w:ilvl="1" w:tplc="2DBE46C0">
      <w:start w:val="1"/>
      <w:numFmt w:val="bullet"/>
      <w:lvlText w:val="-"/>
      <w:lvlJc w:val="left"/>
      <w:pPr>
        <w:ind w:left="1170" w:hanging="360"/>
      </w:pPr>
      <w:rPr>
        <w:rFonts w:ascii="Garamond" w:eastAsia="Calibri" w:hAnsi="Garamond" w:cs="Times New Roman"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1">
    <w:nsid w:val="396C200C"/>
    <w:multiLevelType w:val="multilevel"/>
    <w:tmpl w:val="91D2C814"/>
    <w:lvl w:ilvl="0">
      <w:start w:val="3"/>
      <w:numFmt w:val="decimal"/>
      <w:lvlText w:val="%1"/>
      <w:lvlJc w:val="left"/>
      <w:pPr>
        <w:ind w:left="375" w:hanging="375"/>
      </w:pPr>
      <w:rPr>
        <w:rFonts w:hint="default"/>
      </w:rPr>
    </w:lvl>
    <w:lvl w:ilvl="1">
      <w:start w:val="1"/>
      <w:numFmt w:val="decimal"/>
      <w:lvlText w:val="4.%2"/>
      <w:lvlJc w:val="left"/>
      <w:pPr>
        <w:ind w:left="375" w:hanging="375"/>
      </w:pPr>
      <w:rPr>
        <w:rFonts w:hint="default"/>
        <w:i w:val="0"/>
        <w:color w:val="auto"/>
        <w:sz w:val="28"/>
        <w:szCs w:val="24"/>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62">
    <w:nsid w:val="39B05617"/>
    <w:multiLevelType w:val="hybridMultilevel"/>
    <w:tmpl w:val="01D6C90C"/>
    <w:lvl w:ilvl="0" w:tplc="611A910C">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3A58069A"/>
    <w:multiLevelType w:val="hybridMultilevel"/>
    <w:tmpl w:val="D3700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3B7369E9"/>
    <w:multiLevelType w:val="hybridMultilevel"/>
    <w:tmpl w:val="2CC60A34"/>
    <w:lvl w:ilvl="0" w:tplc="6B8E8EFA">
      <w:numFmt w:val="bullet"/>
      <w:lvlText w:val="•"/>
      <w:lvlJc w:val="left"/>
      <w:pPr>
        <w:ind w:left="720" w:hanging="360"/>
      </w:pPr>
      <w:rPr>
        <w:rFonts w:ascii="Book Antiqua" w:eastAsia="Calibri"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C9272C8"/>
    <w:multiLevelType w:val="hybridMultilevel"/>
    <w:tmpl w:val="AFF605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3EF04DAC"/>
    <w:multiLevelType w:val="hybridMultilevel"/>
    <w:tmpl w:val="121E65B8"/>
    <w:lvl w:ilvl="0" w:tplc="0409000D">
      <w:start w:val="1"/>
      <w:numFmt w:val="bullet"/>
      <w:lvlText w:val=""/>
      <w:lvlJc w:val="left"/>
      <w:pPr>
        <w:ind w:left="720" w:hanging="360"/>
      </w:pPr>
      <w:rPr>
        <w:rFonts w:ascii="Wingdings" w:hAnsi="Wingdings"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67">
    <w:nsid w:val="3F044436"/>
    <w:multiLevelType w:val="hybridMultilevel"/>
    <w:tmpl w:val="3E98D3C2"/>
    <w:lvl w:ilvl="0" w:tplc="041C0001">
      <w:start w:val="1"/>
      <w:numFmt w:val="bullet"/>
      <w:lvlText w:val=""/>
      <w:lvlJc w:val="left"/>
      <w:pPr>
        <w:ind w:left="63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F210D09"/>
    <w:multiLevelType w:val="hybridMultilevel"/>
    <w:tmpl w:val="66809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F293857"/>
    <w:multiLevelType w:val="hybridMultilevel"/>
    <w:tmpl w:val="344A7E72"/>
    <w:lvl w:ilvl="0" w:tplc="2DBE46C0">
      <w:start w:val="1"/>
      <w:numFmt w:val="bullet"/>
      <w:lvlText w:val="-"/>
      <w:lvlJc w:val="left"/>
      <w:pPr>
        <w:ind w:left="774" w:hanging="360"/>
      </w:pPr>
      <w:rPr>
        <w:rFonts w:ascii="Garamond" w:eastAsia="Calibri" w:hAnsi="Garamond" w:cs="Times New Roman"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0">
    <w:nsid w:val="40E377FE"/>
    <w:multiLevelType w:val="hybridMultilevel"/>
    <w:tmpl w:val="9960996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1">
    <w:nsid w:val="41CF5E05"/>
    <w:multiLevelType w:val="multilevel"/>
    <w:tmpl w:val="489626CA"/>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2">
    <w:nsid w:val="425325A4"/>
    <w:multiLevelType w:val="hybridMultilevel"/>
    <w:tmpl w:val="6F52F898"/>
    <w:lvl w:ilvl="0" w:tplc="041C0001">
      <w:start w:val="1"/>
      <w:numFmt w:val="bullet"/>
      <w:lvlText w:val=""/>
      <w:lvlJc w:val="left"/>
      <w:pPr>
        <w:ind w:left="360" w:hanging="360"/>
      </w:pPr>
      <w:rPr>
        <w:rFonts w:ascii="Symbol" w:hAnsi="Symbol"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73">
    <w:nsid w:val="42EC25B6"/>
    <w:multiLevelType w:val="hybridMultilevel"/>
    <w:tmpl w:val="C1C4141A"/>
    <w:lvl w:ilvl="0" w:tplc="041C0001">
      <w:start w:val="1"/>
      <w:numFmt w:val="bullet"/>
      <w:lvlText w:val=""/>
      <w:lvlJc w:val="left"/>
      <w:pPr>
        <w:ind w:left="720" w:hanging="360"/>
      </w:pPr>
      <w:rPr>
        <w:rFonts w:ascii="Symbol" w:hAnsi="Symbol" w:hint="default"/>
      </w:rPr>
    </w:lvl>
    <w:lvl w:ilvl="1" w:tplc="611A910C">
      <w:numFmt w:val="bullet"/>
      <w:lvlText w:val="-"/>
      <w:lvlJc w:val="left"/>
      <w:pPr>
        <w:ind w:left="1440" w:hanging="360"/>
      </w:pPr>
      <w:rPr>
        <w:rFonts w:ascii="Times New Roman" w:eastAsia="Calibri" w:hAnsi="Times New Roman" w:cs="Times New Roman" w:hint="default"/>
      </w:rPr>
    </w:lvl>
    <w:lvl w:ilvl="2" w:tplc="041C0005">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4">
    <w:nsid w:val="433E5FE6"/>
    <w:multiLevelType w:val="hybridMultilevel"/>
    <w:tmpl w:val="A46C2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48C627D"/>
    <w:multiLevelType w:val="hybridMultilevel"/>
    <w:tmpl w:val="01E4F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4F701B7"/>
    <w:multiLevelType w:val="multilevel"/>
    <w:tmpl w:val="403820F8"/>
    <w:lvl w:ilvl="0">
      <w:start w:val="6"/>
      <w:numFmt w:val="decimal"/>
      <w:lvlText w:val="%1"/>
      <w:lvlJc w:val="left"/>
      <w:pPr>
        <w:ind w:left="360" w:hanging="360"/>
      </w:pPr>
      <w:rPr>
        <w:rFonts w:hint="default"/>
      </w:rPr>
    </w:lvl>
    <w:lvl w:ilvl="1">
      <w:start w:val="1"/>
      <w:numFmt w:val="decimal"/>
      <w:lvlText w:val="5.%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7">
    <w:nsid w:val="47350104"/>
    <w:multiLevelType w:val="hybridMultilevel"/>
    <w:tmpl w:val="2D347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E14BED"/>
    <w:multiLevelType w:val="hybridMultilevel"/>
    <w:tmpl w:val="F11A2A8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48231842"/>
    <w:multiLevelType w:val="hybridMultilevel"/>
    <w:tmpl w:val="AC466D72"/>
    <w:lvl w:ilvl="0" w:tplc="041C0001">
      <w:start w:val="1"/>
      <w:numFmt w:val="bullet"/>
      <w:lvlText w:val=""/>
      <w:lvlJc w:val="left"/>
      <w:pPr>
        <w:ind w:left="720" w:hanging="360"/>
      </w:pPr>
      <w:rPr>
        <w:rFonts w:ascii="Symbol" w:hAnsi="Symbol" w:hint="default"/>
      </w:rPr>
    </w:lvl>
    <w:lvl w:ilvl="1" w:tplc="611A910C">
      <w:numFmt w:val="bullet"/>
      <w:lvlText w:val="-"/>
      <w:lvlJc w:val="left"/>
      <w:pPr>
        <w:ind w:left="1440" w:hanging="360"/>
      </w:pPr>
      <w:rPr>
        <w:rFonts w:ascii="Times New Roman" w:eastAsia="Calibri" w:hAnsi="Times New Roman" w:cs="Times New Roman"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0">
    <w:nsid w:val="4A920096"/>
    <w:multiLevelType w:val="hybridMultilevel"/>
    <w:tmpl w:val="254C2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4B205770"/>
    <w:multiLevelType w:val="hybridMultilevel"/>
    <w:tmpl w:val="7226B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4DA03C59"/>
    <w:multiLevelType w:val="hybridMultilevel"/>
    <w:tmpl w:val="6EE2489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nsid w:val="4DD76F0F"/>
    <w:multiLevelType w:val="hybridMultilevel"/>
    <w:tmpl w:val="E63C321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4">
    <w:nsid w:val="4E0F5869"/>
    <w:multiLevelType w:val="hybridMultilevel"/>
    <w:tmpl w:val="FDDEB7D0"/>
    <w:lvl w:ilvl="0" w:tplc="041C0001">
      <w:start w:val="1"/>
      <w:numFmt w:val="bullet"/>
      <w:lvlText w:val=""/>
      <w:lvlJc w:val="left"/>
      <w:pPr>
        <w:ind w:left="1080" w:hanging="360"/>
      </w:pPr>
      <w:rPr>
        <w:rFonts w:ascii="Symbol" w:hAnsi="Symbol"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85">
    <w:nsid w:val="4F9720B2"/>
    <w:multiLevelType w:val="hybridMultilevel"/>
    <w:tmpl w:val="082CE9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FBB7475"/>
    <w:multiLevelType w:val="hybridMultilevel"/>
    <w:tmpl w:val="19EA68DE"/>
    <w:lvl w:ilvl="0" w:tplc="041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1376676"/>
    <w:multiLevelType w:val="hybridMultilevel"/>
    <w:tmpl w:val="048E0466"/>
    <w:lvl w:ilvl="0" w:tplc="EF08A168">
      <w:start w:val="1"/>
      <w:numFmt w:val="bullet"/>
      <w:lvlText w:val="-"/>
      <w:lvlJc w:val="left"/>
      <w:pPr>
        <w:ind w:left="720" w:hanging="360"/>
      </w:pPr>
      <w:rPr>
        <w:rFonts w:ascii="Garamond" w:eastAsia="Calibri" w:hAnsi="Garamond" w:cs="Verdana" w:hint="default"/>
      </w:rPr>
    </w:lvl>
    <w:lvl w:ilvl="1" w:tplc="611A910C">
      <w:numFmt w:val="bullet"/>
      <w:lvlText w:val="-"/>
      <w:lvlJc w:val="left"/>
      <w:pPr>
        <w:ind w:left="1440" w:hanging="360"/>
      </w:pPr>
      <w:rPr>
        <w:rFonts w:ascii="Times New Roman" w:eastAsia="Calibri" w:hAnsi="Times New Roman" w:cs="Times New Roman" w:hint="default"/>
      </w:rPr>
    </w:lvl>
    <w:lvl w:ilvl="2" w:tplc="611A910C">
      <w:numFmt w:val="bullet"/>
      <w:lvlText w:val="-"/>
      <w:lvlJc w:val="left"/>
      <w:pPr>
        <w:ind w:left="2160" w:hanging="360"/>
      </w:pPr>
      <w:rPr>
        <w:rFonts w:ascii="Times New Roman" w:eastAsia="Calibri" w:hAnsi="Times New Roman" w:cs="Times New Roman"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8">
    <w:nsid w:val="515E4D60"/>
    <w:multiLevelType w:val="hybridMultilevel"/>
    <w:tmpl w:val="5A6EA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1950065"/>
    <w:multiLevelType w:val="hybridMultilevel"/>
    <w:tmpl w:val="B8485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1B601F5"/>
    <w:multiLevelType w:val="hybridMultilevel"/>
    <w:tmpl w:val="CE7278F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357663D"/>
    <w:multiLevelType w:val="hybridMultilevel"/>
    <w:tmpl w:val="12E8AB12"/>
    <w:lvl w:ilvl="0" w:tplc="3BFCB134">
      <w:start w:val="3"/>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537916B0"/>
    <w:multiLevelType w:val="hybridMultilevel"/>
    <w:tmpl w:val="3F167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4255FAF"/>
    <w:multiLevelType w:val="hybridMultilevel"/>
    <w:tmpl w:val="09F8B4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54BB3FB9"/>
    <w:multiLevelType w:val="hybridMultilevel"/>
    <w:tmpl w:val="ADFAD8CE"/>
    <w:lvl w:ilvl="0" w:tplc="D370264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4BD15D9"/>
    <w:multiLevelType w:val="hybridMultilevel"/>
    <w:tmpl w:val="3E104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62B073B"/>
    <w:multiLevelType w:val="hybridMultilevel"/>
    <w:tmpl w:val="FFFABAEA"/>
    <w:lvl w:ilvl="0" w:tplc="0409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97">
    <w:nsid w:val="56972EA1"/>
    <w:multiLevelType w:val="hybridMultilevel"/>
    <w:tmpl w:val="6CFEBBCE"/>
    <w:lvl w:ilvl="0" w:tplc="2DBE46C0">
      <w:start w:val="1"/>
      <w:numFmt w:val="bullet"/>
      <w:lvlText w:val="-"/>
      <w:lvlJc w:val="left"/>
      <w:pPr>
        <w:ind w:left="1080" w:hanging="360"/>
      </w:pPr>
      <w:rPr>
        <w:rFonts w:ascii="Garamond" w:eastAsia="Calibri" w:hAnsi="Garamond"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5726053C"/>
    <w:multiLevelType w:val="hybridMultilevel"/>
    <w:tmpl w:val="1854BCDA"/>
    <w:lvl w:ilvl="0" w:tplc="041C0001">
      <w:start w:val="1"/>
      <w:numFmt w:val="bullet"/>
      <w:lvlText w:val=""/>
      <w:lvlJc w:val="left"/>
      <w:pPr>
        <w:ind w:left="720" w:hanging="360"/>
      </w:pPr>
      <w:rPr>
        <w:rFonts w:ascii="Symbol" w:hAnsi="Symbol" w:hint="default"/>
      </w:rPr>
    </w:lvl>
    <w:lvl w:ilvl="1" w:tplc="611A910C">
      <w:numFmt w:val="bullet"/>
      <w:lvlText w:val="-"/>
      <w:lvlJc w:val="left"/>
      <w:pPr>
        <w:ind w:left="1440" w:hanging="360"/>
      </w:pPr>
      <w:rPr>
        <w:rFonts w:ascii="Times New Roman" w:eastAsia="Calibri" w:hAnsi="Times New Roman" w:cs="Times New Roman" w:hint="default"/>
      </w:rPr>
    </w:lvl>
    <w:lvl w:ilvl="2" w:tplc="041C0005">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99">
    <w:nsid w:val="573268A1"/>
    <w:multiLevelType w:val="hybridMultilevel"/>
    <w:tmpl w:val="62747772"/>
    <w:lvl w:ilvl="0" w:tplc="611A910C">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0">
    <w:nsid w:val="57744117"/>
    <w:multiLevelType w:val="hybridMultilevel"/>
    <w:tmpl w:val="1AE2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78E1CA4"/>
    <w:multiLevelType w:val="hybridMultilevel"/>
    <w:tmpl w:val="0E506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7A469AA"/>
    <w:multiLevelType w:val="hybridMultilevel"/>
    <w:tmpl w:val="BC14F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99E498C"/>
    <w:multiLevelType w:val="hybridMultilevel"/>
    <w:tmpl w:val="697E9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B42471D"/>
    <w:multiLevelType w:val="hybridMultilevel"/>
    <w:tmpl w:val="8B4C4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BEB1AB8"/>
    <w:multiLevelType w:val="hybridMultilevel"/>
    <w:tmpl w:val="7B42FD3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nsid w:val="5C9E6B0F"/>
    <w:multiLevelType w:val="hybridMultilevel"/>
    <w:tmpl w:val="BD58542E"/>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7">
    <w:nsid w:val="5DF01754"/>
    <w:multiLevelType w:val="hybridMultilevel"/>
    <w:tmpl w:val="5ECC4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E5B1FCB"/>
    <w:multiLevelType w:val="hybridMultilevel"/>
    <w:tmpl w:val="7F24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ED60F1B"/>
    <w:multiLevelType w:val="multilevel"/>
    <w:tmpl w:val="ECF87D72"/>
    <w:lvl w:ilvl="0">
      <w:start w:val="3"/>
      <w:numFmt w:val="decimal"/>
      <w:lvlText w:val="%1"/>
      <w:lvlJc w:val="left"/>
      <w:pPr>
        <w:ind w:left="375" w:hanging="375"/>
      </w:pPr>
      <w:rPr>
        <w:rFonts w:hint="default"/>
      </w:rPr>
    </w:lvl>
    <w:lvl w:ilvl="1">
      <w:start w:val="1"/>
      <w:numFmt w:val="none"/>
      <w:lvlText w:val="3.3 "/>
      <w:lvlJc w:val="left"/>
      <w:pPr>
        <w:ind w:left="375" w:hanging="375"/>
      </w:pPr>
      <w:rPr>
        <w:rFonts w:hint="default"/>
        <w:i w:val="0"/>
        <w:color w:val="auto"/>
        <w:sz w:val="28"/>
        <w:szCs w:val="24"/>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10">
    <w:nsid w:val="5FC43DC2"/>
    <w:multiLevelType w:val="hybridMultilevel"/>
    <w:tmpl w:val="DD604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0585674"/>
    <w:multiLevelType w:val="hybridMultilevel"/>
    <w:tmpl w:val="C0226362"/>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60850C24"/>
    <w:multiLevelType w:val="hybridMultilevel"/>
    <w:tmpl w:val="C800307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3">
    <w:nsid w:val="611A660D"/>
    <w:multiLevelType w:val="hybridMultilevel"/>
    <w:tmpl w:val="77A0D5B2"/>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14">
    <w:nsid w:val="614B38C6"/>
    <w:multiLevelType w:val="hybridMultilevel"/>
    <w:tmpl w:val="A7AAB7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nsid w:val="62046FD5"/>
    <w:multiLevelType w:val="hybridMultilevel"/>
    <w:tmpl w:val="0B0E794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25657C0"/>
    <w:multiLevelType w:val="hybridMultilevel"/>
    <w:tmpl w:val="31725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2A52E24"/>
    <w:multiLevelType w:val="hybridMultilevel"/>
    <w:tmpl w:val="BA12E7BA"/>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118">
    <w:nsid w:val="632C61AF"/>
    <w:multiLevelType w:val="multilevel"/>
    <w:tmpl w:val="52F268D2"/>
    <w:lvl w:ilvl="0">
      <w:start w:val="8"/>
      <w:numFmt w:val="decimal"/>
      <w:lvlText w:val="%1."/>
      <w:lvlJc w:val="left"/>
      <w:pPr>
        <w:ind w:left="360" w:hanging="360"/>
      </w:pPr>
      <w:rPr>
        <w:rFonts w:hint="default"/>
        <w:color w:val="auto"/>
      </w:rPr>
    </w:lvl>
    <w:lvl w:ilvl="1">
      <w:start w:val="1"/>
      <w:numFmt w:val="decimal"/>
      <w:lvlText w:val="%1.%2."/>
      <w:lvlJc w:val="left"/>
      <w:pPr>
        <w:ind w:left="432" w:hanging="432"/>
      </w:pPr>
      <w:rPr>
        <w:rFonts w:hint="default"/>
        <w:b/>
        <w:color w:val="0000FF"/>
        <w:sz w:val="24"/>
      </w:rPr>
    </w:lvl>
    <w:lvl w:ilvl="2">
      <w:start w:val="1"/>
      <w:numFmt w:val="decimal"/>
      <w:lvlText w:val="%1.%2.%3."/>
      <w:lvlJc w:val="left"/>
      <w:pPr>
        <w:ind w:left="1134" w:hanging="504"/>
      </w:pPr>
      <w:rPr>
        <w:rFonts w:hint="default"/>
      </w:rPr>
    </w:lvl>
    <w:lvl w:ilvl="3">
      <w:start w:val="1"/>
      <w:numFmt w:val="decimal"/>
      <w:lvlText w:val="%1.%2.%3.%4."/>
      <w:lvlJc w:val="left"/>
      <w:pPr>
        <w:ind w:left="1638" w:hanging="648"/>
      </w:pPr>
      <w:rPr>
        <w:rFonts w:hint="default"/>
      </w:rPr>
    </w:lvl>
    <w:lvl w:ilvl="4">
      <w:start w:val="1"/>
      <w:numFmt w:val="decimal"/>
      <w:lvlText w:val="%1.%2.%3.%4.%5."/>
      <w:lvlJc w:val="left"/>
      <w:pPr>
        <w:ind w:left="2142" w:hanging="792"/>
      </w:pPr>
      <w:rPr>
        <w:rFonts w:hint="default"/>
      </w:rPr>
    </w:lvl>
    <w:lvl w:ilvl="5">
      <w:start w:val="1"/>
      <w:numFmt w:val="decimal"/>
      <w:lvlText w:val="%1.%2.%3.%4.%5.%6."/>
      <w:lvlJc w:val="left"/>
      <w:pPr>
        <w:ind w:left="2646" w:hanging="936"/>
      </w:pPr>
      <w:rPr>
        <w:rFonts w:hint="default"/>
      </w:rPr>
    </w:lvl>
    <w:lvl w:ilvl="6">
      <w:start w:val="1"/>
      <w:numFmt w:val="decimal"/>
      <w:lvlText w:val="%1.%2.%3.%4.%5.%6.%7."/>
      <w:lvlJc w:val="left"/>
      <w:pPr>
        <w:ind w:left="3150" w:hanging="1080"/>
      </w:pPr>
      <w:rPr>
        <w:rFonts w:hint="default"/>
      </w:rPr>
    </w:lvl>
    <w:lvl w:ilvl="7">
      <w:start w:val="1"/>
      <w:numFmt w:val="decimal"/>
      <w:lvlText w:val="%1.%2.%3.%4.%5.%6.%7.%8."/>
      <w:lvlJc w:val="left"/>
      <w:pPr>
        <w:ind w:left="3654" w:hanging="1224"/>
      </w:pPr>
      <w:rPr>
        <w:rFonts w:hint="default"/>
      </w:rPr>
    </w:lvl>
    <w:lvl w:ilvl="8">
      <w:start w:val="1"/>
      <w:numFmt w:val="decimal"/>
      <w:lvlText w:val="%1.%2.%3.%4.%5.%6.%7.%8.%9."/>
      <w:lvlJc w:val="left"/>
      <w:pPr>
        <w:ind w:left="4230" w:hanging="1440"/>
      </w:pPr>
      <w:rPr>
        <w:rFonts w:hint="default"/>
      </w:rPr>
    </w:lvl>
  </w:abstractNum>
  <w:abstractNum w:abstractNumId="119">
    <w:nsid w:val="64544105"/>
    <w:multiLevelType w:val="hybridMultilevel"/>
    <w:tmpl w:val="636A3E8C"/>
    <w:lvl w:ilvl="0" w:tplc="0409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0">
    <w:nsid w:val="669000D8"/>
    <w:multiLevelType w:val="hybridMultilevel"/>
    <w:tmpl w:val="15D87E4E"/>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1">
    <w:nsid w:val="66C55165"/>
    <w:multiLevelType w:val="hybridMultilevel"/>
    <w:tmpl w:val="B25ABBB8"/>
    <w:lvl w:ilvl="0" w:tplc="041C0001">
      <w:start w:val="1"/>
      <w:numFmt w:val="bullet"/>
      <w:lvlText w:val=""/>
      <w:lvlJc w:val="left"/>
      <w:pPr>
        <w:ind w:left="780" w:hanging="360"/>
      </w:pPr>
      <w:rPr>
        <w:rFonts w:ascii="Symbol" w:hAnsi="Symbol" w:hint="default"/>
      </w:rPr>
    </w:lvl>
    <w:lvl w:ilvl="1" w:tplc="041C0003" w:tentative="1">
      <w:start w:val="1"/>
      <w:numFmt w:val="bullet"/>
      <w:lvlText w:val="o"/>
      <w:lvlJc w:val="left"/>
      <w:pPr>
        <w:ind w:left="1500" w:hanging="360"/>
      </w:pPr>
      <w:rPr>
        <w:rFonts w:ascii="Courier New" w:hAnsi="Courier New" w:cs="Courier New" w:hint="default"/>
      </w:rPr>
    </w:lvl>
    <w:lvl w:ilvl="2" w:tplc="041C0005" w:tentative="1">
      <w:start w:val="1"/>
      <w:numFmt w:val="bullet"/>
      <w:lvlText w:val=""/>
      <w:lvlJc w:val="left"/>
      <w:pPr>
        <w:ind w:left="2220" w:hanging="360"/>
      </w:pPr>
      <w:rPr>
        <w:rFonts w:ascii="Wingdings" w:hAnsi="Wingdings" w:hint="default"/>
      </w:rPr>
    </w:lvl>
    <w:lvl w:ilvl="3" w:tplc="041C0001" w:tentative="1">
      <w:start w:val="1"/>
      <w:numFmt w:val="bullet"/>
      <w:lvlText w:val=""/>
      <w:lvlJc w:val="left"/>
      <w:pPr>
        <w:ind w:left="2940" w:hanging="360"/>
      </w:pPr>
      <w:rPr>
        <w:rFonts w:ascii="Symbol" w:hAnsi="Symbol" w:hint="default"/>
      </w:rPr>
    </w:lvl>
    <w:lvl w:ilvl="4" w:tplc="041C0003" w:tentative="1">
      <w:start w:val="1"/>
      <w:numFmt w:val="bullet"/>
      <w:lvlText w:val="o"/>
      <w:lvlJc w:val="left"/>
      <w:pPr>
        <w:ind w:left="3660" w:hanging="360"/>
      </w:pPr>
      <w:rPr>
        <w:rFonts w:ascii="Courier New" w:hAnsi="Courier New" w:cs="Courier New" w:hint="default"/>
      </w:rPr>
    </w:lvl>
    <w:lvl w:ilvl="5" w:tplc="041C0005" w:tentative="1">
      <w:start w:val="1"/>
      <w:numFmt w:val="bullet"/>
      <w:lvlText w:val=""/>
      <w:lvlJc w:val="left"/>
      <w:pPr>
        <w:ind w:left="4380" w:hanging="360"/>
      </w:pPr>
      <w:rPr>
        <w:rFonts w:ascii="Wingdings" w:hAnsi="Wingdings" w:hint="default"/>
      </w:rPr>
    </w:lvl>
    <w:lvl w:ilvl="6" w:tplc="041C0001" w:tentative="1">
      <w:start w:val="1"/>
      <w:numFmt w:val="bullet"/>
      <w:lvlText w:val=""/>
      <w:lvlJc w:val="left"/>
      <w:pPr>
        <w:ind w:left="5100" w:hanging="360"/>
      </w:pPr>
      <w:rPr>
        <w:rFonts w:ascii="Symbol" w:hAnsi="Symbol" w:hint="default"/>
      </w:rPr>
    </w:lvl>
    <w:lvl w:ilvl="7" w:tplc="041C0003" w:tentative="1">
      <w:start w:val="1"/>
      <w:numFmt w:val="bullet"/>
      <w:lvlText w:val="o"/>
      <w:lvlJc w:val="left"/>
      <w:pPr>
        <w:ind w:left="5820" w:hanging="360"/>
      </w:pPr>
      <w:rPr>
        <w:rFonts w:ascii="Courier New" w:hAnsi="Courier New" w:cs="Courier New" w:hint="default"/>
      </w:rPr>
    </w:lvl>
    <w:lvl w:ilvl="8" w:tplc="041C0005" w:tentative="1">
      <w:start w:val="1"/>
      <w:numFmt w:val="bullet"/>
      <w:lvlText w:val=""/>
      <w:lvlJc w:val="left"/>
      <w:pPr>
        <w:ind w:left="6540" w:hanging="360"/>
      </w:pPr>
      <w:rPr>
        <w:rFonts w:ascii="Wingdings" w:hAnsi="Wingdings" w:hint="default"/>
      </w:rPr>
    </w:lvl>
  </w:abstractNum>
  <w:abstractNum w:abstractNumId="122">
    <w:nsid w:val="67284817"/>
    <w:multiLevelType w:val="hybridMultilevel"/>
    <w:tmpl w:val="BBA2EA0A"/>
    <w:lvl w:ilvl="0" w:tplc="3476F29C">
      <w:start w:val="2"/>
      <w:numFmt w:val="bullet"/>
      <w:lvlText w:val="-"/>
      <w:lvlJc w:val="left"/>
      <w:pPr>
        <w:ind w:left="720" w:hanging="360"/>
      </w:pPr>
      <w:rPr>
        <w:rFonts w:ascii="Calibri" w:eastAsia="Calibri" w:hAnsi="Calibri" w:cs="Times New Roman" w:hint="default"/>
      </w:rPr>
    </w:lvl>
    <w:lvl w:ilvl="1" w:tplc="611A910C">
      <w:numFmt w:val="bullet"/>
      <w:lvlText w:val="-"/>
      <w:lvlJc w:val="left"/>
      <w:pPr>
        <w:ind w:left="1440" w:hanging="360"/>
      </w:pPr>
      <w:rPr>
        <w:rFonts w:ascii="Times New Roman" w:eastAsia="Calibr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67631DDF"/>
    <w:multiLevelType w:val="hybridMultilevel"/>
    <w:tmpl w:val="76B8F8A0"/>
    <w:lvl w:ilvl="0" w:tplc="04090001">
      <w:start w:val="1"/>
      <w:numFmt w:val="bullet"/>
      <w:lvlText w:val=""/>
      <w:lvlJc w:val="left"/>
      <w:pPr>
        <w:ind w:left="720" w:hanging="360"/>
      </w:pPr>
      <w:rPr>
        <w:rFonts w:ascii="Symbol" w:hAnsi="Symbol" w:hint="default"/>
      </w:rPr>
    </w:lvl>
    <w:lvl w:ilvl="1" w:tplc="611A910C">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86715FB"/>
    <w:multiLevelType w:val="hybridMultilevel"/>
    <w:tmpl w:val="C2B29F90"/>
    <w:lvl w:ilvl="0" w:tplc="EF08A168">
      <w:start w:val="1"/>
      <w:numFmt w:val="bullet"/>
      <w:lvlText w:val="-"/>
      <w:lvlJc w:val="left"/>
      <w:pPr>
        <w:ind w:left="720" w:hanging="360"/>
      </w:pPr>
      <w:rPr>
        <w:rFonts w:ascii="Garamond" w:eastAsia="Calibri" w:hAnsi="Garamond" w:cs="Verdana" w:hint="default"/>
      </w:rPr>
    </w:lvl>
    <w:lvl w:ilvl="1" w:tplc="611A910C">
      <w:numFmt w:val="bullet"/>
      <w:lvlText w:val="-"/>
      <w:lvlJc w:val="left"/>
      <w:pPr>
        <w:ind w:left="1440" w:hanging="360"/>
      </w:pPr>
      <w:rPr>
        <w:rFonts w:ascii="Times New Roman" w:eastAsia="Calibri" w:hAnsi="Times New Roman" w:cs="Times New Roman"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5">
    <w:nsid w:val="6AE23740"/>
    <w:multiLevelType w:val="multilevel"/>
    <w:tmpl w:val="BA96826C"/>
    <w:lvl w:ilvl="0">
      <w:start w:val="1"/>
      <w:numFmt w:val="none"/>
      <w:lvlText w:val="3.1"/>
      <w:lvlJc w:val="left"/>
      <w:pPr>
        <w:ind w:left="360" w:hanging="360"/>
      </w:pPr>
      <w:rPr>
        <w:rFonts w:hint="default"/>
      </w:rPr>
    </w:lvl>
    <w:lvl w:ilvl="1">
      <w:start w:val="1"/>
      <w:numFmt w:val="decimal"/>
      <w:lvlText w:val="3%1.%2."/>
      <w:lvlJc w:val="left"/>
      <w:pPr>
        <w:ind w:left="792" w:hanging="432"/>
      </w:pPr>
      <w:rPr>
        <w:rFonts w:hint="default"/>
      </w:rPr>
    </w:lvl>
    <w:lvl w:ilvl="2">
      <w:start w:val="1"/>
      <w:numFmt w:val="none"/>
      <w:lvlText w:val="5.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nsid w:val="6B7D58E8"/>
    <w:multiLevelType w:val="hybridMultilevel"/>
    <w:tmpl w:val="212CE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BCC4A69"/>
    <w:multiLevelType w:val="hybridMultilevel"/>
    <w:tmpl w:val="E9DC6018"/>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8">
    <w:nsid w:val="6C333AE4"/>
    <w:multiLevelType w:val="hybridMultilevel"/>
    <w:tmpl w:val="E7229462"/>
    <w:lvl w:ilvl="0" w:tplc="3BFCB134">
      <w:start w:val="3"/>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nsid w:val="6C6B22E6"/>
    <w:multiLevelType w:val="multilevel"/>
    <w:tmpl w:val="58DC692C"/>
    <w:lvl w:ilvl="0">
      <w:start w:val="6"/>
      <w:numFmt w:val="decimal"/>
      <w:lvlText w:val="%1"/>
      <w:lvlJc w:val="left"/>
      <w:pPr>
        <w:ind w:left="360" w:hanging="360"/>
      </w:pPr>
      <w:rPr>
        <w:rFonts w:hint="default"/>
      </w:rPr>
    </w:lvl>
    <w:lvl w:ilvl="1">
      <w:start w:val="1"/>
      <w:numFmt w:val="none"/>
      <w:lvlText w:val="6.3"/>
      <w:lvlJc w:val="left"/>
      <w:pPr>
        <w:ind w:left="36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30">
    <w:nsid w:val="6D44132D"/>
    <w:multiLevelType w:val="hybridMultilevel"/>
    <w:tmpl w:val="95125A7E"/>
    <w:lvl w:ilvl="0" w:tplc="611A910C">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1">
    <w:nsid w:val="6DC85FB4"/>
    <w:multiLevelType w:val="hybridMultilevel"/>
    <w:tmpl w:val="A80EAEEC"/>
    <w:lvl w:ilvl="0" w:tplc="611A910C">
      <w:numFmt w:val="bullet"/>
      <w:lvlText w:val="-"/>
      <w:lvlJc w:val="left"/>
      <w:pPr>
        <w:ind w:left="1800" w:hanging="360"/>
      </w:pPr>
      <w:rPr>
        <w:rFonts w:ascii="Times New Roman" w:eastAsia="Calibri" w:hAnsi="Times New Roman" w:cs="Times New Roman" w:hint="default"/>
      </w:rPr>
    </w:lvl>
    <w:lvl w:ilvl="1" w:tplc="041C0003" w:tentative="1">
      <w:start w:val="1"/>
      <w:numFmt w:val="bullet"/>
      <w:lvlText w:val="o"/>
      <w:lvlJc w:val="left"/>
      <w:pPr>
        <w:ind w:left="2520" w:hanging="360"/>
      </w:pPr>
      <w:rPr>
        <w:rFonts w:ascii="Courier New" w:hAnsi="Courier New" w:cs="Courier New" w:hint="default"/>
      </w:rPr>
    </w:lvl>
    <w:lvl w:ilvl="2" w:tplc="041C0005" w:tentative="1">
      <w:start w:val="1"/>
      <w:numFmt w:val="bullet"/>
      <w:lvlText w:val=""/>
      <w:lvlJc w:val="left"/>
      <w:pPr>
        <w:ind w:left="3240" w:hanging="360"/>
      </w:pPr>
      <w:rPr>
        <w:rFonts w:ascii="Wingdings" w:hAnsi="Wingdings" w:hint="default"/>
      </w:rPr>
    </w:lvl>
    <w:lvl w:ilvl="3" w:tplc="041C0001" w:tentative="1">
      <w:start w:val="1"/>
      <w:numFmt w:val="bullet"/>
      <w:lvlText w:val=""/>
      <w:lvlJc w:val="left"/>
      <w:pPr>
        <w:ind w:left="3960" w:hanging="360"/>
      </w:pPr>
      <w:rPr>
        <w:rFonts w:ascii="Symbol" w:hAnsi="Symbol" w:hint="default"/>
      </w:rPr>
    </w:lvl>
    <w:lvl w:ilvl="4" w:tplc="041C0003" w:tentative="1">
      <w:start w:val="1"/>
      <w:numFmt w:val="bullet"/>
      <w:lvlText w:val="o"/>
      <w:lvlJc w:val="left"/>
      <w:pPr>
        <w:ind w:left="4680" w:hanging="360"/>
      </w:pPr>
      <w:rPr>
        <w:rFonts w:ascii="Courier New" w:hAnsi="Courier New" w:cs="Courier New" w:hint="default"/>
      </w:rPr>
    </w:lvl>
    <w:lvl w:ilvl="5" w:tplc="041C0005" w:tentative="1">
      <w:start w:val="1"/>
      <w:numFmt w:val="bullet"/>
      <w:lvlText w:val=""/>
      <w:lvlJc w:val="left"/>
      <w:pPr>
        <w:ind w:left="5400" w:hanging="360"/>
      </w:pPr>
      <w:rPr>
        <w:rFonts w:ascii="Wingdings" w:hAnsi="Wingdings" w:hint="default"/>
      </w:rPr>
    </w:lvl>
    <w:lvl w:ilvl="6" w:tplc="041C0001" w:tentative="1">
      <w:start w:val="1"/>
      <w:numFmt w:val="bullet"/>
      <w:lvlText w:val=""/>
      <w:lvlJc w:val="left"/>
      <w:pPr>
        <w:ind w:left="6120" w:hanging="360"/>
      </w:pPr>
      <w:rPr>
        <w:rFonts w:ascii="Symbol" w:hAnsi="Symbol" w:hint="default"/>
      </w:rPr>
    </w:lvl>
    <w:lvl w:ilvl="7" w:tplc="041C0003" w:tentative="1">
      <w:start w:val="1"/>
      <w:numFmt w:val="bullet"/>
      <w:lvlText w:val="o"/>
      <w:lvlJc w:val="left"/>
      <w:pPr>
        <w:ind w:left="6840" w:hanging="360"/>
      </w:pPr>
      <w:rPr>
        <w:rFonts w:ascii="Courier New" w:hAnsi="Courier New" w:cs="Courier New" w:hint="default"/>
      </w:rPr>
    </w:lvl>
    <w:lvl w:ilvl="8" w:tplc="041C0005" w:tentative="1">
      <w:start w:val="1"/>
      <w:numFmt w:val="bullet"/>
      <w:lvlText w:val=""/>
      <w:lvlJc w:val="left"/>
      <w:pPr>
        <w:ind w:left="7560" w:hanging="360"/>
      </w:pPr>
      <w:rPr>
        <w:rFonts w:ascii="Wingdings" w:hAnsi="Wingdings" w:hint="default"/>
      </w:rPr>
    </w:lvl>
  </w:abstractNum>
  <w:abstractNum w:abstractNumId="132">
    <w:nsid w:val="6E8E7A2A"/>
    <w:multiLevelType w:val="hybridMultilevel"/>
    <w:tmpl w:val="E960BEC2"/>
    <w:lvl w:ilvl="0" w:tplc="041C0001">
      <w:start w:val="1"/>
      <w:numFmt w:val="bullet"/>
      <w:lvlText w:val=""/>
      <w:lvlJc w:val="left"/>
      <w:pPr>
        <w:ind w:left="720" w:hanging="360"/>
      </w:pPr>
      <w:rPr>
        <w:rFonts w:ascii="Symbol" w:hAnsi="Symbol" w:hint="default"/>
      </w:rPr>
    </w:lvl>
    <w:lvl w:ilvl="1" w:tplc="611A910C">
      <w:numFmt w:val="bullet"/>
      <w:lvlText w:val="-"/>
      <w:lvlJc w:val="left"/>
      <w:pPr>
        <w:ind w:left="1440" w:hanging="360"/>
      </w:pPr>
      <w:rPr>
        <w:rFonts w:ascii="Times New Roman" w:eastAsia="Calibri" w:hAnsi="Times New Roman" w:cs="Times New Roman"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33">
    <w:nsid w:val="6E947F09"/>
    <w:multiLevelType w:val="hybridMultilevel"/>
    <w:tmpl w:val="8A64A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EC55C4D"/>
    <w:multiLevelType w:val="hybridMultilevel"/>
    <w:tmpl w:val="9D36A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F997E0B"/>
    <w:multiLevelType w:val="hybridMultilevel"/>
    <w:tmpl w:val="0C486594"/>
    <w:lvl w:ilvl="0" w:tplc="041C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36">
    <w:nsid w:val="6FF3090F"/>
    <w:multiLevelType w:val="hybridMultilevel"/>
    <w:tmpl w:val="73589802"/>
    <w:lvl w:ilvl="0" w:tplc="04090001">
      <w:start w:val="1"/>
      <w:numFmt w:val="bullet"/>
      <w:lvlText w:val=""/>
      <w:lvlJc w:val="left"/>
      <w:pPr>
        <w:ind w:left="720" w:hanging="360"/>
      </w:pPr>
      <w:rPr>
        <w:rFonts w:ascii="Symbol" w:hAnsi="Symbol" w:hint="default"/>
      </w:rPr>
    </w:lvl>
    <w:lvl w:ilvl="1" w:tplc="611A910C">
      <w:numFmt w:val="bullet"/>
      <w:lvlText w:val="-"/>
      <w:lvlJc w:val="left"/>
      <w:pPr>
        <w:ind w:left="1440" w:hanging="360"/>
      </w:pPr>
      <w:rPr>
        <w:rFonts w:ascii="Times New Roman" w:eastAsia="Calibr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0942BC5"/>
    <w:multiLevelType w:val="hybridMultilevel"/>
    <w:tmpl w:val="B352D8C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38">
    <w:nsid w:val="709F644B"/>
    <w:multiLevelType w:val="hybridMultilevel"/>
    <w:tmpl w:val="B4B62D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0DE4351"/>
    <w:multiLevelType w:val="hybridMultilevel"/>
    <w:tmpl w:val="6D0E143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0">
    <w:nsid w:val="71441A53"/>
    <w:multiLevelType w:val="hybridMultilevel"/>
    <w:tmpl w:val="44167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1871AAC"/>
    <w:multiLevelType w:val="hybridMultilevel"/>
    <w:tmpl w:val="CA4084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71C85724"/>
    <w:multiLevelType w:val="hybridMultilevel"/>
    <w:tmpl w:val="6076164E"/>
    <w:lvl w:ilvl="0" w:tplc="04090001">
      <w:start w:val="1"/>
      <w:numFmt w:val="bullet"/>
      <w:lvlText w:val=""/>
      <w:lvlJc w:val="left"/>
      <w:pPr>
        <w:ind w:left="360" w:hanging="360"/>
      </w:pPr>
      <w:rPr>
        <w:rFonts w:ascii="Symbol" w:hAnsi="Symbol"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143">
    <w:nsid w:val="726559A2"/>
    <w:multiLevelType w:val="hybridMultilevel"/>
    <w:tmpl w:val="CB32C7A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nsid w:val="728F19B0"/>
    <w:multiLevelType w:val="hybridMultilevel"/>
    <w:tmpl w:val="4038E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2D2283C"/>
    <w:multiLevelType w:val="hybridMultilevel"/>
    <w:tmpl w:val="92DA4234"/>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46">
    <w:nsid w:val="73D5053E"/>
    <w:multiLevelType w:val="hybridMultilevel"/>
    <w:tmpl w:val="83DE47EE"/>
    <w:lvl w:ilvl="0" w:tplc="041C0001">
      <w:start w:val="1"/>
      <w:numFmt w:val="bullet"/>
      <w:lvlText w:val=""/>
      <w:lvlJc w:val="left"/>
      <w:pPr>
        <w:ind w:left="720" w:hanging="360"/>
      </w:pPr>
      <w:rPr>
        <w:rFonts w:ascii="Symbol" w:hAnsi="Symbol" w:hint="default"/>
      </w:rPr>
    </w:lvl>
    <w:lvl w:ilvl="1" w:tplc="611A910C">
      <w:numFmt w:val="bullet"/>
      <w:lvlText w:val="-"/>
      <w:lvlJc w:val="left"/>
      <w:pPr>
        <w:ind w:left="1440" w:hanging="360"/>
      </w:pPr>
      <w:rPr>
        <w:rFonts w:ascii="Times New Roman" w:eastAsia="Calibri" w:hAnsi="Times New Roman" w:cs="Times New Roman"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47">
    <w:nsid w:val="74466296"/>
    <w:multiLevelType w:val="hybridMultilevel"/>
    <w:tmpl w:val="B448DFF0"/>
    <w:lvl w:ilvl="0" w:tplc="041C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48">
    <w:nsid w:val="74773B80"/>
    <w:multiLevelType w:val="hybridMultilevel"/>
    <w:tmpl w:val="9B221450"/>
    <w:lvl w:ilvl="0" w:tplc="041C0001">
      <w:start w:val="1"/>
      <w:numFmt w:val="bullet"/>
      <w:lvlText w:val=""/>
      <w:lvlJc w:val="left"/>
      <w:pPr>
        <w:ind w:left="630" w:hanging="360"/>
      </w:pPr>
      <w:rPr>
        <w:rFonts w:ascii="Symbol" w:hAnsi="Symbol" w:hint="default"/>
      </w:rPr>
    </w:lvl>
    <w:lvl w:ilvl="1" w:tplc="611A910C">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4B87FAA"/>
    <w:multiLevelType w:val="hybridMultilevel"/>
    <w:tmpl w:val="E1F61BC8"/>
    <w:lvl w:ilvl="0" w:tplc="041C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50">
    <w:nsid w:val="74C04092"/>
    <w:multiLevelType w:val="hybridMultilevel"/>
    <w:tmpl w:val="C742C552"/>
    <w:lvl w:ilvl="0" w:tplc="611A910C">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1">
    <w:nsid w:val="753D78DE"/>
    <w:multiLevelType w:val="hybridMultilevel"/>
    <w:tmpl w:val="5F861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53F4AB9"/>
    <w:multiLevelType w:val="hybridMultilevel"/>
    <w:tmpl w:val="8012AA2A"/>
    <w:lvl w:ilvl="0" w:tplc="041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757F547C"/>
    <w:multiLevelType w:val="multilevel"/>
    <w:tmpl w:val="A5D090DC"/>
    <w:lvl w:ilvl="0">
      <w:start w:val="5"/>
      <w:numFmt w:val="decimal"/>
      <w:lvlText w:val="%1."/>
      <w:lvlJc w:val="left"/>
      <w:pPr>
        <w:ind w:left="360" w:hanging="360"/>
      </w:pPr>
      <w:rPr>
        <w:rFonts w:hint="default"/>
        <w:color w:val="auto"/>
      </w:rPr>
    </w:lvl>
    <w:lvl w:ilvl="1">
      <w:start w:val="1"/>
      <w:numFmt w:val="decimal"/>
      <w:lvlText w:val="%1.%2."/>
      <w:lvlJc w:val="left"/>
      <w:pPr>
        <w:ind w:left="432" w:hanging="432"/>
      </w:pPr>
      <w:rPr>
        <w:rFonts w:hint="default"/>
        <w:b/>
        <w:color w:val="0000FF"/>
        <w:sz w:val="24"/>
      </w:rPr>
    </w:lvl>
    <w:lvl w:ilvl="2">
      <w:start w:val="1"/>
      <w:numFmt w:val="decimal"/>
      <w:lvlText w:val="%1.%2.%3."/>
      <w:lvlJc w:val="left"/>
      <w:pPr>
        <w:ind w:left="1134" w:hanging="504"/>
      </w:pPr>
      <w:rPr>
        <w:rFonts w:hint="default"/>
      </w:rPr>
    </w:lvl>
    <w:lvl w:ilvl="3">
      <w:start w:val="1"/>
      <w:numFmt w:val="decimal"/>
      <w:lvlText w:val="%1.%2.%3.%4."/>
      <w:lvlJc w:val="left"/>
      <w:pPr>
        <w:ind w:left="1638" w:hanging="648"/>
      </w:pPr>
      <w:rPr>
        <w:rFonts w:hint="default"/>
      </w:rPr>
    </w:lvl>
    <w:lvl w:ilvl="4">
      <w:start w:val="1"/>
      <w:numFmt w:val="decimal"/>
      <w:lvlText w:val="%1.%2.%3.%4.%5."/>
      <w:lvlJc w:val="left"/>
      <w:pPr>
        <w:ind w:left="2142" w:hanging="792"/>
      </w:pPr>
      <w:rPr>
        <w:rFonts w:hint="default"/>
      </w:rPr>
    </w:lvl>
    <w:lvl w:ilvl="5">
      <w:start w:val="1"/>
      <w:numFmt w:val="decimal"/>
      <w:lvlText w:val="%1.%2.%3.%4.%5.%6."/>
      <w:lvlJc w:val="left"/>
      <w:pPr>
        <w:ind w:left="2646" w:hanging="936"/>
      </w:pPr>
      <w:rPr>
        <w:rFonts w:hint="default"/>
      </w:rPr>
    </w:lvl>
    <w:lvl w:ilvl="6">
      <w:start w:val="1"/>
      <w:numFmt w:val="decimal"/>
      <w:lvlText w:val="%1.%2.%3.%4.%5.%6.%7."/>
      <w:lvlJc w:val="left"/>
      <w:pPr>
        <w:ind w:left="3150" w:hanging="1080"/>
      </w:pPr>
      <w:rPr>
        <w:rFonts w:hint="default"/>
      </w:rPr>
    </w:lvl>
    <w:lvl w:ilvl="7">
      <w:start w:val="1"/>
      <w:numFmt w:val="decimal"/>
      <w:lvlText w:val="%1.%2.%3.%4.%5.%6.%7.%8."/>
      <w:lvlJc w:val="left"/>
      <w:pPr>
        <w:ind w:left="3654" w:hanging="1224"/>
      </w:pPr>
      <w:rPr>
        <w:rFonts w:hint="default"/>
      </w:rPr>
    </w:lvl>
    <w:lvl w:ilvl="8">
      <w:start w:val="1"/>
      <w:numFmt w:val="decimal"/>
      <w:lvlText w:val="%1.%2.%3.%4.%5.%6.%7.%8.%9."/>
      <w:lvlJc w:val="left"/>
      <w:pPr>
        <w:ind w:left="4230" w:hanging="1440"/>
      </w:pPr>
      <w:rPr>
        <w:rFonts w:hint="default"/>
      </w:rPr>
    </w:lvl>
  </w:abstractNum>
  <w:abstractNum w:abstractNumId="154">
    <w:nsid w:val="782320B3"/>
    <w:multiLevelType w:val="multilevel"/>
    <w:tmpl w:val="1AEC5508"/>
    <w:lvl w:ilvl="0">
      <w:start w:val="7"/>
      <w:numFmt w:val="decimal"/>
      <w:lvlText w:val="%1."/>
      <w:lvlJc w:val="left"/>
      <w:pPr>
        <w:ind w:left="360" w:hanging="360"/>
      </w:pPr>
      <w:rPr>
        <w:rFonts w:hint="default"/>
        <w:color w:val="auto"/>
      </w:rPr>
    </w:lvl>
    <w:lvl w:ilvl="1">
      <w:start w:val="1"/>
      <w:numFmt w:val="decimal"/>
      <w:lvlText w:val="%1.%2."/>
      <w:lvlJc w:val="left"/>
      <w:pPr>
        <w:ind w:left="432" w:hanging="432"/>
      </w:pPr>
      <w:rPr>
        <w:rFonts w:hint="default"/>
        <w:b/>
        <w:color w:val="auto"/>
        <w:sz w:val="24"/>
      </w:rPr>
    </w:lvl>
    <w:lvl w:ilvl="2">
      <w:start w:val="1"/>
      <w:numFmt w:val="decimal"/>
      <w:lvlText w:val="%1.%2.%3."/>
      <w:lvlJc w:val="left"/>
      <w:pPr>
        <w:ind w:left="1134" w:hanging="504"/>
      </w:pPr>
      <w:rPr>
        <w:rFonts w:hint="default"/>
      </w:rPr>
    </w:lvl>
    <w:lvl w:ilvl="3">
      <w:start w:val="1"/>
      <w:numFmt w:val="decimal"/>
      <w:lvlText w:val="%1.%2.%3.%4."/>
      <w:lvlJc w:val="left"/>
      <w:pPr>
        <w:ind w:left="1638" w:hanging="648"/>
      </w:pPr>
      <w:rPr>
        <w:rFonts w:hint="default"/>
      </w:rPr>
    </w:lvl>
    <w:lvl w:ilvl="4">
      <w:start w:val="1"/>
      <w:numFmt w:val="decimal"/>
      <w:lvlText w:val="%1.%2.%3.%4.%5."/>
      <w:lvlJc w:val="left"/>
      <w:pPr>
        <w:ind w:left="2142" w:hanging="792"/>
      </w:pPr>
      <w:rPr>
        <w:rFonts w:hint="default"/>
      </w:rPr>
    </w:lvl>
    <w:lvl w:ilvl="5">
      <w:start w:val="1"/>
      <w:numFmt w:val="decimal"/>
      <w:lvlText w:val="%1.%2.%3.%4.%5.%6."/>
      <w:lvlJc w:val="left"/>
      <w:pPr>
        <w:ind w:left="2646" w:hanging="936"/>
      </w:pPr>
      <w:rPr>
        <w:rFonts w:hint="default"/>
      </w:rPr>
    </w:lvl>
    <w:lvl w:ilvl="6">
      <w:start w:val="1"/>
      <w:numFmt w:val="decimal"/>
      <w:lvlText w:val="%1.%2.%3.%4.%5.%6.%7."/>
      <w:lvlJc w:val="left"/>
      <w:pPr>
        <w:ind w:left="3150" w:hanging="1080"/>
      </w:pPr>
      <w:rPr>
        <w:rFonts w:hint="default"/>
      </w:rPr>
    </w:lvl>
    <w:lvl w:ilvl="7">
      <w:start w:val="1"/>
      <w:numFmt w:val="decimal"/>
      <w:lvlText w:val="%1.%2.%3.%4.%5.%6.%7.%8."/>
      <w:lvlJc w:val="left"/>
      <w:pPr>
        <w:ind w:left="3654" w:hanging="1224"/>
      </w:pPr>
      <w:rPr>
        <w:rFonts w:hint="default"/>
      </w:rPr>
    </w:lvl>
    <w:lvl w:ilvl="8">
      <w:start w:val="1"/>
      <w:numFmt w:val="decimal"/>
      <w:lvlText w:val="%1.%2.%3.%4.%5.%6.%7.%8.%9."/>
      <w:lvlJc w:val="left"/>
      <w:pPr>
        <w:ind w:left="4230" w:hanging="1440"/>
      </w:pPr>
      <w:rPr>
        <w:rFonts w:hint="default"/>
      </w:rPr>
    </w:lvl>
  </w:abstractNum>
  <w:abstractNum w:abstractNumId="155">
    <w:nsid w:val="78994B01"/>
    <w:multiLevelType w:val="hybridMultilevel"/>
    <w:tmpl w:val="A678E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79CB41B2"/>
    <w:multiLevelType w:val="hybridMultilevel"/>
    <w:tmpl w:val="3C78590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B942568"/>
    <w:multiLevelType w:val="hybridMultilevel"/>
    <w:tmpl w:val="759A0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7C4821D2"/>
    <w:multiLevelType w:val="multilevel"/>
    <w:tmpl w:val="E516203E"/>
    <w:lvl w:ilvl="0">
      <w:start w:val="3"/>
      <w:numFmt w:val="decimal"/>
      <w:lvlText w:val="%1"/>
      <w:lvlJc w:val="left"/>
      <w:pPr>
        <w:ind w:left="375" w:hanging="375"/>
      </w:pPr>
      <w:rPr>
        <w:rFonts w:ascii="Times New Roman" w:hAnsi="Times New Roman" w:cs="Times New Roman" w:hint="default"/>
        <w:i w:val="0"/>
      </w:rPr>
    </w:lvl>
    <w:lvl w:ilvl="1">
      <w:start w:val="1"/>
      <w:numFmt w:val="none"/>
      <w:lvlText w:val="3.6 "/>
      <w:lvlJc w:val="left"/>
      <w:pPr>
        <w:ind w:left="375" w:hanging="375"/>
      </w:pPr>
      <w:rPr>
        <w:rFonts w:hint="default"/>
        <w:i w:val="0"/>
        <w:color w:val="auto"/>
        <w:sz w:val="28"/>
        <w:szCs w:val="24"/>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59">
    <w:nsid w:val="7CAF233A"/>
    <w:multiLevelType w:val="hybridMultilevel"/>
    <w:tmpl w:val="25069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7D22562D"/>
    <w:multiLevelType w:val="hybridMultilevel"/>
    <w:tmpl w:val="A33239D2"/>
    <w:lvl w:ilvl="0" w:tplc="611A910C">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nsid w:val="7E2C2332"/>
    <w:multiLevelType w:val="hybridMultilevel"/>
    <w:tmpl w:val="A44ECE64"/>
    <w:lvl w:ilvl="0" w:tplc="2DBE46C0">
      <w:start w:val="1"/>
      <w:numFmt w:val="bullet"/>
      <w:lvlText w:val="-"/>
      <w:lvlJc w:val="left"/>
      <w:pPr>
        <w:ind w:left="720" w:hanging="360"/>
      </w:pPr>
      <w:rPr>
        <w:rFonts w:ascii="Garamond" w:eastAsia="Calibri" w:hAnsi="Garamond"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62">
    <w:nsid w:val="7EFD0BD8"/>
    <w:multiLevelType w:val="hybridMultilevel"/>
    <w:tmpl w:val="1DAE12C6"/>
    <w:lvl w:ilvl="0" w:tplc="04090001">
      <w:start w:val="1"/>
      <w:numFmt w:val="bullet"/>
      <w:lvlText w:val=""/>
      <w:lvlJc w:val="left"/>
      <w:pPr>
        <w:ind w:left="720" w:hanging="360"/>
      </w:pPr>
      <w:rPr>
        <w:rFonts w:ascii="Symbol" w:hAnsi="Symbol" w:hint="default"/>
      </w:rPr>
    </w:lvl>
    <w:lvl w:ilvl="1" w:tplc="7714ADE2">
      <w:start w:val="1"/>
      <w:numFmt w:val="decimal"/>
      <w:lvlText w:val="%2."/>
      <w:lvlJc w:val="left"/>
      <w:pPr>
        <w:ind w:left="1440" w:hanging="360"/>
      </w:pPr>
      <w:rPr>
        <w:rFonts w:ascii="Times New Roman" w:eastAsia="Times New Roman" w:hAnsi="Times New Roman" w:cs="Times New Roman"/>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7"/>
  </w:num>
  <w:num w:numId="2">
    <w:abstractNumId w:val="58"/>
  </w:num>
  <w:num w:numId="3">
    <w:abstractNumId w:val="76"/>
    <w:lvlOverride w:ilvl="0">
      <w:lvl w:ilvl="0">
        <w:start w:val="6"/>
        <w:numFmt w:val="decimal"/>
        <w:lvlText w:val="%1"/>
        <w:lvlJc w:val="left"/>
        <w:pPr>
          <w:ind w:left="360" w:hanging="360"/>
        </w:pPr>
        <w:rPr>
          <w:rFonts w:hint="default"/>
        </w:rPr>
      </w:lvl>
    </w:lvlOverride>
    <w:lvlOverride w:ilvl="1">
      <w:lvl w:ilvl="1">
        <w:start w:val="1"/>
        <w:numFmt w:val="decimal"/>
        <w:lvlText w:val="8.%2"/>
        <w:lvlJc w:val="left"/>
        <w:pPr>
          <w:ind w:left="360" w:hanging="360"/>
        </w:pPr>
        <w:rPr>
          <w:rFonts w:hint="default"/>
        </w:rPr>
      </w:lvl>
    </w:lvlOverride>
    <w:lvlOverride w:ilvl="2">
      <w:lvl w:ilvl="2">
        <w:start w:val="1"/>
        <w:numFmt w:val="decimal"/>
        <w:lvlText w:val="%1.%2.%3"/>
        <w:lvlJc w:val="left"/>
        <w:pPr>
          <w:ind w:left="1560" w:hanging="720"/>
        </w:pPr>
        <w:rPr>
          <w:rFonts w:hint="default"/>
        </w:rPr>
      </w:lvl>
    </w:lvlOverride>
    <w:lvlOverride w:ilvl="3">
      <w:lvl w:ilvl="3">
        <w:start w:val="1"/>
        <w:numFmt w:val="decimal"/>
        <w:lvlText w:val="%1.%2.%3.%4"/>
        <w:lvlJc w:val="left"/>
        <w:pPr>
          <w:ind w:left="1980" w:hanging="720"/>
        </w:pPr>
        <w:rPr>
          <w:rFonts w:hint="default"/>
        </w:rPr>
      </w:lvl>
    </w:lvlOverride>
    <w:lvlOverride w:ilvl="4">
      <w:lvl w:ilvl="4">
        <w:start w:val="1"/>
        <w:numFmt w:val="decimal"/>
        <w:lvlText w:val="%1.%2.%3.%4.%5"/>
        <w:lvlJc w:val="left"/>
        <w:pPr>
          <w:ind w:left="2760" w:hanging="1080"/>
        </w:pPr>
        <w:rPr>
          <w:rFonts w:hint="default"/>
        </w:rPr>
      </w:lvl>
    </w:lvlOverride>
    <w:lvlOverride w:ilvl="5">
      <w:lvl w:ilvl="5">
        <w:start w:val="1"/>
        <w:numFmt w:val="decimal"/>
        <w:lvlText w:val="%1.%2.%3.%4.%5.%6"/>
        <w:lvlJc w:val="left"/>
        <w:pPr>
          <w:ind w:left="3180" w:hanging="1080"/>
        </w:pPr>
        <w:rPr>
          <w:rFonts w:hint="default"/>
        </w:rPr>
      </w:lvl>
    </w:lvlOverride>
    <w:lvlOverride w:ilvl="6">
      <w:lvl w:ilvl="6">
        <w:start w:val="1"/>
        <w:numFmt w:val="decimal"/>
        <w:lvlText w:val="%1.%2.%3.%4.%5.%6.%7"/>
        <w:lvlJc w:val="left"/>
        <w:pPr>
          <w:ind w:left="3960" w:hanging="1440"/>
        </w:pPr>
        <w:rPr>
          <w:rFonts w:hint="default"/>
        </w:rPr>
      </w:lvl>
    </w:lvlOverride>
    <w:lvlOverride w:ilvl="7">
      <w:lvl w:ilvl="7">
        <w:start w:val="1"/>
        <w:numFmt w:val="decimal"/>
        <w:lvlText w:val="%1.%2.%3.%4.%5.%6.%7.%8"/>
        <w:lvlJc w:val="left"/>
        <w:pPr>
          <w:ind w:left="4380" w:hanging="1440"/>
        </w:pPr>
        <w:rPr>
          <w:rFonts w:hint="default"/>
        </w:rPr>
      </w:lvl>
    </w:lvlOverride>
    <w:lvlOverride w:ilvl="8">
      <w:lvl w:ilvl="8">
        <w:start w:val="1"/>
        <w:numFmt w:val="decimal"/>
        <w:lvlText w:val="%1.%2.%3.%4.%5.%6.%7.%8.%9"/>
        <w:lvlJc w:val="left"/>
        <w:pPr>
          <w:ind w:left="5160" w:hanging="1800"/>
        </w:pPr>
        <w:rPr>
          <w:rFonts w:hint="default"/>
        </w:rPr>
      </w:lvl>
    </w:lvlOverride>
  </w:num>
  <w:num w:numId="4">
    <w:abstractNumId w:val="84"/>
  </w:num>
  <w:num w:numId="5">
    <w:abstractNumId w:val="93"/>
  </w:num>
  <w:num w:numId="6">
    <w:abstractNumId w:val="109"/>
  </w:num>
  <w:num w:numId="7">
    <w:abstractNumId w:val="145"/>
  </w:num>
  <w:num w:numId="8">
    <w:abstractNumId w:val="52"/>
  </w:num>
  <w:num w:numId="9">
    <w:abstractNumId w:val="32"/>
  </w:num>
  <w:num w:numId="10">
    <w:abstractNumId w:val="85"/>
  </w:num>
  <w:num w:numId="11">
    <w:abstractNumId w:val="60"/>
  </w:num>
  <w:num w:numId="12">
    <w:abstractNumId w:val="154"/>
  </w:num>
  <w:num w:numId="13">
    <w:abstractNumId w:val="24"/>
  </w:num>
  <w:num w:numId="14">
    <w:abstractNumId w:val="138"/>
  </w:num>
  <w:num w:numId="15">
    <w:abstractNumId w:val="161"/>
  </w:num>
  <w:num w:numId="16">
    <w:abstractNumId w:val="97"/>
  </w:num>
  <w:num w:numId="17">
    <w:abstractNumId w:val="70"/>
  </w:num>
  <w:num w:numId="18">
    <w:abstractNumId w:val="16"/>
  </w:num>
  <w:num w:numId="19">
    <w:abstractNumId w:val="143"/>
  </w:num>
  <w:num w:numId="20">
    <w:abstractNumId w:val="69"/>
  </w:num>
  <w:num w:numId="21">
    <w:abstractNumId w:val="137"/>
  </w:num>
  <w:num w:numId="22">
    <w:abstractNumId w:val="43"/>
  </w:num>
  <w:num w:numId="23">
    <w:abstractNumId w:val="111"/>
  </w:num>
  <w:num w:numId="24">
    <w:abstractNumId w:val="116"/>
  </w:num>
  <w:num w:numId="25">
    <w:abstractNumId w:val="88"/>
  </w:num>
  <w:num w:numId="26">
    <w:abstractNumId w:val="151"/>
  </w:num>
  <w:num w:numId="27">
    <w:abstractNumId w:val="114"/>
  </w:num>
  <w:num w:numId="28">
    <w:abstractNumId w:val="13"/>
  </w:num>
  <w:num w:numId="29">
    <w:abstractNumId w:val="101"/>
  </w:num>
  <w:num w:numId="30">
    <w:abstractNumId w:val="121"/>
  </w:num>
  <w:num w:numId="31">
    <w:abstractNumId w:val="92"/>
  </w:num>
  <w:num w:numId="32">
    <w:abstractNumId w:val="95"/>
  </w:num>
  <w:num w:numId="33">
    <w:abstractNumId w:val="65"/>
  </w:num>
  <w:num w:numId="34">
    <w:abstractNumId w:val="11"/>
  </w:num>
  <w:num w:numId="35">
    <w:abstractNumId w:val="72"/>
  </w:num>
  <w:num w:numId="36">
    <w:abstractNumId w:val="33"/>
  </w:num>
  <w:num w:numId="37">
    <w:abstractNumId w:val="153"/>
  </w:num>
  <w:num w:numId="38">
    <w:abstractNumId w:val="118"/>
  </w:num>
  <w:num w:numId="39">
    <w:abstractNumId w:val="31"/>
  </w:num>
  <w:num w:numId="40">
    <w:abstractNumId w:val="17"/>
  </w:num>
  <w:num w:numId="41">
    <w:abstractNumId w:val="128"/>
  </w:num>
  <w:num w:numId="42">
    <w:abstractNumId w:val="91"/>
  </w:num>
  <w:num w:numId="43">
    <w:abstractNumId w:val="96"/>
  </w:num>
  <w:num w:numId="44">
    <w:abstractNumId w:val="10"/>
  </w:num>
  <w:num w:numId="45">
    <w:abstractNumId w:val="34"/>
  </w:num>
  <w:num w:numId="46">
    <w:abstractNumId w:val="81"/>
  </w:num>
  <w:num w:numId="47">
    <w:abstractNumId w:val="5"/>
  </w:num>
  <w:num w:numId="48">
    <w:abstractNumId w:val="80"/>
  </w:num>
  <w:num w:numId="49">
    <w:abstractNumId w:val="14"/>
  </w:num>
  <w:num w:numId="50">
    <w:abstractNumId w:val="27"/>
  </w:num>
  <w:num w:numId="51">
    <w:abstractNumId w:val="147"/>
  </w:num>
  <w:num w:numId="52">
    <w:abstractNumId w:val="67"/>
  </w:num>
  <w:num w:numId="53">
    <w:abstractNumId w:val="7"/>
  </w:num>
  <w:num w:numId="54">
    <w:abstractNumId w:val="159"/>
  </w:num>
  <w:num w:numId="55">
    <w:abstractNumId w:val="1"/>
  </w:num>
  <w:num w:numId="56">
    <w:abstractNumId w:val="74"/>
  </w:num>
  <w:num w:numId="57">
    <w:abstractNumId w:val="135"/>
  </w:num>
  <w:num w:numId="58">
    <w:abstractNumId w:val="77"/>
  </w:num>
  <w:num w:numId="59">
    <w:abstractNumId w:val="47"/>
  </w:num>
  <w:num w:numId="60">
    <w:abstractNumId w:val="104"/>
  </w:num>
  <w:num w:numId="61">
    <w:abstractNumId w:val="162"/>
  </w:num>
  <w:num w:numId="62">
    <w:abstractNumId w:val="21"/>
  </w:num>
  <w:num w:numId="63">
    <w:abstractNumId w:val="51"/>
  </w:num>
  <w:num w:numId="64">
    <w:abstractNumId w:val="64"/>
  </w:num>
  <w:num w:numId="65">
    <w:abstractNumId w:val="83"/>
  </w:num>
  <w:num w:numId="66">
    <w:abstractNumId w:val="30"/>
  </w:num>
  <w:num w:numId="67">
    <w:abstractNumId w:val="36"/>
  </w:num>
  <w:num w:numId="68">
    <w:abstractNumId w:val="39"/>
  </w:num>
  <w:num w:numId="69">
    <w:abstractNumId w:val="2"/>
  </w:num>
  <w:num w:numId="70">
    <w:abstractNumId w:val="127"/>
  </w:num>
  <w:num w:numId="71">
    <w:abstractNumId w:val="120"/>
  </w:num>
  <w:num w:numId="72">
    <w:abstractNumId w:val="37"/>
  </w:num>
  <w:num w:numId="73">
    <w:abstractNumId w:val="149"/>
  </w:num>
  <w:num w:numId="74">
    <w:abstractNumId w:val="55"/>
  </w:num>
  <w:num w:numId="75">
    <w:abstractNumId w:val="94"/>
  </w:num>
  <w:num w:numId="76">
    <w:abstractNumId w:val="75"/>
  </w:num>
  <w:num w:numId="77">
    <w:abstractNumId w:val="113"/>
  </w:num>
  <w:num w:numId="78">
    <w:abstractNumId w:val="133"/>
  </w:num>
  <w:num w:numId="79">
    <w:abstractNumId w:val="22"/>
  </w:num>
  <w:num w:numId="80">
    <w:abstractNumId w:val="139"/>
  </w:num>
  <w:num w:numId="81">
    <w:abstractNumId w:val="68"/>
  </w:num>
  <w:num w:numId="82">
    <w:abstractNumId w:val="49"/>
  </w:num>
  <w:num w:numId="83">
    <w:abstractNumId w:val="63"/>
  </w:num>
  <w:num w:numId="84">
    <w:abstractNumId w:val="134"/>
  </w:num>
  <w:num w:numId="85">
    <w:abstractNumId w:val="0"/>
  </w:num>
  <w:num w:numId="86">
    <w:abstractNumId w:val="142"/>
  </w:num>
  <w:num w:numId="87">
    <w:abstractNumId w:val="42"/>
  </w:num>
  <w:num w:numId="88">
    <w:abstractNumId w:val="108"/>
  </w:num>
  <w:num w:numId="89">
    <w:abstractNumId w:val="105"/>
  </w:num>
  <w:num w:numId="90">
    <w:abstractNumId w:val="126"/>
  </w:num>
  <w:num w:numId="91">
    <w:abstractNumId w:val="89"/>
  </w:num>
  <w:num w:numId="92">
    <w:abstractNumId w:val="71"/>
  </w:num>
  <w:num w:numId="93">
    <w:abstractNumId w:val="50"/>
  </w:num>
  <w:num w:numId="94">
    <w:abstractNumId w:val="144"/>
  </w:num>
  <w:num w:numId="95">
    <w:abstractNumId w:val="3"/>
  </w:num>
  <w:num w:numId="96">
    <w:abstractNumId w:val="20"/>
  </w:num>
  <w:num w:numId="97">
    <w:abstractNumId w:val="100"/>
  </w:num>
  <w:num w:numId="98">
    <w:abstractNumId w:val="40"/>
  </w:num>
  <w:num w:numId="99">
    <w:abstractNumId w:val="131"/>
  </w:num>
  <w:num w:numId="100">
    <w:abstractNumId w:val="150"/>
  </w:num>
  <w:num w:numId="101">
    <w:abstractNumId w:val="148"/>
  </w:num>
  <w:num w:numId="102">
    <w:abstractNumId w:val="155"/>
  </w:num>
  <w:num w:numId="103">
    <w:abstractNumId w:val="130"/>
  </w:num>
  <w:num w:numId="104">
    <w:abstractNumId w:val="136"/>
  </w:num>
  <w:num w:numId="105">
    <w:abstractNumId w:val="79"/>
  </w:num>
  <w:num w:numId="106">
    <w:abstractNumId w:val="98"/>
  </w:num>
  <w:num w:numId="107">
    <w:abstractNumId w:val="45"/>
  </w:num>
  <w:num w:numId="108">
    <w:abstractNumId w:val="73"/>
  </w:num>
  <w:num w:numId="109">
    <w:abstractNumId w:val="99"/>
  </w:num>
  <w:num w:numId="110">
    <w:abstractNumId w:val="12"/>
  </w:num>
  <w:num w:numId="111">
    <w:abstractNumId w:val="48"/>
  </w:num>
  <w:num w:numId="112">
    <w:abstractNumId w:val="9"/>
  </w:num>
  <w:num w:numId="113">
    <w:abstractNumId w:val="157"/>
  </w:num>
  <w:num w:numId="114">
    <w:abstractNumId w:val="122"/>
  </w:num>
  <w:num w:numId="115">
    <w:abstractNumId w:val="132"/>
  </w:num>
  <w:num w:numId="116">
    <w:abstractNumId w:val="25"/>
  </w:num>
  <w:num w:numId="117">
    <w:abstractNumId w:val="146"/>
  </w:num>
  <w:num w:numId="118">
    <w:abstractNumId w:val="78"/>
  </w:num>
  <w:num w:numId="119">
    <w:abstractNumId w:val="141"/>
  </w:num>
  <w:num w:numId="120">
    <w:abstractNumId w:val="23"/>
  </w:num>
  <w:num w:numId="121">
    <w:abstractNumId w:val="62"/>
  </w:num>
  <w:num w:numId="122">
    <w:abstractNumId w:val="160"/>
  </w:num>
  <w:num w:numId="123">
    <w:abstractNumId w:val="19"/>
  </w:num>
  <w:num w:numId="124">
    <w:abstractNumId w:val="18"/>
  </w:num>
  <w:num w:numId="125">
    <w:abstractNumId w:val="8"/>
  </w:num>
  <w:num w:numId="126">
    <w:abstractNumId w:val="35"/>
  </w:num>
  <w:num w:numId="127">
    <w:abstractNumId w:val="140"/>
  </w:num>
  <w:num w:numId="128">
    <w:abstractNumId w:val="41"/>
  </w:num>
  <w:num w:numId="129">
    <w:abstractNumId w:val="117"/>
  </w:num>
  <w:num w:numId="130">
    <w:abstractNumId w:val="87"/>
  </w:num>
  <w:num w:numId="131">
    <w:abstractNumId w:val="29"/>
  </w:num>
  <w:num w:numId="132">
    <w:abstractNumId w:val="124"/>
  </w:num>
  <w:num w:numId="133">
    <w:abstractNumId w:val="156"/>
  </w:num>
  <w:num w:numId="134">
    <w:abstractNumId w:val="56"/>
  </w:num>
  <w:num w:numId="135">
    <w:abstractNumId w:val="115"/>
  </w:num>
  <w:num w:numId="136">
    <w:abstractNumId w:val="123"/>
  </w:num>
  <w:num w:numId="137">
    <w:abstractNumId w:val="44"/>
  </w:num>
  <w:num w:numId="138">
    <w:abstractNumId w:val="53"/>
  </w:num>
  <w:num w:numId="139">
    <w:abstractNumId w:val="6"/>
  </w:num>
  <w:num w:numId="140">
    <w:abstractNumId w:val="110"/>
  </w:num>
  <w:num w:numId="141">
    <w:abstractNumId w:val="119"/>
  </w:num>
  <w:num w:numId="142">
    <w:abstractNumId w:val="102"/>
  </w:num>
  <w:num w:numId="143">
    <w:abstractNumId w:val="103"/>
  </w:num>
  <w:num w:numId="144">
    <w:abstractNumId w:val="107"/>
  </w:num>
  <w:num w:numId="145">
    <w:abstractNumId w:val="106"/>
  </w:num>
  <w:num w:numId="146">
    <w:abstractNumId w:val="66"/>
  </w:num>
  <w:num w:numId="147">
    <w:abstractNumId w:val="90"/>
  </w:num>
  <w:num w:numId="148">
    <w:abstractNumId w:val="28"/>
  </w:num>
  <w:num w:numId="149">
    <w:abstractNumId w:val="38"/>
  </w:num>
  <w:num w:numId="150">
    <w:abstractNumId w:val="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25"/>
    <w:lvlOverride w:ilvl="0">
      <w:lvl w:ilvl="0">
        <w:start w:val="1"/>
        <w:numFmt w:val="none"/>
        <w:lvlText w:val="3.1"/>
        <w:lvlJc w:val="left"/>
        <w:pPr>
          <w:ind w:left="360" w:hanging="360"/>
        </w:pPr>
        <w:rPr>
          <w:rFonts w:hint="default"/>
        </w:rPr>
      </w:lvl>
    </w:lvlOverride>
    <w:lvlOverride w:ilvl="1">
      <w:lvl w:ilvl="1">
        <w:start w:val="1"/>
        <w:numFmt w:val="decimal"/>
        <w:lvlText w:val="3%1.%2."/>
        <w:lvlJc w:val="left"/>
        <w:pPr>
          <w:ind w:left="792" w:hanging="432"/>
        </w:pPr>
        <w:rPr>
          <w:rFonts w:hint="default"/>
        </w:rPr>
      </w:lvl>
    </w:lvlOverride>
    <w:lvlOverride w:ilvl="2">
      <w:lvl w:ilvl="2">
        <w:start w:val="1"/>
        <w:numFmt w:val="decimal"/>
        <w:lvlText w:val="6.%3"/>
        <w:lvlJc w:val="left"/>
        <w:pPr>
          <w:ind w:left="59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2">
    <w:abstractNumId w:val="4"/>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none"/>
        <w:lvlText w:val="3.1"/>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53">
    <w:abstractNumId w:val="54"/>
  </w:num>
  <w:num w:numId="154">
    <w:abstractNumId w:val="152"/>
  </w:num>
  <w:num w:numId="155">
    <w:abstractNumId w:val="86"/>
  </w:num>
  <w:num w:numId="156">
    <w:abstractNumId w:val="112"/>
  </w:num>
  <w:num w:numId="157">
    <w:abstractNumId w:val="15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29"/>
  </w:num>
  <w:num w:numId="159">
    <w:abstractNumId w:val="46"/>
  </w:num>
  <w:num w:numId="160">
    <w:abstractNumId w:val="59"/>
  </w:num>
  <w:num w:numId="161">
    <w:abstractNumId w:val="61"/>
  </w:num>
  <w:num w:numId="162">
    <w:abstractNumId w:val="158"/>
  </w:num>
  <w:num w:numId="163">
    <w:abstractNumId w:val="26"/>
  </w:num>
  <w:num w:numId="164">
    <w:abstractNumId w:val="15"/>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21D"/>
    <w:rsid w:val="00027F4A"/>
    <w:rsid w:val="00045FE7"/>
    <w:rsid w:val="00057989"/>
    <w:rsid w:val="000E786B"/>
    <w:rsid w:val="000E7F56"/>
    <w:rsid w:val="00124101"/>
    <w:rsid w:val="001B4F01"/>
    <w:rsid w:val="001C13B4"/>
    <w:rsid w:val="001E6C03"/>
    <w:rsid w:val="00202420"/>
    <w:rsid w:val="002101A3"/>
    <w:rsid w:val="002121C6"/>
    <w:rsid w:val="002168F6"/>
    <w:rsid w:val="002427B9"/>
    <w:rsid w:val="002B56E1"/>
    <w:rsid w:val="002C09F7"/>
    <w:rsid w:val="002D40D5"/>
    <w:rsid w:val="002D6A5E"/>
    <w:rsid w:val="002E5DDF"/>
    <w:rsid w:val="002F3C19"/>
    <w:rsid w:val="003159E4"/>
    <w:rsid w:val="00376E2D"/>
    <w:rsid w:val="003E1C7F"/>
    <w:rsid w:val="00480EA8"/>
    <w:rsid w:val="0049018F"/>
    <w:rsid w:val="004A5DE6"/>
    <w:rsid w:val="004C19BB"/>
    <w:rsid w:val="005007FD"/>
    <w:rsid w:val="00534AA6"/>
    <w:rsid w:val="00535C5D"/>
    <w:rsid w:val="00596ACC"/>
    <w:rsid w:val="005C5993"/>
    <w:rsid w:val="00642658"/>
    <w:rsid w:val="00653DFF"/>
    <w:rsid w:val="006B779B"/>
    <w:rsid w:val="006D51B9"/>
    <w:rsid w:val="006D5EF3"/>
    <w:rsid w:val="006E1DB0"/>
    <w:rsid w:val="00731955"/>
    <w:rsid w:val="00756AEE"/>
    <w:rsid w:val="0076343C"/>
    <w:rsid w:val="007C2D89"/>
    <w:rsid w:val="007F0B7B"/>
    <w:rsid w:val="00810BD1"/>
    <w:rsid w:val="008676DB"/>
    <w:rsid w:val="00873485"/>
    <w:rsid w:val="00890180"/>
    <w:rsid w:val="008B2A81"/>
    <w:rsid w:val="008C4EBE"/>
    <w:rsid w:val="008F3E78"/>
    <w:rsid w:val="00910D26"/>
    <w:rsid w:val="00912447"/>
    <w:rsid w:val="00952AD0"/>
    <w:rsid w:val="00964881"/>
    <w:rsid w:val="00972D4F"/>
    <w:rsid w:val="00973581"/>
    <w:rsid w:val="009E0E6D"/>
    <w:rsid w:val="009E1577"/>
    <w:rsid w:val="009F42D8"/>
    <w:rsid w:val="00A21521"/>
    <w:rsid w:val="00A3010C"/>
    <w:rsid w:val="00A81FC1"/>
    <w:rsid w:val="00A84BFC"/>
    <w:rsid w:val="00A97579"/>
    <w:rsid w:val="00AB477F"/>
    <w:rsid w:val="00AD09A8"/>
    <w:rsid w:val="00AE124D"/>
    <w:rsid w:val="00B0121D"/>
    <w:rsid w:val="00B062A0"/>
    <w:rsid w:val="00B2514A"/>
    <w:rsid w:val="00B97DC1"/>
    <w:rsid w:val="00BC2E7F"/>
    <w:rsid w:val="00BE5599"/>
    <w:rsid w:val="00C05F2E"/>
    <w:rsid w:val="00C20F80"/>
    <w:rsid w:val="00C60126"/>
    <w:rsid w:val="00C610A8"/>
    <w:rsid w:val="00C768AB"/>
    <w:rsid w:val="00C76F16"/>
    <w:rsid w:val="00C82BE6"/>
    <w:rsid w:val="00CA6D1A"/>
    <w:rsid w:val="00CB089C"/>
    <w:rsid w:val="00CB395B"/>
    <w:rsid w:val="00CC4ECE"/>
    <w:rsid w:val="00CE3B96"/>
    <w:rsid w:val="00CF5E6F"/>
    <w:rsid w:val="00D1521F"/>
    <w:rsid w:val="00D241FC"/>
    <w:rsid w:val="00D246BF"/>
    <w:rsid w:val="00D61614"/>
    <w:rsid w:val="00D71C7A"/>
    <w:rsid w:val="00D73F43"/>
    <w:rsid w:val="00D90F32"/>
    <w:rsid w:val="00DB43F9"/>
    <w:rsid w:val="00DC1AFC"/>
    <w:rsid w:val="00DE0D70"/>
    <w:rsid w:val="00DF6420"/>
    <w:rsid w:val="00E42B60"/>
    <w:rsid w:val="00E66DDD"/>
    <w:rsid w:val="00E81F0B"/>
    <w:rsid w:val="00E84AAE"/>
    <w:rsid w:val="00E93619"/>
    <w:rsid w:val="00E95AB9"/>
    <w:rsid w:val="00EA76DE"/>
    <w:rsid w:val="00EE691D"/>
    <w:rsid w:val="00F16C95"/>
    <w:rsid w:val="00F24711"/>
    <w:rsid w:val="00F34111"/>
    <w:rsid w:val="00F43050"/>
    <w:rsid w:val="00F619DB"/>
    <w:rsid w:val="00F756B3"/>
    <w:rsid w:val="00FA388D"/>
    <w:rsid w:val="00FB73E2"/>
    <w:rsid w:val="00FC2A6F"/>
    <w:rsid w:val="00FE62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2920F3-A81E-40F4-879C-A66B7D8AE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121D"/>
    <w:pPr>
      <w:spacing w:after="0" w:line="240" w:lineRule="auto"/>
    </w:pPr>
    <w:rPr>
      <w:rFonts w:ascii="Times New Roman" w:eastAsia="SimSun" w:hAnsi="Times New Roman" w:cs="Times New Roman"/>
      <w:sz w:val="24"/>
      <w:szCs w:val="24"/>
    </w:rPr>
  </w:style>
  <w:style w:type="paragraph" w:styleId="Heading1">
    <w:name w:val="heading 1"/>
    <w:basedOn w:val="Normal"/>
    <w:next w:val="Normal"/>
    <w:link w:val="Heading1Char"/>
    <w:uiPriority w:val="9"/>
    <w:qFormat/>
    <w:rsid w:val="00B0121D"/>
    <w:pPr>
      <w:keepNext/>
      <w:tabs>
        <w:tab w:val="center" w:pos="5954"/>
      </w:tabs>
      <w:ind w:right="-1"/>
      <w:jc w:val="right"/>
      <w:outlineLvl w:val="0"/>
    </w:pPr>
    <w:rPr>
      <w:b/>
      <w:caps/>
      <w:lang w:val="it-IT"/>
    </w:rPr>
  </w:style>
  <w:style w:type="paragraph" w:styleId="Heading2">
    <w:name w:val="heading 2"/>
    <w:basedOn w:val="Normal"/>
    <w:next w:val="Normal"/>
    <w:link w:val="Heading2Char"/>
    <w:uiPriority w:val="9"/>
    <w:qFormat/>
    <w:rsid w:val="00B0121D"/>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
    <w:qFormat/>
    <w:rsid w:val="00B0121D"/>
    <w:pPr>
      <w:keepNext/>
      <w:numPr>
        <w:ilvl w:val="2"/>
        <w:numId w:val="1"/>
      </w:numPr>
      <w:suppressAutoHyphens/>
      <w:spacing w:before="240" w:after="60"/>
      <w:outlineLvl w:val="2"/>
    </w:pPr>
    <w:rPr>
      <w:rFonts w:ascii="Arial Narrow" w:hAnsi="Arial Narrow"/>
      <w:b/>
      <w:bCs/>
      <w:lang w:val="x-none"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121D"/>
    <w:rPr>
      <w:rFonts w:ascii="Times New Roman" w:eastAsia="SimSun" w:hAnsi="Times New Roman" w:cs="Times New Roman"/>
      <w:b/>
      <w:caps/>
      <w:sz w:val="24"/>
      <w:szCs w:val="24"/>
      <w:lang w:val="it-IT"/>
    </w:rPr>
  </w:style>
  <w:style w:type="character" w:customStyle="1" w:styleId="Heading2Char">
    <w:name w:val="Heading 2 Char"/>
    <w:basedOn w:val="DefaultParagraphFont"/>
    <w:link w:val="Heading2"/>
    <w:uiPriority w:val="9"/>
    <w:rsid w:val="00B0121D"/>
    <w:rPr>
      <w:rFonts w:ascii="Arial" w:eastAsia="SimSun" w:hAnsi="Arial" w:cs="Times New Roman"/>
      <w:b/>
      <w:bCs/>
      <w:i/>
      <w:iCs/>
      <w:sz w:val="28"/>
      <w:szCs w:val="28"/>
    </w:rPr>
  </w:style>
  <w:style w:type="character" w:customStyle="1" w:styleId="Heading3Char">
    <w:name w:val="Heading 3 Char"/>
    <w:basedOn w:val="DefaultParagraphFont"/>
    <w:link w:val="Heading3"/>
    <w:uiPriority w:val="9"/>
    <w:rsid w:val="00B0121D"/>
    <w:rPr>
      <w:rFonts w:ascii="Arial Narrow" w:eastAsia="SimSun" w:hAnsi="Arial Narrow" w:cs="Times New Roman"/>
      <w:b/>
      <w:bCs/>
      <w:sz w:val="24"/>
      <w:szCs w:val="24"/>
      <w:lang w:val="x-none" w:eastAsia="ar-SA"/>
    </w:rPr>
  </w:style>
  <w:style w:type="paragraph" w:customStyle="1" w:styleId="CharCharChar">
    <w:name w:val="Char Char Char"/>
    <w:basedOn w:val="Normal"/>
    <w:rsid w:val="00B0121D"/>
    <w:pPr>
      <w:spacing w:after="160" w:line="240" w:lineRule="exact"/>
    </w:pPr>
    <w:rPr>
      <w:rFonts w:ascii="Tahoma" w:eastAsia="MS Mincho" w:hAnsi="Tahoma"/>
      <w:sz w:val="20"/>
      <w:szCs w:val="20"/>
    </w:rPr>
  </w:style>
  <w:style w:type="paragraph" w:styleId="ListBullet2">
    <w:name w:val="List Bullet 2"/>
    <w:basedOn w:val="Normal"/>
    <w:autoRedefine/>
    <w:rsid w:val="00B0121D"/>
    <w:pPr>
      <w:tabs>
        <w:tab w:val="left" w:pos="1440"/>
      </w:tabs>
      <w:jc w:val="both"/>
    </w:pPr>
    <w:rPr>
      <w:bCs/>
      <w:lang w:val="sq-AL"/>
    </w:rPr>
  </w:style>
  <w:style w:type="paragraph" w:styleId="BodyText">
    <w:name w:val="Body Text"/>
    <w:basedOn w:val="Normal"/>
    <w:link w:val="BodyTextChar"/>
    <w:uiPriority w:val="99"/>
    <w:rsid w:val="00B0121D"/>
    <w:pPr>
      <w:jc w:val="both"/>
    </w:pPr>
    <w:rPr>
      <w:rFonts w:ascii="Arial" w:hAnsi="Arial"/>
    </w:rPr>
  </w:style>
  <w:style w:type="character" w:customStyle="1" w:styleId="BodyTextChar">
    <w:name w:val="Body Text Char"/>
    <w:basedOn w:val="DefaultParagraphFont"/>
    <w:link w:val="BodyText"/>
    <w:uiPriority w:val="99"/>
    <w:rsid w:val="00B0121D"/>
    <w:rPr>
      <w:rFonts w:ascii="Arial" w:eastAsia="SimSun" w:hAnsi="Arial" w:cs="Times New Roman"/>
      <w:sz w:val="24"/>
      <w:szCs w:val="24"/>
    </w:rPr>
  </w:style>
  <w:style w:type="paragraph" w:styleId="BodyText2">
    <w:name w:val="Body Text 2"/>
    <w:basedOn w:val="Normal"/>
    <w:link w:val="BodyText2Char"/>
    <w:rsid w:val="00B0121D"/>
    <w:pPr>
      <w:jc w:val="both"/>
    </w:pPr>
    <w:rPr>
      <w:rFonts w:ascii="Arial" w:hAnsi="Arial"/>
      <w:b/>
      <w:bCs/>
    </w:rPr>
  </w:style>
  <w:style w:type="character" w:customStyle="1" w:styleId="BodyText2Char">
    <w:name w:val="Body Text 2 Char"/>
    <w:basedOn w:val="DefaultParagraphFont"/>
    <w:link w:val="BodyText2"/>
    <w:rsid w:val="00B0121D"/>
    <w:rPr>
      <w:rFonts w:ascii="Arial" w:eastAsia="SimSun" w:hAnsi="Arial" w:cs="Times New Roman"/>
      <w:b/>
      <w:bCs/>
      <w:sz w:val="24"/>
      <w:szCs w:val="24"/>
    </w:rPr>
  </w:style>
  <w:style w:type="table" w:styleId="TableGrid">
    <w:name w:val="Table Grid"/>
    <w:basedOn w:val="TableNormal"/>
    <w:uiPriority w:val="99"/>
    <w:rsid w:val="00B0121D"/>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B0121D"/>
    <w:pPr>
      <w:tabs>
        <w:tab w:val="center" w:pos="4320"/>
        <w:tab w:val="right" w:pos="8640"/>
      </w:tabs>
    </w:pPr>
  </w:style>
  <w:style w:type="character" w:customStyle="1" w:styleId="FooterChar">
    <w:name w:val="Footer Char"/>
    <w:basedOn w:val="DefaultParagraphFont"/>
    <w:link w:val="Footer"/>
    <w:uiPriority w:val="99"/>
    <w:rsid w:val="00B0121D"/>
    <w:rPr>
      <w:rFonts w:ascii="Times New Roman" w:eastAsia="SimSun" w:hAnsi="Times New Roman" w:cs="Times New Roman"/>
      <w:sz w:val="24"/>
      <w:szCs w:val="24"/>
    </w:rPr>
  </w:style>
  <w:style w:type="character" w:styleId="PageNumber">
    <w:name w:val="page number"/>
    <w:basedOn w:val="DefaultParagraphFont"/>
    <w:uiPriority w:val="99"/>
    <w:rsid w:val="00B0121D"/>
  </w:style>
  <w:style w:type="paragraph" w:styleId="Header">
    <w:name w:val="header"/>
    <w:basedOn w:val="Normal"/>
    <w:link w:val="HeaderChar"/>
    <w:uiPriority w:val="99"/>
    <w:rsid w:val="00B0121D"/>
    <w:pPr>
      <w:tabs>
        <w:tab w:val="center" w:pos="4320"/>
        <w:tab w:val="right" w:pos="8640"/>
      </w:tabs>
    </w:pPr>
    <w:rPr>
      <w:lang w:val="x-none" w:eastAsia="x-none"/>
    </w:rPr>
  </w:style>
  <w:style w:type="character" w:customStyle="1" w:styleId="HeaderChar">
    <w:name w:val="Header Char"/>
    <w:basedOn w:val="DefaultParagraphFont"/>
    <w:link w:val="Header"/>
    <w:uiPriority w:val="99"/>
    <w:rsid w:val="00B0121D"/>
    <w:rPr>
      <w:rFonts w:ascii="Times New Roman" w:eastAsia="SimSun" w:hAnsi="Times New Roman" w:cs="Times New Roman"/>
      <w:sz w:val="24"/>
      <w:szCs w:val="24"/>
      <w:lang w:val="x-none" w:eastAsia="x-none"/>
    </w:rPr>
  </w:style>
  <w:style w:type="paragraph" w:styleId="TOC1">
    <w:name w:val="toc 1"/>
    <w:basedOn w:val="Normal"/>
    <w:next w:val="Normal"/>
    <w:autoRedefine/>
    <w:uiPriority w:val="39"/>
    <w:qFormat/>
    <w:rsid w:val="00DB43F9"/>
    <w:pPr>
      <w:tabs>
        <w:tab w:val="left" w:pos="0"/>
        <w:tab w:val="right" w:leader="dot" w:pos="10632"/>
      </w:tabs>
      <w:spacing w:before="120" w:after="120" w:line="276" w:lineRule="auto"/>
      <w:ind w:left="426" w:hanging="426"/>
      <w:jc w:val="center"/>
    </w:pPr>
    <w:rPr>
      <w:b/>
      <w:bCs/>
      <w:caps/>
      <w:szCs w:val="20"/>
    </w:rPr>
  </w:style>
  <w:style w:type="character" w:styleId="Hyperlink">
    <w:name w:val="Hyperlink"/>
    <w:uiPriority w:val="99"/>
    <w:rsid w:val="00B0121D"/>
    <w:rPr>
      <w:color w:val="0000FF"/>
      <w:u w:val="single"/>
    </w:rPr>
  </w:style>
  <w:style w:type="paragraph" w:styleId="NormalWeb">
    <w:name w:val="Normal (Web)"/>
    <w:basedOn w:val="Normal"/>
    <w:uiPriority w:val="99"/>
    <w:rsid w:val="00B0121D"/>
    <w:pPr>
      <w:spacing w:before="100" w:beforeAutospacing="1" w:after="100" w:afterAutospacing="1"/>
    </w:pPr>
    <w:rPr>
      <w:rFonts w:eastAsia="Calibri"/>
    </w:rPr>
  </w:style>
  <w:style w:type="paragraph" w:customStyle="1" w:styleId="CharCharChar1">
    <w:name w:val="Char Char Char1"/>
    <w:basedOn w:val="Normal"/>
    <w:rsid w:val="00B0121D"/>
    <w:pPr>
      <w:spacing w:after="160" w:line="240" w:lineRule="exact"/>
    </w:pPr>
    <w:rPr>
      <w:rFonts w:ascii="Tahoma" w:eastAsia="MS Mincho" w:hAnsi="Tahoma"/>
      <w:sz w:val="20"/>
      <w:szCs w:val="20"/>
    </w:rPr>
  </w:style>
  <w:style w:type="paragraph" w:styleId="BodyTextIndent2">
    <w:name w:val="Body Text Indent 2"/>
    <w:basedOn w:val="Normal"/>
    <w:link w:val="BodyTextIndent2Char"/>
    <w:rsid w:val="00B0121D"/>
    <w:pPr>
      <w:spacing w:after="120" w:line="480" w:lineRule="auto"/>
      <w:ind w:left="360"/>
    </w:pPr>
    <w:rPr>
      <w:lang w:val="x-none" w:eastAsia="x-none"/>
    </w:rPr>
  </w:style>
  <w:style w:type="character" w:customStyle="1" w:styleId="BodyTextIndent2Char">
    <w:name w:val="Body Text Indent 2 Char"/>
    <w:basedOn w:val="DefaultParagraphFont"/>
    <w:link w:val="BodyTextIndent2"/>
    <w:rsid w:val="00B0121D"/>
    <w:rPr>
      <w:rFonts w:ascii="Times New Roman" w:eastAsia="SimSun" w:hAnsi="Times New Roman" w:cs="Times New Roman"/>
      <w:sz w:val="24"/>
      <w:szCs w:val="24"/>
      <w:lang w:val="x-none" w:eastAsia="x-none"/>
    </w:rPr>
  </w:style>
  <w:style w:type="paragraph" w:styleId="BodyTextIndent">
    <w:name w:val="Body Text Indent"/>
    <w:basedOn w:val="Normal"/>
    <w:link w:val="BodyTextIndentChar"/>
    <w:rsid w:val="00B0121D"/>
    <w:pPr>
      <w:spacing w:after="120"/>
      <w:ind w:left="360"/>
    </w:pPr>
    <w:rPr>
      <w:rFonts w:eastAsia="Calibri"/>
    </w:rPr>
  </w:style>
  <w:style w:type="character" w:customStyle="1" w:styleId="BodyTextIndentChar">
    <w:name w:val="Body Text Indent Char"/>
    <w:basedOn w:val="DefaultParagraphFont"/>
    <w:link w:val="BodyTextIndent"/>
    <w:rsid w:val="00B0121D"/>
    <w:rPr>
      <w:rFonts w:ascii="Times New Roman" w:eastAsia="Calibri" w:hAnsi="Times New Roman" w:cs="Times New Roman"/>
      <w:sz w:val="24"/>
      <w:szCs w:val="24"/>
    </w:rPr>
  </w:style>
  <w:style w:type="character" w:customStyle="1" w:styleId="MessageHeaderLabel">
    <w:name w:val="Message Header Label"/>
    <w:rsid w:val="00B0121D"/>
    <w:rPr>
      <w:rFonts w:ascii="Arial Black" w:hAnsi="Arial Black"/>
      <w:spacing w:val="-10"/>
      <w:sz w:val="18"/>
    </w:rPr>
  </w:style>
  <w:style w:type="paragraph" w:styleId="Subtitle">
    <w:name w:val="Subtitle"/>
    <w:basedOn w:val="Normal"/>
    <w:link w:val="SubtitleChar"/>
    <w:qFormat/>
    <w:rsid w:val="00B0121D"/>
    <w:pPr>
      <w:jc w:val="center"/>
    </w:pPr>
    <w:rPr>
      <w:b/>
      <w:bCs/>
      <w:lang w:val="it-IT" w:eastAsia="x-none"/>
    </w:rPr>
  </w:style>
  <w:style w:type="character" w:customStyle="1" w:styleId="SubtitleChar">
    <w:name w:val="Subtitle Char"/>
    <w:basedOn w:val="DefaultParagraphFont"/>
    <w:link w:val="Subtitle"/>
    <w:rsid w:val="00B0121D"/>
    <w:rPr>
      <w:rFonts w:ascii="Times New Roman" w:eastAsia="SimSun" w:hAnsi="Times New Roman" w:cs="Times New Roman"/>
      <w:b/>
      <w:bCs/>
      <w:sz w:val="24"/>
      <w:szCs w:val="24"/>
      <w:lang w:val="it-IT" w:eastAsia="x-none"/>
    </w:rPr>
  </w:style>
  <w:style w:type="character" w:styleId="FollowedHyperlink">
    <w:name w:val="FollowedHyperlink"/>
    <w:rsid w:val="00B0121D"/>
    <w:rPr>
      <w:color w:val="800080"/>
      <w:u w:val="single"/>
    </w:rPr>
  </w:style>
  <w:style w:type="paragraph" w:styleId="TOC3">
    <w:name w:val="toc 3"/>
    <w:basedOn w:val="Normal"/>
    <w:next w:val="Normal"/>
    <w:autoRedefine/>
    <w:uiPriority w:val="39"/>
    <w:qFormat/>
    <w:rsid w:val="00B0121D"/>
    <w:pPr>
      <w:ind w:left="480"/>
    </w:pPr>
    <w:rPr>
      <w:i/>
      <w:iCs/>
      <w:sz w:val="20"/>
      <w:szCs w:val="20"/>
    </w:rPr>
  </w:style>
  <w:style w:type="paragraph" w:styleId="TOC2">
    <w:name w:val="toc 2"/>
    <w:basedOn w:val="Normal"/>
    <w:next w:val="Normal"/>
    <w:autoRedefine/>
    <w:uiPriority w:val="39"/>
    <w:qFormat/>
    <w:rsid w:val="00FB73E2"/>
    <w:pPr>
      <w:tabs>
        <w:tab w:val="left" w:pos="720"/>
        <w:tab w:val="right" w:leader="dot" w:pos="10195"/>
      </w:tabs>
    </w:pPr>
    <w:rPr>
      <w:smallCaps/>
      <w:sz w:val="20"/>
      <w:szCs w:val="20"/>
    </w:rPr>
  </w:style>
  <w:style w:type="paragraph" w:styleId="TOC4">
    <w:name w:val="toc 4"/>
    <w:basedOn w:val="Normal"/>
    <w:next w:val="Normal"/>
    <w:autoRedefine/>
    <w:semiHidden/>
    <w:rsid w:val="00B0121D"/>
    <w:pPr>
      <w:ind w:left="720"/>
    </w:pPr>
    <w:rPr>
      <w:sz w:val="18"/>
      <w:szCs w:val="18"/>
    </w:rPr>
  </w:style>
  <w:style w:type="paragraph" w:styleId="TOC5">
    <w:name w:val="toc 5"/>
    <w:basedOn w:val="Normal"/>
    <w:next w:val="Normal"/>
    <w:autoRedefine/>
    <w:semiHidden/>
    <w:rsid w:val="00B0121D"/>
    <w:pPr>
      <w:ind w:left="960"/>
    </w:pPr>
    <w:rPr>
      <w:sz w:val="18"/>
      <w:szCs w:val="18"/>
    </w:rPr>
  </w:style>
  <w:style w:type="paragraph" w:styleId="TOC6">
    <w:name w:val="toc 6"/>
    <w:basedOn w:val="Normal"/>
    <w:next w:val="Normal"/>
    <w:autoRedefine/>
    <w:semiHidden/>
    <w:rsid w:val="00B0121D"/>
    <w:pPr>
      <w:ind w:left="1200"/>
    </w:pPr>
    <w:rPr>
      <w:sz w:val="18"/>
      <w:szCs w:val="18"/>
    </w:rPr>
  </w:style>
  <w:style w:type="paragraph" w:styleId="TOC7">
    <w:name w:val="toc 7"/>
    <w:basedOn w:val="Normal"/>
    <w:next w:val="Normal"/>
    <w:autoRedefine/>
    <w:semiHidden/>
    <w:rsid w:val="00B0121D"/>
    <w:pPr>
      <w:ind w:left="1440"/>
    </w:pPr>
    <w:rPr>
      <w:sz w:val="18"/>
      <w:szCs w:val="18"/>
    </w:rPr>
  </w:style>
  <w:style w:type="paragraph" w:styleId="TOC8">
    <w:name w:val="toc 8"/>
    <w:basedOn w:val="Normal"/>
    <w:next w:val="Normal"/>
    <w:autoRedefine/>
    <w:semiHidden/>
    <w:rsid w:val="00B0121D"/>
    <w:pPr>
      <w:ind w:left="1680"/>
    </w:pPr>
    <w:rPr>
      <w:sz w:val="18"/>
      <w:szCs w:val="18"/>
    </w:rPr>
  </w:style>
  <w:style w:type="paragraph" w:styleId="TOC9">
    <w:name w:val="toc 9"/>
    <w:basedOn w:val="Normal"/>
    <w:next w:val="Normal"/>
    <w:autoRedefine/>
    <w:semiHidden/>
    <w:rsid w:val="00B0121D"/>
    <w:pPr>
      <w:ind w:left="1920"/>
    </w:pPr>
    <w:rPr>
      <w:sz w:val="18"/>
      <w:szCs w:val="18"/>
    </w:rPr>
  </w:style>
  <w:style w:type="paragraph" w:styleId="BalloonText">
    <w:name w:val="Balloon Text"/>
    <w:basedOn w:val="Normal"/>
    <w:link w:val="BalloonTextChar"/>
    <w:uiPriority w:val="99"/>
    <w:rsid w:val="00B0121D"/>
    <w:rPr>
      <w:rFonts w:ascii="Tahoma" w:hAnsi="Tahoma"/>
      <w:sz w:val="16"/>
      <w:szCs w:val="16"/>
      <w:lang w:val="x-none" w:eastAsia="x-none"/>
    </w:rPr>
  </w:style>
  <w:style w:type="character" w:customStyle="1" w:styleId="BalloonTextChar">
    <w:name w:val="Balloon Text Char"/>
    <w:basedOn w:val="DefaultParagraphFont"/>
    <w:link w:val="BalloonText"/>
    <w:uiPriority w:val="99"/>
    <w:rsid w:val="00B0121D"/>
    <w:rPr>
      <w:rFonts w:ascii="Tahoma" w:eastAsia="SimSun" w:hAnsi="Tahoma" w:cs="Times New Roman"/>
      <w:sz w:val="16"/>
      <w:szCs w:val="16"/>
      <w:lang w:val="x-none" w:eastAsia="x-none"/>
    </w:rPr>
  </w:style>
  <w:style w:type="paragraph" w:styleId="ListParagraph">
    <w:name w:val="List Paragraph"/>
    <w:aliases w:val="List Paragraph (numbered (a)),Normal 1,List Paragraph 1,Akapit z listą BS,Bullets,List Paragraph1,Bullet1,NumberedParas,Dot pt,F5 List Paragraph,List Paragraph Char Char Char,Indicator Text,Numbered Para 1,Bullet 1,Bullet Points"/>
    <w:basedOn w:val="Normal"/>
    <w:link w:val="ListParagraphChar"/>
    <w:uiPriority w:val="34"/>
    <w:qFormat/>
    <w:rsid w:val="00B0121D"/>
    <w:pPr>
      <w:ind w:left="720"/>
    </w:pPr>
    <w:rPr>
      <w:rFonts w:eastAsia="Calibri"/>
    </w:rPr>
  </w:style>
  <w:style w:type="table" w:styleId="TableColumns5">
    <w:name w:val="Table Columns 5"/>
    <w:basedOn w:val="TableNormal"/>
    <w:rsid w:val="00B0121D"/>
    <w:pPr>
      <w:spacing w:after="0" w:line="240" w:lineRule="auto"/>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ootnoteText">
    <w:name w:val="footnote text"/>
    <w:aliases w:val="Footnote Text Char Char Char,Footnote Text Char Char,Fußnote,Testo nota a piè di pagina Carattere,Geneva 9,Font: Geneva 9,Boston 10,f,single space,FOOTNOTES,fn,ADB,pod carou,Char Char,Footnote Text1 Char Char,Char,Char Cha,C"/>
    <w:basedOn w:val="Normal"/>
    <w:link w:val="FootnoteTextChar"/>
    <w:rsid w:val="00B0121D"/>
    <w:rPr>
      <w:sz w:val="20"/>
      <w:szCs w:val="20"/>
    </w:rPr>
  </w:style>
  <w:style w:type="character" w:customStyle="1" w:styleId="FootnoteTextChar">
    <w:name w:val="Footnote Text Char"/>
    <w:aliases w:val="Footnote Text Char Char Char Char,Footnote Text Char Char Char1,Fußnote Char,Testo nota a piè di pagina Carattere Char,Geneva 9 Char,Font: Geneva 9 Char,Boston 10 Char,f Char,single space Char,FOOTNOTES Char,fn Char,ADB Char,C Char"/>
    <w:basedOn w:val="DefaultParagraphFont"/>
    <w:link w:val="FootnoteText"/>
    <w:rsid w:val="00B0121D"/>
    <w:rPr>
      <w:rFonts w:ascii="Times New Roman" w:eastAsia="SimSun" w:hAnsi="Times New Roman" w:cs="Times New Roman"/>
      <w:sz w:val="20"/>
      <w:szCs w:val="20"/>
    </w:rPr>
  </w:style>
  <w:style w:type="character" w:styleId="FootnoteReference">
    <w:name w:val="footnote reference"/>
    <w:aliases w:val="BVI fnr,16 Point,Superscript 6 Point,ftref,fr,Footnote symbol,Footnote Reference Arial,nota pié di pagina,Footnote reference number,Times 10 Point,Exposant 3 Point,EN Footnote Reference,note TESI,Footnote Reference Char Char Char"/>
    <w:rsid w:val="00B0121D"/>
    <w:rPr>
      <w:vertAlign w:val="superscript"/>
    </w:rPr>
  </w:style>
  <w:style w:type="paragraph" w:styleId="TOCHeading">
    <w:name w:val="TOC Heading"/>
    <w:basedOn w:val="Heading1"/>
    <w:next w:val="Normal"/>
    <w:uiPriority w:val="39"/>
    <w:unhideWhenUsed/>
    <w:qFormat/>
    <w:rsid w:val="00B0121D"/>
    <w:pPr>
      <w:keepLines/>
      <w:tabs>
        <w:tab w:val="clear" w:pos="5954"/>
      </w:tabs>
      <w:spacing w:before="480" w:line="276" w:lineRule="auto"/>
      <w:ind w:right="0"/>
      <w:jc w:val="left"/>
      <w:outlineLvl w:val="9"/>
    </w:pPr>
    <w:rPr>
      <w:rFonts w:ascii="Cambria" w:eastAsia="Times New Roman" w:hAnsi="Cambria"/>
      <w:bCs/>
      <w:caps w:val="0"/>
      <w:color w:val="365F91"/>
      <w:sz w:val="28"/>
      <w:szCs w:val="28"/>
      <w:lang w:val="en-US"/>
    </w:rPr>
  </w:style>
  <w:style w:type="character" w:customStyle="1" w:styleId="ListParagraphChar">
    <w:name w:val="List Paragraph Char"/>
    <w:aliases w:val="List Paragraph (numbered (a)) Char,Normal 1 Char,List Paragraph 1 Char,Akapit z listą BS Char,Bullets Char,List Paragraph1 Char,Bullet1 Char,NumberedParas Char,Dot pt Char,F5 List Paragraph Char,List Paragraph Char Char Char Char"/>
    <w:link w:val="ListParagraph"/>
    <w:uiPriority w:val="34"/>
    <w:qFormat/>
    <w:locked/>
    <w:rsid w:val="00B0121D"/>
    <w:rPr>
      <w:rFonts w:ascii="Times New Roman" w:eastAsia="Calibri" w:hAnsi="Times New Roman" w:cs="Times New Roman"/>
      <w:sz w:val="24"/>
      <w:szCs w:val="24"/>
    </w:rPr>
  </w:style>
  <w:style w:type="paragraph" w:customStyle="1" w:styleId="Default">
    <w:name w:val="Default"/>
    <w:basedOn w:val="Normal"/>
    <w:rsid w:val="00B0121D"/>
    <w:pPr>
      <w:autoSpaceDE w:val="0"/>
      <w:autoSpaceDN w:val="0"/>
    </w:pPr>
    <w:rPr>
      <w:rFonts w:eastAsia="Calibri"/>
      <w:color w:val="000000"/>
      <w:lang w:val="sq-AL" w:eastAsia="sq-AL"/>
    </w:rPr>
  </w:style>
  <w:style w:type="character" w:customStyle="1" w:styleId="shorttext">
    <w:name w:val="short_text"/>
    <w:rsid w:val="00B0121D"/>
  </w:style>
  <w:style w:type="character" w:customStyle="1" w:styleId="FooterChar1">
    <w:name w:val="Footer Char1"/>
    <w:uiPriority w:val="99"/>
    <w:rsid w:val="00B0121D"/>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B0121D"/>
    <w:rPr>
      <w:rFonts w:ascii="Consolas" w:eastAsia="Calibri" w:hAnsi="Consolas"/>
      <w:sz w:val="21"/>
      <w:szCs w:val="21"/>
    </w:rPr>
  </w:style>
  <w:style w:type="character" w:customStyle="1" w:styleId="PlainTextChar">
    <w:name w:val="Plain Text Char"/>
    <w:basedOn w:val="DefaultParagraphFont"/>
    <w:link w:val="PlainText"/>
    <w:uiPriority w:val="99"/>
    <w:rsid w:val="00B0121D"/>
    <w:rPr>
      <w:rFonts w:ascii="Consolas" w:eastAsia="Calibri" w:hAnsi="Consolas" w:cs="Times New Roman"/>
      <w:sz w:val="21"/>
      <w:szCs w:val="21"/>
    </w:rPr>
  </w:style>
  <w:style w:type="character" w:styleId="CommentReference">
    <w:name w:val="annotation reference"/>
    <w:uiPriority w:val="99"/>
    <w:rsid w:val="00B0121D"/>
    <w:rPr>
      <w:sz w:val="16"/>
      <w:szCs w:val="16"/>
    </w:rPr>
  </w:style>
  <w:style w:type="paragraph" w:styleId="CommentText">
    <w:name w:val="annotation text"/>
    <w:basedOn w:val="Normal"/>
    <w:link w:val="CommentTextChar"/>
    <w:uiPriority w:val="99"/>
    <w:rsid w:val="00B0121D"/>
    <w:rPr>
      <w:sz w:val="20"/>
      <w:szCs w:val="20"/>
    </w:rPr>
  </w:style>
  <w:style w:type="character" w:customStyle="1" w:styleId="CommentTextChar">
    <w:name w:val="Comment Text Char"/>
    <w:basedOn w:val="DefaultParagraphFont"/>
    <w:link w:val="CommentText"/>
    <w:uiPriority w:val="99"/>
    <w:rsid w:val="00B0121D"/>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rsid w:val="00B0121D"/>
    <w:rPr>
      <w:b/>
      <w:bCs/>
      <w:lang w:val="x-none" w:eastAsia="x-none"/>
    </w:rPr>
  </w:style>
  <w:style w:type="character" w:customStyle="1" w:styleId="CommentSubjectChar">
    <w:name w:val="Comment Subject Char"/>
    <w:basedOn w:val="CommentTextChar"/>
    <w:link w:val="CommentSubject"/>
    <w:uiPriority w:val="99"/>
    <w:rsid w:val="00B0121D"/>
    <w:rPr>
      <w:rFonts w:ascii="Times New Roman" w:eastAsia="SimSun" w:hAnsi="Times New Roman" w:cs="Times New Roman"/>
      <w:b/>
      <w:bCs/>
      <w:sz w:val="20"/>
      <w:szCs w:val="20"/>
      <w:lang w:val="x-none" w:eastAsia="x-none"/>
    </w:rPr>
  </w:style>
  <w:style w:type="paragraph" w:customStyle="1" w:styleId="LightGrid-Accent31">
    <w:name w:val="Light Grid - Accent 31"/>
    <w:basedOn w:val="Normal"/>
    <w:uiPriority w:val="34"/>
    <w:qFormat/>
    <w:rsid w:val="00B0121D"/>
    <w:pPr>
      <w:spacing w:after="200" w:line="276" w:lineRule="auto"/>
      <w:ind w:left="720"/>
      <w:contextualSpacing/>
      <w:jc w:val="both"/>
    </w:pPr>
    <w:rPr>
      <w:rFonts w:ascii="Calibri" w:eastAsia="MS PGothic" w:hAnsi="Calibri"/>
      <w:sz w:val="22"/>
      <w:szCs w:val="22"/>
      <w:lang w:val="en-GB" w:eastAsia="zh-CN"/>
    </w:rPr>
  </w:style>
  <w:style w:type="paragraph" w:styleId="NoSpacing">
    <w:name w:val="No Spacing"/>
    <w:link w:val="NoSpacingChar"/>
    <w:uiPriority w:val="1"/>
    <w:qFormat/>
    <w:rsid w:val="00B0121D"/>
    <w:pPr>
      <w:spacing w:after="0" w:line="240" w:lineRule="auto"/>
    </w:pPr>
    <w:rPr>
      <w:rFonts w:ascii="Calibri" w:eastAsia="SimSun" w:hAnsi="Calibri" w:cs="Times New Roman"/>
    </w:rPr>
  </w:style>
  <w:style w:type="character" w:customStyle="1" w:styleId="NoSpacingChar">
    <w:name w:val="No Spacing Char"/>
    <w:link w:val="NoSpacing"/>
    <w:uiPriority w:val="1"/>
    <w:rsid w:val="00B0121D"/>
    <w:rPr>
      <w:rFonts w:ascii="Calibri" w:eastAsia="SimSun" w:hAnsi="Calibri" w:cs="Times New Roman"/>
    </w:rPr>
  </w:style>
  <w:style w:type="character" w:customStyle="1" w:styleId="FootnoteTextChar1">
    <w:name w:val="Footnote Text Char1"/>
    <w:aliases w:val="Footnote Text Char Char Char Char1,Footnote Text Char Char Char2,Fußnote Char1,Testo nota a piè di pagina Carattere Char1,Geneva 9 Char1,Font: Geneva 9 Char1,Boston 10 Char1,f Char1,single space Char1,FOOTNOTES Char1,fn Char1"/>
    <w:uiPriority w:val="99"/>
    <w:locked/>
    <w:rsid w:val="00B0121D"/>
    <w:rPr>
      <w:rFonts w:ascii="Times New Roman" w:hAnsi="Times New Roman" w:cs="Times New Roman"/>
      <w:sz w:val="20"/>
      <w:szCs w:val="20"/>
      <w:lang w:val="en-GB" w:eastAsia="en-GB"/>
    </w:rPr>
  </w:style>
  <w:style w:type="character" w:customStyle="1" w:styleId="hps">
    <w:name w:val="hps"/>
    <w:uiPriority w:val="99"/>
    <w:rsid w:val="00B0121D"/>
  </w:style>
  <w:style w:type="character" w:customStyle="1" w:styleId="CharChar2">
    <w:name w:val="Char Char2"/>
    <w:uiPriority w:val="99"/>
    <w:rsid w:val="00B0121D"/>
  </w:style>
  <w:style w:type="paragraph" w:customStyle="1" w:styleId="Char1">
    <w:name w:val="Char1"/>
    <w:basedOn w:val="Normal"/>
    <w:uiPriority w:val="99"/>
    <w:rsid w:val="00B0121D"/>
    <w:pPr>
      <w:tabs>
        <w:tab w:val="left" w:pos="709"/>
      </w:tabs>
    </w:pPr>
    <w:rPr>
      <w:rFonts w:ascii="Tahoma" w:eastAsia="Calibri" w:hAnsi="Tahoma" w:cs="Tahoma"/>
      <w:lang w:val="pl-PL" w:eastAsia="pl-PL"/>
    </w:rPr>
  </w:style>
  <w:style w:type="paragraph" w:customStyle="1" w:styleId="Char11">
    <w:name w:val="Char11"/>
    <w:basedOn w:val="Normal"/>
    <w:uiPriority w:val="99"/>
    <w:rsid w:val="00B0121D"/>
    <w:pPr>
      <w:tabs>
        <w:tab w:val="left" w:pos="709"/>
      </w:tabs>
    </w:pPr>
    <w:rPr>
      <w:rFonts w:ascii="Tahoma" w:eastAsia="Calibri" w:hAnsi="Tahoma" w:cs="Tahoma"/>
      <w:lang w:val="pl-PL" w:eastAsia="pl-PL"/>
    </w:rPr>
  </w:style>
  <w:style w:type="paragraph" w:customStyle="1" w:styleId="Char12">
    <w:name w:val="Char12"/>
    <w:basedOn w:val="Normal"/>
    <w:uiPriority w:val="99"/>
    <w:rsid w:val="00B0121D"/>
    <w:pPr>
      <w:tabs>
        <w:tab w:val="left" w:pos="709"/>
      </w:tabs>
    </w:pPr>
    <w:rPr>
      <w:rFonts w:ascii="Tahoma" w:eastAsia="Calibri" w:hAnsi="Tahoma" w:cs="Tahoma"/>
      <w:lang w:val="pl-PL" w:eastAsia="pl-PL"/>
    </w:rPr>
  </w:style>
  <w:style w:type="numbering" w:customStyle="1" w:styleId="NoList1">
    <w:name w:val="No List1"/>
    <w:next w:val="NoList"/>
    <w:uiPriority w:val="99"/>
    <w:semiHidden/>
    <w:unhideWhenUsed/>
    <w:rsid w:val="00B0121D"/>
  </w:style>
  <w:style w:type="table" w:customStyle="1" w:styleId="TableColumns51">
    <w:name w:val="Table Columns 51"/>
    <w:basedOn w:val="TableNormal"/>
    <w:next w:val="TableColumns5"/>
    <w:rsid w:val="00B0121D"/>
    <w:pPr>
      <w:spacing w:before="120" w:after="12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BoxText">
    <w:name w:val="Box Text"/>
    <w:basedOn w:val="Normal"/>
    <w:rsid w:val="00B0121D"/>
    <w:pPr>
      <w:spacing w:before="60"/>
    </w:pPr>
    <w:rPr>
      <w:rFonts w:ascii="Arial" w:hAnsi="Arial"/>
      <w:sz w:val="16"/>
      <w:szCs w:val="20"/>
      <w:lang w:val="en-GB" w:eastAsia="it-IT"/>
    </w:rPr>
  </w:style>
  <w:style w:type="paragraph" w:styleId="Title">
    <w:name w:val="Title"/>
    <w:basedOn w:val="Normal"/>
    <w:next w:val="Normal"/>
    <w:link w:val="TitleChar"/>
    <w:uiPriority w:val="10"/>
    <w:qFormat/>
    <w:rsid w:val="00B0121D"/>
    <w:pPr>
      <w:pBdr>
        <w:bottom w:val="single" w:sz="8" w:space="4" w:color="4F81BD"/>
      </w:pBdr>
      <w:spacing w:after="300"/>
      <w:contextualSpacing/>
    </w:pPr>
    <w:rPr>
      <w:rFonts w:ascii="Cambria" w:eastAsia="Times New Roman" w:hAnsi="Cambria"/>
      <w:color w:val="17365D"/>
      <w:spacing w:val="5"/>
      <w:kern w:val="28"/>
      <w:sz w:val="52"/>
      <w:szCs w:val="52"/>
      <w:lang w:val="x-none" w:eastAsia="x-none"/>
    </w:rPr>
  </w:style>
  <w:style w:type="character" w:customStyle="1" w:styleId="TitleChar">
    <w:name w:val="Title Char"/>
    <w:basedOn w:val="DefaultParagraphFont"/>
    <w:link w:val="Title"/>
    <w:uiPriority w:val="10"/>
    <w:rsid w:val="00B0121D"/>
    <w:rPr>
      <w:rFonts w:ascii="Cambria" w:eastAsia="Times New Roman" w:hAnsi="Cambria" w:cs="Times New Roman"/>
      <w:color w:val="17365D"/>
      <w:spacing w:val="5"/>
      <w:kern w:val="28"/>
      <w:sz w:val="52"/>
      <w:szCs w:val="52"/>
      <w:lang w:val="x-none" w:eastAsia="x-none"/>
    </w:rPr>
  </w:style>
  <w:style w:type="table" w:styleId="TableClassic1">
    <w:name w:val="Table Classic 1"/>
    <w:basedOn w:val="TableNormal"/>
    <w:rsid w:val="00B0121D"/>
    <w:pPr>
      <w:spacing w:after="0" w:line="240" w:lineRule="auto"/>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0121D"/>
    <w:pPr>
      <w:spacing w:after="0" w:line="240" w:lineRule="auto"/>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ghtShading-Accent12">
    <w:name w:val="Light Shading - Accent 12"/>
    <w:basedOn w:val="TableNormal"/>
    <w:uiPriority w:val="60"/>
    <w:rsid w:val="00B0121D"/>
    <w:pPr>
      <w:spacing w:after="0" w:line="240" w:lineRule="auto"/>
      <w:jc w:val="center"/>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3Deffects3">
    <w:name w:val="Table 3D effects 3"/>
    <w:basedOn w:val="TableNormal"/>
    <w:rsid w:val="00B0121D"/>
    <w:pPr>
      <w:spacing w:after="0" w:line="240" w:lineRule="auto"/>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B0121D"/>
    <w:pPr>
      <w:spacing w:after="0" w:line="240" w:lineRule="auto"/>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3Deffects2">
    <w:name w:val="Table 3D effects 2"/>
    <w:basedOn w:val="TableNormal"/>
    <w:rsid w:val="00B0121D"/>
    <w:pPr>
      <w:spacing w:after="0" w:line="240" w:lineRule="auto"/>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2">
    <w:name w:val="Light Shading2"/>
    <w:basedOn w:val="TableNormal"/>
    <w:uiPriority w:val="60"/>
    <w:rsid w:val="00B0121D"/>
    <w:pPr>
      <w:spacing w:after="0" w:line="240" w:lineRule="auto"/>
      <w:jc w:val="center"/>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B0121D"/>
    <w:pPr>
      <w:spacing w:after="0" w:line="240" w:lineRule="auto"/>
      <w:jc w:val="center"/>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B0121D"/>
    <w:pPr>
      <w:spacing w:after="0" w:line="240" w:lineRule="auto"/>
      <w:jc w:val="center"/>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lorfulList-Accent11">
    <w:name w:val="Colorful List - Accent 11"/>
    <w:basedOn w:val="Normal"/>
    <w:uiPriority w:val="34"/>
    <w:qFormat/>
    <w:rsid w:val="00B0121D"/>
    <w:pPr>
      <w:spacing w:after="160" w:line="259" w:lineRule="auto"/>
      <w:ind w:left="720"/>
      <w:contextualSpacing/>
    </w:pPr>
    <w:rPr>
      <w:rFonts w:ascii="Calibri" w:eastAsia="Calibri" w:hAnsi="Calibri"/>
      <w:sz w:val="22"/>
      <w:szCs w:val="22"/>
    </w:rPr>
  </w:style>
  <w:style w:type="paragraph" w:customStyle="1" w:styleId="MediumGrid21">
    <w:name w:val="Medium Grid 21"/>
    <w:uiPriority w:val="1"/>
    <w:qFormat/>
    <w:rsid w:val="00B0121D"/>
    <w:pPr>
      <w:spacing w:after="0" w:line="240" w:lineRule="auto"/>
    </w:pPr>
    <w:rPr>
      <w:rFonts w:ascii="Calibri" w:eastAsia="MS Mincho" w:hAnsi="Calibri" w:cs="Times New Roman"/>
      <w:lang w:val="sq-AL"/>
    </w:rPr>
  </w:style>
  <w:style w:type="character" w:styleId="Strong">
    <w:name w:val="Strong"/>
    <w:uiPriority w:val="22"/>
    <w:qFormat/>
    <w:rsid w:val="00B0121D"/>
    <w:rPr>
      <w:b/>
      <w:bCs/>
    </w:rPr>
  </w:style>
  <w:style w:type="character" w:customStyle="1" w:styleId="highlight">
    <w:name w:val="highlight"/>
    <w:rsid w:val="00B0121D"/>
  </w:style>
  <w:style w:type="table" w:customStyle="1" w:styleId="TableGrid1">
    <w:name w:val="Table Grid1"/>
    <w:basedOn w:val="TableNormal"/>
    <w:next w:val="TableGrid"/>
    <w:uiPriority w:val="59"/>
    <w:rsid w:val="00B0121D"/>
    <w:pPr>
      <w:spacing w:after="0" w:line="240" w:lineRule="auto"/>
    </w:pPr>
    <w:rPr>
      <w:rFonts w:ascii="Calibri" w:eastAsia="MS Mincho" w:hAnsi="Calibri" w:cs="Times New Roman"/>
      <w:sz w:val="20"/>
      <w:szCs w:val="20"/>
      <w:lang w:val="sq-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olosommario">
    <w:name w:val="Titolo sommario"/>
    <w:basedOn w:val="Heading1"/>
    <w:next w:val="Normal"/>
    <w:uiPriority w:val="39"/>
    <w:unhideWhenUsed/>
    <w:qFormat/>
    <w:rsid w:val="00B0121D"/>
    <w:pPr>
      <w:keepLines/>
      <w:tabs>
        <w:tab w:val="clear" w:pos="5954"/>
      </w:tabs>
      <w:spacing w:before="480" w:line="276" w:lineRule="auto"/>
      <w:ind w:right="0"/>
      <w:jc w:val="left"/>
      <w:outlineLvl w:val="9"/>
    </w:pPr>
    <w:rPr>
      <w:rFonts w:ascii="Cambria" w:eastAsia="Times New Roman" w:hAnsi="Cambria"/>
      <w:bCs/>
      <w:caps w:val="0"/>
      <w:color w:val="365F91"/>
      <w:sz w:val="28"/>
      <w:szCs w:val="28"/>
      <w:lang w:val="en-US"/>
    </w:rPr>
  </w:style>
  <w:style w:type="character" w:customStyle="1" w:styleId="ColorfulList-Accent1Char">
    <w:name w:val="Colorful List - Accent 1 Char"/>
    <w:link w:val="MediumGrid1-Accent2"/>
    <w:uiPriority w:val="34"/>
    <w:locked/>
    <w:rsid w:val="00B0121D"/>
    <w:rPr>
      <w:rFonts w:eastAsia="Calibri"/>
      <w:sz w:val="24"/>
      <w:szCs w:val="24"/>
      <w:lang w:val="en-US" w:eastAsia="en-US"/>
    </w:rPr>
  </w:style>
  <w:style w:type="paragraph" w:customStyle="1" w:styleId="Nessunaspaziatura1">
    <w:name w:val="Nessuna spaziatura1"/>
    <w:link w:val="NessunaspaziaturaCarattere"/>
    <w:uiPriority w:val="1"/>
    <w:qFormat/>
    <w:rsid w:val="00B0121D"/>
    <w:pPr>
      <w:spacing w:after="0" w:line="240" w:lineRule="auto"/>
    </w:pPr>
    <w:rPr>
      <w:rFonts w:ascii="Calibri" w:eastAsia="SimSun" w:hAnsi="Calibri" w:cs="Times New Roman"/>
    </w:rPr>
  </w:style>
  <w:style w:type="character" w:customStyle="1" w:styleId="NessunaspaziaturaCarattere">
    <w:name w:val="Nessuna spaziatura Carattere"/>
    <w:link w:val="Nessunaspaziatura1"/>
    <w:uiPriority w:val="1"/>
    <w:rsid w:val="00B0121D"/>
    <w:rPr>
      <w:rFonts w:ascii="Calibri" w:eastAsia="SimSun" w:hAnsi="Calibri" w:cs="Times New Roman"/>
    </w:rPr>
  </w:style>
  <w:style w:type="table" w:customStyle="1" w:styleId="Sfondochiaro1">
    <w:name w:val="Sfondo chiaro1"/>
    <w:basedOn w:val="TableNormal"/>
    <w:uiPriority w:val="60"/>
    <w:rsid w:val="00B0121D"/>
    <w:pPr>
      <w:spacing w:after="0" w:line="240" w:lineRule="auto"/>
      <w:jc w:val="center"/>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1-Accent2">
    <w:name w:val="Medium Grid 1 Accent 2"/>
    <w:basedOn w:val="TableNormal"/>
    <w:link w:val="ColorfulList-Accent1Char"/>
    <w:uiPriority w:val="34"/>
    <w:rsid w:val="00B0121D"/>
    <w:pPr>
      <w:spacing w:after="0" w:line="240" w:lineRule="auto"/>
    </w:pPr>
    <w:rPr>
      <w:rFonts w:eastAsia="Calibri"/>
      <w:sz w:val="24"/>
      <w:szCs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1">
    <w:name w:val="Medium List 1"/>
    <w:basedOn w:val="TableNormal"/>
    <w:uiPriority w:val="65"/>
    <w:rsid w:val="00B0121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paragrafi">
    <w:name w:val="paragrafi"/>
    <w:rsid w:val="00B0121D"/>
    <w:pPr>
      <w:spacing w:before="100" w:after="100" w:line="240" w:lineRule="auto"/>
    </w:pPr>
    <w:rPr>
      <w:rFonts w:ascii="Arial Unicode MS" w:eastAsia="Arial Unicode MS" w:hAnsi="Arial Unicode MS" w:cs="Arial Unicode MS"/>
      <w:color w:val="000000"/>
      <w:sz w:val="24"/>
      <w:szCs w:val="24"/>
      <w:u w:color="000000"/>
    </w:rPr>
  </w:style>
  <w:style w:type="paragraph" w:styleId="HTMLPreformatted">
    <w:name w:val="HTML Preformatted"/>
    <w:basedOn w:val="Normal"/>
    <w:link w:val="HTMLPreformattedChar"/>
    <w:uiPriority w:val="99"/>
    <w:unhideWhenUsed/>
    <w:rsid w:val="00B01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sq-AL" w:eastAsia="sq-AL"/>
    </w:rPr>
  </w:style>
  <w:style w:type="character" w:customStyle="1" w:styleId="HTMLPreformattedChar">
    <w:name w:val="HTML Preformatted Char"/>
    <w:basedOn w:val="DefaultParagraphFont"/>
    <w:link w:val="HTMLPreformatted"/>
    <w:uiPriority w:val="99"/>
    <w:rsid w:val="00B0121D"/>
    <w:rPr>
      <w:rFonts w:ascii="Courier New" w:eastAsia="Times New Roman" w:hAnsi="Courier New" w:cs="Courier New"/>
      <w:sz w:val="20"/>
      <w:szCs w:val="20"/>
      <w:lang w:val="sq-AL" w:eastAsia="sq-AL"/>
    </w:rPr>
  </w:style>
  <w:style w:type="character" w:customStyle="1" w:styleId="apple-converted-space">
    <w:name w:val="apple-converted-space"/>
    <w:rsid w:val="00B0121D"/>
  </w:style>
  <w:style w:type="numbering" w:customStyle="1" w:styleId="NoList2">
    <w:name w:val="No List2"/>
    <w:next w:val="NoList"/>
    <w:uiPriority w:val="99"/>
    <w:semiHidden/>
    <w:unhideWhenUsed/>
    <w:rsid w:val="00B0121D"/>
  </w:style>
  <w:style w:type="paragraph" w:customStyle="1" w:styleId="FreeForm">
    <w:name w:val="Free Form"/>
    <w:rsid w:val="00B0121D"/>
    <w:pPr>
      <w:spacing w:after="240" w:line="312" w:lineRule="auto"/>
    </w:pPr>
    <w:rPr>
      <w:rFonts w:ascii="Helvetica Neue" w:eastAsia="Times New Roman" w:hAnsi="Helvetica Neue" w:cs="Helvetica Neue"/>
      <w:color w:val="222222"/>
      <w:u w:color="222222"/>
    </w:rPr>
  </w:style>
  <w:style w:type="table" w:customStyle="1" w:styleId="TableGrid2">
    <w:name w:val="Table Grid2"/>
    <w:basedOn w:val="TableNormal"/>
    <w:next w:val="TableGrid"/>
    <w:uiPriority w:val="99"/>
    <w:rsid w:val="00B0121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1">
    <w:name w:val="Light Shading - Accent 111"/>
    <w:basedOn w:val="TableNormal"/>
    <w:uiPriority w:val="60"/>
    <w:rsid w:val="00B0121D"/>
    <w:pPr>
      <w:spacing w:after="0" w:line="240" w:lineRule="auto"/>
      <w:jc w:val="center"/>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1">
    <w:name w:val="Light Shading11"/>
    <w:basedOn w:val="TableNormal"/>
    <w:uiPriority w:val="60"/>
    <w:rsid w:val="00B0121D"/>
    <w:pPr>
      <w:spacing w:after="0" w:line="240" w:lineRule="auto"/>
      <w:jc w:val="center"/>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1-Accent21">
    <w:name w:val="Medium Grid 1 - Accent 21"/>
    <w:basedOn w:val="TableNormal"/>
    <w:next w:val="MediumGrid1-Accent2"/>
    <w:uiPriority w:val="34"/>
    <w:rsid w:val="00B0121D"/>
    <w:pPr>
      <w:spacing w:after="0" w:line="240" w:lineRule="auto"/>
    </w:pPr>
    <w:rPr>
      <w:rFonts w:ascii="Calibri" w:eastAsia="Calibri" w:hAnsi="Calibri" w:cs="Times New Roman"/>
      <w:sz w:val="24"/>
      <w:szCs w:val="24"/>
      <w:lang w:bidi="x-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ghtShading">
    <w:name w:val="Light Shading"/>
    <w:basedOn w:val="TableNormal"/>
    <w:uiPriority w:val="60"/>
    <w:rsid w:val="00B0121D"/>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
    <w:name w:val="Table Grid3"/>
    <w:basedOn w:val="TableNormal"/>
    <w:next w:val="TableGrid"/>
    <w:uiPriority w:val="99"/>
    <w:rsid w:val="00B0121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2">
    <w:name w:val="Light Shading - Accent 112"/>
    <w:basedOn w:val="TableNormal"/>
    <w:uiPriority w:val="60"/>
    <w:rsid w:val="00B0121D"/>
    <w:pPr>
      <w:spacing w:after="0" w:line="240" w:lineRule="auto"/>
      <w:jc w:val="center"/>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2">
    <w:name w:val="Light Shading12"/>
    <w:basedOn w:val="TableNormal"/>
    <w:uiPriority w:val="60"/>
    <w:rsid w:val="00B0121D"/>
    <w:pPr>
      <w:spacing w:after="0" w:line="240" w:lineRule="auto"/>
      <w:jc w:val="center"/>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1-Accent22">
    <w:name w:val="Medium Grid 1 - Accent 22"/>
    <w:basedOn w:val="TableNormal"/>
    <w:next w:val="MediumGrid1-Accent2"/>
    <w:uiPriority w:val="34"/>
    <w:rsid w:val="00B0121D"/>
    <w:pPr>
      <w:spacing w:after="0" w:line="240" w:lineRule="auto"/>
    </w:pPr>
    <w:rPr>
      <w:rFonts w:ascii="Calibri" w:eastAsia="Calibri" w:hAnsi="Calibri" w:cs="Times New Roman"/>
      <w:sz w:val="24"/>
      <w:szCs w:val="24"/>
      <w:lang w:bidi="x-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
    <w:name w:val="Table Grid4"/>
    <w:basedOn w:val="TableNormal"/>
    <w:next w:val="TableGrid"/>
    <w:uiPriority w:val="99"/>
    <w:rsid w:val="00B0121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3">
    <w:name w:val="Light Shading - Accent 113"/>
    <w:basedOn w:val="TableNormal"/>
    <w:uiPriority w:val="60"/>
    <w:rsid w:val="00B0121D"/>
    <w:pPr>
      <w:spacing w:after="0" w:line="240" w:lineRule="auto"/>
      <w:jc w:val="center"/>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3">
    <w:name w:val="Light Shading13"/>
    <w:basedOn w:val="TableNormal"/>
    <w:uiPriority w:val="60"/>
    <w:rsid w:val="00B0121D"/>
    <w:pPr>
      <w:spacing w:after="0" w:line="240" w:lineRule="auto"/>
      <w:jc w:val="center"/>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1-Accent23">
    <w:name w:val="Medium Grid 1 - Accent 23"/>
    <w:basedOn w:val="TableNormal"/>
    <w:next w:val="MediumGrid1-Accent2"/>
    <w:uiPriority w:val="34"/>
    <w:rsid w:val="00B0121D"/>
    <w:pPr>
      <w:spacing w:after="0" w:line="240" w:lineRule="auto"/>
    </w:pPr>
    <w:rPr>
      <w:rFonts w:ascii="Calibri" w:eastAsia="Calibri" w:hAnsi="Calibri" w:cs="Times New Roman"/>
      <w:sz w:val="24"/>
      <w:szCs w:val="24"/>
      <w:lang w:bidi="x-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5">
    <w:name w:val="Table Grid5"/>
    <w:basedOn w:val="TableNormal"/>
    <w:next w:val="TableGrid"/>
    <w:uiPriority w:val="99"/>
    <w:rsid w:val="00B0121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4">
    <w:name w:val="Light Shading - Accent 114"/>
    <w:basedOn w:val="TableNormal"/>
    <w:uiPriority w:val="60"/>
    <w:rsid w:val="00B0121D"/>
    <w:pPr>
      <w:spacing w:after="0" w:line="240" w:lineRule="auto"/>
      <w:jc w:val="center"/>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4">
    <w:name w:val="Light Shading14"/>
    <w:basedOn w:val="TableNormal"/>
    <w:uiPriority w:val="60"/>
    <w:rsid w:val="00B0121D"/>
    <w:pPr>
      <w:spacing w:after="0" w:line="240" w:lineRule="auto"/>
      <w:jc w:val="center"/>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1-Accent24">
    <w:name w:val="Medium Grid 1 - Accent 24"/>
    <w:basedOn w:val="TableNormal"/>
    <w:next w:val="MediumGrid1-Accent2"/>
    <w:uiPriority w:val="34"/>
    <w:rsid w:val="00B0121D"/>
    <w:pPr>
      <w:spacing w:after="0" w:line="240" w:lineRule="auto"/>
    </w:pPr>
    <w:rPr>
      <w:rFonts w:ascii="Calibri" w:eastAsia="Calibri" w:hAnsi="Calibri" w:cs="Times New Roman"/>
      <w:sz w:val="24"/>
      <w:szCs w:val="24"/>
      <w:lang w:bidi="x-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AutoCorrect">
    <w:name w:val="AutoCorrect"/>
    <w:rsid w:val="00B0121D"/>
    <w:rPr>
      <w:rFonts w:ascii="Calibri" w:eastAsia="Times New Roman" w:hAnsi="Calibri" w:cs="Times New Roman"/>
      <w:lang w:val="sq-AL" w:eastAsia="sq-AL"/>
    </w:rPr>
  </w:style>
  <w:style w:type="table" w:styleId="TableSimple1">
    <w:name w:val="Table Simple 1"/>
    <w:basedOn w:val="TableNormal"/>
    <w:rsid w:val="00B0121D"/>
    <w:pPr>
      <w:spacing w:after="0" w:line="240" w:lineRule="auto"/>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Emphasis">
    <w:name w:val="Emphasis"/>
    <w:qFormat/>
    <w:rsid w:val="00B012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80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7.emf"/><Relationship Id="rId26" Type="http://schemas.openxmlformats.org/officeDocument/2006/relationships/image" Target="media/image13.emf"/><Relationship Id="rId39" Type="http://schemas.openxmlformats.org/officeDocument/2006/relationships/image" Target="media/image26.gif"/><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gif"/><Relationship Id="rId47" Type="http://schemas.openxmlformats.org/officeDocument/2006/relationships/image" Target="media/image34.gif"/><Relationship Id="rId50" Type="http://schemas.openxmlformats.org/officeDocument/2006/relationships/chart" Target="charts/chart5.xml"/><Relationship Id="rId55" Type="http://schemas.openxmlformats.org/officeDocument/2006/relationships/chart" Target="charts/chart10.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6.png"/><Relationship Id="rId11" Type="http://schemas.openxmlformats.org/officeDocument/2006/relationships/image" Target="media/image4.emf"/><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image" Target="media/image24.gif"/><Relationship Id="rId40" Type="http://schemas.openxmlformats.org/officeDocument/2006/relationships/image" Target="media/image27.gif"/><Relationship Id="rId45" Type="http://schemas.openxmlformats.org/officeDocument/2006/relationships/image" Target="media/image32.gif"/><Relationship Id="rId53" Type="http://schemas.openxmlformats.org/officeDocument/2006/relationships/chart" Target="charts/chart8.xml"/><Relationship Id="rId58"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package" Target="embeddings/Microsoft_Word_Document5.doc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gif"/><Relationship Id="rId43" Type="http://schemas.openxmlformats.org/officeDocument/2006/relationships/image" Target="media/image30.gif"/><Relationship Id="rId48" Type="http://schemas.openxmlformats.org/officeDocument/2006/relationships/chart" Target="charts/chart3.xml"/><Relationship Id="rId56" Type="http://schemas.openxmlformats.org/officeDocument/2006/relationships/chart" Target="charts/chart11.xm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6.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package" Target="embeddings/Microsoft_Word_Document4.docx"/><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5.gif"/><Relationship Id="rId46" Type="http://schemas.openxmlformats.org/officeDocument/2006/relationships/image" Target="media/image33.gif"/><Relationship Id="rId59" Type="http://schemas.openxmlformats.org/officeDocument/2006/relationships/image" Target="media/image36.png"/><Relationship Id="rId20" Type="http://schemas.openxmlformats.org/officeDocument/2006/relationships/hyperlink" Target="https://www.tatime.gov.al/sq-al/Legjislacioni/COUNCIL_DECISIONS/Legjislacioni%20Tatimor/Tatimi%20mbi%20te%20Ardhurat/Ligji%20nr.%208438%20dt.%2028.12.1998.pdf" TargetMode="External"/><Relationship Id="rId41" Type="http://schemas.openxmlformats.org/officeDocument/2006/relationships/image" Target="media/image28.gif"/><Relationship Id="rId54" Type="http://schemas.openxmlformats.org/officeDocument/2006/relationships/chart" Target="charts/chart9.xm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3.docx"/><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gif"/><Relationship Id="rId49" Type="http://schemas.openxmlformats.org/officeDocument/2006/relationships/chart" Target="charts/chart4.xml"/><Relationship Id="rId57" Type="http://schemas.openxmlformats.org/officeDocument/2006/relationships/chart" Target="charts/chart12.xml"/><Relationship Id="rId10" Type="http://schemas.openxmlformats.org/officeDocument/2006/relationships/image" Target="media/image3.emf"/><Relationship Id="rId31" Type="http://schemas.openxmlformats.org/officeDocument/2006/relationships/image" Target="media/image18.png"/><Relationship Id="rId44" Type="http://schemas.openxmlformats.org/officeDocument/2006/relationships/image" Target="media/image31.gif"/><Relationship Id="rId52" Type="http://schemas.openxmlformats.org/officeDocument/2006/relationships/chart" Target="charts/chart7.xm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NULL"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NULL"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97" b="1"/>
            </a:pPr>
            <a:r>
              <a:rPr lang="en-US" sz="1197" b="1"/>
              <a:t>Transferta e Pakushtëzuar 2011-2017 </a:t>
            </a:r>
          </a:p>
        </c:rich>
      </c:tx>
      <c:layout>
        <c:manualLayout>
          <c:xMode val="edge"/>
          <c:yMode val="edge"/>
          <c:x val="0.28656471190198696"/>
          <c:y val="8.7962598425196853E-2"/>
        </c:manualLayout>
      </c:layout>
      <c:overlay val="0"/>
      <c:spPr>
        <a:noFill/>
        <a:ln w="25336">
          <a:noFill/>
        </a:ln>
      </c:spPr>
    </c:title>
    <c:autoTitleDeleted val="0"/>
    <c:plotArea>
      <c:layout>
        <c:manualLayout>
          <c:layoutTarget val="inner"/>
          <c:xMode val="edge"/>
          <c:yMode val="edge"/>
          <c:x val="0.13763779527559056"/>
          <c:y val="0.23184055118110236"/>
          <c:w val="0.75856837634284291"/>
          <c:h val="0.58273950131233598"/>
        </c:manualLayout>
      </c:layout>
      <c:lineChart>
        <c:grouping val="standard"/>
        <c:varyColors val="0"/>
        <c:ser>
          <c:idx val="0"/>
          <c:order val="0"/>
          <c:spPr>
            <a:ln>
              <a:solidFill>
                <a:srgbClr val="FF0000">
                  <a:alpha val="96000"/>
                </a:srgbClr>
              </a:solidFill>
            </a:ln>
          </c:spPr>
          <c:dLbls>
            <c:numFmt formatCode="#,##0" sourceLinked="0"/>
            <c:spPr>
              <a:noFill/>
              <a:ln w="25336">
                <a:noFill/>
              </a:ln>
            </c:spPr>
            <c:txPr>
              <a:bodyPr wrap="square" lIns="38100" tIns="19050" rIns="38100" bIns="19050" anchor="ctr">
                <a:spAutoFit/>
              </a:bodyPr>
              <a:lstStyle/>
              <a:p>
                <a:pPr>
                  <a:defRPr sz="1048" b="1"/>
                </a:pPr>
                <a:endParaRPr lang="sq-A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'Buxheti vendor ne % ndaj GDP'!$C$2:$I$2</c:f>
              <c:strCache>
                <c:ptCount val="7"/>
                <c:pt idx="0">
                  <c:v>2011 </c:v>
                </c:pt>
                <c:pt idx="1">
                  <c:v>2012 </c:v>
                </c:pt>
                <c:pt idx="2">
                  <c:v>2013 </c:v>
                </c:pt>
                <c:pt idx="3">
                  <c:v>2014 </c:v>
                </c:pt>
                <c:pt idx="4">
                  <c:v>2015 </c:v>
                </c:pt>
                <c:pt idx="5">
                  <c:v>2016 </c:v>
                </c:pt>
                <c:pt idx="6">
                  <c:v>P/Buxhet  2017</c:v>
                </c:pt>
              </c:strCache>
            </c:strRef>
          </c:cat>
          <c:val>
            <c:numRef>
              <c:f>'Buxheti vendor ne % ndaj GDP'!$C$6:$I$6</c:f>
              <c:numCache>
                <c:formatCode>#,##0</c:formatCode>
                <c:ptCount val="7"/>
                <c:pt idx="0">
                  <c:v>11228</c:v>
                </c:pt>
                <c:pt idx="1">
                  <c:v>11576</c:v>
                </c:pt>
                <c:pt idx="2">
                  <c:v>12153</c:v>
                </c:pt>
                <c:pt idx="3">
                  <c:v>13356</c:v>
                </c:pt>
                <c:pt idx="4">
                  <c:v>12335</c:v>
                </c:pt>
                <c:pt idx="5">
                  <c:v>13000</c:v>
                </c:pt>
                <c:pt idx="6">
                  <c:v>15500</c:v>
                </c:pt>
              </c:numCache>
            </c:numRef>
          </c:val>
          <c:smooth val="0"/>
        </c:ser>
        <c:dLbls>
          <c:showLegendKey val="0"/>
          <c:showVal val="0"/>
          <c:showCatName val="0"/>
          <c:showSerName val="0"/>
          <c:showPercent val="0"/>
          <c:showBubbleSize val="0"/>
        </c:dLbls>
        <c:marker val="1"/>
        <c:smooth val="0"/>
        <c:axId val="300258512"/>
        <c:axId val="300259072"/>
      </c:lineChart>
      <c:catAx>
        <c:axId val="300258512"/>
        <c:scaling>
          <c:orientation val="minMax"/>
        </c:scaling>
        <c:delete val="0"/>
        <c:axPos val="b"/>
        <c:numFmt formatCode="General" sourceLinked="1"/>
        <c:majorTickMark val="out"/>
        <c:minorTickMark val="none"/>
        <c:tickLblPos val="nextTo"/>
        <c:txPr>
          <a:bodyPr/>
          <a:lstStyle/>
          <a:p>
            <a:pPr>
              <a:defRPr sz="1098" b="1"/>
            </a:pPr>
            <a:endParaRPr lang="sq-AL"/>
          </a:p>
        </c:txPr>
        <c:crossAx val="300259072"/>
        <c:crosses val="autoZero"/>
        <c:auto val="1"/>
        <c:lblAlgn val="ctr"/>
        <c:lblOffset val="100"/>
        <c:noMultiLvlLbl val="0"/>
      </c:catAx>
      <c:valAx>
        <c:axId val="300259072"/>
        <c:scaling>
          <c:orientation val="minMax"/>
        </c:scaling>
        <c:delete val="0"/>
        <c:axPos val="l"/>
        <c:majorGridlines>
          <c:spPr>
            <a:ln>
              <a:solidFill>
                <a:schemeClr val="bg1"/>
              </a:solidFill>
              <a:prstDash val="sysDash"/>
            </a:ln>
          </c:spPr>
        </c:majorGridlines>
        <c:title>
          <c:tx>
            <c:rich>
              <a:bodyPr/>
              <a:lstStyle/>
              <a:p>
                <a:pPr>
                  <a:defRPr sz="994" b="1" i="0" u="none" strike="noStrike" baseline="0">
                    <a:solidFill>
                      <a:srgbClr val="000000"/>
                    </a:solidFill>
                    <a:latin typeface="Calibri"/>
                    <a:ea typeface="Calibri"/>
                    <a:cs typeface="Calibri"/>
                  </a:defRPr>
                </a:pPr>
                <a:r>
                  <a:rPr lang="en-US"/>
                  <a:t>Në mln lekë</a:t>
                </a:r>
              </a:p>
            </c:rich>
          </c:tx>
          <c:layout>
            <c:manualLayout>
              <c:xMode val="edge"/>
              <c:yMode val="edge"/>
              <c:x val="2.2881074883690077E-3"/>
              <c:y val="0.35538440507436575"/>
            </c:manualLayout>
          </c:layout>
          <c:overlay val="0"/>
          <c:spPr>
            <a:noFill/>
            <a:ln w="25336">
              <a:noFill/>
            </a:ln>
          </c:spPr>
        </c:title>
        <c:numFmt formatCode="#,##0" sourceLinked="1"/>
        <c:majorTickMark val="out"/>
        <c:minorTickMark val="none"/>
        <c:tickLblPos val="nextTo"/>
        <c:txPr>
          <a:bodyPr/>
          <a:lstStyle/>
          <a:p>
            <a:pPr>
              <a:defRPr sz="1098" b="1"/>
            </a:pPr>
            <a:endParaRPr lang="sq-AL"/>
          </a:p>
        </c:txPr>
        <c:crossAx val="300258512"/>
        <c:crosses val="autoZero"/>
        <c:crossBetween val="between"/>
      </c:valAx>
      <c:spPr>
        <a:noFill/>
        <a:ln w="25366">
          <a:noFill/>
        </a:ln>
      </c:spPr>
    </c:plotArea>
    <c:plotVisOnly val="1"/>
    <c:dispBlanksAs val="gap"/>
    <c:showDLblsOverMax val="0"/>
  </c:chart>
  <c:spPr>
    <a:noFill/>
    <a:ln>
      <a:noFill/>
    </a:ln>
    <a:effectLst>
      <a:glow rad="101600">
        <a:schemeClr val="tx1">
          <a:alpha val="40000"/>
        </a:schemeClr>
      </a:glow>
      <a:outerShdw blurRad="50800" dist="50800" dir="5400000" algn="ctr" rotWithShape="0">
        <a:schemeClr val="bg1"/>
      </a:outerShdw>
    </a:effectLst>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488077082273789E-2"/>
          <c:y val="2.2627723860098883E-2"/>
          <c:w val="0.81704764356541115"/>
          <c:h val="0.78133736189952985"/>
        </c:manualLayout>
      </c:layout>
      <c:barChart>
        <c:barDir val="col"/>
        <c:grouping val="stacked"/>
        <c:varyColors val="0"/>
        <c:ser>
          <c:idx val="5"/>
          <c:order val="5"/>
          <c:tx>
            <c:strRef>
              <c:f>'Kosto e Borxhit'!$M$6</c:f>
              <c:strCache>
                <c:ptCount val="1"/>
                <c:pt idx="0">
                  <c:v>Borxh Afatshkurtër</c:v>
                </c:pt>
              </c:strCache>
            </c:strRef>
          </c:tx>
          <c:spPr>
            <a:pattFill prst="dkDnDiag">
              <a:fgClr>
                <a:schemeClr val="accent1">
                  <a:lumMod val="60000"/>
                  <a:lumOff val="40000"/>
                </a:schemeClr>
              </a:fgClr>
              <a:bgClr>
                <a:schemeClr val="bg1"/>
              </a:bgClr>
            </a:pattFill>
          </c:spPr>
          <c:invertIfNegative val="0"/>
          <c:dLbls>
            <c:dLbl>
              <c:idx val="0"/>
              <c:layout>
                <c:manualLayout>
                  <c:x val="-1.144950767117037E-3"/>
                  <c:y val="0"/>
                </c:manualLayout>
              </c:layout>
              <c:spPr>
                <a:solidFill>
                  <a:schemeClr val="bg1"/>
                </a:solidFill>
                <a:ln>
                  <a:noFill/>
                </a:ln>
                <a:effectLst/>
              </c:spPr>
              <c:txPr>
                <a:bodyPr wrap="square" lIns="38100" tIns="19050" rIns="38100" bIns="19050" anchor="ctr">
                  <a:noAutofit/>
                </a:bodyPr>
                <a:lstStyle/>
                <a:p>
                  <a:pPr>
                    <a:defRPr sz="900" b="1">
                      <a:solidFill>
                        <a:schemeClr val="accent1">
                          <a:lumMod val="50000"/>
                        </a:schemeClr>
                      </a:solidFill>
                    </a:defRPr>
                  </a:pPr>
                  <a:endParaRPr lang="sq-AL"/>
                </a:p>
              </c:txPr>
              <c:showLegendKey val="0"/>
              <c:showVal val="1"/>
              <c:showCatName val="0"/>
              <c:showSerName val="0"/>
              <c:showPercent val="0"/>
              <c:showBubbleSize val="0"/>
              <c:extLst>
                <c:ext xmlns:c15="http://schemas.microsoft.com/office/drawing/2012/chart" uri="{CE6537A1-D6FC-4f65-9D91-7224C49458BB}">
                  <c15:layout>
                    <c:manualLayout>
                      <c:w val="6.5674376001831916E-2"/>
                      <c:h val="6.5930639096617116E-2"/>
                    </c:manualLayout>
                  </c15:layout>
                </c:ext>
              </c:extLst>
            </c:dLbl>
            <c:dLbl>
              <c:idx val="1"/>
              <c:spPr>
                <a:solidFill>
                  <a:schemeClr val="bg1"/>
                </a:solidFill>
                <a:ln>
                  <a:noFill/>
                </a:ln>
                <a:effectLst/>
              </c:spPr>
              <c:txPr>
                <a:bodyPr wrap="square" lIns="38100" tIns="19050" rIns="38100" bIns="19050" anchor="ctr">
                  <a:noAutofit/>
                </a:bodyPr>
                <a:lstStyle/>
                <a:p>
                  <a:pPr>
                    <a:defRPr sz="900" b="1">
                      <a:solidFill>
                        <a:schemeClr val="accent1">
                          <a:lumMod val="50000"/>
                        </a:schemeClr>
                      </a:solidFill>
                    </a:defRPr>
                  </a:pPr>
                  <a:endParaRPr lang="sq-A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4"/>
              <c:spPr>
                <a:solidFill>
                  <a:schemeClr val="bg1"/>
                </a:solidFill>
                <a:ln>
                  <a:noFill/>
                </a:ln>
                <a:effectLst/>
              </c:spPr>
              <c:txPr>
                <a:bodyPr wrap="square" lIns="38100" tIns="19050" rIns="38100" bIns="19050" anchor="ctr">
                  <a:noAutofit/>
                </a:bodyPr>
                <a:lstStyle/>
                <a:p>
                  <a:pPr>
                    <a:defRPr sz="900" b="1">
                      <a:solidFill>
                        <a:schemeClr val="accent1">
                          <a:lumMod val="50000"/>
                        </a:schemeClr>
                      </a:solidFill>
                    </a:defRPr>
                  </a:pPr>
                  <a:endParaRPr lang="sq-A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spPr>
              <a:solidFill>
                <a:schemeClr val="bg1"/>
              </a:solidFill>
              <a:ln>
                <a:noFill/>
              </a:ln>
              <a:effectLst/>
            </c:spPr>
            <c:txPr>
              <a:bodyPr wrap="square" lIns="38100" tIns="19050" rIns="38100" bIns="19050" anchor="ctr">
                <a:spAutoFit/>
              </a:bodyPr>
              <a:lstStyle/>
              <a:p>
                <a:pPr>
                  <a:defRPr sz="900" b="1">
                    <a:solidFill>
                      <a:schemeClr val="accent1">
                        <a:lumMod val="50000"/>
                      </a:schemeClr>
                    </a:solidFill>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'[1]Sherbimi i Borxhit'!$D$4:$Q$4</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Prsh-2016</c:v>
                </c:pt>
                <c:pt idx="12">
                  <c:v>Prsh-2017</c:v>
                </c:pt>
                <c:pt idx="13">
                  <c:v>Prsh-2018</c:v>
                </c:pt>
              </c:strCache>
            </c:strRef>
          </c:cat>
          <c:val>
            <c:numRef>
              <c:f>'Kosto e Borxhit'!$P$6:$T$6</c:f>
              <c:numCache>
                <c:formatCode>#,#00</c:formatCode>
                <c:ptCount val="5"/>
                <c:pt idx="0">
                  <c:v>250.352296</c:v>
                </c:pt>
                <c:pt idx="1">
                  <c:v>245.78210300000001</c:v>
                </c:pt>
                <c:pt idx="2">
                  <c:v>260.598905</c:v>
                </c:pt>
                <c:pt idx="3">
                  <c:v>223.82433799999998</c:v>
                </c:pt>
                <c:pt idx="4">
                  <c:v>210.285</c:v>
                </c:pt>
              </c:numCache>
            </c:numRef>
          </c:val>
        </c:ser>
        <c:ser>
          <c:idx val="6"/>
          <c:order val="6"/>
          <c:tx>
            <c:strRef>
              <c:f>'Kosto e Borxhit'!$M$7</c:f>
              <c:strCache>
                <c:ptCount val="1"/>
                <c:pt idx="0">
                  <c:v>Borxh Afatgjat</c:v>
                </c:pt>
              </c:strCache>
            </c:strRef>
          </c:tx>
          <c:spPr>
            <a:pattFill prst="dkDnDiag">
              <a:fgClr>
                <a:schemeClr val="accent2">
                  <a:lumMod val="60000"/>
                  <a:lumOff val="40000"/>
                </a:schemeClr>
              </a:fgClr>
              <a:bgClr>
                <a:schemeClr val="bg1"/>
              </a:bgClr>
            </a:pattFill>
          </c:spPr>
          <c:invertIfNegative val="0"/>
          <c:dLbls>
            <c:dLbl>
              <c:idx val="0"/>
              <c:spPr>
                <a:solidFill>
                  <a:schemeClr val="bg1"/>
                </a:solidFill>
                <a:ln>
                  <a:noFill/>
                </a:ln>
                <a:effectLst/>
              </c:spPr>
              <c:txPr>
                <a:bodyPr wrap="square" lIns="38100" tIns="19050" rIns="38100" bIns="19050" anchor="ctr">
                  <a:noAutofit/>
                </a:bodyPr>
                <a:lstStyle/>
                <a:p>
                  <a:pPr>
                    <a:defRPr sz="900" b="1">
                      <a:solidFill>
                        <a:schemeClr val="accent2">
                          <a:lumMod val="75000"/>
                        </a:schemeClr>
                      </a:solidFill>
                    </a:defRPr>
                  </a:pPr>
                  <a:endParaRPr lang="sq-A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2"/>
              <c:layout>
                <c:manualLayout>
                  <c:x val="2.289901534233944E-3"/>
                  <c:y val="0.10465124646928649"/>
                </c:manualLayout>
              </c:layout>
              <c:showLegendKey val="0"/>
              <c:showVal val="1"/>
              <c:showCatName val="0"/>
              <c:showSerName val="0"/>
              <c:showPercent val="0"/>
              <c:showBubbleSize val="0"/>
              <c:extLst>
                <c:ext xmlns:c15="http://schemas.microsoft.com/office/drawing/2012/chart" uri="{CE6537A1-D6FC-4f65-9D91-7224C49458BB}">
                  <c15:layout>
                    <c:manualLayout>
                      <c:w val="6.7964277536065945E-2"/>
                      <c:h val="7.1008069916622174E-2"/>
                    </c:manualLayout>
                  </c15:layout>
                </c:ext>
              </c:extLst>
            </c:dLbl>
            <c:dLbl>
              <c:idx val="3"/>
              <c:layout>
                <c:manualLayout>
                  <c:x val="8.014655369819013E-3"/>
                  <c:y val="9.3023130296070136E-2"/>
                </c:manualLayout>
              </c:layout>
              <c:spPr>
                <a:solidFill>
                  <a:schemeClr val="bg1"/>
                </a:solidFill>
                <a:ln>
                  <a:noFill/>
                </a:ln>
                <a:effectLst/>
              </c:spPr>
              <c:txPr>
                <a:bodyPr wrap="square" lIns="38100" tIns="19050" rIns="38100" bIns="19050" anchor="ctr">
                  <a:noAutofit/>
                </a:bodyPr>
                <a:lstStyle/>
                <a:p>
                  <a:pPr>
                    <a:defRPr sz="900" b="1">
                      <a:solidFill>
                        <a:schemeClr val="accent2">
                          <a:lumMod val="75000"/>
                        </a:schemeClr>
                      </a:solidFill>
                    </a:defRPr>
                  </a:pPr>
                  <a:endParaRPr lang="sq-AL"/>
                </a:p>
              </c:txPr>
              <c:showLegendKey val="0"/>
              <c:showVal val="1"/>
              <c:showCatName val="0"/>
              <c:showSerName val="0"/>
              <c:showPercent val="0"/>
              <c:showBubbleSize val="0"/>
              <c:extLst>
                <c:ext xmlns:c15="http://schemas.microsoft.com/office/drawing/2012/chart" uri="{CE6537A1-D6FC-4f65-9D91-7224C49458BB}">
                  <c15:layout>
                    <c:manualLayout>
                      <c:w val="8.3993588275704162E-2"/>
                      <c:h val="7.1008069916622174E-2"/>
                    </c:manualLayout>
                  </c15:layout>
                </c:ext>
              </c:extLst>
            </c:dLbl>
            <c:dLbl>
              <c:idx val="4"/>
              <c:layout>
                <c:manualLayout>
                  <c:x val="8.0147455234228192E-3"/>
                  <c:y val="0.13191884906237447"/>
                </c:manualLayout>
              </c:layout>
              <c:spPr>
                <a:solidFill>
                  <a:schemeClr val="bg1"/>
                </a:solidFill>
                <a:ln>
                  <a:noFill/>
                </a:ln>
                <a:effectLst/>
              </c:spPr>
              <c:txPr>
                <a:bodyPr wrap="square" lIns="38100" tIns="19050" rIns="38100" bIns="19050" anchor="ctr">
                  <a:noAutofit/>
                </a:bodyPr>
                <a:lstStyle/>
                <a:p>
                  <a:pPr>
                    <a:defRPr sz="900" b="1">
                      <a:solidFill>
                        <a:schemeClr val="accent2">
                          <a:lumMod val="75000"/>
                        </a:schemeClr>
                      </a:solidFill>
                    </a:defRPr>
                  </a:pPr>
                  <a:endParaRPr lang="sq-AL"/>
                </a:p>
              </c:txPr>
              <c:showLegendKey val="0"/>
              <c:showVal val="1"/>
              <c:showCatName val="0"/>
              <c:showSerName val="0"/>
              <c:showPercent val="0"/>
              <c:showBubbleSize val="0"/>
              <c:extLst>
                <c:ext xmlns:c15="http://schemas.microsoft.com/office/drawing/2012/chart" uri="{CE6537A1-D6FC-4f65-9D91-7224C49458BB}">
                  <c15:layout>
                    <c:manualLayout>
                      <c:w val="8.3993588275704162E-2"/>
                      <c:h val="6.5930639096617116E-2"/>
                    </c:manualLayout>
                  </c15:layout>
                </c:ext>
              </c:extLst>
            </c:dLbl>
            <c:spPr>
              <a:solidFill>
                <a:schemeClr val="bg1"/>
              </a:solidFill>
              <a:ln>
                <a:noFill/>
              </a:ln>
              <a:effectLst/>
            </c:spPr>
            <c:txPr>
              <a:bodyPr wrap="square" lIns="38100" tIns="19050" rIns="38100" bIns="19050" anchor="ctr">
                <a:spAutoFit/>
              </a:bodyPr>
              <a:lstStyle/>
              <a:p>
                <a:pPr>
                  <a:defRPr sz="900" b="1">
                    <a:solidFill>
                      <a:schemeClr val="accent2">
                        <a:lumMod val="75000"/>
                      </a:schemeClr>
                    </a:solidFill>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'Kosto e Borxhit'!$P$3:$T$3</c:f>
              <c:numCache>
                <c:formatCode>General</c:formatCode>
                <c:ptCount val="5"/>
                <c:pt idx="0">
                  <c:v>2012</c:v>
                </c:pt>
                <c:pt idx="1">
                  <c:v>2013</c:v>
                </c:pt>
                <c:pt idx="2">
                  <c:v>2014</c:v>
                </c:pt>
                <c:pt idx="3">
                  <c:v>2015</c:v>
                </c:pt>
                <c:pt idx="4" formatCode="mmm\-yy">
                  <c:v>42629</c:v>
                </c:pt>
              </c:numCache>
            </c:numRef>
          </c:cat>
          <c:val>
            <c:numRef>
              <c:f>'Kosto e Borxhit'!$P$7:$T$7</c:f>
              <c:numCache>
                <c:formatCode>#,#00</c:formatCode>
                <c:ptCount val="5"/>
                <c:pt idx="0">
                  <c:v>204.34287</c:v>
                </c:pt>
                <c:pt idx="1">
                  <c:v>255.08624</c:v>
                </c:pt>
                <c:pt idx="2">
                  <c:v>278.04168400000003</c:v>
                </c:pt>
                <c:pt idx="3">
                  <c:v>297.11114099999998</c:v>
                </c:pt>
                <c:pt idx="4">
                  <c:v>319.17599999999999</c:v>
                </c:pt>
              </c:numCache>
            </c:numRef>
          </c:val>
        </c:ser>
        <c:dLbls>
          <c:showLegendKey val="0"/>
          <c:showVal val="0"/>
          <c:showCatName val="0"/>
          <c:showSerName val="0"/>
          <c:showPercent val="0"/>
          <c:showBubbleSize val="0"/>
        </c:dLbls>
        <c:gapWidth val="150"/>
        <c:overlap val="100"/>
        <c:axId val="375042016"/>
        <c:axId val="375041456"/>
      </c:barChart>
      <c:lineChart>
        <c:grouping val="standard"/>
        <c:varyColors val="0"/>
        <c:ser>
          <c:idx val="3"/>
          <c:order val="3"/>
          <c:tx>
            <c:strRef>
              <c:f>'Kosto e Borxhit'!$M$4</c:f>
              <c:strCache>
                <c:ptCount val="1"/>
                <c:pt idx="0">
                  <c:v>Kosto mesatare B.Brendshëm</c:v>
                </c:pt>
              </c:strCache>
            </c:strRef>
          </c:tx>
          <c:spPr>
            <a:ln>
              <a:solidFill>
                <a:srgbClr val="920000"/>
              </a:solidFill>
            </a:ln>
          </c:spPr>
          <c:marker>
            <c:symbol val="star"/>
            <c:size val="4"/>
            <c:spPr>
              <a:solidFill>
                <a:srgbClr val="920000"/>
              </a:solidFill>
              <a:ln>
                <a:solidFill>
                  <a:srgbClr val="920000"/>
                </a:solidFill>
              </a:ln>
            </c:spPr>
          </c:marker>
          <c:dLbls>
            <c:dLbl>
              <c:idx val="1"/>
              <c:layout>
                <c:manualLayout>
                  <c:x val="-2.6222890439143675E-2"/>
                  <c:y val="-4.263565891472868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2274326694330675E-2"/>
                  <c:y val="-4.651162790697674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0342908367913349E-2"/>
                  <c:y val="-4.263565891472871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6308617531122016E-2"/>
                  <c:y val="-4.651162790697681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b="1">
                    <a:solidFill>
                      <a:srgbClr val="920000"/>
                    </a:solidFill>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'Kosto e Borxhit'!$P$3:$T$3</c:f>
              <c:numCache>
                <c:formatCode>General</c:formatCode>
                <c:ptCount val="5"/>
                <c:pt idx="0">
                  <c:v>2012</c:v>
                </c:pt>
                <c:pt idx="1">
                  <c:v>2013</c:v>
                </c:pt>
                <c:pt idx="2">
                  <c:v>2014</c:v>
                </c:pt>
                <c:pt idx="3">
                  <c:v>2015</c:v>
                </c:pt>
                <c:pt idx="4" formatCode="mmm\-yy">
                  <c:v>42629</c:v>
                </c:pt>
              </c:numCache>
            </c:numRef>
          </c:cat>
          <c:val>
            <c:numRef>
              <c:f>'Kosto e Borxhit'!$P$4:$T$4</c:f>
              <c:numCache>
                <c:formatCode>0.00%</c:formatCode>
                <c:ptCount val="5"/>
                <c:pt idx="0">
                  <c:v>7.8398894188340507E-2</c:v>
                </c:pt>
                <c:pt idx="1">
                  <c:v>6.7229999999999998E-2</c:v>
                </c:pt>
                <c:pt idx="2">
                  <c:v>5.3809999999999997E-2</c:v>
                </c:pt>
                <c:pt idx="3">
                  <c:v>5.3100000000000001E-2</c:v>
                </c:pt>
                <c:pt idx="4">
                  <c:v>4.4900000000000002E-2</c:v>
                </c:pt>
              </c:numCache>
            </c:numRef>
          </c:val>
          <c:smooth val="1"/>
        </c:ser>
        <c:dLbls>
          <c:showLegendKey val="0"/>
          <c:showVal val="0"/>
          <c:showCatName val="0"/>
          <c:showSerName val="0"/>
          <c:showPercent val="0"/>
          <c:showBubbleSize val="0"/>
        </c:dLbls>
        <c:marker val="1"/>
        <c:smooth val="0"/>
        <c:axId val="375040336"/>
        <c:axId val="375040896"/>
        <c:extLst>
          <c:ext xmlns:c15="http://schemas.microsoft.com/office/drawing/2012/chart" uri="{02D57815-91ED-43cb-92C2-25804820EDAC}">
            <c15:filteredLineSeries>
              <c15:ser>
                <c:idx val="0"/>
                <c:order val="0"/>
                <c:tx>
                  <c:strRef>
                    <c:extLst>
                      <c:ext uri="{02D57815-91ED-43cb-92C2-25804820EDAC}">
                        <c15:formulaRef>
                          <c15:sqref>'[1]Sherbimi i Borxhit'!$C$5</c15:sqref>
                        </c15:formulaRef>
                      </c:ext>
                    </c:extLst>
                    <c:strCache>
                      <c:ptCount val="1"/>
                      <c:pt idx="0">
                        <c:v>Interesa Gjithsej</c:v>
                      </c:pt>
                    </c:strCache>
                  </c:strRef>
                </c:tx>
                <c:cat>
                  <c:numRef>
                    <c:extLst>
                      <c:ext uri="{02D57815-91ED-43cb-92C2-25804820EDAC}">
                        <c15:formulaRef>
                          <c15:sqref>'Kosto e Borxhit'!$P$3:$T$3</c15:sqref>
                        </c15:formulaRef>
                      </c:ext>
                    </c:extLst>
                    <c:numCache>
                      <c:formatCode>General</c:formatCode>
                      <c:ptCount val="5"/>
                      <c:pt idx="0">
                        <c:v>2012</c:v>
                      </c:pt>
                      <c:pt idx="1">
                        <c:v>2013</c:v>
                      </c:pt>
                      <c:pt idx="2">
                        <c:v>2014</c:v>
                      </c:pt>
                      <c:pt idx="3">
                        <c:v>2015</c:v>
                      </c:pt>
                      <c:pt idx="4" formatCode="mmm\-yy">
                        <c:v>42629</c:v>
                      </c:pt>
                    </c:numCache>
                  </c:numRef>
                </c:cat>
                <c:val>
                  <c:numRef>
                    <c:extLst>
                      <c:ext uri="{02D57815-91ED-43cb-92C2-25804820EDAC}">
                        <c15:formulaRef>
                          <c15:sqref>'[1]Sherbimi i Borxhit'!$D$5:$Q$5</c15:sqref>
                        </c15:formulaRef>
                      </c:ext>
                    </c:extLst>
                    <c:numCache>
                      <c:formatCode>General</c:formatCode>
                      <c:ptCount val="14"/>
                      <c:pt idx="0">
                        <c:v>26029</c:v>
                      </c:pt>
                      <c:pt idx="1">
                        <c:v>25005.576802475003</c:v>
                      </c:pt>
                      <c:pt idx="2">
                        <c:v>25594.393650042501</c:v>
                      </c:pt>
                      <c:pt idx="3">
                        <c:v>31306.559826190001</c:v>
                      </c:pt>
                      <c:pt idx="4">
                        <c:v>36301</c:v>
                      </c:pt>
                      <c:pt idx="5">
                        <c:v>41604</c:v>
                      </c:pt>
                      <c:pt idx="6">
                        <c:v>41121</c:v>
                      </c:pt>
                      <c:pt idx="7">
                        <c:v>41497.184999999998</c:v>
                      </c:pt>
                      <c:pt idx="8">
                        <c:v>43335</c:v>
                      </c:pt>
                      <c:pt idx="9">
                        <c:v>39937</c:v>
                      </c:pt>
                      <c:pt idx="10">
                        <c:v>38642</c:v>
                      </c:pt>
                      <c:pt idx="11">
                        <c:v>43031</c:v>
                      </c:pt>
                      <c:pt idx="12">
                        <c:v>47954</c:v>
                      </c:pt>
                      <c:pt idx="13">
                        <c:v>51083</c:v>
                      </c:pt>
                    </c:numCache>
                  </c:numRef>
                </c:val>
                <c:smooth val="0"/>
              </c15:ser>
            </c15:filteredLineSeries>
            <c15:filteredLineSeries>
              <c15:ser>
                <c:idx val="1"/>
                <c:order val="1"/>
                <c:tx>
                  <c:strRef>
                    <c:extLst xmlns:c15="http://schemas.microsoft.com/office/drawing/2012/chart">
                      <c:ext xmlns:c15="http://schemas.microsoft.com/office/drawing/2012/chart" uri="{02D57815-91ED-43cb-92C2-25804820EDAC}">
                        <c15:formulaRef>
                          <c15:sqref>'[1]Sherbimi i Borxhit'!$C$6</c15:sqref>
                        </c15:formulaRef>
                      </c:ext>
                    </c:extLst>
                    <c:strCache>
                      <c:ptCount val="1"/>
                      <c:pt idx="0">
                        <c:v>Pagesa Principali</c:v>
                      </c:pt>
                    </c:strCache>
                  </c:strRef>
                </c:tx>
                <c:cat>
                  <c:numRef>
                    <c:extLst xmlns:c15="http://schemas.microsoft.com/office/drawing/2012/chart">
                      <c:ext xmlns:c15="http://schemas.microsoft.com/office/drawing/2012/chart" uri="{02D57815-91ED-43cb-92C2-25804820EDAC}">
                        <c15:formulaRef>
                          <c15:sqref>'Kosto e Borxhit'!$P$3:$T$3</c15:sqref>
                        </c15:formulaRef>
                      </c:ext>
                    </c:extLst>
                    <c:numCache>
                      <c:formatCode>General</c:formatCode>
                      <c:ptCount val="5"/>
                      <c:pt idx="0">
                        <c:v>2012</c:v>
                      </c:pt>
                      <c:pt idx="1">
                        <c:v>2013</c:v>
                      </c:pt>
                      <c:pt idx="2">
                        <c:v>2014</c:v>
                      </c:pt>
                      <c:pt idx="3">
                        <c:v>2015</c:v>
                      </c:pt>
                      <c:pt idx="4" formatCode="mmm\-yy">
                        <c:v>42629</c:v>
                      </c:pt>
                    </c:numCache>
                  </c:numRef>
                </c:cat>
                <c:val>
                  <c:numRef>
                    <c:extLst xmlns:c15="http://schemas.microsoft.com/office/drawing/2012/chart">
                      <c:ext xmlns:c15="http://schemas.microsoft.com/office/drawing/2012/chart" uri="{02D57815-91ED-43cb-92C2-25804820EDAC}">
                        <c15:formulaRef>
                          <c15:sqref>'[1]Sherbimi i Borxhit'!$D$6:$Q$6</c15:sqref>
                        </c15:formulaRef>
                      </c:ext>
                    </c:extLst>
                    <c:numCache>
                      <c:formatCode>General</c:formatCode>
                      <c:ptCount val="14"/>
                      <c:pt idx="0">
                        <c:v>3364</c:v>
                      </c:pt>
                      <c:pt idx="1">
                        <c:v>4589.9721761090004</c:v>
                      </c:pt>
                      <c:pt idx="2">
                        <c:v>4098.3022303164398</c:v>
                      </c:pt>
                      <c:pt idx="3">
                        <c:v>4248.1795488899998</c:v>
                      </c:pt>
                      <c:pt idx="4">
                        <c:v>5760</c:v>
                      </c:pt>
                      <c:pt idx="5">
                        <c:v>6512</c:v>
                      </c:pt>
                      <c:pt idx="6">
                        <c:v>7613</c:v>
                      </c:pt>
                      <c:pt idx="7">
                        <c:v>10669</c:v>
                      </c:pt>
                      <c:pt idx="8">
                        <c:v>12774</c:v>
                      </c:pt>
                      <c:pt idx="9">
                        <c:v>17845</c:v>
                      </c:pt>
                      <c:pt idx="10">
                        <c:v>61693</c:v>
                      </c:pt>
                      <c:pt idx="11">
                        <c:v>25917</c:v>
                      </c:pt>
                      <c:pt idx="12">
                        <c:v>31220</c:v>
                      </c:pt>
                      <c:pt idx="13">
                        <c:v>35737</c:v>
                      </c:pt>
                    </c:numCache>
                  </c:numRef>
                </c:val>
                <c:smooth val="0"/>
              </c15:ser>
            </c15:filteredLineSeries>
            <c15:filteredLineSeries>
              <c15:ser>
                <c:idx val="2"/>
                <c:order val="2"/>
                <c:tx>
                  <c:strRef>
                    <c:extLst xmlns:c15="http://schemas.microsoft.com/office/drawing/2012/chart">
                      <c:ext xmlns:c15="http://schemas.microsoft.com/office/drawing/2012/chart" uri="{02D57815-91ED-43cb-92C2-25804820EDAC}">
                        <c15:formulaRef>
                          <c15:sqref>'[1]Sherbimi i Borxhit'!$C$7</c15:sqref>
                        </c15:formulaRef>
                      </c:ext>
                    </c:extLst>
                    <c:strCache>
                      <c:ptCount val="1"/>
                      <c:pt idx="0">
                        <c:v>PBB</c:v>
                      </c:pt>
                    </c:strCache>
                  </c:strRef>
                </c:tx>
                <c:cat>
                  <c:numRef>
                    <c:extLst xmlns:c15="http://schemas.microsoft.com/office/drawing/2012/chart">
                      <c:ext xmlns:c15="http://schemas.microsoft.com/office/drawing/2012/chart" uri="{02D57815-91ED-43cb-92C2-25804820EDAC}">
                        <c15:formulaRef>
                          <c15:sqref>'Kosto e Borxhit'!$P$3:$T$3</c15:sqref>
                        </c15:formulaRef>
                      </c:ext>
                    </c:extLst>
                    <c:numCache>
                      <c:formatCode>General</c:formatCode>
                      <c:ptCount val="5"/>
                      <c:pt idx="0">
                        <c:v>2012</c:v>
                      </c:pt>
                      <c:pt idx="1">
                        <c:v>2013</c:v>
                      </c:pt>
                      <c:pt idx="2">
                        <c:v>2014</c:v>
                      </c:pt>
                      <c:pt idx="3">
                        <c:v>2015</c:v>
                      </c:pt>
                      <c:pt idx="4" formatCode="mmm\-yy">
                        <c:v>42629</c:v>
                      </c:pt>
                    </c:numCache>
                  </c:numRef>
                </c:cat>
                <c:val>
                  <c:numRef>
                    <c:extLst xmlns:c15="http://schemas.microsoft.com/office/drawing/2012/chart">
                      <c:ext xmlns:c15="http://schemas.microsoft.com/office/drawing/2012/chart" uri="{02D57815-91ED-43cb-92C2-25804820EDAC}">
                        <c15:formulaRef>
                          <c15:sqref>'[1]Sherbimi i Borxhit'!$D$7:$Q$7</c15:sqref>
                        </c15:formulaRef>
                      </c:ext>
                    </c:extLst>
                    <c:numCache>
                      <c:formatCode>General</c:formatCode>
                      <c:ptCount val="14"/>
                      <c:pt idx="0">
                        <c:v>814796.70788440679</c:v>
                      </c:pt>
                      <c:pt idx="1">
                        <c:v>882208.78941676242</c:v>
                      </c:pt>
                      <c:pt idx="2">
                        <c:v>967670.36728495872</c:v>
                      </c:pt>
                      <c:pt idx="3">
                        <c:v>1080675.9312000242</c:v>
                      </c:pt>
                      <c:pt idx="4">
                        <c:v>1143936.4575750476</c:v>
                      </c:pt>
                      <c:pt idx="5">
                        <c:v>1239644.5847360452</c:v>
                      </c:pt>
                      <c:pt idx="6">
                        <c:v>1300624.0154602923</c:v>
                      </c:pt>
                      <c:pt idx="7">
                        <c:v>1332810.9892830553</c:v>
                      </c:pt>
                      <c:pt idx="8">
                        <c:v>1350554.7870817133</c:v>
                      </c:pt>
                      <c:pt idx="9">
                        <c:v>1400549</c:v>
                      </c:pt>
                      <c:pt idx="10">
                        <c:v>1444741.3527434976</c:v>
                      </c:pt>
                      <c:pt idx="11">
                        <c:v>1530465</c:v>
                      </c:pt>
                      <c:pt idx="12">
                        <c:v>1637000</c:v>
                      </c:pt>
                      <c:pt idx="13">
                        <c:v>1760000</c:v>
                      </c:pt>
                    </c:numCache>
                  </c:numRef>
                </c:val>
                <c:smooth val="0"/>
              </c15:ser>
            </c15:filteredLineSeries>
            <c15:filteredLineSeries>
              <c15:ser>
                <c:idx val="4"/>
                <c:order val="4"/>
                <c:tx>
                  <c:strRef>
                    <c:extLst xmlns:c15="http://schemas.microsoft.com/office/drawing/2012/chart">
                      <c:ext xmlns:c15="http://schemas.microsoft.com/office/drawing/2012/chart" uri="{02D57815-91ED-43cb-92C2-25804820EDAC}">
                        <c15:formulaRef>
                          <c15:sqref>'[1]Sherbimi i Borxhit'!$C$9</c15:sqref>
                        </c15:formulaRef>
                      </c:ext>
                    </c:extLst>
                    <c:strCache>
                      <c:ptCount val="1"/>
                      <c:pt idx="0">
                        <c:v>Debt Service/GDP</c:v>
                      </c:pt>
                    </c:strCache>
                  </c:strRef>
                </c:tx>
                <c:spPr>
                  <a:ln>
                    <a:solidFill>
                      <a:schemeClr val="accent1">
                        <a:lumMod val="75000"/>
                      </a:schemeClr>
                    </a:solidFill>
                  </a:ln>
                </c:spPr>
                <c:marker>
                  <c:symbol val="triangle"/>
                  <c:size val="5"/>
                  <c:spPr>
                    <a:solidFill>
                      <a:schemeClr val="accent1">
                        <a:lumMod val="75000"/>
                      </a:schemeClr>
                    </a:solidFill>
                    <a:ln>
                      <a:solidFill>
                        <a:schemeClr val="accent1">
                          <a:lumMod val="75000"/>
                        </a:schemeClr>
                      </a:solidFill>
                    </a:ln>
                  </c:spPr>
                </c:marker>
                <c:cat>
                  <c:numRef>
                    <c:extLst xmlns:c15="http://schemas.microsoft.com/office/drawing/2012/chart">
                      <c:ext xmlns:c15="http://schemas.microsoft.com/office/drawing/2012/chart" uri="{02D57815-91ED-43cb-92C2-25804820EDAC}">
                        <c15:formulaRef>
                          <c15:sqref>'Kosto e Borxhit'!$P$3:$T$3</c15:sqref>
                        </c15:formulaRef>
                      </c:ext>
                    </c:extLst>
                    <c:numCache>
                      <c:formatCode>General</c:formatCode>
                      <c:ptCount val="5"/>
                      <c:pt idx="0">
                        <c:v>2012</c:v>
                      </c:pt>
                      <c:pt idx="1">
                        <c:v>2013</c:v>
                      </c:pt>
                      <c:pt idx="2">
                        <c:v>2014</c:v>
                      </c:pt>
                      <c:pt idx="3">
                        <c:v>2015</c:v>
                      </c:pt>
                      <c:pt idx="4" formatCode="mmm\-yy">
                        <c:v>42629</c:v>
                      </c:pt>
                    </c:numCache>
                  </c:numRef>
                </c:cat>
                <c:val>
                  <c:numRef>
                    <c:extLst xmlns:c15="http://schemas.microsoft.com/office/drawing/2012/chart">
                      <c:ext xmlns:c15="http://schemas.microsoft.com/office/drawing/2012/chart" uri="{02D57815-91ED-43cb-92C2-25804820EDAC}">
                        <c15:formulaRef>
                          <c15:sqref>'[1]Sherbimi i Borxhit'!$D$9:$Q$9</c15:sqref>
                        </c15:formulaRef>
                      </c:ext>
                    </c:extLst>
                    <c:numCache>
                      <c:formatCode>General</c:formatCode>
                      <c:ptCount val="14"/>
                      <c:pt idx="0">
                        <c:v>3.6074028914915443E-2</c:v>
                      </c:pt>
                      <c:pt idx="1">
                        <c:v>3.3547102832822528E-2</c:v>
                      </c:pt>
                      <c:pt idx="2">
                        <c:v>3.0684721661643134E-2</c:v>
                      </c:pt>
                      <c:pt idx="3">
                        <c:v>3.2900463819526958E-2</c:v>
                      </c:pt>
                      <c:pt idx="4">
                        <c:v>3.6768650672400309E-2</c:v>
                      </c:pt>
                      <c:pt idx="5">
                        <c:v>3.8814350978062982E-2</c:v>
                      </c:pt>
                      <c:pt idx="6">
                        <c:v>3.7469706403009159E-2</c:v>
                      </c:pt>
                      <c:pt idx="7">
                        <c:v>3.9139972148684934E-2</c:v>
                      </c:pt>
                      <c:pt idx="8">
                        <c:v>4.1545149102200182E-2</c:v>
                      </c:pt>
                      <c:pt idx="9">
                        <c:v>4.1256678631022552E-2</c:v>
                      </c:pt>
                      <c:pt idx="10">
                        <c:v>6.9448417053660463E-2</c:v>
                      </c:pt>
                      <c:pt idx="11">
                        <c:v>4.5050360511347858E-2</c:v>
                      </c:pt>
                      <c:pt idx="12">
                        <c:v>4.8365302382406841E-2</c:v>
                      </c:pt>
                      <c:pt idx="13">
                        <c:v>4.9329545454545452E-2</c:v>
                      </c:pt>
                    </c:numCache>
                  </c:numRef>
                </c:val>
                <c:smooth val="0"/>
              </c15:ser>
            </c15:filteredLineSeries>
          </c:ext>
        </c:extLst>
      </c:lineChart>
      <c:catAx>
        <c:axId val="375040336"/>
        <c:scaling>
          <c:orientation val="minMax"/>
        </c:scaling>
        <c:delete val="0"/>
        <c:axPos val="b"/>
        <c:numFmt formatCode="General" sourceLinked="1"/>
        <c:majorTickMark val="out"/>
        <c:minorTickMark val="none"/>
        <c:tickLblPos val="nextTo"/>
        <c:txPr>
          <a:bodyPr/>
          <a:lstStyle/>
          <a:p>
            <a:pPr>
              <a:defRPr b="0"/>
            </a:pPr>
            <a:endParaRPr lang="sq-AL"/>
          </a:p>
        </c:txPr>
        <c:crossAx val="375040896"/>
        <c:crosses val="autoZero"/>
        <c:auto val="1"/>
        <c:lblAlgn val="ctr"/>
        <c:lblOffset val="100"/>
        <c:noMultiLvlLbl val="0"/>
      </c:catAx>
      <c:valAx>
        <c:axId val="375040896"/>
        <c:scaling>
          <c:orientation val="minMax"/>
          <c:min val="0"/>
        </c:scaling>
        <c:delete val="0"/>
        <c:axPos val="l"/>
        <c:numFmt formatCode="0.0%" sourceLinked="0"/>
        <c:majorTickMark val="out"/>
        <c:minorTickMark val="none"/>
        <c:tickLblPos val="nextTo"/>
        <c:txPr>
          <a:bodyPr/>
          <a:lstStyle/>
          <a:p>
            <a:pPr>
              <a:defRPr sz="900" b="0"/>
            </a:pPr>
            <a:endParaRPr lang="sq-AL"/>
          </a:p>
        </c:txPr>
        <c:crossAx val="375040336"/>
        <c:crosses val="autoZero"/>
        <c:crossBetween val="between"/>
      </c:valAx>
      <c:valAx>
        <c:axId val="375041456"/>
        <c:scaling>
          <c:orientation val="minMax"/>
        </c:scaling>
        <c:delete val="0"/>
        <c:axPos val="r"/>
        <c:numFmt formatCode="#,##0" sourceLinked="0"/>
        <c:majorTickMark val="out"/>
        <c:minorTickMark val="none"/>
        <c:tickLblPos val="nextTo"/>
        <c:txPr>
          <a:bodyPr/>
          <a:lstStyle/>
          <a:p>
            <a:pPr>
              <a:defRPr sz="900" b="0"/>
            </a:pPr>
            <a:endParaRPr lang="sq-AL"/>
          </a:p>
        </c:txPr>
        <c:crossAx val="375042016"/>
        <c:crosses val="max"/>
        <c:crossBetween val="between"/>
      </c:valAx>
      <c:catAx>
        <c:axId val="375042016"/>
        <c:scaling>
          <c:orientation val="minMax"/>
        </c:scaling>
        <c:delete val="1"/>
        <c:axPos val="b"/>
        <c:numFmt formatCode="General" sourceLinked="1"/>
        <c:majorTickMark val="out"/>
        <c:minorTickMark val="none"/>
        <c:tickLblPos val="nextTo"/>
        <c:crossAx val="375041456"/>
        <c:crosses val="autoZero"/>
        <c:auto val="1"/>
        <c:lblAlgn val="ctr"/>
        <c:lblOffset val="100"/>
        <c:noMultiLvlLbl val="0"/>
      </c:catAx>
      <c:spPr>
        <a:noFill/>
      </c:spPr>
    </c:plotArea>
    <c:legend>
      <c:legendPos val="b"/>
      <c:layout>
        <c:manualLayout>
          <c:xMode val="edge"/>
          <c:yMode val="edge"/>
          <c:x val="2.3384402344714929E-2"/>
          <c:y val="0.9118174203852849"/>
          <c:w val="0.90787323517645802"/>
          <c:h val="7.0088811572971976E-2"/>
        </c:manualLayout>
      </c:layout>
      <c:overlay val="0"/>
      <c:txPr>
        <a:bodyPr/>
        <a:lstStyle/>
        <a:p>
          <a:pPr>
            <a:defRPr b="0" i="0"/>
          </a:pPr>
          <a:endParaRPr lang="sq-AL"/>
        </a:p>
      </c:txPr>
    </c:legend>
    <c:plotVisOnly val="1"/>
    <c:dispBlanksAs val="gap"/>
    <c:showDLblsOverMax val="0"/>
  </c:chart>
  <c:spPr>
    <a:noFill/>
  </c:sp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rAngAx val="0"/>
    </c:view3D>
    <c:floor>
      <c:thickness val="0"/>
    </c:floor>
    <c:sideWall>
      <c:thickness val="0"/>
      <c:spPr>
        <a:noFill/>
      </c:spPr>
    </c:sideWall>
    <c:backWall>
      <c:thickness val="0"/>
      <c:spPr>
        <a:noFill/>
      </c:spPr>
    </c:backWall>
    <c:plotArea>
      <c:layout>
        <c:manualLayout>
          <c:layoutTarget val="inner"/>
          <c:xMode val="edge"/>
          <c:yMode val="edge"/>
          <c:x val="8.802405018521621E-2"/>
          <c:y val="5.0925925925925923E-2"/>
          <c:w val="0.88597122168239606"/>
          <c:h val="0.71732210557013698"/>
        </c:manualLayout>
      </c:layout>
      <c:bar3DChart>
        <c:barDir val="col"/>
        <c:grouping val="clustered"/>
        <c:varyColors val="0"/>
        <c:ser>
          <c:idx val="0"/>
          <c:order val="0"/>
          <c:tx>
            <c:strRef>
              <c:f>'Aktoret e Kerkeses'!$C$34</c:f>
              <c:strCache>
                <c:ptCount val="1"/>
                <c:pt idx="0">
                  <c:v>Sht-15</c:v>
                </c:pt>
              </c:strCache>
            </c:strRef>
          </c:tx>
          <c:invertIfNegative val="0"/>
          <c:dLbls>
            <c:numFmt formatCode="0.0%" sourceLinked="0"/>
            <c:spPr>
              <a:noFill/>
              <a:ln>
                <a:noFill/>
              </a:ln>
              <a:effectLst/>
            </c:spPr>
            <c:txPr>
              <a:bodyPr/>
              <a:lstStyle/>
              <a:p>
                <a:pPr>
                  <a:defRPr sz="900" b="1">
                    <a:solidFill>
                      <a:schemeClr val="accent1">
                        <a:lumMod val="50000"/>
                      </a:schemeClr>
                    </a:solidFill>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'Aktoret e Kerkeses'!$B$35:$B$39</c:f>
              <c:strCache>
                <c:ptCount val="5"/>
                <c:pt idx="0">
                  <c:v>Banka e Shqipërisë</c:v>
                </c:pt>
                <c:pt idx="1">
                  <c:v>Sektori Bankar</c:v>
                </c:pt>
                <c:pt idx="2">
                  <c:v>Inst. Financiare</c:v>
                </c:pt>
                <c:pt idx="3">
                  <c:v>Inst. Jofinanciare</c:v>
                </c:pt>
                <c:pt idx="4">
                  <c:v>Individë</c:v>
                </c:pt>
              </c:strCache>
            </c:strRef>
          </c:cat>
          <c:val>
            <c:numRef>
              <c:f>'Aktoret e Kerkeses'!$C$35:$C$39</c:f>
              <c:numCache>
                <c:formatCode>#,#00%</c:formatCode>
                <c:ptCount val="5"/>
                <c:pt idx="0">
                  <c:v>0.20469999999999999</c:v>
                </c:pt>
                <c:pt idx="1">
                  <c:v>0.5212</c:v>
                </c:pt>
                <c:pt idx="2">
                  <c:v>0.12470000000000001</c:v>
                </c:pt>
                <c:pt idx="3">
                  <c:v>6.7000000000000002E-3</c:v>
                </c:pt>
                <c:pt idx="4">
                  <c:v>0.14269999999999999</c:v>
                </c:pt>
              </c:numCache>
            </c:numRef>
          </c:val>
        </c:ser>
        <c:ser>
          <c:idx val="1"/>
          <c:order val="1"/>
          <c:tx>
            <c:strRef>
              <c:f>'Aktoret e Kerkeses'!$D$34</c:f>
              <c:strCache>
                <c:ptCount val="1"/>
                <c:pt idx="0">
                  <c:v>Sht-16</c:v>
                </c:pt>
              </c:strCache>
            </c:strRef>
          </c:tx>
          <c:spPr>
            <a:solidFill>
              <a:srgbClr val="C00000"/>
            </a:solidFill>
          </c:spPr>
          <c:invertIfNegative val="0"/>
          <c:dLbls>
            <c:numFmt formatCode="0.0%" sourceLinked="0"/>
            <c:spPr>
              <a:noFill/>
              <a:ln>
                <a:noFill/>
              </a:ln>
              <a:effectLst/>
            </c:spPr>
            <c:txPr>
              <a:bodyPr/>
              <a:lstStyle/>
              <a:p>
                <a:pPr>
                  <a:defRPr sz="900" b="1">
                    <a:solidFill>
                      <a:schemeClr val="accent2">
                        <a:lumMod val="50000"/>
                      </a:schemeClr>
                    </a:solidFill>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'Aktoret e Kerkeses'!$B$35:$B$39</c:f>
              <c:strCache>
                <c:ptCount val="5"/>
                <c:pt idx="0">
                  <c:v>Banka e Shqipërisë</c:v>
                </c:pt>
                <c:pt idx="1">
                  <c:v>Sektori Bankar</c:v>
                </c:pt>
                <c:pt idx="2">
                  <c:v>Inst. Financiare</c:v>
                </c:pt>
                <c:pt idx="3">
                  <c:v>Inst. Jofinanciare</c:v>
                </c:pt>
                <c:pt idx="4">
                  <c:v>Individë</c:v>
                </c:pt>
              </c:strCache>
            </c:strRef>
          </c:cat>
          <c:val>
            <c:numRef>
              <c:f>'Aktoret e Kerkeses'!$D$35:$D$39</c:f>
              <c:numCache>
                <c:formatCode>#,#00%</c:formatCode>
                <c:ptCount val="5"/>
                <c:pt idx="0">
                  <c:v>0.16980000000000001</c:v>
                </c:pt>
                <c:pt idx="1">
                  <c:v>0.56059999999999999</c:v>
                </c:pt>
                <c:pt idx="2">
                  <c:v>0.1293</c:v>
                </c:pt>
                <c:pt idx="3">
                  <c:v>5.7000000000000002E-3</c:v>
                </c:pt>
                <c:pt idx="4">
                  <c:v>0.1346</c:v>
                </c:pt>
              </c:numCache>
            </c:numRef>
          </c:val>
        </c:ser>
        <c:dLbls>
          <c:showLegendKey val="0"/>
          <c:showVal val="1"/>
          <c:showCatName val="0"/>
          <c:showSerName val="0"/>
          <c:showPercent val="0"/>
          <c:showBubbleSize val="0"/>
        </c:dLbls>
        <c:gapWidth val="75"/>
        <c:shape val="box"/>
        <c:axId val="373388720"/>
        <c:axId val="373389280"/>
        <c:axId val="0"/>
      </c:bar3DChart>
      <c:catAx>
        <c:axId val="373388720"/>
        <c:scaling>
          <c:orientation val="minMax"/>
        </c:scaling>
        <c:delete val="0"/>
        <c:axPos val="b"/>
        <c:numFmt formatCode="General" sourceLinked="0"/>
        <c:majorTickMark val="none"/>
        <c:minorTickMark val="none"/>
        <c:tickLblPos val="nextTo"/>
        <c:txPr>
          <a:bodyPr/>
          <a:lstStyle/>
          <a:p>
            <a:pPr>
              <a:defRPr sz="900"/>
            </a:pPr>
            <a:endParaRPr lang="sq-AL"/>
          </a:p>
        </c:txPr>
        <c:crossAx val="373389280"/>
        <c:crosses val="autoZero"/>
        <c:auto val="1"/>
        <c:lblAlgn val="ctr"/>
        <c:lblOffset val="100"/>
        <c:noMultiLvlLbl val="0"/>
      </c:catAx>
      <c:valAx>
        <c:axId val="373389280"/>
        <c:scaling>
          <c:orientation val="minMax"/>
          <c:max val="0.60000000000000009"/>
        </c:scaling>
        <c:delete val="0"/>
        <c:axPos val="l"/>
        <c:numFmt formatCode="#,#00%" sourceLinked="1"/>
        <c:majorTickMark val="none"/>
        <c:minorTickMark val="none"/>
        <c:tickLblPos val="nextTo"/>
        <c:txPr>
          <a:bodyPr/>
          <a:lstStyle/>
          <a:p>
            <a:pPr>
              <a:defRPr sz="900"/>
            </a:pPr>
            <a:endParaRPr lang="sq-AL"/>
          </a:p>
        </c:txPr>
        <c:crossAx val="373388720"/>
        <c:crosses val="autoZero"/>
        <c:crossBetween val="between"/>
      </c:valAx>
    </c:plotArea>
    <c:legend>
      <c:legendPos val="b"/>
      <c:overlay val="0"/>
      <c:txPr>
        <a:bodyPr/>
        <a:lstStyle/>
        <a:p>
          <a:pPr>
            <a:defRPr sz="900"/>
          </a:pPr>
          <a:endParaRPr lang="sq-AL"/>
        </a:p>
      </c:txPr>
    </c:legend>
    <c:plotVisOnly val="1"/>
    <c:dispBlanksAs val="gap"/>
    <c:showDLblsOverMax val="0"/>
  </c:chart>
  <c:spPr>
    <a:noFill/>
    <a:ln>
      <a:solidFill>
        <a:schemeClr val="tx1">
          <a:lumMod val="50000"/>
          <a:lumOff val="50000"/>
        </a:schemeClr>
      </a:solid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Sheet2!$C$4</c:f>
              <c:strCache>
                <c:ptCount val="1"/>
                <c:pt idx="0">
                  <c:v>2014</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7625429879966933E-2"/>
                  <c:y val="-3.463202938541334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925045516702381E-2"/>
                  <c:y val="-3.848003265045919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625429879966933E-2"/>
                  <c:y val="-3.463202938541327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7375581602308201E-2"/>
                  <c:y val="-4.232803591550519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7375581602308264E-2"/>
                  <c:y val="-3.463202938541327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2750354018796295E-2"/>
                  <c:y val="-4.617603918055104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3875682750535716E-2"/>
                  <c:y val="-4.232803591550512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90006068893652E-2"/>
                  <c:y val="-3.463202938541331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7375581602308319E-2"/>
                  <c:y val="-3.463202938541327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Sheet2!$B$5:$B$13</c:f>
              <c:strCache>
                <c:ptCount val="9"/>
                <c:pt idx="0">
                  <c:v>B.Th 3m</c:v>
                </c:pt>
                <c:pt idx="1">
                  <c:v>B.Th 6m</c:v>
                </c:pt>
                <c:pt idx="2">
                  <c:v>B.Th 9m</c:v>
                </c:pt>
                <c:pt idx="3">
                  <c:v>B.Th 12m</c:v>
                </c:pt>
                <c:pt idx="4">
                  <c:v>Obl. 2 vj</c:v>
                </c:pt>
                <c:pt idx="5">
                  <c:v>Obl. 3 vj</c:v>
                </c:pt>
                <c:pt idx="6">
                  <c:v>Obl. 5 vj</c:v>
                </c:pt>
                <c:pt idx="7">
                  <c:v>Obl. 7 vj</c:v>
                </c:pt>
                <c:pt idx="8">
                  <c:v>Obl. 10 vj</c:v>
                </c:pt>
              </c:strCache>
            </c:strRef>
          </c:cat>
          <c:val>
            <c:numRef>
              <c:f>Sheet2!$C$5:$C$13</c:f>
              <c:numCache>
                <c:formatCode>0.00%</c:formatCode>
                <c:ptCount val="9"/>
                <c:pt idx="0">
                  <c:v>3.1E-2</c:v>
                </c:pt>
                <c:pt idx="1">
                  <c:v>3.32E-2</c:v>
                </c:pt>
                <c:pt idx="2">
                  <c:v>3.7900000000000003E-2</c:v>
                </c:pt>
                <c:pt idx="3">
                  <c:v>3.4500000000000003E-2</c:v>
                </c:pt>
                <c:pt idx="4">
                  <c:v>4.8899999999999999E-2</c:v>
                </c:pt>
                <c:pt idx="5">
                  <c:v>5.7700000000000001E-2</c:v>
                </c:pt>
                <c:pt idx="6">
                  <c:v>6.6199999999999995E-2</c:v>
                </c:pt>
                <c:pt idx="7">
                  <c:v>7.7600000000000002E-2</c:v>
                </c:pt>
                <c:pt idx="8">
                  <c:v>9.2600000000000002E-2</c:v>
                </c:pt>
              </c:numCache>
            </c:numRef>
          </c:val>
          <c:smooth val="0"/>
        </c:ser>
        <c:ser>
          <c:idx val="1"/>
          <c:order val="1"/>
          <c:tx>
            <c:strRef>
              <c:f>Sheet2!$D$4</c:f>
              <c:strCache>
                <c:ptCount val="1"/>
                <c:pt idx="0">
                  <c:v>2015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dLbl>
              <c:idx val="0"/>
              <c:layout>
                <c:manualLayout>
                  <c:x val="-2.4375379305853175E-2"/>
                  <c:y val="3.078402612036736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4625227583511905E-2"/>
                  <c:y val="2.308801959027552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9500303444682541E-2"/>
                  <c:y val="3.078402612036736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95003034446826E-2"/>
                  <c:y val="3.848003265045912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787527815762566E-2"/>
                  <c:y val="3.4632029385413279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9500303444682541E-2"/>
                  <c:y val="4.2328035915505047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9500303444682659E-2"/>
                  <c:y val="3.8480032650459198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3000202296455146E-2"/>
                  <c:y val="3.463202938541327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Sheet2!$B$5:$B$13</c:f>
              <c:strCache>
                <c:ptCount val="9"/>
                <c:pt idx="0">
                  <c:v>B.Th 3m</c:v>
                </c:pt>
                <c:pt idx="1">
                  <c:v>B.Th 6m</c:v>
                </c:pt>
                <c:pt idx="2">
                  <c:v>B.Th 9m</c:v>
                </c:pt>
                <c:pt idx="3">
                  <c:v>B.Th 12m</c:v>
                </c:pt>
                <c:pt idx="4">
                  <c:v>Obl. 2 vj</c:v>
                </c:pt>
                <c:pt idx="5">
                  <c:v>Obl. 3 vj</c:v>
                </c:pt>
                <c:pt idx="6">
                  <c:v>Obl. 5 vj</c:v>
                </c:pt>
                <c:pt idx="7">
                  <c:v>Obl. 7 vj</c:v>
                </c:pt>
                <c:pt idx="8">
                  <c:v>Obl. 10 vj</c:v>
                </c:pt>
              </c:strCache>
            </c:strRef>
          </c:cat>
          <c:val>
            <c:numRef>
              <c:f>Sheet2!$D$5:$D$13</c:f>
              <c:numCache>
                <c:formatCode>0.00%</c:formatCode>
                <c:ptCount val="9"/>
                <c:pt idx="0">
                  <c:v>2.87E-2</c:v>
                </c:pt>
                <c:pt idx="1">
                  <c:v>3.0300000000000001E-2</c:v>
                </c:pt>
                <c:pt idx="3">
                  <c:v>3.3300000000000003E-2</c:v>
                </c:pt>
                <c:pt idx="4">
                  <c:v>4.82E-2</c:v>
                </c:pt>
                <c:pt idx="5">
                  <c:v>5.7200000000000001E-2</c:v>
                </c:pt>
                <c:pt idx="6">
                  <c:v>6.4899999999999999E-2</c:v>
                </c:pt>
                <c:pt idx="7">
                  <c:v>7.5200000000000003E-2</c:v>
                </c:pt>
                <c:pt idx="8">
                  <c:v>8.9599999999999999E-2</c:v>
                </c:pt>
              </c:numCache>
            </c:numRef>
          </c:val>
          <c:smooth val="0"/>
        </c:ser>
        <c:ser>
          <c:idx val="2"/>
          <c:order val="2"/>
          <c:tx>
            <c:strRef>
              <c:f>Sheet2!$E$4</c:f>
              <c:strCache>
                <c:ptCount val="1"/>
                <c:pt idx="0">
                  <c:v>9m-16</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2.7625429879966933E-2"/>
                  <c:y val="3.463202938541327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4375379305853203E-2"/>
                  <c:y val="3.463202938541327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6000404592910052E-2"/>
                  <c:y val="3.848003265045919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2750354018796357E-2"/>
                  <c:y val="3.848003265045919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6250252870568783E-2"/>
                  <c:y val="4.2328035915505047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4625227583511905E-2"/>
                  <c:y val="3.848003265045912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Sheet2!$B$5:$B$13</c:f>
              <c:strCache>
                <c:ptCount val="9"/>
                <c:pt idx="0">
                  <c:v>B.Th 3m</c:v>
                </c:pt>
                <c:pt idx="1">
                  <c:v>B.Th 6m</c:v>
                </c:pt>
                <c:pt idx="2">
                  <c:v>B.Th 9m</c:v>
                </c:pt>
                <c:pt idx="3">
                  <c:v>B.Th 12m</c:v>
                </c:pt>
                <c:pt idx="4">
                  <c:v>Obl. 2 vj</c:v>
                </c:pt>
                <c:pt idx="5">
                  <c:v>Obl. 3 vj</c:v>
                </c:pt>
                <c:pt idx="6">
                  <c:v>Obl. 5 vj</c:v>
                </c:pt>
                <c:pt idx="7">
                  <c:v>Obl. 7 vj</c:v>
                </c:pt>
                <c:pt idx="8">
                  <c:v>Obl. 10 vj</c:v>
                </c:pt>
              </c:strCache>
            </c:strRef>
          </c:cat>
          <c:val>
            <c:numRef>
              <c:f>Sheet2!$E$5:$E$13</c:f>
              <c:numCache>
                <c:formatCode>0.00%</c:formatCode>
                <c:ptCount val="9"/>
                <c:pt idx="0">
                  <c:v>1.0999999999999999E-2</c:v>
                </c:pt>
                <c:pt idx="1">
                  <c:v>1.23E-2</c:v>
                </c:pt>
                <c:pt idx="3">
                  <c:v>1.5699999999999999E-2</c:v>
                </c:pt>
                <c:pt idx="4">
                  <c:v>1.9599999999999999E-2</c:v>
                </c:pt>
                <c:pt idx="5">
                  <c:v>3.7045000000000002E-2</c:v>
                </c:pt>
                <c:pt idx="6">
                  <c:v>4.7300000000000002E-2</c:v>
                </c:pt>
                <c:pt idx="7">
                  <c:v>4.9000000000000002E-2</c:v>
                </c:pt>
                <c:pt idx="8">
                  <c:v>7.0300000000000001E-2</c:v>
                </c:pt>
              </c:numCache>
            </c:numRef>
          </c:val>
          <c:smooth val="0"/>
        </c:ser>
        <c:dLbls>
          <c:showLegendKey val="0"/>
          <c:showVal val="0"/>
          <c:showCatName val="0"/>
          <c:showSerName val="0"/>
          <c:showPercent val="0"/>
          <c:showBubbleSize val="0"/>
        </c:dLbls>
        <c:marker val="1"/>
        <c:smooth val="0"/>
        <c:axId val="373392640"/>
        <c:axId val="373393200"/>
      </c:lineChart>
      <c:catAx>
        <c:axId val="373392640"/>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373393200"/>
        <c:crosses val="autoZero"/>
        <c:auto val="1"/>
        <c:lblAlgn val="ctr"/>
        <c:lblOffset val="100"/>
        <c:noMultiLvlLbl val="0"/>
      </c:catAx>
      <c:valAx>
        <c:axId val="373393200"/>
        <c:scaling>
          <c:orientation val="minMax"/>
        </c:scaling>
        <c:delete val="0"/>
        <c:axPos val="l"/>
        <c:numFmt formatCode="0.00%"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373392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sq-A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a:ea typeface="Arial"/>
                <a:cs typeface="Arial"/>
              </a:defRPr>
            </a:pPr>
            <a:endParaRPr lang="en-US"/>
          </a:p>
        </c:rich>
      </c:tx>
      <c:overlay val="1"/>
      <c:spPr>
        <a:noFill/>
        <a:ln w="25374">
          <a:noFill/>
        </a:ln>
      </c:spPr>
    </c:title>
    <c:autoTitleDeleted val="0"/>
    <c:plotArea>
      <c:layout>
        <c:manualLayout>
          <c:layoutTarget val="inner"/>
          <c:xMode val="edge"/>
          <c:yMode val="edge"/>
          <c:x val="0.10074135818088904"/>
          <c:y val="0.16993683481872457"/>
          <c:w val="0.82354236409071624"/>
          <c:h val="0.63899599088575465"/>
        </c:manualLayout>
      </c:layout>
      <c:barChart>
        <c:barDir val="col"/>
        <c:grouping val="clustered"/>
        <c:varyColors val="0"/>
        <c:ser>
          <c:idx val="0"/>
          <c:order val="0"/>
          <c:tx>
            <c:strRef>
              <c:f>'Buxheti vendor ne % ndaj GDP'!$B$10</c:f>
              <c:strCache>
                <c:ptCount val="1"/>
                <c:pt idx="0">
                  <c:v>Te Ardhura nga taksat dhe tarifat vendore</c:v>
                </c:pt>
              </c:strCache>
            </c:strRef>
          </c:tx>
          <c:spPr>
            <a:solidFill>
              <a:srgbClr val="FF0000">
                <a:alpha val="64000"/>
              </a:srgbClr>
            </a:solidFill>
            <a:ln>
              <a:solidFill>
                <a:schemeClr val="accent3">
                  <a:lumMod val="50000"/>
                </a:schemeClr>
              </a:solidFill>
            </a:ln>
            <a:effectLst/>
          </c:spPr>
          <c:invertIfNegative val="0"/>
          <c:dLbls>
            <c:spPr>
              <a:solidFill>
                <a:schemeClr val="bg1"/>
              </a:solidFill>
              <a:ln w="9516" cap="flat" cmpd="sng" algn="ctr">
                <a:solidFill>
                  <a:schemeClr val="accent3">
                    <a:shade val="95000"/>
                    <a:satMod val="105000"/>
                  </a:schemeClr>
                </a:solidFill>
                <a:prstDash val="solid"/>
              </a:ln>
              <a:effectLst>
                <a:outerShdw blurRad="40000" dist="20000" dir="5400000" rotWithShape="0">
                  <a:srgbClr val="000000"/>
                </a:outerShdw>
              </a:effectLst>
            </c:spPr>
            <c:txPr>
              <a:bodyPr/>
              <a:lstStyle/>
              <a:p>
                <a:pPr>
                  <a:defRPr sz="1050" b="1" i="0" u="none" strike="noStrike" baseline="0">
                    <a:solidFill>
                      <a:srgbClr val="000000"/>
                    </a:solidFill>
                    <a:latin typeface="Times New Roman"/>
                    <a:ea typeface="Times New Roman"/>
                    <a:cs typeface="Times New Roman"/>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('Buxheti vendor ne % ndaj GDP'!$E$2,'Buxheti vendor ne % ndaj GDP'!$I$2)</c:f>
              <c:strCache>
                <c:ptCount val="2"/>
                <c:pt idx="0">
                  <c:v>2013 </c:v>
                </c:pt>
                <c:pt idx="1">
                  <c:v>P/Buxhet  2017</c:v>
                </c:pt>
              </c:strCache>
            </c:strRef>
          </c:cat>
          <c:val>
            <c:numRef>
              <c:f>('Buxheti vendor ne % ndaj GDP'!$E$10,'Buxheti vendor ne % ndaj GDP'!$I$10)</c:f>
              <c:numCache>
                <c:formatCode>#,##0</c:formatCode>
                <c:ptCount val="2"/>
                <c:pt idx="0">
                  <c:v>10824.7</c:v>
                </c:pt>
                <c:pt idx="1">
                  <c:v>15400</c:v>
                </c:pt>
              </c:numCache>
            </c:numRef>
          </c:val>
        </c:ser>
        <c:ser>
          <c:idx val="1"/>
          <c:order val="1"/>
          <c:tx>
            <c:strRef>
              <c:f>'Buxheti vendor ne % ndaj GDP'!$B$4</c:f>
              <c:strCache>
                <c:ptCount val="1"/>
                <c:pt idx="0">
                  <c:v>Shpenzimet për Pushtetin Vendor</c:v>
                </c:pt>
              </c:strCache>
            </c:strRef>
          </c:tx>
          <c:spPr>
            <a:solidFill>
              <a:srgbClr val="1F497D">
                <a:lumMod val="60000"/>
                <a:lumOff val="40000"/>
                <a:alpha val="89000"/>
              </a:srgbClr>
            </a:solidFill>
            <a:ln>
              <a:solidFill>
                <a:schemeClr val="accent4">
                  <a:lumMod val="50000"/>
                </a:schemeClr>
              </a:solidFill>
            </a:ln>
            <a:effectLst>
              <a:outerShdw blurRad="469900" dir="10980000" sx="22000" sy="22000" algn="ctr" rotWithShape="0">
                <a:srgbClr val="000000">
                  <a:alpha val="75000"/>
                </a:srgbClr>
              </a:outerShdw>
              <a:softEdge rad="0"/>
            </a:effectLst>
          </c:spPr>
          <c:invertIfNegative val="0"/>
          <c:dPt>
            <c:idx val="0"/>
            <c:invertIfNegative val="0"/>
            <c:bubble3D val="0"/>
          </c:dPt>
          <c:dLbls>
            <c:dLbl>
              <c:idx val="0"/>
              <c:spPr>
                <a:solidFill>
                  <a:sysClr val="window" lastClr="FFFFFF"/>
                </a:solidFill>
                <a:ln>
                  <a:solidFill>
                    <a:schemeClr val="tx1"/>
                  </a:solidFill>
                </a:ln>
                <a:effectLst>
                  <a:outerShdw blurRad="50800" dist="50800" dir="5400000" algn="ctr" rotWithShape="0">
                    <a:srgbClr val="000000"/>
                  </a:outerShdw>
                </a:effectLst>
              </c:spPr>
              <c:txPr>
                <a:bodyPr/>
                <a:lstStyle/>
                <a:p>
                  <a:pPr>
                    <a:defRPr sz="1050" b="1" i="0" u="none" strike="noStrike" baseline="0">
                      <a:solidFill>
                        <a:srgbClr val="000000"/>
                      </a:solidFill>
                      <a:latin typeface="Times New Roman"/>
                      <a:ea typeface="Times New Roman"/>
                      <a:cs typeface="Times New Roman"/>
                    </a:defRPr>
                  </a:pPr>
                  <a:endParaRPr lang="sq-AL"/>
                </a:p>
              </c:txPr>
              <c:showLegendKey val="0"/>
              <c:showVal val="1"/>
              <c:showCatName val="0"/>
              <c:showSerName val="0"/>
              <c:showPercent val="0"/>
              <c:showBubbleSize val="0"/>
            </c:dLbl>
            <c:dLbl>
              <c:idx val="1"/>
              <c:dLblPos val="outEnd"/>
              <c:showLegendKey val="0"/>
              <c:showVal val="1"/>
              <c:showCatName val="0"/>
              <c:showSerName val="0"/>
              <c:showPercent val="0"/>
              <c:showBubbleSize val="0"/>
              <c:extLst>
                <c:ext xmlns:c15="http://schemas.microsoft.com/office/drawing/2012/chart" uri="{CE6537A1-D6FC-4f65-9D91-7224C49458BB}"/>
              </c:extLst>
            </c:dLbl>
            <c:spPr>
              <a:solidFill>
                <a:sysClr val="window" lastClr="FFFFFF"/>
              </a:solidFill>
              <a:ln>
                <a:solidFill>
                  <a:schemeClr val="accent4">
                    <a:lumMod val="60000"/>
                    <a:lumOff val="40000"/>
                  </a:schemeClr>
                </a:solidFill>
              </a:ln>
              <a:effectLst>
                <a:outerShdw blurRad="50800" dist="50800" dir="5400000" algn="ctr" rotWithShape="0">
                  <a:srgbClr val="000000"/>
                </a:outerShdw>
              </a:effectLst>
            </c:spPr>
            <c:txPr>
              <a:bodyPr/>
              <a:lstStyle/>
              <a:p>
                <a:pPr>
                  <a:defRPr sz="1050" b="1" i="0" u="none" strike="noStrike" baseline="0">
                    <a:solidFill>
                      <a:srgbClr val="000000"/>
                    </a:solidFill>
                    <a:latin typeface="Times New Roman"/>
                    <a:ea typeface="Times New Roman"/>
                    <a:cs typeface="Times New Roman"/>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('Buxheti vendor ne % ndaj GDP'!$E$2,'Buxheti vendor ne % ndaj GDP'!$I$2)</c:f>
              <c:strCache>
                <c:ptCount val="2"/>
                <c:pt idx="0">
                  <c:v>2013 </c:v>
                </c:pt>
                <c:pt idx="1">
                  <c:v>P/Buxhet  2017</c:v>
                </c:pt>
              </c:strCache>
            </c:strRef>
          </c:cat>
          <c:val>
            <c:numRef>
              <c:f>('Buxheti vendor ne % ndaj GDP'!$E$4,'Buxheti vendor ne % ndaj GDP'!$I$4)</c:f>
              <c:numCache>
                <c:formatCode>#,##0</c:formatCode>
                <c:ptCount val="2"/>
                <c:pt idx="0">
                  <c:v>29787</c:v>
                </c:pt>
                <c:pt idx="1">
                  <c:v>50743</c:v>
                </c:pt>
              </c:numCache>
            </c:numRef>
          </c:val>
        </c:ser>
        <c:dLbls>
          <c:showLegendKey val="0"/>
          <c:showVal val="0"/>
          <c:showCatName val="0"/>
          <c:showSerName val="0"/>
          <c:showPercent val="0"/>
          <c:showBubbleSize val="0"/>
        </c:dLbls>
        <c:gapWidth val="109"/>
        <c:axId val="300262992"/>
        <c:axId val="300263552"/>
      </c:barChart>
      <c:catAx>
        <c:axId val="300262992"/>
        <c:scaling>
          <c:orientation val="minMax"/>
        </c:scaling>
        <c:delete val="0"/>
        <c:axPos val="b"/>
        <c:numFmt formatCode="General" sourceLinked="1"/>
        <c:majorTickMark val="none"/>
        <c:minorTickMark val="none"/>
        <c:tickLblPos val="nextTo"/>
        <c:spPr>
          <a:noFill/>
          <a:ln w="9516" cap="flat" cmpd="sng" algn="ctr">
            <a:solidFill>
              <a:schemeClr val="tx1">
                <a:lumMod val="15000"/>
                <a:lumOff val="85000"/>
              </a:schemeClr>
            </a:solidFill>
            <a:round/>
          </a:ln>
          <a:effectLst/>
        </c:spPr>
        <c:txPr>
          <a:bodyPr rot="0" vert="horz"/>
          <a:lstStyle/>
          <a:p>
            <a:pPr>
              <a:defRPr sz="1050" b="1" i="0" u="none" strike="noStrike" baseline="0">
                <a:solidFill>
                  <a:srgbClr val="000000"/>
                </a:solidFill>
                <a:latin typeface="Times New Roman"/>
                <a:ea typeface="Times New Roman"/>
                <a:cs typeface="Times New Roman"/>
              </a:defRPr>
            </a:pPr>
            <a:endParaRPr lang="sq-AL"/>
          </a:p>
        </c:txPr>
        <c:crossAx val="300263552"/>
        <c:crosses val="autoZero"/>
        <c:auto val="0"/>
        <c:lblAlgn val="ctr"/>
        <c:lblOffset val="100"/>
        <c:noMultiLvlLbl val="0"/>
      </c:catAx>
      <c:valAx>
        <c:axId val="300263552"/>
        <c:scaling>
          <c:orientation val="minMax"/>
        </c:scaling>
        <c:delete val="0"/>
        <c:axPos val="l"/>
        <c:majorGridlines>
          <c:spPr>
            <a:ln w="9516" cap="flat" cmpd="sng" algn="ctr">
              <a:solidFill>
                <a:schemeClr val="bg1">
                  <a:alpha val="87000"/>
                </a:schemeClr>
              </a:solidFill>
              <a:round/>
            </a:ln>
            <a:effectLst/>
          </c:spPr>
        </c:majorGridlines>
        <c:numFmt formatCode="#,##0" sourceLinked="1"/>
        <c:majorTickMark val="none"/>
        <c:minorTickMark val="none"/>
        <c:tickLblPos val="nextTo"/>
        <c:spPr>
          <a:ln w="9516">
            <a:noFill/>
          </a:ln>
        </c:spPr>
        <c:txPr>
          <a:bodyPr rot="0" vert="horz"/>
          <a:lstStyle/>
          <a:p>
            <a:pPr>
              <a:defRPr sz="1050" b="1" i="0" u="none" strike="noStrike" baseline="0">
                <a:solidFill>
                  <a:srgbClr val="000000"/>
                </a:solidFill>
                <a:latin typeface="Times New Roman"/>
                <a:ea typeface="Times New Roman"/>
                <a:cs typeface="Times New Roman"/>
              </a:defRPr>
            </a:pPr>
            <a:endParaRPr lang="sq-AL"/>
          </a:p>
        </c:txPr>
        <c:crossAx val="300262992"/>
        <c:crosses val="autoZero"/>
        <c:crossBetween val="between"/>
      </c:valAx>
      <c:spPr>
        <a:solidFill>
          <a:schemeClr val="bg1"/>
        </a:solidFill>
        <a:ln>
          <a:noFill/>
        </a:ln>
        <a:effectLst>
          <a:outerShdw blurRad="1270000" dir="21540000" sx="1000" sy="1000" algn="ctr" rotWithShape="0">
            <a:srgbClr val="000000"/>
          </a:outerShdw>
          <a:softEdge rad="0"/>
        </a:effectLst>
      </c:spPr>
    </c:plotArea>
    <c:legend>
      <c:legendPos val="b"/>
      <c:layout>
        <c:manualLayout>
          <c:xMode val="edge"/>
          <c:yMode val="edge"/>
          <c:x val="7.5112507488288099E-2"/>
          <c:y val="0.89987246179065161"/>
          <c:w val="0.87372699102267382"/>
          <c:h val="0.10012753820934839"/>
        </c:manualLayout>
      </c:layout>
      <c:overlay val="0"/>
      <c:spPr>
        <a:solidFill>
          <a:schemeClr val="bg1"/>
        </a:solidFill>
        <a:ln>
          <a:noFill/>
        </a:ln>
        <a:effectLst/>
      </c:spPr>
      <c:txPr>
        <a:bodyPr/>
        <a:lstStyle/>
        <a:p>
          <a:pPr>
            <a:defRPr sz="964" b="1" i="0" u="none" strike="noStrike" baseline="0">
              <a:solidFill>
                <a:srgbClr val="000000"/>
              </a:solidFill>
              <a:latin typeface="Times New Roman"/>
              <a:ea typeface="Times New Roman"/>
              <a:cs typeface="Times New Roman"/>
            </a:defRPr>
          </a:pPr>
          <a:endParaRPr lang="sq-AL"/>
        </a:p>
      </c:txPr>
    </c:legend>
    <c:plotVisOnly val="1"/>
    <c:dispBlanksAs val="gap"/>
    <c:showDLblsOverMax val="0"/>
  </c:chart>
  <c:spPr>
    <a:solidFill>
      <a:schemeClr val="bg1"/>
    </a:solidFill>
    <a:ln w="9516" cap="flat" cmpd="sng" algn="ctr">
      <a:solidFill>
        <a:schemeClr val="tx1"/>
      </a:solidFill>
      <a:round/>
    </a:ln>
    <a:effectLst/>
  </c:spPr>
  <c:txPr>
    <a:bodyPr/>
    <a:lstStyle/>
    <a:p>
      <a:pPr>
        <a:defRPr sz="1000" b="0" i="0" u="none" strike="noStrike" baseline="0">
          <a:solidFill>
            <a:srgbClr val="000000"/>
          </a:solidFill>
          <a:latin typeface="Times New Roman"/>
          <a:ea typeface="Times New Roman"/>
          <a:cs typeface="Times New Roman"/>
        </a:defRPr>
      </a:pPr>
      <a:endParaRPr lang="sq-AL"/>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871502335813458E-2"/>
          <c:y val="4.239224020129518E-2"/>
          <c:w val="0.79394951469992425"/>
          <c:h val="0.71985022851164582"/>
        </c:manualLayout>
      </c:layout>
      <c:barChart>
        <c:barDir val="col"/>
        <c:grouping val="clustered"/>
        <c:varyColors val="0"/>
        <c:ser>
          <c:idx val="1"/>
          <c:order val="0"/>
          <c:tx>
            <c:strRef>
              <c:f>'Te ardhurat'!$C$4</c:f>
              <c:strCache>
                <c:ptCount val="1"/>
                <c:pt idx="0">
                  <c:v>Të ardhura nga Pushteti Vendor</c:v>
                </c:pt>
              </c:strCache>
            </c:strRef>
          </c:tx>
          <c:spPr>
            <a:solidFill>
              <a:schemeClr val="bg1">
                <a:lumMod val="75000"/>
              </a:schemeClr>
            </a:solidFill>
            <a:ln>
              <a:solidFill>
                <a:schemeClr val="bg1">
                  <a:lumMod val="65000"/>
                </a:schemeClr>
              </a:solidFill>
            </a:ln>
          </c:spPr>
          <c:invertIfNegative val="0"/>
          <c:dLbls>
            <c:numFmt formatCode="#,##0.0" sourceLinked="0"/>
            <c:spPr>
              <a:noFill/>
              <a:ln>
                <a:noFill/>
              </a:ln>
              <a:effectLst/>
            </c:spPr>
            <c:txPr>
              <a:bodyPr/>
              <a:lstStyle/>
              <a:p>
                <a:pPr>
                  <a:defRPr sz="1000" b="0" i="0" u="none" strike="noStrike" baseline="0">
                    <a:solidFill>
                      <a:srgbClr val="000000"/>
                    </a:solidFill>
                    <a:latin typeface="Calibri"/>
                    <a:ea typeface="Calibri"/>
                    <a:cs typeface="Calibri"/>
                  </a:defRPr>
                </a:pPr>
                <a:endParaRPr lang="sq-A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 ardhurat'!$D$3:$O$3</c:f>
              <c:strCache>
                <c:ptCount val="12"/>
                <c:pt idx="0">
                  <c:v>9M-2005</c:v>
                </c:pt>
                <c:pt idx="1">
                  <c:v>9M-2006</c:v>
                </c:pt>
                <c:pt idx="2">
                  <c:v>9M-2007</c:v>
                </c:pt>
                <c:pt idx="3">
                  <c:v>9M-2008</c:v>
                </c:pt>
                <c:pt idx="4">
                  <c:v>9M-2009</c:v>
                </c:pt>
                <c:pt idx="5">
                  <c:v>9M-2010</c:v>
                </c:pt>
                <c:pt idx="6">
                  <c:v>9M-2011</c:v>
                </c:pt>
                <c:pt idx="7">
                  <c:v>9M-2012</c:v>
                </c:pt>
                <c:pt idx="8">
                  <c:v>9M-2013</c:v>
                </c:pt>
                <c:pt idx="9">
                  <c:v>9M-2014</c:v>
                </c:pt>
                <c:pt idx="10">
                  <c:v>9M-2015</c:v>
                </c:pt>
                <c:pt idx="11">
                  <c:v>9M-2016</c:v>
                </c:pt>
              </c:strCache>
            </c:strRef>
          </c:cat>
          <c:val>
            <c:numRef>
              <c:f>'Te ardhurat'!$D$4:$O$4</c:f>
              <c:numCache>
                <c:formatCode>#,##0</c:formatCode>
                <c:ptCount val="12"/>
                <c:pt idx="0">
                  <c:v>8576.2599999999911</c:v>
                </c:pt>
                <c:pt idx="1">
                  <c:v>8114.0754300000008</c:v>
                </c:pt>
                <c:pt idx="2">
                  <c:v>7310.2893700000004</c:v>
                </c:pt>
                <c:pt idx="3">
                  <c:v>8398.7407100000037</c:v>
                </c:pt>
                <c:pt idx="4">
                  <c:v>9499.4576699999925</c:v>
                </c:pt>
                <c:pt idx="5">
                  <c:v>8663.2209999999959</c:v>
                </c:pt>
                <c:pt idx="6">
                  <c:v>9176</c:v>
                </c:pt>
                <c:pt idx="7">
                  <c:v>8770</c:v>
                </c:pt>
                <c:pt idx="8">
                  <c:v>8096</c:v>
                </c:pt>
                <c:pt idx="9">
                  <c:v>9693</c:v>
                </c:pt>
                <c:pt idx="10">
                  <c:v>9440</c:v>
                </c:pt>
                <c:pt idx="11">
                  <c:v>10636</c:v>
                </c:pt>
              </c:numCache>
            </c:numRef>
          </c:val>
        </c:ser>
        <c:dLbls>
          <c:showLegendKey val="0"/>
          <c:showVal val="0"/>
          <c:showCatName val="0"/>
          <c:showSerName val="0"/>
          <c:showPercent val="0"/>
          <c:showBubbleSize val="0"/>
        </c:dLbls>
        <c:gapWidth val="40"/>
        <c:axId val="300265792"/>
        <c:axId val="300266912"/>
      </c:barChart>
      <c:lineChart>
        <c:grouping val="standard"/>
        <c:varyColors val="0"/>
        <c:ser>
          <c:idx val="0"/>
          <c:order val="1"/>
          <c:tx>
            <c:strRef>
              <c:f>'Te ardhurat'!$C$5</c:f>
              <c:strCache>
                <c:ptCount val="1"/>
                <c:pt idx="0">
                  <c:v>Ritmi i rritjes</c:v>
                </c:pt>
              </c:strCache>
            </c:strRef>
          </c:tx>
          <c:marker>
            <c:symbol val="none"/>
          </c:marker>
          <c:dLbls>
            <c:dLbl>
              <c:idx val="1"/>
              <c:layout>
                <c:manualLayout>
                  <c:x val="-6.16170121591944E-2"/>
                  <c:y val="-7.749250444817995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9938829074937081E-2"/>
                  <c:y val="-3.546865630560223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0784935703700802E-2"/>
                  <c:y val="-8.68884937769876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5604526305281105E-2"/>
                  <c:y val="-8.414994496655668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0" i="0" u="none" strike="noStrike" baseline="0">
                    <a:solidFill>
                      <a:srgbClr val="000000"/>
                    </a:solidFill>
                    <a:latin typeface="Calibri"/>
                    <a:ea typeface="Calibri"/>
                    <a:cs typeface="Calibri"/>
                  </a:defRPr>
                </a:pPr>
                <a:endParaRPr lang="sq-A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 ardhurat'!$D$3:$O$3</c:f>
              <c:strCache>
                <c:ptCount val="12"/>
                <c:pt idx="0">
                  <c:v>9M-2005</c:v>
                </c:pt>
                <c:pt idx="1">
                  <c:v>9M-2006</c:v>
                </c:pt>
                <c:pt idx="2">
                  <c:v>9M-2007</c:v>
                </c:pt>
                <c:pt idx="3">
                  <c:v>9M-2008</c:v>
                </c:pt>
                <c:pt idx="4">
                  <c:v>9M-2009</c:v>
                </c:pt>
                <c:pt idx="5">
                  <c:v>9M-2010</c:v>
                </c:pt>
                <c:pt idx="6">
                  <c:v>9M-2011</c:v>
                </c:pt>
                <c:pt idx="7">
                  <c:v>9M-2012</c:v>
                </c:pt>
                <c:pt idx="8">
                  <c:v>9M-2013</c:v>
                </c:pt>
                <c:pt idx="9">
                  <c:v>9M-2014</c:v>
                </c:pt>
                <c:pt idx="10">
                  <c:v>9M-2015</c:v>
                </c:pt>
                <c:pt idx="11">
                  <c:v>9M-2016</c:v>
                </c:pt>
              </c:strCache>
            </c:strRef>
          </c:cat>
          <c:val>
            <c:numRef>
              <c:f>'Te ardhurat'!$D$5:$O$5</c:f>
              <c:numCache>
                <c:formatCode>0%</c:formatCode>
                <c:ptCount val="12"/>
                <c:pt idx="0">
                  <c:v>9.4000000000000028E-2</c:v>
                </c:pt>
                <c:pt idx="1">
                  <c:v>-5.389115651810901E-2</c:v>
                </c:pt>
                <c:pt idx="2">
                  <c:v>-9.9060708386833535E-2</c:v>
                </c:pt>
                <c:pt idx="3">
                  <c:v>0.14889305811433293</c:v>
                </c:pt>
                <c:pt idx="4">
                  <c:v>0.13105738086299379</c:v>
                </c:pt>
                <c:pt idx="5">
                  <c:v>-8.802993802908339E-2</c:v>
                </c:pt>
                <c:pt idx="6">
                  <c:v>5.9190340405722131E-2</c:v>
                </c:pt>
                <c:pt idx="7">
                  <c:v>-4.424585876198775E-2</c:v>
                </c:pt>
                <c:pt idx="8">
                  <c:v>-7.6852907639680751E-2</c:v>
                </c:pt>
                <c:pt idx="9">
                  <c:v>0.19725790513833996</c:v>
                </c:pt>
                <c:pt idx="10">
                  <c:v>-2.6101310223872919E-2</c:v>
                </c:pt>
                <c:pt idx="11">
                  <c:v>0.12669491525423723</c:v>
                </c:pt>
              </c:numCache>
            </c:numRef>
          </c:val>
          <c:smooth val="1"/>
        </c:ser>
        <c:dLbls>
          <c:showLegendKey val="0"/>
          <c:showVal val="0"/>
          <c:showCatName val="0"/>
          <c:showSerName val="0"/>
          <c:showPercent val="0"/>
          <c:showBubbleSize val="0"/>
        </c:dLbls>
        <c:marker val="1"/>
        <c:smooth val="0"/>
        <c:axId val="300266352"/>
        <c:axId val="300268032"/>
      </c:lineChart>
      <c:catAx>
        <c:axId val="300265792"/>
        <c:scaling>
          <c:orientation val="minMax"/>
        </c:scaling>
        <c:delete val="0"/>
        <c:axPos val="b"/>
        <c:numFmt formatCode="General" sourceLinked="1"/>
        <c:majorTickMark val="cross"/>
        <c:minorTickMark val="none"/>
        <c:tickLblPos val="nextTo"/>
        <c:txPr>
          <a:bodyPr rot="-2700000" vert="horz"/>
          <a:lstStyle/>
          <a:p>
            <a:pPr>
              <a:defRPr sz="800" b="0" i="0" u="none" strike="noStrike" baseline="0">
                <a:solidFill>
                  <a:srgbClr val="000000"/>
                </a:solidFill>
                <a:latin typeface="Calibri"/>
                <a:ea typeface="Calibri"/>
                <a:cs typeface="Calibri"/>
              </a:defRPr>
            </a:pPr>
            <a:endParaRPr lang="sq-AL"/>
          </a:p>
        </c:txPr>
        <c:crossAx val="300266912"/>
        <c:crosses val="autoZero"/>
        <c:auto val="0"/>
        <c:lblAlgn val="ctr"/>
        <c:lblOffset val="100"/>
        <c:tickLblSkip val="1"/>
        <c:tickMarkSkip val="1"/>
        <c:noMultiLvlLbl val="0"/>
      </c:catAx>
      <c:valAx>
        <c:axId val="300266912"/>
        <c:scaling>
          <c:orientation val="minMax"/>
        </c:scaling>
        <c:delete val="0"/>
        <c:axPos val="l"/>
        <c:title>
          <c:tx>
            <c:rich>
              <a:bodyPr/>
              <a:lstStyle/>
              <a:p>
                <a:pPr>
                  <a:defRPr sz="1000" b="0" i="0" u="none" strike="noStrike" baseline="0">
                    <a:solidFill>
                      <a:srgbClr val="000000"/>
                    </a:solidFill>
                    <a:latin typeface="Calibri"/>
                    <a:ea typeface="Calibri"/>
                    <a:cs typeface="Calibri"/>
                  </a:defRPr>
                </a:pPr>
                <a:r>
                  <a:rPr lang="sq-AL"/>
                  <a:t>Në miliardë</a:t>
                </a:r>
              </a:p>
            </c:rich>
          </c:tx>
          <c:layout>
            <c:manualLayout>
              <c:xMode val="edge"/>
              <c:yMode val="edge"/>
              <c:x val="2.9019511534251652E-3"/>
              <c:y val="2.341537727364499E-2"/>
            </c:manualLayout>
          </c:layout>
          <c:overlay val="0"/>
        </c:title>
        <c:numFmt formatCode="#,##0.0" sourceLinked="0"/>
        <c:majorTickMark val="cross"/>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300265792"/>
        <c:crosses val="autoZero"/>
        <c:crossBetween val="between"/>
        <c:dispUnits>
          <c:builtInUnit val="thousands"/>
        </c:dispUnits>
      </c:valAx>
      <c:catAx>
        <c:axId val="300266352"/>
        <c:scaling>
          <c:orientation val="minMax"/>
        </c:scaling>
        <c:delete val="1"/>
        <c:axPos val="b"/>
        <c:numFmt formatCode="General" sourceLinked="1"/>
        <c:majorTickMark val="out"/>
        <c:minorTickMark val="none"/>
        <c:tickLblPos val="none"/>
        <c:crossAx val="300268032"/>
        <c:crosses val="autoZero"/>
        <c:auto val="0"/>
        <c:lblAlgn val="ctr"/>
        <c:lblOffset val="100"/>
        <c:noMultiLvlLbl val="0"/>
      </c:catAx>
      <c:valAx>
        <c:axId val="300268032"/>
        <c:scaling>
          <c:orientation val="minMax"/>
        </c:scaling>
        <c:delete val="0"/>
        <c:axPos val="r"/>
        <c:title>
          <c:tx>
            <c:rich>
              <a:bodyPr/>
              <a:lstStyle/>
              <a:p>
                <a:pPr>
                  <a:defRPr sz="1000" b="0" i="0" u="none" strike="noStrike" baseline="0">
                    <a:solidFill>
                      <a:srgbClr val="000000"/>
                    </a:solidFill>
                    <a:latin typeface="Calibri"/>
                    <a:ea typeface="Calibri"/>
                    <a:cs typeface="Calibri"/>
                  </a:defRPr>
                </a:pPr>
                <a:r>
                  <a:rPr lang="sq-AL"/>
                  <a:t>Në përqindje</a:t>
                </a:r>
              </a:p>
            </c:rich>
          </c:tx>
          <c:layout>
            <c:manualLayout>
              <c:xMode val="edge"/>
              <c:yMode val="edge"/>
              <c:x val="0.94693963254593194"/>
              <c:y val="0.33216550178418724"/>
            </c:manualLayout>
          </c:layout>
          <c:overlay val="0"/>
        </c:title>
        <c:numFmt formatCode="0.0" sourceLinked="0"/>
        <c:majorTickMark val="cross"/>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300266352"/>
        <c:crosses val="max"/>
        <c:crossBetween val="between"/>
      </c:valAx>
    </c:plotArea>
    <c:legend>
      <c:legendPos val="b"/>
      <c:layout>
        <c:manualLayout>
          <c:xMode val="edge"/>
          <c:yMode val="edge"/>
          <c:x val="0.13798309109593229"/>
          <c:y val="0.9096984380448947"/>
          <c:w val="0.70631528201831939"/>
          <c:h val="9.0301689816862818E-2"/>
        </c:manualLayout>
      </c:layout>
      <c:overlay val="0"/>
      <c:txPr>
        <a:bodyPr/>
        <a:lstStyle/>
        <a:p>
          <a:pPr>
            <a:defRPr sz="920"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q-A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486948698800342E-2"/>
          <c:y val="3.2040677941842136E-2"/>
          <c:w val="0.80453775702957786"/>
          <c:h val="0.73027246849767502"/>
        </c:manualLayout>
      </c:layout>
      <c:barChart>
        <c:barDir val="col"/>
        <c:grouping val="clustered"/>
        <c:varyColors val="0"/>
        <c:ser>
          <c:idx val="1"/>
          <c:order val="0"/>
          <c:tx>
            <c:strRef>
              <c:f>'Te ardhurat'!$C$6</c:f>
              <c:strCache>
                <c:ptCount val="1"/>
                <c:pt idx="0">
                  <c:v>Taksë mbi Pasurinë (ndërtesat)</c:v>
                </c:pt>
              </c:strCache>
            </c:strRef>
          </c:tx>
          <c:spPr>
            <a:solidFill>
              <a:schemeClr val="bg1">
                <a:lumMod val="75000"/>
              </a:schemeClr>
            </a:solidFill>
            <a:ln>
              <a:solidFill>
                <a:schemeClr val="bg1">
                  <a:lumMod val="65000"/>
                </a:schemeClr>
              </a:solidFill>
            </a:ln>
          </c:spPr>
          <c:invertIfNegative val="0"/>
          <c:dLbls>
            <c:numFmt formatCode="#,##0.0" sourceLinked="0"/>
            <c:spPr>
              <a:noFill/>
              <a:ln>
                <a:noFill/>
              </a:ln>
              <a:effectLst/>
            </c:spPr>
            <c:txPr>
              <a:bodyPr/>
              <a:lstStyle/>
              <a:p>
                <a:pPr>
                  <a:defRPr sz="1000" b="0" i="0" u="none" strike="noStrike" baseline="0">
                    <a:solidFill>
                      <a:srgbClr val="000000"/>
                    </a:solidFill>
                    <a:latin typeface="Calibri"/>
                    <a:ea typeface="Calibri"/>
                    <a:cs typeface="Calibri"/>
                  </a:defRPr>
                </a:pPr>
                <a:endParaRPr lang="sq-A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 ardhurat'!$D$3:$O$3</c:f>
              <c:strCache>
                <c:ptCount val="12"/>
                <c:pt idx="0">
                  <c:v>9M-2005</c:v>
                </c:pt>
                <c:pt idx="1">
                  <c:v>9M-2006</c:v>
                </c:pt>
                <c:pt idx="2">
                  <c:v>9M-2007</c:v>
                </c:pt>
                <c:pt idx="3">
                  <c:v>9M-2008</c:v>
                </c:pt>
                <c:pt idx="4">
                  <c:v>9M-2009</c:v>
                </c:pt>
                <c:pt idx="5">
                  <c:v>9M-2010</c:v>
                </c:pt>
                <c:pt idx="6">
                  <c:v>9M-2011</c:v>
                </c:pt>
                <c:pt idx="7">
                  <c:v>9M-2012</c:v>
                </c:pt>
                <c:pt idx="8">
                  <c:v>9M-2013</c:v>
                </c:pt>
                <c:pt idx="9">
                  <c:v>9M-2014</c:v>
                </c:pt>
                <c:pt idx="10">
                  <c:v>9M-2015</c:v>
                </c:pt>
                <c:pt idx="11">
                  <c:v>9M-2016</c:v>
                </c:pt>
              </c:strCache>
            </c:strRef>
          </c:cat>
          <c:val>
            <c:numRef>
              <c:f>'Te ardhurat'!$D$6:$O$6</c:f>
              <c:numCache>
                <c:formatCode>#,##0</c:formatCode>
                <c:ptCount val="12"/>
                <c:pt idx="0">
                  <c:v>748.96199999999976</c:v>
                </c:pt>
                <c:pt idx="1">
                  <c:v>816.226</c:v>
                </c:pt>
                <c:pt idx="2">
                  <c:v>781.01378000000011</c:v>
                </c:pt>
                <c:pt idx="3">
                  <c:v>1292.8259500000008</c:v>
                </c:pt>
                <c:pt idx="4">
                  <c:v>1219.3639999999998</c:v>
                </c:pt>
                <c:pt idx="5">
                  <c:v>1573.056</c:v>
                </c:pt>
                <c:pt idx="6">
                  <c:v>1499</c:v>
                </c:pt>
                <c:pt idx="7">
                  <c:v>2172</c:v>
                </c:pt>
                <c:pt idx="8">
                  <c:v>1981</c:v>
                </c:pt>
                <c:pt idx="9">
                  <c:v>2890</c:v>
                </c:pt>
                <c:pt idx="10">
                  <c:v>3150</c:v>
                </c:pt>
                <c:pt idx="11">
                  <c:v>4403</c:v>
                </c:pt>
              </c:numCache>
            </c:numRef>
          </c:val>
        </c:ser>
        <c:dLbls>
          <c:showLegendKey val="0"/>
          <c:showVal val="0"/>
          <c:showCatName val="0"/>
          <c:showSerName val="0"/>
          <c:showPercent val="0"/>
          <c:showBubbleSize val="0"/>
        </c:dLbls>
        <c:gapWidth val="40"/>
        <c:axId val="222478352"/>
        <c:axId val="222478912"/>
      </c:barChart>
      <c:lineChart>
        <c:grouping val="standard"/>
        <c:varyColors val="0"/>
        <c:ser>
          <c:idx val="0"/>
          <c:order val="1"/>
          <c:tx>
            <c:strRef>
              <c:f>'Te ardhurat'!$C$7</c:f>
              <c:strCache>
                <c:ptCount val="1"/>
                <c:pt idx="0">
                  <c:v>Ritmi i rritjes</c:v>
                </c:pt>
              </c:strCache>
            </c:strRef>
          </c:tx>
          <c:marker>
            <c:symbol val="none"/>
          </c:marker>
          <c:dLbls>
            <c:dLbl>
              <c:idx val="0"/>
              <c:layout>
                <c:manualLayout>
                  <c:x val="-3.3047726177085006E-2"/>
                  <c:y val="-6.087117159135594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5"/>
              <c:layout>
                <c:manualLayout>
                  <c:x val="-4.9938829074937074E-2"/>
                  <c:y val="-3.546865630560222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0784935703700795E-2"/>
                  <c:y val="-8.68884937769875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5604526305281098E-2"/>
                  <c:y val="-8.414994496655668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0" i="0" u="none" strike="noStrike" baseline="0">
                    <a:solidFill>
                      <a:srgbClr val="000000"/>
                    </a:solidFill>
                    <a:latin typeface="Calibri"/>
                    <a:ea typeface="Calibri"/>
                    <a:cs typeface="Calibri"/>
                  </a:defRPr>
                </a:pPr>
                <a:endParaRPr lang="sq-A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 ardhurat'!$D$3:$O$3</c:f>
              <c:strCache>
                <c:ptCount val="12"/>
                <c:pt idx="0">
                  <c:v>9M-2005</c:v>
                </c:pt>
                <c:pt idx="1">
                  <c:v>9M-2006</c:v>
                </c:pt>
                <c:pt idx="2">
                  <c:v>9M-2007</c:v>
                </c:pt>
                <c:pt idx="3">
                  <c:v>9M-2008</c:v>
                </c:pt>
                <c:pt idx="4">
                  <c:v>9M-2009</c:v>
                </c:pt>
                <c:pt idx="5">
                  <c:v>9M-2010</c:v>
                </c:pt>
                <c:pt idx="6">
                  <c:v>9M-2011</c:v>
                </c:pt>
                <c:pt idx="7">
                  <c:v>9M-2012</c:v>
                </c:pt>
                <c:pt idx="8">
                  <c:v>9M-2013</c:v>
                </c:pt>
                <c:pt idx="9">
                  <c:v>9M-2014</c:v>
                </c:pt>
                <c:pt idx="10">
                  <c:v>9M-2015</c:v>
                </c:pt>
                <c:pt idx="11">
                  <c:v>9M-2016</c:v>
                </c:pt>
              </c:strCache>
            </c:strRef>
          </c:cat>
          <c:val>
            <c:numRef>
              <c:f>'Te ardhurat'!$D$7:$O$7</c:f>
              <c:numCache>
                <c:formatCode>0%</c:formatCode>
                <c:ptCount val="12"/>
                <c:pt idx="0">
                  <c:v>9.9000000000000046E-2</c:v>
                </c:pt>
                <c:pt idx="1">
                  <c:v>8.9809629861061058E-2</c:v>
                </c:pt>
                <c:pt idx="2">
                  <c:v>-4.3140282225756256E-2</c:v>
                </c:pt>
                <c:pt idx="3">
                  <c:v>0.65531772051448411</c:v>
                </c:pt>
                <c:pt idx="4">
                  <c:v>-5.6822768757078673E-2</c:v>
                </c:pt>
                <c:pt idx="5">
                  <c:v>0.29006268841789695</c:v>
                </c:pt>
                <c:pt idx="6">
                  <c:v>-4.7077789983319122E-2</c:v>
                </c:pt>
                <c:pt idx="7">
                  <c:v>0.44896597731821236</c:v>
                </c:pt>
                <c:pt idx="8">
                  <c:v>-8.7937384898710849E-2</c:v>
                </c:pt>
                <c:pt idx="9">
                  <c:v>0.45885916203937416</c:v>
                </c:pt>
                <c:pt idx="10">
                  <c:v>8.9965397923875493E-2</c:v>
                </c:pt>
                <c:pt idx="11">
                  <c:v>0.39777777777777806</c:v>
                </c:pt>
              </c:numCache>
            </c:numRef>
          </c:val>
          <c:smooth val="1"/>
        </c:ser>
        <c:dLbls>
          <c:showLegendKey val="0"/>
          <c:showVal val="0"/>
          <c:showCatName val="0"/>
          <c:showSerName val="0"/>
          <c:showPercent val="0"/>
          <c:showBubbleSize val="0"/>
        </c:dLbls>
        <c:marker val="1"/>
        <c:smooth val="0"/>
        <c:axId val="222479472"/>
        <c:axId val="222480032"/>
      </c:lineChart>
      <c:catAx>
        <c:axId val="222478352"/>
        <c:scaling>
          <c:orientation val="minMax"/>
        </c:scaling>
        <c:delete val="0"/>
        <c:axPos val="b"/>
        <c:numFmt formatCode="General" sourceLinked="1"/>
        <c:majorTickMark val="cross"/>
        <c:minorTickMark val="none"/>
        <c:tickLblPos val="nextTo"/>
        <c:txPr>
          <a:bodyPr rot="-2700000" vert="horz"/>
          <a:lstStyle/>
          <a:p>
            <a:pPr>
              <a:defRPr sz="800" b="0" i="0" u="none" strike="noStrike" baseline="0">
                <a:solidFill>
                  <a:srgbClr val="000000"/>
                </a:solidFill>
                <a:latin typeface="Calibri"/>
                <a:ea typeface="Calibri"/>
                <a:cs typeface="Calibri"/>
              </a:defRPr>
            </a:pPr>
            <a:endParaRPr lang="sq-AL"/>
          </a:p>
        </c:txPr>
        <c:crossAx val="222478912"/>
        <c:crosses val="autoZero"/>
        <c:auto val="0"/>
        <c:lblAlgn val="ctr"/>
        <c:lblOffset val="100"/>
        <c:tickLblSkip val="1"/>
        <c:tickMarkSkip val="1"/>
        <c:noMultiLvlLbl val="0"/>
      </c:catAx>
      <c:valAx>
        <c:axId val="222478912"/>
        <c:scaling>
          <c:orientation val="minMax"/>
        </c:scaling>
        <c:delete val="0"/>
        <c:axPos val="l"/>
        <c:title>
          <c:tx>
            <c:rich>
              <a:bodyPr/>
              <a:lstStyle/>
              <a:p>
                <a:pPr>
                  <a:defRPr sz="1000" b="0" i="0" u="none" strike="noStrike" baseline="0">
                    <a:solidFill>
                      <a:srgbClr val="000000"/>
                    </a:solidFill>
                    <a:latin typeface="Calibri"/>
                    <a:ea typeface="Calibri"/>
                    <a:cs typeface="Calibri"/>
                  </a:defRPr>
                </a:pPr>
                <a:r>
                  <a:rPr lang="sq-AL"/>
                  <a:t>Në miliardë</a:t>
                </a:r>
              </a:p>
            </c:rich>
          </c:tx>
          <c:layout>
            <c:manualLayout>
              <c:xMode val="edge"/>
              <c:yMode val="edge"/>
              <c:x val="9.664971999259352E-3"/>
              <c:y val="5.3926178808068582E-2"/>
            </c:manualLayout>
          </c:layout>
          <c:overlay val="0"/>
        </c:title>
        <c:numFmt formatCode="#,##0.0" sourceLinked="0"/>
        <c:majorTickMark val="cross"/>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222478352"/>
        <c:crosses val="autoZero"/>
        <c:crossBetween val="between"/>
        <c:dispUnits>
          <c:builtInUnit val="thousands"/>
        </c:dispUnits>
      </c:valAx>
      <c:catAx>
        <c:axId val="222479472"/>
        <c:scaling>
          <c:orientation val="minMax"/>
        </c:scaling>
        <c:delete val="1"/>
        <c:axPos val="b"/>
        <c:numFmt formatCode="General" sourceLinked="1"/>
        <c:majorTickMark val="out"/>
        <c:minorTickMark val="none"/>
        <c:tickLblPos val="none"/>
        <c:crossAx val="222480032"/>
        <c:crosses val="autoZero"/>
        <c:auto val="0"/>
        <c:lblAlgn val="ctr"/>
        <c:lblOffset val="100"/>
        <c:noMultiLvlLbl val="0"/>
      </c:catAx>
      <c:valAx>
        <c:axId val="222480032"/>
        <c:scaling>
          <c:orientation val="minMax"/>
        </c:scaling>
        <c:delete val="0"/>
        <c:axPos val="r"/>
        <c:title>
          <c:tx>
            <c:rich>
              <a:bodyPr/>
              <a:lstStyle/>
              <a:p>
                <a:pPr>
                  <a:defRPr sz="1000" b="0" i="0" u="none" strike="noStrike" baseline="0">
                    <a:solidFill>
                      <a:srgbClr val="000000"/>
                    </a:solidFill>
                    <a:latin typeface="Calibri"/>
                    <a:ea typeface="Calibri"/>
                    <a:cs typeface="Calibri"/>
                  </a:defRPr>
                </a:pPr>
                <a:r>
                  <a:rPr lang="sq-AL"/>
                  <a:t>Në përqindje</a:t>
                </a:r>
              </a:p>
            </c:rich>
          </c:tx>
          <c:layout>
            <c:manualLayout>
              <c:xMode val="edge"/>
              <c:yMode val="edge"/>
              <c:x val="0.95802557289357082"/>
              <c:y val="0.3322040266439088"/>
            </c:manualLayout>
          </c:layout>
          <c:overlay val="0"/>
        </c:title>
        <c:numFmt formatCode="0.0" sourceLinked="0"/>
        <c:majorTickMark val="cross"/>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222479472"/>
        <c:crosses val="max"/>
        <c:crossBetween val="between"/>
      </c:valAx>
    </c:plotArea>
    <c:legend>
      <c:legendPos val="b"/>
      <c:layout>
        <c:manualLayout>
          <c:xMode val="edge"/>
          <c:yMode val="edge"/>
          <c:x val="0.10466548824254113"/>
          <c:y val="0.90470455238039083"/>
          <c:w val="0.79066902351491775"/>
          <c:h val="9.0301689816862818E-2"/>
        </c:manualLayout>
      </c:layout>
      <c:overlay val="0"/>
      <c:txPr>
        <a:bodyPr/>
        <a:lstStyle/>
        <a:p>
          <a:pPr>
            <a:defRPr sz="920"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q-A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639015387282407E-2"/>
          <c:y val="4.911167592479071E-2"/>
          <c:w val="0.80523313121974083"/>
          <c:h val="0.71365517512558119"/>
        </c:manualLayout>
      </c:layout>
      <c:barChart>
        <c:barDir val="col"/>
        <c:grouping val="clustered"/>
        <c:varyColors val="0"/>
        <c:ser>
          <c:idx val="1"/>
          <c:order val="0"/>
          <c:tx>
            <c:strRef>
              <c:f>'Te ardhurat'!$C$8</c:f>
              <c:strCache>
                <c:ptCount val="1"/>
                <c:pt idx="0">
                  <c:v>Taksë mbi Biznesin e vogël</c:v>
                </c:pt>
              </c:strCache>
            </c:strRef>
          </c:tx>
          <c:spPr>
            <a:solidFill>
              <a:schemeClr val="bg1">
                <a:lumMod val="75000"/>
              </a:schemeClr>
            </a:solidFill>
            <a:ln>
              <a:solidFill>
                <a:schemeClr val="bg1">
                  <a:lumMod val="65000"/>
                </a:schemeClr>
              </a:solidFill>
            </a:ln>
          </c:spPr>
          <c:invertIfNegative val="0"/>
          <c:dLbls>
            <c:numFmt formatCode="#,##0.0" sourceLinked="0"/>
            <c:spPr>
              <a:noFill/>
              <a:ln>
                <a:noFill/>
              </a:ln>
              <a:effectLst/>
            </c:spPr>
            <c:txPr>
              <a:bodyPr/>
              <a:lstStyle/>
              <a:p>
                <a:pPr>
                  <a:defRPr sz="1000" b="0" i="0" u="none" strike="noStrike" baseline="0">
                    <a:solidFill>
                      <a:srgbClr val="000000"/>
                    </a:solidFill>
                    <a:latin typeface="Calibri"/>
                    <a:ea typeface="Calibri"/>
                    <a:cs typeface="Calibri"/>
                  </a:defRPr>
                </a:pPr>
                <a:endParaRPr lang="sq-A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 ardhurat'!$D$3:$O$3</c:f>
              <c:strCache>
                <c:ptCount val="12"/>
                <c:pt idx="0">
                  <c:v>9M-2005</c:v>
                </c:pt>
                <c:pt idx="1">
                  <c:v>9M-2006</c:v>
                </c:pt>
                <c:pt idx="2">
                  <c:v>9M-2007</c:v>
                </c:pt>
                <c:pt idx="3">
                  <c:v>9M-2008</c:v>
                </c:pt>
                <c:pt idx="4">
                  <c:v>9M-2009</c:v>
                </c:pt>
                <c:pt idx="5">
                  <c:v>9M-2010</c:v>
                </c:pt>
                <c:pt idx="6">
                  <c:v>9M-2011</c:v>
                </c:pt>
                <c:pt idx="7">
                  <c:v>9M-2012</c:v>
                </c:pt>
                <c:pt idx="8">
                  <c:v>9M-2013</c:v>
                </c:pt>
                <c:pt idx="9">
                  <c:v>9M-2014</c:v>
                </c:pt>
                <c:pt idx="10">
                  <c:v>9M-2015</c:v>
                </c:pt>
                <c:pt idx="11">
                  <c:v>9M-2016</c:v>
                </c:pt>
              </c:strCache>
            </c:strRef>
          </c:cat>
          <c:val>
            <c:numRef>
              <c:f>'Te ardhurat'!$D$8:$O$8</c:f>
              <c:numCache>
                <c:formatCode>#,##0</c:formatCode>
                <c:ptCount val="12"/>
                <c:pt idx="0">
                  <c:v>2514.23</c:v>
                </c:pt>
                <c:pt idx="1">
                  <c:v>1894.279</c:v>
                </c:pt>
                <c:pt idx="2">
                  <c:v>1834.0714699999999</c:v>
                </c:pt>
                <c:pt idx="3">
                  <c:v>1984.7851600000001</c:v>
                </c:pt>
                <c:pt idx="4">
                  <c:v>1889.3696299999999</c:v>
                </c:pt>
                <c:pt idx="5">
                  <c:v>1810.76</c:v>
                </c:pt>
                <c:pt idx="6">
                  <c:v>2244</c:v>
                </c:pt>
                <c:pt idx="7">
                  <c:v>1639</c:v>
                </c:pt>
                <c:pt idx="8">
                  <c:v>1513</c:v>
                </c:pt>
                <c:pt idx="9">
                  <c:v>1540</c:v>
                </c:pt>
                <c:pt idx="10">
                  <c:v>1715</c:v>
                </c:pt>
                <c:pt idx="11" formatCode="General">
                  <c:v>565</c:v>
                </c:pt>
              </c:numCache>
            </c:numRef>
          </c:val>
        </c:ser>
        <c:dLbls>
          <c:showLegendKey val="0"/>
          <c:showVal val="0"/>
          <c:showCatName val="0"/>
          <c:showSerName val="0"/>
          <c:showPercent val="0"/>
          <c:showBubbleSize val="0"/>
        </c:dLbls>
        <c:gapWidth val="40"/>
        <c:axId val="222482832"/>
        <c:axId val="222483392"/>
      </c:barChart>
      <c:lineChart>
        <c:grouping val="standard"/>
        <c:varyColors val="0"/>
        <c:ser>
          <c:idx val="0"/>
          <c:order val="1"/>
          <c:tx>
            <c:strRef>
              <c:f>'Te ardhurat'!$C$9</c:f>
              <c:strCache>
                <c:ptCount val="1"/>
                <c:pt idx="0">
                  <c:v>Ritmi i rritjes</c:v>
                </c:pt>
              </c:strCache>
            </c:strRef>
          </c:tx>
          <c:marker>
            <c:symbol val="none"/>
          </c:marker>
          <c:dLbls>
            <c:dLbl>
              <c:idx val="1"/>
              <c:layout>
                <c:manualLayout>
                  <c:x val="-5.7806824694279481E-2"/>
                  <c:y val="-7.249904903819251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9938829074937074E-2"/>
                  <c:y val="-3.546865630560222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0784935703700795E-2"/>
                  <c:y val="-8.68884937769875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5604526305281098E-2"/>
                  <c:y val="-8.414994496655668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0" i="0" u="none" strike="noStrike" baseline="0">
                    <a:solidFill>
                      <a:srgbClr val="000000"/>
                    </a:solidFill>
                    <a:latin typeface="Calibri"/>
                    <a:ea typeface="Calibri"/>
                    <a:cs typeface="Calibri"/>
                  </a:defRPr>
                </a:pPr>
                <a:endParaRPr lang="sq-A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 ardhurat'!$D$3:$O$3</c:f>
              <c:strCache>
                <c:ptCount val="12"/>
                <c:pt idx="0">
                  <c:v>9M-2005</c:v>
                </c:pt>
                <c:pt idx="1">
                  <c:v>9M-2006</c:v>
                </c:pt>
                <c:pt idx="2">
                  <c:v>9M-2007</c:v>
                </c:pt>
                <c:pt idx="3">
                  <c:v>9M-2008</c:v>
                </c:pt>
                <c:pt idx="4">
                  <c:v>9M-2009</c:v>
                </c:pt>
                <c:pt idx="5">
                  <c:v>9M-2010</c:v>
                </c:pt>
                <c:pt idx="6">
                  <c:v>9M-2011</c:v>
                </c:pt>
                <c:pt idx="7">
                  <c:v>9M-2012</c:v>
                </c:pt>
                <c:pt idx="8">
                  <c:v>9M-2013</c:v>
                </c:pt>
                <c:pt idx="9">
                  <c:v>9M-2014</c:v>
                </c:pt>
                <c:pt idx="10">
                  <c:v>9M-2015</c:v>
                </c:pt>
                <c:pt idx="11">
                  <c:v>9M-2016</c:v>
                </c:pt>
              </c:strCache>
            </c:strRef>
          </c:cat>
          <c:val>
            <c:numRef>
              <c:f>'Te ardhurat'!$D$9:$O$9</c:f>
              <c:numCache>
                <c:formatCode>0%</c:formatCode>
                <c:ptCount val="12"/>
                <c:pt idx="0">
                  <c:v>-0.28000000000000008</c:v>
                </c:pt>
                <c:pt idx="1">
                  <c:v>-0.24657688437414241</c:v>
                </c:pt>
                <c:pt idx="2">
                  <c:v>-3.1783876609517356E-2</c:v>
                </c:pt>
                <c:pt idx="3">
                  <c:v>8.217438222295656E-2</c:v>
                </c:pt>
                <c:pt idx="4">
                  <c:v>-4.8073480154396171E-2</c:v>
                </c:pt>
                <c:pt idx="5">
                  <c:v>-4.1606273728449807E-2</c:v>
                </c:pt>
                <c:pt idx="6">
                  <c:v>0.23925865382491329</c:v>
                </c:pt>
                <c:pt idx="7">
                  <c:v>-0.269607843137255</c:v>
                </c:pt>
                <c:pt idx="8">
                  <c:v>-7.6876143990237955E-2</c:v>
                </c:pt>
                <c:pt idx="9">
                  <c:v>1.7845340383344351E-2</c:v>
                </c:pt>
                <c:pt idx="10">
                  <c:v>0.1136363636363636</c:v>
                </c:pt>
                <c:pt idx="11">
                  <c:v>-0.67055393586005829</c:v>
                </c:pt>
              </c:numCache>
            </c:numRef>
          </c:val>
          <c:smooth val="1"/>
        </c:ser>
        <c:dLbls>
          <c:showLegendKey val="0"/>
          <c:showVal val="0"/>
          <c:showCatName val="0"/>
          <c:showSerName val="0"/>
          <c:showPercent val="0"/>
          <c:showBubbleSize val="0"/>
        </c:dLbls>
        <c:marker val="1"/>
        <c:smooth val="0"/>
        <c:axId val="222483952"/>
        <c:axId val="222484512"/>
      </c:lineChart>
      <c:catAx>
        <c:axId val="222482832"/>
        <c:scaling>
          <c:orientation val="minMax"/>
        </c:scaling>
        <c:delete val="0"/>
        <c:axPos val="b"/>
        <c:numFmt formatCode="General" sourceLinked="1"/>
        <c:majorTickMark val="cross"/>
        <c:minorTickMark val="none"/>
        <c:tickLblPos val="nextTo"/>
        <c:txPr>
          <a:bodyPr rot="-2700000" vert="horz"/>
          <a:lstStyle/>
          <a:p>
            <a:pPr>
              <a:defRPr sz="800" b="0" i="0" u="none" strike="noStrike" baseline="0">
                <a:solidFill>
                  <a:srgbClr val="000000"/>
                </a:solidFill>
                <a:latin typeface="Calibri"/>
                <a:ea typeface="Calibri"/>
                <a:cs typeface="Calibri"/>
              </a:defRPr>
            </a:pPr>
            <a:endParaRPr lang="sq-AL"/>
          </a:p>
        </c:txPr>
        <c:crossAx val="222483392"/>
        <c:crosses val="autoZero"/>
        <c:auto val="0"/>
        <c:lblAlgn val="ctr"/>
        <c:lblOffset val="100"/>
        <c:tickLblSkip val="1"/>
        <c:tickMarkSkip val="1"/>
        <c:noMultiLvlLbl val="0"/>
      </c:catAx>
      <c:valAx>
        <c:axId val="222483392"/>
        <c:scaling>
          <c:orientation val="minMax"/>
        </c:scaling>
        <c:delete val="0"/>
        <c:axPos val="l"/>
        <c:title>
          <c:tx>
            <c:rich>
              <a:bodyPr/>
              <a:lstStyle/>
              <a:p>
                <a:pPr>
                  <a:defRPr sz="1000" b="0" i="0" u="none" strike="noStrike" baseline="0">
                    <a:solidFill>
                      <a:srgbClr val="000000"/>
                    </a:solidFill>
                    <a:latin typeface="Calibri"/>
                    <a:ea typeface="Calibri"/>
                    <a:cs typeface="Calibri"/>
                  </a:defRPr>
                </a:pPr>
                <a:r>
                  <a:rPr lang="sq-AL"/>
                  <a:t>Në miliardë</a:t>
                </a:r>
              </a:p>
            </c:rich>
          </c:tx>
          <c:layout>
            <c:manualLayout>
              <c:xMode val="edge"/>
              <c:yMode val="edge"/>
              <c:x val="7.3767908387699418E-3"/>
              <c:y val="3.1275079379122557E-2"/>
            </c:manualLayout>
          </c:layout>
          <c:overlay val="0"/>
        </c:title>
        <c:numFmt formatCode="#,##0.0" sourceLinked="0"/>
        <c:majorTickMark val="cross"/>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222482832"/>
        <c:crosses val="autoZero"/>
        <c:crossBetween val="between"/>
        <c:dispUnits>
          <c:builtInUnit val="thousands"/>
        </c:dispUnits>
      </c:valAx>
      <c:catAx>
        <c:axId val="222483952"/>
        <c:scaling>
          <c:orientation val="minMax"/>
        </c:scaling>
        <c:delete val="1"/>
        <c:axPos val="b"/>
        <c:numFmt formatCode="General" sourceLinked="1"/>
        <c:majorTickMark val="out"/>
        <c:minorTickMark val="none"/>
        <c:tickLblPos val="none"/>
        <c:crossAx val="222484512"/>
        <c:crosses val="autoZero"/>
        <c:auto val="0"/>
        <c:lblAlgn val="ctr"/>
        <c:lblOffset val="100"/>
        <c:noMultiLvlLbl val="0"/>
      </c:catAx>
      <c:valAx>
        <c:axId val="222484512"/>
        <c:scaling>
          <c:orientation val="minMax"/>
        </c:scaling>
        <c:delete val="0"/>
        <c:axPos val="r"/>
        <c:title>
          <c:tx>
            <c:rich>
              <a:bodyPr/>
              <a:lstStyle/>
              <a:p>
                <a:pPr>
                  <a:defRPr sz="1000" b="0" i="0" u="none" strike="noStrike" baseline="0">
                    <a:solidFill>
                      <a:srgbClr val="000000"/>
                    </a:solidFill>
                    <a:latin typeface="Calibri"/>
                    <a:ea typeface="Calibri"/>
                    <a:cs typeface="Calibri"/>
                  </a:defRPr>
                </a:pPr>
                <a:r>
                  <a:rPr lang="sq-AL"/>
                  <a:t>Në përqindje</a:t>
                </a:r>
              </a:p>
            </c:rich>
          </c:tx>
          <c:layout>
            <c:manualLayout>
              <c:xMode val="edge"/>
              <c:yMode val="edge"/>
              <c:x val="0.95365111240289591"/>
              <c:y val="0.32217798617869392"/>
            </c:manualLayout>
          </c:layout>
          <c:overlay val="0"/>
        </c:title>
        <c:numFmt formatCode="0.0" sourceLinked="0"/>
        <c:majorTickMark val="cross"/>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222483952"/>
        <c:crosses val="max"/>
        <c:crossBetween val="between"/>
      </c:valAx>
    </c:plotArea>
    <c:legend>
      <c:legendPos val="b"/>
      <c:layout>
        <c:manualLayout>
          <c:xMode val="edge"/>
          <c:yMode val="edge"/>
          <c:x val="0.21193615918872213"/>
          <c:y val="0.90969831018313718"/>
          <c:w val="0.54032888746049634"/>
          <c:h val="9.0301689816862818E-2"/>
        </c:manualLayout>
      </c:layout>
      <c:overlay val="0"/>
      <c:txPr>
        <a:bodyPr/>
        <a:lstStyle/>
        <a:p>
          <a:pPr>
            <a:defRPr sz="920"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q-A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699973619140916E-2"/>
          <c:y val="4.4108250513629613E-2"/>
          <c:w val="0.79764933131229143"/>
          <c:h val="0.71820499965594187"/>
        </c:manualLayout>
      </c:layout>
      <c:barChart>
        <c:barDir val="col"/>
        <c:grouping val="clustered"/>
        <c:varyColors val="0"/>
        <c:ser>
          <c:idx val="1"/>
          <c:order val="0"/>
          <c:tx>
            <c:strRef>
              <c:f>'Te ardhurat'!$C$10</c:f>
              <c:strCache>
                <c:ptCount val="1"/>
                <c:pt idx="0">
                  <c:v>Taksa Lokale</c:v>
                </c:pt>
              </c:strCache>
            </c:strRef>
          </c:tx>
          <c:spPr>
            <a:solidFill>
              <a:schemeClr val="bg1">
                <a:lumMod val="75000"/>
              </a:schemeClr>
            </a:solidFill>
            <a:ln>
              <a:solidFill>
                <a:schemeClr val="bg1">
                  <a:lumMod val="65000"/>
                </a:schemeClr>
              </a:solidFill>
            </a:ln>
          </c:spPr>
          <c:invertIfNegative val="0"/>
          <c:dLbls>
            <c:numFmt formatCode="#,##0.0" sourceLinked="0"/>
            <c:spPr>
              <a:noFill/>
              <a:ln>
                <a:noFill/>
              </a:ln>
              <a:effectLst/>
            </c:spPr>
            <c:txPr>
              <a:bodyPr/>
              <a:lstStyle/>
              <a:p>
                <a:pPr>
                  <a:defRPr sz="1000" b="0" i="0" u="none" strike="noStrike" baseline="0">
                    <a:solidFill>
                      <a:srgbClr val="000000"/>
                    </a:solidFill>
                    <a:latin typeface="Calibri"/>
                    <a:ea typeface="Calibri"/>
                    <a:cs typeface="Calibri"/>
                  </a:defRPr>
                </a:pPr>
                <a:endParaRPr lang="sq-A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 ardhurat'!$D$3:$O$3</c:f>
              <c:strCache>
                <c:ptCount val="12"/>
                <c:pt idx="0">
                  <c:v>9M-2005</c:v>
                </c:pt>
                <c:pt idx="1">
                  <c:v>9M-2006</c:v>
                </c:pt>
                <c:pt idx="2">
                  <c:v>9M-2007</c:v>
                </c:pt>
                <c:pt idx="3">
                  <c:v>9M-2008</c:v>
                </c:pt>
                <c:pt idx="4">
                  <c:v>9M-2009</c:v>
                </c:pt>
                <c:pt idx="5">
                  <c:v>9M-2010</c:v>
                </c:pt>
                <c:pt idx="6">
                  <c:v>9M-2011</c:v>
                </c:pt>
                <c:pt idx="7">
                  <c:v>9M-2012</c:v>
                </c:pt>
                <c:pt idx="8">
                  <c:v>9M-2013</c:v>
                </c:pt>
                <c:pt idx="9">
                  <c:v>9M-2014</c:v>
                </c:pt>
                <c:pt idx="10">
                  <c:v>9M-2015</c:v>
                </c:pt>
                <c:pt idx="11">
                  <c:v>9M-2016</c:v>
                </c:pt>
              </c:strCache>
            </c:strRef>
          </c:cat>
          <c:val>
            <c:numRef>
              <c:f>'Te ardhurat'!$D$10:$O$10</c:f>
              <c:numCache>
                <c:formatCode>#,##0</c:formatCode>
                <c:ptCount val="12"/>
                <c:pt idx="0">
                  <c:v>4536.2260000000015</c:v>
                </c:pt>
                <c:pt idx="1">
                  <c:v>4707.505900000001</c:v>
                </c:pt>
                <c:pt idx="2">
                  <c:v>4695.2041200000003</c:v>
                </c:pt>
                <c:pt idx="3">
                  <c:v>5121.129600000002</c:v>
                </c:pt>
                <c:pt idx="4">
                  <c:v>6390.7240400000001</c:v>
                </c:pt>
                <c:pt idx="5">
                  <c:v>5279.4049999999997</c:v>
                </c:pt>
                <c:pt idx="6">
                  <c:v>5433</c:v>
                </c:pt>
                <c:pt idx="7">
                  <c:v>4959</c:v>
                </c:pt>
                <c:pt idx="8">
                  <c:v>4602</c:v>
                </c:pt>
                <c:pt idx="9">
                  <c:v>5263</c:v>
                </c:pt>
                <c:pt idx="10">
                  <c:v>4575</c:v>
                </c:pt>
                <c:pt idx="11">
                  <c:v>5667</c:v>
                </c:pt>
              </c:numCache>
            </c:numRef>
          </c:val>
        </c:ser>
        <c:dLbls>
          <c:showLegendKey val="0"/>
          <c:showVal val="0"/>
          <c:showCatName val="0"/>
          <c:showSerName val="0"/>
          <c:showPercent val="0"/>
          <c:showBubbleSize val="0"/>
        </c:dLbls>
        <c:gapWidth val="40"/>
        <c:axId val="222487312"/>
        <c:axId val="222487872"/>
      </c:barChart>
      <c:lineChart>
        <c:grouping val="standard"/>
        <c:varyColors val="0"/>
        <c:ser>
          <c:idx val="0"/>
          <c:order val="1"/>
          <c:tx>
            <c:strRef>
              <c:f>'Te ardhurat'!$C$11</c:f>
              <c:strCache>
                <c:ptCount val="1"/>
                <c:pt idx="0">
                  <c:v>Ritmi i rritjes</c:v>
                </c:pt>
              </c:strCache>
            </c:strRef>
          </c:tx>
          <c:marker>
            <c:symbol val="none"/>
          </c:marker>
          <c:dLbls>
            <c:dLbl>
              <c:idx val="1"/>
              <c:layout>
                <c:manualLayout>
                  <c:x val="-7.794355366438345E-2"/>
                  <c:y val="-7.24989416645499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9938829074937074E-2"/>
                  <c:y val="-3.546865630560222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0784935703700795E-2"/>
                  <c:y val="-8.68884937769875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5604526305281098E-2"/>
                  <c:y val="-8.414994496655668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0" i="0" u="none" strike="noStrike" baseline="0">
                    <a:solidFill>
                      <a:srgbClr val="000000"/>
                    </a:solidFill>
                    <a:latin typeface="Calibri"/>
                    <a:ea typeface="Calibri"/>
                    <a:cs typeface="Calibri"/>
                  </a:defRPr>
                </a:pPr>
                <a:endParaRPr lang="sq-A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 ardhurat'!$D$3:$O$3</c:f>
              <c:strCache>
                <c:ptCount val="12"/>
                <c:pt idx="0">
                  <c:v>9M-2005</c:v>
                </c:pt>
                <c:pt idx="1">
                  <c:v>9M-2006</c:v>
                </c:pt>
                <c:pt idx="2">
                  <c:v>9M-2007</c:v>
                </c:pt>
                <c:pt idx="3">
                  <c:v>9M-2008</c:v>
                </c:pt>
                <c:pt idx="4">
                  <c:v>9M-2009</c:v>
                </c:pt>
                <c:pt idx="5">
                  <c:v>9M-2010</c:v>
                </c:pt>
                <c:pt idx="6">
                  <c:v>9M-2011</c:v>
                </c:pt>
                <c:pt idx="7">
                  <c:v>9M-2012</c:v>
                </c:pt>
                <c:pt idx="8">
                  <c:v>9M-2013</c:v>
                </c:pt>
                <c:pt idx="9">
                  <c:v>9M-2014</c:v>
                </c:pt>
                <c:pt idx="10">
                  <c:v>9M-2015</c:v>
                </c:pt>
                <c:pt idx="11">
                  <c:v>9M-2016</c:v>
                </c:pt>
              </c:strCache>
            </c:strRef>
          </c:cat>
          <c:val>
            <c:numRef>
              <c:f>'Te ardhurat'!$D$11:$O$11</c:f>
              <c:numCache>
                <c:formatCode>0%</c:formatCode>
                <c:ptCount val="12"/>
                <c:pt idx="0">
                  <c:v>0.57199999999999995</c:v>
                </c:pt>
                <c:pt idx="1">
                  <c:v>3.7758237795031006E-2</c:v>
                </c:pt>
                <c:pt idx="2">
                  <c:v>-2.6132266769969838E-3</c:v>
                </c:pt>
                <c:pt idx="3">
                  <c:v>9.0715008147505202E-2</c:v>
                </c:pt>
                <c:pt idx="4">
                  <c:v>0.24791296826387674</c:v>
                </c:pt>
                <c:pt idx="5">
                  <c:v>-0.17389563890478987</c:v>
                </c:pt>
                <c:pt idx="6">
                  <c:v>2.909324062086549E-2</c:v>
                </c:pt>
                <c:pt idx="7">
                  <c:v>-8.7244616234124731E-2</c:v>
                </c:pt>
                <c:pt idx="8">
                  <c:v>-7.199032062915911E-2</c:v>
                </c:pt>
                <c:pt idx="9">
                  <c:v>0.1436332029552369</c:v>
                </c:pt>
                <c:pt idx="10">
                  <c:v>-0.13072392171765149</c:v>
                </c:pt>
                <c:pt idx="11">
                  <c:v>0.23868852459016393</c:v>
                </c:pt>
              </c:numCache>
            </c:numRef>
          </c:val>
          <c:smooth val="1"/>
        </c:ser>
        <c:dLbls>
          <c:showLegendKey val="0"/>
          <c:showVal val="0"/>
          <c:showCatName val="0"/>
          <c:showSerName val="0"/>
          <c:showPercent val="0"/>
          <c:showBubbleSize val="0"/>
        </c:dLbls>
        <c:marker val="1"/>
        <c:smooth val="0"/>
        <c:axId val="222488432"/>
        <c:axId val="222488992"/>
      </c:lineChart>
      <c:catAx>
        <c:axId val="222487312"/>
        <c:scaling>
          <c:orientation val="minMax"/>
        </c:scaling>
        <c:delete val="0"/>
        <c:axPos val="b"/>
        <c:numFmt formatCode="General" sourceLinked="1"/>
        <c:majorTickMark val="cross"/>
        <c:minorTickMark val="none"/>
        <c:tickLblPos val="nextTo"/>
        <c:txPr>
          <a:bodyPr rot="-2700000" vert="horz"/>
          <a:lstStyle/>
          <a:p>
            <a:pPr>
              <a:defRPr sz="800" b="0" i="0" u="none" strike="noStrike" baseline="0">
                <a:solidFill>
                  <a:srgbClr val="000000"/>
                </a:solidFill>
                <a:latin typeface="Calibri"/>
                <a:ea typeface="Calibri"/>
                <a:cs typeface="Calibri"/>
              </a:defRPr>
            </a:pPr>
            <a:endParaRPr lang="sq-AL"/>
          </a:p>
        </c:txPr>
        <c:crossAx val="222487872"/>
        <c:crosses val="autoZero"/>
        <c:auto val="0"/>
        <c:lblAlgn val="ctr"/>
        <c:lblOffset val="100"/>
        <c:tickLblSkip val="1"/>
        <c:tickMarkSkip val="1"/>
        <c:noMultiLvlLbl val="0"/>
      </c:catAx>
      <c:valAx>
        <c:axId val="222487872"/>
        <c:scaling>
          <c:orientation val="minMax"/>
        </c:scaling>
        <c:delete val="0"/>
        <c:axPos val="l"/>
        <c:title>
          <c:tx>
            <c:rich>
              <a:bodyPr/>
              <a:lstStyle/>
              <a:p>
                <a:pPr>
                  <a:defRPr sz="1000" b="0" i="0" u="none" strike="noStrike" baseline="0">
                    <a:solidFill>
                      <a:srgbClr val="000000"/>
                    </a:solidFill>
                    <a:latin typeface="Calibri"/>
                    <a:ea typeface="Calibri"/>
                    <a:cs typeface="Calibri"/>
                  </a:defRPr>
                </a:pPr>
                <a:r>
                  <a:rPr lang="sq-AL"/>
                  <a:t>Në miliardë</a:t>
                </a:r>
              </a:p>
            </c:rich>
          </c:tx>
          <c:layout>
            <c:manualLayout>
              <c:xMode val="edge"/>
              <c:yMode val="edge"/>
              <c:x val="9.512132959529981E-3"/>
              <c:y val="3.1236151660817651E-2"/>
            </c:manualLayout>
          </c:layout>
          <c:overlay val="0"/>
        </c:title>
        <c:numFmt formatCode="#,##0.0" sourceLinked="0"/>
        <c:majorTickMark val="cross"/>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222487312"/>
        <c:crosses val="autoZero"/>
        <c:crossBetween val="between"/>
        <c:dispUnits>
          <c:builtInUnit val="thousands"/>
        </c:dispUnits>
      </c:valAx>
      <c:catAx>
        <c:axId val="222488432"/>
        <c:scaling>
          <c:orientation val="minMax"/>
        </c:scaling>
        <c:delete val="1"/>
        <c:axPos val="b"/>
        <c:numFmt formatCode="General" sourceLinked="1"/>
        <c:majorTickMark val="out"/>
        <c:minorTickMark val="none"/>
        <c:tickLblPos val="none"/>
        <c:crossAx val="222488992"/>
        <c:crosses val="autoZero"/>
        <c:auto val="0"/>
        <c:lblAlgn val="ctr"/>
        <c:lblOffset val="100"/>
        <c:noMultiLvlLbl val="0"/>
      </c:catAx>
      <c:valAx>
        <c:axId val="222488992"/>
        <c:scaling>
          <c:orientation val="minMax"/>
        </c:scaling>
        <c:delete val="0"/>
        <c:axPos val="r"/>
        <c:title>
          <c:tx>
            <c:rich>
              <a:bodyPr/>
              <a:lstStyle/>
              <a:p>
                <a:pPr>
                  <a:defRPr sz="1000" b="0" i="0" u="none" strike="noStrike" baseline="0">
                    <a:solidFill>
                      <a:srgbClr val="000000"/>
                    </a:solidFill>
                    <a:latin typeface="Calibri"/>
                    <a:ea typeface="Calibri"/>
                    <a:cs typeface="Calibri"/>
                  </a:defRPr>
                </a:pPr>
                <a:r>
                  <a:rPr lang="sq-AL"/>
                  <a:t>Në përqindje</a:t>
                </a:r>
              </a:p>
            </c:rich>
          </c:tx>
          <c:layout>
            <c:manualLayout>
              <c:xMode val="edge"/>
              <c:yMode val="edge"/>
              <c:x val="0.94693963254593194"/>
              <c:y val="0.33216550178418724"/>
            </c:manualLayout>
          </c:layout>
          <c:overlay val="0"/>
        </c:title>
        <c:numFmt formatCode="0.0" sourceLinked="0"/>
        <c:majorTickMark val="cross"/>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222488432"/>
        <c:crosses val="max"/>
        <c:crossBetween val="between"/>
      </c:valAx>
    </c:plotArea>
    <c:legend>
      <c:legendPos val="b"/>
      <c:layout>
        <c:manualLayout>
          <c:xMode val="edge"/>
          <c:yMode val="edge"/>
          <c:x val="0.22983555626975188"/>
          <c:y val="0.90470455238039083"/>
          <c:w val="0.54032888746049634"/>
          <c:h val="9.0301689816862818E-2"/>
        </c:manualLayout>
      </c:layout>
      <c:overlay val="0"/>
      <c:txPr>
        <a:bodyPr/>
        <a:lstStyle/>
        <a:p>
          <a:pPr>
            <a:defRPr sz="920"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q-A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79142393967518"/>
          <c:y val="3.9424382297040449E-2"/>
          <c:w val="0.77866793374966059"/>
          <c:h val="0.72288894922617453"/>
        </c:manualLayout>
      </c:layout>
      <c:barChart>
        <c:barDir val="col"/>
        <c:grouping val="clustered"/>
        <c:varyColors val="0"/>
        <c:ser>
          <c:idx val="1"/>
          <c:order val="0"/>
          <c:tx>
            <c:strRef>
              <c:f>Shpenzimet!$B$5</c:f>
              <c:strCache>
                <c:ptCount val="1"/>
                <c:pt idx="0">
                  <c:v>Buxheti lokal </c:v>
                </c:pt>
              </c:strCache>
            </c:strRef>
          </c:tx>
          <c:spPr>
            <a:solidFill>
              <a:schemeClr val="bg1">
                <a:lumMod val="75000"/>
              </a:schemeClr>
            </a:solidFill>
            <a:ln>
              <a:solidFill>
                <a:schemeClr val="bg1">
                  <a:lumMod val="65000"/>
                </a:schemeClr>
              </a:solidFill>
            </a:ln>
          </c:spPr>
          <c:invertIfNegative val="0"/>
          <c:dLbls>
            <c:numFmt formatCode="#,##0.0" sourceLinked="0"/>
            <c:spPr>
              <a:noFill/>
              <a:ln>
                <a:noFill/>
              </a:ln>
              <a:effectLst/>
            </c:spPr>
            <c:txPr>
              <a:bodyPr/>
              <a:lstStyle/>
              <a:p>
                <a:pPr>
                  <a:defRPr sz="1000" b="0" i="0" u="none" strike="noStrike" baseline="0">
                    <a:solidFill>
                      <a:srgbClr val="000000"/>
                    </a:solidFill>
                    <a:latin typeface="Calibri"/>
                    <a:ea typeface="Calibri"/>
                    <a:cs typeface="Calibri"/>
                  </a:defRPr>
                </a:pPr>
                <a:endParaRPr lang="sq-A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Shpenzimet!$D$4:$O$4</c:f>
              <c:strCache>
                <c:ptCount val="12"/>
                <c:pt idx="0">
                  <c:v>9M-2005</c:v>
                </c:pt>
                <c:pt idx="1">
                  <c:v>9M-2006</c:v>
                </c:pt>
                <c:pt idx="2">
                  <c:v>9M-2007</c:v>
                </c:pt>
                <c:pt idx="3">
                  <c:v>9M-2008</c:v>
                </c:pt>
                <c:pt idx="4">
                  <c:v>9M-2009</c:v>
                </c:pt>
                <c:pt idx="5">
                  <c:v>9M-2010</c:v>
                </c:pt>
                <c:pt idx="6">
                  <c:v>9M-2011</c:v>
                </c:pt>
                <c:pt idx="7">
                  <c:v>9M-2012</c:v>
                </c:pt>
                <c:pt idx="8">
                  <c:v>9M-2013</c:v>
                </c:pt>
                <c:pt idx="9">
                  <c:v>9M-2014</c:v>
                </c:pt>
                <c:pt idx="10">
                  <c:v>9M-2015</c:v>
                </c:pt>
                <c:pt idx="11">
                  <c:v>9M-2016</c:v>
                </c:pt>
              </c:strCache>
            </c:strRef>
          </c:cat>
          <c:val>
            <c:numRef>
              <c:f>Shpenzimet!$D$5:$O$5</c:f>
              <c:numCache>
                <c:formatCode>#,##0</c:formatCode>
                <c:ptCount val="12"/>
                <c:pt idx="0">
                  <c:v>12940.592999999995</c:v>
                </c:pt>
                <c:pt idx="1">
                  <c:v>12615</c:v>
                </c:pt>
                <c:pt idx="2">
                  <c:v>12508.159360000001</c:v>
                </c:pt>
                <c:pt idx="3">
                  <c:v>17195.514309999991</c:v>
                </c:pt>
                <c:pt idx="4">
                  <c:v>23614.906139999999</c:v>
                </c:pt>
                <c:pt idx="5">
                  <c:v>21667.095000000001</c:v>
                </c:pt>
                <c:pt idx="6">
                  <c:v>20757</c:v>
                </c:pt>
                <c:pt idx="7">
                  <c:v>19389</c:v>
                </c:pt>
                <c:pt idx="8">
                  <c:v>21201</c:v>
                </c:pt>
                <c:pt idx="9">
                  <c:v>19917</c:v>
                </c:pt>
                <c:pt idx="10">
                  <c:v>23241</c:v>
                </c:pt>
                <c:pt idx="11">
                  <c:v>26047</c:v>
                </c:pt>
              </c:numCache>
            </c:numRef>
          </c:val>
        </c:ser>
        <c:dLbls>
          <c:showLegendKey val="0"/>
          <c:showVal val="0"/>
          <c:showCatName val="0"/>
          <c:showSerName val="0"/>
          <c:showPercent val="0"/>
          <c:showBubbleSize val="0"/>
        </c:dLbls>
        <c:gapWidth val="40"/>
        <c:axId val="222491792"/>
        <c:axId val="222492352"/>
      </c:barChart>
      <c:lineChart>
        <c:grouping val="standard"/>
        <c:varyColors val="0"/>
        <c:ser>
          <c:idx val="0"/>
          <c:order val="1"/>
          <c:tx>
            <c:strRef>
              <c:f>Shpenzimet!$B$6</c:f>
              <c:strCache>
                <c:ptCount val="1"/>
                <c:pt idx="0">
                  <c:v>Ritmi i rritjes</c:v>
                </c:pt>
              </c:strCache>
            </c:strRef>
          </c:tx>
          <c:marker>
            <c:symbol val="none"/>
          </c:marker>
          <c:dLbls>
            <c:dLbl>
              <c:idx val="1"/>
              <c:layout>
                <c:manualLayout>
                  <c:x val="-7.794355366438345E-2"/>
                  <c:y val="-7.24989416645499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9938829074937074E-2"/>
                  <c:y val="-3.546865630560222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5.0784935703700795E-2"/>
                  <c:y val="-8.68884937769875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5604526305281098E-2"/>
                  <c:y val="-8.414994496655668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0" i="0" u="none" strike="noStrike" baseline="0">
                    <a:solidFill>
                      <a:srgbClr val="000000"/>
                    </a:solidFill>
                    <a:latin typeface="Calibri"/>
                    <a:ea typeface="Calibri"/>
                    <a:cs typeface="Calibri"/>
                  </a:defRPr>
                </a:pPr>
                <a:endParaRPr lang="sq-A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Shpenzimet!$D$4:$O$4</c:f>
              <c:strCache>
                <c:ptCount val="12"/>
                <c:pt idx="0">
                  <c:v>9M-2005</c:v>
                </c:pt>
                <c:pt idx="1">
                  <c:v>9M-2006</c:v>
                </c:pt>
                <c:pt idx="2">
                  <c:v>9M-2007</c:v>
                </c:pt>
                <c:pt idx="3">
                  <c:v>9M-2008</c:v>
                </c:pt>
                <c:pt idx="4">
                  <c:v>9M-2009</c:v>
                </c:pt>
                <c:pt idx="5">
                  <c:v>9M-2010</c:v>
                </c:pt>
                <c:pt idx="6">
                  <c:v>9M-2011</c:v>
                </c:pt>
                <c:pt idx="7">
                  <c:v>9M-2012</c:v>
                </c:pt>
                <c:pt idx="8">
                  <c:v>9M-2013</c:v>
                </c:pt>
                <c:pt idx="9">
                  <c:v>9M-2014</c:v>
                </c:pt>
                <c:pt idx="10">
                  <c:v>9M-2015</c:v>
                </c:pt>
                <c:pt idx="11">
                  <c:v>9M-2016</c:v>
                </c:pt>
              </c:strCache>
            </c:strRef>
          </c:cat>
          <c:val>
            <c:numRef>
              <c:f>Shpenzimet!$D$6:$O$6</c:f>
              <c:numCache>
                <c:formatCode>#,##0.0</c:formatCode>
                <c:ptCount val="12"/>
                <c:pt idx="0">
                  <c:v>24.406133714923687</c:v>
                </c:pt>
                <c:pt idx="1">
                  <c:v>-2.5160593490576422</c:v>
                </c:pt>
                <c:pt idx="2">
                  <c:v>-0.84693333333332177</c:v>
                </c:pt>
                <c:pt idx="3">
                  <c:v>37.474378244570104</c:v>
                </c:pt>
                <c:pt idx="4">
                  <c:v>37.331781499939318</c:v>
                </c:pt>
                <c:pt idx="5">
                  <c:v>-8.248227320712088</c:v>
                </c:pt>
                <c:pt idx="6">
                  <c:v>-4.2003554237427823</c:v>
                </c:pt>
                <c:pt idx="7">
                  <c:v>-6.5905477670183545</c:v>
                </c:pt>
                <c:pt idx="8">
                  <c:v>9.3455051833513849</c:v>
                </c:pt>
                <c:pt idx="9">
                  <c:v>-6.0563180982029143</c:v>
                </c:pt>
                <c:pt idx="10">
                  <c:v>16.689260430787769</c:v>
                </c:pt>
                <c:pt idx="11">
                  <c:v>12.073490813648304</c:v>
                </c:pt>
              </c:numCache>
            </c:numRef>
          </c:val>
          <c:smooth val="1"/>
        </c:ser>
        <c:dLbls>
          <c:showLegendKey val="0"/>
          <c:showVal val="0"/>
          <c:showCatName val="0"/>
          <c:showSerName val="0"/>
          <c:showPercent val="0"/>
          <c:showBubbleSize val="0"/>
        </c:dLbls>
        <c:marker val="1"/>
        <c:smooth val="0"/>
        <c:axId val="222492912"/>
        <c:axId val="222493472"/>
      </c:lineChart>
      <c:catAx>
        <c:axId val="222491792"/>
        <c:scaling>
          <c:orientation val="minMax"/>
        </c:scaling>
        <c:delete val="0"/>
        <c:axPos val="b"/>
        <c:numFmt formatCode="General" sourceLinked="1"/>
        <c:majorTickMark val="cross"/>
        <c:minorTickMark val="none"/>
        <c:tickLblPos val="nextTo"/>
        <c:txPr>
          <a:bodyPr rot="-2700000" vert="horz"/>
          <a:lstStyle/>
          <a:p>
            <a:pPr>
              <a:defRPr sz="800" b="0" i="0" u="none" strike="noStrike" baseline="0">
                <a:solidFill>
                  <a:srgbClr val="000000"/>
                </a:solidFill>
                <a:latin typeface="Calibri"/>
                <a:ea typeface="Calibri"/>
                <a:cs typeface="Calibri"/>
              </a:defRPr>
            </a:pPr>
            <a:endParaRPr lang="sq-AL"/>
          </a:p>
        </c:txPr>
        <c:crossAx val="222492352"/>
        <c:crosses val="autoZero"/>
        <c:auto val="0"/>
        <c:lblAlgn val="ctr"/>
        <c:lblOffset val="100"/>
        <c:tickLblSkip val="1"/>
        <c:tickMarkSkip val="1"/>
        <c:noMultiLvlLbl val="0"/>
      </c:catAx>
      <c:valAx>
        <c:axId val="222492352"/>
        <c:scaling>
          <c:orientation val="minMax"/>
        </c:scaling>
        <c:delete val="0"/>
        <c:axPos val="l"/>
        <c:title>
          <c:tx>
            <c:rich>
              <a:bodyPr/>
              <a:lstStyle/>
              <a:p>
                <a:pPr>
                  <a:defRPr sz="1000" b="0" i="0" u="none" strike="noStrike" baseline="0">
                    <a:solidFill>
                      <a:srgbClr val="000000"/>
                    </a:solidFill>
                    <a:latin typeface="Calibri"/>
                    <a:ea typeface="Calibri"/>
                    <a:cs typeface="Calibri"/>
                  </a:defRPr>
                </a:pPr>
                <a:r>
                  <a:rPr lang="sq-AL"/>
                  <a:t>Në miliardë</a:t>
                </a:r>
              </a:p>
            </c:rich>
          </c:tx>
          <c:layout>
            <c:manualLayout>
              <c:xMode val="edge"/>
              <c:yMode val="edge"/>
              <c:x val="9.4299936645850305E-3"/>
              <c:y val="2.7413521585663861E-2"/>
            </c:manualLayout>
          </c:layout>
          <c:overlay val="0"/>
        </c:title>
        <c:numFmt formatCode="#,##0.0" sourceLinked="0"/>
        <c:majorTickMark val="cross"/>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222491792"/>
        <c:crosses val="autoZero"/>
        <c:crossBetween val="between"/>
        <c:dispUnits>
          <c:builtInUnit val="thousands"/>
        </c:dispUnits>
      </c:valAx>
      <c:catAx>
        <c:axId val="222492912"/>
        <c:scaling>
          <c:orientation val="minMax"/>
        </c:scaling>
        <c:delete val="1"/>
        <c:axPos val="b"/>
        <c:numFmt formatCode="General" sourceLinked="1"/>
        <c:majorTickMark val="out"/>
        <c:minorTickMark val="none"/>
        <c:tickLblPos val="none"/>
        <c:crossAx val="222493472"/>
        <c:crosses val="autoZero"/>
        <c:auto val="0"/>
        <c:lblAlgn val="ctr"/>
        <c:lblOffset val="100"/>
        <c:noMultiLvlLbl val="0"/>
      </c:catAx>
      <c:valAx>
        <c:axId val="222493472"/>
        <c:scaling>
          <c:orientation val="minMax"/>
        </c:scaling>
        <c:delete val="0"/>
        <c:axPos val="r"/>
        <c:title>
          <c:tx>
            <c:rich>
              <a:bodyPr/>
              <a:lstStyle/>
              <a:p>
                <a:pPr>
                  <a:defRPr sz="1000" b="0" i="0" u="none" strike="noStrike" baseline="0">
                    <a:solidFill>
                      <a:srgbClr val="000000"/>
                    </a:solidFill>
                    <a:latin typeface="Calibri"/>
                    <a:ea typeface="Calibri"/>
                    <a:cs typeface="Calibri"/>
                  </a:defRPr>
                </a:pPr>
                <a:r>
                  <a:rPr lang="sq-AL"/>
                  <a:t>Në përqindje</a:t>
                </a:r>
              </a:p>
            </c:rich>
          </c:tx>
          <c:layout>
            <c:manualLayout>
              <c:xMode val="edge"/>
              <c:yMode val="edge"/>
              <c:x val="0.94693963254593194"/>
              <c:y val="0.33216550178418724"/>
            </c:manualLayout>
          </c:layout>
          <c:overlay val="0"/>
        </c:title>
        <c:numFmt formatCode="0.0" sourceLinked="0"/>
        <c:majorTickMark val="cross"/>
        <c:minorTickMark val="none"/>
        <c:tickLblPos val="nextTo"/>
        <c:txPr>
          <a:bodyPr rot="0" vert="horz"/>
          <a:lstStyle/>
          <a:p>
            <a:pPr>
              <a:defRPr sz="1000" b="0" i="0" u="none" strike="noStrike" baseline="0">
                <a:solidFill>
                  <a:srgbClr val="000000"/>
                </a:solidFill>
                <a:latin typeface="Calibri"/>
                <a:ea typeface="Calibri"/>
                <a:cs typeface="Calibri"/>
              </a:defRPr>
            </a:pPr>
            <a:endParaRPr lang="sq-AL"/>
          </a:p>
        </c:txPr>
        <c:crossAx val="222492912"/>
        <c:crosses val="max"/>
        <c:crossBetween val="between"/>
      </c:valAx>
    </c:plotArea>
    <c:legend>
      <c:legendPos val="b"/>
      <c:layout>
        <c:manualLayout>
          <c:xMode val="edge"/>
          <c:yMode val="edge"/>
          <c:x val="0.18773023898328503"/>
          <c:y val="0.90470455238039083"/>
          <c:w val="0.61611846940185111"/>
          <c:h val="9.0301689816862818E-2"/>
        </c:manualLayout>
      </c:layout>
      <c:overlay val="0"/>
      <c:txPr>
        <a:bodyPr/>
        <a:lstStyle/>
        <a:p>
          <a:pPr>
            <a:defRPr sz="920"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q-A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56957996529508"/>
          <c:y val="2.9015641337515736E-2"/>
          <c:w val="0.86858677549027297"/>
          <c:h val="0.78717595259942141"/>
        </c:manualLayout>
      </c:layout>
      <c:barChart>
        <c:barDir val="col"/>
        <c:grouping val="clustered"/>
        <c:varyColors val="0"/>
        <c:ser>
          <c:idx val="0"/>
          <c:order val="0"/>
          <c:tx>
            <c:strRef>
              <c:f>Shpenzimet!$C$26</c:f>
              <c:strCache>
                <c:ptCount val="1"/>
                <c:pt idx="0">
                  <c:v>9 mujori 2016</c:v>
                </c:pt>
              </c:strCache>
            </c:strRef>
          </c:tx>
          <c:spPr>
            <a:solidFill>
              <a:schemeClr val="accent3"/>
            </a:solidFill>
          </c:spPr>
          <c:invertIfNegative val="0"/>
          <c:dLbls>
            <c:spPr>
              <a:noFill/>
              <a:ln>
                <a:noFill/>
              </a:ln>
              <a:effectLst/>
            </c:spPr>
            <c:txPr>
              <a:bodyPr/>
              <a:lstStyle/>
              <a:p>
                <a:pPr>
                  <a:defRPr b="1"/>
                </a:pPr>
                <a:endParaRPr lang="sq-A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Shpenzimet!$D$25:$J$25</c:f>
              <c:strCache>
                <c:ptCount val="7"/>
                <c:pt idx="0">
                  <c:v>Paga</c:v>
                </c:pt>
                <c:pt idx="1">
                  <c:v>Sigurime</c:v>
                </c:pt>
                <c:pt idx="2">
                  <c:v>Operative</c:v>
                </c:pt>
                <c:pt idx="3">
                  <c:v>Interesa  </c:v>
                </c:pt>
                <c:pt idx="4">
                  <c:v>Subvencione</c:v>
                </c:pt>
                <c:pt idx="5">
                  <c:v>Te tjera</c:v>
                </c:pt>
                <c:pt idx="6">
                  <c:v>Shpenzime Kapitale</c:v>
                </c:pt>
              </c:strCache>
            </c:strRef>
          </c:cat>
          <c:val>
            <c:numRef>
              <c:f>Shpenzimet!$D$26:$J$26</c:f>
              <c:numCache>
                <c:formatCode>#,##0</c:formatCode>
                <c:ptCount val="7"/>
                <c:pt idx="0">
                  <c:v>9898</c:v>
                </c:pt>
                <c:pt idx="1">
                  <c:v>1640</c:v>
                </c:pt>
                <c:pt idx="2">
                  <c:v>6589</c:v>
                </c:pt>
                <c:pt idx="3">
                  <c:v>36</c:v>
                </c:pt>
                <c:pt idx="4">
                  <c:v>72</c:v>
                </c:pt>
                <c:pt idx="5">
                  <c:v>437</c:v>
                </c:pt>
                <c:pt idx="6">
                  <c:v>7375</c:v>
                </c:pt>
              </c:numCache>
            </c:numRef>
          </c:val>
        </c:ser>
        <c:ser>
          <c:idx val="1"/>
          <c:order val="1"/>
          <c:tx>
            <c:strRef>
              <c:f>Shpenzimet!$C$27</c:f>
              <c:strCache>
                <c:ptCount val="1"/>
                <c:pt idx="0">
                  <c:v>9 mujori 2015</c:v>
                </c:pt>
              </c:strCache>
            </c:strRef>
          </c:tx>
          <c:spPr>
            <a:solidFill>
              <a:schemeClr val="tx2">
                <a:lumMod val="60000"/>
                <a:lumOff val="40000"/>
              </a:schemeClr>
            </a:solidFill>
          </c:spPr>
          <c:invertIfNegative val="0"/>
          <c:dLbls>
            <c:spPr>
              <a:noFill/>
              <a:ln>
                <a:noFill/>
              </a:ln>
              <a:effectLst/>
            </c:spPr>
            <c:txPr>
              <a:bodyPr/>
              <a:lstStyle/>
              <a:p>
                <a:pPr>
                  <a:defRPr b="1"/>
                </a:pPr>
                <a:endParaRPr lang="sq-A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Shpenzimet!$D$25:$J$25</c:f>
              <c:strCache>
                <c:ptCount val="7"/>
                <c:pt idx="0">
                  <c:v>Paga</c:v>
                </c:pt>
                <c:pt idx="1">
                  <c:v>Sigurime</c:v>
                </c:pt>
                <c:pt idx="2">
                  <c:v>Operative</c:v>
                </c:pt>
                <c:pt idx="3">
                  <c:v>Interesa  </c:v>
                </c:pt>
                <c:pt idx="4">
                  <c:v>Subvencione</c:v>
                </c:pt>
                <c:pt idx="5">
                  <c:v>Te tjera</c:v>
                </c:pt>
                <c:pt idx="6">
                  <c:v>Shpenzime Kapitale</c:v>
                </c:pt>
              </c:strCache>
            </c:strRef>
          </c:cat>
          <c:val>
            <c:numRef>
              <c:f>Shpenzimet!$D$27:$J$27</c:f>
              <c:numCache>
                <c:formatCode>#,##0</c:formatCode>
                <c:ptCount val="7"/>
                <c:pt idx="0">
                  <c:v>6938</c:v>
                </c:pt>
                <c:pt idx="1">
                  <c:v>1150</c:v>
                </c:pt>
                <c:pt idx="2">
                  <c:v>6530</c:v>
                </c:pt>
                <c:pt idx="3">
                  <c:v>40</c:v>
                </c:pt>
                <c:pt idx="4">
                  <c:v>93</c:v>
                </c:pt>
                <c:pt idx="5">
                  <c:v>332</c:v>
                </c:pt>
                <c:pt idx="6">
                  <c:v>8158</c:v>
                </c:pt>
              </c:numCache>
            </c:numRef>
          </c:val>
        </c:ser>
        <c:dLbls>
          <c:showLegendKey val="0"/>
          <c:showVal val="0"/>
          <c:showCatName val="0"/>
          <c:showSerName val="0"/>
          <c:showPercent val="0"/>
          <c:showBubbleSize val="0"/>
        </c:dLbls>
        <c:gapWidth val="48"/>
        <c:overlap val="-3"/>
        <c:axId val="375029696"/>
        <c:axId val="375030256"/>
      </c:barChart>
      <c:catAx>
        <c:axId val="375029696"/>
        <c:scaling>
          <c:orientation val="minMax"/>
        </c:scaling>
        <c:delete val="0"/>
        <c:axPos val="b"/>
        <c:numFmt formatCode="General" sourceLinked="0"/>
        <c:majorTickMark val="none"/>
        <c:minorTickMark val="none"/>
        <c:tickLblPos val="nextTo"/>
        <c:crossAx val="375030256"/>
        <c:crosses val="autoZero"/>
        <c:auto val="1"/>
        <c:lblAlgn val="ctr"/>
        <c:lblOffset val="100"/>
        <c:noMultiLvlLbl val="0"/>
      </c:catAx>
      <c:valAx>
        <c:axId val="375030256"/>
        <c:scaling>
          <c:orientation val="minMax"/>
        </c:scaling>
        <c:delete val="0"/>
        <c:axPos val="l"/>
        <c:majorGridlines/>
        <c:title>
          <c:tx>
            <c:rich>
              <a:bodyPr rot="-5400000" vert="horz"/>
              <a:lstStyle/>
              <a:p>
                <a:pPr>
                  <a:defRPr/>
                </a:pPr>
                <a:r>
                  <a:rPr lang="sq-AL"/>
                  <a:t>Në milion leke</a:t>
                </a:r>
              </a:p>
            </c:rich>
          </c:tx>
          <c:layout>
            <c:manualLayout>
              <c:xMode val="edge"/>
              <c:yMode val="edge"/>
              <c:x val="1.0460320366930884E-3"/>
              <c:y val="2.5630454729744151E-2"/>
            </c:manualLayout>
          </c:layout>
          <c:overlay val="0"/>
        </c:title>
        <c:numFmt formatCode="#,##0" sourceLinked="1"/>
        <c:majorTickMark val="none"/>
        <c:minorTickMark val="none"/>
        <c:tickLblPos val="nextTo"/>
        <c:crossAx val="375029696"/>
        <c:crosses val="autoZero"/>
        <c:crossBetween val="between"/>
      </c:valAx>
      <c:spPr>
        <a:effectLst>
          <a:glow rad="127000">
            <a:schemeClr val="bg1"/>
          </a:glow>
          <a:outerShdw blurRad="50800" dist="50800" dir="5400000" algn="ctr" rotWithShape="0">
            <a:schemeClr val="bg1"/>
          </a:outerShdw>
        </a:effectLst>
      </c:spPr>
    </c:plotArea>
    <c:legend>
      <c:legendPos val="r"/>
      <c:layout>
        <c:manualLayout>
          <c:xMode val="edge"/>
          <c:yMode val="edge"/>
          <c:x val="0.21125556979796137"/>
          <c:y val="0.9052901720618256"/>
          <c:w val="0.5443738718706671"/>
          <c:h val="6.9646700666481751E-2"/>
        </c:manualLayout>
      </c:layout>
      <c:overlay val="0"/>
      <c:txPr>
        <a:bodyPr/>
        <a:lstStyle/>
        <a:p>
          <a:pPr>
            <a:defRPr sz="1200" b="1"/>
          </a:pPr>
          <a:endParaRPr lang="sq-AL"/>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567323186478367E-2"/>
          <c:y val="0.12616031165951072"/>
          <c:w val="0.86764895693090272"/>
          <c:h val="0.64641415926207302"/>
        </c:manualLayout>
      </c:layout>
      <c:lineChart>
        <c:grouping val="standard"/>
        <c:varyColors val="0"/>
        <c:ser>
          <c:idx val="0"/>
          <c:order val="0"/>
          <c:tx>
            <c:strRef>
              <c:f>'WAY &amp; WAM'!$C$6:$C$7</c:f>
              <c:strCache>
                <c:ptCount val="2"/>
                <c:pt idx="0">
                  <c:v>Jetgjatësia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5873217702007355E-2"/>
                  <c:y val="3.266971369626298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0349287080802941E-2"/>
                  <c:y val="3.6753427908295708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0698574161605882E-2"/>
                  <c:y val="4.0837142120328726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2.587321770200748E-2"/>
                  <c:y val="4.49208563323615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sq-A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'WAY &amp; WAM'!$A$14:$A$81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formatCode="mmm\-yy">
                  <c:v>42614</c:v>
                </c:pt>
              </c:numCache>
            </c:numRef>
          </c:cat>
          <c:val>
            <c:numRef>
              <c:f>'WAY &amp; WAM'!$C$8:$C$81</c:f>
              <c:numCache>
                <c:formatCode>General</c:formatCode>
                <c:ptCount val="17"/>
                <c:pt idx="0">
                  <c:v>118</c:v>
                </c:pt>
                <c:pt idx="1">
                  <c:v>112</c:v>
                </c:pt>
                <c:pt idx="2">
                  <c:v>124</c:v>
                </c:pt>
                <c:pt idx="3">
                  <c:v>135</c:v>
                </c:pt>
                <c:pt idx="4">
                  <c:v>154</c:v>
                </c:pt>
                <c:pt idx="5">
                  <c:v>195</c:v>
                </c:pt>
                <c:pt idx="6">
                  <c:v>242</c:v>
                </c:pt>
                <c:pt idx="7">
                  <c:v>346</c:v>
                </c:pt>
                <c:pt idx="8">
                  <c:v>401</c:v>
                </c:pt>
                <c:pt idx="9">
                  <c:v>406</c:v>
                </c:pt>
                <c:pt idx="10">
                  <c:v>384</c:v>
                </c:pt>
                <c:pt idx="11">
                  <c:v>360</c:v>
                </c:pt>
                <c:pt idx="12">
                  <c:v>386</c:v>
                </c:pt>
                <c:pt idx="13">
                  <c:v>559</c:v>
                </c:pt>
                <c:pt idx="14">
                  <c:v>630</c:v>
                </c:pt>
                <c:pt idx="15">
                  <c:v>706</c:v>
                </c:pt>
                <c:pt idx="16">
                  <c:v>763</c:v>
                </c:pt>
              </c:numCache>
            </c:numRef>
          </c:val>
          <c:smooth val="0"/>
        </c:ser>
        <c:dLbls>
          <c:showLegendKey val="0"/>
          <c:showVal val="0"/>
          <c:showCatName val="0"/>
          <c:showSerName val="0"/>
          <c:showPercent val="0"/>
          <c:showBubbleSize val="0"/>
        </c:dLbls>
        <c:marker val="1"/>
        <c:smooth val="0"/>
        <c:axId val="375033056"/>
        <c:axId val="375033616"/>
      </c:lineChart>
      <c:lineChart>
        <c:grouping val="standard"/>
        <c:varyColors val="0"/>
        <c:ser>
          <c:idx val="2"/>
          <c:order val="1"/>
          <c:tx>
            <c:strRef>
              <c:f>'WAY &amp; WAM'!$E$6:$E$7</c:f>
              <c:strCache>
                <c:ptCount val="2"/>
                <c:pt idx="0">
                  <c:v>Kosto Mesatare</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dLbl>
              <c:idx val="0"/>
              <c:layout>
                <c:manualLayout>
                  <c:x val="-3.1047861242408825E-2"/>
                  <c:y val="-3.675342790829585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6222504782810298E-2"/>
                  <c:y val="-5.7171998968460223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7598098882141178E-2"/>
                  <c:y val="-4.9004570544394478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2.9322980062275128E-2"/>
                  <c:y val="-5.30882847564274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sq-AL"/>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'WAY &amp; WAM'!$A$8:$B$81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formatCode="mmm\-yy">
                  <c:v>42614</c:v>
                </c:pt>
              </c:numCache>
            </c:numRef>
          </c:cat>
          <c:val>
            <c:numRef>
              <c:f>'WAY &amp; WAM'!$E$8:$E$81</c:f>
              <c:numCache>
                <c:formatCode>0.00%</c:formatCode>
                <c:ptCount val="17"/>
                <c:pt idx="0">
                  <c:v>0.11821999999999999</c:v>
                </c:pt>
                <c:pt idx="1">
                  <c:v>9.4E-2</c:v>
                </c:pt>
                <c:pt idx="2">
                  <c:v>0.11445</c:v>
                </c:pt>
                <c:pt idx="3">
                  <c:v>9.8849999999999993E-2</c:v>
                </c:pt>
                <c:pt idx="4">
                  <c:v>8.3789999999999989E-2</c:v>
                </c:pt>
                <c:pt idx="5">
                  <c:v>7.4270000000000003E-2</c:v>
                </c:pt>
                <c:pt idx="6">
                  <c:v>6.744E-2</c:v>
                </c:pt>
                <c:pt idx="7">
                  <c:v>7.8579999999999997E-2</c:v>
                </c:pt>
                <c:pt idx="8">
                  <c:v>8.2129999999999995E-2</c:v>
                </c:pt>
                <c:pt idx="9">
                  <c:v>8.949E-2</c:v>
                </c:pt>
                <c:pt idx="10">
                  <c:v>8.4320000000000006E-2</c:v>
                </c:pt>
                <c:pt idx="11">
                  <c:v>8.0180000000000001E-2</c:v>
                </c:pt>
                <c:pt idx="12">
                  <c:v>7.8399999999999997E-2</c:v>
                </c:pt>
                <c:pt idx="13">
                  <c:v>6.719E-2</c:v>
                </c:pt>
                <c:pt idx="14">
                  <c:v>5.3859999999999998E-2</c:v>
                </c:pt>
                <c:pt idx="15">
                  <c:v>5.3099999999999994E-2</c:v>
                </c:pt>
                <c:pt idx="16">
                  <c:v>4.487E-2</c:v>
                </c:pt>
              </c:numCache>
            </c:numRef>
          </c:val>
          <c:smooth val="0"/>
        </c:ser>
        <c:dLbls>
          <c:showLegendKey val="0"/>
          <c:showVal val="0"/>
          <c:showCatName val="0"/>
          <c:showSerName val="0"/>
          <c:showPercent val="0"/>
          <c:showBubbleSize val="0"/>
        </c:dLbls>
        <c:marker val="1"/>
        <c:smooth val="0"/>
        <c:axId val="375034736"/>
        <c:axId val="375034176"/>
      </c:lineChart>
      <c:catAx>
        <c:axId val="375033056"/>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375033616"/>
        <c:crosses val="autoZero"/>
        <c:auto val="1"/>
        <c:lblAlgn val="ctr"/>
        <c:lblOffset val="100"/>
        <c:noMultiLvlLbl val="0"/>
      </c:catAx>
      <c:valAx>
        <c:axId val="375033616"/>
        <c:scaling>
          <c:orientation val="minMax"/>
        </c:scaling>
        <c:delete val="0"/>
        <c:axPos val="l"/>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375033056"/>
        <c:crosses val="autoZero"/>
        <c:crossBetween val="between"/>
      </c:valAx>
      <c:valAx>
        <c:axId val="375034176"/>
        <c:scaling>
          <c:orientation val="minMax"/>
          <c:max val="0.15000000000000002"/>
          <c:min val="1.0000000000000002E-2"/>
        </c:scaling>
        <c:delete val="0"/>
        <c:axPos val="r"/>
        <c:numFmt formatCode="0%" sourceLinked="0"/>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375034736"/>
        <c:crosses val="max"/>
        <c:crossBetween val="between"/>
      </c:valAx>
      <c:catAx>
        <c:axId val="375034736"/>
        <c:scaling>
          <c:orientation val="minMax"/>
        </c:scaling>
        <c:delete val="1"/>
        <c:axPos val="b"/>
        <c:numFmt formatCode="General" sourceLinked="1"/>
        <c:majorTickMark val="none"/>
        <c:minorTickMark val="none"/>
        <c:tickLblPos val="nextTo"/>
        <c:crossAx val="375034176"/>
        <c:crosses val="autoZero"/>
        <c:auto val="1"/>
        <c:lblAlgn val="ctr"/>
        <c:lblOffset val="100"/>
        <c:noMultiLvlLbl val="0"/>
      </c:catAx>
      <c:spPr>
        <a:noFill/>
        <a:ln>
          <a:noFill/>
        </a:ln>
        <a:effectLst/>
      </c:spPr>
    </c:plotArea>
    <c:legend>
      <c:legendPos val="b"/>
      <c:layout>
        <c:manualLayout>
          <c:xMode val="edge"/>
          <c:yMode val="edge"/>
          <c:x val="0.29644962409813841"/>
          <c:y val="0.92882112888904556"/>
          <c:w val="0.33465560642068681"/>
          <c:h val="5.250909967599862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0.13043</cdr:x>
      <cdr:y>0.01648</cdr:y>
    </cdr:from>
    <cdr:to>
      <cdr:x>0.85507</cdr:x>
      <cdr:y>0.09973</cdr:y>
    </cdr:to>
    <cdr:sp macro="" textlink="">
      <cdr:nvSpPr>
        <cdr:cNvPr id="3" name="TextBox 2"/>
        <cdr:cNvSpPr txBox="1"/>
      </cdr:nvSpPr>
      <cdr:spPr>
        <a:xfrm xmlns:a="http://schemas.openxmlformats.org/drawingml/2006/main">
          <a:off x="829887" y="57150"/>
          <a:ext cx="4610667" cy="28862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200" b="1">
              <a:latin typeface="Times New Roman" pitchFamily="18" charset="0"/>
              <a:cs typeface="Times New Roman" pitchFamily="18" charset="0"/>
            </a:rPr>
            <a:t>Buxheti</a:t>
          </a:r>
          <a:r>
            <a:rPr lang="en-US" sz="1200" b="1" baseline="0">
              <a:latin typeface="Times New Roman" pitchFamily="18" charset="0"/>
              <a:cs typeface="Times New Roman" pitchFamily="18" charset="0"/>
            </a:rPr>
            <a:t> Vendor 2013-2017 (milionë lekë)</a:t>
          </a:r>
          <a:endParaRPr lang="en-US" sz="1200" b="1">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0.87451</cdr:x>
      <cdr:y>0.01212</cdr:y>
    </cdr:from>
    <cdr:to>
      <cdr:x>1</cdr:x>
      <cdr:y>0.05054</cdr:y>
    </cdr:to>
    <cdr:sp macro="" textlink="">
      <cdr:nvSpPr>
        <cdr:cNvPr id="2" name="TextBox 2"/>
        <cdr:cNvSpPr txBox="1"/>
      </cdr:nvSpPr>
      <cdr:spPr>
        <a:xfrm xmlns:a="http://schemas.openxmlformats.org/drawingml/2006/main">
          <a:off x="6438901" y="37707"/>
          <a:ext cx="923925" cy="11945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b="1"/>
            <a:t>Interesi %</a:t>
          </a:r>
        </a:p>
      </cdr:txBody>
    </cdr:sp>
  </cdr:relSizeAnchor>
  <cdr:relSizeAnchor xmlns:cdr="http://schemas.openxmlformats.org/drawingml/2006/chartDrawing">
    <cdr:from>
      <cdr:x>0.00676</cdr:x>
      <cdr:y>0</cdr:y>
    </cdr:from>
    <cdr:to>
      <cdr:x>0.13224</cdr:x>
      <cdr:y>0.03842</cdr:y>
    </cdr:to>
    <cdr:sp macro="" textlink="">
      <cdr:nvSpPr>
        <cdr:cNvPr id="3" name="TextBox 2"/>
        <cdr:cNvSpPr txBox="1"/>
      </cdr:nvSpPr>
      <cdr:spPr>
        <a:xfrm xmlns:a="http://schemas.openxmlformats.org/drawingml/2006/main">
          <a:off x="38427" y="-6159260"/>
          <a:ext cx="713294" cy="9078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b="1"/>
            <a:t>Ditë</a:t>
          </a:r>
        </a:p>
      </cdr:txBody>
    </cdr:sp>
  </cdr:relSizeAnchor>
</c:userShapes>
</file>

<file path=word/drawings/drawing3.xml><?xml version="1.0" encoding="utf-8"?>
<c:userShapes xmlns:c="http://schemas.openxmlformats.org/drawingml/2006/chart">
  <cdr:relSizeAnchor xmlns:cdr="http://schemas.openxmlformats.org/drawingml/2006/chartDrawing">
    <cdr:from>
      <cdr:x>0.95776</cdr:x>
      <cdr:y>0.30484</cdr:y>
    </cdr:from>
    <cdr:to>
      <cdr:x>0.97894</cdr:x>
      <cdr:y>0.64787</cdr:y>
    </cdr:to>
    <cdr:sp macro="" textlink="">
      <cdr:nvSpPr>
        <cdr:cNvPr id="2" name="TextBox 1"/>
        <cdr:cNvSpPr txBox="1"/>
      </cdr:nvSpPr>
      <cdr:spPr>
        <a:xfrm xmlns:a="http://schemas.openxmlformats.org/drawingml/2006/main">
          <a:off x="5394532" y="762482"/>
          <a:ext cx="119295" cy="858009"/>
        </a:xfrm>
        <a:prstGeom xmlns:a="http://schemas.openxmlformats.org/drawingml/2006/main" prst="rect">
          <a:avLst/>
        </a:prstGeom>
      </cdr:spPr>
      <cdr:txBody>
        <a:bodyPr xmlns:a="http://schemas.openxmlformats.org/drawingml/2006/main" vertOverflow="clip" vert="vert" wrap="square" rtlCol="0" anchor="ctr" anchorCtr="0"/>
        <a:lstStyle xmlns:a="http://schemas.openxmlformats.org/drawingml/2006/main"/>
        <a:p xmlns:a="http://schemas.openxmlformats.org/drawingml/2006/main">
          <a:r>
            <a:rPr lang="en-US" sz="1000" b="1" baseline="0"/>
            <a:t>miliard Lek</a:t>
          </a:r>
          <a:endParaRPr lang="en-US" sz="10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07A42-3D89-469B-A049-0F2904798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116</Pages>
  <Words>43241</Words>
  <Characters>246474</Characters>
  <Application>Microsoft Office Word</Application>
  <DocSecurity>0</DocSecurity>
  <Lines>2053</Lines>
  <Paragraphs>578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MoF</dc:creator>
  <cp:lastModifiedBy>Gentian Opre</cp:lastModifiedBy>
  <cp:revision>8</cp:revision>
  <cp:lastPrinted>2016-11-08T10:07:00Z</cp:lastPrinted>
  <dcterms:created xsi:type="dcterms:W3CDTF">2016-11-08T10:43:00Z</dcterms:created>
  <dcterms:modified xsi:type="dcterms:W3CDTF">2016-11-09T08:18:00Z</dcterms:modified>
</cp:coreProperties>
</file>