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7DCC" w:rsidRPr="007C40BE" w:rsidRDefault="00EE223E" w:rsidP="00BE5905">
      <w:pPr>
        <w:pStyle w:val="Heading1"/>
        <w:spacing w:line="360" w:lineRule="auto"/>
        <w:jc w:val="center"/>
        <w:rPr>
          <w:noProof/>
          <w:sz w:val="36"/>
          <w:szCs w:val="36"/>
          <w:u w:val="single"/>
          <w:lang w:val="sq-AL"/>
        </w:rPr>
      </w:pPr>
      <w:bookmarkStart w:id="0" w:name="_GoBack"/>
      <w:bookmarkEnd w:id="0"/>
      <w:r w:rsidRPr="007C40BE">
        <w:rPr>
          <w:noProof/>
          <w:sz w:val="36"/>
          <w:szCs w:val="36"/>
          <w:u w:val="single"/>
          <w:lang w:val="sq-AL"/>
        </w:rPr>
        <w:t xml:space="preserve">Relacion </w:t>
      </w:r>
    </w:p>
    <w:p w:rsidR="00987DCC" w:rsidRPr="007C40BE" w:rsidRDefault="00987DCC" w:rsidP="00BE5905">
      <w:pPr>
        <w:spacing w:line="360" w:lineRule="auto"/>
        <w:rPr>
          <w:u w:val="single"/>
          <w:lang w:val="sq-AL"/>
        </w:rPr>
      </w:pPr>
    </w:p>
    <w:p w:rsidR="00336C09" w:rsidRPr="007C40BE" w:rsidRDefault="00EE223E" w:rsidP="00BE5905">
      <w:pPr>
        <w:pStyle w:val="Heading1"/>
        <w:spacing w:line="360" w:lineRule="auto"/>
        <w:jc w:val="center"/>
        <w:rPr>
          <w:noProof/>
          <w:sz w:val="28"/>
          <w:u w:val="single"/>
          <w:lang w:val="sq-AL"/>
        </w:rPr>
      </w:pPr>
      <w:r w:rsidRPr="007C40BE">
        <w:rPr>
          <w:noProof/>
          <w:sz w:val="28"/>
          <w:u w:val="single"/>
          <w:lang w:val="sq-AL"/>
        </w:rPr>
        <w:t xml:space="preserve">mbi </w:t>
      </w:r>
    </w:p>
    <w:p w:rsidR="007B2577" w:rsidRPr="007C40BE" w:rsidRDefault="00C147E0" w:rsidP="00BE5905">
      <w:pPr>
        <w:pStyle w:val="Heading1"/>
        <w:spacing w:line="360" w:lineRule="auto"/>
        <w:jc w:val="center"/>
        <w:rPr>
          <w:noProof/>
          <w:sz w:val="28"/>
          <w:u w:val="single"/>
          <w:lang w:val="sq-AL"/>
        </w:rPr>
      </w:pPr>
      <w:r w:rsidRPr="007C40BE">
        <w:rPr>
          <w:noProof/>
          <w:sz w:val="28"/>
          <w:u w:val="single"/>
          <w:lang w:val="sq-AL"/>
        </w:rPr>
        <w:t>Aktin normativ</w:t>
      </w:r>
    </w:p>
    <w:p w:rsidR="00C147E0" w:rsidRPr="007C40BE" w:rsidRDefault="00272014" w:rsidP="00BE5905">
      <w:pPr>
        <w:pStyle w:val="Heading1"/>
        <w:spacing w:line="360" w:lineRule="auto"/>
        <w:jc w:val="center"/>
        <w:rPr>
          <w:noProof/>
          <w:sz w:val="28"/>
          <w:u w:val="single"/>
          <w:lang w:val="sq-AL"/>
        </w:rPr>
      </w:pPr>
      <w:r w:rsidRPr="007C40BE">
        <w:rPr>
          <w:noProof/>
          <w:sz w:val="28"/>
          <w:u w:val="single"/>
          <w:lang w:val="sq-AL"/>
        </w:rPr>
        <w:t>P</w:t>
      </w:r>
      <w:r w:rsidR="00657582" w:rsidRPr="007C40BE">
        <w:rPr>
          <w:noProof/>
          <w:sz w:val="28"/>
          <w:u w:val="single"/>
          <w:lang w:val="sq-AL"/>
        </w:rPr>
        <w:t>Ë</w:t>
      </w:r>
      <w:r w:rsidRPr="007C40BE">
        <w:rPr>
          <w:noProof/>
          <w:sz w:val="28"/>
          <w:u w:val="single"/>
          <w:lang w:val="sq-AL"/>
        </w:rPr>
        <w:t xml:space="preserve">R </w:t>
      </w:r>
      <w:r w:rsidR="00C147E0" w:rsidRPr="007C40BE">
        <w:rPr>
          <w:noProof/>
          <w:sz w:val="28"/>
          <w:u w:val="single"/>
          <w:lang w:val="sq-AL"/>
        </w:rPr>
        <w:t>disa ndryshim</w:t>
      </w:r>
      <w:r w:rsidR="00081F95">
        <w:rPr>
          <w:noProof/>
          <w:sz w:val="28"/>
          <w:u w:val="single"/>
          <w:lang w:val="sq-AL"/>
        </w:rPr>
        <w:t>E</w:t>
      </w:r>
      <w:r w:rsidR="00C147E0" w:rsidRPr="007C40BE">
        <w:rPr>
          <w:noProof/>
          <w:sz w:val="28"/>
          <w:u w:val="single"/>
          <w:lang w:val="sq-AL"/>
        </w:rPr>
        <w:t xml:space="preserve"> në ligjin</w:t>
      </w:r>
      <w:r w:rsidRPr="007C40BE">
        <w:rPr>
          <w:noProof/>
          <w:sz w:val="28"/>
          <w:u w:val="single"/>
          <w:lang w:val="sq-AL"/>
        </w:rPr>
        <w:t xml:space="preserve"> NR. 1</w:t>
      </w:r>
      <w:r w:rsidR="00D43DD4" w:rsidRPr="007C40BE">
        <w:rPr>
          <w:noProof/>
          <w:sz w:val="28"/>
          <w:u w:val="single"/>
          <w:lang w:val="sq-AL"/>
        </w:rPr>
        <w:t>47</w:t>
      </w:r>
      <w:r w:rsidRPr="007C40BE">
        <w:rPr>
          <w:noProof/>
          <w:sz w:val="28"/>
          <w:u w:val="single"/>
          <w:lang w:val="sq-AL"/>
        </w:rPr>
        <w:t>/201</w:t>
      </w:r>
      <w:r w:rsidR="00D43DD4" w:rsidRPr="007C40BE">
        <w:rPr>
          <w:noProof/>
          <w:sz w:val="28"/>
          <w:u w:val="single"/>
          <w:lang w:val="sq-AL"/>
        </w:rPr>
        <w:t>5</w:t>
      </w:r>
      <w:r w:rsidRPr="007C40BE">
        <w:rPr>
          <w:noProof/>
          <w:sz w:val="28"/>
          <w:u w:val="single"/>
          <w:lang w:val="sq-AL"/>
        </w:rPr>
        <w:t xml:space="preserve"> </w:t>
      </w:r>
    </w:p>
    <w:p w:rsidR="00EE223E" w:rsidRPr="007C40BE" w:rsidRDefault="00272014" w:rsidP="00BE5905">
      <w:pPr>
        <w:pStyle w:val="Heading1"/>
        <w:spacing w:line="360" w:lineRule="auto"/>
        <w:jc w:val="center"/>
        <w:rPr>
          <w:u w:val="single"/>
          <w:lang w:val="sq-AL"/>
        </w:rPr>
      </w:pPr>
      <w:r w:rsidRPr="007C40BE">
        <w:rPr>
          <w:noProof/>
          <w:sz w:val="28"/>
          <w:u w:val="single"/>
          <w:lang w:val="sq-AL"/>
        </w:rPr>
        <w:t>“P</w:t>
      </w:r>
      <w:r w:rsidR="00657582" w:rsidRPr="007C40BE">
        <w:rPr>
          <w:noProof/>
          <w:sz w:val="28"/>
          <w:u w:val="single"/>
          <w:lang w:val="sq-AL"/>
        </w:rPr>
        <w:t>Ë</w:t>
      </w:r>
      <w:r w:rsidRPr="007C40BE">
        <w:rPr>
          <w:noProof/>
          <w:sz w:val="28"/>
          <w:u w:val="single"/>
          <w:lang w:val="sq-AL"/>
        </w:rPr>
        <w:t>R BUXHETIN E VITIT 201</w:t>
      </w:r>
      <w:r w:rsidR="00D43DD4" w:rsidRPr="007C40BE">
        <w:rPr>
          <w:noProof/>
          <w:sz w:val="28"/>
          <w:u w:val="single"/>
          <w:lang w:val="sq-AL"/>
        </w:rPr>
        <w:t>6</w:t>
      </w:r>
      <w:r w:rsidRPr="007C40BE">
        <w:rPr>
          <w:noProof/>
          <w:sz w:val="28"/>
          <w:u w:val="single"/>
          <w:lang w:val="sq-AL"/>
        </w:rPr>
        <w:t xml:space="preserve">” </w:t>
      </w:r>
      <w:bookmarkStart w:id="1" w:name="_Toc368565532"/>
    </w:p>
    <w:p w:rsidR="00082713" w:rsidRPr="007C40BE" w:rsidRDefault="00082713" w:rsidP="00BE5905">
      <w:pPr>
        <w:pStyle w:val="Heading1"/>
        <w:spacing w:line="360" w:lineRule="auto"/>
        <w:jc w:val="left"/>
        <w:rPr>
          <w:bCs/>
          <w:iCs/>
          <w:caps w:val="0"/>
          <w:lang w:val="sq-AL"/>
        </w:rPr>
      </w:pPr>
    </w:p>
    <w:p w:rsidR="00FB34EC" w:rsidRPr="007C40BE" w:rsidRDefault="00FB34EC" w:rsidP="00BE5905">
      <w:pPr>
        <w:spacing w:line="360" w:lineRule="auto"/>
        <w:rPr>
          <w:lang w:val="sq-AL"/>
        </w:rPr>
      </w:pPr>
    </w:p>
    <w:p w:rsidR="00D614BC" w:rsidRPr="007C40BE" w:rsidRDefault="00D614BC" w:rsidP="00BE5905">
      <w:pPr>
        <w:pStyle w:val="Heading1"/>
        <w:spacing w:line="360" w:lineRule="auto"/>
        <w:jc w:val="left"/>
        <w:rPr>
          <w:bCs/>
          <w:iCs/>
          <w:caps w:val="0"/>
          <w:lang w:val="sq-AL"/>
        </w:rPr>
      </w:pPr>
      <w:r w:rsidRPr="007C40BE">
        <w:rPr>
          <w:bCs/>
          <w:iCs/>
          <w:caps w:val="0"/>
          <w:lang w:val="sq-AL"/>
        </w:rPr>
        <w:t>A. MËNYRA E NDËRHYRJES</w:t>
      </w:r>
    </w:p>
    <w:p w:rsidR="00275FD0" w:rsidRPr="007C40BE" w:rsidRDefault="00281A4C" w:rsidP="00BE5905">
      <w:pPr>
        <w:tabs>
          <w:tab w:val="left" w:pos="709"/>
        </w:tabs>
        <w:spacing w:line="360" w:lineRule="auto"/>
        <w:jc w:val="both"/>
        <w:rPr>
          <w:noProof/>
          <w:lang w:val="sq-AL"/>
        </w:rPr>
      </w:pPr>
      <w:r w:rsidRPr="007C40BE">
        <w:rPr>
          <w:noProof/>
          <w:lang w:val="sq-AL"/>
        </w:rPr>
        <w:tab/>
      </w:r>
      <w:r w:rsidR="00EA214F" w:rsidRPr="007C40BE">
        <w:rPr>
          <w:noProof/>
          <w:lang w:val="sq-AL"/>
        </w:rPr>
        <w:t>Ky Akt Normativ propozohet në mbështetje të nenit 101, të Kushtetutes së Republikës së Shqipërisë. Në këtë dispozitë kushtetuese parashikohet që Këshilli i Ministrave, ka të drejtën e nxjerrjes së këtyre akteve normative me fuqinë e ligjit.</w:t>
      </w:r>
    </w:p>
    <w:p w:rsidR="00EA214F" w:rsidRPr="007C40BE" w:rsidRDefault="00275FD0" w:rsidP="00BE5905">
      <w:pPr>
        <w:tabs>
          <w:tab w:val="left" w:pos="709"/>
        </w:tabs>
        <w:spacing w:line="360" w:lineRule="auto"/>
        <w:jc w:val="both"/>
        <w:rPr>
          <w:bCs/>
          <w:noProof/>
          <w:lang w:val="sq-AL"/>
        </w:rPr>
      </w:pPr>
      <w:r w:rsidRPr="007C40BE">
        <w:rPr>
          <w:noProof/>
        </w:rPr>
        <w:tab/>
      </w:r>
      <w:r w:rsidR="00EA214F" w:rsidRPr="007C40BE">
        <w:rPr>
          <w:noProof/>
        </w:rPr>
        <w:t>Projektakti normativ, gjithashtu plotëson të gjitha kriteret e analizuara nga Gjykata Kushtetutese në vendimet e saj, veçanërisht Vendimi nr.</w:t>
      </w:r>
      <w:r w:rsidR="00EA214F" w:rsidRPr="007C40BE">
        <w:rPr>
          <w:noProof/>
          <w:lang w:val="sq-AL"/>
        </w:rPr>
        <w:t>24 datë 10.11.2006,</w:t>
      </w:r>
      <w:r w:rsidR="00EA214F" w:rsidRPr="007C40BE">
        <w:rPr>
          <w:noProof/>
        </w:rPr>
        <w:t>Vendimi nr.23 dat</w:t>
      </w:r>
      <w:r w:rsidR="00EA214F" w:rsidRPr="007C40BE">
        <w:rPr>
          <w:bCs/>
          <w:noProof/>
        </w:rPr>
        <w:t xml:space="preserve">ë 16.04.2014, etj. </w:t>
      </w:r>
      <w:r w:rsidR="00EA214F" w:rsidRPr="007C40BE">
        <w:rPr>
          <w:bCs/>
          <w:noProof/>
          <w:lang w:val="sq-AL"/>
        </w:rPr>
        <w:t>Konkretisht, për miratimin e një Akti Normativ kërkohet të plotësohen kushtet q</w:t>
      </w:r>
      <w:r w:rsidR="00987D3D" w:rsidRPr="007C40BE">
        <w:rPr>
          <w:bCs/>
          <w:noProof/>
          <w:lang w:val="sq-AL"/>
        </w:rPr>
        <w:t>ë</w:t>
      </w:r>
      <w:r w:rsidR="00EA214F" w:rsidRPr="007C40BE">
        <w:rPr>
          <w:bCs/>
          <w:noProof/>
          <w:lang w:val="sq-AL"/>
        </w:rPr>
        <w:t xml:space="preserve"> vijojnë</w:t>
      </w:r>
      <w:r w:rsidR="00EA214F" w:rsidRPr="007C40BE">
        <w:rPr>
          <w:bCs/>
          <w:noProof/>
          <w:vertAlign w:val="superscript"/>
          <w:lang w:val="sq-AL"/>
        </w:rPr>
        <w:footnoteReference w:id="1"/>
      </w:r>
      <w:r w:rsidR="00EA214F" w:rsidRPr="007C40BE">
        <w:rPr>
          <w:bCs/>
          <w:noProof/>
          <w:lang w:val="sq-AL"/>
        </w:rPr>
        <w:t>:</w:t>
      </w:r>
    </w:p>
    <w:p w:rsidR="00814448" w:rsidRPr="007C40BE" w:rsidRDefault="00814448" w:rsidP="00CF0948">
      <w:pPr>
        <w:numPr>
          <w:ilvl w:val="0"/>
          <w:numId w:val="4"/>
        </w:numPr>
        <w:spacing w:line="360" w:lineRule="auto"/>
        <w:jc w:val="both"/>
        <w:rPr>
          <w:i/>
          <w:lang w:val="sq-AL" w:eastAsia="ja-JP"/>
        </w:rPr>
      </w:pPr>
      <w:r w:rsidRPr="007C40BE">
        <w:rPr>
          <w:i/>
          <w:lang w:val="sq-AL" w:eastAsia="ja-JP"/>
        </w:rPr>
        <w:t>Nevoja dhe urgjenca si kushte për nxjerrjen e aktit normativ me fuqinë e ligjit;</w:t>
      </w:r>
    </w:p>
    <w:p w:rsidR="00814448" w:rsidRPr="007C40BE" w:rsidRDefault="00814448" w:rsidP="00CF0948">
      <w:pPr>
        <w:numPr>
          <w:ilvl w:val="0"/>
          <w:numId w:val="4"/>
        </w:numPr>
        <w:spacing w:line="360" w:lineRule="auto"/>
        <w:jc w:val="both"/>
        <w:rPr>
          <w:i/>
          <w:lang w:val="sq-AL" w:eastAsia="ja-JP"/>
        </w:rPr>
      </w:pPr>
      <w:r w:rsidRPr="007C40BE">
        <w:rPr>
          <w:i/>
          <w:lang w:val="sq-AL" w:eastAsia="ja-JP"/>
        </w:rPr>
        <w:t>Përkohshmëria e masave që përmban akti normativ me fuqinë e ligjit;</w:t>
      </w:r>
    </w:p>
    <w:p w:rsidR="00814448" w:rsidRPr="007C40BE" w:rsidRDefault="00814448" w:rsidP="00CF0948">
      <w:pPr>
        <w:numPr>
          <w:ilvl w:val="0"/>
          <w:numId w:val="4"/>
        </w:numPr>
        <w:spacing w:line="360" w:lineRule="auto"/>
        <w:jc w:val="both"/>
        <w:rPr>
          <w:i/>
          <w:lang w:val="sq-AL" w:eastAsia="ja-JP"/>
        </w:rPr>
      </w:pPr>
      <w:r w:rsidRPr="007C40BE">
        <w:rPr>
          <w:i/>
          <w:lang w:val="sq-AL" w:eastAsia="ja-JP"/>
        </w:rPr>
        <w:t>Fuqia ligjore e këtyre akteve dhe kufizimet për nxjerrjen e tyre;</w:t>
      </w:r>
    </w:p>
    <w:p w:rsidR="00814448" w:rsidRPr="007C40BE" w:rsidRDefault="00814448" w:rsidP="00CF0948">
      <w:pPr>
        <w:numPr>
          <w:ilvl w:val="0"/>
          <w:numId w:val="4"/>
        </w:numPr>
        <w:spacing w:line="360" w:lineRule="auto"/>
        <w:jc w:val="both"/>
        <w:rPr>
          <w:i/>
          <w:lang w:val="sq-AL" w:eastAsia="ja-JP"/>
        </w:rPr>
      </w:pPr>
      <w:r w:rsidRPr="007C40BE">
        <w:rPr>
          <w:i/>
          <w:lang w:val="sq-AL" w:eastAsia="ja-JP"/>
        </w:rPr>
        <w:t>Miratimi i aktit normativ me fuqinë e ligjit nga Kuvendi.</w:t>
      </w:r>
    </w:p>
    <w:p w:rsidR="00814448" w:rsidRPr="007C40BE" w:rsidRDefault="00814448" w:rsidP="00BE5905">
      <w:pPr>
        <w:spacing w:line="360" w:lineRule="auto"/>
        <w:jc w:val="both"/>
        <w:rPr>
          <w:lang w:val="sq-AL" w:eastAsia="ja-JP"/>
        </w:rPr>
      </w:pPr>
    </w:p>
    <w:p w:rsidR="00814448" w:rsidRPr="007C40BE" w:rsidRDefault="00D614BC" w:rsidP="00BE5905">
      <w:pPr>
        <w:spacing w:line="360" w:lineRule="auto"/>
        <w:jc w:val="both"/>
        <w:rPr>
          <w:b/>
          <w:lang w:val="sq-AL" w:eastAsia="ja-JP"/>
        </w:rPr>
      </w:pPr>
      <w:bookmarkStart w:id="2" w:name="_Toc368565877"/>
      <w:r w:rsidRPr="007C40BE">
        <w:rPr>
          <w:b/>
          <w:noProof/>
          <w:lang w:val="sq-AL"/>
        </w:rPr>
        <w:t>1</w:t>
      </w:r>
      <w:bookmarkEnd w:id="2"/>
      <w:r w:rsidR="001A6CCE" w:rsidRPr="007C40BE">
        <w:rPr>
          <w:b/>
          <w:noProof/>
          <w:lang w:val="sq-AL"/>
        </w:rPr>
        <w:t xml:space="preserve">. </w:t>
      </w:r>
      <w:r w:rsidR="00814448" w:rsidRPr="007C40BE">
        <w:rPr>
          <w:b/>
          <w:lang w:val="sq-AL" w:eastAsia="ja-JP"/>
        </w:rPr>
        <w:t>Nevoja dhe urgjenca si kushte për nxjerrjen e aktit normativ me fuqinë e ligjit;</w:t>
      </w:r>
    </w:p>
    <w:p w:rsidR="004E1D7D" w:rsidRPr="007C40BE" w:rsidRDefault="00EA214F" w:rsidP="004E1D7D">
      <w:pPr>
        <w:spacing w:line="360" w:lineRule="auto"/>
        <w:ind w:firstLine="426"/>
        <w:jc w:val="both"/>
        <w:rPr>
          <w:color w:val="000000"/>
        </w:rPr>
      </w:pPr>
      <w:r w:rsidRPr="007C40BE">
        <w:rPr>
          <w:lang w:val="sq-AL" w:eastAsia="ja-JP"/>
        </w:rPr>
        <w:tab/>
        <w:t xml:space="preserve">Neni 101 ka parashikuar </w:t>
      </w:r>
      <w:r w:rsidRPr="007C40BE">
        <w:rPr>
          <w:b/>
          <w:lang w:val="sq-AL" w:eastAsia="ja-JP"/>
        </w:rPr>
        <w:t>‘nevojën’</w:t>
      </w:r>
      <w:r w:rsidRPr="007C40BE">
        <w:rPr>
          <w:lang w:val="sq-AL" w:eastAsia="ja-JP"/>
        </w:rPr>
        <w:t xml:space="preserve"> dhe </w:t>
      </w:r>
      <w:r w:rsidRPr="007C40BE">
        <w:rPr>
          <w:b/>
          <w:lang w:val="sq-AL" w:eastAsia="ja-JP"/>
        </w:rPr>
        <w:t>‘urgjencën’</w:t>
      </w:r>
      <w:r w:rsidRPr="007C40BE">
        <w:rPr>
          <w:lang w:val="sq-AL" w:eastAsia="ja-JP"/>
        </w:rPr>
        <w:t xml:space="preserve"> si rrethana dhe situata fakti që vlerësohen rast pas rasti. Në rastin konkret, </w:t>
      </w:r>
      <w:r w:rsidR="004E1D7D" w:rsidRPr="007C40BE">
        <w:rPr>
          <w:lang w:val="sq-AL" w:eastAsia="ja-JP"/>
        </w:rPr>
        <w:t>n</w:t>
      </w:r>
      <w:r w:rsidR="004E1D7D" w:rsidRPr="007C40BE">
        <w:rPr>
          <w:color w:val="000000"/>
        </w:rPr>
        <w:t>ë vijim të përmbylljes së misionit të rradhës të Fondit Monetar Ndërkombëtar dhe rishikimit e dakordësimit të treguesve kryesorë                     makro-fiskalë, Ministria e Financave ka ndërmarrë proçesin dhe përgatitur skenarin e rishikimit të buxhetit 2016. Ky rishikim propozohet t’i nënshtrohet proçedurës së Aktit Normativ, aspekti i nevojës dhe emergjencës së të cilit lidhet me këto arsye kryesore:</w:t>
      </w:r>
    </w:p>
    <w:p w:rsidR="004E1D7D" w:rsidRPr="007C40BE" w:rsidRDefault="004E1D7D" w:rsidP="004E1D7D">
      <w:pPr>
        <w:pStyle w:val="ListParagraph"/>
        <w:numPr>
          <w:ilvl w:val="1"/>
          <w:numId w:val="43"/>
        </w:numPr>
        <w:tabs>
          <w:tab w:val="left" w:pos="426"/>
        </w:tabs>
        <w:spacing w:before="0" w:after="200" w:line="360" w:lineRule="auto"/>
        <w:ind w:left="851" w:hanging="425"/>
        <w:jc w:val="both"/>
        <w:rPr>
          <w:rFonts w:ascii="Times New Roman" w:hAnsi="Times New Roman"/>
          <w:i/>
          <w:noProof/>
          <w:sz w:val="24"/>
          <w:szCs w:val="26"/>
        </w:rPr>
      </w:pPr>
      <w:r w:rsidRPr="007C40BE">
        <w:rPr>
          <w:rFonts w:ascii="Times New Roman" w:hAnsi="Times New Roman"/>
          <w:i/>
          <w:noProof/>
          <w:sz w:val="24"/>
          <w:szCs w:val="26"/>
        </w:rPr>
        <w:t>rritjen e stimujve dhe impulseve të reja për ekonominë në tërësi;</w:t>
      </w:r>
    </w:p>
    <w:p w:rsidR="004E1D7D" w:rsidRPr="007C40BE" w:rsidRDefault="004E1D7D" w:rsidP="004E1D7D">
      <w:pPr>
        <w:pStyle w:val="ListParagraph"/>
        <w:numPr>
          <w:ilvl w:val="1"/>
          <w:numId w:val="43"/>
        </w:numPr>
        <w:tabs>
          <w:tab w:val="left" w:pos="426"/>
        </w:tabs>
        <w:spacing w:before="0" w:after="200" w:line="360" w:lineRule="auto"/>
        <w:ind w:left="851" w:hanging="425"/>
        <w:jc w:val="both"/>
        <w:rPr>
          <w:rFonts w:ascii="Times New Roman" w:hAnsi="Times New Roman"/>
          <w:i/>
          <w:noProof/>
          <w:sz w:val="24"/>
          <w:szCs w:val="26"/>
        </w:rPr>
      </w:pPr>
      <w:r w:rsidRPr="007C40BE">
        <w:rPr>
          <w:rFonts w:ascii="Times New Roman" w:hAnsi="Times New Roman"/>
          <w:i/>
          <w:noProof/>
          <w:sz w:val="24"/>
          <w:szCs w:val="26"/>
        </w:rPr>
        <w:t>rritjen e efiçencës së përdorimit të burimeve publike;</w:t>
      </w:r>
    </w:p>
    <w:p w:rsidR="004E1D7D" w:rsidRPr="007C40BE" w:rsidRDefault="004E1D7D" w:rsidP="004E1D7D">
      <w:pPr>
        <w:pStyle w:val="ListParagraph"/>
        <w:numPr>
          <w:ilvl w:val="1"/>
          <w:numId w:val="43"/>
        </w:numPr>
        <w:tabs>
          <w:tab w:val="left" w:pos="426"/>
        </w:tabs>
        <w:spacing w:before="0" w:after="200" w:line="360" w:lineRule="auto"/>
        <w:ind w:left="851" w:hanging="425"/>
        <w:jc w:val="both"/>
        <w:rPr>
          <w:rFonts w:ascii="Times New Roman" w:hAnsi="Times New Roman"/>
          <w:i/>
          <w:noProof/>
          <w:sz w:val="24"/>
          <w:szCs w:val="26"/>
        </w:rPr>
      </w:pPr>
      <w:r w:rsidRPr="007C40BE">
        <w:rPr>
          <w:rFonts w:ascii="Times New Roman" w:hAnsi="Times New Roman"/>
          <w:i/>
          <w:noProof/>
          <w:sz w:val="24"/>
          <w:szCs w:val="26"/>
        </w:rPr>
        <w:t xml:space="preserve">rritjen e sigurisë në realizimin e treguesve të buxhetit; </w:t>
      </w:r>
    </w:p>
    <w:p w:rsidR="004E1D7D" w:rsidRPr="007C40BE" w:rsidRDefault="004E1D7D" w:rsidP="004E1D7D">
      <w:pPr>
        <w:pStyle w:val="ListParagraph"/>
        <w:numPr>
          <w:ilvl w:val="1"/>
          <w:numId w:val="43"/>
        </w:numPr>
        <w:tabs>
          <w:tab w:val="left" w:pos="426"/>
        </w:tabs>
        <w:spacing w:before="0" w:after="200" w:line="360" w:lineRule="auto"/>
        <w:ind w:left="851" w:hanging="425"/>
        <w:jc w:val="both"/>
        <w:rPr>
          <w:rFonts w:ascii="Times New Roman" w:hAnsi="Times New Roman"/>
          <w:i/>
          <w:noProof/>
          <w:sz w:val="24"/>
          <w:szCs w:val="26"/>
        </w:rPr>
      </w:pPr>
      <w:r w:rsidRPr="007C40BE">
        <w:rPr>
          <w:rFonts w:ascii="Times New Roman" w:hAnsi="Times New Roman"/>
          <w:i/>
          <w:noProof/>
          <w:sz w:val="24"/>
          <w:szCs w:val="26"/>
        </w:rPr>
        <w:t xml:space="preserve">nxitjen e zhvillimit të sektorëve prioritarë. </w:t>
      </w:r>
    </w:p>
    <w:p w:rsidR="001533DA" w:rsidRPr="007C40BE" w:rsidRDefault="001533DA" w:rsidP="001533DA">
      <w:pPr>
        <w:tabs>
          <w:tab w:val="left" w:pos="709"/>
        </w:tabs>
        <w:spacing w:line="360" w:lineRule="auto"/>
        <w:jc w:val="both"/>
        <w:rPr>
          <w:lang w:val="sq-AL" w:eastAsia="ja-JP"/>
        </w:rPr>
      </w:pPr>
      <w:r w:rsidRPr="007C40BE">
        <w:rPr>
          <w:lang w:val="sq-AL" w:eastAsia="ja-JP"/>
        </w:rPr>
        <w:lastRenderedPageBreak/>
        <w:t xml:space="preserve">Njëkohësisht, </w:t>
      </w:r>
      <w:r w:rsidRPr="007C40BE">
        <w:rPr>
          <w:b/>
          <w:lang w:val="sq-AL" w:eastAsia="ja-JP"/>
        </w:rPr>
        <w:t>nevoja dhe urgjenca</w:t>
      </w:r>
      <w:r w:rsidRPr="007C40BE">
        <w:rPr>
          <w:lang w:val="sq-AL" w:eastAsia="ja-JP"/>
        </w:rPr>
        <w:t xml:space="preserve"> konsiston edhe në faktin se:</w:t>
      </w:r>
    </w:p>
    <w:p w:rsidR="001533DA" w:rsidRPr="007C40BE" w:rsidRDefault="001533DA" w:rsidP="001533DA">
      <w:pPr>
        <w:numPr>
          <w:ilvl w:val="0"/>
          <w:numId w:val="5"/>
        </w:numPr>
        <w:tabs>
          <w:tab w:val="left" w:pos="709"/>
        </w:tabs>
        <w:spacing w:line="360" w:lineRule="auto"/>
        <w:jc w:val="both"/>
        <w:rPr>
          <w:i/>
          <w:noProof/>
          <w:lang w:val="sq-AL"/>
        </w:rPr>
      </w:pPr>
      <w:r w:rsidRPr="007C40BE">
        <w:rPr>
          <w:i/>
          <w:noProof/>
          <w:lang w:val="sq-AL"/>
        </w:rPr>
        <w:t xml:space="preserve">Kërkohet një përshpejtim i projekteve investimeve publike me impakt të qënësishëm pozitiv në rritjen ekonomike, me qëllim arritjen e nivelit të programuar të tij për vitin 2016. </w:t>
      </w:r>
    </w:p>
    <w:p w:rsidR="001533DA" w:rsidRPr="007C40BE" w:rsidRDefault="001533DA" w:rsidP="001533DA">
      <w:pPr>
        <w:numPr>
          <w:ilvl w:val="0"/>
          <w:numId w:val="5"/>
        </w:numPr>
        <w:tabs>
          <w:tab w:val="left" w:pos="709"/>
        </w:tabs>
        <w:spacing w:line="360" w:lineRule="auto"/>
        <w:jc w:val="both"/>
        <w:rPr>
          <w:i/>
          <w:noProof/>
          <w:lang w:val="sq-AL"/>
        </w:rPr>
      </w:pPr>
      <w:r w:rsidRPr="007C40BE">
        <w:rPr>
          <w:i/>
          <w:noProof/>
          <w:lang w:val="sq-AL"/>
        </w:rPr>
        <w:t>Bëhet e mundur shlyerja në kohë e detyrimeve financiare kontraktuale e institucioneve buxhetore nëpërmjet rialokimeve buxhetore të këtij Akti Normativ. Kësisoj zerohet mundësia e krijimit të detyrimeve të prapambetura deri në fund të vitit 2016, në respekt të plotë të angazhimeve të ndërmarra në kuadër të programit me Fondin Monetar Ndërkombëtar.</w:t>
      </w:r>
    </w:p>
    <w:p w:rsidR="001533DA" w:rsidRPr="007C40BE" w:rsidRDefault="001533DA" w:rsidP="001533DA">
      <w:pPr>
        <w:numPr>
          <w:ilvl w:val="0"/>
          <w:numId w:val="5"/>
        </w:numPr>
        <w:tabs>
          <w:tab w:val="left" w:pos="709"/>
        </w:tabs>
        <w:spacing w:line="360" w:lineRule="auto"/>
        <w:jc w:val="both"/>
        <w:rPr>
          <w:i/>
          <w:noProof/>
          <w:lang w:val="sq-AL"/>
        </w:rPr>
      </w:pPr>
      <w:r w:rsidRPr="007C40BE">
        <w:rPr>
          <w:i/>
          <w:noProof/>
          <w:lang w:val="sq-AL"/>
        </w:rPr>
        <w:t>Nevojitet një limit më i lartë i fondit rezervë të Këshillit të Ministrave dhe i Kontingjencës për t’i paraprirë më së miri situatave të paparashikuara gjatë periudhës së mbetur të vitit 2016, sidomos shlyerja e detyrimeve kontingjente që mund të burojnë nga vendimet e Gjykatave Ndërkombëtare në dëm të shtetit shqiptar.</w:t>
      </w:r>
    </w:p>
    <w:p w:rsidR="001533DA" w:rsidRPr="007C40BE" w:rsidRDefault="001533DA" w:rsidP="001533DA">
      <w:pPr>
        <w:numPr>
          <w:ilvl w:val="0"/>
          <w:numId w:val="5"/>
        </w:numPr>
        <w:tabs>
          <w:tab w:val="left" w:pos="709"/>
        </w:tabs>
        <w:spacing w:line="360" w:lineRule="auto"/>
        <w:jc w:val="both"/>
        <w:rPr>
          <w:i/>
          <w:noProof/>
          <w:lang w:val="sq-AL"/>
        </w:rPr>
      </w:pPr>
      <w:r w:rsidRPr="007C40BE">
        <w:rPr>
          <w:i/>
          <w:noProof/>
          <w:lang w:val="sq-AL"/>
        </w:rPr>
        <w:t xml:space="preserve">Një argument tjetër për ndryshimet e bëra është edhe nevoja që Këshilli i Ministrave si ushtruesi më i madh i të drejtës së iniciativës ligjvënëse dhe vetë Kuvendi të veprojnë pa cënuar ekonominë ligjvënëse. </w:t>
      </w:r>
      <w:r w:rsidRPr="007C40BE">
        <w:rPr>
          <w:rFonts w:ascii="Sylfaen" w:hAnsi="Sylfaen"/>
          <w:i/>
          <w:noProof/>
          <w:lang w:val="sq-AL"/>
        </w:rPr>
        <w:t>Gjë që</w:t>
      </w:r>
      <w:r w:rsidRPr="007C40BE">
        <w:rPr>
          <w:i/>
          <w:noProof/>
          <w:lang w:val="sq-AL"/>
        </w:rPr>
        <w:t xml:space="preserve"> nënkupton se, me rastin e ekzistencës së nevojës dhe urgjencës për disa ndryshime në Ligjin e Buxhetit, mund të adresohen njëkohësisht edhe ndryshime të tjera jo domosdoshmërisht urgjente. Një gjë e tillë është logjike e kursimit legjislativ, duke mos angazhuar Këshillin e Ministrave dhe Kuvendin në proçese legjislative të herpashershme dhe të së njëjtës natyrë.  </w:t>
      </w:r>
    </w:p>
    <w:p w:rsidR="001533DA" w:rsidRPr="007C40BE" w:rsidRDefault="001533DA" w:rsidP="001533DA">
      <w:pPr>
        <w:numPr>
          <w:ilvl w:val="0"/>
          <w:numId w:val="5"/>
        </w:numPr>
        <w:tabs>
          <w:tab w:val="left" w:pos="709"/>
        </w:tabs>
        <w:spacing w:line="360" w:lineRule="auto"/>
        <w:jc w:val="both"/>
        <w:rPr>
          <w:i/>
          <w:noProof/>
          <w:lang w:val="sq-AL"/>
        </w:rPr>
      </w:pPr>
      <w:r w:rsidRPr="007C40BE">
        <w:rPr>
          <w:i/>
          <w:noProof/>
          <w:lang w:val="sq-AL"/>
        </w:rPr>
        <w:t xml:space="preserve">Nevoja dhe urgjenca lidhet edhe me kohën e shkurtër dhe të pamjaftueshme që mbetet në dispozicion për administrimin e fondeve në kuadër të respektimit të kërkesave ligjore të legjislacionit në fuqi për Prokurimet Publike dhe marrëveshjes me FMN, nëse miratimi i ndryshimeve do të bëhej me ligj të zakonshëm nga ana e Kuvendit. </w:t>
      </w:r>
    </w:p>
    <w:p w:rsidR="001533DA" w:rsidRPr="007C40BE" w:rsidRDefault="001533DA" w:rsidP="001533DA">
      <w:pPr>
        <w:tabs>
          <w:tab w:val="left" w:pos="709"/>
        </w:tabs>
        <w:spacing w:line="360" w:lineRule="auto"/>
        <w:jc w:val="both"/>
        <w:rPr>
          <w:noProof/>
          <w:lang w:val="sq-AL"/>
        </w:rPr>
      </w:pPr>
      <w:r w:rsidRPr="007C40BE">
        <w:rPr>
          <w:noProof/>
          <w:lang w:val="sq-AL"/>
        </w:rPr>
        <w:t xml:space="preserve">Gjithashtu, është me rëndësi të theksohet që ndryshimet e propozuara, edhe pse e prekin defiçitin buxhetor me 1.3 miliard lekë si pasojë e përdorimit të gjysmës së vlerës së privatizimit të INSIG sh.a. për investime publike, nuk ndikojnë aspak në nivelin e </w:t>
      </w:r>
      <w:r w:rsidR="00C961BD" w:rsidRPr="007C40BE">
        <w:rPr>
          <w:noProof/>
          <w:lang w:val="sq-AL"/>
        </w:rPr>
        <w:t>huamarrjes dhe të borxhit publik, miratuar në fillim të vitit 2016</w:t>
      </w:r>
      <w:r w:rsidRPr="007C40BE">
        <w:rPr>
          <w:noProof/>
          <w:lang w:val="sq-AL"/>
        </w:rPr>
        <w:t xml:space="preserve">. </w:t>
      </w:r>
    </w:p>
    <w:p w:rsidR="00CC7FCD" w:rsidRPr="007C40BE" w:rsidRDefault="00CC7FCD" w:rsidP="00BE5905">
      <w:pPr>
        <w:tabs>
          <w:tab w:val="left" w:pos="709"/>
        </w:tabs>
        <w:spacing w:line="360" w:lineRule="auto"/>
        <w:jc w:val="both"/>
        <w:rPr>
          <w:noProof/>
          <w:sz w:val="16"/>
          <w:szCs w:val="16"/>
          <w:lang w:val="sq-AL"/>
        </w:rPr>
      </w:pPr>
    </w:p>
    <w:p w:rsidR="001533DA" w:rsidRPr="007C40BE" w:rsidRDefault="001533DA" w:rsidP="00BE5905">
      <w:pPr>
        <w:tabs>
          <w:tab w:val="left" w:pos="709"/>
        </w:tabs>
        <w:spacing w:line="360" w:lineRule="auto"/>
        <w:jc w:val="both"/>
        <w:rPr>
          <w:noProof/>
          <w:sz w:val="16"/>
          <w:szCs w:val="16"/>
          <w:lang w:val="sq-AL"/>
        </w:rPr>
      </w:pPr>
    </w:p>
    <w:p w:rsidR="00D614BC" w:rsidRPr="007C40BE" w:rsidRDefault="001A6CCE" w:rsidP="00BE5905">
      <w:pPr>
        <w:tabs>
          <w:tab w:val="left" w:pos="709"/>
        </w:tabs>
        <w:spacing w:line="360" w:lineRule="auto"/>
        <w:jc w:val="both"/>
        <w:rPr>
          <w:b/>
          <w:noProof/>
          <w:lang w:val="sq-AL"/>
        </w:rPr>
      </w:pPr>
      <w:bookmarkStart w:id="3" w:name="_Toc368565878"/>
      <w:bookmarkStart w:id="4" w:name="_Toc368565534"/>
      <w:r w:rsidRPr="007C40BE">
        <w:rPr>
          <w:b/>
          <w:noProof/>
          <w:lang w:val="sq-AL"/>
        </w:rPr>
        <w:t xml:space="preserve">2. </w:t>
      </w:r>
      <w:r w:rsidR="00D614BC" w:rsidRPr="007C40BE">
        <w:rPr>
          <w:b/>
          <w:noProof/>
          <w:lang w:val="sq-AL"/>
        </w:rPr>
        <w:t>Përkohshmëria</w:t>
      </w:r>
      <w:bookmarkEnd w:id="3"/>
      <w:bookmarkEnd w:id="4"/>
    </w:p>
    <w:p w:rsidR="001A6CCE" w:rsidRPr="007C40BE" w:rsidRDefault="00F9513B" w:rsidP="00BE5905">
      <w:pPr>
        <w:tabs>
          <w:tab w:val="left" w:pos="709"/>
        </w:tabs>
        <w:spacing w:line="360" w:lineRule="auto"/>
        <w:jc w:val="both"/>
        <w:rPr>
          <w:noProof/>
          <w:lang w:val="sq-AL"/>
        </w:rPr>
      </w:pPr>
      <w:r w:rsidRPr="007C40BE">
        <w:rPr>
          <w:noProof/>
          <w:lang w:val="sq-AL"/>
        </w:rPr>
        <w:tab/>
      </w:r>
      <w:bookmarkEnd w:id="1"/>
      <w:r w:rsidR="000F08C9" w:rsidRPr="007C40BE">
        <w:rPr>
          <w:noProof/>
          <w:lang w:val="sq-AL"/>
        </w:rPr>
        <w:t xml:space="preserve">Akti Normativ vepron me fuqinë e ligjit për një periudhë kohe, maksimalisht 45 ditore. Përkohshmëria e këtij akti lidhet me kushtin e domosdoshëm të shqyrtimit të tij nga Kuvendi, i </w:t>
      </w:r>
      <w:r w:rsidR="000F08C9" w:rsidRPr="007C40BE">
        <w:rPr>
          <w:noProof/>
          <w:lang w:val="sq-AL"/>
        </w:rPr>
        <w:lastRenderedPageBreak/>
        <w:t xml:space="preserve">cili nëse e miraton, e kthen atë në ligj. Për këtë arsye, menjëherë pas miratimit të aktit normativ me fuqinë e ligjit nga Këshilli i Ministrave, ky akt do të dërgohet për miratim në Kuvend, me qëllim fillimin e proçedurave parlamentare përkatëse.  </w:t>
      </w:r>
    </w:p>
    <w:p w:rsidR="000F08C9" w:rsidRPr="007C40BE" w:rsidRDefault="000F08C9" w:rsidP="00BE5905">
      <w:pPr>
        <w:tabs>
          <w:tab w:val="left" w:pos="709"/>
        </w:tabs>
        <w:spacing w:line="360" w:lineRule="auto"/>
        <w:jc w:val="both"/>
        <w:rPr>
          <w:sz w:val="16"/>
          <w:szCs w:val="16"/>
          <w:lang w:val="sq-AL" w:eastAsia="ja-JP"/>
        </w:rPr>
      </w:pPr>
    </w:p>
    <w:p w:rsidR="00DE3C0A" w:rsidRPr="007C40BE" w:rsidRDefault="00DE3C0A" w:rsidP="00BE5905">
      <w:pPr>
        <w:tabs>
          <w:tab w:val="left" w:pos="709"/>
        </w:tabs>
        <w:spacing w:line="360" w:lineRule="auto"/>
        <w:jc w:val="both"/>
        <w:rPr>
          <w:sz w:val="16"/>
          <w:szCs w:val="16"/>
          <w:lang w:val="sq-AL" w:eastAsia="ja-JP"/>
        </w:rPr>
      </w:pPr>
    </w:p>
    <w:p w:rsidR="000F08C9" w:rsidRPr="007C40BE" w:rsidRDefault="000F08C9" w:rsidP="00BE5905">
      <w:pPr>
        <w:tabs>
          <w:tab w:val="left" w:pos="709"/>
        </w:tabs>
        <w:spacing w:line="360" w:lineRule="auto"/>
        <w:jc w:val="both"/>
        <w:rPr>
          <w:sz w:val="16"/>
          <w:szCs w:val="16"/>
          <w:lang w:val="sq-AL" w:eastAsia="ja-JP"/>
        </w:rPr>
      </w:pPr>
    </w:p>
    <w:p w:rsidR="00D732BC" w:rsidRPr="007C40BE" w:rsidRDefault="00D732BC" w:rsidP="00BE5905">
      <w:pPr>
        <w:pStyle w:val="Heading1"/>
        <w:spacing w:line="360" w:lineRule="auto"/>
        <w:ind w:right="0"/>
        <w:jc w:val="left"/>
        <w:rPr>
          <w:sz w:val="26"/>
          <w:szCs w:val="26"/>
          <w:lang w:val="sq-AL"/>
        </w:rPr>
      </w:pPr>
      <w:bookmarkStart w:id="5" w:name="_Toc368565533"/>
      <w:bookmarkStart w:id="6" w:name="_Toc374018867"/>
      <w:r w:rsidRPr="007C40BE">
        <w:rPr>
          <w:sz w:val="28"/>
          <w:szCs w:val="26"/>
          <w:lang w:val="sq-AL"/>
        </w:rPr>
        <w:t xml:space="preserve">B.  </w:t>
      </w:r>
      <w:r w:rsidRPr="007C40BE">
        <w:rPr>
          <w:sz w:val="26"/>
          <w:szCs w:val="26"/>
          <w:lang w:val="sq-AL"/>
        </w:rPr>
        <w:t>Situata e përgjithshme FINANCIARE janar – QerSHOR 201</w:t>
      </w:r>
      <w:r w:rsidR="007366FB" w:rsidRPr="007C40BE">
        <w:rPr>
          <w:sz w:val="26"/>
          <w:szCs w:val="26"/>
          <w:lang w:val="sq-AL"/>
        </w:rPr>
        <w:t>6</w:t>
      </w:r>
    </w:p>
    <w:p w:rsidR="00FB34EC" w:rsidRPr="007C40BE" w:rsidRDefault="00FB34EC" w:rsidP="00BE5905">
      <w:pPr>
        <w:pStyle w:val="Heading1"/>
        <w:spacing w:line="360" w:lineRule="auto"/>
        <w:ind w:right="0"/>
        <w:jc w:val="left"/>
        <w:rPr>
          <w:sz w:val="16"/>
          <w:szCs w:val="16"/>
          <w:u w:val="single"/>
          <w:lang w:val="sq-AL"/>
        </w:rPr>
      </w:pPr>
    </w:p>
    <w:p w:rsidR="00D732BC" w:rsidRPr="007C40BE" w:rsidRDefault="00D732BC" w:rsidP="00BE5905">
      <w:pPr>
        <w:pStyle w:val="Heading1"/>
        <w:spacing w:line="360" w:lineRule="auto"/>
        <w:ind w:right="0"/>
        <w:jc w:val="left"/>
        <w:rPr>
          <w:bCs/>
          <w:iCs/>
          <w:caps w:val="0"/>
          <w:sz w:val="26"/>
          <w:szCs w:val="26"/>
          <w:lang w:val="sq-AL"/>
        </w:rPr>
      </w:pPr>
      <w:r w:rsidRPr="007C40BE">
        <w:rPr>
          <w:sz w:val="26"/>
          <w:szCs w:val="26"/>
          <w:lang w:val="sq-AL"/>
        </w:rPr>
        <w:t xml:space="preserve">B.1 </w:t>
      </w:r>
      <w:r w:rsidRPr="007C40BE">
        <w:rPr>
          <w:bCs/>
          <w:iCs/>
          <w:caps w:val="0"/>
          <w:sz w:val="26"/>
          <w:szCs w:val="26"/>
          <w:lang w:val="sq-AL"/>
        </w:rPr>
        <w:t xml:space="preserve">Zhvillimet kryesore makroekonomike </w:t>
      </w:r>
    </w:p>
    <w:p w:rsidR="004E1D7D" w:rsidRPr="007C40BE" w:rsidRDefault="004E1D7D" w:rsidP="004E1D7D">
      <w:pPr>
        <w:tabs>
          <w:tab w:val="left" w:pos="709"/>
        </w:tabs>
        <w:spacing w:line="360" w:lineRule="auto"/>
        <w:jc w:val="both"/>
        <w:rPr>
          <w:noProof/>
          <w:lang w:val="sq-AL"/>
        </w:rPr>
      </w:pPr>
      <w:r w:rsidRPr="007C40BE">
        <w:rPr>
          <w:lang w:val="sq-AL"/>
        </w:rPr>
        <w:tab/>
      </w:r>
      <w:r w:rsidRPr="007C40BE">
        <w:rPr>
          <w:noProof/>
          <w:lang w:val="sq-AL"/>
        </w:rPr>
        <w:t xml:space="preserve">Zhvillimet aktuale makroekonomike tremujorit të parë të vitit 2016, kanë qenë në linjë me pritshmëritë fillestare. Bazuar në vlerësimet paraprake të Produktit të Brendshëm Bruto Tremujor nga INSTAT, rritja reale për të gjithë vitin 2015 rezultoi 2,77%, ndërsa për tremujorin e parë të vitit 2016 rritja u përshpejtua në 2,96%. </w:t>
      </w:r>
    </w:p>
    <w:p w:rsidR="004E1D7D" w:rsidRPr="007C40BE" w:rsidRDefault="004E1D7D" w:rsidP="004E1D7D">
      <w:pPr>
        <w:tabs>
          <w:tab w:val="left" w:pos="709"/>
        </w:tabs>
        <w:spacing w:line="360" w:lineRule="auto"/>
        <w:jc w:val="both"/>
        <w:rPr>
          <w:noProof/>
          <w:lang w:val="sq-AL"/>
        </w:rPr>
      </w:pPr>
      <w:r w:rsidRPr="007C40BE">
        <w:rPr>
          <w:noProof/>
        </w:rPr>
        <w:drawing>
          <wp:inline distT="0" distB="0" distL="0" distR="0" wp14:anchorId="42C4EDC6" wp14:editId="17E29FAC">
            <wp:extent cx="5943600" cy="34671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D24FD" w:rsidRPr="007C40BE" w:rsidRDefault="004E1D7D" w:rsidP="004E1D7D">
      <w:pPr>
        <w:tabs>
          <w:tab w:val="left" w:pos="709"/>
        </w:tabs>
        <w:spacing w:line="360" w:lineRule="auto"/>
        <w:ind w:firstLine="720"/>
        <w:jc w:val="both"/>
        <w:rPr>
          <w:noProof/>
          <w:lang w:val="sq-AL"/>
        </w:rPr>
      </w:pPr>
      <w:r w:rsidRPr="007C40BE">
        <w:rPr>
          <w:b/>
          <w:noProof/>
          <w:lang w:val="sq-AL"/>
        </w:rPr>
        <w:t xml:space="preserve">Sektori real – </w:t>
      </w:r>
      <w:r w:rsidRPr="007C40BE">
        <w:rPr>
          <w:noProof/>
          <w:lang w:val="sq-AL"/>
        </w:rPr>
        <w:t xml:space="preserve">Bazuar në treguesit e INSTAT, aktiviteti ekonomik ka treguar shenja pozitive përgjatë tremujorit të parë të vitit 2016. Në 3M - I të vitit 2016, ekonomia shqiptare shënoi një rritje pozitive prej rreth 2,96 për qind kundrejt tremujorit të parë të vitit 2015. </w:t>
      </w:r>
      <w:r w:rsidRPr="007C40BE">
        <w:rPr>
          <w:b/>
          <w:noProof/>
          <w:lang w:val="sq-AL"/>
        </w:rPr>
        <w:t>Kontributin kryesor në këtë rritje e kanë dhënë</w:t>
      </w:r>
      <w:r w:rsidRPr="007C40BE">
        <w:rPr>
          <w:noProof/>
          <w:lang w:val="sq-AL"/>
        </w:rPr>
        <w:t xml:space="preserve"> degët e ekonomisë si</w:t>
      </w:r>
      <w:r w:rsidR="000D24FD" w:rsidRPr="007C40BE">
        <w:rPr>
          <w:noProof/>
          <w:lang w:val="sq-AL"/>
        </w:rPr>
        <w:t>:</w:t>
      </w:r>
      <w:r w:rsidRPr="007C40BE">
        <w:rPr>
          <w:noProof/>
          <w:lang w:val="sq-AL"/>
        </w:rPr>
        <w:t xml:space="preserve"> </w:t>
      </w:r>
    </w:p>
    <w:p w:rsidR="000D24FD" w:rsidRPr="007C40BE" w:rsidRDefault="004E1D7D" w:rsidP="000D24FD">
      <w:pPr>
        <w:pStyle w:val="ListParagraph"/>
        <w:numPr>
          <w:ilvl w:val="0"/>
          <w:numId w:val="44"/>
        </w:numPr>
        <w:tabs>
          <w:tab w:val="left" w:pos="709"/>
        </w:tabs>
        <w:spacing w:line="360" w:lineRule="auto"/>
        <w:jc w:val="both"/>
        <w:rPr>
          <w:rFonts w:ascii="Times New Roman" w:hAnsi="Times New Roman"/>
          <w:i/>
          <w:iCs/>
          <w:noProof/>
          <w:sz w:val="24"/>
        </w:rPr>
      </w:pPr>
      <w:r w:rsidRPr="007C40BE">
        <w:rPr>
          <w:rFonts w:ascii="Times New Roman" w:hAnsi="Times New Roman"/>
          <w:i/>
          <w:noProof/>
          <w:sz w:val="24"/>
        </w:rPr>
        <w:t>Tregti Hotele dhe Restorante dhe Transporti me 0,85</w:t>
      </w:r>
      <w:r w:rsidRPr="007C40BE">
        <w:rPr>
          <w:rFonts w:ascii="Times New Roman" w:hAnsi="Times New Roman"/>
          <w:i/>
          <w:iCs/>
          <w:noProof/>
          <w:sz w:val="24"/>
        </w:rPr>
        <w:t xml:space="preserve"> pikë përqindje, </w:t>
      </w:r>
    </w:p>
    <w:p w:rsidR="000D24FD" w:rsidRPr="007C40BE" w:rsidRDefault="004E1D7D" w:rsidP="000D24FD">
      <w:pPr>
        <w:pStyle w:val="ListParagraph"/>
        <w:numPr>
          <w:ilvl w:val="0"/>
          <w:numId w:val="44"/>
        </w:numPr>
        <w:tabs>
          <w:tab w:val="left" w:pos="709"/>
        </w:tabs>
        <w:spacing w:line="360" w:lineRule="auto"/>
        <w:jc w:val="both"/>
        <w:rPr>
          <w:rFonts w:ascii="Times New Roman" w:hAnsi="Times New Roman"/>
          <w:i/>
          <w:iCs/>
          <w:noProof/>
          <w:sz w:val="24"/>
        </w:rPr>
      </w:pPr>
      <w:r w:rsidRPr="007C40BE">
        <w:rPr>
          <w:rFonts w:ascii="Times New Roman" w:hAnsi="Times New Roman"/>
          <w:i/>
          <w:iCs/>
          <w:noProof/>
          <w:sz w:val="24"/>
        </w:rPr>
        <w:t xml:space="preserve">Administrata publike; Arsimi dhe Shëndetësia </w:t>
      </w:r>
      <w:r w:rsidRPr="007C40BE">
        <w:rPr>
          <w:rFonts w:ascii="Times New Roman" w:hAnsi="Times New Roman"/>
          <w:i/>
          <w:noProof/>
          <w:sz w:val="24"/>
        </w:rPr>
        <w:t xml:space="preserve">me 0,60 pikë përqindje, </w:t>
      </w:r>
    </w:p>
    <w:p w:rsidR="000D24FD" w:rsidRPr="007C40BE" w:rsidRDefault="004E1D7D" w:rsidP="000D24FD">
      <w:pPr>
        <w:pStyle w:val="ListParagraph"/>
        <w:numPr>
          <w:ilvl w:val="0"/>
          <w:numId w:val="44"/>
        </w:numPr>
        <w:tabs>
          <w:tab w:val="left" w:pos="709"/>
        </w:tabs>
        <w:spacing w:line="360" w:lineRule="auto"/>
        <w:jc w:val="both"/>
        <w:rPr>
          <w:rFonts w:ascii="Times New Roman" w:hAnsi="Times New Roman"/>
          <w:i/>
          <w:iCs/>
          <w:noProof/>
          <w:sz w:val="24"/>
        </w:rPr>
      </w:pPr>
      <w:r w:rsidRPr="007C40BE">
        <w:rPr>
          <w:rFonts w:ascii="Times New Roman" w:hAnsi="Times New Roman"/>
          <w:i/>
          <w:noProof/>
          <w:sz w:val="24"/>
        </w:rPr>
        <w:t xml:space="preserve">Ndërtimi me 0,55 pikë përqindje, </w:t>
      </w:r>
    </w:p>
    <w:p w:rsidR="000D24FD" w:rsidRPr="007C40BE" w:rsidRDefault="004E1D7D" w:rsidP="000D24FD">
      <w:pPr>
        <w:pStyle w:val="ListParagraph"/>
        <w:numPr>
          <w:ilvl w:val="0"/>
          <w:numId w:val="44"/>
        </w:numPr>
        <w:tabs>
          <w:tab w:val="left" w:pos="709"/>
        </w:tabs>
        <w:spacing w:line="360" w:lineRule="auto"/>
        <w:jc w:val="both"/>
        <w:rPr>
          <w:rFonts w:ascii="Times New Roman" w:hAnsi="Times New Roman"/>
          <w:i/>
          <w:iCs/>
          <w:noProof/>
          <w:sz w:val="24"/>
        </w:rPr>
      </w:pPr>
      <w:r w:rsidRPr="007C40BE">
        <w:rPr>
          <w:rFonts w:ascii="Times New Roman" w:hAnsi="Times New Roman"/>
          <w:i/>
          <w:noProof/>
          <w:sz w:val="24"/>
        </w:rPr>
        <w:lastRenderedPageBreak/>
        <w:t xml:space="preserve">Informacioni dhe Komunikacioni me 0,37 pikë përqindje, </w:t>
      </w:r>
    </w:p>
    <w:p w:rsidR="000D24FD" w:rsidRPr="007C40BE" w:rsidRDefault="004E1D7D" w:rsidP="000D24FD">
      <w:pPr>
        <w:pStyle w:val="ListParagraph"/>
        <w:numPr>
          <w:ilvl w:val="0"/>
          <w:numId w:val="44"/>
        </w:numPr>
        <w:tabs>
          <w:tab w:val="left" w:pos="709"/>
        </w:tabs>
        <w:spacing w:line="360" w:lineRule="auto"/>
        <w:jc w:val="both"/>
        <w:rPr>
          <w:rFonts w:ascii="Times New Roman" w:hAnsi="Times New Roman"/>
          <w:i/>
          <w:iCs/>
          <w:noProof/>
          <w:sz w:val="24"/>
        </w:rPr>
      </w:pPr>
      <w:r w:rsidRPr="007C40BE">
        <w:rPr>
          <w:rFonts w:ascii="Times New Roman" w:hAnsi="Times New Roman"/>
          <w:i/>
          <w:noProof/>
          <w:sz w:val="24"/>
        </w:rPr>
        <w:t xml:space="preserve">Pasuritë e paluajtshme me 0,23 pikë përqindje, </w:t>
      </w:r>
    </w:p>
    <w:p w:rsidR="000D24FD" w:rsidRPr="007C40BE" w:rsidRDefault="004E1D7D" w:rsidP="000D24FD">
      <w:pPr>
        <w:pStyle w:val="ListParagraph"/>
        <w:numPr>
          <w:ilvl w:val="0"/>
          <w:numId w:val="44"/>
        </w:numPr>
        <w:tabs>
          <w:tab w:val="left" w:pos="709"/>
        </w:tabs>
        <w:spacing w:line="360" w:lineRule="auto"/>
        <w:jc w:val="both"/>
        <w:rPr>
          <w:rFonts w:ascii="Times New Roman" w:hAnsi="Times New Roman"/>
          <w:i/>
          <w:iCs/>
          <w:noProof/>
          <w:sz w:val="24"/>
        </w:rPr>
      </w:pPr>
      <w:r w:rsidRPr="007C40BE">
        <w:rPr>
          <w:rFonts w:ascii="Times New Roman" w:hAnsi="Times New Roman"/>
          <w:i/>
          <w:noProof/>
          <w:sz w:val="24"/>
        </w:rPr>
        <w:t xml:space="preserve">Aktivitete profesionale dhe Shërbime administrative me 0,22 pikë përqindje, </w:t>
      </w:r>
    </w:p>
    <w:p w:rsidR="000D24FD" w:rsidRPr="007C40BE" w:rsidRDefault="004E1D7D" w:rsidP="000D24FD">
      <w:pPr>
        <w:pStyle w:val="ListParagraph"/>
        <w:numPr>
          <w:ilvl w:val="0"/>
          <w:numId w:val="44"/>
        </w:numPr>
        <w:tabs>
          <w:tab w:val="left" w:pos="709"/>
        </w:tabs>
        <w:spacing w:line="360" w:lineRule="auto"/>
        <w:jc w:val="both"/>
        <w:rPr>
          <w:rFonts w:ascii="Times New Roman" w:hAnsi="Times New Roman"/>
          <w:i/>
          <w:iCs/>
          <w:noProof/>
          <w:sz w:val="24"/>
        </w:rPr>
      </w:pPr>
      <w:r w:rsidRPr="007C40BE">
        <w:rPr>
          <w:rFonts w:ascii="Times New Roman" w:hAnsi="Times New Roman"/>
          <w:i/>
          <w:noProof/>
          <w:sz w:val="24"/>
        </w:rPr>
        <w:t xml:space="preserve">Shërbime të tjera me 0,07 pikë përqindje, </w:t>
      </w:r>
    </w:p>
    <w:p w:rsidR="000D24FD" w:rsidRPr="007C40BE" w:rsidRDefault="004E1D7D" w:rsidP="000D24FD">
      <w:pPr>
        <w:pStyle w:val="ListParagraph"/>
        <w:numPr>
          <w:ilvl w:val="0"/>
          <w:numId w:val="44"/>
        </w:numPr>
        <w:tabs>
          <w:tab w:val="left" w:pos="709"/>
        </w:tabs>
        <w:spacing w:line="360" w:lineRule="auto"/>
        <w:jc w:val="both"/>
        <w:rPr>
          <w:rFonts w:ascii="Times New Roman" w:hAnsi="Times New Roman"/>
          <w:i/>
          <w:iCs/>
          <w:noProof/>
          <w:sz w:val="24"/>
        </w:rPr>
      </w:pPr>
      <w:r w:rsidRPr="007C40BE">
        <w:rPr>
          <w:rFonts w:ascii="Times New Roman" w:hAnsi="Times New Roman"/>
          <w:i/>
          <w:noProof/>
          <w:sz w:val="24"/>
        </w:rPr>
        <w:t xml:space="preserve">Aktivitet financiare dhe të sigurimit me 0,04 pikë përqindje. </w:t>
      </w:r>
    </w:p>
    <w:p w:rsidR="000D24FD" w:rsidRPr="007C40BE" w:rsidRDefault="004E1D7D" w:rsidP="000D24FD">
      <w:pPr>
        <w:tabs>
          <w:tab w:val="left" w:pos="709"/>
        </w:tabs>
        <w:spacing w:line="360" w:lineRule="auto"/>
        <w:jc w:val="both"/>
        <w:rPr>
          <w:noProof/>
        </w:rPr>
      </w:pPr>
      <w:r w:rsidRPr="007C40BE">
        <w:rPr>
          <w:noProof/>
        </w:rPr>
        <w:t>Degët që kanë kontribuar negativisht janë</w:t>
      </w:r>
      <w:r w:rsidR="000D24FD" w:rsidRPr="007C40BE">
        <w:rPr>
          <w:noProof/>
        </w:rPr>
        <w:t>:</w:t>
      </w:r>
      <w:r w:rsidRPr="007C40BE">
        <w:rPr>
          <w:noProof/>
        </w:rPr>
        <w:t xml:space="preserve"> </w:t>
      </w:r>
    </w:p>
    <w:p w:rsidR="000D24FD" w:rsidRPr="007C40BE" w:rsidRDefault="004E1D7D" w:rsidP="000D24FD">
      <w:pPr>
        <w:pStyle w:val="ListParagraph"/>
        <w:numPr>
          <w:ilvl w:val="0"/>
          <w:numId w:val="44"/>
        </w:numPr>
        <w:tabs>
          <w:tab w:val="left" w:pos="709"/>
        </w:tabs>
        <w:spacing w:line="360" w:lineRule="auto"/>
        <w:jc w:val="both"/>
        <w:rPr>
          <w:rFonts w:ascii="Times New Roman" w:hAnsi="Times New Roman"/>
          <w:i/>
          <w:noProof/>
          <w:sz w:val="24"/>
        </w:rPr>
      </w:pPr>
      <w:r w:rsidRPr="007C40BE">
        <w:rPr>
          <w:rFonts w:ascii="Times New Roman" w:hAnsi="Times New Roman"/>
          <w:i/>
          <w:noProof/>
          <w:sz w:val="24"/>
        </w:rPr>
        <w:t xml:space="preserve">Industria, Energjia dhe Uji me -0,30 pikë përqindje, </w:t>
      </w:r>
    </w:p>
    <w:p w:rsidR="000D24FD" w:rsidRPr="007C40BE" w:rsidRDefault="004E1D7D" w:rsidP="000D24FD">
      <w:pPr>
        <w:pStyle w:val="ListParagraph"/>
        <w:numPr>
          <w:ilvl w:val="0"/>
          <w:numId w:val="44"/>
        </w:numPr>
        <w:tabs>
          <w:tab w:val="left" w:pos="709"/>
        </w:tabs>
        <w:spacing w:line="360" w:lineRule="auto"/>
        <w:jc w:val="both"/>
        <w:rPr>
          <w:rFonts w:ascii="Times New Roman" w:hAnsi="Times New Roman"/>
          <w:i/>
          <w:noProof/>
          <w:sz w:val="24"/>
        </w:rPr>
      </w:pPr>
      <w:r w:rsidRPr="007C40BE">
        <w:rPr>
          <w:rFonts w:ascii="Times New Roman" w:hAnsi="Times New Roman"/>
          <w:i/>
          <w:noProof/>
          <w:sz w:val="24"/>
        </w:rPr>
        <w:t xml:space="preserve">Bujqësia, Pyjet dhe Peshkimi me -0,05 pikë përqindje. </w:t>
      </w:r>
    </w:p>
    <w:p w:rsidR="004E1D7D" w:rsidRPr="007C40BE" w:rsidRDefault="004E1D7D" w:rsidP="000D24FD">
      <w:pPr>
        <w:pStyle w:val="ListParagraph"/>
        <w:numPr>
          <w:ilvl w:val="0"/>
          <w:numId w:val="44"/>
        </w:numPr>
        <w:tabs>
          <w:tab w:val="left" w:pos="709"/>
        </w:tabs>
        <w:spacing w:line="360" w:lineRule="auto"/>
        <w:jc w:val="both"/>
        <w:rPr>
          <w:rFonts w:ascii="Times New Roman" w:hAnsi="Times New Roman"/>
          <w:i/>
          <w:noProof/>
          <w:sz w:val="24"/>
        </w:rPr>
      </w:pPr>
      <w:r w:rsidRPr="007C40BE">
        <w:rPr>
          <w:rFonts w:ascii="Times New Roman" w:hAnsi="Times New Roman"/>
          <w:i/>
          <w:noProof/>
          <w:sz w:val="24"/>
        </w:rPr>
        <w:t xml:space="preserve">Taksat neto mbi produktet kontribuan pozitivisht me 0,39 pikë përqindje. </w:t>
      </w:r>
    </w:p>
    <w:p w:rsidR="004E1D7D" w:rsidRPr="007C40BE" w:rsidRDefault="004E1D7D" w:rsidP="004E1D7D">
      <w:pPr>
        <w:tabs>
          <w:tab w:val="left" w:pos="709"/>
        </w:tabs>
        <w:spacing w:line="360" w:lineRule="auto"/>
        <w:ind w:firstLine="720"/>
        <w:jc w:val="both"/>
        <w:rPr>
          <w:noProof/>
          <w:lang w:val="sq-AL"/>
        </w:rPr>
      </w:pPr>
      <w:r w:rsidRPr="007C40BE">
        <w:rPr>
          <w:noProof/>
          <w:lang w:val="sq-AL"/>
        </w:rPr>
        <w:t xml:space="preserve">Grupi i degëve Informacioni dhe Komunikacioni u shfaq me rritje 14,58% në tremujorin e I 2016 krahasuar me të njëjtin tremujor të një viti më parë, ku Kominikacioni pati rritjen më të lartë prej 18,94%. Krahasuar me tremujorin e mëparshëm ky grup pati rrtije 4,32%. Ndërtimi përjetoi një rritje prej 7,58% krahasur me tremujorin e parë të vitit 2015, ndërkohë që krahasur me tremujorin e IV të 2015, ky aktivitet shënoi rënie prej 4,87%. Grupi i degëve Tregti, Hotele, Restorante dhe Transport pati një rritje 5,75% në tremujorin e parë të vitit 2016 krahasuar me të njejtën periudhë të vitit paraardhës. Krahasuar me tremujorin e mëparshëm, ky grup u rrit me 1,05%. Grupi i degëve Aktivitete profesionale dhe Shërbime administrative u rrit me 4,22% krahasur me një vit më parë dhe ra me 1,83% krahasuar me tremujorin e mëparshëm. Aktiviteti i  Pasurive të paluajtshme gjatë tremujirt të parë të 2016 u rrit me 3,73% dhe 0,70% krahasuar me tremujorin e IV të vitit 2015. Grupi Shërbime të tjera pati rritje 2,80% krahasur me një vit më parë, ndërsa krahasur me një tremujor më parë ra me 7,95%. Aktiviteti finaciar dhe i sigurimit përjetoi rritjen më të ulët vjetore për këtë tremujor me rreth 0,67% ndërkohë që u rrit me 5,41% krahasuar me një tremujor më parë. Taksat neto mbi produktet për këtë tremujor me rritën me 3,22%. Grupet që përjetuan rënie gjatë tremujorit të parë të vitit 2016 janë Industria, Energjia dhe Uji me 2,02% (krahasuar me një tremujor më parë u rrit me 2,52%) dhe Bujqësia, Pyjet dhe Peshkimi me rënie 0,27% (krahasur me tremujorin IV të 2015 u rrit me 1,52%). Ndikimin më të madh në rënien e grupit Industria, Energjia dhe Uji e dha Industria nxjerrëse me 22,55%. </w:t>
      </w:r>
    </w:p>
    <w:p w:rsidR="004E1D7D" w:rsidRPr="007C40BE" w:rsidRDefault="004E1D7D" w:rsidP="004E1D7D">
      <w:pPr>
        <w:tabs>
          <w:tab w:val="left" w:pos="709"/>
        </w:tabs>
        <w:spacing w:line="360" w:lineRule="auto"/>
        <w:jc w:val="both"/>
        <w:rPr>
          <w:noProof/>
          <w:lang w:val="sq-AL"/>
        </w:rPr>
      </w:pPr>
      <w:r w:rsidRPr="007C40BE">
        <w:rPr>
          <w:noProof/>
          <w:lang w:val="sq-AL"/>
        </w:rPr>
        <w:tab/>
        <w:t xml:space="preserve">Parë nga ana e kërkesës agregate, </w:t>
      </w:r>
      <w:r w:rsidRPr="007C40BE">
        <w:rPr>
          <w:b/>
          <w:noProof/>
          <w:lang w:val="sq-AL"/>
        </w:rPr>
        <w:t>Kërkesa e Brendshme</w:t>
      </w:r>
      <w:r w:rsidRPr="007C40BE">
        <w:rPr>
          <w:noProof/>
          <w:lang w:val="sq-AL"/>
        </w:rPr>
        <w:t xml:space="preserve"> shënoi një rritje prej 2,39%, mbështetur nga Investimet Bruto të cilat u rriten me 7,33% për T1-2016 krahasuar me T1-2015. Edhe Eksportet totale (mallra dhe shërbime) shënuan një rritje prej rreth 10,3% në tremujorin e parë, ndërsa Importet e mallrave dhe shërbimeve u rritën me 6,07% krahasuar me një vit më parë. Konsumi Final pësoi rritje prej rreth 1.22% në T1-2016 krahasuar me T1-2015. </w:t>
      </w:r>
    </w:p>
    <w:p w:rsidR="004E1D7D" w:rsidRPr="007C40BE" w:rsidRDefault="004E1D7D" w:rsidP="004E1D7D">
      <w:pPr>
        <w:tabs>
          <w:tab w:val="left" w:pos="709"/>
        </w:tabs>
        <w:spacing w:line="360" w:lineRule="auto"/>
        <w:jc w:val="both"/>
        <w:rPr>
          <w:noProof/>
          <w:lang w:val="sq-AL"/>
        </w:rPr>
      </w:pPr>
      <w:r w:rsidRPr="007C40BE">
        <w:rPr>
          <w:noProof/>
          <w:lang w:val="sq-AL"/>
        </w:rPr>
        <w:lastRenderedPageBreak/>
        <w:tab/>
        <w:t xml:space="preserve">Edhe për tremujorin e dytë të vitit </w:t>
      </w:r>
      <w:r w:rsidRPr="007C40BE">
        <w:rPr>
          <w:b/>
          <w:noProof/>
          <w:lang w:val="sq-AL"/>
        </w:rPr>
        <w:t>treguesit e disponueshem indirekt</w:t>
      </w:r>
      <w:r w:rsidRPr="007C40BE">
        <w:rPr>
          <w:noProof/>
          <w:lang w:val="sq-AL"/>
        </w:rPr>
        <w:t xml:space="preserve"> tregojnë për një vijimësi të përshpejtimit të aktivitetit ekonomik. Treguesi i ndjesisë ekonomike (TNE) shënoi nivelin 100.1 në T2-2016 duke pësuar një përmirësim prej 6.2 pikësh nga tremujori i kaluar, ndërsa në krahasim me T2-2015 ka pësuar një rënie prej 2.6 pikë përqindje. Niveli aktual i TNE-së qëndron 0.1 pikë mbi mesataren afatgjatë (në nivelin 100), dhe rreth 6.2 pikë përqindje mbi mesataren e 6 viteve të fundit (2010- T2_2016). Përveç treguesit të tregtisë dhe industrisë, të gjithë nën-indikatorët e këtij treguesi për të gjithë sektorët që ai mbulon (ndërtimi, shërbime dhe për konsumatorët) kanë patur rritje gjatë T2-2016, krahasuar me të njëjtën periudhë të një viti më parë dhe një pjesë e tyre janë kthyer mbi mesataren afatgjatë.</w:t>
      </w:r>
    </w:p>
    <w:p w:rsidR="004E1D7D" w:rsidRPr="007C40BE" w:rsidRDefault="004E1D7D" w:rsidP="004E1D7D">
      <w:pPr>
        <w:spacing w:line="360" w:lineRule="auto"/>
        <w:ind w:firstLine="720"/>
        <w:jc w:val="both"/>
        <w:rPr>
          <w:noProof/>
          <w:lang w:val="sq-AL"/>
        </w:rPr>
      </w:pPr>
      <w:r w:rsidRPr="007C40BE">
        <w:rPr>
          <w:b/>
          <w:noProof/>
          <w:lang w:val="sq-AL"/>
        </w:rPr>
        <w:t>Investimet private</w:t>
      </w:r>
      <w:r w:rsidRPr="007C40BE">
        <w:rPr>
          <w:noProof/>
          <w:lang w:val="sq-AL"/>
        </w:rPr>
        <w:t xml:space="preserve"> vlerësohet të kenë patur një rritje edhe gjatë gjysmës së parë të vitit. Kjo reflektohet nga ecuria e importit të mallrave kapitale, makineri, paisje dhe pjesë këmbimi, të cilat gjatë periudhës janar-maj kanë patur një rritje prej 10,6% krahasuar me një vit më parë. Ndërkohë investimet publike për janar-qershor 2016 patën rënie prej 12,5% krahasuar me një vit më parë. </w:t>
      </w:r>
    </w:p>
    <w:p w:rsidR="004E1D7D" w:rsidRPr="007C40BE" w:rsidRDefault="004E1D7D" w:rsidP="004E1D7D">
      <w:pPr>
        <w:spacing w:line="360" w:lineRule="auto"/>
        <w:ind w:firstLine="720"/>
        <w:jc w:val="both"/>
        <w:rPr>
          <w:noProof/>
          <w:lang w:val="sq-AL"/>
        </w:rPr>
      </w:pPr>
      <w:r w:rsidRPr="007C40BE">
        <w:rPr>
          <w:b/>
          <w:noProof/>
          <w:lang w:val="sq-AL"/>
        </w:rPr>
        <w:t>Eksportet</w:t>
      </w:r>
      <w:r w:rsidRPr="007C40BE">
        <w:rPr>
          <w:noProof/>
          <w:lang w:val="sq-AL"/>
        </w:rPr>
        <w:t xml:space="preserve"> kanë vijuar të bien me rreth 8,0% gjatë pesë muajve të parë të vitit kundrejt një viti më parë, brenda të cilave spikat rënia e eksporteve të mineraleve dhe lëndëve djegëse me rreth 47,9%, ku rënia e ҫmimit të naftës në tregun ndërkombëtar ka sjellë ulje të vlerës së eksportuar nga kompanitë vendase të naftës. Eksporti i industrisë fason ka pësuar rritje gjatë pesë muajve të parë të vitit 2016 me rreth 24,2%.</w:t>
      </w:r>
    </w:p>
    <w:p w:rsidR="004E1D7D" w:rsidRPr="007C40BE" w:rsidRDefault="004E1D7D" w:rsidP="004E1D7D">
      <w:pPr>
        <w:spacing w:line="360" w:lineRule="auto"/>
        <w:ind w:firstLine="720"/>
        <w:jc w:val="both"/>
        <w:rPr>
          <w:noProof/>
          <w:lang w:val="sq-AL"/>
        </w:rPr>
      </w:pPr>
      <w:r w:rsidRPr="007C40BE">
        <w:rPr>
          <w:b/>
          <w:noProof/>
          <w:lang w:val="sq-AL"/>
        </w:rPr>
        <w:t>Treguesit financiar</w:t>
      </w:r>
      <w:r w:rsidRPr="007C40BE">
        <w:rPr>
          <w:noProof/>
          <w:lang w:val="sq-AL"/>
        </w:rPr>
        <w:t xml:space="preserve"> suportojnë një vlerësimin për një ecuri disi më dinamike të ekonomisë gjatë periudhës janar-maj 2016. Stoku i kredisë deri në muajin maj 2016 është ulur me 1,6% krahasuar me muajin Maj 2015. Stoku i kredive në lekë shënoi rritje prej 3,7%, ndërsa ai në valutë shënoi rënie prej 5,4% (maj 2016 / maj 2015). Rezultatet e vrojtimit të aktivitetit kreditues të tremujorit të dytë të vitit 2016 tregojnë se për tremujorin e tretë të vitit pritet një lehtësim i standardeve të kreditimit të bizneseve për ndërmarrjet e vogla dhe të mesme dhe një lehtësim i standardeve të kreditimit për individët. Gjatë tremujorit të dytë të vitit 2016, standardet rezultuan të shtrënguara, si për ndërmarrjet e vogla dhe të mesme, ashtu edhe për ndërmarrjet e mëdha. Ndërkohë, standardet për kreditë dhënë individëve janë lehtësuar për kredinë konsumatore, por nuk kanë ndryshuar në segmentin e kredisë për blerje banese. Po ashtu, në reflektim të zhvillimeve në tregun financiar, edhe normat e interesit të kredisë kanë njohur rënie. Tashmë norma mesatare e interesit të kredive në lekë, për të gjitha llojet e maturiteteve, qëndron në nivelin prej rreth 7,3%, ose 0.85 pp më pak se e njëjta periudhë e vitit të kaluar.</w:t>
      </w:r>
    </w:p>
    <w:p w:rsidR="004E1D7D" w:rsidRPr="007C40BE" w:rsidRDefault="004E1D7D" w:rsidP="004E1D7D">
      <w:pPr>
        <w:spacing w:line="360" w:lineRule="auto"/>
        <w:ind w:firstLine="720"/>
        <w:jc w:val="both"/>
        <w:rPr>
          <w:lang w:val="sq-AL"/>
        </w:rPr>
      </w:pPr>
      <w:r w:rsidRPr="007C40BE">
        <w:rPr>
          <w:b/>
          <w:lang w:val="sq-AL"/>
        </w:rPr>
        <w:lastRenderedPageBreak/>
        <w:t>Parametrat kryesorë agregat</w:t>
      </w:r>
      <w:r w:rsidRPr="007C40BE">
        <w:rPr>
          <w:lang w:val="sq-AL"/>
        </w:rPr>
        <w:t xml:space="preserve"> të qëndrueshmërisë dhe shëndetit të sistemit banakar në tërësi mbeten në nivele të mira. Sistemi bankar shfaqet i mirë-kapitalizuar më një nivel të mjaftueshmërisë së kapitalit prej rreth 16%, mbi nivelin benchmark të kërkuar nga Banka e Shqipërisë prej 12%. Gjithashtu, sistemi bankar rezulton mjaft likuid dhe me rezultat ekonomik pozitiv fitim. Raporti i totalit të depozitave ndaj totalit të kredisë për ekonominë në maj 2016 qëndron në nivelitn 177%, duke shënuar një rritje krahasuar me nivelin e maj 2015 prej 174%. Raporti i depozitave në Valutë ndaj kredisë në Valutë në maj 2016 qëndron në nivelit 161% duke shënuar një rritje tejet të konsiderueshme krahasuar me nivelin e maj 2015 prej 147%. Niveli i kredive me probleme deri në muajin maj të vitit 2016 ka zbritur në nivelin e 19,5%, duke shënuar një rënie me 2,4 pikë përqindje krahasuar me një vit më parë..</w:t>
      </w:r>
    </w:p>
    <w:p w:rsidR="004E1D7D" w:rsidRPr="007C40BE" w:rsidRDefault="004E1D7D" w:rsidP="004E1D7D">
      <w:pPr>
        <w:spacing w:line="360" w:lineRule="auto"/>
        <w:ind w:firstLine="720"/>
        <w:jc w:val="both"/>
        <w:rPr>
          <w:lang w:val="sq-AL"/>
        </w:rPr>
      </w:pPr>
      <w:r w:rsidRPr="007C40BE">
        <w:rPr>
          <w:noProof/>
          <w:lang w:val="sq-AL"/>
        </w:rPr>
        <w:t xml:space="preserve">Ndërkohë, gjatë muajit maj të vitit 2016 </w:t>
      </w:r>
      <w:r w:rsidRPr="007C40BE">
        <w:rPr>
          <w:b/>
          <w:noProof/>
          <w:lang w:val="sq-AL"/>
        </w:rPr>
        <w:t>stoku total i depozitave</w:t>
      </w:r>
      <w:r w:rsidRPr="007C40BE">
        <w:rPr>
          <w:noProof/>
          <w:lang w:val="sq-AL"/>
        </w:rPr>
        <w:t xml:space="preserve"> mbeti thuajse në të njëjtin nivel krahasuar me majin e vitit 2015.</w:t>
      </w:r>
    </w:p>
    <w:p w:rsidR="004E1D7D" w:rsidRPr="007C40BE" w:rsidRDefault="004E1D7D" w:rsidP="004E1D7D">
      <w:pPr>
        <w:spacing w:line="360" w:lineRule="auto"/>
        <w:ind w:firstLine="720"/>
        <w:jc w:val="both"/>
        <w:rPr>
          <w:noProof/>
          <w:lang w:val="sq-AL"/>
        </w:rPr>
      </w:pPr>
      <w:r w:rsidRPr="007C40BE">
        <w:rPr>
          <w:noProof/>
          <w:lang w:val="sq-AL"/>
        </w:rPr>
        <w:t xml:space="preserve">Presionet inflacionite edhe për gjysmën e parë të vitit 2016 kanë vijuar të jenë të dobta,  në reflektim edhe të niveleve të ulata të inflacionit të importuar, ndërkohë që monedha vendase ka qëndruar përgjithësisht në të njëjtin nivel kundrejt monedhës evropiane, ndërkohë që ka njohur një zhvlerësim kundrejt dollarit amerikan në reflektim të konjukturave në tregjet ndërkombëtare. </w:t>
      </w:r>
      <w:r w:rsidRPr="007C40BE">
        <w:rPr>
          <w:b/>
          <w:noProof/>
          <w:lang w:val="sq-AL"/>
        </w:rPr>
        <w:t>Norma e inflacionit</w:t>
      </w:r>
      <w:r w:rsidRPr="007C40BE">
        <w:rPr>
          <w:noProof/>
          <w:lang w:val="sq-AL"/>
        </w:rPr>
        <w:t xml:space="preserve"> në muajin qershor të këtij viti arriti në 1,2 për qind, duke pësuar rritje në krahasim me muajt mars, prill dhe maj ku shënonte përkatësisht 0,3, 0,3 dhe 0,7 për qind. Norma mesatare e inflacionit për 6 muajt e parë të vitit 2016 ishte 0,7%. Nga tërësia e mallrave dhe shërbimeve që përbëjnë shportën e konsumit, ato të cilat kanë patur kontributin më të ulët në inflacionin e përgjithshëm gjatë kësaj periudhe janë “Transporti”, “Veshje dhe këpucë” ndërsa grupet të cilat patën kontributin më të lartë në inflacionin e përgjithshëm gjatë kësaj periudhe të vitit ishin: ”Pije alkolike dhe duhan” , “Ushqime dhe pije jo alkolike”; dhe “Shërbimi arsimor”.</w:t>
      </w:r>
    </w:p>
    <w:p w:rsidR="004E1D7D" w:rsidRPr="007C40BE" w:rsidRDefault="004E1D7D" w:rsidP="004E1D7D">
      <w:pPr>
        <w:spacing w:line="360" w:lineRule="auto"/>
        <w:ind w:firstLine="720"/>
        <w:jc w:val="both"/>
        <w:rPr>
          <w:noProof/>
          <w:lang w:val="sq-AL"/>
        </w:rPr>
      </w:pPr>
      <w:r w:rsidRPr="007C40BE">
        <w:rPr>
          <w:b/>
          <w:noProof/>
          <w:lang w:val="sq-AL"/>
        </w:rPr>
        <w:t>Sipas Anketës së Forcave të Punës</w:t>
      </w:r>
      <w:r w:rsidRPr="007C40BE">
        <w:rPr>
          <w:noProof/>
          <w:lang w:val="sq-AL"/>
        </w:rPr>
        <w:t>, në tremujorin e parë të 2016 shkalla e papunësisë shënoi për herë të parë një rënie të nivelit të saj, pas tre tremujorësh me rritje, duke regjistruar nivelin e 16,9 për qind. Ajo pësoi një rënie tremujore prej 0,8 pikë përqindje, ndërsa në krahasim me të njëjtin tremujor të një viti më parë pësoi rënie me 0,4 pikë përqindje. Gjatë tremujorit të parë të vitit 2016, sipas Anketës së Forcave të Punës, numri i personave të papunë është 223,448 persona, duke u ulur me 7,298 në krahasim me tremujorin e kaluar. Ndërkohë në krahasim me të njëjtën periudhë të një viti më parë ky numër u rrit me 5,801 persona. Krahasuar me tremujorin e parë të 2015 shkalla e pjesëmarrjes në forcat e punës është rritur me 5,7 për qind.</w:t>
      </w:r>
    </w:p>
    <w:p w:rsidR="004E1D7D" w:rsidRPr="007C40BE" w:rsidRDefault="004E1D7D" w:rsidP="00DE3C0A">
      <w:pPr>
        <w:spacing w:line="360" w:lineRule="auto"/>
        <w:ind w:firstLine="720"/>
        <w:jc w:val="both"/>
        <w:rPr>
          <w:noProof/>
          <w:lang w:val="sq-AL"/>
        </w:rPr>
      </w:pPr>
      <w:r w:rsidRPr="007C40BE">
        <w:rPr>
          <w:b/>
          <w:noProof/>
          <w:lang w:val="sq-AL"/>
        </w:rPr>
        <w:lastRenderedPageBreak/>
        <w:t>Parashikimet për rritjen reale ekonomike</w:t>
      </w:r>
      <w:r w:rsidRPr="007C40BE">
        <w:rPr>
          <w:noProof/>
          <w:lang w:val="sq-AL"/>
        </w:rPr>
        <w:t xml:space="preserve"> për vitin 2016 në tërësi mbeten të njëjta me parashikimet fillestare të rritjes prej 3,4%. Kryesisht kjo rritje pritet të gjenerohet nga rritja e konsumit dhe investimeve. </w:t>
      </w:r>
      <w:r w:rsidR="001378A0" w:rsidRPr="007C40BE">
        <w:rPr>
          <w:lang w:val="sq-AL"/>
        </w:rPr>
        <w:t>Inflacioni mesatar gjatë vitit 2016 ne teresi pritet të jete rreth nivelit 1%</w:t>
      </w:r>
      <w:r w:rsidRPr="007C40BE">
        <w:rPr>
          <w:noProof/>
          <w:lang w:val="sq-AL"/>
        </w:rPr>
        <w:t>. Parashikmet për treguesit kryesorë për vitin 2016 paraqiten në tabelen e mëposhtme:</w:t>
      </w:r>
    </w:p>
    <w:p w:rsidR="004E1D7D" w:rsidRPr="007C40BE" w:rsidRDefault="00343975" w:rsidP="000D24FD">
      <w:pPr>
        <w:spacing w:line="360" w:lineRule="auto"/>
        <w:jc w:val="center"/>
        <w:rPr>
          <w:noProof/>
          <w:lang w:val="sq-AL"/>
        </w:rPr>
      </w:pPr>
      <w:r w:rsidRPr="007C40BE">
        <w:rPr>
          <w:noProof/>
        </w:rPr>
        <w:drawing>
          <wp:inline distT="0" distB="0" distL="0" distR="0" wp14:anchorId="6C143BAF" wp14:editId="5F429D3C">
            <wp:extent cx="6124575" cy="5486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6181" cy="5487839"/>
                    </a:xfrm>
                    <a:prstGeom prst="rect">
                      <a:avLst/>
                    </a:prstGeom>
                    <a:noFill/>
                    <a:ln>
                      <a:noFill/>
                    </a:ln>
                  </pic:spPr>
                </pic:pic>
              </a:graphicData>
            </a:graphic>
          </wp:inline>
        </w:drawing>
      </w:r>
    </w:p>
    <w:p w:rsidR="004E1D7D" w:rsidRPr="007C40BE" w:rsidRDefault="004E1D7D" w:rsidP="004E1D7D">
      <w:pPr>
        <w:spacing w:line="360" w:lineRule="auto"/>
        <w:ind w:firstLine="720"/>
        <w:jc w:val="both"/>
        <w:rPr>
          <w:noProof/>
          <w:lang w:val="sq-AL"/>
        </w:rPr>
      </w:pPr>
    </w:p>
    <w:p w:rsidR="00CE4EE3" w:rsidRPr="007C40BE" w:rsidRDefault="00CE4EE3" w:rsidP="004E1D7D">
      <w:pPr>
        <w:spacing w:line="360" w:lineRule="auto"/>
        <w:ind w:firstLine="720"/>
        <w:jc w:val="both"/>
        <w:rPr>
          <w:noProof/>
          <w:lang w:val="sq-AL"/>
        </w:rPr>
      </w:pPr>
    </w:p>
    <w:p w:rsidR="00B4781E" w:rsidRPr="007C40BE" w:rsidRDefault="00B4781E" w:rsidP="00BE5905">
      <w:pPr>
        <w:spacing w:line="360" w:lineRule="auto"/>
        <w:jc w:val="both"/>
        <w:rPr>
          <w:b/>
          <w:sz w:val="28"/>
          <w:lang w:val="sq-AL"/>
        </w:rPr>
      </w:pPr>
      <w:r w:rsidRPr="007C40BE">
        <w:rPr>
          <w:b/>
          <w:sz w:val="28"/>
          <w:lang w:val="sq-AL"/>
        </w:rPr>
        <w:t xml:space="preserve">B.2 </w:t>
      </w:r>
      <w:r w:rsidRPr="007C40BE">
        <w:rPr>
          <w:b/>
          <w:bCs/>
          <w:iCs/>
          <w:sz w:val="28"/>
          <w:lang w:val="sq-AL"/>
        </w:rPr>
        <w:t>Zhvillimet kryesore fiskale</w:t>
      </w:r>
    </w:p>
    <w:p w:rsidR="00B30635" w:rsidRPr="007C40BE" w:rsidRDefault="00B30635" w:rsidP="00BE5905">
      <w:pPr>
        <w:spacing w:line="360" w:lineRule="auto"/>
        <w:jc w:val="both"/>
        <w:rPr>
          <w:b/>
        </w:rPr>
      </w:pPr>
      <w:r w:rsidRPr="007C40BE">
        <w:rPr>
          <w:b/>
        </w:rPr>
        <w:t>Të ardhurat nga Tatimet dhe Doganat</w:t>
      </w:r>
    </w:p>
    <w:p w:rsidR="003F0BAF" w:rsidRPr="007C40BE" w:rsidRDefault="003F0BAF" w:rsidP="003F0BAF">
      <w:pPr>
        <w:spacing w:line="360" w:lineRule="auto"/>
        <w:jc w:val="both"/>
      </w:pPr>
      <w:r w:rsidRPr="007C40BE">
        <w:t>Të ardhurat nga “Tatime dhe Dogana” (përfshirë kontributet e mbledhura nga DPT) për 6 mujorin e vitit 2016 u realizuan në vlerën 170.4 miliard lekë, që do të thotë  +17.3 miliard lekë ose +11.3%  se 6 mujori i vitit 2015 dhe  +2.3 miliard lekë ose +1.4% se plani</w:t>
      </w:r>
    </w:p>
    <w:p w:rsidR="003F0BAF" w:rsidRPr="007C40BE" w:rsidRDefault="003F0BAF" w:rsidP="003F0BAF">
      <w:pPr>
        <w:jc w:val="both"/>
      </w:pPr>
    </w:p>
    <w:p w:rsidR="003F0BAF" w:rsidRPr="007C40BE" w:rsidRDefault="003F0BAF" w:rsidP="00CE4EE3">
      <w:pPr>
        <w:jc w:val="center"/>
        <w:rPr>
          <w:sz w:val="22"/>
        </w:rPr>
      </w:pPr>
      <w:r w:rsidRPr="007C40BE">
        <w:rPr>
          <w:i/>
          <w:sz w:val="22"/>
          <w:u w:val="single"/>
        </w:rPr>
        <w:lastRenderedPageBreak/>
        <w:t>Tabela 1</w:t>
      </w:r>
      <w:r w:rsidRPr="007C40BE">
        <w:rPr>
          <w:i/>
          <w:sz w:val="22"/>
        </w:rPr>
        <w:t>:</w:t>
      </w:r>
      <w:r w:rsidRPr="007C40BE">
        <w:rPr>
          <w:sz w:val="22"/>
        </w:rPr>
        <w:t xml:space="preserve"> Tabela krahasuese Totale Dogana + Tatime (Fakt 6 mujor 2016/2015)</w:t>
      </w:r>
    </w:p>
    <w:p w:rsidR="003F0BAF" w:rsidRPr="007C40BE" w:rsidRDefault="003F0BAF" w:rsidP="00CE4EE3">
      <w:pPr>
        <w:jc w:val="center"/>
        <w:rPr>
          <w:i/>
          <w:iCs/>
          <w:color w:val="000000"/>
        </w:rPr>
      </w:pPr>
      <w:r w:rsidRPr="007C40BE">
        <w:rPr>
          <w:i/>
          <w:iCs/>
          <w:color w:val="000000"/>
        </w:rPr>
        <w:t>Të dhëna progresive (në milionë lekë)</w:t>
      </w:r>
    </w:p>
    <w:tbl>
      <w:tblPr>
        <w:tblStyle w:val="TableWeb3"/>
        <w:tblW w:w="6552" w:type="dxa"/>
        <w:jc w:val="center"/>
        <w:tblLook w:val="04A0" w:firstRow="1" w:lastRow="0" w:firstColumn="1" w:lastColumn="0" w:noHBand="0" w:noVBand="1"/>
      </w:tblPr>
      <w:tblGrid>
        <w:gridCol w:w="3340"/>
        <w:gridCol w:w="1066"/>
        <w:gridCol w:w="1066"/>
        <w:gridCol w:w="1290"/>
      </w:tblGrid>
      <w:tr w:rsidR="003F0BAF" w:rsidRPr="007C40BE" w:rsidTr="002E5FD8">
        <w:trPr>
          <w:cnfStyle w:val="100000000000" w:firstRow="1" w:lastRow="0" w:firstColumn="0" w:lastColumn="0" w:oddVBand="0" w:evenVBand="0" w:oddHBand="0" w:evenHBand="0" w:firstRowFirstColumn="0" w:firstRowLastColumn="0" w:lastRowFirstColumn="0" w:lastRowLastColumn="0"/>
          <w:trHeight w:val="729"/>
          <w:jc w:val="center"/>
        </w:trPr>
        <w:tc>
          <w:tcPr>
            <w:tcW w:w="3205" w:type="dxa"/>
            <w:noWrap/>
            <w:hideMark/>
          </w:tcPr>
          <w:p w:rsidR="002E5FD8" w:rsidRDefault="002E5FD8" w:rsidP="00C424E5">
            <w:pPr>
              <w:jc w:val="center"/>
              <w:rPr>
                <w:b/>
                <w:bCs/>
                <w:color w:val="000000"/>
                <w:sz w:val="20"/>
              </w:rPr>
            </w:pPr>
          </w:p>
          <w:p w:rsidR="003F0BAF" w:rsidRPr="007C40BE" w:rsidRDefault="003F0BAF" w:rsidP="00C424E5">
            <w:pPr>
              <w:jc w:val="center"/>
              <w:rPr>
                <w:b/>
                <w:bCs/>
                <w:color w:val="000000"/>
                <w:sz w:val="20"/>
              </w:rPr>
            </w:pPr>
            <w:r w:rsidRPr="007C40BE">
              <w:rPr>
                <w:b/>
                <w:bCs/>
                <w:color w:val="000000"/>
                <w:sz w:val="20"/>
              </w:rPr>
              <w:t>E  M  Ë R  T  I  M  I</w:t>
            </w:r>
          </w:p>
          <w:p w:rsidR="003F0BAF" w:rsidRPr="007C40BE" w:rsidRDefault="003F0BAF" w:rsidP="00C424E5">
            <w:pPr>
              <w:jc w:val="center"/>
              <w:rPr>
                <w:b/>
                <w:bCs/>
                <w:color w:val="000000"/>
                <w:sz w:val="20"/>
              </w:rPr>
            </w:pPr>
            <w:r w:rsidRPr="007C40BE">
              <w:rPr>
                <w:b/>
                <w:bCs/>
                <w:color w:val="000000"/>
                <w:sz w:val="20"/>
              </w:rPr>
              <w:t> </w:t>
            </w:r>
          </w:p>
        </w:tc>
        <w:tc>
          <w:tcPr>
            <w:tcW w:w="996" w:type="dxa"/>
            <w:noWrap/>
            <w:hideMark/>
          </w:tcPr>
          <w:p w:rsidR="003F0BAF" w:rsidRPr="007C40BE" w:rsidRDefault="003F0BAF" w:rsidP="00C424E5">
            <w:pPr>
              <w:jc w:val="center"/>
              <w:rPr>
                <w:b/>
                <w:bCs/>
                <w:color w:val="000000"/>
                <w:sz w:val="20"/>
              </w:rPr>
            </w:pPr>
            <w:r w:rsidRPr="007C40BE">
              <w:rPr>
                <w:b/>
                <w:bCs/>
                <w:color w:val="000000"/>
                <w:sz w:val="20"/>
              </w:rPr>
              <w:t>Fakt</w:t>
            </w:r>
          </w:p>
          <w:p w:rsidR="003F0BAF" w:rsidRPr="007C40BE" w:rsidRDefault="003F0BAF" w:rsidP="00C424E5">
            <w:pPr>
              <w:jc w:val="center"/>
              <w:rPr>
                <w:b/>
                <w:bCs/>
                <w:color w:val="000000"/>
                <w:sz w:val="20"/>
              </w:rPr>
            </w:pPr>
            <w:r w:rsidRPr="007C40BE">
              <w:rPr>
                <w:b/>
                <w:bCs/>
                <w:color w:val="000000"/>
                <w:sz w:val="20"/>
              </w:rPr>
              <w:t>2015</w:t>
            </w:r>
          </w:p>
        </w:tc>
        <w:tc>
          <w:tcPr>
            <w:tcW w:w="996" w:type="dxa"/>
            <w:noWrap/>
            <w:hideMark/>
          </w:tcPr>
          <w:p w:rsidR="003F0BAF" w:rsidRPr="007C40BE" w:rsidRDefault="003F0BAF" w:rsidP="00C424E5">
            <w:pPr>
              <w:jc w:val="center"/>
              <w:rPr>
                <w:b/>
                <w:bCs/>
                <w:color w:val="000000"/>
                <w:sz w:val="20"/>
              </w:rPr>
            </w:pPr>
            <w:r w:rsidRPr="007C40BE">
              <w:rPr>
                <w:b/>
                <w:bCs/>
                <w:color w:val="000000"/>
                <w:sz w:val="20"/>
              </w:rPr>
              <w:t>Fakt</w:t>
            </w:r>
          </w:p>
          <w:p w:rsidR="003F0BAF" w:rsidRPr="007C40BE" w:rsidRDefault="003F0BAF" w:rsidP="00C424E5">
            <w:pPr>
              <w:jc w:val="center"/>
              <w:rPr>
                <w:b/>
                <w:bCs/>
                <w:color w:val="000000"/>
                <w:sz w:val="20"/>
              </w:rPr>
            </w:pPr>
            <w:r w:rsidRPr="007C40BE">
              <w:rPr>
                <w:b/>
                <w:bCs/>
                <w:color w:val="000000"/>
                <w:sz w:val="20"/>
              </w:rPr>
              <w:t>2016</w:t>
            </w:r>
          </w:p>
        </w:tc>
        <w:tc>
          <w:tcPr>
            <w:tcW w:w="1155" w:type="dxa"/>
            <w:noWrap/>
            <w:hideMark/>
          </w:tcPr>
          <w:p w:rsidR="003F0BAF" w:rsidRPr="007C40BE" w:rsidRDefault="003F0BAF" w:rsidP="00C424E5">
            <w:pPr>
              <w:jc w:val="center"/>
              <w:rPr>
                <w:b/>
                <w:bCs/>
                <w:color w:val="000000"/>
                <w:sz w:val="20"/>
              </w:rPr>
            </w:pPr>
            <w:r w:rsidRPr="007C40BE">
              <w:rPr>
                <w:b/>
                <w:bCs/>
                <w:color w:val="000000"/>
                <w:sz w:val="20"/>
              </w:rPr>
              <w:t>Diferenca</w:t>
            </w:r>
          </w:p>
          <w:p w:rsidR="003F0BAF" w:rsidRPr="007C40BE" w:rsidRDefault="003F0BAF" w:rsidP="00C424E5">
            <w:pPr>
              <w:jc w:val="center"/>
              <w:rPr>
                <w:b/>
                <w:bCs/>
                <w:color w:val="000000"/>
                <w:sz w:val="20"/>
              </w:rPr>
            </w:pPr>
            <w:r w:rsidRPr="007C40BE">
              <w:rPr>
                <w:b/>
                <w:bCs/>
                <w:color w:val="000000"/>
                <w:sz w:val="20"/>
              </w:rPr>
              <w:t>Fakt 2016</w:t>
            </w:r>
          </w:p>
          <w:p w:rsidR="003F0BAF" w:rsidRPr="007C40BE" w:rsidRDefault="003F0BAF" w:rsidP="00C424E5">
            <w:pPr>
              <w:jc w:val="center"/>
              <w:rPr>
                <w:b/>
                <w:bCs/>
                <w:color w:val="000000"/>
                <w:sz w:val="20"/>
              </w:rPr>
            </w:pPr>
            <w:r w:rsidRPr="007C40BE">
              <w:rPr>
                <w:b/>
                <w:bCs/>
                <w:color w:val="000000"/>
                <w:sz w:val="20"/>
              </w:rPr>
              <w:t>Fakt 2015</w:t>
            </w:r>
          </w:p>
        </w:tc>
      </w:tr>
      <w:tr w:rsidR="003F0BAF" w:rsidRPr="007C40BE" w:rsidTr="002E5FD8">
        <w:trPr>
          <w:trHeight w:val="379"/>
          <w:jc w:val="center"/>
        </w:trPr>
        <w:tc>
          <w:tcPr>
            <w:tcW w:w="3205" w:type="dxa"/>
            <w:noWrap/>
            <w:hideMark/>
          </w:tcPr>
          <w:p w:rsidR="003F0BAF" w:rsidRPr="007C40BE" w:rsidRDefault="003F0BAF" w:rsidP="00C424E5">
            <w:pPr>
              <w:rPr>
                <w:color w:val="000000"/>
                <w:sz w:val="20"/>
              </w:rPr>
            </w:pPr>
            <w:r w:rsidRPr="007C40BE">
              <w:rPr>
                <w:color w:val="000000"/>
                <w:sz w:val="20"/>
              </w:rPr>
              <w:t>Taksë doganore</w:t>
            </w:r>
          </w:p>
        </w:tc>
        <w:tc>
          <w:tcPr>
            <w:tcW w:w="996" w:type="dxa"/>
            <w:noWrap/>
            <w:hideMark/>
          </w:tcPr>
          <w:p w:rsidR="003F0BAF" w:rsidRPr="007C40BE" w:rsidRDefault="003F0BAF" w:rsidP="00C424E5">
            <w:pPr>
              <w:jc w:val="right"/>
              <w:rPr>
                <w:color w:val="000000"/>
                <w:sz w:val="20"/>
              </w:rPr>
            </w:pPr>
            <w:r w:rsidRPr="007C40BE">
              <w:rPr>
                <w:color w:val="000000"/>
                <w:sz w:val="20"/>
              </w:rPr>
              <w:t>2,641</w:t>
            </w:r>
          </w:p>
        </w:tc>
        <w:tc>
          <w:tcPr>
            <w:tcW w:w="996" w:type="dxa"/>
            <w:noWrap/>
            <w:hideMark/>
          </w:tcPr>
          <w:p w:rsidR="003F0BAF" w:rsidRPr="007C40BE" w:rsidRDefault="003F0BAF" w:rsidP="00C424E5">
            <w:pPr>
              <w:jc w:val="right"/>
              <w:rPr>
                <w:color w:val="000000"/>
                <w:sz w:val="20"/>
              </w:rPr>
            </w:pPr>
            <w:r w:rsidRPr="007C40BE">
              <w:rPr>
                <w:color w:val="000000"/>
                <w:sz w:val="20"/>
              </w:rPr>
              <w:t>2,852</w:t>
            </w:r>
          </w:p>
        </w:tc>
        <w:tc>
          <w:tcPr>
            <w:tcW w:w="1155" w:type="dxa"/>
            <w:noWrap/>
            <w:hideMark/>
          </w:tcPr>
          <w:p w:rsidR="003F0BAF" w:rsidRPr="007C40BE" w:rsidRDefault="003F0BAF" w:rsidP="00C424E5">
            <w:pPr>
              <w:jc w:val="right"/>
              <w:rPr>
                <w:color w:val="000000"/>
                <w:sz w:val="20"/>
              </w:rPr>
            </w:pPr>
            <w:r w:rsidRPr="007C40BE">
              <w:rPr>
                <w:color w:val="000000"/>
                <w:sz w:val="20"/>
              </w:rPr>
              <w:t>8.0%</w:t>
            </w:r>
          </w:p>
        </w:tc>
      </w:tr>
      <w:tr w:rsidR="003F0BAF" w:rsidRPr="007C40BE" w:rsidTr="002E5FD8">
        <w:trPr>
          <w:trHeight w:val="125"/>
          <w:jc w:val="center"/>
        </w:trPr>
        <w:tc>
          <w:tcPr>
            <w:tcW w:w="3205" w:type="dxa"/>
            <w:noWrap/>
            <w:hideMark/>
          </w:tcPr>
          <w:p w:rsidR="003F0BAF" w:rsidRPr="007C40BE" w:rsidRDefault="003F0BAF" w:rsidP="00C424E5">
            <w:pPr>
              <w:rPr>
                <w:color w:val="000000"/>
                <w:sz w:val="20"/>
              </w:rPr>
            </w:pPr>
            <w:r w:rsidRPr="007C40BE">
              <w:rPr>
                <w:color w:val="000000"/>
                <w:sz w:val="20"/>
              </w:rPr>
              <w:t>TVSH</w:t>
            </w:r>
          </w:p>
        </w:tc>
        <w:tc>
          <w:tcPr>
            <w:tcW w:w="996" w:type="dxa"/>
            <w:noWrap/>
            <w:hideMark/>
          </w:tcPr>
          <w:p w:rsidR="003F0BAF" w:rsidRPr="007C40BE" w:rsidRDefault="003F0BAF" w:rsidP="00C424E5">
            <w:pPr>
              <w:jc w:val="right"/>
              <w:rPr>
                <w:color w:val="000000"/>
                <w:sz w:val="20"/>
              </w:rPr>
            </w:pPr>
            <w:r w:rsidRPr="007C40BE">
              <w:rPr>
                <w:color w:val="000000"/>
                <w:sz w:val="20"/>
              </w:rPr>
              <w:t>43,564</w:t>
            </w:r>
          </w:p>
        </w:tc>
        <w:tc>
          <w:tcPr>
            <w:tcW w:w="996" w:type="dxa"/>
            <w:noWrap/>
            <w:hideMark/>
          </w:tcPr>
          <w:p w:rsidR="003F0BAF" w:rsidRPr="007C40BE" w:rsidRDefault="003F0BAF" w:rsidP="00C424E5">
            <w:pPr>
              <w:jc w:val="right"/>
              <w:rPr>
                <w:color w:val="000000"/>
                <w:sz w:val="20"/>
              </w:rPr>
            </w:pPr>
            <w:r w:rsidRPr="007C40BE">
              <w:rPr>
                <w:color w:val="000000"/>
                <w:sz w:val="20"/>
              </w:rPr>
              <w:t>45,788</w:t>
            </w:r>
          </w:p>
        </w:tc>
        <w:tc>
          <w:tcPr>
            <w:tcW w:w="1155" w:type="dxa"/>
            <w:noWrap/>
            <w:hideMark/>
          </w:tcPr>
          <w:p w:rsidR="003F0BAF" w:rsidRPr="007C40BE" w:rsidRDefault="003F0BAF" w:rsidP="00C424E5">
            <w:pPr>
              <w:jc w:val="right"/>
              <w:rPr>
                <w:color w:val="000000"/>
                <w:sz w:val="20"/>
              </w:rPr>
            </w:pPr>
            <w:r w:rsidRPr="007C40BE">
              <w:rPr>
                <w:color w:val="000000"/>
                <w:sz w:val="20"/>
              </w:rPr>
              <w:t>5.1%</w:t>
            </w:r>
          </w:p>
        </w:tc>
      </w:tr>
      <w:tr w:rsidR="003F0BAF" w:rsidRPr="007C40BE" w:rsidTr="002E5FD8">
        <w:trPr>
          <w:trHeight w:val="145"/>
          <w:jc w:val="center"/>
        </w:trPr>
        <w:tc>
          <w:tcPr>
            <w:tcW w:w="3205" w:type="dxa"/>
            <w:noWrap/>
            <w:hideMark/>
          </w:tcPr>
          <w:p w:rsidR="003F0BAF" w:rsidRPr="007C40BE" w:rsidRDefault="003F0BAF" w:rsidP="00C424E5">
            <w:pPr>
              <w:rPr>
                <w:color w:val="000000"/>
                <w:sz w:val="20"/>
              </w:rPr>
            </w:pPr>
            <w:r w:rsidRPr="007C40BE">
              <w:rPr>
                <w:color w:val="000000"/>
                <w:sz w:val="20"/>
              </w:rPr>
              <w:t>Akcizë</w:t>
            </w:r>
          </w:p>
        </w:tc>
        <w:tc>
          <w:tcPr>
            <w:tcW w:w="996" w:type="dxa"/>
            <w:noWrap/>
            <w:hideMark/>
          </w:tcPr>
          <w:p w:rsidR="003F0BAF" w:rsidRPr="007C40BE" w:rsidRDefault="003F0BAF" w:rsidP="00C424E5">
            <w:pPr>
              <w:jc w:val="right"/>
              <w:rPr>
                <w:color w:val="000000"/>
                <w:sz w:val="20"/>
              </w:rPr>
            </w:pPr>
            <w:r w:rsidRPr="007C40BE">
              <w:rPr>
                <w:color w:val="000000"/>
                <w:sz w:val="20"/>
              </w:rPr>
              <w:t>17,407</w:t>
            </w:r>
          </w:p>
        </w:tc>
        <w:tc>
          <w:tcPr>
            <w:tcW w:w="996" w:type="dxa"/>
            <w:noWrap/>
            <w:hideMark/>
          </w:tcPr>
          <w:p w:rsidR="003F0BAF" w:rsidRPr="007C40BE" w:rsidRDefault="003F0BAF" w:rsidP="00C424E5">
            <w:pPr>
              <w:jc w:val="right"/>
              <w:rPr>
                <w:color w:val="000000"/>
                <w:sz w:val="20"/>
              </w:rPr>
            </w:pPr>
            <w:r w:rsidRPr="007C40BE">
              <w:rPr>
                <w:color w:val="000000"/>
                <w:sz w:val="20"/>
              </w:rPr>
              <w:t>19,201</w:t>
            </w:r>
          </w:p>
        </w:tc>
        <w:tc>
          <w:tcPr>
            <w:tcW w:w="1155" w:type="dxa"/>
            <w:noWrap/>
            <w:hideMark/>
          </w:tcPr>
          <w:p w:rsidR="003F0BAF" w:rsidRPr="007C40BE" w:rsidRDefault="003F0BAF" w:rsidP="00C424E5">
            <w:pPr>
              <w:jc w:val="right"/>
              <w:rPr>
                <w:color w:val="000000"/>
                <w:sz w:val="20"/>
              </w:rPr>
            </w:pPr>
            <w:r w:rsidRPr="007C40BE">
              <w:rPr>
                <w:color w:val="000000"/>
                <w:sz w:val="20"/>
              </w:rPr>
              <w:t>10.3%</w:t>
            </w:r>
          </w:p>
        </w:tc>
      </w:tr>
      <w:tr w:rsidR="003F0BAF" w:rsidRPr="007C40BE" w:rsidTr="002E5FD8">
        <w:trPr>
          <w:trHeight w:val="165"/>
          <w:jc w:val="center"/>
        </w:trPr>
        <w:tc>
          <w:tcPr>
            <w:tcW w:w="3205" w:type="dxa"/>
            <w:noWrap/>
            <w:hideMark/>
          </w:tcPr>
          <w:p w:rsidR="003F0BAF" w:rsidRPr="007C40BE" w:rsidRDefault="003F0BAF" w:rsidP="00C424E5">
            <w:pPr>
              <w:rPr>
                <w:color w:val="000000"/>
                <w:sz w:val="20"/>
              </w:rPr>
            </w:pPr>
            <w:r w:rsidRPr="007C40BE">
              <w:rPr>
                <w:color w:val="000000"/>
                <w:sz w:val="20"/>
              </w:rPr>
              <w:t>Të tjera (Renta)</w:t>
            </w:r>
          </w:p>
        </w:tc>
        <w:tc>
          <w:tcPr>
            <w:tcW w:w="996" w:type="dxa"/>
            <w:noWrap/>
            <w:hideMark/>
          </w:tcPr>
          <w:p w:rsidR="003F0BAF" w:rsidRPr="007C40BE" w:rsidRDefault="003F0BAF" w:rsidP="00C424E5">
            <w:pPr>
              <w:jc w:val="right"/>
              <w:rPr>
                <w:color w:val="000000"/>
                <w:sz w:val="20"/>
              </w:rPr>
            </w:pPr>
            <w:r w:rsidRPr="007C40BE">
              <w:rPr>
                <w:color w:val="000000"/>
                <w:sz w:val="20"/>
              </w:rPr>
              <w:t>1,908</w:t>
            </w:r>
          </w:p>
        </w:tc>
        <w:tc>
          <w:tcPr>
            <w:tcW w:w="996" w:type="dxa"/>
            <w:noWrap/>
            <w:hideMark/>
          </w:tcPr>
          <w:p w:rsidR="003F0BAF" w:rsidRPr="007C40BE" w:rsidRDefault="003F0BAF" w:rsidP="00C424E5">
            <w:pPr>
              <w:jc w:val="right"/>
              <w:rPr>
                <w:color w:val="000000"/>
                <w:sz w:val="20"/>
              </w:rPr>
            </w:pPr>
            <w:r w:rsidRPr="007C40BE">
              <w:rPr>
                <w:color w:val="000000"/>
                <w:sz w:val="20"/>
              </w:rPr>
              <w:t>1,209</w:t>
            </w:r>
          </w:p>
        </w:tc>
        <w:tc>
          <w:tcPr>
            <w:tcW w:w="1155" w:type="dxa"/>
            <w:noWrap/>
            <w:hideMark/>
          </w:tcPr>
          <w:p w:rsidR="003F0BAF" w:rsidRPr="007C40BE" w:rsidRDefault="003F0BAF" w:rsidP="00C424E5">
            <w:pPr>
              <w:jc w:val="right"/>
              <w:rPr>
                <w:color w:val="000000"/>
                <w:sz w:val="20"/>
              </w:rPr>
            </w:pPr>
            <w:r w:rsidRPr="007C40BE">
              <w:rPr>
                <w:color w:val="000000"/>
                <w:sz w:val="20"/>
              </w:rPr>
              <w:t>-36.6%</w:t>
            </w:r>
          </w:p>
        </w:tc>
      </w:tr>
      <w:tr w:rsidR="003F0BAF" w:rsidRPr="007C40BE" w:rsidTr="002E5FD8">
        <w:trPr>
          <w:trHeight w:val="199"/>
          <w:jc w:val="center"/>
        </w:trPr>
        <w:tc>
          <w:tcPr>
            <w:tcW w:w="3205" w:type="dxa"/>
            <w:noWrap/>
            <w:hideMark/>
          </w:tcPr>
          <w:p w:rsidR="003F0BAF" w:rsidRPr="007C40BE" w:rsidRDefault="003F0BAF" w:rsidP="00C424E5">
            <w:pPr>
              <w:rPr>
                <w:b/>
                <w:bCs/>
                <w:i/>
                <w:iCs/>
                <w:color w:val="000000"/>
                <w:sz w:val="20"/>
              </w:rPr>
            </w:pPr>
            <w:r w:rsidRPr="007C40BE">
              <w:rPr>
                <w:b/>
                <w:bCs/>
                <w:i/>
                <w:iCs/>
                <w:color w:val="000000"/>
                <w:sz w:val="20"/>
              </w:rPr>
              <w:t>Totali i doganave</w:t>
            </w:r>
          </w:p>
        </w:tc>
        <w:tc>
          <w:tcPr>
            <w:tcW w:w="996" w:type="dxa"/>
            <w:noWrap/>
            <w:hideMark/>
          </w:tcPr>
          <w:p w:rsidR="003F0BAF" w:rsidRPr="007C40BE" w:rsidRDefault="003F0BAF" w:rsidP="00C424E5">
            <w:pPr>
              <w:jc w:val="right"/>
              <w:rPr>
                <w:b/>
                <w:bCs/>
                <w:i/>
                <w:iCs/>
                <w:color w:val="000000"/>
                <w:sz w:val="20"/>
              </w:rPr>
            </w:pPr>
            <w:r w:rsidRPr="007C40BE">
              <w:rPr>
                <w:b/>
                <w:bCs/>
                <w:i/>
                <w:iCs/>
                <w:color w:val="000000"/>
                <w:sz w:val="20"/>
              </w:rPr>
              <w:t>65,520</w:t>
            </w:r>
          </w:p>
        </w:tc>
        <w:tc>
          <w:tcPr>
            <w:tcW w:w="996" w:type="dxa"/>
            <w:noWrap/>
            <w:hideMark/>
          </w:tcPr>
          <w:p w:rsidR="003F0BAF" w:rsidRPr="007C40BE" w:rsidRDefault="003F0BAF" w:rsidP="00C424E5">
            <w:pPr>
              <w:jc w:val="right"/>
              <w:rPr>
                <w:b/>
                <w:bCs/>
                <w:i/>
                <w:iCs/>
                <w:color w:val="000000"/>
                <w:sz w:val="20"/>
              </w:rPr>
            </w:pPr>
            <w:r w:rsidRPr="007C40BE">
              <w:rPr>
                <w:b/>
                <w:bCs/>
                <w:i/>
                <w:iCs/>
                <w:color w:val="000000"/>
                <w:sz w:val="20"/>
              </w:rPr>
              <w:t>69,050</w:t>
            </w:r>
          </w:p>
        </w:tc>
        <w:tc>
          <w:tcPr>
            <w:tcW w:w="1155" w:type="dxa"/>
            <w:noWrap/>
            <w:hideMark/>
          </w:tcPr>
          <w:p w:rsidR="003F0BAF" w:rsidRPr="007C40BE" w:rsidRDefault="003F0BAF" w:rsidP="00C424E5">
            <w:pPr>
              <w:jc w:val="right"/>
              <w:rPr>
                <w:b/>
                <w:bCs/>
                <w:i/>
                <w:iCs/>
                <w:color w:val="000000"/>
                <w:sz w:val="20"/>
              </w:rPr>
            </w:pPr>
            <w:r w:rsidRPr="007C40BE">
              <w:rPr>
                <w:b/>
                <w:bCs/>
                <w:i/>
                <w:iCs/>
                <w:color w:val="000000"/>
                <w:sz w:val="20"/>
              </w:rPr>
              <w:t>5.4%</w:t>
            </w:r>
          </w:p>
        </w:tc>
      </w:tr>
      <w:tr w:rsidR="003F0BAF" w:rsidRPr="007C40BE" w:rsidTr="002E5FD8">
        <w:trPr>
          <w:trHeight w:val="219"/>
          <w:jc w:val="center"/>
        </w:trPr>
        <w:tc>
          <w:tcPr>
            <w:tcW w:w="3205" w:type="dxa"/>
            <w:noWrap/>
          </w:tcPr>
          <w:p w:rsidR="003F0BAF" w:rsidRPr="007C40BE" w:rsidRDefault="003F0BAF" w:rsidP="00C424E5">
            <w:pPr>
              <w:rPr>
                <w:b/>
                <w:bCs/>
                <w:i/>
                <w:iCs/>
                <w:color w:val="000000"/>
                <w:sz w:val="20"/>
              </w:rPr>
            </w:pPr>
          </w:p>
        </w:tc>
        <w:tc>
          <w:tcPr>
            <w:tcW w:w="996" w:type="dxa"/>
            <w:noWrap/>
          </w:tcPr>
          <w:p w:rsidR="003F0BAF" w:rsidRPr="007C40BE" w:rsidRDefault="003F0BAF" w:rsidP="00C424E5">
            <w:pPr>
              <w:jc w:val="right"/>
              <w:rPr>
                <w:b/>
                <w:bCs/>
                <w:i/>
                <w:iCs/>
                <w:color w:val="000000"/>
                <w:sz w:val="20"/>
              </w:rPr>
            </w:pPr>
          </w:p>
        </w:tc>
        <w:tc>
          <w:tcPr>
            <w:tcW w:w="996" w:type="dxa"/>
            <w:noWrap/>
          </w:tcPr>
          <w:p w:rsidR="003F0BAF" w:rsidRPr="007C40BE" w:rsidRDefault="003F0BAF" w:rsidP="00C424E5">
            <w:pPr>
              <w:jc w:val="right"/>
              <w:rPr>
                <w:b/>
                <w:bCs/>
                <w:i/>
                <w:iCs/>
                <w:color w:val="000000"/>
                <w:sz w:val="20"/>
              </w:rPr>
            </w:pPr>
          </w:p>
        </w:tc>
        <w:tc>
          <w:tcPr>
            <w:tcW w:w="1155" w:type="dxa"/>
            <w:noWrap/>
          </w:tcPr>
          <w:p w:rsidR="003F0BAF" w:rsidRPr="007C40BE" w:rsidRDefault="003F0BAF" w:rsidP="00C424E5">
            <w:pPr>
              <w:jc w:val="right"/>
              <w:rPr>
                <w:b/>
                <w:bCs/>
                <w:i/>
                <w:iCs/>
                <w:color w:val="000000"/>
                <w:sz w:val="20"/>
              </w:rPr>
            </w:pPr>
          </w:p>
        </w:tc>
      </w:tr>
      <w:tr w:rsidR="003F0BAF" w:rsidRPr="007C40BE" w:rsidTr="002E5FD8">
        <w:trPr>
          <w:trHeight w:val="143"/>
          <w:jc w:val="center"/>
        </w:trPr>
        <w:tc>
          <w:tcPr>
            <w:tcW w:w="3205" w:type="dxa"/>
            <w:noWrap/>
            <w:hideMark/>
          </w:tcPr>
          <w:p w:rsidR="003F0BAF" w:rsidRPr="007C40BE" w:rsidRDefault="003F0BAF" w:rsidP="00C424E5">
            <w:pPr>
              <w:rPr>
                <w:color w:val="000000"/>
                <w:sz w:val="20"/>
              </w:rPr>
            </w:pPr>
            <w:r w:rsidRPr="007C40BE">
              <w:rPr>
                <w:color w:val="000000"/>
                <w:sz w:val="20"/>
              </w:rPr>
              <w:t>TVSH</w:t>
            </w:r>
          </w:p>
        </w:tc>
        <w:tc>
          <w:tcPr>
            <w:tcW w:w="996" w:type="dxa"/>
            <w:noWrap/>
            <w:hideMark/>
          </w:tcPr>
          <w:p w:rsidR="003F0BAF" w:rsidRPr="007C40BE" w:rsidRDefault="003F0BAF" w:rsidP="00C424E5">
            <w:pPr>
              <w:jc w:val="right"/>
              <w:rPr>
                <w:color w:val="000000"/>
                <w:sz w:val="20"/>
              </w:rPr>
            </w:pPr>
            <w:r w:rsidRPr="007C40BE">
              <w:rPr>
                <w:color w:val="000000"/>
                <w:sz w:val="20"/>
              </w:rPr>
              <w:t>14,392</w:t>
            </w:r>
          </w:p>
        </w:tc>
        <w:tc>
          <w:tcPr>
            <w:tcW w:w="996" w:type="dxa"/>
            <w:noWrap/>
            <w:hideMark/>
          </w:tcPr>
          <w:p w:rsidR="003F0BAF" w:rsidRPr="007C40BE" w:rsidRDefault="003F0BAF" w:rsidP="00C424E5">
            <w:pPr>
              <w:jc w:val="right"/>
              <w:rPr>
                <w:color w:val="000000"/>
                <w:sz w:val="20"/>
              </w:rPr>
            </w:pPr>
            <w:r w:rsidRPr="007C40BE">
              <w:rPr>
                <w:color w:val="000000"/>
                <w:sz w:val="20"/>
              </w:rPr>
              <w:t>17,025</w:t>
            </w:r>
          </w:p>
        </w:tc>
        <w:tc>
          <w:tcPr>
            <w:tcW w:w="1155" w:type="dxa"/>
            <w:noWrap/>
            <w:hideMark/>
          </w:tcPr>
          <w:p w:rsidR="003F0BAF" w:rsidRPr="007C40BE" w:rsidRDefault="003F0BAF" w:rsidP="00C424E5">
            <w:pPr>
              <w:jc w:val="right"/>
              <w:rPr>
                <w:color w:val="000000"/>
                <w:sz w:val="20"/>
              </w:rPr>
            </w:pPr>
            <w:r w:rsidRPr="007C40BE">
              <w:rPr>
                <w:color w:val="000000"/>
                <w:sz w:val="20"/>
              </w:rPr>
              <w:t>18.3%</w:t>
            </w:r>
          </w:p>
        </w:tc>
      </w:tr>
      <w:tr w:rsidR="003F0BAF" w:rsidRPr="007C40BE" w:rsidTr="002E5FD8">
        <w:trPr>
          <w:trHeight w:val="189"/>
          <w:jc w:val="center"/>
        </w:trPr>
        <w:tc>
          <w:tcPr>
            <w:tcW w:w="3205" w:type="dxa"/>
            <w:noWrap/>
            <w:hideMark/>
          </w:tcPr>
          <w:p w:rsidR="003F0BAF" w:rsidRPr="007C40BE" w:rsidRDefault="003F0BAF" w:rsidP="00C424E5">
            <w:pPr>
              <w:rPr>
                <w:color w:val="000000"/>
                <w:sz w:val="20"/>
              </w:rPr>
            </w:pPr>
            <w:r w:rsidRPr="007C40BE">
              <w:rPr>
                <w:color w:val="000000"/>
                <w:sz w:val="20"/>
              </w:rPr>
              <w:t>Akciza</w:t>
            </w:r>
          </w:p>
        </w:tc>
        <w:tc>
          <w:tcPr>
            <w:tcW w:w="996" w:type="dxa"/>
            <w:noWrap/>
            <w:hideMark/>
          </w:tcPr>
          <w:p w:rsidR="003F0BAF" w:rsidRPr="007C40BE" w:rsidRDefault="003F0BAF" w:rsidP="00C424E5">
            <w:pPr>
              <w:jc w:val="right"/>
              <w:rPr>
                <w:color w:val="000000"/>
                <w:sz w:val="20"/>
              </w:rPr>
            </w:pPr>
            <w:r w:rsidRPr="007C40BE">
              <w:rPr>
                <w:color w:val="000000"/>
                <w:sz w:val="20"/>
              </w:rPr>
              <w:t>0</w:t>
            </w:r>
          </w:p>
        </w:tc>
        <w:tc>
          <w:tcPr>
            <w:tcW w:w="996" w:type="dxa"/>
            <w:noWrap/>
            <w:hideMark/>
          </w:tcPr>
          <w:p w:rsidR="003F0BAF" w:rsidRPr="007C40BE" w:rsidRDefault="003F0BAF" w:rsidP="00C424E5">
            <w:pPr>
              <w:jc w:val="right"/>
              <w:rPr>
                <w:color w:val="000000"/>
                <w:sz w:val="20"/>
              </w:rPr>
            </w:pPr>
            <w:r w:rsidRPr="007C40BE">
              <w:rPr>
                <w:color w:val="000000"/>
                <w:sz w:val="20"/>
              </w:rPr>
              <w:t>0</w:t>
            </w:r>
          </w:p>
        </w:tc>
        <w:tc>
          <w:tcPr>
            <w:tcW w:w="1155" w:type="dxa"/>
            <w:noWrap/>
            <w:hideMark/>
          </w:tcPr>
          <w:p w:rsidR="003F0BAF" w:rsidRPr="007C40BE" w:rsidRDefault="003F0BAF" w:rsidP="00C424E5">
            <w:pPr>
              <w:rPr>
                <w:color w:val="000000"/>
                <w:sz w:val="20"/>
              </w:rPr>
            </w:pPr>
            <w:r w:rsidRPr="007C40BE">
              <w:rPr>
                <w:color w:val="000000"/>
                <w:sz w:val="20"/>
              </w:rPr>
              <w:t> </w:t>
            </w:r>
          </w:p>
        </w:tc>
      </w:tr>
      <w:tr w:rsidR="003F0BAF" w:rsidRPr="007C40BE" w:rsidTr="002E5FD8">
        <w:trPr>
          <w:trHeight w:val="221"/>
          <w:jc w:val="center"/>
        </w:trPr>
        <w:tc>
          <w:tcPr>
            <w:tcW w:w="3205" w:type="dxa"/>
            <w:noWrap/>
            <w:hideMark/>
          </w:tcPr>
          <w:p w:rsidR="003F0BAF" w:rsidRPr="007C40BE" w:rsidRDefault="003F0BAF" w:rsidP="00C424E5">
            <w:pPr>
              <w:rPr>
                <w:color w:val="000000"/>
                <w:sz w:val="20"/>
              </w:rPr>
            </w:pPr>
            <w:r w:rsidRPr="007C40BE">
              <w:rPr>
                <w:color w:val="000000"/>
                <w:sz w:val="20"/>
              </w:rPr>
              <w:t>Tatim mbi fitimin</w:t>
            </w:r>
          </w:p>
        </w:tc>
        <w:tc>
          <w:tcPr>
            <w:tcW w:w="996" w:type="dxa"/>
            <w:noWrap/>
            <w:hideMark/>
          </w:tcPr>
          <w:p w:rsidR="003F0BAF" w:rsidRPr="007C40BE" w:rsidRDefault="003F0BAF" w:rsidP="00C424E5">
            <w:pPr>
              <w:jc w:val="right"/>
              <w:rPr>
                <w:color w:val="000000"/>
                <w:sz w:val="20"/>
              </w:rPr>
            </w:pPr>
            <w:r w:rsidRPr="007C40BE">
              <w:rPr>
                <w:color w:val="000000"/>
                <w:sz w:val="20"/>
              </w:rPr>
              <w:t>13,595</w:t>
            </w:r>
          </w:p>
        </w:tc>
        <w:tc>
          <w:tcPr>
            <w:tcW w:w="996" w:type="dxa"/>
            <w:noWrap/>
            <w:hideMark/>
          </w:tcPr>
          <w:p w:rsidR="003F0BAF" w:rsidRPr="007C40BE" w:rsidRDefault="003F0BAF" w:rsidP="00C424E5">
            <w:pPr>
              <w:jc w:val="right"/>
              <w:rPr>
                <w:color w:val="000000"/>
                <w:sz w:val="20"/>
              </w:rPr>
            </w:pPr>
            <w:r w:rsidRPr="007C40BE">
              <w:rPr>
                <w:color w:val="000000"/>
                <w:sz w:val="20"/>
              </w:rPr>
              <w:t>16,558</w:t>
            </w:r>
          </w:p>
        </w:tc>
        <w:tc>
          <w:tcPr>
            <w:tcW w:w="1155" w:type="dxa"/>
            <w:noWrap/>
            <w:hideMark/>
          </w:tcPr>
          <w:p w:rsidR="003F0BAF" w:rsidRPr="007C40BE" w:rsidRDefault="003F0BAF" w:rsidP="00C424E5">
            <w:pPr>
              <w:jc w:val="right"/>
              <w:rPr>
                <w:color w:val="000000"/>
                <w:sz w:val="20"/>
              </w:rPr>
            </w:pPr>
            <w:r w:rsidRPr="007C40BE">
              <w:rPr>
                <w:color w:val="000000"/>
                <w:sz w:val="20"/>
              </w:rPr>
              <w:t>21.8%</w:t>
            </w:r>
          </w:p>
        </w:tc>
      </w:tr>
      <w:tr w:rsidR="003F0BAF" w:rsidRPr="007C40BE" w:rsidTr="002E5FD8">
        <w:trPr>
          <w:trHeight w:val="239"/>
          <w:jc w:val="center"/>
        </w:trPr>
        <w:tc>
          <w:tcPr>
            <w:tcW w:w="3205" w:type="dxa"/>
            <w:noWrap/>
            <w:hideMark/>
          </w:tcPr>
          <w:p w:rsidR="003F0BAF" w:rsidRPr="007C40BE" w:rsidRDefault="003F0BAF" w:rsidP="00C424E5">
            <w:pPr>
              <w:rPr>
                <w:color w:val="000000"/>
                <w:sz w:val="20"/>
              </w:rPr>
            </w:pPr>
            <w:r w:rsidRPr="007C40BE">
              <w:rPr>
                <w:color w:val="000000"/>
                <w:sz w:val="20"/>
              </w:rPr>
              <w:t>Tatimi mbi të ardhurat personale</w:t>
            </w:r>
          </w:p>
        </w:tc>
        <w:tc>
          <w:tcPr>
            <w:tcW w:w="996" w:type="dxa"/>
            <w:noWrap/>
            <w:hideMark/>
          </w:tcPr>
          <w:p w:rsidR="003F0BAF" w:rsidRPr="007C40BE" w:rsidRDefault="003F0BAF" w:rsidP="00C424E5">
            <w:pPr>
              <w:jc w:val="right"/>
              <w:rPr>
                <w:color w:val="000000"/>
                <w:sz w:val="20"/>
              </w:rPr>
            </w:pPr>
            <w:r w:rsidRPr="007C40BE">
              <w:rPr>
                <w:color w:val="000000"/>
                <w:sz w:val="20"/>
              </w:rPr>
              <w:t>13,510</w:t>
            </w:r>
          </w:p>
        </w:tc>
        <w:tc>
          <w:tcPr>
            <w:tcW w:w="996" w:type="dxa"/>
            <w:noWrap/>
            <w:hideMark/>
          </w:tcPr>
          <w:p w:rsidR="003F0BAF" w:rsidRPr="007C40BE" w:rsidRDefault="003F0BAF" w:rsidP="00C424E5">
            <w:pPr>
              <w:jc w:val="right"/>
              <w:rPr>
                <w:color w:val="000000"/>
                <w:sz w:val="20"/>
              </w:rPr>
            </w:pPr>
            <w:r w:rsidRPr="007C40BE">
              <w:rPr>
                <w:color w:val="000000"/>
                <w:sz w:val="20"/>
              </w:rPr>
              <w:t>16,004</w:t>
            </w:r>
          </w:p>
        </w:tc>
        <w:tc>
          <w:tcPr>
            <w:tcW w:w="1155" w:type="dxa"/>
            <w:noWrap/>
            <w:hideMark/>
          </w:tcPr>
          <w:p w:rsidR="003F0BAF" w:rsidRPr="007C40BE" w:rsidRDefault="003F0BAF" w:rsidP="00C424E5">
            <w:pPr>
              <w:jc w:val="right"/>
              <w:rPr>
                <w:color w:val="000000"/>
                <w:sz w:val="20"/>
              </w:rPr>
            </w:pPr>
            <w:r w:rsidRPr="007C40BE">
              <w:rPr>
                <w:color w:val="000000"/>
                <w:sz w:val="20"/>
              </w:rPr>
              <w:t>18.5%</w:t>
            </w:r>
          </w:p>
        </w:tc>
      </w:tr>
      <w:tr w:rsidR="003F0BAF" w:rsidRPr="007C40BE" w:rsidTr="002E5FD8">
        <w:trPr>
          <w:trHeight w:val="129"/>
          <w:jc w:val="center"/>
        </w:trPr>
        <w:tc>
          <w:tcPr>
            <w:tcW w:w="3205" w:type="dxa"/>
            <w:noWrap/>
            <w:hideMark/>
          </w:tcPr>
          <w:p w:rsidR="003F0BAF" w:rsidRPr="007C40BE" w:rsidRDefault="003F0BAF" w:rsidP="00C424E5">
            <w:pPr>
              <w:rPr>
                <w:color w:val="000000"/>
                <w:sz w:val="20"/>
              </w:rPr>
            </w:pPr>
            <w:r w:rsidRPr="007C40BE">
              <w:rPr>
                <w:color w:val="000000"/>
                <w:sz w:val="20"/>
              </w:rPr>
              <w:t>Taksa nacionale</w:t>
            </w:r>
          </w:p>
        </w:tc>
        <w:tc>
          <w:tcPr>
            <w:tcW w:w="996" w:type="dxa"/>
            <w:noWrap/>
            <w:hideMark/>
          </w:tcPr>
          <w:p w:rsidR="003F0BAF" w:rsidRPr="007C40BE" w:rsidRDefault="003F0BAF" w:rsidP="00C424E5">
            <w:pPr>
              <w:jc w:val="right"/>
              <w:rPr>
                <w:color w:val="000000"/>
                <w:sz w:val="20"/>
              </w:rPr>
            </w:pPr>
            <w:r w:rsidRPr="007C40BE">
              <w:rPr>
                <w:color w:val="000000"/>
                <w:sz w:val="20"/>
              </w:rPr>
              <w:t>13,428</w:t>
            </w:r>
          </w:p>
        </w:tc>
        <w:tc>
          <w:tcPr>
            <w:tcW w:w="996" w:type="dxa"/>
            <w:noWrap/>
            <w:hideMark/>
          </w:tcPr>
          <w:p w:rsidR="003F0BAF" w:rsidRPr="007C40BE" w:rsidRDefault="003F0BAF" w:rsidP="00C424E5">
            <w:pPr>
              <w:jc w:val="right"/>
              <w:rPr>
                <w:color w:val="000000"/>
                <w:sz w:val="20"/>
              </w:rPr>
            </w:pPr>
            <w:r w:rsidRPr="007C40BE">
              <w:rPr>
                <w:color w:val="000000"/>
                <w:sz w:val="20"/>
              </w:rPr>
              <w:t>15,036</w:t>
            </w:r>
          </w:p>
        </w:tc>
        <w:tc>
          <w:tcPr>
            <w:tcW w:w="1155" w:type="dxa"/>
            <w:noWrap/>
            <w:hideMark/>
          </w:tcPr>
          <w:p w:rsidR="003F0BAF" w:rsidRPr="007C40BE" w:rsidRDefault="003F0BAF" w:rsidP="00C424E5">
            <w:pPr>
              <w:jc w:val="right"/>
              <w:rPr>
                <w:color w:val="000000"/>
                <w:sz w:val="20"/>
              </w:rPr>
            </w:pPr>
            <w:r w:rsidRPr="007C40BE">
              <w:rPr>
                <w:color w:val="000000"/>
                <w:sz w:val="20"/>
              </w:rPr>
              <w:t>12.0%</w:t>
            </w:r>
          </w:p>
        </w:tc>
      </w:tr>
      <w:tr w:rsidR="003F0BAF" w:rsidRPr="007C40BE" w:rsidTr="002E5FD8">
        <w:trPr>
          <w:trHeight w:val="161"/>
          <w:jc w:val="center"/>
        </w:trPr>
        <w:tc>
          <w:tcPr>
            <w:tcW w:w="3205" w:type="dxa"/>
            <w:noWrap/>
            <w:hideMark/>
          </w:tcPr>
          <w:p w:rsidR="003F0BAF" w:rsidRPr="007C40BE" w:rsidRDefault="003F0BAF" w:rsidP="00C424E5">
            <w:pPr>
              <w:rPr>
                <w:b/>
                <w:bCs/>
                <w:i/>
                <w:iCs/>
                <w:color w:val="000000"/>
                <w:sz w:val="20"/>
              </w:rPr>
            </w:pPr>
            <w:r w:rsidRPr="007C40BE">
              <w:rPr>
                <w:b/>
                <w:bCs/>
                <w:i/>
                <w:iCs/>
                <w:color w:val="000000"/>
                <w:sz w:val="20"/>
              </w:rPr>
              <w:t>Totali i tatimeve</w:t>
            </w:r>
          </w:p>
        </w:tc>
        <w:tc>
          <w:tcPr>
            <w:tcW w:w="996" w:type="dxa"/>
            <w:noWrap/>
            <w:hideMark/>
          </w:tcPr>
          <w:p w:rsidR="003F0BAF" w:rsidRPr="007C40BE" w:rsidRDefault="003F0BAF" w:rsidP="00C424E5">
            <w:pPr>
              <w:jc w:val="right"/>
              <w:rPr>
                <w:b/>
                <w:bCs/>
                <w:i/>
                <w:iCs/>
                <w:color w:val="000000"/>
                <w:sz w:val="20"/>
              </w:rPr>
            </w:pPr>
            <w:r w:rsidRPr="007C40BE">
              <w:rPr>
                <w:b/>
                <w:bCs/>
                <w:i/>
                <w:iCs/>
                <w:color w:val="000000"/>
                <w:sz w:val="20"/>
              </w:rPr>
              <w:t>54,925</w:t>
            </w:r>
          </w:p>
        </w:tc>
        <w:tc>
          <w:tcPr>
            <w:tcW w:w="996" w:type="dxa"/>
            <w:noWrap/>
            <w:hideMark/>
          </w:tcPr>
          <w:p w:rsidR="003F0BAF" w:rsidRPr="007C40BE" w:rsidRDefault="003F0BAF" w:rsidP="00C424E5">
            <w:pPr>
              <w:jc w:val="right"/>
              <w:rPr>
                <w:b/>
                <w:bCs/>
                <w:i/>
                <w:iCs/>
                <w:color w:val="000000"/>
                <w:sz w:val="20"/>
              </w:rPr>
            </w:pPr>
            <w:r w:rsidRPr="007C40BE">
              <w:rPr>
                <w:b/>
                <w:bCs/>
                <w:i/>
                <w:iCs/>
                <w:color w:val="000000"/>
                <w:sz w:val="20"/>
              </w:rPr>
              <w:t>64,623</w:t>
            </w:r>
          </w:p>
        </w:tc>
        <w:tc>
          <w:tcPr>
            <w:tcW w:w="1155" w:type="dxa"/>
            <w:noWrap/>
            <w:hideMark/>
          </w:tcPr>
          <w:p w:rsidR="003F0BAF" w:rsidRPr="007C40BE" w:rsidRDefault="003F0BAF" w:rsidP="00C424E5">
            <w:pPr>
              <w:jc w:val="right"/>
              <w:rPr>
                <w:b/>
                <w:bCs/>
                <w:i/>
                <w:iCs/>
                <w:color w:val="000000"/>
                <w:sz w:val="20"/>
              </w:rPr>
            </w:pPr>
            <w:r w:rsidRPr="007C40BE">
              <w:rPr>
                <w:b/>
                <w:bCs/>
                <w:i/>
                <w:iCs/>
                <w:color w:val="000000"/>
                <w:sz w:val="20"/>
              </w:rPr>
              <w:t>17.7%</w:t>
            </w:r>
          </w:p>
        </w:tc>
      </w:tr>
      <w:tr w:rsidR="003F0BAF" w:rsidRPr="007C40BE" w:rsidTr="002E5FD8">
        <w:trPr>
          <w:trHeight w:val="131"/>
          <w:jc w:val="center"/>
        </w:trPr>
        <w:tc>
          <w:tcPr>
            <w:tcW w:w="3205" w:type="dxa"/>
            <w:noWrap/>
          </w:tcPr>
          <w:p w:rsidR="003F0BAF" w:rsidRPr="007C40BE" w:rsidRDefault="003F0BAF" w:rsidP="00C424E5">
            <w:pPr>
              <w:rPr>
                <w:b/>
                <w:bCs/>
                <w:i/>
                <w:iCs/>
                <w:color w:val="000000"/>
                <w:sz w:val="20"/>
              </w:rPr>
            </w:pPr>
          </w:p>
        </w:tc>
        <w:tc>
          <w:tcPr>
            <w:tcW w:w="996" w:type="dxa"/>
            <w:noWrap/>
          </w:tcPr>
          <w:p w:rsidR="003F0BAF" w:rsidRPr="007C40BE" w:rsidRDefault="003F0BAF" w:rsidP="00C424E5">
            <w:pPr>
              <w:jc w:val="right"/>
              <w:rPr>
                <w:b/>
                <w:bCs/>
                <w:i/>
                <w:iCs/>
                <w:color w:val="000000"/>
                <w:sz w:val="20"/>
              </w:rPr>
            </w:pPr>
          </w:p>
        </w:tc>
        <w:tc>
          <w:tcPr>
            <w:tcW w:w="996" w:type="dxa"/>
            <w:noWrap/>
          </w:tcPr>
          <w:p w:rsidR="003F0BAF" w:rsidRPr="007C40BE" w:rsidRDefault="003F0BAF" w:rsidP="00C424E5">
            <w:pPr>
              <w:jc w:val="right"/>
              <w:rPr>
                <w:b/>
                <w:bCs/>
                <w:i/>
                <w:iCs/>
                <w:color w:val="000000"/>
                <w:sz w:val="20"/>
              </w:rPr>
            </w:pPr>
          </w:p>
        </w:tc>
        <w:tc>
          <w:tcPr>
            <w:tcW w:w="1155" w:type="dxa"/>
            <w:noWrap/>
          </w:tcPr>
          <w:p w:rsidR="003F0BAF" w:rsidRPr="007C40BE" w:rsidRDefault="003F0BAF" w:rsidP="00C424E5">
            <w:pPr>
              <w:jc w:val="right"/>
              <w:rPr>
                <w:b/>
                <w:bCs/>
                <w:i/>
                <w:iCs/>
                <w:color w:val="000000"/>
                <w:sz w:val="20"/>
              </w:rPr>
            </w:pPr>
          </w:p>
        </w:tc>
      </w:tr>
      <w:tr w:rsidR="003F0BAF" w:rsidRPr="007C40BE" w:rsidTr="002E5FD8">
        <w:trPr>
          <w:trHeight w:val="239"/>
          <w:jc w:val="center"/>
        </w:trPr>
        <w:tc>
          <w:tcPr>
            <w:tcW w:w="3205" w:type="dxa"/>
            <w:noWrap/>
            <w:hideMark/>
          </w:tcPr>
          <w:p w:rsidR="003F0BAF" w:rsidRPr="007C40BE" w:rsidRDefault="003F0BAF" w:rsidP="00C424E5">
            <w:pPr>
              <w:rPr>
                <w:b/>
                <w:bCs/>
                <w:i/>
                <w:iCs/>
                <w:color w:val="000000"/>
                <w:sz w:val="20"/>
              </w:rPr>
            </w:pPr>
            <w:r w:rsidRPr="007C40BE">
              <w:rPr>
                <w:b/>
                <w:bCs/>
                <w:i/>
                <w:iCs/>
                <w:color w:val="000000"/>
                <w:sz w:val="20"/>
              </w:rPr>
              <w:t>Kontributet e mbledhura nga DPT</w:t>
            </w:r>
          </w:p>
        </w:tc>
        <w:tc>
          <w:tcPr>
            <w:tcW w:w="996" w:type="dxa"/>
            <w:noWrap/>
            <w:hideMark/>
          </w:tcPr>
          <w:p w:rsidR="003F0BAF" w:rsidRPr="007C40BE" w:rsidRDefault="003F0BAF" w:rsidP="00C424E5">
            <w:pPr>
              <w:jc w:val="right"/>
              <w:rPr>
                <w:b/>
                <w:bCs/>
                <w:i/>
                <w:iCs/>
                <w:color w:val="000000"/>
                <w:sz w:val="20"/>
              </w:rPr>
            </w:pPr>
            <w:r w:rsidRPr="007C40BE">
              <w:rPr>
                <w:b/>
                <w:bCs/>
                <w:i/>
                <w:iCs/>
                <w:color w:val="000000"/>
                <w:sz w:val="20"/>
              </w:rPr>
              <w:t>32,673</w:t>
            </w:r>
          </w:p>
        </w:tc>
        <w:tc>
          <w:tcPr>
            <w:tcW w:w="996" w:type="dxa"/>
            <w:noWrap/>
            <w:hideMark/>
          </w:tcPr>
          <w:p w:rsidR="003F0BAF" w:rsidRPr="007C40BE" w:rsidRDefault="003F0BAF" w:rsidP="00C424E5">
            <w:pPr>
              <w:jc w:val="right"/>
              <w:rPr>
                <w:b/>
                <w:bCs/>
                <w:i/>
                <w:iCs/>
                <w:color w:val="000000"/>
                <w:sz w:val="20"/>
              </w:rPr>
            </w:pPr>
            <w:r w:rsidRPr="007C40BE">
              <w:rPr>
                <w:b/>
                <w:bCs/>
                <w:i/>
                <w:iCs/>
                <w:color w:val="000000"/>
                <w:sz w:val="20"/>
              </w:rPr>
              <w:t>36,822</w:t>
            </w:r>
          </w:p>
        </w:tc>
        <w:tc>
          <w:tcPr>
            <w:tcW w:w="1155" w:type="dxa"/>
            <w:noWrap/>
            <w:hideMark/>
          </w:tcPr>
          <w:p w:rsidR="003F0BAF" w:rsidRPr="007C40BE" w:rsidRDefault="003F0BAF" w:rsidP="00C424E5">
            <w:pPr>
              <w:jc w:val="right"/>
              <w:rPr>
                <w:b/>
                <w:bCs/>
                <w:i/>
                <w:iCs/>
                <w:color w:val="000000"/>
                <w:sz w:val="20"/>
              </w:rPr>
            </w:pPr>
            <w:r w:rsidRPr="007C40BE">
              <w:rPr>
                <w:b/>
                <w:bCs/>
                <w:i/>
                <w:iCs/>
                <w:color w:val="000000"/>
                <w:sz w:val="20"/>
              </w:rPr>
              <w:t>12.7%</w:t>
            </w:r>
          </w:p>
        </w:tc>
      </w:tr>
      <w:tr w:rsidR="003F0BAF" w:rsidRPr="007C40BE" w:rsidTr="002E5FD8">
        <w:trPr>
          <w:trHeight w:val="198"/>
          <w:jc w:val="center"/>
        </w:trPr>
        <w:tc>
          <w:tcPr>
            <w:tcW w:w="3205" w:type="dxa"/>
            <w:noWrap/>
          </w:tcPr>
          <w:p w:rsidR="003F0BAF" w:rsidRPr="007C40BE" w:rsidRDefault="003F0BAF" w:rsidP="00C424E5">
            <w:pPr>
              <w:rPr>
                <w:b/>
                <w:bCs/>
                <w:i/>
                <w:iCs/>
                <w:color w:val="000000"/>
                <w:sz w:val="20"/>
              </w:rPr>
            </w:pPr>
          </w:p>
        </w:tc>
        <w:tc>
          <w:tcPr>
            <w:tcW w:w="996" w:type="dxa"/>
            <w:noWrap/>
          </w:tcPr>
          <w:p w:rsidR="003F0BAF" w:rsidRPr="007C40BE" w:rsidRDefault="003F0BAF" w:rsidP="00C424E5">
            <w:pPr>
              <w:jc w:val="right"/>
              <w:rPr>
                <w:b/>
                <w:bCs/>
                <w:i/>
                <w:iCs/>
                <w:color w:val="000000"/>
                <w:sz w:val="20"/>
              </w:rPr>
            </w:pPr>
          </w:p>
        </w:tc>
        <w:tc>
          <w:tcPr>
            <w:tcW w:w="996" w:type="dxa"/>
            <w:noWrap/>
          </w:tcPr>
          <w:p w:rsidR="003F0BAF" w:rsidRPr="007C40BE" w:rsidRDefault="003F0BAF" w:rsidP="00C424E5">
            <w:pPr>
              <w:jc w:val="right"/>
              <w:rPr>
                <w:b/>
                <w:bCs/>
                <w:i/>
                <w:iCs/>
                <w:color w:val="000000"/>
                <w:sz w:val="20"/>
              </w:rPr>
            </w:pPr>
          </w:p>
        </w:tc>
        <w:tc>
          <w:tcPr>
            <w:tcW w:w="1155" w:type="dxa"/>
            <w:noWrap/>
          </w:tcPr>
          <w:p w:rsidR="003F0BAF" w:rsidRPr="007C40BE" w:rsidRDefault="003F0BAF" w:rsidP="00C424E5">
            <w:pPr>
              <w:jc w:val="right"/>
              <w:rPr>
                <w:b/>
                <w:bCs/>
                <w:i/>
                <w:iCs/>
                <w:color w:val="000000"/>
                <w:sz w:val="20"/>
              </w:rPr>
            </w:pPr>
          </w:p>
        </w:tc>
      </w:tr>
      <w:tr w:rsidR="003F0BAF" w:rsidRPr="007C40BE" w:rsidTr="002E5FD8">
        <w:trPr>
          <w:trHeight w:val="60"/>
          <w:jc w:val="center"/>
        </w:trPr>
        <w:tc>
          <w:tcPr>
            <w:tcW w:w="3205" w:type="dxa"/>
            <w:noWrap/>
            <w:hideMark/>
          </w:tcPr>
          <w:p w:rsidR="003F0BAF" w:rsidRPr="007C40BE" w:rsidRDefault="003F0BAF" w:rsidP="00C424E5">
            <w:pPr>
              <w:rPr>
                <w:b/>
                <w:bCs/>
                <w:i/>
                <w:iCs/>
                <w:color w:val="000000"/>
                <w:sz w:val="20"/>
              </w:rPr>
            </w:pPr>
            <w:r w:rsidRPr="007C40BE">
              <w:rPr>
                <w:b/>
                <w:bCs/>
                <w:i/>
                <w:iCs/>
                <w:color w:val="000000"/>
                <w:sz w:val="20"/>
              </w:rPr>
              <w:t>TOTAL TATIME + DOGANA</w:t>
            </w:r>
          </w:p>
        </w:tc>
        <w:tc>
          <w:tcPr>
            <w:tcW w:w="996" w:type="dxa"/>
            <w:noWrap/>
            <w:hideMark/>
          </w:tcPr>
          <w:p w:rsidR="003F0BAF" w:rsidRPr="007C40BE" w:rsidRDefault="003F0BAF" w:rsidP="00C424E5">
            <w:pPr>
              <w:jc w:val="right"/>
              <w:rPr>
                <w:b/>
                <w:bCs/>
                <w:i/>
                <w:iCs/>
                <w:color w:val="000000"/>
                <w:sz w:val="20"/>
              </w:rPr>
            </w:pPr>
            <w:r w:rsidRPr="007C40BE">
              <w:rPr>
                <w:b/>
                <w:bCs/>
                <w:i/>
                <w:iCs/>
                <w:color w:val="000000"/>
                <w:sz w:val="20"/>
              </w:rPr>
              <w:t>153,118</w:t>
            </w:r>
          </w:p>
        </w:tc>
        <w:tc>
          <w:tcPr>
            <w:tcW w:w="996" w:type="dxa"/>
            <w:noWrap/>
            <w:hideMark/>
          </w:tcPr>
          <w:p w:rsidR="003F0BAF" w:rsidRPr="007C40BE" w:rsidRDefault="003F0BAF" w:rsidP="00C424E5">
            <w:pPr>
              <w:jc w:val="right"/>
              <w:rPr>
                <w:b/>
                <w:bCs/>
                <w:i/>
                <w:iCs/>
                <w:color w:val="000000"/>
                <w:sz w:val="20"/>
              </w:rPr>
            </w:pPr>
            <w:r w:rsidRPr="007C40BE">
              <w:rPr>
                <w:b/>
                <w:bCs/>
                <w:i/>
                <w:iCs/>
                <w:color w:val="000000"/>
                <w:sz w:val="20"/>
              </w:rPr>
              <w:t>170,495</w:t>
            </w:r>
          </w:p>
        </w:tc>
        <w:tc>
          <w:tcPr>
            <w:tcW w:w="1155" w:type="dxa"/>
            <w:noWrap/>
            <w:hideMark/>
          </w:tcPr>
          <w:p w:rsidR="003F0BAF" w:rsidRPr="007C40BE" w:rsidRDefault="003F0BAF" w:rsidP="00C424E5">
            <w:pPr>
              <w:jc w:val="right"/>
              <w:rPr>
                <w:b/>
                <w:bCs/>
                <w:i/>
                <w:iCs/>
                <w:color w:val="000000"/>
                <w:sz w:val="20"/>
              </w:rPr>
            </w:pPr>
            <w:r w:rsidRPr="007C40BE">
              <w:rPr>
                <w:b/>
                <w:bCs/>
                <w:i/>
                <w:iCs/>
                <w:color w:val="000000"/>
                <w:sz w:val="20"/>
              </w:rPr>
              <w:t>11.3%</w:t>
            </w:r>
          </w:p>
        </w:tc>
      </w:tr>
    </w:tbl>
    <w:p w:rsidR="003F0BAF" w:rsidRPr="007C40BE" w:rsidRDefault="003F0BAF" w:rsidP="003F0BAF">
      <w:pPr>
        <w:rPr>
          <w:sz w:val="6"/>
        </w:rPr>
      </w:pPr>
    </w:p>
    <w:p w:rsidR="003F0BAF" w:rsidRPr="002E5FD8" w:rsidRDefault="003F0BAF" w:rsidP="003F0BAF">
      <w:pPr>
        <w:tabs>
          <w:tab w:val="left" w:pos="2511"/>
          <w:tab w:val="center" w:pos="4680"/>
        </w:tabs>
        <w:spacing w:line="360" w:lineRule="auto"/>
        <w:rPr>
          <w:b/>
          <w:bCs/>
          <w:sz w:val="16"/>
          <w:szCs w:val="16"/>
          <w:lang w:val="sq-AL"/>
        </w:rPr>
      </w:pPr>
    </w:p>
    <w:p w:rsidR="003F0BAF" w:rsidRPr="007C40BE" w:rsidRDefault="003F0BAF" w:rsidP="003F0BAF">
      <w:pPr>
        <w:tabs>
          <w:tab w:val="left" w:pos="2511"/>
          <w:tab w:val="center" w:pos="4680"/>
        </w:tabs>
        <w:spacing w:line="360" w:lineRule="auto"/>
        <w:rPr>
          <w:b/>
          <w:bCs/>
          <w:szCs w:val="28"/>
          <w:lang w:val="sq-AL"/>
        </w:rPr>
      </w:pPr>
      <w:r w:rsidRPr="007C40BE">
        <w:rPr>
          <w:b/>
          <w:bCs/>
          <w:szCs w:val="28"/>
          <w:lang w:val="sq-AL"/>
        </w:rPr>
        <w:t>Drejtoria e Përgjithshme e Doganave</w:t>
      </w:r>
    </w:p>
    <w:p w:rsidR="003F0BAF" w:rsidRPr="007C40BE" w:rsidRDefault="003F0BAF" w:rsidP="003F0BAF">
      <w:pPr>
        <w:tabs>
          <w:tab w:val="left" w:pos="2511"/>
          <w:tab w:val="center" w:pos="4680"/>
        </w:tabs>
        <w:spacing w:line="360" w:lineRule="auto"/>
        <w:jc w:val="both"/>
        <w:rPr>
          <w:lang w:val="sq-AL"/>
        </w:rPr>
      </w:pPr>
      <w:r w:rsidRPr="007C40BE">
        <w:rPr>
          <w:lang w:val="sq-AL"/>
        </w:rPr>
        <w:t xml:space="preserve">DPD ka  realizuar planin 6 mujor në masën 99.5 %, ose në vlerën -320 milionë lekë. Krahasuar me të njëjtën periudhë të një viti më parë, doganat kanë një tejkalim në masën +5.4%, ose në vlerën +3.5 miliard lekë. </w:t>
      </w:r>
    </w:p>
    <w:p w:rsidR="003F0BAF" w:rsidRPr="007C40BE" w:rsidRDefault="003F0BAF" w:rsidP="003F0BAF">
      <w:pPr>
        <w:tabs>
          <w:tab w:val="left" w:pos="2511"/>
          <w:tab w:val="center" w:pos="4680"/>
        </w:tabs>
        <w:spacing w:line="360" w:lineRule="auto"/>
        <w:jc w:val="center"/>
        <w:rPr>
          <w:i/>
          <w:sz w:val="20"/>
          <w:szCs w:val="20"/>
          <w:lang w:val="sq-AL"/>
        </w:rPr>
      </w:pPr>
      <w:r w:rsidRPr="007C40BE">
        <w:rPr>
          <w:i/>
          <w:sz w:val="20"/>
          <w:szCs w:val="20"/>
          <w:lang w:val="sq-AL"/>
        </w:rPr>
        <w:t>Grafiku  paraqet performancen e DPD për 6 mujorin e vitit 2016</w:t>
      </w:r>
    </w:p>
    <w:p w:rsidR="003F0BAF" w:rsidRPr="007C40BE" w:rsidRDefault="003F0BAF" w:rsidP="003F0BAF">
      <w:pPr>
        <w:tabs>
          <w:tab w:val="left" w:pos="2511"/>
          <w:tab w:val="center" w:pos="4680"/>
        </w:tabs>
        <w:spacing w:line="360" w:lineRule="auto"/>
        <w:rPr>
          <w:sz w:val="20"/>
          <w:lang w:val="sq-AL"/>
        </w:rPr>
      </w:pPr>
      <w:r w:rsidRPr="007C40BE">
        <w:rPr>
          <w:noProof/>
        </w:rPr>
        <w:drawing>
          <wp:anchor distT="0" distB="0" distL="114300" distR="114300" simplePos="0" relativeHeight="251659776" behindDoc="1" locked="0" layoutInCell="1" allowOverlap="1" wp14:anchorId="1996FFF5" wp14:editId="50E628D4">
            <wp:simplePos x="0" y="0"/>
            <wp:positionH relativeFrom="column">
              <wp:posOffset>-38100</wp:posOffset>
            </wp:positionH>
            <wp:positionV relativeFrom="paragraph">
              <wp:posOffset>62865</wp:posOffset>
            </wp:positionV>
            <wp:extent cx="5734050" cy="2952750"/>
            <wp:effectExtent l="0" t="0" r="0" b="0"/>
            <wp:wrapThrough wrapText="bothSides">
              <wp:wrapPolygon edited="0">
                <wp:start x="7248" y="697"/>
                <wp:lineTo x="4377" y="1254"/>
                <wp:lineTo x="3445" y="2787"/>
                <wp:lineTo x="3445" y="16444"/>
                <wp:lineTo x="718" y="17141"/>
                <wp:lineTo x="718" y="20903"/>
                <wp:lineTo x="21026" y="20903"/>
                <wp:lineTo x="20954" y="16583"/>
                <wp:lineTo x="21385" y="14772"/>
                <wp:lineTo x="21313" y="14354"/>
                <wp:lineTo x="20524" y="14354"/>
                <wp:lineTo x="21385" y="12960"/>
                <wp:lineTo x="21385" y="12542"/>
                <wp:lineTo x="20524" y="12124"/>
                <wp:lineTo x="21385" y="10730"/>
                <wp:lineTo x="20524" y="9894"/>
                <wp:lineTo x="21385" y="8779"/>
                <wp:lineTo x="20524" y="7665"/>
                <wp:lineTo x="21385" y="7246"/>
                <wp:lineTo x="21385" y="6828"/>
                <wp:lineTo x="20524" y="5435"/>
                <wp:lineTo x="21385" y="5156"/>
                <wp:lineTo x="21385" y="4877"/>
                <wp:lineTo x="20524" y="3205"/>
                <wp:lineTo x="21241" y="3205"/>
                <wp:lineTo x="21528" y="2508"/>
                <wp:lineTo x="21456" y="697"/>
                <wp:lineTo x="7248" y="697"/>
              </wp:wrapPolygon>
            </wp:wrapThrough>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rsidR="003F0BAF" w:rsidRPr="007C40BE" w:rsidRDefault="003F0BAF" w:rsidP="003F0BAF">
      <w:pPr>
        <w:tabs>
          <w:tab w:val="left" w:pos="2511"/>
          <w:tab w:val="center" w:pos="4680"/>
        </w:tabs>
        <w:spacing w:line="360" w:lineRule="auto"/>
        <w:rPr>
          <w:lang w:val="sq-AL"/>
        </w:rPr>
      </w:pPr>
    </w:p>
    <w:p w:rsidR="003F0BAF" w:rsidRPr="007C40BE" w:rsidRDefault="003F0BAF" w:rsidP="003F0BAF">
      <w:pPr>
        <w:tabs>
          <w:tab w:val="left" w:pos="2511"/>
          <w:tab w:val="center" w:pos="4680"/>
        </w:tabs>
        <w:spacing w:line="360" w:lineRule="auto"/>
        <w:rPr>
          <w:sz w:val="2"/>
          <w:lang w:val="sq-AL"/>
        </w:rPr>
      </w:pPr>
    </w:p>
    <w:p w:rsidR="003F0BAF" w:rsidRPr="007C40BE" w:rsidRDefault="003F0BAF" w:rsidP="003F0BAF">
      <w:pPr>
        <w:tabs>
          <w:tab w:val="left" w:pos="2511"/>
          <w:tab w:val="center" w:pos="4680"/>
        </w:tabs>
        <w:spacing w:line="360" w:lineRule="auto"/>
        <w:rPr>
          <w:lang w:val="sq-AL"/>
        </w:rPr>
      </w:pPr>
    </w:p>
    <w:p w:rsidR="003F0BAF" w:rsidRPr="007C40BE" w:rsidRDefault="003F0BAF" w:rsidP="003F0BAF">
      <w:pPr>
        <w:tabs>
          <w:tab w:val="left" w:pos="2511"/>
          <w:tab w:val="center" w:pos="4680"/>
        </w:tabs>
        <w:spacing w:line="360" w:lineRule="auto"/>
        <w:rPr>
          <w:lang w:val="sq-AL"/>
        </w:rPr>
      </w:pPr>
    </w:p>
    <w:p w:rsidR="003F0BAF" w:rsidRPr="007C40BE" w:rsidRDefault="003F0BAF" w:rsidP="003F0BAF">
      <w:pPr>
        <w:tabs>
          <w:tab w:val="left" w:pos="2511"/>
          <w:tab w:val="center" w:pos="4680"/>
        </w:tabs>
        <w:spacing w:line="360" w:lineRule="auto"/>
        <w:rPr>
          <w:lang w:val="sq-AL"/>
        </w:rPr>
      </w:pPr>
    </w:p>
    <w:p w:rsidR="003F0BAF" w:rsidRPr="007C40BE" w:rsidRDefault="003F0BAF" w:rsidP="003F0BAF">
      <w:pPr>
        <w:tabs>
          <w:tab w:val="left" w:pos="2511"/>
          <w:tab w:val="center" w:pos="4680"/>
        </w:tabs>
        <w:spacing w:line="360" w:lineRule="auto"/>
        <w:rPr>
          <w:lang w:val="sq-AL"/>
        </w:rPr>
      </w:pPr>
    </w:p>
    <w:p w:rsidR="003F0BAF" w:rsidRPr="007C40BE" w:rsidRDefault="003F0BAF" w:rsidP="003F0BAF">
      <w:pPr>
        <w:tabs>
          <w:tab w:val="left" w:pos="2511"/>
          <w:tab w:val="center" w:pos="4680"/>
        </w:tabs>
        <w:spacing w:line="360" w:lineRule="auto"/>
        <w:rPr>
          <w:lang w:val="sq-AL"/>
        </w:rPr>
      </w:pPr>
    </w:p>
    <w:p w:rsidR="003F0BAF" w:rsidRPr="007C40BE" w:rsidRDefault="003F0BAF" w:rsidP="003F0BAF">
      <w:pPr>
        <w:tabs>
          <w:tab w:val="left" w:pos="2511"/>
          <w:tab w:val="center" w:pos="4680"/>
        </w:tabs>
        <w:spacing w:line="360" w:lineRule="auto"/>
        <w:rPr>
          <w:lang w:val="sq-AL"/>
        </w:rPr>
      </w:pPr>
    </w:p>
    <w:p w:rsidR="003F0BAF" w:rsidRPr="007C40BE" w:rsidRDefault="003F0BAF" w:rsidP="003F0BAF">
      <w:pPr>
        <w:tabs>
          <w:tab w:val="left" w:pos="2511"/>
          <w:tab w:val="center" w:pos="4680"/>
        </w:tabs>
        <w:spacing w:line="360" w:lineRule="auto"/>
        <w:rPr>
          <w:lang w:val="sq-AL"/>
        </w:rPr>
      </w:pPr>
    </w:p>
    <w:p w:rsidR="003F0BAF" w:rsidRPr="007C40BE" w:rsidRDefault="003F0BAF" w:rsidP="00526C45">
      <w:pPr>
        <w:tabs>
          <w:tab w:val="left" w:pos="2511"/>
          <w:tab w:val="center" w:pos="4680"/>
        </w:tabs>
        <w:spacing w:line="360" w:lineRule="auto"/>
        <w:jc w:val="center"/>
        <w:rPr>
          <w:i/>
          <w:sz w:val="20"/>
          <w:szCs w:val="20"/>
          <w:lang w:val="sq-AL"/>
        </w:rPr>
      </w:pPr>
      <w:r w:rsidRPr="007C40BE">
        <w:rPr>
          <w:i/>
          <w:sz w:val="20"/>
          <w:szCs w:val="20"/>
          <w:lang w:val="sq-AL"/>
        </w:rPr>
        <w:lastRenderedPageBreak/>
        <w:t>Tabela paraqet performancën e DPD sipas taksave për 6 mujorin 2016</w:t>
      </w:r>
    </w:p>
    <w:tbl>
      <w:tblPr>
        <w:tblStyle w:val="TableWeb3"/>
        <w:tblW w:w="8643" w:type="dxa"/>
        <w:jc w:val="center"/>
        <w:tblLook w:val="04A0" w:firstRow="1" w:lastRow="0" w:firstColumn="1" w:lastColumn="0" w:noHBand="0" w:noVBand="1"/>
      </w:tblPr>
      <w:tblGrid>
        <w:gridCol w:w="2399"/>
        <w:gridCol w:w="1488"/>
        <w:gridCol w:w="1487"/>
        <w:gridCol w:w="1630"/>
        <w:gridCol w:w="2119"/>
      </w:tblGrid>
      <w:tr w:rsidR="003F0BAF" w:rsidRPr="007C40BE" w:rsidTr="00DE3C0A">
        <w:trPr>
          <w:cnfStyle w:val="100000000000" w:firstRow="1" w:lastRow="0" w:firstColumn="0" w:lastColumn="0" w:oddVBand="0" w:evenVBand="0" w:oddHBand="0" w:evenHBand="0" w:firstRowFirstColumn="0" w:firstRowLastColumn="0" w:lastRowFirstColumn="0" w:lastRowLastColumn="0"/>
          <w:trHeight w:val="256"/>
          <w:jc w:val="center"/>
        </w:trPr>
        <w:tc>
          <w:tcPr>
            <w:tcW w:w="2264" w:type="dxa"/>
            <w:noWrap/>
            <w:hideMark/>
          </w:tcPr>
          <w:p w:rsidR="003F0BAF" w:rsidRPr="007C40BE" w:rsidRDefault="003F0BAF" w:rsidP="00C424E5">
            <w:pPr>
              <w:rPr>
                <w:i/>
                <w:iCs/>
                <w:color w:val="000000"/>
              </w:rPr>
            </w:pPr>
          </w:p>
        </w:tc>
        <w:tc>
          <w:tcPr>
            <w:tcW w:w="6379" w:type="dxa"/>
            <w:gridSpan w:val="4"/>
            <w:noWrap/>
            <w:hideMark/>
          </w:tcPr>
          <w:p w:rsidR="003F0BAF" w:rsidRPr="007C40BE" w:rsidRDefault="003F0BAF" w:rsidP="00DE3C0A">
            <w:pPr>
              <w:jc w:val="center"/>
              <w:rPr>
                <w:b/>
                <w:i/>
                <w:iCs/>
                <w:color w:val="000000"/>
                <w:sz w:val="20"/>
                <w:szCs w:val="20"/>
              </w:rPr>
            </w:pPr>
            <w:r w:rsidRPr="007C40BE">
              <w:rPr>
                <w:b/>
                <w:i/>
                <w:iCs/>
                <w:color w:val="000000"/>
                <w:sz w:val="20"/>
                <w:szCs w:val="20"/>
              </w:rPr>
              <w:t>(në milionë lekë)</w:t>
            </w:r>
          </w:p>
        </w:tc>
      </w:tr>
      <w:tr w:rsidR="003F0BAF" w:rsidRPr="007C40BE" w:rsidTr="00DE3C0A">
        <w:trPr>
          <w:trHeight w:val="337"/>
          <w:jc w:val="center"/>
        </w:trPr>
        <w:tc>
          <w:tcPr>
            <w:tcW w:w="2264" w:type="dxa"/>
            <w:vMerge w:val="restart"/>
            <w:noWrap/>
            <w:hideMark/>
          </w:tcPr>
          <w:p w:rsidR="00DE3C0A" w:rsidRPr="007C40BE" w:rsidRDefault="00DE3C0A" w:rsidP="00C424E5">
            <w:pPr>
              <w:jc w:val="center"/>
              <w:rPr>
                <w:b/>
                <w:bCs/>
                <w:color w:val="000000"/>
                <w:sz w:val="16"/>
                <w:szCs w:val="16"/>
              </w:rPr>
            </w:pPr>
          </w:p>
          <w:p w:rsidR="00DE3C0A" w:rsidRPr="007C40BE" w:rsidRDefault="00DE3C0A" w:rsidP="00C424E5">
            <w:pPr>
              <w:jc w:val="center"/>
              <w:rPr>
                <w:b/>
                <w:bCs/>
                <w:color w:val="000000"/>
                <w:sz w:val="16"/>
                <w:szCs w:val="16"/>
              </w:rPr>
            </w:pPr>
          </w:p>
          <w:p w:rsidR="003F0BAF" w:rsidRPr="007C40BE" w:rsidRDefault="003F0BAF" w:rsidP="00C424E5">
            <w:pPr>
              <w:jc w:val="center"/>
              <w:rPr>
                <w:b/>
                <w:bCs/>
                <w:color w:val="000000"/>
                <w:sz w:val="20"/>
                <w:szCs w:val="20"/>
              </w:rPr>
            </w:pPr>
            <w:r w:rsidRPr="007C40BE">
              <w:rPr>
                <w:b/>
                <w:bCs/>
                <w:color w:val="000000"/>
                <w:sz w:val="20"/>
                <w:szCs w:val="20"/>
              </w:rPr>
              <w:t>Emërtimi</w:t>
            </w:r>
          </w:p>
        </w:tc>
        <w:tc>
          <w:tcPr>
            <w:tcW w:w="6379" w:type="dxa"/>
            <w:gridSpan w:val="4"/>
            <w:noWrap/>
            <w:hideMark/>
          </w:tcPr>
          <w:p w:rsidR="003F0BAF" w:rsidRPr="007C40BE" w:rsidRDefault="003F0BAF" w:rsidP="00C424E5">
            <w:pPr>
              <w:jc w:val="center"/>
              <w:rPr>
                <w:b/>
                <w:bCs/>
                <w:color w:val="000000"/>
                <w:sz w:val="20"/>
                <w:szCs w:val="20"/>
              </w:rPr>
            </w:pPr>
            <w:r w:rsidRPr="007C40BE">
              <w:rPr>
                <w:b/>
                <w:bCs/>
                <w:color w:val="000000"/>
                <w:sz w:val="20"/>
                <w:szCs w:val="20"/>
              </w:rPr>
              <w:t>Janar - Qershor 2016</w:t>
            </w:r>
          </w:p>
        </w:tc>
      </w:tr>
      <w:tr w:rsidR="003F0BAF" w:rsidRPr="007C40BE" w:rsidTr="00DE3C0A">
        <w:trPr>
          <w:trHeight w:val="466"/>
          <w:jc w:val="center"/>
        </w:trPr>
        <w:tc>
          <w:tcPr>
            <w:tcW w:w="2264" w:type="dxa"/>
            <w:vMerge/>
            <w:hideMark/>
          </w:tcPr>
          <w:p w:rsidR="003F0BAF" w:rsidRPr="007C40BE" w:rsidRDefault="003F0BAF" w:rsidP="00C424E5">
            <w:pPr>
              <w:rPr>
                <w:b/>
                <w:bCs/>
                <w:color w:val="000000"/>
                <w:sz w:val="20"/>
                <w:szCs w:val="20"/>
              </w:rPr>
            </w:pPr>
          </w:p>
        </w:tc>
        <w:tc>
          <w:tcPr>
            <w:tcW w:w="1418" w:type="dxa"/>
            <w:noWrap/>
            <w:hideMark/>
          </w:tcPr>
          <w:p w:rsidR="003F0BAF" w:rsidRPr="007C40BE" w:rsidRDefault="003F0BAF" w:rsidP="00C424E5">
            <w:pPr>
              <w:jc w:val="center"/>
              <w:rPr>
                <w:b/>
                <w:bCs/>
                <w:color w:val="000000"/>
                <w:sz w:val="20"/>
                <w:szCs w:val="20"/>
              </w:rPr>
            </w:pPr>
            <w:r w:rsidRPr="007C40BE">
              <w:rPr>
                <w:b/>
                <w:bCs/>
                <w:color w:val="000000"/>
                <w:sz w:val="20"/>
                <w:szCs w:val="20"/>
              </w:rPr>
              <w:t>Plan</w:t>
            </w:r>
          </w:p>
        </w:tc>
        <w:tc>
          <w:tcPr>
            <w:tcW w:w="1417" w:type="dxa"/>
            <w:noWrap/>
            <w:hideMark/>
          </w:tcPr>
          <w:p w:rsidR="003F0BAF" w:rsidRPr="007C40BE" w:rsidRDefault="003F0BAF" w:rsidP="00C424E5">
            <w:pPr>
              <w:jc w:val="center"/>
              <w:rPr>
                <w:b/>
                <w:bCs/>
                <w:color w:val="000000"/>
                <w:sz w:val="20"/>
                <w:szCs w:val="20"/>
              </w:rPr>
            </w:pPr>
            <w:r w:rsidRPr="007C40BE">
              <w:rPr>
                <w:b/>
                <w:bCs/>
                <w:color w:val="000000"/>
                <w:sz w:val="20"/>
                <w:szCs w:val="20"/>
              </w:rPr>
              <w:t>Fakt</w:t>
            </w:r>
          </w:p>
        </w:tc>
        <w:tc>
          <w:tcPr>
            <w:tcW w:w="1560" w:type="dxa"/>
            <w:hideMark/>
          </w:tcPr>
          <w:p w:rsidR="003F0BAF" w:rsidRPr="007C40BE" w:rsidRDefault="003F0BAF" w:rsidP="00C424E5">
            <w:pPr>
              <w:jc w:val="center"/>
              <w:rPr>
                <w:b/>
                <w:bCs/>
                <w:color w:val="000000"/>
                <w:sz w:val="20"/>
                <w:szCs w:val="20"/>
              </w:rPr>
            </w:pPr>
            <w:r w:rsidRPr="007C40BE">
              <w:rPr>
                <w:b/>
                <w:bCs/>
                <w:color w:val="000000"/>
                <w:sz w:val="20"/>
                <w:szCs w:val="20"/>
              </w:rPr>
              <w:t xml:space="preserve">Diferenca                 Fakt/ Plan </w:t>
            </w:r>
          </w:p>
        </w:tc>
        <w:tc>
          <w:tcPr>
            <w:tcW w:w="1984" w:type="dxa"/>
            <w:hideMark/>
          </w:tcPr>
          <w:p w:rsidR="003F0BAF" w:rsidRPr="007C40BE" w:rsidRDefault="003F0BAF" w:rsidP="00C424E5">
            <w:pPr>
              <w:jc w:val="center"/>
              <w:rPr>
                <w:b/>
                <w:bCs/>
                <w:color w:val="000000"/>
                <w:sz w:val="20"/>
                <w:szCs w:val="20"/>
              </w:rPr>
            </w:pPr>
            <w:r w:rsidRPr="007C40BE">
              <w:rPr>
                <w:b/>
                <w:bCs/>
                <w:color w:val="000000"/>
                <w:sz w:val="20"/>
                <w:szCs w:val="20"/>
              </w:rPr>
              <w:t xml:space="preserve">Fakt/ Plan </w:t>
            </w:r>
            <w:r w:rsidR="00DE3C0A" w:rsidRPr="007C40BE">
              <w:rPr>
                <w:b/>
                <w:bCs/>
                <w:color w:val="000000"/>
                <w:sz w:val="20"/>
                <w:szCs w:val="20"/>
              </w:rPr>
              <w:t xml:space="preserve">           </w:t>
            </w:r>
            <w:r w:rsidRPr="007C40BE">
              <w:rPr>
                <w:b/>
                <w:bCs/>
                <w:color w:val="000000"/>
                <w:sz w:val="20"/>
                <w:szCs w:val="20"/>
              </w:rPr>
              <w:t>(%)</w:t>
            </w:r>
          </w:p>
        </w:tc>
      </w:tr>
      <w:tr w:rsidR="003F0BAF" w:rsidRPr="007C40BE" w:rsidTr="00DE3C0A">
        <w:trPr>
          <w:trHeight w:val="256"/>
          <w:jc w:val="center"/>
        </w:trPr>
        <w:tc>
          <w:tcPr>
            <w:tcW w:w="2264" w:type="dxa"/>
            <w:noWrap/>
            <w:hideMark/>
          </w:tcPr>
          <w:p w:rsidR="003F0BAF" w:rsidRPr="007C40BE" w:rsidRDefault="003F0BAF" w:rsidP="00C424E5">
            <w:pPr>
              <w:rPr>
                <w:color w:val="000000"/>
                <w:sz w:val="20"/>
                <w:szCs w:val="20"/>
              </w:rPr>
            </w:pPr>
            <w:r w:rsidRPr="007C40BE">
              <w:rPr>
                <w:color w:val="000000"/>
                <w:sz w:val="20"/>
                <w:szCs w:val="20"/>
              </w:rPr>
              <w:t>Taksë doganore</w:t>
            </w:r>
          </w:p>
        </w:tc>
        <w:tc>
          <w:tcPr>
            <w:tcW w:w="1418" w:type="dxa"/>
            <w:noWrap/>
            <w:hideMark/>
          </w:tcPr>
          <w:p w:rsidR="003F0BAF" w:rsidRPr="007C40BE" w:rsidRDefault="003F0BAF" w:rsidP="00C424E5">
            <w:pPr>
              <w:jc w:val="right"/>
              <w:rPr>
                <w:color w:val="000000"/>
                <w:sz w:val="20"/>
                <w:szCs w:val="20"/>
              </w:rPr>
            </w:pPr>
            <w:r w:rsidRPr="007C40BE">
              <w:rPr>
                <w:color w:val="000000"/>
                <w:sz w:val="20"/>
                <w:szCs w:val="20"/>
              </w:rPr>
              <w:t>2,781</w:t>
            </w:r>
          </w:p>
        </w:tc>
        <w:tc>
          <w:tcPr>
            <w:tcW w:w="1417" w:type="dxa"/>
            <w:noWrap/>
            <w:hideMark/>
          </w:tcPr>
          <w:p w:rsidR="003F0BAF" w:rsidRPr="007C40BE" w:rsidRDefault="003F0BAF" w:rsidP="00C424E5">
            <w:pPr>
              <w:jc w:val="right"/>
              <w:rPr>
                <w:color w:val="000000"/>
                <w:sz w:val="20"/>
                <w:szCs w:val="20"/>
              </w:rPr>
            </w:pPr>
            <w:r w:rsidRPr="007C40BE">
              <w:rPr>
                <w:color w:val="000000"/>
                <w:sz w:val="20"/>
                <w:szCs w:val="20"/>
              </w:rPr>
              <w:t>2,852</w:t>
            </w:r>
          </w:p>
        </w:tc>
        <w:tc>
          <w:tcPr>
            <w:tcW w:w="1560" w:type="dxa"/>
            <w:noWrap/>
            <w:hideMark/>
          </w:tcPr>
          <w:p w:rsidR="003F0BAF" w:rsidRPr="007C40BE" w:rsidRDefault="003F0BAF" w:rsidP="00C424E5">
            <w:pPr>
              <w:jc w:val="right"/>
              <w:rPr>
                <w:color w:val="000000"/>
                <w:sz w:val="20"/>
                <w:szCs w:val="20"/>
              </w:rPr>
            </w:pPr>
            <w:r w:rsidRPr="007C40BE">
              <w:rPr>
                <w:color w:val="000000"/>
                <w:sz w:val="20"/>
                <w:szCs w:val="20"/>
              </w:rPr>
              <w:t>71</w:t>
            </w:r>
          </w:p>
        </w:tc>
        <w:tc>
          <w:tcPr>
            <w:tcW w:w="1984" w:type="dxa"/>
            <w:noWrap/>
            <w:hideMark/>
          </w:tcPr>
          <w:p w:rsidR="003F0BAF" w:rsidRPr="007C40BE" w:rsidRDefault="003F0BAF" w:rsidP="00C424E5">
            <w:pPr>
              <w:jc w:val="right"/>
              <w:rPr>
                <w:color w:val="000000"/>
                <w:sz w:val="20"/>
                <w:szCs w:val="20"/>
              </w:rPr>
            </w:pPr>
            <w:r w:rsidRPr="007C40BE">
              <w:rPr>
                <w:color w:val="000000"/>
                <w:sz w:val="20"/>
                <w:szCs w:val="20"/>
              </w:rPr>
              <w:t>2.5%</w:t>
            </w:r>
          </w:p>
        </w:tc>
      </w:tr>
      <w:tr w:rsidR="003F0BAF" w:rsidRPr="007C40BE" w:rsidTr="00DE3C0A">
        <w:trPr>
          <w:trHeight w:val="256"/>
          <w:jc w:val="center"/>
        </w:trPr>
        <w:tc>
          <w:tcPr>
            <w:tcW w:w="2264" w:type="dxa"/>
            <w:noWrap/>
            <w:hideMark/>
          </w:tcPr>
          <w:p w:rsidR="003F0BAF" w:rsidRPr="007C40BE" w:rsidRDefault="003F0BAF" w:rsidP="00C424E5">
            <w:pPr>
              <w:rPr>
                <w:color w:val="000000"/>
                <w:sz w:val="20"/>
                <w:szCs w:val="20"/>
              </w:rPr>
            </w:pPr>
            <w:r w:rsidRPr="007C40BE">
              <w:rPr>
                <w:color w:val="000000"/>
                <w:sz w:val="20"/>
                <w:szCs w:val="20"/>
              </w:rPr>
              <w:t>TVSH</w:t>
            </w:r>
          </w:p>
        </w:tc>
        <w:tc>
          <w:tcPr>
            <w:tcW w:w="1418" w:type="dxa"/>
            <w:noWrap/>
            <w:hideMark/>
          </w:tcPr>
          <w:p w:rsidR="003F0BAF" w:rsidRPr="007C40BE" w:rsidRDefault="003F0BAF" w:rsidP="00C424E5">
            <w:pPr>
              <w:jc w:val="right"/>
              <w:rPr>
                <w:color w:val="000000"/>
                <w:sz w:val="20"/>
                <w:szCs w:val="20"/>
              </w:rPr>
            </w:pPr>
            <w:r w:rsidRPr="007C40BE">
              <w:rPr>
                <w:color w:val="000000"/>
                <w:sz w:val="20"/>
                <w:szCs w:val="20"/>
              </w:rPr>
              <w:t>46,135</w:t>
            </w:r>
          </w:p>
        </w:tc>
        <w:tc>
          <w:tcPr>
            <w:tcW w:w="1417" w:type="dxa"/>
            <w:noWrap/>
            <w:hideMark/>
          </w:tcPr>
          <w:p w:rsidR="003F0BAF" w:rsidRPr="007C40BE" w:rsidRDefault="003F0BAF" w:rsidP="00C424E5">
            <w:pPr>
              <w:jc w:val="right"/>
              <w:rPr>
                <w:color w:val="000000"/>
                <w:sz w:val="20"/>
                <w:szCs w:val="20"/>
              </w:rPr>
            </w:pPr>
            <w:r w:rsidRPr="007C40BE">
              <w:rPr>
                <w:color w:val="000000"/>
                <w:sz w:val="20"/>
                <w:szCs w:val="20"/>
              </w:rPr>
              <w:t>45,788</w:t>
            </w:r>
          </w:p>
        </w:tc>
        <w:tc>
          <w:tcPr>
            <w:tcW w:w="1560" w:type="dxa"/>
            <w:noWrap/>
            <w:hideMark/>
          </w:tcPr>
          <w:p w:rsidR="003F0BAF" w:rsidRPr="007C40BE" w:rsidRDefault="003F0BAF" w:rsidP="00C424E5">
            <w:pPr>
              <w:jc w:val="right"/>
              <w:rPr>
                <w:color w:val="000000"/>
                <w:sz w:val="20"/>
                <w:szCs w:val="20"/>
              </w:rPr>
            </w:pPr>
            <w:r w:rsidRPr="007C40BE">
              <w:rPr>
                <w:color w:val="000000"/>
                <w:sz w:val="20"/>
                <w:szCs w:val="20"/>
              </w:rPr>
              <w:t>-347</w:t>
            </w:r>
          </w:p>
        </w:tc>
        <w:tc>
          <w:tcPr>
            <w:tcW w:w="1984" w:type="dxa"/>
            <w:noWrap/>
            <w:hideMark/>
          </w:tcPr>
          <w:p w:rsidR="003F0BAF" w:rsidRPr="007C40BE" w:rsidRDefault="003F0BAF" w:rsidP="00C424E5">
            <w:pPr>
              <w:jc w:val="right"/>
              <w:rPr>
                <w:color w:val="000000"/>
                <w:sz w:val="20"/>
                <w:szCs w:val="20"/>
              </w:rPr>
            </w:pPr>
            <w:r w:rsidRPr="007C40BE">
              <w:rPr>
                <w:color w:val="000000"/>
                <w:sz w:val="20"/>
                <w:szCs w:val="20"/>
              </w:rPr>
              <w:t>-0.8%</w:t>
            </w:r>
          </w:p>
        </w:tc>
      </w:tr>
      <w:tr w:rsidR="003F0BAF" w:rsidRPr="007C40BE" w:rsidTr="00DE3C0A">
        <w:trPr>
          <w:trHeight w:val="256"/>
          <w:jc w:val="center"/>
        </w:trPr>
        <w:tc>
          <w:tcPr>
            <w:tcW w:w="2264" w:type="dxa"/>
            <w:noWrap/>
            <w:hideMark/>
          </w:tcPr>
          <w:p w:rsidR="003F0BAF" w:rsidRPr="007C40BE" w:rsidRDefault="003F0BAF" w:rsidP="00C424E5">
            <w:pPr>
              <w:rPr>
                <w:color w:val="000000"/>
                <w:sz w:val="20"/>
                <w:szCs w:val="20"/>
              </w:rPr>
            </w:pPr>
            <w:r w:rsidRPr="007C40BE">
              <w:rPr>
                <w:color w:val="000000"/>
                <w:sz w:val="20"/>
                <w:szCs w:val="20"/>
              </w:rPr>
              <w:t>Akcizë</w:t>
            </w:r>
          </w:p>
        </w:tc>
        <w:tc>
          <w:tcPr>
            <w:tcW w:w="1418" w:type="dxa"/>
            <w:noWrap/>
            <w:hideMark/>
          </w:tcPr>
          <w:p w:rsidR="003F0BAF" w:rsidRPr="007C40BE" w:rsidRDefault="003F0BAF" w:rsidP="00C424E5">
            <w:pPr>
              <w:jc w:val="right"/>
              <w:rPr>
                <w:color w:val="000000"/>
                <w:sz w:val="20"/>
                <w:szCs w:val="20"/>
              </w:rPr>
            </w:pPr>
            <w:r w:rsidRPr="007C40BE">
              <w:rPr>
                <w:color w:val="000000"/>
                <w:sz w:val="20"/>
                <w:szCs w:val="20"/>
              </w:rPr>
              <w:t>18,456</w:t>
            </w:r>
          </w:p>
        </w:tc>
        <w:tc>
          <w:tcPr>
            <w:tcW w:w="1417" w:type="dxa"/>
            <w:noWrap/>
            <w:hideMark/>
          </w:tcPr>
          <w:p w:rsidR="003F0BAF" w:rsidRPr="007C40BE" w:rsidRDefault="003F0BAF" w:rsidP="00C424E5">
            <w:pPr>
              <w:jc w:val="right"/>
              <w:rPr>
                <w:sz w:val="20"/>
                <w:szCs w:val="20"/>
              </w:rPr>
            </w:pPr>
            <w:r w:rsidRPr="007C40BE">
              <w:rPr>
                <w:sz w:val="20"/>
                <w:szCs w:val="20"/>
              </w:rPr>
              <w:t>19,201</w:t>
            </w:r>
          </w:p>
        </w:tc>
        <w:tc>
          <w:tcPr>
            <w:tcW w:w="1560" w:type="dxa"/>
            <w:noWrap/>
            <w:hideMark/>
          </w:tcPr>
          <w:p w:rsidR="003F0BAF" w:rsidRPr="007C40BE" w:rsidRDefault="003F0BAF" w:rsidP="00C424E5">
            <w:pPr>
              <w:jc w:val="right"/>
              <w:rPr>
                <w:color w:val="000000"/>
                <w:sz w:val="20"/>
                <w:szCs w:val="20"/>
              </w:rPr>
            </w:pPr>
            <w:r w:rsidRPr="007C40BE">
              <w:rPr>
                <w:color w:val="000000"/>
                <w:sz w:val="20"/>
                <w:szCs w:val="20"/>
              </w:rPr>
              <w:t>745</w:t>
            </w:r>
          </w:p>
        </w:tc>
        <w:tc>
          <w:tcPr>
            <w:tcW w:w="1984" w:type="dxa"/>
            <w:noWrap/>
            <w:hideMark/>
          </w:tcPr>
          <w:p w:rsidR="003F0BAF" w:rsidRPr="007C40BE" w:rsidRDefault="003F0BAF" w:rsidP="00C424E5">
            <w:pPr>
              <w:jc w:val="right"/>
              <w:rPr>
                <w:color w:val="000000"/>
                <w:sz w:val="20"/>
                <w:szCs w:val="20"/>
              </w:rPr>
            </w:pPr>
            <w:r w:rsidRPr="007C40BE">
              <w:rPr>
                <w:color w:val="000000"/>
                <w:sz w:val="20"/>
                <w:szCs w:val="20"/>
              </w:rPr>
              <w:t>4.0%</w:t>
            </w:r>
          </w:p>
        </w:tc>
      </w:tr>
      <w:tr w:rsidR="003F0BAF" w:rsidRPr="007C40BE" w:rsidTr="00DE3C0A">
        <w:trPr>
          <w:trHeight w:val="256"/>
          <w:jc w:val="center"/>
        </w:trPr>
        <w:tc>
          <w:tcPr>
            <w:tcW w:w="2264" w:type="dxa"/>
            <w:noWrap/>
            <w:hideMark/>
          </w:tcPr>
          <w:p w:rsidR="003F0BAF" w:rsidRPr="007C40BE" w:rsidRDefault="003F0BAF" w:rsidP="00DE3C0A">
            <w:pPr>
              <w:jc w:val="right"/>
              <w:rPr>
                <w:i/>
                <w:iCs/>
                <w:color w:val="000000"/>
                <w:sz w:val="20"/>
                <w:szCs w:val="20"/>
              </w:rPr>
            </w:pPr>
            <w:r w:rsidRPr="007C40BE">
              <w:rPr>
                <w:i/>
                <w:iCs/>
                <w:color w:val="000000"/>
                <w:sz w:val="20"/>
                <w:szCs w:val="20"/>
              </w:rPr>
              <w:t>a. Akcizë e arkëtuar</w:t>
            </w:r>
          </w:p>
        </w:tc>
        <w:tc>
          <w:tcPr>
            <w:tcW w:w="1418" w:type="dxa"/>
            <w:noWrap/>
            <w:hideMark/>
          </w:tcPr>
          <w:p w:rsidR="003F0BAF" w:rsidRPr="007C40BE" w:rsidRDefault="003F0BAF" w:rsidP="00C424E5">
            <w:pPr>
              <w:rPr>
                <w:i/>
                <w:iCs/>
                <w:color w:val="000000"/>
                <w:sz w:val="20"/>
                <w:szCs w:val="20"/>
              </w:rPr>
            </w:pPr>
            <w:r w:rsidRPr="007C40BE">
              <w:rPr>
                <w:i/>
                <w:iCs/>
                <w:color w:val="000000"/>
                <w:sz w:val="20"/>
                <w:szCs w:val="20"/>
              </w:rPr>
              <w:t> </w:t>
            </w:r>
          </w:p>
        </w:tc>
        <w:tc>
          <w:tcPr>
            <w:tcW w:w="1417" w:type="dxa"/>
            <w:noWrap/>
            <w:hideMark/>
          </w:tcPr>
          <w:p w:rsidR="003F0BAF" w:rsidRPr="007C40BE" w:rsidRDefault="003F0BAF" w:rsidP="00C424E5">
            <w:pPr>
              <w:jc w:val="right"/>
              <w:rPr>
                <w:i/>
                <w:iCs/>
                <w:sz w:val="20"/>
                <w:szCs w:val="20"/>
              </w:rPr>
            </w:pPr>
            <w:r w:rsidRPr="007C40BE">
              <w:rPr>
                <w:i/>
                <w:iCs/>
                <w:sz w:val="20"/>
                <w:szCs w:val="20"/>
              </w:rPr>
              <w:t>19,742</w:t>
            </w:r>
          </w:p>
        </w:tc>
        <w:tc>
          <w:tcPr>
            <w:tcW w:w="1560" w:type="dxa"/>
            <w:noWrap/>
            <w:hideMark/>
          </w:tcPr>
          <w:p w:rsidR="003F0BAF" w:rsidRPr="007C40BE" w:rsidRDefault="003F0BAF" w:rsidP="00C424E5">
            <w:pPr>
              <w:rPr>
                <w:color w:val="000000"/>
                <w:sz w:val="20"/>
                <w:szCs w:val="20"/>
              </w:rPr>
            </w:pPr>
            <w:r w:rsidRPr="007C40BE">
              <w:rPr>
                <w:color w:val="000000"/>
                <w:sz w:val="20"/>
                <w:szCs w:val="20"/>
              </w:rPr>
              <w:t> </w:t>
            </w:r>
          </w:p>
        </w:tc>
        <w:tc>
          <w:tcPr>
            <w:tcW w:w="1984" w:type="dxa"/>
            <w:noWrap/>
            <w:hideMark/>
          </w:tcPr>
          <w:p w:rsidR="003F0BAF" w:rsidRPr="007C40BE" w:rsidRDefault="003F0BAF" w:rsidP="00C424E5">
            <w:pPr>
              <w:rPr>
                <w:color w:val="000000"/>
                <w:sz w:val="20"/>
                <w:szCs w:val="20"/>
              </w:rPr>
            </w:pPr>
            <w:r w:rsidRPr="007C40BE">
              <w:rPr>
                <w:color w:val="000000"/>
                <w:sz w:val="20"/>
                <w:szCs w:val="20"/>
              </w:rPr>
              <w:t> </w:t>
            </w:r>
          </w:p>
        </w:tc>
      </w:tr>
      <w:tr w:rsidR="003F0BAF" w:rsidRPr="007C40BE" w:rsidTr="00DE3C0A">
        <w:trPr>
          <w:trHeight w:val="256"/>
          <w:jc w:val="center"/>
        </w:trPr>
        <w:tc>
          <w:tcPr>
            <w:tcW w:w="2264" w:type="dxa"/>
            <w:noWrap/>
            <w:hideMark/>
          </w:tcPr>
          <w:p w:rsidR="003F0BAF" w:rsidRPr="007C40BE" w:rsidRDefault="003F0BAF" w:rsidP="00DE3C0A">
            <w:pPr>
              <w:jc w:val="right"/>
              <w:rPr>
                <w:i/>
                <w:iCs/>
                <w:color w:val="000000"/>
                <w:sz w:val="20"/>
                <w:szCs w:val="20"/>
              </w:rPr>
            </w:pPr>
            <w:r w:rsidRPr="007C40BE">
              <w:rPr>
                <w:i/>
                <w:iCs/>
                <w:color w:val="000000"/>
                <w:sz w:val="20"/>
                <w:szCs w:val="20"/>
              </w:rPr>
              <w:t>b. Akcizë e rimbursuar</w:t>
            </w:r>
          </w:p>
        </w:tc>
        <w:tc>
          <w:tcPr>
            <w:tcW w:w="1418" w:type="dxa"/>
            <w:noWrap/>
            <w:hideMark/>
          </w:tcPr>
          <w:p w:rsidR="003F0BAF" w:rsidRPr="007C40BE" w:rsidRDefault="003F0BAF" w:rsidP="00C424E5">
            <w:pPr>
              <w:rPr>
                <w:i/>
                <w:iCs/>
                <w:color w:val="000000"/>
                <w:sz w:val="20"/>
                <w:szCs w:val="20"/>
              </w:rPr>
            </w:pPr>
            <w:r w:rsidRPr="007C40BE">
              <w:rPr>
                <w:i/>
                <w:iCs/>
                <w:color w:val="000000"/>
                <w:sz w:val="20"/>
                <w:szCs w:val="20"/>
              </w:rPr>
              <w:t> </w:t>
            </w:r>
          </w:p>
        </w:tc>
        <w:tc>
          <w:tcPr>
            <w:tcW w:w="1417" w:type="dxa"/>
            <w:noWrap/>
            <w:hideMark/>
          </w:tcPr>
          <w:p w:rsidR="003F0BAF" w:rsidRPr="007C40BE" w:rsidRDefault="003F0BAF" w:rsidP="00C424E5">
            <w:pPr>
              <w:jc w:val="right"/>
              <w:rPr>
                <w:i/>
                <w:iCs/>
                <w:sz w:val="20"/>
                <w:szCs w:val="20"/>
              </w:rPr>
            </w:pPr>
            <w:r w:rsidRPr="007C40BE">
              <w:rPr>
                <w:i/>
                <w:iCs/>
                <w:sz w:val="20"/>
                <w:szCs w:val="20"/>
              </w:rPr>
              <w:t>541</w:t>
            </w:r>
          </w:p>
        </w:tc>
        <w:tc>
          <w:tcPr>
            <w:tcW w:w="1560" w:type="dxa"/>
            <w:noWrap/>
            <w:hideMark/>
          </w:tcPr>
          <w:p w:rsidR="003F0BAF" w:rsidRPr="007C40BE" w:rsidRDefault="003F0BAF" w:rsidP="00C424E5">
            <w:pPr>
              <w:rPr>
                <w:color w:val="000000"/>
                <w:sz w:val="20"/>
                <w:szCs w:val="20"/>
              </w:rPr>
            </w:pPr>
            <w:r w:rsidRPr="007C40BE">
              <w:rPr>
                <w:color w:val="000000"/>
                <w:sz w:val="20"/>
                <w:szCs w:val="20"/>
              </w:rPr>
              <w:t> </w:t>
            </w:r>
          </w:p>
        </w:tc>
        <w:tc>
          <w:tcPr>
            <w:tcW w:w="1984" w:type="dxa"/>
            <w:noWrap/>
            <w:hideMark/>
          </w:tcPr>
          <w:p w:rsidR="003F0BAF" w:rsidRPr="007C40BE" w:rsidRDefault="003F0BAF" w:rsidP="00C424E5">
            <w:pPr>
              <w:rPr>
                <w:color w:val="000000"/>
                <w:sz w:val="20"/>
                <w:szCs w:val="20"/>
              </w:rPr>
            </w:pPr>
            <w:r w:rsidRPr="007C40BE">
              <w:rPr>
                <w:color w:val="000000"/>
                <w:sz w:val="20"/>
                <w:szCs w:val="20"/>
              </w:rPr>
              <w:t> </w:t>
            </w:r>
          </w:p>
        </w:tc>
      </w:tr>
      <w:tr w:rsidR="003F0BAF" w:rsidRPr="007C40BE" w:rsidTr="00DE3C0A">
        <w:trPr>
          <w:trHeight w:val="256"/>
          <w:jc w:val="center"/>
        </w:trPr>
        <w:tc>
          <w:tcPr>
            <w:tcW w:w="2264" w:type="dxa"/>
            <w:noWrap/>
            <w:hideMark/>
          </w:tcPr>
          <w:p w:rsidR="003F0BAF" w:rsidRPr="007C40BE" w:rsidRDefault="003F0BAF" w:rsidP="00C424E5">
            <w:pPr>
              <w:rPr>
                <w:color w:val="000000"/>
                <w:sz w:val="20"/>
                <w:szCs w:val="20"/>
              </w:rPr>
            </w:pPr>
            <w:r w:rsidRPr="007C40BE">
              <w:rPr>
                <w:color w:val="000000"/>
                <w:sz w:val="20"/>
                <w:szCs w:val="20"/>
              </w:rPr>
              <w:t>Renta minerare</w:t>
            </w:r>
          </w:p>
        </w:tc>
        <w:tc>
          <w:tcPr>
            <w:tcW w:w="1418" w:type="dxa"/>
            <w:noWrap/>
            <w:hideMark/>
          </w:tcPr>
          <w:p w:rsidR="003F0BAF" w:rsidRPr="007C40BE" w:rsidRDefault="003F0BAF" w:rsidP="00C424E5">
            <w:pPr>
              <w:jc w:val="right"/>
              <w:rPr>
                <w:color w:val="000000"/>
                <w:sz w:val="20"/>
                <w:szCs w:val="20"/>
              </w:rPr>
            </w:pPr>
            <w:r w:rsidRPr="007C40BE">
              <w:rPr>
                <w:color w:val="000000"/>
                <w:sz w:val="20"/>
                <w:szCs w:val="20"/>
              </w:rPr>
              <w:t>1,998</w:t>
            </w:r>
          </w:p>
        </w:tc>
        <w:tc>
          <w:tcPr>
            <w:tcW w:w="1417" w:type="dxa"/>
            <w:noWrap/>
            <w:hideMark/>
          </w:tcPr>
          <w:p w:rsidR="003F0BAF" w:rsidRPr="007C40BE" w:rsidRDefault="003F0BAF" w:rsidP="00C424E5">
            <w:pPr>
              <w:jc w:val="right"/>
              <w:rPr>
                <w:color w:val="000000"/>
                <w:sz w:val="20"/>
                <w:szCs w:val="20"/>
              </w:rPr>
            </w:pPr>
            <w:r w:rsidRPr="007C40BE">
              <w:rPr>
                <w:color w:val="000000"/>
                <w:sz w:val="20"/>
                <w:szCs w:val="20"/>
              </w:rPr>
              <w:t>1,209</w:t>
            </w:r>
          </w:p>
        </w:tc>
        <w:tc>
          <w:tcPr>
            <w:tcW w:w="1560" w:type="dxa"/>
            <w:noWrap/>
            <w:hideMark/>
          </w:tcPr>
          <w:p w:rsidR="003F0BAF" w:rsidRPr="007C40BE" w:rsidRDefault="003F0BAF" w:rsidP="00C424E5">
            <w:pPr>
              <w:jc w:val="right"/>
              <w:rPr>
                <w:color w:val="000000"/>
                <w:sz w:val="20"/>
                <w:szCs w:val="20"/>
              </w:rPr>
            </w:pPr>
            <w:r w:rsidRPr="007C40BE">
              <w:rPr>
                <w:color w:val="000000"/>
                <w:sz w:val="20"/>
                <w:szCs w:val="20"/>
              </w:rPr>
              <w:t>-789</w:t>
            </w:r>
          </w:p>
        </w:tc>
        <w:tc>
          <w:tcPr>
            <w:tcW w:w="1984" w:type="dxa"/>
            <w:noWrap/>
            <w:hideMark/>
          </w:tcPr>
          <w:p w:rsidR="003F0BAF" w:rsidRPr="007C40BE" w:rsidRDefault="003F0BAF" w:rsidP="00C424E5">
            <w:pPr>
              <w:jc w:val="right"/>
              <w:rPr>
                <w:color w:val="000000"/>
                <w:sz w:val="20"/>
                <w:szCs w:val="20"/>
              </w:rPr>
            </w:pPr>
            <w:r w:rsidRPr="007C40BE">
              <w:rPr>
                <w:color w:val="000000"/>
                <w:sz w:val="20"/>
                <w:szCs w:val="20"/>
              </w:rPr>
              <w:t>-39.5%</w:t>
            </w:r>
          </w:p>
        </w:tc>
      </w:tr>
      <w:tr w:rsidR="003F0BAF" w:rsidRPr="007C40BE" w:rsidTr="00DE3C0A">
        <w:trPr>
          <w:trHeight w:val="256"/>
          <w:jc w:val="center"/>
        </w:trPr>
        <w:tc>
          <w:tcPr>
            <w:tcW w:w="2264" w:type="dxa"/>
            <w:noWrap/>
            <w:hideMark/>
          </w:tcPr>
          <w:p w:rsidR="003F0BAF" w:rsidRPr="007C40BE" w:rsidRDefault="003F0BAF" w:rsidP="00C424E5">
            <w:pPr>
              <w:rPr>
                <w:b/>
                <w:bCs/>
                <w:color w:val="000000"/>
                <w:sz w:val="20"/>
                <w:szCs w:val="20"/>
              </w:rPr>
            </w:pPr>
            <w:r w:rsidRPr="007C40BE">
              <w:rPr>
                <w:b/>
                <w:bCs/>
                <w:color w:val="000000"/>
                <w:sz w:val="20"/>
                <w:szCs w:val="20"/>
              </w:rPr>
              <w:t>Totali i doganave</w:t>
            </w:r>
          </w:p>
        </w:tc>
        <w:tc>
          <w:tcPr>
            <w:tcW w:w="1418" w:type="dxa"/>
            <w:noWrap/>
            <w:hideMark/>
          </w:tcPr>
          <w:p w:rsidR="003F0BAF" w:rsidRPr="007C40BE" w:rsidRDefault="003F0BAF" w:rsidP="00C424E5">
            <w:pPr>
              <w:jc w:val="right"/>
              <w:rPr>
                <w:b/>
                <w:bCs/>
                <w:color w:val="000000"/>
                <w:sz w:val="20"/>
                <w:szCs w:val="20"/>
              </w:rPr>
            </w:pPr>
            <w:r w:rsidRPr="007C40BE">
              <w:rPr>
                <w:b/>
                <w:bCs/>
                <w:color w:val="000000"/>
                <w:sz w:val="20"/>
                <w:szCs w:val="20"/>
              </w:rPr>
              <w:t>69,370</w:t>
            </w:r>
          </w:p>
        </w:tc>
        <w:tc>
          <w:tcPr>
            <w:tcW w:w="1417" w:type="dxa"/>
            <w:noWrap/>
            <w:hideMark/>
          </w:tcPr>
          <w:p w:rsidR="003F0BAF" w:rsidRPr="007C40BE" w:rsidRDefault="003F0BAF" w:rsidP="00C424E5">
            <w:pPr>
              <w:jc w:val="right"/>
              <w:rPr>
                <w:b/>
                <w:bCs/>
                <w:color w:val="000000"/>
                <w:sz w:val="20"/>
                <w:szCs w:val="20"/>
              </w:rPr>
            </w:pPr>
            <w:r w:rsidRPr="007C40BE">
              <w:rPr>
                <w:b/>
                <w:bCs/>
                <w:color w:val="000000"/>
                <w:sz w:val="20"/>
                <w:szCs w:val="20"/>
              </w:rPr>
              <w:t>69,050</w:t>
            </w:r>
          </w:p>
        </w:tc>
        <w:tc>
          <w:tcPr>
            <w:tcW w:w="1560" w:type="dxa"/>
            <w:noWrap/>
            <w:hideMark/>
          </w:tcPr>
          <w:p w:rsidR="003F0BAF" w:rsidRPr="007C40BE" w:rsidRDefault="003F0BAF" w:rsidP="00C424E5">
            <w:pPr>
              <w:jc w:val="right"/>
              <w:rPr>
                <w:b/>
                <w:bCs/>
                <w:color w:val="000000"/>
                <w:sz w:val="20"/>
                <w:szCs w:val="20"/>
              </w:rPr>
            </w:pPr>
            <w:r w:rsidRPr="007C40BE">
              <w:rPr>
                <w:b/>
                <w:bCs/>
                <w:color w:val="000000"/>
                <w:sz w:val="20"/>
                <w:szCs w:val="20"/>
              </w:rPr>
              <w:t>-320</w:t>
            </w:r>
          </w:p>
        </w:tc>
        <w:tc>
          <w:tcPr>
            <w:tcW w:w="1984" w:type="dxa"/>
            <w:noWrap/>
            <w:hideMark/>
          </w:tcPr>
          <w:p w:rsidR="003F0BAF" w:rsidRPr="007C40BE" w:rsidRDefault="003F0BAF" w:rsidP="00C424E5">
            <w:pPr>
              <w:jc w:val="right"/>
              <w:rPr>
                <w:b/>
                <w:bCs/>
                <w:color w:val="000000"/>
                <w:sz w:val="20"/>
                <w:szCs w:val="20"/>
              </w:rPr>
            </w:pPr>
            <w:r w:rsidRPr="007C40BE">
              <w:rPr>
                <w:b/>
                <w:bCs/>
                <w:color w:val="000000"/>
                <w:sz w:val="20"/>
                <w:szCs w:val="20"/>
              </w:rPr>
              <w:t>-0.46%</w:t>
            </w:r>
          </w:p>
        </w:tc>
      </w:tr>
    </w:tbl>
    <w:p w:rsidR="003F0BAF" w:rsidRPr="007C40BE" w:rsidRDefault="003F0BAF" w:rsidP="003F0BAF">
      <w:pPr>
        <w:tabs>
          <w:tab w:val="left" w:pos="2511"/>
          <w:tab w:val="center" w:pos="4680"/>
        </w:tabs>
        <w:spacing w:line="360" w:lineRule="auto"/>
        <w:rPr>
          <w:sz w:val="2"/>
          <w:lang w:val="sq-AL"/>
        </w:rPr>
      </w:pPr>
    </w:p>
    <w:p w:rsidR="003F0BAF" w:rsidRPr="007C40BE" w:rsidRDefault="003F0BAF" w:rsidP="003F0BAF"/>
    <w:p w:rsidR="00F14793" w:rsidRPr="007C40BE" w:rsidRDefault="003F0BAF" w:rsidP="003F0BAF">
      <w:pPr>
        <w:pStyle w:val="ListParagraph"/>
        <w:numPr>
          <w:ilvl w:val="0"/>
          <w:numId w:val="7"/>
        </w:numPr>
        <w:spacing w:before="0" w:after="200" w:line="360" w:lineRule="auto"/>
        <w:jc w:val="both"/>
        <w:rPr>
          <w:rFonts w:ascii="Times New Roman" w:hAnsi="Times New Roman"/>
          <w:sz w:val="24"/>
          <w:szCs w:val="24"/>
        </w:rPr>
      </w:pPr>
      <w:r w:rsidRPr="007C40BE">
        <w:rPr>
          <w:rFonts w:ascii="Times New Roman" w:hAnsi="Times New Roman"/>
          <w:b/>
          <w:sz w:val="24"/>
          <w:szCs w:val="24"/>
        </w:rPr>
        <w:t>Të ardhurat nga TVSH-ja</w:t>
      </w:r>
      <w:r w:rsidRPr="007C40BE">
        <w:rPr>
          <w:rFonts w:ascii="Times New Roman" w:hAnsi="Times New Roman"/>
          <w:sz w:val="24"/>
          <w:szCs w:val="24"/>
        </w:rPr>
        <w:t xml:space="preserve"> në import janë realizuar në  vlerën 45.7  miliard lekë, </w:t>
      </w:r>
      <w:r w:rsidRPr="007C40BE">
        <w:rPr>
          <w:rFonts w:ascii="Times New Roman" w:hAnsi="Times New Roman"/>
          <w:color w:val="FF0000"/>
          <w:sz w:val="24"/>
          <w:szCs w:val="24"/>
        </w:rPr>
        <w:t xml:space="preserve"> </w:t>
      </w:r>
      <w:r w:rsidRPr="007C40BE">
        <w:rPr>
          <w:rFonts w:ascii="Times New Roman" w:hAnsi="Times New Roman"/>
          <w:sz w:val="24"/>
          <w:szCs w:val="24"/>
        </w:rPr>
        <w:t xml:space="preserve">+5.1% më shumë se 6 mujori  i vitit 2015 dhe me një realizim të planit të periudhës në masën 99.2 % ose në vlerën – 347 miliard lekë. </w:t>
      </w:r>
    </w:p>
    <w:p w:rsidR="003F0BAF" w:rsidRPr="007C40BE" w:rsidRDefault="003F0BAF" w:rsidP="00F14793">
      <w:pPr>
        <w:pStyle w:val="ListParagraph"/>
        <w:numPr>
          <w:ilvl w:val="1"/>
          <w:numId w:val="7"/>
        </w:numPr>
        <w:spacing w:before="0" w:after="200" w:line="360" w:lineRule="auto"/>
        <w:jc w:val="both"/>
        <w:rPr>
          <w:rFonts w:ascii="Times New Roman" w:hAnsi="Times New Roman"/>
          <w:i/>
          <w:sz w:val="24"/>
          <w:szCs w:val="24"/>
        </w:rPr>
      </w:pPr>
      <w:r w:rsidRPr="007C40BE">
        <w:rPr>
          <w:rFonts w:ascii="Times New Roman" w:hAnsi="Times New Roman"/>
          <w:i/>
          <w:sz w:val="24"/>
          <w:szCs w:val="24"/>
        </w:rPr>
        <w:t>Në mosrealizimin e planit të periudhës për të  ardhurat nga TVSH-ja në import kanë ndikuar rënia e çmimit në bursat ndërkombëtare të karburanteve që megjithë rritjen e kursit të kembimit të dollarit që kuotohen këto produkte, ka rezultuar në rënie të të ardhurës së TVSH për litër  nga 27.1  lekë në 6 mujorin e parë të vitit 2015 ne 22.1 lekë në 6 mujorin e pare të vitit 2016.</w:t>
      </w:r>
    </w:p>
    <w:p w:rsidR="00C424E5" w:rsidRPr="007C40BE" w:rsidRDefault="00C424E5" w:rsidP="00C424E5">
      <w:pPr>
        <w:pStyle w:val="ListParagraph"/>
        <w:spacing w:before="0" w:after="200" w:line="360" w:lineRule="auto"/>
        <w:jc w:val="both"/>
        <w:rPr>
          <w:rFonts w:ascii="Times New Roman" w:hAnsi="Times New Roman"/>
          <w:sz w:val="16"/>
          <w:szCs w:val="16"/>
        </w:rPr>
      </w:pPr>
    </w:p>
    <w:p w:rsidR="003F0BAF" w:rsidRPr="007C40BE" w:rsidRDefault="003F0BAF" w:rsidP="003F0BAF">
      <w:pPr>
        <w:pStyle w:val="ListParagraph"/>
        <w:numPr>
          <w:ilvl w:val="0"/>
          <w:numId w:val="7"/>
        </w:numPr>
        <w:spacing w:before="0" w:after="200" w:line="360" w:lineRule="auto"/>
        <w:jc w:val="both"/>
      </w:pPr>
      <w:r w:rsidRPr="007C40BE">
        <w:rPr>
          <w:rFonts w:ascii="Times New Roman" w:hAnsi="Times New Roman"/>
          <w:b/>
          <w:sz w:val="24"/>
          <w:szCs w:val="24"/>
        </w:rPr>
        <w:t>Të ardhurat nga taksa doganore</w:t>
      </w:r>
      <w:r w:rsidRPr="007C40BE">
        <w:rPr>
          <w:rFonts w:ascii="Times New Roman" w:hAnsi="Times New Roman"/>
          <w:sz w:val="24"/>
          <w:szCs w:val="24"/>
        </w:rPr>
        <w:t xml:space="preserve"> janë realizuar në vlerën 2.85 miliard lekë, 7.9% më shumë se 6 mujori i vitit 2015 dhe me një performancë +2.5% më shumë se plani. </w:t>
      </w:r>
    </w:p>
    <w:p w:rsidR="00C424E5" w:rsidRPr="007C40BE" w:rsidRDefault="00C424E5" w:rsidP="00C424E5">
      <w:pPr>
        <w:pStyle w:val="ListParagraph"/>
        <w:spacing w:before="0" w:after="200" w:line="360" w:lineRule="auto"/>
        <w:jc w:val="both"/>
        <w:rPr>
          <w:rFonts w:ascii="Times New Roman" w:hAnsi="Times New Roman"/>
          <w:sz w:val="16"/>
          <w:szCs w:val="16"/>
        </w:rPr>
      </w:pPr>
    </w:p>
    <w:p w:rsidR="00F14793" w:rsidRPr="007C40BE" w:rsidRDefault="003F0BAF" w:rsidP="003F0BAF">
      <w:pPr>
        <w:pStyle w:val="ListParagraph"/>
        <w:numPr>
          <w:ilvl w:val="0"/>
          <w:numId w:val="7"/>
        </w:numPr>
        <w:spacing w:before="0" w:after="200" w:line="360" w:lineRule="auto"/>
        <w:jc w:val="both"/>
        <w:rPr>
          <w:rFonts w:ascii="Times New Roman" w:hAnsi="Times New Roman"/>
          <w:sz w:val="24"/>
          <w:szCs w:val="24"/>
        </w:rPr>
      </w:pPr>
      <w:r w:rsidRPr="007C40BE">
        <w:rPr>
          <w:rFonts w:ascii="Times New Roman" w:hAnsi="Times New Roman"/>
          <w:b/>
          <w:sz w:val="24"/>
          <w:szCs w:val="24"/>
        </w:rPr>
        <w:t>Të ardhurat nga akciza</w:t>
      </w:r>
      <w:r w:rsidRPr="007C40BE">
        <w:rPr>
          <w:rFonts w:ascii="Times New Roman" w:hAnsi="Times New Roman"/>
          <w:sz w:val="24"/>
          <w:szCs w:val="24"/>
        </w:rPr>
        <w:t xml:space="preserve"> janë realizuar në vlerën 19.2 miliard lekë, 10.3% më shumë se 6 mujori i vitit 2015 dhe me një performancë +4 % më shumë se plani.</w:t>
      </w:r>
    </w:p>
    <w:p w:rsidR="003F0BAF" w:rsidRPr="007C40BE" w:rsidRDefault="003F0BAF" w:rsidP="00F14793">
      <w:pPr>
        <w:pStyle w:val="ListParagraph"/>
        <w:numPr>
          <w:ilvl w:val="1"/>
          <w:numId w:val="7"/>
        </w:numPr>
        <w:spacing w:before="0" w:after="200" w:line="360" w:lineRule="auto"/>
        <w:jc w:val="both"/>
        <w:rPr>
          <w:rFonts w:ascii="Times New Roman" w:hAnsi="Times New Roman"/>
          <w:i/>
          <w:sz w:val="24"/>
          <w:szCs w:val="24"/>
        </w:rPr>
      </w:pPr>
      <w:r w:rsidRPr="007C40BE">
        <w:rPr>
          <w:rFonts w:ascii="Times New Roman" w:hAnsi="Times New Roman"/>
          <w:i/>
          <w:sz w:val="24"/>
          <w:szCs w:val="24"/>
        </w:rPr>
        <w:t xml:space="preserve">Kjo ka ardhur në masën më të madhe si rezultat i rritjes së sasisë së cigares së importuar me 269 ton ose +24.8% krahasuar me të njëjtën periudhë të vitit 2015 duke arkëtuar 1.5 miliard lekë më shumë se  6 mujori i vitit 2015 për këtë artikull.  Arsyet e performancës pozitive përveç përmirësimit të vazhdueshëm të administrimit lidhen me një situatë të normalizuar të fluksit të importeve të pandikuar nga ndryshimet e nivelit të taksimit për vitin 2016 për cigare. </w:t>
      </w:r>
    </w:p>
    <w:p w:rsidR="00C424E5" w:rsidRPr="007C40BE" w:rsidRDefault="00C424E5" w:rsidP="00C424E5">
      <w:pPr>
        <w:pStyle w:val="ListParagraph"/>
        <w:spacing w:before="0" w:after="200" w:line="360" w:lineRule="auto"/>
        <w:ind w:left="1440"/>
        <w:jc w:val="both"/>
        <w:rPr>
          <w:rFonts w:ascii="Times New Roman" w:hAnsi="Times New Roman"/>
          <w:i/>
          <w:sz w:val="24"/>
          <w:szCs w:val="24"/>
        </w:rPr>
      </w:pPr>
    </w:p>
    <w:p w:rsidR="00A075AB" w:rsidRPr="007C40BE" w:rsidRDefault="00A075AB" w:rsidP="00C424E5">
      <w:pPr>
        <w:pStyle w:val="ListParagraph"/>
        <w:spacing w:before="0" w:after="200" w:line="360" w:lineRule="auto"/>
        <w:ind w:left="1440"/>
        <w:jc w:val="both"/>
        <w:rPr>
          <w:rFonts w:ascii="Times New Roman" w:hAnsi="Times New Roman"/>
          <w:i/>
          <w:sz w:val="24"/>
          <w:szCs w:val="24"/>
        </w:rPr>
      </w:pPr>
    </w:p>
    <w:p w:rsidR="00C424E5" w:rsidRPr="007C40BE" w:rsidRDefault="00C424E5" w:rsidP="00C424E5">
      <w:pPr>
        <w:pStyle w:val="ListParagraph"/>
        <w:spacing w:before="0" w:after="200" w:line="360" w:lineRule="auto"/>
        <w:ind w:left="1440"/>
        <w:jc w:val="both"/>
        <w:rPr>
          <w:rFonts w:ascii="Times New Roman" w:hAnsi="Times New Roman"/>
          <w:i/>
          <w:sz w:val="24"/>
          <w:szCs w:val="24"/>
        </w:rPr>
      </w:pPr>
    </w:p>
    <w:p w:rsidR="003F0BAF" w:rsidRPr="007C40BE" w:rsidRDefault="003F0BAF" w:rsidP="00C424E5">
      <w:pPr>
        <w:tabs>
          <w:tab w:val="left" w:pos="2511"/>
          <w:tab w:val="center" w:pos="4680"/>
        </w:tabs>
        <w:spacing w:line="360" w:lineRule="auto"/>
        <w:jc w:val="center"/>
        <w:rPr>
          <w:i/>
          <w:sz w:val="20"/>
          <w:szCs w:val="20"/>
          <w:lang w:val="sq-AL"/>
        </w:rPr>
      </w:pPr>
      <w:r w:rsidRPr="007C40BE">
        <w:rPr>
          <w:i/>
          <w:sz w:val="20"/>
          <w:szCs w:val="20"/>
          <w:lang w:val="sq-AL"/>
        </w:rPr>
        <w:lastRenderedPageBreak/>
        <w:t>Grafiku  paraqet treguesit e importit për cigaren  për 6 mujorin e vitit 2016</w:t>
      </w:r>
    </w:p>
    <w:p w:rsidR="003F0BAF" w:rsidRPr="007C40BE" w:rsidRDefault="003F0BAF" w:rsidP="003F0BAF">
      <w:pPr>
        <w:spacing w:line="360" w:lineRule="auto"/>
        <w:jc w:val="both"/>
        <w:rPr>
          <w:sz w:val="16"/>
        </w:rPr>
      </w:pPr>
    </w:p>
    <w:p w:rsidR="003F0BAF" w:rsidRPr="007C40BE" w:rsidRDefault="003F0BAF" w:rsidP="003F0BAF">
      <w:pPr>
        <w:jc w:val="center"/>
      </w:pPr>
      <w:r w:rsidRPr="007C40BE">
        <w:rPr>
          <w:noProof/>
        </w:rPr>
        <w:drawing>
          <wp:inline distT="0" distB="0" distL="0" distR="0" wp14:anchorId="28B92A27" wp14:editId="6292EB8A">
            <wp:extent cx="5867400" cy="2943225"/>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F0BAF" w:rsidRPr="007C40BE" w:rsidRDefault="003F0BAF" w:rsidP="003F0BAF">
      <w:pPr>
        <w:jc w:val="center"/>
      </w:pPr>
    </w:p>
    <w:p w:rsidR="003F0BAF" w:rsidRPr="007C40BE" w:rsidRDefault="003F0BAF" w:rsidP="00C424E5">
      <w:pPr>
        <w:spacing w:line="360" w:lineRule="auto"/>
        <w:jc w:val="both"/>
      </w:pPr>
      <w:r w:rsidRPr="007C40BE">
        <w:t xml:space="preserve">Tregues të tjerë shumë pozitiv janë shënuar edhe në të ardhurat e mallrave të tjerë të akcizës për shkak të rritjes së sasive krahasuar me të njëjtën periudhë të vitit 2015, si më poshtë:  </w:t>
      </w:r>
    </w:p>
    <w:p w:rsidR="003F0BAF" w:rsidRPr="007C40BE" w:rsidRDefault="003F0BAF" w:rsidP="00C424E5">
      <w:pPr>
        <w:pStyle w:val="ListParagraph"/>
        <w:numPr>
          <w:ilvl w:val="0"/>
          <w:numId w:val="7"/>
        </w:numPr>
        <w:spacing w:before="0" w:after="200" w:line="360" w:lineRule="auto"/>
        <w:jc w:val="both"/>
        <w:rPr>
          <w:rFonts w:ascii="Times New Roman" w:hAnsi="Times New Roman"/>
          <w:sz w:val="24"/>
          <w:szCs w:val="24"/>
        </w:rPr>
      </w:pPr>
      <w:r w:rsidRPr="007C40BE">
        <w:rPr>
          <w:rFonts w:ascii="Times New Roman" w:hAnsi="Times New Roman"/>
          <w:sz w:val="24"/>
          <w:szCs w:val="24"/>
        </w:rPr>
        <w:t xml:space="preserve">Karburante Import + Prodhim Vendi    </w:t>
      </w:r>
      <w:r w:rsidRPr="007C40BE">
        <w:rPr>
          <w:rFonts w:ascii="Times New Roman" w:hAnsi="Times New Roman"/>
          <w:sz w:val="24"/>
          <w:szCs w:val="24"/>
        </w:rPr>
        <w:tab/>
        <w:t>+ 7.6 %</w:t>
      </w:r>
    </w:p>
    <w:p w:rsidR="003F0BAF" w:rsidRPr="007C40BE" w:rsidRDefault="003F0BAF" w:rsidP="00C424E5">
      <w:pPr>
        <w:pStyle w:val="ListParagraph"/>
        <w:numPr>
          <w:ilvl w:val="0"/>
          <w:numId w:val="7"/>
        </w:numPr>
        <w:spacing w:before="0" w:after="200" w:line="360" w:lineRule="auto"/>
        <w:jc w:val="both"/>
        <w:rPr>
          <w:rFonts w:ascii="Times New Roman" w:hAnsi="Times New Roman"/>
          <w:sz w:val="24"/>
          <w:szCs w:val="24"/>
        </w:rPr>
      </w:pPr>
      <w:r w:rsidRPr="007C40BE">
        <w:rPr>
          <w:rFonts w:ascii="Times New Roman" w:hAnsi="Times New Roman"/>
          <w:sz w:val="24"/>
          <w:szCs w:val="24"/>
        </w:rPr>
        <w:t xml:space="preserve">Birrë Import + Prodhim Vendi </w:t>
      </w:r>
      <w:r w:rsidRPr="007C40BE">
        <w:rPr>
          <w:rFonts w:ascii="Times New Roman" w:hAnsi="Times New Roman"/>
          <w:sz w:val="24"/>
          <w:szCs w:val="24"/>
        </w:rPr>
        <w:tab/>
        <w:t xml:space="preserve"> </w:t>
      </w:r>
      <w:r w:rsidRPr="007C40BE">
        <w:rPr>
          <w:rFonts w:ascii="Times New Roman" w:hAnsi="Times New Roman"/>
          <w:sz w:val="24"/>
          <w:szCs w:val="24"/>
        </w:rPr>
        <w:tab/>
        <w:t>+ 5.2 %</w:t>
      </w:r>
    </w:p>
    <w:p w:rsidR="003F0BAF" w:rsidRPr="007C40BE" w:rsidRDefault="003F0BAF" w:rsidP="00C424E5">
      <w:pPr>
        <w:pStyle w:val="ListParagraph"/>
        <w:numPr>
          <w:ilvl w:val="0"/>
          <w:numId w:val="7"/>
        </w:numPr>
        <w:spacing w:before="0" w:after="200" w:line="360" w:lineRule="auto"/>
        <w:jc w:val="both"/>
        <w:rPr>
          <w:rFonts w:ascii="Times New Roman" w:hAnsi="Times New Roman"/>
          <w:sz w:val="24"/>
          <w:szCs w:val="24"/>
        </w:rPr>
      </w:pPr>
      <w:r w:rsidRPr="007C40BE">
        <w:rPr>
          <w:rFonts w:ascii="Times New Roman" w:hAnsi="Times New Roman"/>
          <w:sz w:val="24"/>
          <w:szCs w:val="24"/>
        </w:rPr>
        <w:t xml:space="preserve">Verë Import + Prodhim Vendi </w:t>
      </w:r>
      <w:r w:rsidRPr="007C40BE">
        <w:rPr>
          <w:rFonts w:ascii="Times New Roman" w:hAnsi="Times New Roman"/>
          <w:sz w:val="24"/>
          <w:szCs w:val="24"/>
        </w:rPr>
        <w:tab/>
      </w:r>
      <w:r w:rsidRPr="007C40BE">
        <w:rPr>
          <w:rFonts w:ascii="Times New Roman" w:hAnsi="Times New Roman"/>
          <w:sz w:val="24"/>
          <w:szCs w:val="24"/>
        </w:rPr>
        <w:tab/>
        <w:t>+ 9.1 %</w:t>
      </w:r>
    </w:p>
    <w:p w:rsidR="003F0BAF" w:rsidRPr="007C40BE" w:rsidRDefault="003F0BAF" w:rsidP="00C424E5">
      <w:pPr>
        <w:pStyle w:val="ListParagraph"/>
        <w:numPr>
          <w:ilvl w:val="0"/>
          <w:numId w:val="7"/>
        </w:numPr>
        <w:spacing w:before="0" w:after="200" w:line="360" w:lineRule="auto"/>
        <w:jc w:val="both"/>
        <w:rPr>
          <w:rFonts w:ascii="Times New Roman" w:hAnsi="Times New Roman"/>
          <w:sz w:val="24"/>
          <w:szCs w:val="24"/>
        </w:rPr>
      </w:pPr>
      <w:r w:rsidRPr="007C40BE">
        <w:rPr>
          <w:rFonts w:ascii="Times New Roman" w:hAnsi="Times New Roman"/>
          <w:sz w:val="24"/>
          <w:szCs w:val="24"/>
        </w:rPr>
        <w:t xml:space="preserve">Pije Alkolike Import + Prodhim Vendi  </w:t>
      </w:r>
      <w:r w:rsidRPr="007C40BE">
        <w:rPr>
          <w:rFonts w:ascii="Times New Roman" w:hAnsi="Times New Roman"/>
          <w:sz w:val="24"/>
          <w:szCs w:val="24"/>
        </w:rPr>
        <w:tab/>
        <w:t>+ 30 %</w:t>
      </w:r>
    </w:p>
    <w:p w:rsidR="003F0BAF" w:rsidRPr="007C40BE" w:rsidRDefault="003F0BAF" w:rsidP="00C424E5">
      <w:pPr>
        <w:pStyle w:val="ListParagraph"/>
        <w:numPr>
          <w:ilvl w:val="0"/>
          <w:numId w:val="7"/>
        </w:numPr>
        <w:spacing w:before="0" w:after="200" w:line="360" w:lineRule="auto"/>
        <w:jc w:val="both"/>
        <w:rPr>
          <w:rFonts w:ascii="Times New Roman" w:hAnsi="Times New Roman"/>
          <w:sz w:val="24"/>
          <w:szCs w:val="24"/>
        </w:rPr>
      </w:pPr>
      <w:r w:rsidRPr="007C40BE">
        <w:rPr>
          <w:rFonts w:ascii="Times New Roman" w:hAnsi="Times New Roman"/>
          <w:sz w:val="24"/>
          <w:szCs w:val="24"/>
        </w:rPr>
        <w:t xml:space="preserve">Pije Energjike </w:t>
      </w:r>
      <w:r w:rsidRPr="007C40BE">
        <w:rPr>
          <w:rFonts w:ascii="Times New Roman" w:hAnsi="Times New Roman"/>
          <w:sz w:val="24"/>
          <w:szCs w:val="24"/>
        </w:rPr>
        <w:tab/>
      </w:r>
      <w:r w:rsidRPr="007C40BE">
        <w:rPr>
          <w:rFonts w:ascii="Times New Roman" w:hAnsi="Times New Roman"/>
          <w:sz w:val="24"/>
          <w:szCs w:val="24"/>
        </w:rPr>
        <w:tab/>
      </w:r>
      <w:r w:rsidRPr="007C40BE">
        <w:rPr>
          <w:rFonts w:ascii="Times New Roman" w:hAnsi="Times New Roman"/>
          <w:sz w:val="24"/>
          <w:szCs w:val="24"/>
        </w:rPr>
        <w:tab/>
      </w:r>
      <w:r w:rsidRPr="007C40BE">
        <w:rPr>
          <w:rFonts w:ascii="Times New Roman" w:hAnsi="Times New Roman"/>
          <w:sz w:val="24"/>
          <w:szCs w:val="24"/>
        </w:rPr>
        <w:tab/>
        <w:t xml:space="preserve">  </w:t>
      </w:r>
      <w:r w:rsidRPr="007C40BE">
        <w:rPr>
          <w:rFonts w:ascii="Times New Roman" w:hAnsi="Times New Roman"/>
          <w:sz w:val="24"/>
          <w:szCs w:val="24"/>
        </w:rPr>
        <w:tab/>
        <w:t>+ 30.4 %</w:t>
      </w:r>
    </w:p>
    <w:p w:rsidR="003F0BAF" w:rsidRPr="007C40BE" w:rsidRDefault="003F0BAF" w:rsidP="00C424E5">
      <w:pPr>
        <w:pStyle w:val="ListParagraph"/>
        <w:numPr>
          <w:ilvl w:val="0"/>
          <w:numId w:val="7"/>
        </w:numPr>
        <w:spacing w:before="0" w:after="200" w:line="360" w:lineRule="auto"/>
        <w:jc w:val="both"/>
        <w:rPr>
          <w:rFonts w:ascii="Times New Roman" w:hAnsi="Times New Roman"/>
          <w:sz w:val="24"/>
          <w:szCs w:val="24"/>
        </w:rPr>
      </w:pPr>
      <w:r w:rsidRPr="007C40BE">
        <w:rPr>
          <w:rFonts w:ascii="Times New Roman" w:hAnsi="Times New Roman"/>
          <w:sz w:val="24"/>
          <w:szCs w:val="24"/>
        </w:rPr>
        <w:t xml:space="preserve">Të ardhurat nga renta minerare janë realizuar në vlerën 1.2 miliard lekë, -36.6% krahasuar me 6 mujorin e vitit 2015 dhe -39.5% krahasuar me planin. Arsyet lidhen me rënien drastike të çmimit të naftës bruto në tregun ndërkombëtar. Në kushtet që renta llogaritet si përqindje ndaj vlerës, rezultoi se megjithëse sasia e eksportit të naftës bruto u rrit me 73 mijë ton ose +17.9%, të ardhurat nga renta u ulën me 546 milion lekë krahasuar me 6 mujorin e vitit 2015.  </w:t>
      </w:r>
    </w:p>
    <w:p w:rsidR="00DE3C0A" w:rsidRPr="007C40BE" w:rsidRDefault="00DE3C0A" w:rsidP="00DE3C0A">
      <w:pPr>
        <w:pStyle w:val="ListParagraph"/>
        <w:spacing w:before="0" w:after="200" w:line="360" w:lineRule="auto"/>
        <w:jc w:val="both"/>
        <w:rPr>
          <w:rFonts w:ascii="Times New Roman" w:hAnsi="Times New Roman"/>
          <w:sz w:val="24"/>
          <w:szCs w:val="24"/>
        </w:rPr>
      </w:pPr>
    </w:p>
    <w:p w:rsidR="003F0BAF" w:rsidRPr="007C40BE" w:rsidRDefault="003F0BAF" w:rsidP="00C424E5">
      <w:pPr>
        <w:spacing w:line="360" w:lineRule="auto"/>
        <w:jc w:val="both"/>
        <w:rPr>
          <w:b/>
          <w:sz w:val="28"/>
          <w:szCs w:val="28"/>
        </w:rPr>
      </w:pPr>
      <w:r w:rsidRPr="007C40BE">
        <w:rPr>
          <w:b/>
          <w:sz w:val="28"/>
          <w:szCs w:val="28"/>
        </w:rPr>
        <w:t>Drejtoria e Përgjithshme e Tatimeve</w:t>
      </w:r>
    </w:p>
    <w:p w:rsidR="003F0BAF" w:rsidRPr="007C40BE" w:rsidRDefault="003F0BAF" w:rsidP="00C424E5">
      <w:pPr>
        <w:spacing w:line="360" w:lineRule="auto"/>
        <w:jc w:val="both"/>
        <w:rPr>
          <w:i/>
        </w:rPr>
      </w:pPr>
      <w:r w:rsidRPr="007C40BE">
        <w:t>Të ardhurat e mbledhura nga administrata tatimore (përfshirë kontributet)  për 6 mujorin e vitit 2016 janë realizuar në vlerën 101.4 miliard lekë, 13.8 miliard lekë më shumë se e njëjta periudhë e një viti më parë ose 15.8%, dhe tejkalim të parashikimeve me 2.6 miliard lekë ose 2.6%.</w:t>
      </w:r>
    </w:p>
    <w:p w:rsidR="00C424E5" w:rsidRPr="007C40BE" w:rsidRDefault="00C424E5" w:rsidP="003F0BAF">
      <w:pPr>
        <w:rPr>
          <w:i/>
          <w:sz w:val="20"/>
          <w:szCs w:val="20"/>
        </w:rPr>
      </w:pPr>
    </w:p>
    <w:p w:rsidR="003F0BAF" w:rsidRPr="007C40BE" w:rsidRDefault="003F0BAF" w:rsidP="00C424E5">
      <w:pPr>
        <w:jc w:val="center"/>
        <w:rPr>
          <w:i/>
          <w:sz w:val="20"/>
          <w:szCs w:val="20"/>
        </w:rPr>
      </w:pPr>
      <w:r w:rsidRPr="007C40BE">
        <w:rPr>
          <w:i/>
          <w:sz w:val="20"/>
          <w:szCs w:val="20"/>
        </w:rPr>
        <w:lastRenderedPageBreak/>
        <w:t>Grafiku paraqet të ardhurat e realizuara nga DPT  për peridhën 6 mujore në vite</w:t>
      </w:r>
    </w:p>
    <w:p w:rsidR="003F0BAF" w:rsidRPr="007C40BE" w:rsidRDefault="003F0BAF" w:rsidP="003F0BAF"/>
    <w:p w:rsidR="003F0BAF" w:rsidRPr="007C40BE" w:rsidRDefault="00C424E5" w:rsidP="00C424E5">
      <w:pPr>
        <w:jc w:val="center"/>
        <w:rPr>
          <w:i/>
          <w:sz w:val="20"/>
          <w:szCs w:val="20"/>
        </w:rPr>
      </w:pPr>
      <w:r w:rsidRPr="007C40BE">
        <w:rPr>
          <w:noProof/>
        </w:rPr>
        <w:drawing>
          <wp:inline distT="0" distB="0" distL="0" distR="0" wp14:anchorId="3962F103" wp14:editId="23C4DECD">
            <wp:extent cx="5953125" cy="187642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424E5" w:rsidRPr="007C40BE" w:rsidRDefault="00C424E5" w:rsidP="003F0BAF">
      <w:pPr>
        <w:rPr>
          <w:i/>
          <w:sz w:val="20"/>
          <w:szCs w:val="20"/>
        </w:rPr>
      </w:pPr>
    </w:p>
    <w:p w:rsidR="00C424E5" w:rsidRPr="007C40BE" w:rsidRDefault="00C424E5" w:rsidP="003F0BAF">
      <w:pPr>
        <w:rPr>
          <w:i/>
          <w:sz w:val="20"/>
          <w:szCs w:val="20"/>
        </w:rPr>
      </w:pPr>
    </w:p>
    <w:p w:rsidR="00C424E5" w:rsidRPr="007C40BE" w:rsidRDefault="00C424E5" w:rsidP="00C424E5">
      <w:pPr>
        <w:jc w:val="center"/>
        <w:rPr>
          <w:i/>
          <w:sz w:val="20"/>
          <w:szCs w:val="20"/>
        </w:rPr>
      </w:pPr>
      <w:r w:rsidRPr="007C40BE">
        <w:rPr>
          <w:i/>
          <w:sz w:val="20"/>
          <w:szCs w:val="20"/>
        </w:rPr>
        <w:t>Tabela paraqet të ardhurat e realizuara nga DPT për 6 mujorin e vitit 2016.</w:t>
      </w:r>
    </w:p>
    <w:p w:rsidR="00C424E5" w:rsidRPr="007C40BE" w:rsidRDefault="00C424E5" w:rsidP="003F0BAF">
      <w:pPr>
        <w:rPr>
          <w:i/>
          <w:sz w:val="20"/>
          <w:szCs w:val="20"/>
        </w:rPr>
      </w:pPr>
    </w:p>
    <w:p w:rsidR="003F0BAF" w:rsidRPr="007C40BE" w:rsidRDefault="003F0BAF" w:rsidP="003F0BAF">
      <w:pPr>
        <w:jc w:val="right"/>
        <w:rPr>
          <w:i/>
          <w:sz w:val="20"/>
          <w:szCs w:val="20"/>
        </w:rPr>
      </w:pPr>
      <w:r w:rsidRPr="007C40BE">
        <w:rPr>
          <w:i/>
          <w:sz w:val="20"/>
          <w:szCs w:val="20"/>
        </w:rPr>
        <w:t>(në milion lekë)</w:t>
      </w:r>
    </w:p>
    <w:tbl>
      <w:tblPr>
        <w:tblStyle w:val="TableWeb3"/>
        <w:tblW w:w="9278" w:type="dxa"/>
        <w:jc w:val="center"/>
        <w:tblLook w:val="0600" w:firstRow="0" w:lastRow="0" w:firstColumn="0" w:lastColumn="0" w:noHBand="1" w:noVBand="1"/>
      </w:tblPr>
      <w:tblGrid>
        <w:gridCol w:w="2301"/>
        <w:gridCol w:w="836"/>
        <w:gridCol w:w="936"/>
        <w:gridCol w:w="992"/>
        <w:gridCol w:w="971"/>
        <w:gridCol w:w="1097"/>
        <w:gridCol w:w="991"/>
        <w:gridCol w:w="1154"/>
      </w:tblGrid>
      <w:tr w:rsidR="003F0BAF" w:rsidRPr="007C40BE" w:rsidTr="00DE3C0A">
        <w:trPr>
          <w:trHeight w:val="333"/>
          <w:jc w:val="center"/>
        </w:trPr>
        <w:tc>
          <w:tcPr>
            <w:tcW w:w="2241" w:type="dxa"/>
            <w:vMerge w:val="restart"/>
            <w:hideMark/>
          </w:tcPr>
          <w:p w:rsidR="003F0BAF" w:rsidRPr="007C40BE" w:rsidRDefault="003F0BAF" w:rsidP="00C424E5">
            <w:pPr>
              <w:rPr>
                <w:i/>
                <w:sz w:val="20"/>
              </w:rPr>
            </w:pPr>
            <w:r w:rsidRPr="007C40BE">
              <w:rPr>
                <w:i/>
                <w:sz w:val="20"/>
              </w:rPr>
              <w:t> </w:t>
            </w:r>
          </w:p>
          <w:p w:rsidR="003F0BAF" w:rsidRPr="007C40BE" w:rsidRDefault="003F0BAF" w:rsidP="00C424E5">
            <w:pPr>
              <w:rPr>
                <w:i/>
                <w:sz w:val="20"/>
              </w:rPr>
            </w:pPr>
            <w:r w:rsidRPr="007C40BE">
              <w:rPr>
                <w:i/>
                <w:sz w:val="20"/>
              </w:rPr>
              <w:t> </w:t>
            </w:r>
          </w:p>
        </w:tc>
        <w:tc>
          <w:tcPr>
            <w:tcW w:w="1732" w:type="dxa"/>
            <w:gridSpan w:val="2"/>
            <w:hideMark/>
          </w:tcPr>
          <w:p w:rsidR="003F0BAF" w:rsidRPr="007C40BE" w:rsidRDefault="003F0BAF" w:rsidP="0047799C">
            <w:pPr>
              <w:jc w:val="center"/>
              <w:rPr>
                <w:b/>
                <w:i/>
                <w:sz w:val="20"/>
              </w:rPr>
            </w:pPr>
            <w:r w:rsidRPr="007C40BE">
              <w:rPr>
                <w:b/>
                <w:i/>
                <w:sz w:val="20"/>
              </w:rPr>
              <w:t>Fakt</w:t>
            </w:r>
          </w:p>
        </w:tc>
        <w:tc>
          <w:tcPr>
            <w:tcW w:w="952" w:type="dxa"/>
            <w:hideMark/>
          </w:tcPr>
          <w:p w:rsidR="003F0BAF" w:rsidRPr="007C40BE" w:rsidRDefault="003F0BAF" w:rsidP="0047799C">
            <w:pPr>
              <w:jc w:val="center"/>
              <w:rPr>
                <w:b/>
                <w:i/>
                <w:sz w:val="20"/>
              </w:rPr>
            </w:pPr>
            <w:r w:rsidRPr="007C40BE">
              <w:rPr>
                <w:b/>
                <w:i/>
                <w:sz w:val="20"/>
              </w:rPr>
              <w:t>Plan</w:t>
            </w:r>
          </w:p>
        </w:tc>
        <w:tc>
          <w:tcPr>
            <w:tcW w:w="2028" w:type="dxa"/>
            <w:gridSpan w:val="2"/>
            <w:hideMark/>
          </w:tcPr>
          <w:p w:rsidR="003F0BAF" w:rsidRPr="007C40BE" w:rsidRDefault="003F0BAF" w:rsidP="0047799C">
            <w:pPr>
              <w:jc w:val="center"/>
              <w:rPr>
                <w:b/>
                <w:i/>
                <w:sz w:val="20"/>
              </w:rPr>
            </w:pPr>
            <w:r w:rsidRPr="007C40BE">
              <w:rPr>
                <w:b/>
                <w:i/>
                <w:sz w:val="20"/>
              </w:rPr>
              <w:t>Diferenca Plan- Fakt</w:t>
            </w:r>
          </w:p>
        </w:tc>
        <w:tc>
          <w:tcPr>
            <w:tcW w:w="2085" w:type="dxa"/>
            <w:gridSpan w:val="2"/>
            <w:hideMark/>
          </w:tcPr>
          <w:p w:rsidR="003F0BAF" w:rsidRPr="007C40BE" w:rsidRDefault="003F0BAF" w:rsidP="0047799C">
            <w:pPr>
              <w:jc w:val="center"/>
              <w:rPr>
                <w:b/>
                <w:i/>
                <w:sz w:val="20"/>
              </w:rPr>
            </w:pPr>
            <w:r w:rsidRPr="007C40BE">
              <w:rPr>
                <w:b/>
                <w:i/>
                <w:sz w:val="20"/>
              </w:rPr>
              <w:t>Diferenca 2016- 2015</w:t>
            </w:r>
          </w:p>
        </w:tc>
      </w:tr>
      <w:tr w:rsidR="003F0BAF" w:rsidRPr="007C40BE" w:rsidTr="00DE3C0A">
        <w:trPr>
          <w:trHeight w:val="506"/>
          <w:jc w:val="center"/>
        </w:trPr>
        <w:tc>
          <w:tcPr>
            <w:tcW w:w="2241" w:type="dxa"/>
            <w:vMerge/>
            <w:hideMark/>
          </w:tcPr>
          <w:p w:rsidR="003F0BAF" w:rsidRPr="007C40BE" w:rsidRDefault="003F0BAF" w:rsidP="00C424E5">
            <w:pPr>
              <w:rPr>
                <w:i/>
                <w:sz w:val="20"/>
              </w:rPr>
            </w:pPr>
          </w:p>
        </w:tc>
        <w:tc>
          <w:tcPr>
            <w:tcW w:w="796" w:type="dxa"/>
            <w:hideMark/>
          </w:tcPr>
          <w:p w:rsidR="003F0BAF" w:rsidRPr="007C40BE" w:rsidRDefault="003F0BAF" w:rsidP="0047799C">
            <w:pPr>
              <w:jc w:val="center"/>
              <w:rPr>
                <w:b/>
                <w:i/>
                <w:sz w:val="20"/>
              </w:rPr>
            </w:pPr>
            <w:r w:rsidRPr="007C40BE">
              <w:rPr>
                <w:b/>
                <w:i/>
                <w:sz w:val="20"/>
              </w:rPr>
              <w:t>2015</w:t>
            </w:r>
          </w:p>
        </w:tc>
        <w:tc>
          <w:tcPr>
            <w:tcW w:w="896" w:type="dxa"/>
            <w:hideMark/>
          </w:tcPr>
          <w:p w:rsidR="003F0BAF" w:rsidRPr="007C40BE" w:rsidRDefault="003F0BAF" w:rsidP="0047799C">
            <w:pPr>
              <w:jc w:val="center"/>
              <w:rPr>
                <w:b/>
                <w:i/>
                <w:sz w:val="20"/>
              </w:rPr>
            </w:pPr>
            <w:r w:rsidRPr="007C40BE">
              <w:rPr>
                <w:b/>
                <w:i/>
                <w:sz w:val="20"/>
              </w:rPr>
              <w:t>2016</w:t>
            </w:r>
          </w:p>
        </w:tc>
        <w:tc>
          <w:tcPr>
            <w:tcW w:w="952" w:type="dxa"/>
            <w:hideMark/>
          </w:tcPr>
          <w:p w:rsidR="003F0BAF" w:rsidRPr="007C40BE" w:rsidRDefault="003F0BAF" w:rsidP="0047799C">
            <w:pPr>
              <w:jc w:val="center"/>
              <w:rPr>
                <w:b/>
                <w:i/>
                <w:sz w:val="20"/>
              </w:rPr>
            </w:pPr>
            <w:r w:rsidRPr="007C40BE">
              <w:rPr>
                <w:b/>
                <w:i/>
                <w:sz w:val="20"/>
              </w:rPr>
              <w:t>2016</w:t>
            </w:r>
          </w:p>
        </w:tc>
        <w:tc>
          <w:tcPr>
            <w:tcW w:w="931" w:type="dxa"/>
            <w:hideMark/>
          </w:tcPr>
          <w:p w:rsidR="003F0BAF" w:rsidRPr="007C40BE" w:rsidRDefault="003F0BAF" w:rsidP="0047799C">
            <w:pPr>
              <w:jc w:val="center"/>
              <w:rPr>
                <w:b/>
                <w:i/>
                <w:sz w:val="20"/>
              </w:rPr>
            </w:pPr>
            <w:r w:rsidRPr="007C40BE">
              <w:rPr>
                <w:b/>
                <w:i/>
                <w:sz w:val="20"/>
              </w:rPr>
              <w:t>+ ose -</w:t>
            </w:r>
          </w:p>
        </w:tc>
        <w:tc>
          <w:tcPr>
            <w:tcW w:w="1057" w:type="dxa"/>
            <w:hideMark/>
          </w:tcPr>
          <w:p w:rsidR="003F0BAF" w:rsidRPr="007C40BE" w:rsidRDefault="003F0BAF" w:rsidP="0047799C">
            <w:pPr>
              <w:jc w:val="center"/>
              <w:rPr>
                <w:b/>
                <w:i/>
                <w:sz w:val="20"/>
              </w:rPr>
            </w:pPr>
            <w:r w:rsidRPr="007C40BE">
              <w:rPr>
                <w:b/>
                <w:i/>
                <w:sz w:val="20"/>
              </w:rPr>
              <w:t>%</w:t>
            </w:r>
          </w:p>
        </w:tc>
        <w:tc>
          <w:tcPr>
            <w:tcW w:w="951" w:type="dxa"/>
            <w:hideMark/>
          </w:tcPr>
          <w:p w:rsidR="003F0BAF" w:rsidRPr="007C40BE" w:rsidRDefault="003F0BAF" w:rsidP="0047799C">
            <w:pPr>
              <w:jc w:val="center"/>
              <w:rPr>
                <w:b/>
                <w:i/>
                <w:sz w:val="20"/>
              </w:rPr>
            </w:pPr>
            <w:r w:rsidRPr="007C40BE">
              <w:rPr>
                <w:b/>
                <w:i/>
                <w:sz w:val="20"/>
              </w:rPr>
              <w:t>+ ose -</w:t>
            </w:r>
          </w:p>
        </w:tc>
        <w:tc>
          <w:tcPr>
            <w:tcW w:w="1094" w:type="dxa"/>
            <w:hideMark/>
          </w:tcPr>
          <w:p w:rsidR="003F0BAF" w:rsidRPr="007C40BE" w:rsidRDefault="003F0BAF" w:rsidP="0047799C">
            <w:pPr>
              <w:jc w:val="center"/>
              <w:rPr>
                <w:b/>
                <w:i/>
                <w:sz w:val="20"/>
              </w:rPr>
            </w:pPr>
            <w:r w:rsidRPr="007C40BE">
              <w:rPr>
                <w:b/>
                <w:i/>
                <w:sz w:val="20"/>
              </w:rPr>
              <w:t>%</w:t>
            </w:r>
          </w:p>
        </w:tc>
      </w:tr>
      <w:tr w:rsidR="003F0BAF" w:rsidRPr="007C40BE" w:rsidTr="00DE3C0A">
        <w:trPr>
          <w:trHeight w:val="346"/>
          <w:jc w:val="center"/>
        </w:trPr>
        <w:tc>
          <w:tcPr>
            <w:tcW w:w="2241" w:type="dxa"/>
            <w:hideMark/>
          </w:tcPr>
          <w:p w:rsidR="003F0BAF" w:rsidRPr="007C40BE" w:rsidRDefault="003F0BAF" w:rsidP="00C424E5">
            <w:pPr>
              <w:rPr>
                <w:b/>
                <w:i/>
                <w:sz w:val="20"/>
              </w:rPr>
            </w:pPr>
            <w:r w:rsidRPr="007C40BE">
              <w:rPr>
                <w:b/>
                <w:i/>
                <w:sz w:val="20"/>
              </w:rPr>
              <w:t>Totali i tatimeve</w:t>
            </w:r>
          </w:p>
        </w:tc>
        <w:tc>
          <w:tcPr>
            <w:tcW w:w="796" w:type="dxa"/>
            <w:hideMark/>
          </w:tcPr>
          <w:p w:rsidR="003F0BAF" w:rsidRPr="007C40BE" w:rsidRDefault="003F0BAF" w:rsidP="0047799C">
            <w:pPr>
              <w:jc w:val="center"/>
              <w:rPr>
                <w:i/>
                <w:sz w:val="20"/>
              </w:rPr>
            </w:pPr>
            <w:r w:rsidRPr="007C40BE">
              <w:rPr>
                <w:i/>
                <w:sz w:val="20"/>
              </w:rPr>
              <w:t>54,925</w:t>
            </w:r>
          </w:p>
        </w:tc>
        <w:tc>
          <w:tcPr>
            <w:tcW w:w="896" w:type="dxa"/>
            <w:hideMark/>
          </w:tcPr>
          <w:p w:rsidR="003F0BAF" w:rsidRPr="007C40BE" w:rsidRDefault="003F0BAF" w:rsidP="0047799C">
            <w:pPr>
              <w:jc w:val="center"/>
              <w:rPr>
                <w:i/>
                <w:sz w:val="20"/>
              </w:rPr>
            </w:pPr>
            <w:r w:rsidRPr="007C40BE">
              <w:rPr>
                <w:i/>
                <w:sz w:val="20"/>
              </w:rPr>
              <w:t>64,622</w:t>
            </w:r>
          </w:p>
        </w:tc>
        <w:tc>
          <w:tcPr>
            <w:tcW w:w="952" w:type="dxa"/>
            <w:hideMark/>
          </w:tcPr>
          <w:p w:rsidR="003F0BAF" w:rsidRPr="007C40BE" w:rsidRDefault="003F0BAF" w:rsidP="0047799C">
            <w:pPr>
              <w:jc w:val="center"/>
              <w:rPr>
                <w:i/>
                <w:sz w:val="20"/>
              </w:rPr>
            </w:pPr>
            <w:r w:rsidRPr="007C40BE">
              <w:rPr>
                <w:i/>
                <w:sz w:val="20"/>
              </w:rPr>
              <w:t>62,795</w:t>
            </w:r>
          </w:p>
        </w:tc>
        <w:tc>
          <w:tcPr>
            <w:tcW w:w="931" w:type="dxa"/>
            <w:hideMark/>
          </w:tcPr>
          <w:p w:rsidR="003F0BAF" w:rsidRPr="007C40BE" w:rsidRDefault="003F0BAF" w:rsidP="0047799C">
            <w:pPr>
              <w:jc w:val="center"/>
              <w:rPr>
                <w:i/>
                <w:sz w:val="20"/>
              </w:rPr>
            </w:pPr>
            <w:r w:rsidRPr="007C40BE">
              <w:rPr>
                <w:i/>
                <w:sz w:val="20"/>
              </w:rPr>
              <w:t>1,827</w:t>
            </w:r>
          </w:p>
        </w:tc>
        <w:tc>
          <w:tcPr>
            <w:tcW w:w="1057" w:type="dxa"/>
            <w:hideMark/>
          </w:tcPr>
          <w:p w:rsidR="003F0BAF" w:rsidRPr="007C40BE" w:rsidRDefault="003F0BAF" w:rsidP="0047799C">
            <w:pPr>
              <w:jc w:val="center"/>
              <w:rPr>
                <w:i/>
                <w:sz w:val="20"/>
              </w:rPr>
            </w:pPr>
            <w:r w:rsidRPr="007C40BE">
              <w:rPr>
                <w:i/>
                <w:sz w:val="20"/>
              </w:rPr>
              <w:t>2.91%</w:t>
            </w:r>
          </w:p>
        </w:tc>
        <w:tc>
          <w:tcPr>
            <w:tcW w:w="951" w:type="dxa"/>
            <w:hideMark/>
          </w:tcPr>
          <w:p w:rsidR="003F0BAF" w:rsidRPr="007C40BE" w:rsidRDefault="003F0BAF" w:rsidP="0047799C">
            <w:pPr>
              <w:jc w:val="center"/>
              <w:rPr>
                <w:i/>
                <w:sz w:val="20"/>
              </w:rPr>
            </w:pPr>
            <w:r w:rsidRPr="007C40BE">
              <w:rPr>
                <w:i/>
                <w:sz w:val="20"/>
              </w:rPr>
              <w:t>9,697</w:t>
            </w:r>
          </w:p>
        </w:tc>
        <w:tc>
          <w:tcPr>
            <w:tcW w:w="1094" w:type="dxa"/>
            <w:hideMark/>
          </w:tcPr>
          <w:p w:rsidR="003F0BAF" w:rsidRPr="007C40BE" w:rsidRDefault="003F0BAF" w:rsidP="0047799C">
            <w:pPr>
              <w:jc w:val="center"/>
              <w:rPr>
                <w:i/>
                <w:sz w:val="20"/>
              </w:rPr>
            </w:pPr>
            <w:r w:rsidRPr="007C40BE">
              <w:rPr>
                <w:i/>
                <w:sz w:val="20"/>
              </w:rPr>
              <w:t>17.65%</w:t>
            </w:r>
          </w:p>
        </w:tc>
      </w:tr>
      <w:tr w:rsidR="003F0BAF" w:rsidRPr="007C40BE" w:rsidTr="00DE3C0A">
        <w:trPr>
          <w:trHeight w:val="379"/>
          <w:jc w:val="center"/>
        </w:trPr>
        <w:tc>
          <w:tcPr>
            <w:tcW w:w="2241" w:type="dxa"/>
            <w:hideMark/>
          </w:tcPr>
          <w:p w:rsidR="003F0BAF" w:rsidRPr="007C40BE" w:rsidRDefault="003F0BAF" w:rsidP="00C424E5">
            <w:pPr>
              <w:rPr>
                <w:b/>
                <w:i/>
                <w:sz w:val="20"/>
              </w:rPr>
            </w:pPr>
            <w:r w:rsidRPr="007C40BE">
              <w:rPr>
                <w:b/>
                <w:i/>
                <w:sz w:val="20"/>
              </w:rPr>
              <w:t>Kontributet nga DPT</w:t>
            </w:r>
          </w:p>
        </w:tc>
        <w:tc>
          <w:tcPr>
            <w:tcW w:w="796" w:type="dxa"/>
            <w:hideMark/>
          </w:tcPr>
          <w:p w:rsidR="003F0BAF" w:rsidRPr="007C40BE" w:rsidRDefault="003F0BAF" w:rsidP="0047799C">
            <w:pPr>
              <w:jc w:val="center"/>
              <w:rPr>
                <w:i/>
                <w:sz w:val="20"/>
              </w:rPr>
            </w:pPr>
            <w:r w:rsidRPr="007C40BE">
              <w:rPr>
                <w:i/>
                <w:sz w:val="20"/>
              </w:rPr>
              <w:t>32,673</w:t>
            </w:r>
          </w:p>
        </w:tc>
        <w:tc>
          <w:tcPr>
            <w:tcW w:w="896" w:type="dxa"/>
            <w:hideMark/>
          </w:tcPr>
          <w:p w:rsidR="003F0BAF" w:rsidRPr="007C40BE" w:rsidRDefault="003F0BAF" w:rsidP="0047799C">
            <w:pPr>
              <w:jc w:val="center"/>
              <w:rPr>
                <w:i/>
                <w:sz w:val="20"/>
              </w:rPr>
            </w:pPr>
            <w:r w:rsidRPr="007C40BE">
              <w:rPr>
                <w:i/>
                <w:sz w:val="20"/>
              </w:rPr>
              <w:t>36,822</w:t>
            </w:r>
          </w:p>
        </w:tc>
        <w:tc>
          <w:tcPr>
            <w:tcW w:w="952" w:type="dxa"/>
            <w:hideMark/>
          </w:tcPr>
          <w:p w:rsidR="003F0BAF" w:rsidRPr="007C40BE" w:rsidRDefault="003F0BAF" w:rsidP="0047799C">
            <w:pPr>
              <w:jc w:val="center"/>
              <w:rPr>
                <w:i/>
                <w:sz w:val="20"/>
              </w:rPr>
            </w:pPr>
            <w:r w:rsidRPr="007C40BE">
              <w:rPr>
                <w:i/>
                <w:sz w:val="20"/>
              </w:rPr>
              <w:t>36,000</w:t>
            </w:r>
          </w:p>
        </w:tc>
        <w:tc>
          <w:tcPr>
            <w:tcW w:w="931" w:type="dxa"/>
            <w:hideMark/>
          </w:tcPr>
          <w:p w:rsidR="003F0BAF" w:rsidRPr="007C40BE" w:rsidRDefault="003F0BAF" w:rsidP="0047799C">
            <w:pPr>
              <w:jc w:val="center"/>
              <w:rPr>
                <w:i/>
                <w:sz w:val="20"/>
              </w:rPr>
            </w:pPr>
            <w:r w:rsidRPr="007C40BE">
              <w:rPr>
                <w:i/>
                <w:sz w:val="20"/>
              </w:rPr>
              <w:t>822</w:t>
            </w:r>
          </w:p>
        </w:tc>
        <w:tc>
          <w:tcPr>
            <w:tcW w:w="1057" w:type="dxa"/>
            <w:hideMark/>
          </w:tcPr>
          <w:p w:rsidR="003F0BAF" w:rsidRPr="007C40BE" w:rsidRDefault="003F0BAF" w:rsidP="0047799C">
            <w:pPr>
              <w:jc w:val="center"/>
              <w:rPr>
                <w:i/>
                <w:sz w:val="20"/>
              </w:rPr>
            </w:pPr>
            <w:r w:rsidRPr="007C40BE">
              <w:rPr>
                <w:i/>
                <w:sz w:val="20"/>
              </w:rPr>
              <w:t>2.28%</w:t>
            </w:r>
          </w:p>
        </w:tc>
        <w:tc>
          <w:tcPr>
            <w:tcW w:w="951" w:type="dxa"/>
            <w:hideMark/>
          </w:tcPr>
          <w:p w:rsidR="003F0BAF" w:rsidRPr="007C40BE" w:rsidRDefault="003F0BAF" w:rsidP="0047799C">
            <w:pPr>
              <w:jc w:val="center"/>
              <w:rPr>
                <w:i/>
                <w:sz w:val="20"/>
              </w:rPr>
            </w:pPr>
            <w:r w:rsidRPr="007C40BE">
              <w:rPr>
                <w:i/>
                <w:sz w:val="20"/>
              </w:rPr>
              <w:t>4,149</w:t>
            </w:r>
          </w:p>
        </w:tc>
        <w:tc>
          <w:tcPr>
            <w:tcW w:w="1094" w:type="dxa"/>
            <w:hideMark/>
          </w:tcPr>
          <w:p w:rsidR="003F0BAF" w:rsidRPr="007C40BE" w:rsidRDefault="003F0BAF" w:rsidP="0047799C">
            <w:pPr>
              <w:jc w:val="center"/>
              <w:rPr>
                <w:i/>
                <w:sz w:val="20"/>
              </w:rPr>
            </w:pPr>
            <w:r w:rsidRPr="007C40BE">
              <w:rPr>
                <w:i/>
                <w:sz w:val="20"/>
              </w:rPr>
              <w:t>12.70%</w:t>
            </w:r>
          </w:p>
        </w:tc>
      </w:tr>
      <w:tr w:rsidR="003F0BAF" w:rsidRPr="007C40BE" w:rsidTr="00DE3C0A">
        <w:trPr>
          <w:trHeight w:val="258"/>
          <w:jc w:val="center"/>
        </w:trPr>
        <w:tc>
          <w:tcPr>
            <w:tcW w:w="2241" w:type="dxa"/>
            <w:hideMark/>
          </w:tcPr>
          <w:p w:rsidR="003F0BAF" w:rsidRPr="007C40BE" w:rsidRDefault="003F0BAF" w:rsidP="00C424E5">
            <w:pPr>
              <w:rPr>
                <w:i/>
                <w:sz w:val="20"/>
              </w:rPr>
            </w:pPr>
            <w:r w:rsidRPr="007C40BE">
              <w:rPr>
                <w:b/>
                <w:bCs/>
                <w:i/>
                <w:sz w:val="20"/>
              </w:rPr>
              <w:t>Totali i përgjithshëm i DPT</w:t>
            </w:r>
          </w:p>
        </w:tc>
        <w:tc>
          <w:tcPr>
            <w:tcW w:w="796" w:type="dxa"/>
            <w:hideMark/>
          </w:tcPr>
          <w:p w:rsidR="003F0BAF" w:rsidRPr="007C40BE" w:rsidRDefault="003F0BAF" w:rsidP="0047799C">
            <w:pPr>
              <w:jc w:val="center"/>
              <w:rPr>
                <w:i/>
                <w:sz w:val="20"/>
              </w:rPr>
            </w:pPr>
            <w:r w:rsidRPr="007C40BE">
              <w:rPr>
                <w:b/>
                <w:bCs/>
                <w:i/>
                <w:sz w:val="20"/>
              </w:rPr>
              <w:t>87,598</w:t>
            </w:r>
          </w:p>
        </w:tc>
        <w:tc>
          <w:tcPr>
            <w:tcW w:w="896" w:type="dxa"/>
            <w:hideMark/>
          </w:tcPr>
          <w:p w:rsidR="003F0BAF" w:rsidRPr="007C40BE" w:rsidRDefault="003F0BAF" w:rsidP="0047799C">
            <w:pPr>
              <w:jc w:val="center"/>
              <w:rPr>
                <w:i/>
                <w:sz w:val="20"/>
              </w:rPr>
            </w:pPr>
            <w:r w:rsidRPr="007C40BE">
              <w:rPr>
                <w:b/>
                <w:bCs/>
                <w:i/>
                <w:sz w:val="20"/>
              </w:rPr>
              <w:t>101,444</w:t>
            </w:r>
          </w:p>
        </w:tc>
        <w:tc>
          <w:tcPr>
            <w:tcW w:w="952" w:type="dxa"/>
            <w:hideMark/>
          </w:tcPr>
          <w:p w:rsidR="003F0BAF" w:rsidRPr="007C40BE" w:rsidRDefault="003F0BAF" w:rsidP="0047799C">
            <w:pPr>
              <w:jc w:val="center"/>
              <w:rPr>
                <w:i/>
                <w:sz w:val="20"/>
              </w:rPr>
            </w:pPr>
            <w:r w:rsidRPr="007C40BE">
              <w:rPr>
                <w:b/>
                <w:bCs/>
                <w:i/>
                <w:sz w:val="20"/>
              </w:rPr>
              <w:t>98,795</w:t>
            </w:r>
          </w:p>
        </w:tc>
        <w:tc>
          <w:tcPr>
            <w:tcW w:w="931" w:type="dxa"/>
            <w:hideMark/>
          </w:tcPr>
          <w:p w:rsidR="003F0BAF" w:rsidRPr="007C40BE" w:rsidRDefault="003F0BAF" w:rsidP="0047799C">
            <w:pPr>
              <w:jc w:val="center"/>
              <w:rPr>
                <w:i/>
                <w:sz w:val="20"/>
              </w:rPr>
            </w:pPr>
            <w:r w:rsidRPr="007C40BE">
              <w:rPr>
                <w:b/>
                <w:bCs/>
                <w:i/>
                <w:sz w:val="20"/>
              </w:rPr>
              <w:t>2,649</w:t>
            </w:r>
          </w:p>
        </w:tc>
        <w:tc>
          <w:tcPr>
            <w:tcW w:w="1057" w:type="dxa"/>
            <w:hideMark/>
          </w:tcPr>
          <w:p w:rsidR="003F0BAF" w:rsidRPr="007C40BE" w:rsidRDefault="003F0BAF" w:rsidP="0047799C">
            <w:pPr>
              <w:jc w:val="center"/>
              <w:rPr>
                <w:i/>
                <w:sz w:val="20"/>
              </w:rPr>
            </w:pPr>
            <w:r w:rsidRPr="007C40BE">
              <w:rPr>
                <w:b/>
                <w:bCs/>
                <w:i/>
                <w:sz w:val="20"/>
              </w:rPr>
              <w:t>2.68%</w:t>
            </w:r>
          </w:p>
        </w:tc>
        <w:tc>
          <w:tcPr>
            <w:tcW w:w="951" w:type="dxa"/>
            <w:hideMark/>
          </w:tcPr>
          <w:p w:rsidR="003F0BAF" w:rsidRPr="007C40BE" w:rsidRDefault="003F0BAF" w:rsidP="0047799C">
            <w:pPr>
              <w:jc w:val="center"/>
              <w:rPr>
                <w:i/>
                <w:sz w:val="20"/>
              </w:rPr>
            </w:pPr>
            <w:r w:rsidRPr="007C40BE">
              <w:rPr>
                <w:b/>
                <w:bCs/>
                <w:i/>
                <w:sz w:val="20"/>
              </w:rPr>
              <w:t>13,846</w:t>
            </w:r>
          </w:p>
        </w:tc>
        <w:tc>
          <w:tcPr>
            <w:tcW w:w="1094" w:type="dxa"/>
            <w:hideMark/>
          </w:tcPr>
          <w:p w:rsidR="003F0BAF" w:rsidRPr="007C40BE" w:rsidRDefault="003F0BAF" w:rsidP="0047799C">
            <w:pPr>
              <w:jc w:val="center"/>
              <w:rPr>
                <w:i/>
                <w:sz w:val="20"/>
              </w:rPr>
            </w:pPr>
            <w:r w:rsidRPr="007C40BE">
              <w:rPr>
                <w:b/>
                <w:bCs/>
                <w:i/>
                <w:sz w:val="20"/>
              </w:rPr>
              <w:t>15.81%</w:t>
            </w:r>
          </w:p>
        </w:tc>
      </w:tr>
    </w:tbl>
    <w:p w:rsidR="003F0BAF" w:rsidRPr="007C40BE" w:rsidRDefault="003F0BAF" w:rsidP="003F0BAF">
      <w:pPr>
        <w:rPr>
          <w:b/>
        </w:rPr>
      </w:pPr>
    </w:p>
    <w:p w:rsidR="003F0BAF" w:rsidRPr="007C40BE" w:rsidRDefault="003F0BAF" w:rsidP="007E3D9C">
      <w:pPr>
        <w:spacing w:line="360" w:lineRule="auto"/>
        <w:jc w:val="both"/>
        <w:rPr>
          <w:b/>
        </w:rPr>
      </w:pPr>
      <w:r w:rsidRPr="007C40BE">
        <w:rPr>
          <w:b/>
        </w:rPr>
        <w:t>TVSH</w:t>
      </w:r>
    </w:p>
    <w:p w:rsidR="003F0BAF" w:rsidRPr="007C40BE" w:rsidRDefault="003F0BAF" w:rsidP="007E3D9C">
      <w:pPr>
        <w:spacing w:line="360" w:lineRule="auto"/>
        <w:jc w:val="both"/>
      </w:pPr>
      <w:r w:rsidRPr="007C40BE">
        <w:t>Të ardhurat nga TVSH-ja brenda vendit janë realizuar në vlerën 17 miliard lekë, 18.3 % më shumë se 6 mujori i vitit 2015 dhe me një realizim të planit të periudhës në masën 97.3%, ose rreth 470 milion  lekë më pak. Faktor që ka ndikuar në këtë rezultat ka qenë rritja e rimbursimeve me 21.3 % ose 710 milion lekë më shumë si rezultat i masave përmirësuese për thjeshtëzimin dhe reduktikimin e procedurave të rimbursimit të TVSH-së.</w:t>
      </w:r>
    </w:p>
    <w:p w:rsidR="003F0BAF" w:rsidRPr="007C40BE" w:rsidRDefault="003F0BAF" w:rsidP="007E3D9C">
      <w:pPr>
        <w:jc w:val="center"/>
        <w:rPr>
          <w:i/>
          <w:sz w:val="20"/>
          <w:szCs w:val="20"/>
        </w:rPr>
      </w:pPr>
      <w:r w:rsidRPr="007C40BE">
        <w:rPr>
          <w:i/>
          <w:sz w:val="20"/>
          <w:szCs w:val="20"/>
        </w:rPr>
        <w:t>Grafiku  paraqet të ardhurat  e realizuara nga TVSH brenda vendit  për peridhën 6 mujore në vite</w:t>
      </w:r>
    </w:p>
    <w:p w:rsidR="003F0BAF" w:rsidRPr="007C40BE" w:rsidRDefault="003F0BAF" w:rsidP="003F0BAF">
      <w:pPr>
        <w:rPr>
          <w:i/>
          <w:sz w:val="20"/>
          <w:szCs w:val="20"/>
        </w:rPr>
      </w:pPr>
    </w:p>
    <w:p w:rsidR="007E3D9C" w:rsidRPr="007C40BE" w:rsidRDefault="007E3D9C" w:rsidP="003F0BAF">
      <w:pPr>
        <w:rPr>
          <w:i/>
          <w:sz w:val="20"/>
          <w:szCs w:val="20"/>
        </w:rPr>
      </w:pPr>
      <w:r w:rsidRPr="007C40BE">
        <w:rPr>
          <w:noProof/>
        </w:rPr>
        <w:drawing>
          <wp:inline distT="0" distB="0" distL="0" distR="0" wp14:anchorId="52A428BA" wp14:editId="7EBB41A1">
            <wp:extent cx="5743575" cy="1971675"/>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F0BAF" w:rsidRPr="007C40BE" w:rsidRDefault="003F0BAF" w:rsidP="007E3D9C">
      <w:pPr>
        <w:jc w:val="center"/>
        <w:rPr>
          <w:i/>
          <w:sz w:val="20"/>
          <w:szCs w:val="20"/>
        </w:rPr>
      </w:pPr>
      <w:r w:rsidRPr="007C40BE">
        <w:rPr>
          <w:i/>
          <w:sz w:val="20"/>
          <w:szCs w:val="20"/>
        </w:rPr>
        <w:lastRenderedPageBreak/>
        <w:t>Grafikët 07 &amp; 08 paraqesin kontributin në TVSH-në bruto të sektorëve të ekonomisë për 6 mujorin e vitit 2016</w:t>
      </w:r>
    </w:p>
    <w:p w:rsidR="003F0BAF" w:rsidRPr="007C40BE" w:rsidRDefault="003F0BAF" w:rsidP="003F0BAF"/>
    <w:p w:rsidR="003F0BAF" w:rsidRPr="007C40BE" w:rsidRDefault="003F0BAF" w:rsidP="007E3D9C">
      <w:pPr>
        <w:jc w:val="center"/>
      </w:pPr>
      <w:r w:rsidRPr="007C40BE">
        <w:rPr>
          <w:noProof/>
        </w:rPr>
        <w:drawing>
          <wp:inline distT="0" distB="0" distL="0" distR="0" wp14:anchorId="70D1CA6D" wp14:editId="3B4FAB10">
            <wp:extent cx="4648200" cy="238125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F0BAF" w:rsidRPr="007C40BE" w:rsidRDefault="003F0BAF" w:rsidP="007E3D9C">
      <w:pPr>
        <w:spacing w:line="360" w:lineRule="auto"/>
        <w:jc w:val="both"/>
        <w:rPr>
          <w:b/>
        </w:rPr>
      </w:pPr>
      <w:r w:rsidRPr="007C40BE">
        <w:rPr>
          <w:b/>
        </w:rPr>
        <w:t>Tatimi mbi Fitimin</w:t>
      </w:r>
    </w:p>
    <w:p w:rsidR="003F0BAF" w:rsidRPr="007C40BE" w:rsidRDefault="003F0BAF" w:rsidP="007E3D9C">
      <w:pPr>
        <w:spacing w:line="360" w:lineRule="auto"/>
        <w:jc w:val="both"/>
      </w:pPr>
      <w:r w:rsidRPr="007C40BE">
        <w:t>Të ardhurat nga  tatimi mbi fitimin janë realizuar në vlerën 16.5 miliard lekë, 21.8% më shumë se e njëjta periudhë e vitit të kaluar dhe</w:t>
      </w:r>
      <w:r w:rsidRPr="007C40BE">
        <w:rPr>
          <w:color w:val="FF0000"/>
        </w:rPr>
        <w:t xml:space="preserve"> </w:t>
      </w:r>
      <w:r w:rsidRPr="007C40BE">
        <w:t>25.4 % më shumë se plani. Ndikimin kryesor në këtë rezultat e ka patur rritja e ndërgjegjësimit të taksapaguesve për deklarimin real të transaksioneve në import dhe zinxhirin e shitjeve. Faktorë të tjerë përmendim: fazën e dyte të planit të veprimit kundër informalitetit të orientuar drejt kontrolleve bazuar në analizën e riskut dhe në vazhdimësine e proçeseve. Thjeshtëzimi i proçedurave të deklarimit dhe instalimi i një komunikimi permanent me operatorët e biznesit po gjeneron performancë më të lartë.</w:t>
      </w:r>
    </w:p>
    <w:p w:rsidR="0000785B" w:rsidRPr="007C40BE" w:rsidRDefault="0000785B" w:rsidP="007E3D9C">
      <w:pPr>
        <w:spacing w:line="360" w:lineRule="auto"/>
        <w:jc w:val="both"/>
        <w:rPr>
          <w:sz w:val="16"/>
          <w:szCs w:val="16"/>
        </w:rPr>
      </w:pPr>
    </w:p>
    <w:p w:rsidR="003F0BAF" w:rsidRPr="007C40BE" w:rsidRDefault="003F0BAF" w:rsidP="007E3D9C">
      <w:pPr>
        <w:jc w:val="center"/>
        <w:rPr>
          <w:i/>
          <w:sz w:val="20"/>
          <w:szCs w:val="20"/>
        </w:rPr>
      </w:pPr>
      <w:r w:rsidRPr="007C40BE">
        <w:rPr>
          <w:i/>
          <w:sz w:val="20"/>
          <w:szCs w:val="20"/>
        </w:rPr>
        <w:t>Grafiku paraqet të ardhurat  e realizuara nga Tatimi mbi fitimin  për peridhën 6 mujore në vite</w:t>
      </w:r>
    </w:p>
    <w:p w:rsidR="003F0BAF" w:rsidRPr="007C40BE" w:rsidRDefault="003F0BAF" w:rsidP="003F0BAF">
      <w:pPr>
        <w:rPr>
          <w:b/>
        </w:rPr>
      </w:pPr>
    </w:p>
    <w:p w:rsidR="003F0BAF" w:rsidRPr="007C40BE" w:rsidRDefault="007E3D9C" w:rsidP="003F0BAF">
      <w:pPr>
        <w:rPr>
          <w:b/>
        </w:rPr>
      </w:pPr>
      <w:r w:rsidRPr="007C40BE">
        <w:rPr>
          <w:i/>
          <w:noProof/>
        </w:rPr>
        <w:drawing>
          <wp:inline distT="0" distB="0" distL="0" distR="0" wp14:anchorId="7A625B34" wp14:editId="2A51C44A">
            <wp:extent cx="6238875" cy="291465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F0BAF" w:rsidRPr="007C40BE" w:rsidRDefault="003F0BAF" w:rsidP="003F0BAF">
      <w:pPr>
        <w:rPr>
          <w:b/>
        </w:rPr>
      </w:pPr>
    </w:p>
    <w:p w:rsidR="007E3D9C" w:rsidRPr="007C40BE" w:rsidRDefault="007E3D9C" w:rsidP="003F0BAF">
      <w:pPr>
        <w:rPr>
          <w:b/>
        </w:rPr>
      </w:pPr>
    </w:p>
    <w:p w:rsidR="003F0BAF" w:rsidRPr="007C40BE" w:rsidRDefault="003F0BAF" w:rsidP="007E3D9C">
      <w:pPr>
        <w:spacing w:line="360" w:lineRule="auto"/>
        <w:jc w:val="both"/>
      </w:pPr>
      <w:r w:rsidRPr="007C40BE">
        <w:rPr>
          <w:b/>
        </w:rPr>
        <w:lastRenderedPageBreak/>
        <w:t>Tatimi mbi të Ardhurat Personale</w:t>
      </w:r>
    </w:p>
    <w:p w:rsidR="003F0BAF" w:rsidRPr="007C40BE" w:rsidRDefault="003F0BAF" w:rsidP="007E3D9C">
      <w:pPr>
        <w:spacing w:line="360" w:lineRule="auto"/>
        <w:jc w:val="both"/>
        <w:rPr>
          <w:color w:val="FF0000"/>
        </w:rPr>
      </w:pPr>
      <w:r w:rsidRPr="007C40BE">
        <w:t>Nga tatimi mbi të ardhurat personale janë realizuar 16 miliard lekë, që do të thotë se kontributi i këtij zëri në të ardhura është 18.5% më shumë se 6 mujori i vitit 2015 dhe 0.9% më shumë se plani.</w:t>
      </w:r>
    </w:p>
    <w:p w:rsidR="003F0BAF" w:rsidRPr="007C40BE" w:rsidRDefault="003F0BAF" w:rsidP="007E3D9C">
      <w:pPr>
        <w:jc w:val="center"/>
        <w:rPr>
          <w:i/>
          <w:sz w:val="20"/>
          <w:szCs w:val="20"/>
        </w:rPr>
      </w:pPr>
      <w:r w:rsidRPr="007C40BE">
        <w:rPr>
          <w:i/>
          <w:sz w:val="20"/>
          <w:szCs w:val="20"/>
        </w:rPr>
        <w:t>Grafiku paraqet të ardhurat  e realizuara nga Tatimi mbi të ardhurat Personale  për peridhën 6 mujore në vite</w:t>
      </w:r>
    </w:p>
    <w:p w:rsidR="003F0BAF" w:rsidRPr="007C40BE" w:rsidRDefault="003F0BAF" w:rsidP="003F0BAF">
      <w:pPr>
        <w:rPr>
          <w:i/>
        </w:rPr>
      </w:pPr>
    </w:p>
    <w:p w:rsidR="007E3D9C" w:rsidRPr="007C40BE" w:rsidRDefault="007E3D9C" w:rsidP="003F0BAF">
      <w:pPr>
        <w:rPr>
          <w:b/>
        </w:rPr>
      </w:pPr>
      <w:r w:rsidRPr="007C40BE">
        <w:rPr>
          <w:i/>
          <w:noProof/>
        </w:rPr>
        <w:drawing>
          <wp:inline distT="0" distB="0" distL="0" distR="0" wp14:anchorId="1DE42207" wp14:editId="53FA2389">
            <wp:extent cx="6143625" cy="219075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E3D9C" w:rsidRPr="007C40BE" w:rsidRDefault="007E3D9C" w:rsidP="003F0BAF">
      <w:pPr>
        <w:rPr>
          <w:b/>
        </w:rPr>
      </w:pPr>
    </w:p>
    <w:p w:rsidR="0000785B" w:rsidRPr="007C40BE" w:rsidRDefault="0000785B" w:rsidP="00BA698A">
      <w:pPr>
        <w:spacing w:line="360" w:lineRule="auto"/>
        <w:jc w:val="both"/>
        <w:rPr>
          <w:b/>
          <w:sz w:val="16"/>
          <w:szCs w:val="16"/>
        </w:rPr>
      </w:pPr>
    </w:p>
    <w:p w:rsidR="003F0BAF" w:rsidRPr="007C40BE" w:rsidRDefault="003F0BAF" w:rsidP="00BA698A">
      <w:pPr>
        <w:spacing w:line="360" w:lineRule="auto"/>
        <w:jc w:val="both"/>
        <w:rPr>
          <w:b/>
        </w:rPr>
      </w:pPr>
      <w:r w:rsidRPr="007C40BE">
        <w:rPr>
          <w:b/>
        </w:rPr>
        <w:t>Taksat Nacionale</w:t>
      </w:r>
    </w:p>
    <w:p w:rsidR="003F0BAF" w:rsidRPr="007C40BE" w:rsidRDefault="003F0BAF" w:rsidP="00BA698A">
      <w:pPr>
        <w:spacing w:line="360" w:lineRule="auto"/>
        <w:jc w:val="both"/>
      </w:pPr>
      <w:r w:rsidRPr="007C40BE">
        <w:t xml:space="preserve">Edhe zëri “Taksat Nacionale” paraqitet me një performancë pozitive duke realizuar 15 miliard lekë, 12% më shumë se 6 mujori i vitit 2015, dhe  me  një realizim të planit në masën 92.6% ose rreth 1.2 miliard lekë më pak.  Faktor që ka ndikuar në këtë diferencë në masën më të madhe ka ardhur nga konjuktura e çmimit ndërkombëtar të mineraleve duke sjellë uljen e sasisë dhe vlerës për njësi. </w:t>
      </w:r>
    </w:p>
    <w:p w:rsidR="003F0BAF" w:rsidRPr="007C40BE" w:rsidRDefault="003F0BAF" w:rsidP="007E3D9C">
      <w:pPr>
        <w:jc w:val="center"/>
        <w:rPr>
          <w:i/>
          <w:sz w:val="20"/>
          <w:szCs w:val="20"/>
        </w:rPr>
      </w:pPr>
      <w:r w:rsidRPr="007C40BE">
        <w:rPr>
          <w:i/>
          <w:sz w:val="20"/>
          <w:szCs w:val="20"/>
        </w:rPr>
        <w:t>Grafiku 14 paraqet të ardhurat  e realizuara nga Tatimi mbi të ardhurat Personale  për peridhën 6 mujore në vite</w:t>
      </w:r>
    </w:p>
    <w:p w:rsidR="003F0BAF" w:rsidRPr="007C40BE" w:rsidRDefault="003F0BAF" w:rsidP="003F0BAF"/>
    <w:p w:rsidR="007E3D9C" w:rsidRPr="007C40BE" w:rsidRDefault="007E3D9C" w:rsidP="003F0BAF">
      <w:pPr>
        <w:rPr>
          <w:b/>
        </w:rPr>
      </w:pPr>
      <w:r w:rsidRPr="007C40BE">
        <w:rPr>
          <w:noProof/>
        </w:rPr>
        <w:drawing>
          <wp:inline distT="0" distB="0" distL="0" distR="0" wp14:anchorId="3E321310" wp14:editId="221233EA">
            <wp:extent cx="6257925" cy="2771775"/>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bl>
      <w:tblPr>
        <w:tblStyle w:val="TableWeb3"/>
        <w:tblpPr w:leftFromText="180" w:rightFromText="180" w:vertAnchor="page" w:horzAnchor="margin" w:tblpXSpec="center" w:tblpY="856"/>
        <w:tblW w:w="8520" w:type="dxa"/>
        <w:tblLook w:val="0600" w:firstRow="0" w:lastRow="0" w:firstColumn="0" w:lastColumn="0" w:noHBand="1" w:noVBand="1"/>
      </w:tblPr>
      <w:tblGrid>
        <w:gridCol w:w="2121"/>
        <w:gridCol w:w="2437"/>
        <w:gridCol w:w="1971"/>
        <w:gridCol w:w="1991"/>
      </w:tblGrid>
      <w:tr w:rsidR="00C919C6" w:rsidRPr="007C40BE" w:rsidTr="00C919C6">
        <w:trPr>
          <w:trHeight w:val="120"/>
        </w:trPr>
        <w:tc>
          <w:tcPr>
            <w:tcW w:w="2061" w:type="dxa"/>
            <w:hideMark/>
          </w:tcPr>
          <w:p w:rsidR="00C919C6" w:rsidRPr="007C40BE" w:rsidRDefault="00C919C6" w:rsidP="00C919C6">
            <w:pPr>
              <w:jc w:val="center"/>
              <w:rPr>
                <w:sz w:val="20"/>
                <w:szCs w:val="20"/>
              </w:rPr>
            </w:pPr>
            <w:r w:rsidRPr="007C40BE">
              <w:rPr>
                <w:b/>
                <w:bCs/>
                <w:sz w:val="20"/>
                <w:szCs w:val="20"/>
              </w:rPr>
              <w:lastRenderedPageBreak/>
              <w:t>Periudha</w:t>
            </w:r>
          </w:p>
        </w:tc>
        <w:tc>
          <w:tcPr>
            <w:tcW w:w="2397" w:type="dxa"/>
            <w:hideMark/>
          </w:tcPr>
          <w:p w:rsidR="00C919C6" w:rsidRPr="007C40BE" w:rsidRDefault="00C919C6" w:rsidP="00C919C6">
            <w:pPr>
              <w:jc w:val="center"/>
              <w:rPr>
                <w:sz w:val="20"/>
                <w:szCs w:val="20"/>
              </w:rPr>
            </w:pPr>
            <w:r w:rsidRPr="007C40BE">
              <w:rPr>
                <w:b/>
                <w:bCs/>
                <w:sz w:val="20"/>
                <w:szCs w:val="20"/>
              </w:rPr>
              <w:t>Nr. kontribuesish aktiv</w:t>
            </w:r>
          </w:p>
        </w:tc>
        <w:tc>
          <w:tcPr>
            <w:tcW w:w="1931" w:type="dxa"/>
            <w:hideMark/>
          </w:tcPr>
          <w:p w:rsidR="00C919C6" w:rsidRPr="007C40BE" w:rsidRDefault="00C919C6" w:rsidP="00C919C6">
            <w:pPr>
              <w:jc w:val="center"/>
              <w:rPr>
                <w:sz w:val="20"/>
                <w:szCs w:val="20"/>
              </w:rPr>
            </w:pPr>
            <w:r w:rsidRPr="007C40BE">
              <w:rPr>
                <w:b/>
                <w:bCs/>
                <w:sz w:val="20"/>
                <w:szCs w:val="20"/>
              </w:rPr>
              <w:t>Rritja (nr)</w:t>
            </w:r>
          </w:p>
        </w:tc>
        <w:tc>
          <w:tcPr>
            <w:tcW w:w="1931" w:type="dxa"/>
            <w:hideMark/>
          </w:tcPr>
          <w:p w:rsidR="00C919C6" w:rsidRPr="007C40BE" w:rsidRDefault="00C919C6" w:rsidP="00C919C6">
            <w:pPr>
              <w:jc w:val="center"/>
              <w:rPr>
                <w:sz w:val="20"/>
                <w:szCs w:val="20"/>
              </w:rPr>
            </w:pPr>
            <w:r w:rsidRPr="007C40BE">
              <w:rPr>
                <w:b/>
                <w:bCs/>
                <w:sz w:val="20"/>
                <w:szCs w:val="20"/>
              </w:rPr>
              <w:t>Rritja (%)</w:t>
            </w:r>
          </w:p>
        </w:tc>
      </w:tr>
      <w:tr w:rsidR="00C919C6" w:rsidRPr="007C40BE" w:rsidTr="00C919C6">
        <w:trPr>
          <w:trHeight w:val="141"/>
        </w:trPr>
        <w:tc>
          <w:tcPr>
            <w:tcW w:w="2061" w:type="dxa"/>
            <w:hideMark/>
          </w:tcPr>
          <w:p w:rsidR="00C919C6" w:rsidRPr="007C40BE" w:rsidRDefault="00C919C6" w:rsidP="00C919C6">
            <w:pPr>
              <w:jc w:val="center"/>
              <w:rPr>
                <w:sz w:val="20"/>
                <w:szCs w:val="20"/>
              </w:rPr>
            </w:pPr>
            <w:r w:rsidRPr="007C40BE">
              <w:rPr>
                <w:b/>
                <w:bCs/>
                <w:sz w:val="20"/>
                <w:szCs w:val="20"/>
              </w:rPr>
              <w:t>Dhjetor 2015</w:t>
            </w:r>
          </w:p>
        </w:tc>
        <w:tc>
          <w:tcPr>
            <w:tcW w:w="2397" w:type="dxa"/>
            <w:hideMark/>
          </w:tcPr>
          <w:p w:rsidR="00C919C6" w:rsidRPr="007C40BE" w:rsidRDefault="00C919C6" w:rsidP="00C919C6">
            <w:pPr>
              <w:jc w:val="center"/>
              <w:rPr>
                <w:sz w:val="20"/>
                <w:szCs w:val="20"/>
              </w:rPr>
            </w:pPr>
            <w:r w:rsidRPr="007C40BE">
              <w:rPr>
                <w:b/>
                <w:bCs/>
                <w:sz w:val="20"/>
                <w:szCs w:val="20"/>
              </w:rPr>
              <w:t>571,960</w:t>
            </w:r>
          </w:p>
        </w:tc>
        <w:tc>
          <w:tcPr>
            <w:tcW w:w="1931" w:type="dxa"/>
            <w:hideMark/>
          </w:tcPr>
          <w:p w:rsidR="00C919C6" w:rsidRPr="007C40BE" w:rsidRDefault="00C919C6" w:rsidP="00C919C6">
            <w:pPr>
              <w:jc w:val="center"/>
              <w:rPr>
                <w:sz w:val="20"/>
                <w:szCs w:val="20"/>
              </w:rPr>
            </w:pPr>
          </w:p>
        </w:tc>
        <w:tc>
          <w:tcPr>
            <w:tcW w:w="1931" w:type="dxa"/>
            <w:hideMark/>
          </w:tcPr>
          <w:p w:rsidR="00C919C6" w:rsidRPr="007C40BE" w:rsidRDefault="00C919C6" w:rsidP="00C919C6">
            <w:pPr>
              <w:jc w:val="center"/>
              <w:rPr>
                <w:sz w:val="20"/>
                <w:szCs w:val="20"/>
              </w:rPr>
            </w:pPr>
          </w:p>
        </w:tc>
      </w:tr>
      <w:tr w:rsidR="00C919C6" w:rsidRPr="007C40BE" w:rsidTr="00C919C6">
        <w:trPr>
          <w:trHeight w:val="131"/>
        </w:trPr>
        <w:tc>
          <w:tcPr>
            <w:tcW w:w="2061" w:type="dxa"/>
            <w:hideMark/>
          </w:tcPr>
          <w:p w:rsidR="00C919C6" w:rsidRPr="007C40BE" w:rsidRDefault="00C919C6" w:rsidP="00C919C6">
            <w:pPr>
              <w:jc w:val="center"/>
              <w:rPr>
                <w:sz w:val="20"/>
                <w:szCs w:val="20"/>
              </w:rPr>
            </w:pPr>
            <w:r w:rsidRPr="007C40BE">
              <w:rPr>
                <w:b/>
                <w:bCs/>
                <w:sz w:val="20"/>
                <w:szCs w:val="20"/>
              </w:rPr>
              <w:t>Mars 2016</w:t>
            </w:r>
          </w:p>
        </w:tc>
        <w:tc>
          <w:tcPr>
            <w:tcW w:w="2397" w:type="dxa"/>
            <w:hideMark/>
          </w:tcPr>
          <w:p w:rsidR="00C919C6" w:rsidRPr="007C40BE" w:rsidRDefault="00C919C6" w:rsidP="00C919C6">
            <w:pPr>
              <w:jc w:val="center"/>
              <w:rPr>
                <w:sz w:val="20"/>
                <w:szCs w:val="20"/>
              </w:rPr>
            </w:pPr>
            <w:r w:rsidRPr="007C40BE">
              <w:rPr>
                <w:b/>
                <w:bCs/>
                <w:sz w:val="20"/>
                <w:szCs w:val="20"/>
              </w:rPr>
              <w:t>592,431</w:t>
            </w:r>
          </w:p>
        </w:tc>
        <w:tc>
          <w:tcPr>
            <w:tcW w:w="1931" w:type="dxa"/>
            <w:hideMark/>
          </w:tcPr>
          <w:p w:rsidR="00C919C6" w:rsidRPr="007C40BE" w:rsidRDefault="00C919C6" w:rsidP="00C919C6">
            <w:pPr>
              <w:jc w:val="center"/>
              <w:rPr>
                <w:sz w:val="20"/>
                <w:szCs w:val="20"/>
              </w:rPr>
            </w:pPr>
            <w:r w:rsidRPr="007C40BE">
              <w:rPr>
                <w:b/>
                <w:bCs/>
                <w:sz w:val="20"/>
                <w:szCs w:val="20"/>
              </w:rPr>
              <w:t>20,471</w:t>
            </w:r>
          </w:p>
        </w:tc>
        <w:tc>
          <w:tcPr>
            <w:tcW w:w="1931" w:type="dxa"/>
            <w:hideMark/>
          </w:tcPr>
          <w:p w:rsidR="00C919C6" w:rsidRPr="007C40BE" w:rsidRDefault="00C919C6" w:rsidP="00C919C6">
            <w:pPr>
              <w:jc w:val="center"/>
              <w:rPr>
                <w:sz w:val="20"/>
                <w:szCs w:val="20"/>
              </w:rPr>
            </w:pPr>
            <w:r w:rsidRPr="007C40BE">
              <w:rPr>
                <w:b/>
                <w:bCs/>
                <w:sz w:val="20"/>
                <w:szCs w:val="20"/>
              </w:rPr>
              <w:t>4%</w:t>
            </w:r>
          </w:p>
        </w:tc>
      </w:tr>
      <w:tr w:rsidR="00C919C6" w:rsidRPr="007C40BE" w:rsidTr="00C919C6">
        <w:trPr>
          <w:trHeight w:val="131"/>
        </w:trPr>
        <w:tc>
          <w:tcPr>
            <w:tcW w:w="2061" w:type="dxa"/>
            <w:hideMark/>
          </w:tcPr>
          <w:p w:rsidR="00C919C6" w:rsidRPr="007C40BE" w:rsidRDefault="00C919C6" w:rsidP="00C919C6">
            <w:pPr>
              <w:jc w:val="center"/>
              <w:rPr>
                <w:sz w:val="20"/>
                <w:szCs w:val="20"/>
              </w:rPr>
            </w:pPr>
            <w:r w:rsidRPr="007C40BE">
              <w:rPr>
                <w:b/>
                <w:bCs/>
                <w:sz w:val="20"/>
                <w:szCs w:val="20"/>
              </w:rPr>
              <w:t>Qershor 2016</w:t>
            </w:r>
          </w:p>
        </w:tc>
        <w:tc>
          <w:tcPr>
            <w:tcW w:w="2397" w:type="dxa"/>
            <w:hideMark/>
          </w:tcPr>
          <w:p w:rsidR="00C919C6" w:rsidRPr="007C40BE" w:rsidRDefault="00C919C6" w:rsidP="00C919C6">
            <w:pPr>
              <w:jc w:val="center"/>
              <w:rPr>
                <w:sz w:val="20"/>
                <w:szCs w:val="20"/>
              </w:rPr>
            </w:pPr>
            <w:r w:rsidRPr="007C40BE">
              <w:rPr>
                <w:b/>
                <w:bCs/>
                <w:sz w:val="20"/>
                <w:szCs w:val="20"/>
              </w:rPr>
              <w:t>603,818</w:t>
            </w:r>
          </w:p>
        </w:tc>
        <w:tc>
          <w:tcPr>
            <w:tcW w:w="1931" w:type="dxa"/>
            <w:hideMark/>
          </w:tcPr>
          <w:p w:rsidR="00C919C6" w:rsidRPr="007C40BE" w:rsidRDefault="00C919C6" w:rsidP="00C919C6">
            <w:pPr>
              <w:jc w:val="center"/>
              <w:rPr>
                <w:sz w:val="20"/>
                <w:szCs w:val="20"/>
              </w:rPr>
            </w:pPr>
            <w:r w:rsidRPr="007C40BE">
              <w:rPr>
                <w:b/>
                <w:bCs/>
                <w:sz w:val="20"/>
                <w:szCs w:val="20"/>
              </w:rPr>
              <w:t>31,858</w:t>
            </w:r>
          </w:p>
        </w:tc>
        <w:tc>
          <w:tcPr>
            <w:tcW w:w="1931" w:type="dxa"/>
            <w:hideMark/>
          </w:tcPr>
          <w:p w:rsidR="00C919C6" w:rsidRPr="007C40BE" w:rsidRDefault="00C919C6" w:rsidP="00C919C6">
            <w:pPr>
              <w:jc w:val="center"/>
              <w:rPr>
                <w:sz w:val="20"/>
                <w:szCs w:val="20"/>
              </w:rPr>
            </w:pPr>
            <w:r w:rsidRPr="007C40BE">
              <w:rPr>
                <w:b/>
                <w:bCs/>
                <w:sz w:val="20"/>
                <w:szCs w:val="20"/>
              </w:rPr>
              <w:t>6%</w:t>
            </w:r>
          </w:p>
        </w:tc>
      </w:tr>
    </w:tbl>
    <w:p w:rsidR="00401AEA" w:rsidRPr="007C40BE" w:rsidRDefault="00401AEA" w:rsidP="003F0BAF">
      <w:pPr>
        <w:rPr>
          <w:b/>
        </w:rPr>
      </w:pPr>
    </w:p>
    <w:p w:rsidR="003F0BAF" w:rsidRPr="007C40BE" w:rsidRDefault="003F0BAF" w:rsidP="003F0BAF">
      <w:pPr>
        <w:rPr>
          <w:b/>
        </w:rPr>
      </w:pPr>
      <w:r w:rsidRPr="007C40BE">
        <w:rPr>
          <w:b/>
        </w:rPr>
        <w:t>Kontributet e mbledhura nga DPT</w:t>
      </w:r>
    </w:p>
    <w:p w:rsidR="003F0BAF" w:rsidRPr="007C40BE" w:rsidRDefault="003F0BAF" w:rsidP="00401AEA">
      <w:pPr>
        <w:spacing w:line="360" w:lineRule="auto"/>
        <w:jc w:val="both"/>
        <w:rPr>
          <w:color w:val="FF0000"/>
        </w:rPr>
      </w:pPr>
      <w:r w:rsidRPr="007C40BE">
        <w:t>Të ardhurat nga kontributet e DPT janë realizuar në vlerën 36.8 miliard lekë, 12.7% më shumë se 6 mujori i vitit 2015 dhe 2.3% më shumë se plani.</w:t>
      </w:r>
    </w:p>
    <w:p w:rsidR="003F0BAF" w:rsidRPr="007C40BE" w:rsidRDefault="003F0BAF" w:rsidP="00401AEA">
      <w:pPr>
        <w:jc w:val="center"/>
        <w:rPr>
          <w:i/>
          <w:sz w:val="20"/>
          <w:szCs w:val="20"/>
        </w:rPr>
      </w:pPr>
      <w:r w:rsidRPr="007C40BE">
        <w:rPr>
          <w:i/>
          <w:sz w:val="20"/>
          <w:szCs w:val="20"/>
        </w:rPr>
        <w:t>Tabela paraqet rritjen e numrit te kontribuesve për 6 mujorin e vitit 2016</w:t>
      </w:r>
    </w:p>
    <w:p w:rsidR="003F0BAF" w:rsidRPr="007C40BE" w:rsidRDefault="003F0BAF" w:rsidP="003F0BAF"/>
    <w:p w:rsidR="00401AEA" w:rsidRPr="007C40BE" w:rsidRDefault="00401AEA" w:rsidP="003F0BAF">
      <w:r w:rsidRPr="007C40BE">
        <w:rPr>
          <w:noProof/>
        </w:rPr>
        <w:drawing>
          <wp:inline distT="0" distB="0" distL="0" distR="0" wp14:anchorId="2F5E6F73" wp14:editId="54E667A4">
            <wp:extent cx="5924550" cy="257175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01AEA" w:rsidRPr="007C40BE" w:rsidRDefault="00401AEA" w:rsidP="003F0BAF"/>
    <w:p w:rsidR="00401AEA" w:rsidRPr="007C40BE" w:rsidRDefault="00401AEA" w:rsidP="003F0BAF"/>
    <w:p w:rsidR="003F0BAF" w:rsidRPr="007C40BE" w:rsidRDefault="003F0BAF" w:rsidP="00401AEA">
      <w:pPr>
        <w:spacing w:line="360" w:lineRule="auto"/>
        <w:jc w:val="both"/>
      </w:pPr>
      <w:r w:rsidRPr="007C40BE">
        <w:t xml:space="preserve">Bazuar ne ecurine e 6 mujorit te pare pritet qe te ardhurat e planifikuara per vitin 2016 te realizohen sipas planit dhe ne kete rishikim te buxhetit te vitit 2016 nuk ka ndryshime ne planifikim. </w:t>
      </w:r>
    </w:p>
    <w:p w:rsidR="003F0BAF" w:rsidRPr="007C40BE" w:rsidRDefault="003F0BAF" w:rsidP="00401AEA">
      <w:pPr>
        <w:spacing w:line="360" w:lineRule="auto"/>
        <w:jc w:val="both"/>
        <w:rPr>
          <w:i/>
          <w:sz w:val="20"/>
          <w:szCs w:val="20"/>
        </w:rPr>
      </w:pPr>
      <w:r w:rsidRPr="007C40BE">
        <w:rPr>
          <w:i/>
          <w:sz w:val="20"/>
          <w:szCs w:val="20"/>
        </w:rPr>
        <w:t>Te dhenat ne vite per 6 mujoret( 2012- 2016) jane te dhena te publikuara ne faqen e Ministrise se Financave.</w:t>
      </w:r>
    </w:p>
    <w:p w:rsidR="003F0BAF" w:rsidRPr="007C40BE" w:rsidRDefault="003F0BAF" w:rsidP="00401AEA">
      <w:pPr>
        <w:spacing w:line="360" w:lineRule="auto"/>
        <w:jc w:val="both"/>
        <w:rPr>
          <w:i/>
          <w:sz w:val="20"/>
          <w:szCs w:val="20"/>
        </w:rPr>
      </w:pPr>
      <w:r w:rsidRPr="007C40BE">
        <w:rPr>
          <w:i/>
          <w:sz w:val="20"/>
          <w:szCs w:val="20"/>
        </w:rPr>
        <w:t xml:space="preserve">Te dhenat te detajuara per secilen drejtori jane marre nga te dhenat operative te raporteve mujore te  DPD dhe DPT </w:t>
      </w:r>
    </w:p>
    <w:p w:rsidR="00262F9E" w:rsidRPr="00C919C6" w:rsidRDefault="00262F9E" w:rsidP="002E009E">
      <w:pPr>
        <w:tabs>
          <w:tab w:val="left" w:pos="2511"/>
          <w:tab w:val="center" w:pos="4680"/>
        </w:tabs>
        <w:spacing w:line="360" w:lineRule="auto"/>
        <w:rPr>
          <w:sz w:val="16"/>
          <w:szCs w:val="16"/>
        </w:rPr>
      </w:pPr>
    </w:p>
    <w:p w:rsidR="005C19FB" w:rsidRPr="007C40BE" w:rsidRDefault="00B30635" w:rsidP="002E009E">
      <w:pPr>
        <w:tabs>
          <w:tab w:val="left" w:pos="2511"/>
          <w:tab w:val="center" w:pos="4680"/>
        </w:tabs>
        <w:spacing w:line="360" w:lineRule="auto"/>
      </w:pPr>
      <w:r w:rsidRPr="007C40BE">
        <w:tab/>
      </w:r>
      <w:r w:rsidRPr="007C40BE">
        <w:tab/>
      </w:r>
    </w:p>
    <w:p w:rsidR="00B4781E" w:rsidRPr="007C40BE" w:rsidRDefault="00B4781E" w:rsidP="00BE5905">
      <w:pPr>
        <w:spacing w:line="360" w:lineRule="auto"/>
        <w:jc w:val="both"/>
        <w:rPr>
          <w:b/>
          <w:sz w:val="28"/>
          <w:lang w:val="sq-AL"/>
        </w:rPr>
      </w:pPr>
      <w:r w:rsidRPr="007C40BE">
        <w:rPr>
          <w:b/>
          <w:sz w:val="28"/>
          <w:lang w:val="sq-AL"/>
        </w:rPr>
        <w:t xml:space="preserve">B.3 </w:t>
      </w:r>
      <w:r w:rsidR="007A493C" w:rsidRPr="007C40BE">
        <w:rPr>
          <w:b/>
          <w:bCs/>
          <w:iCs/>
          <w:sz w:val="28"/>
          <w:lang w:val="sq-AL"/>
        </w:rPr>
        <w:t xml:space="preserve">Ecuria e treguesve </w:t>
      </w:r>
      <w:r w:rsidR="00800032" w:rsidRPr="007C40BE">
        <w:rPr>
          <w:b/>
          <w:bCs/>
          <w:iCs/>
          <w:sz w:val="28"/>
          <w:lang w:val="sq-AL"/>
        </w:rPr>
        <w:t xml:space="preserve">kryesorë </w:t>
      </w:r>
      <w:r w:rsidR="007A493C" w:rsidRPr="007C40BE">
        <w:rPr>
          <w:b/>
          <w:bCs/>
          <w:iCs/>
          <w:sz w:val="28"/>
          <w:lang w:val="sq-AL"/>
        </w:rPr>
        <w:t>buxhetor</w:t>
      </w:r>
      <w:r w:rsidR="008F298B" w:rsidRPr="007C40BE">
        <w:rPr>
          <w:b/>
          <w:bCs/>
          <w:iCs/>
          <w:sz w:val="28"/>
          <w:lang w:val="sq-AL"/>
        </w:rPr>
        <w:t>ë</w:t>
      </w:r>
    </w:p>
    <w:p w:rsidR="00ED39A9" w:rsidRPr="007C40BE" w:rsidRDefault="00ED39A9" w:rsidP="00ED39A9">
      <w:pPr>
        <w:spacing w:line="360" w:lineRule="auto"/>
        <w:ind w:firstLine="720"/>
        <w:jc w:val="both"/>
        <w:rPr>
          <w:lang w:val="sq-AL"/>
        </w:rPr>
      </w:pPr>
      <w:r w:rsidRPr="007C40BE">
        <w:rPr>
          <w:lang w:val="sq-AL"/>
        </w:rPr>
        <w:t xml:space="preserve">Zbatimi i buxhetit të shtetit në kohë dhe në respekt të autorizimeve ligjore, përveçse një faktor orientues, kontribuon dhe nxit ekonominë nëpërmjet ekzekutimit të shpenzimeve publike. Në këtë kuadër, realizimi me efektivitet dhe në kohë i shpenzimeve buxhetore, sipas planit të dakordësuar edhe me Fondin Monetar Ndërkombëtar mbetet një prioritet i qeverisë dhe gjithë institucioneve të tjera buxhetore duke krijuar në këtë mënyrë një pasqyrë të saktë të shpenzimeve </w:t>
      </w:r>
      <w:r w:rsidRPr="007C40BE">
        <w:rPr>
          <w:lang w:val="sq-AL"/>
        </w:rPr>
        <w:lastRenderedPageBreak/>
        <w:t>6-mujore të realizuara për vitin 2016. Ministria e Financave ka kontribuar në lehtësimin e këtij procesi duke harmonizuar kërkesat e institucioneve buxhetore me politikën fiskale të Qeverisë. Gjithashtu, ka trajtuar me kompetencë çdo specifikë të luhatjes së shpenzimeve qeveritare.</w:t>
      </w:r>
    </w:p>
    <w:p w:rsidR="00ED39A9" w:rsidRPr="007C40BE" w:rsidRDefault="00ED39A9" w:rsidP="00ED39A9">
      <w:pPr>
        <w:spacing w:line="360" w:lineRule="auto"/>
        <w:ind w:firstLine="720"/>
        <w:jc w:val="both"/>
        <w:rPr>
          <w:lang w:val="sq-AL"/>
        </w:rPr>
      </w:pPr>
      <w:r w:rsidRPr="007C40BE">
        <w:rPr>
          <w:b/>
          <w:bCs/>
          <w:lang w:val="sq-AL"/>
        </w:rPr>
        <w:t>Shpenzimet e përgjithshme publike</w:t>
      </w:r>
      <w:r w:rsidRPr="007C40BE">
        <w:rPr>
          <w:bCs/>
          <w:lang w:val="sq-AL"/>
        </w:rPr>
        <w:t>, për 6 mujorin e parë të vitit 2016, arritën në rreth 180.1 miliard</w:t>
      </w:r>
      <w:r w:rsidRPr="007C40BE">
        <w:rPr>
          <w:lang w:val="sq-AL"/>
        </w:rPr>
        <w:t>ë</w:t>
      </w:r>
      <w:r w:rsidRPr="007C40BE">
        <w:rPr>
          <w:bCs/>
          <w:lang w:val="sq-AL"/>
        </w:rPr>
        <w:t xml:space="preserve"> lek</w:t>
      </w:r>
      <w:r w:rsidRPr="007C40BE">
        <w:rPr>
          <w:lang w:val="sq-AL"/>
        </w:rPr>
        <w:t>ë</w:t>
      </w:r>
      <w:r w:rsidRPr="007C40BE">
        <w:rPr>
          <w:bCs/>
          <w:lang w:val="sq-AL"/>
        </w:rPr>
        <w:t xml:space="preserve"> me 22.5 miliard</w:t>
      </w:r>
      <w:r w:rsidRPr="007C40BE">
        <w:rPr>
          <w:lang w:val="sq-AL"/>
        </w:rPr>
        <w:t>ë lekë</w:t>
      </w:r>
      <w:r w:rsidRPr="007C40BE">
        <w:rPr>
          <w:bCs/>
          <w:lang w:val="sq-AL"/>
        </w:rPr>
        <w:t xml:space="preserve"> më pak se plani i kësaj periudhe ose </w:t>
      </w:r>
      <w:r w:rsidRPr="007C40BE">
        <w:rPr>
          <w:lang w:val="sq-AL"/>
        </w:rPr>
        <w:t xml:space="preserve"> një realizim në masën 89%</w:t>
      </w:r>
      <w:r w:rsidRPr="007C40BE">
        <w:rPr>
          <w:bCs/>
          <w:lang w:val="sq-AL"/>
        </w:rPr>
        <w:t>.</w:t>
      </w:r>
      <w:r w:rsidRPr="007C40BE">
        <w:rPr>
          <w:lang w:val="sq-AL"/>
        </w:rPr>
        <w:t xml:space="preserve"> Kjo tregon se në terma të planit 6 mujor niveli i realizimit të shpenzimeve të përgjithshme publike ka patur një rritje të lehtë krahasuar me një muaj më parë duke u realizuar në nivele të kënaqshme dhe me një tendencë rritëse për gjysmën e dytë të vitit 2016. Ky ndryshim, kryesisht vjen si pasojë e shumë faktorëve subjektivë dhe të pavarur nga angazhimi maksimal i politikave qeveritare për të realizuar planin në përputhje me objektivat. Ndër këto vonesa mund të përmendim procedurat në tenderime dhe parqitja e dokumentacioneve për të proceduar normal me investimet apo mosplotësimet organike. Ashtu si mund të shikohet dhe nga tabela e treguesve fiskalë të buxhetit të konsoliduar vëmë re se niveli i shpenzimeve ka një trend të luhatshëm realizimi. Kjo tregon që gjatë periudhës 6-mujore për realizimin e shpenzimeve buxhetore është ndjekur një politikë shtrenguese me qëllim kufizimin e shpenzimeve të panevojshme kryesisht shpenzimet korremte. Shpenzimet kapitale në raport me planin 6 mujor janë realizuar në masën 79%. </w:t>
      </w:r>
    </w:p>
    <w:p w:rsidR="00ED39A9" w:rsidRPr="007C40BE" w:rsidRDefault="00ED39A9" w:rsidP="00ED39A9">
      <w:pPr>
        <w:spacing w:line="360" w:lineRule="auto"/>
        <w:ind w:firstLine="720"/>
        <w:jc w:val="both"/>
        <w:rPr>
          <w:lang w:val="sq-AL"/>
        </w:rPr>
      </w:pPr>
      <w:r w:rsidRPr="007C40BE">
        <w:rPr>
          <w:b/>
          <w:lang w:val="sq-AL"/>
        </w:rPr>
        <w:t>Shpenzimet korrente</w:t>
      </w:r>
      <w:r w:rsidRPr="007C40BE">
        <w:rPr>
          <w:lang w:val="sq-AL"/>
        </w:rPr>
        <w:t xml:space="preserve"> paraqesin një realizim në raport me planin 6 mujor të këtij viti, </w:t>
      </w:r>
      <w:r w:rsidRPr="004C1777">
        <w:rPr>
          <w:lang w:val="sq-AL"/>
        </w:rPr>
        <w:t xml:space="preserve">prej 91 për qind, duke rezultuar 161.8 miliardë lekë nga 176.9 miliardë lekë të planifikuara. Ndër zërat kryesorë që kanë ndikuar në uljen e shpenzimeve korrente krahasuar me zërat e tjerë janë shpenzimet operative mirmbajtje, subvencionet, shpenzimet për pushtetin vendor dhe shpenzimet të tjera sociale përkatësisht me një nivel realizimi prej 85%, 82%, 75% dhe 88% të planit 6 mujor. Gjithashtu krahasuar me një muaj më parë ka një përmirësim të konsiderueshëm të termave të realizimit për treguesit e shpenzimeve në tërësi. Rishikimi i strukturave administrative të institucioneve publike, si dhe menaxhimi efektiv i kostos së personelit ka sjellë një trajtim të </w:t>
      </w:r>
      <w:r w:rsidRPr="00526C45">
        <w:rPr>
          <w:lang w:val="sq-AL"/>
        </w:rPr>
        <w:t>kujdeshëm të shpenzimeve për paga dhe gjithashtu masës së përdorimit të fondit te veçantë. Ky 6-mujor është shoqëruar me një kursim të shpenzimeve operative për mirëmbajtje për 2.8 miliardë lekë. Si rrjedhim impakti i reflektuar në sufiçitin e krijuar vjen si pasojë e politikës së kujdesshme në shpenzime të parashikuara për tu ndërmarrë nga qeveria për vitin 2016. Kjo vjen në kuadrin e reformimit të një administrate që performon në mënyrë efiçente edhe duke ulur kostot e tepërta që kanë shoqëruar porceset e punës ndër vite dhe rënduar barrën buxhetore. Kjo</w:t>
      </w:r>
      <w:r w:rsidRPr="007C40BE">
        <w:rPr>
          <w:lang w:val="sq-AL"/>
        </w:rPr>
        <w:t xml:space="preserve"> politikë sigurisht që edhe në muajit në vazhdim do të synojë një zbritje të shpenzimeve korrente dhe rritje të atyre kapitale në mënyrë që të influencohet drejtpërdrejt ne nxitjen ekonomike të </w:t>
      </w:r>
      <w:r w:rsidRPr="007C40BE">
        <w:rPr>
          <w:lang w:val="sq-AL"/>
        </w:rPr>
        <w:lastRenderedPageBreak/>
        <w:t>vendit përmes investimeve. Nga sa më sipër vërehet qartë që gjatë gjysmës së parë të vitit 2016, performanca fiskale dhe buxhetore ka qënë në nivele shumë të mira duke tejkaluar lehtë planin e të ardhurave dhe duke u treguar e kujdesshme me kryerjen e shpenzimeve.</w:t>
      </w:r>
    </w:p>
    <w:p w:rsidR="00ED39A9" w:rsidRPr="007C40BE" w:rsidRDefault="00ED39A9" w:rsidP="00ED39A9">
      <w:pPr>
        <w:spacing w:line="360" w:lineRule="auto"/>
        <w:ind w:firstLine="720"/>
        <w:jc w:val="right"/>
        <w:rPr>
          <w:lang w:val="sq-AL"/>
        </w:rPr>
      </w:pPr>
      <w:r w:rsidRPr="007C40BE">
        <w:rPr>
          <w:bCs/>
          <w:i/>
          <w:iCs/>
          <w:sz w:val="18"/>
          <w:lang w:val="sq-AL"/>
        </w:rPr>
        <w:t>Të dhëna progresive (në milion LEK)</w:t>
      </w:r>
    </w:p>
    <w:tbl>
      <w:tblPr>
        <w:tblStyle w:val="TableWeb3"/>
        <w:tblW w:w="4964" w:type="pct"/>
        <w:tblLook w:val="04A0" w:firstRow="1" w:lastRow="0" w:firstColumn="1" w:lastColumn="0" w:noHBand="0" w:noVBand="1"/>
      </w:tblPr>
      <w:tblGrid>
        <w:gridCol w:w="662"/>
        <w:gridCol w:w="2210"/>
        <w:gridCol w:w="1443"/>
        <w:gridCol w:w="1461"/>
        <w:gridCol w:w="1333"/>
        <w:gridCol w:w="2597"/>
      </w:tblGrid>
      <w:tr w:rsidR="00C919C6" w:rsidRPr="00C919C6" w:rsidTr="00C919C6">
        <w:trPr>
          <w:cnfStyle w:val="100000000000" w:firstRow="1" w:lastRow="0" w:firstColumn="0" w:lastColumn="0" w:oddVBand="0" w:evenVBand="0" w:oddHBand="0" w:evenHBand="0" w:firstRowFirstColumn="0" w:firstRowLastColumn="0" w:lastRowFirstColumn="0" w:lastRowLastColumn="0"/>
          <w:trHeight w:val="330"/>
        </w:trPr>
        <w:tc>
          <w:tcPr>
            <w:tcW w:w="311" w:type="pct"/>
            <w:vMerge w:val="restart"/>
            <w:noWrap/>
            <w:hideMark/>
          </w:tcPr>
          <w:p w:rsidR="00ED39A9" w:rsidRPr="00C919C6" w:rsidRDefault="00ED39A9" w:rsidP="00A075AB">
            <w:pPr>
              <w:spacing w:line="276" w:lineRule="auto"/>
              <w:jc w:val="both"/>
              <w:rPr>
                <w:b/>
                <w:bCs/>
                <w:sz w:val="18"/>
                <w:szCs w:val="16"/>
                <w:lang w:val="sq-AL"/>
              </w:rPr>
            </w:pPr>
            <w:bookmarkStart w:id="7" w:name="OLE_LINK1"/>
          </w:p>
          <w:p w:rsidR="00ED39A9" w:rsidRPr="00C919C6" w:rsidRDefault="00ED39A9" w:rsidP="00A075AB">
            <w:pPr>
              <w:spacing w:line="276" w:lineRule="auto"/>
              <w:jc w:val="both"/>
              <w:rPr>
                <w:b/>
                <w:bCs/>
                <w:sz w:val="18"/>
                <w:szCs w:val="16"/>
                <w:lang w:val="sq-AL"/>
              </w:rPr>
            </w:pPr>
          </w:p>
          <w:p w:rsidR="00ED39A9" w:rsidRPr="00C919C6" w:rsidRDefault="00ED39A9" w:rsidP="00A075AB">
            <w:pPr>
              <w:spacing w:line="276" w:lineRule="auto"/>
              <w:jc w:val="both"/>
              <w:rPr>
                <w:b/>
                <w:bCs/>
                <w:sz w:val="18"/>
                <w:lang w:val="sq-AL"/>
              </w:rPr>
            </w:pPr>
            <w:r w:rsidRPr="00C919C6">
              <w:rPr>
                <w:b/>
                <w:bCs/>
                <w:sz w:val="18"/>
                <w:lang w:val="sq-AL"/>
              </w:rPr>
              <w:t>Nr</w:t>
            </w:r>
          </w:p>
        </w:tc>
        <w:tc>
          <w:tcPr>
            <w:tcW w:w="1122" w:type="pct"/>
            <w:vMerge w:val="restart"/>
            <w:noWrap/>
            <w:hideMark/>
          </w:tcPr>
          <w:p w:rsidR="00ED39A9" w:rsidRPr="00C919C6" w:rsidRDefault="00ED39A9" w:rsidP="00A075AB">
            <w:pPr>
              <w:spacing w:line="276" w:lineRule="auto"/>
              <w:jc w:val="center"/>
              <w:rPr>
                <w:b/>
                <w:bCs/>
                <w:sz w:val="18"/>
                <w:szCs w:val="16"/>
                <w:lang w:val="sq-AL"/>
              </w:rPr>
            </w:pPr>
          </w:p>
          <w:p w:rsidR="00ED39A9" w:rsidRPr="00C919C6" w:rsidRDefault="00ED39A9" w:rsidP="00A075AB">
            <w:pPr>
              <w:spacing w:line="276" w:lineRule="auto"/>
              <w:jc w:val="center"/>
              <w:rPr>
                <w:b/>
                <w:bCs/>
                <w:sz w:val="18"/>
                <w:szCs w:val="16"/>
                <w:lang w:val="sq-AL"/>
              </w:rPr>
            </w:pPr>
          </w:p>
          <w:p w:rsidR="00ED39A9" w:rsidRPr="00C919C6" w:rsidRDefault="00ED39A9" w:rsidP="00A075AB">
            <w:pPr>
              <w:spacing w:line="276" w:lineRule="auto"/>
              <w:jc w:val="center"/>
              <w:rPr>
                <w:b/>
                <w:bCs/>
                <w:sz w:val="18"/>
                <w:lang w:val="sq-AL"/>
              </w:rPr>
            </w:pPr>
            <w:r w:rsidRPr="00C919C6">
              <w:rPr>
                <w:b/>
                <w:bCs/>
                <w:sz w:val="18"/>
                <w:lang w:val="sq-AL"/>
              </w:rPr>
              <w:t>E  M  Ë  R  T  I  M  I</w:t>
            </w:r>
          </w:p>
        </w:tc>
        <w:tc>
          <w:tcPr>
            <w:tcW w:w="726" w:type="pct"/>
            <w:noWrap/>
            <w:hideMark/>
          </w:tcPr>
          <w:p w:rsidR="00ED39A9" w:rsidRPr="00C919C6" w:rsidRDefault="00ED39A9" w:rsidP="00ED39A9">
            <w:pPr>
              <w:spacing w:line="276" w:lineRule="auto"/>
              <w:jc w:val="center"/>
              <w:rPr>
                <w:b/>
                <w:bCs/>
                <w:sz w:val="18"/>
                <w:lang w:val="sq-AL"/>
              </w:rPr>
            </w:pPr>
            <w:r w:rsidRPr="00C919C6">
              <w:rPr>
                <w:b/>
                <w:bCs/>
                <w:sz w:val="18"/>
                <w:lang w:val="sq-AL"/>
              </w:rPr>
              <w:t>Plan</w:t>
            </w:r>
          </w:p>
        </w:tc>
        <w:tc>
          <w:tcPr>
            <w:tcW w:w="735" w:type="pct"/>
            <w:noWrap/>
            <w:hideMark/>
          </w:tcPr>
          <w:p w:rsidR="00ED39A9" w:rsidRPr="00C919C6" w:rsidRDefault="00ED39A9" w:rsidP="00ED39A9">
            <w:pPr>
              <w:spacing w:line="276" w:lineRule="auto"/>
              <w:jc w:val="center"/>
              <w:rPr>
                <w:b/>
                <w:bCs/>
                <w:sz w:val="18"/>
                <w:lang w:val="sq-AL"/>
              </w:rPr>
            </w:pPr>
            <w:r w:rsidRPr="00C919C6">
              <w:rPr>
                <w:b/>
                <w:bCs/>
                <w:sz w:val="18"/>
                <w:lang w:val="sq-AL"/>
              </w:rPr>
              <w:t>Fakt</w:t>
            </w:r>
          </w:p>
        </w:tc>
        <w:tc>
          <w:tcPr>
            <w:tcW w:w="1982" w:type="pct"/>
            <w:gridSpan w:val="2"/>
            <w:noWrap/>
            <w:hideMark/>
          </w:tcPr>
          <w:p w:rsidR="00ED39A9" w:rsidRPr="00C919C6" w:rsidRDefault="00ED39A9" w:rsidP="00ED39A9">
            <w:pPr>
              <w:spacing w:line="276" w:lineRule="auto"/>
              <w:jc w:val="center"/>
              <w:rPr>
                <w:b/>
                <w:bCs/>
                <w:sz w:val="18"/>
                <w:lang w:val="sq-AL"/>
              </w:rPr>
            </w:pPr>
            <w:r w:rsidRPr="00C919C6">
              <w:rPr>
                <w:b/>
                <w:bCs/>
                <w:sz w:val="18"/>
                <w:lang w:val="sq-AL"/>
              </w:rPr>
              <w:t>Diferenca</w:t>
            </w:r>
          </w:p>
        </w:tc>
      </w:tr>
      <w:tr w:rsidR="00C919C6" w:rsidRPr="00C919C6" w:rsidTr="00C919C6">
        <w:trPr>
          <w:trHeight w:val="436"/>
        </w:trPr>
        <w:tc>
          <w:tcPr>
            <w:tcW w:w="0" w:type="auto"/>
            <w:vMerge/>
            <w:hideMark/>
          </w:tcPr>
          <w:p w:rsidR="00ED39A9" w:rsidRPr="00C919C6" w:rsidRDefault="00ED39A9" w:rsidP="00A075AB">
            <w:pPr>
              <w:rPr>
                <w:b/>
                <w:bCs/>
                <w:sz w:val="18"/>
                <w:lang w:val="sq-AL"/>
              </w:rPr>
            </w:pPr>
          </w:p>
        </w:tc>
        <w:tc>
          <w:tcPr>
            <w:tcW w:w="1122" w:type="pct"/>
            <w:vMerge/>
            <w:hideMark/>
          </w:tcPr>
          <w:p w:rsidR="00ED39A9" w:rsidRPr="00C919C6" w:rsidRDefault="00ED39A9" w:rsidP="00A075AB">
            <w:pPr>
              <w:rPr>
                <w:b/>
                <w:bCs/>
                <w:sz w:val="18"/>
                <w:lang w:val="sq-AL"/>
              </w:rPr>
            </w:pPr>
          </w:p>
        </w:tc>
        <w:tc>
          <w:tcPr>
            <w:tcW w:w="726" w:type="pct"/>
            <w:noWrap/>
            <w:hideMark/>
          </w:tcPr>
          <w:p w:rsidR="00ED39A9" w:rsidRPr="00C919C6" w:rsidRDefault="00ED39A9" w:rsidP="00ED39A9">
            <w:pPr>
              <w:spacing w:line="276" w:lineRule="auto"/>
              <w:jc w:val="center"/>
              <w:rPr>
                <w:b/>
                <w:bCs/>
                <w:sz w:val="18"/>
                <w:lang w:val="sq-AL"/>
              </w:rPr>
            </w:pPr>
            <w:r w:rsidRPr="00C919C6">
              <w:rPr>
                <w:b/>
                <w:bCs/>
                <w:sz w:val="18"/>
                <w:lang w:val="sq-AL"/>
              </w:rPr>
              <w:t>Qershor 2016</w:t>
            </w:r>
          </w:p>
        </w:tc>
        <w:tc>
          <w:tcPr>
            <w:tcW w:w="735" w:type="pct"/>
            <w:noWrap/>
            <w:hideMark/>
          </w:tcPr>
          <w:p w:rsidR="00ED39A9" w:rsidRPr="00C919C6" w:rsidRDefault="00ED39A9" w:rsidP="00ED39A9">
            <w:pPr>
              <w:spacing w:line="276" w:lineRule="auto"/>
              <w:jc w:val="center"/>
              <w:rPr>
                <w:b/>
                <w:bCs/>
                <w:sz w:val="18"/>
                <w:lang w:val="sq-AL"/>
              </w:rPr>
            </w:pPr>
            <w:r w:rsidRPr="00C919C6">
              <w:rPr>
                <w:b/>
                <w:bCs/>
                <w:sz w:val="18"/>
                <w:lang w:val="sq-AL"/>
              </w:rPr>
              <w:t>Qershor 2016</w:t>
            </w:r>
          </w:p>
        </w:tc>
        <w:tc>
          <w:tcPr>
            <w:tcW w:w="669" w:type="pct"/>
            <w:hideMark/>
          </w:tcPr>
          <w:p w:rsidR="00ED39A9" w:rsidRPr="00C919C6" w:rsidRDefault="00ED39A9" w:rsidP="00C919C6">
            <w:pPr>
              <w:spacing w:line="276" w:lineRule="auto"/>
              <w:jc w:val="center"/>
              <w:rPr>
                <w:b/>
                <w:bCs/>
                <w:sz w:val="18"/>
                <w:lang w:val="sq-AL"/>
              </w:rPr>
            </w:pPr>
            <w:r w:rsidRPr="00C919C6">
              <w:rPr>
                <w:b/>
                <w:bCs/>
                <w:sz w:val="18"/>
                <w:lang w:val="sq-AL"/>
              </w:rPr>
              <w:t>Fakt /Plan</w:t>
            </w:r>
          </w:p>
        </w:tc>
        <w:tc>
          <w:tcPr>
            <w:tcW w:w="1293" w:type="pct"/>
            <w:hideMark/>
          </w:tcPr>
          <w:p w:rsidR="00ED39A9" w:rsidRPr="00C919C6" w:rsidRDefault="00ED39A9" w:rsidP="00ED39A9">
            <w:pPr>
              <w:spacing w:line="276" w:lineRule="auto"/>
              <w:jc w:val="center"/>
              <w:rPr>
                <w:b/>
                <w:bCs/>
                <w:sz w:val="18"/>
                <w:lang w:val="sq-AL"/>
              </w:rPr>
            </w:pPr>
            <w:r w:rsidRPr="00C919C6">
              <w:rPr>
                <w:b/>
                <w:bCs/>
                <w:sz w:val="18"/>
                <w:lang w:val="sq-AL"/>
              </w:rPr>
              <w:t>% kundrejt</w:t>
            </w:r>
            <w:r w:rsidRPr="00C919C6">
              <w:rPr>
                <w:b/>
                <w:bCs/>
                <w:sz w:val="18"/>
                <w:lang w:val="sq-AL"/>
              </w:rPr>
              <w:br/>
              <w:t xml:space="preserve"> Plan 6 mujor  2016</w:t>
            </w:r>
          </w:p>
        </w:tc>
      </w:tr>
      <w:tr w:rsidR="00C919C6" w:rsidRPr="00C919C6" w:rsidTr="00C919C6">
        <w:trPr>
          <w:trHeight w:val="375"/>
        </w:trPr>
        <w:tc>
          <w:tcPr>
            <w:tcW w:w="311" w:type="pct"/>
            <w:noWrap/>
            <w:hideMark/>
          </w:tcPr>
          <w:p w:rsidR="00ED39A9" w:rsidRPr="00C919C6" w:rsidRDefault="00ED39A9" w:rsidP="00A075AB">
            <w:pPr>
              <w:spacing w:line="276" w:lineRule="auto"/>
              <w:rPr>
                <w:rFonts w:ascii="Calibri" w:eastAsia="Calibri" w:hAnsi="Calibri"/>
                <w:sz w:val="18"/>
                <w:szCs w:val="22"/>
                <w:lang w:val="sq-AL"/>
              </w:rPr>
            </w:pPr>
            <w:bookmarkStart w:id="8" w:name="_Hlk394575527"/>
          </w:p>
        </w:tc>
        <w:tc>
          <w:tcPr>
            <w:tcW w:w="1122" w:type="pct"/>
            <w:noWrap/>
            <w:hideMark/>
          </w:tcPr>
          <w:p w:rsidR="00ED39A9" w:rsidRPr="00C919C6" w:rsidRDefault="00ED39A9" w:rsidP="00A075AB">
            <w:pPr>
              <w:spacing w:line="276" w:lineRule="auto"/>
              <w:jc w:val="both"/>
              <w:rPr>
                <w:b/>
                <w:bCs/>
                <w:sz w:val="18"/>
                <w:lang w:val="sq-AL"/>
              </w:rPr>
            </w:pPr>
            <w:r w:rsidRPr="00C919C6">
              <w:rPr>
                <w:b/>
                <w:bCs/>
                <w:sz w:val="18"/>
                <w:lang w:val="sq-AL"/>
              </w:rPr>
              <w:t>Totali të ardhurave</w:t>
            </w:r>
          </w:p>
        </w:tc>
        <w:tc>
          <w:tcPr>
            <w:tcW w:w="726" w:type="pct"/>
            <w:noWrap/>
            <w:hideMark/>
          </w:tcPr>
          <w:p w:rsidR="00ED39A9" w:rsidRPr="00C919C6" w:rsidRDefault="00ED39A9" w:rsidP="00ED39A9">
            <w:pPr>
              <w:spacing w:line="276" w:lineRule="auto"/>
              <w:jc w:val="center"/>
              <w:rPr>
                <w:b/>
                <w:bCs/>
                <w:sz w:val="18"/>
                <w:szCs w:val="20"/>
                <w:lang w:val="sq-AL"/>
              </w:rPr>
            </w:pPr>
            <w:r w:rsidRPr="00C919C6">
              <w:rPr>
                <w:b/>
                <w:bCs/>
                <w:sz w:val="18"/>
                <w:szCs w:val="20"/>
                <w:lang w:val="sq-AL"/>
              </w:rPr>
              <w:t>198.014</w:t>
            </w:r>
          </w:p>
        </w:tc>
        <w:tc>
          <w:tcPr>
            <w:tcW w:w="735" w:type="pct"/>
            <w:noWrap/>
            <w:hideMark/>
          </w:tcPr>
          <w:p w:rsidR="00ED39A9" w:rsidRPr="00C919C6" w:rsidRDefault="00ED39A9" w:rsidP="00ED39A9">
            <w:pPr>
              <w:spacing w:line="276" w:lineRule="auto"/>
              <w:jc w:val="center"/>
              <w:rPr>
                <w:b/>
                <w:bCs/>
                <w:sz w:val="18"/>
                <w:szCs w:val="20"/>
                <w:lang w:val="sq-AL"/>
              </w:rPr>
            </w:pPr>
            <w:r w:rsidRPr="00C919C6">
              <w:rPr>
                <w:b/>
                <w:bCs/>
                <w:sz w:val="18"/>
                <w:szCs w:val="20"/>
                <w:lang w:val="sq-AL"/>
              </w:rPr>
              <w:t>198.116</w:t>
            </w:r>
          </w:p>
        </w:tc>
        <w:tc>
          <w:tcPr>
            <w:tcW w:w="669" w:type="pct"/>
            <w:noWrap/>
            <w:hideMark/>
          </w:tcPr>
          <w:p w:rsidR="00ED39A9" w:rsidRPr="00C919C6" w:rsidRDefault="00ED39A9" w:rsidP="00ED39A9">
            <w:pPr>
              <w:spacing w:line="276" w:lineRule="auto"/>
              <w:jc w:val="center"/>
              <w:rPr>
                <w:b/>
                <w:bCs/>
                <w:sz w:val="18"/>
                <w:lang w:val="sq-AL"/>
              </w:rPr>
            </w:pPr>
            <w:r w:rsidRPr="00C919C6">
              <w:rPr>
                <w:b/>
                <w:bCs/>
                <w:sz w:val="18"/>
                <w:lang w:val="sq-AL"/>
              </w:rPr>
              <w:t>102</w:t>
            </w:r>
          </w:p>
        </w:tc>
        <w:tc>
          <w:tcPr>
            <w:tcW w:w="1293" w:type="pct"/>
            <w:noWrap/>
            <w:hideMark/>
          </w:tcPr>
          <w:p w:rsidR="00ED39A9" w:rsidRPr="00C919C6" w:rsidRDefault="00ED39A9" w:rsidP="00ED39A9">
            <w:pPr>
              <w:spacing w:line="276" w:lineRule="auto"/>
              <w:jc w:val="center"/>
              <w:rPr>
                <w:b/>
                <w:bCs/>
                <w:sz w:val="18"/>
                <w:lang w:val="sq-AL"/>
              </w:rPr>
            </w:pPr>
            <w:r w:rsidRPr="00C919C6">
              <w:rPr>
                <w:b/>
                <w:bCs/>
                <w:sz w:val="18"/>
                <w:lang w:val="sq-AL"/>
              </w:rPr>
              <w:t>100</w:t>
            </w:r>
          </w:p>
        </w:tc>
      </w:tr>
      <w:tr w:rsidR="00C919C6" w:rsidRPr="00C919C6" w:rsidTr="00C919C6">
        <w:trPr>
          <w:trHeight w:val="391"/>
        </w:trPr>
        <w:tc>
          <w:tcPr>
            <w:tcW w:w="311" w:type="pct"/>
            <w:noWrap/>
            <w:hideMark/>
          </w:tcPr>
          <w:p w:rsidR="00ED39A9" w:rsidRPr="00C919C6" w:rsidRDefault="00ED39A9" w:rsidP="00A075AB">
            <w:pPr>
              <w:spacing w:line="276" w:lineRule="auto"/>
              <w:rPr>
                <w:rFonts w:ascii="Calibri" w:eastAsia="Calibri" w:hAnsi="Calibri"/>
                <w:sz w:val="18"/>
                <w:szCs w:val="22"/>
                <w:lang w:val="sq-AL"/>
              </w:rPr>
            </w:pPr>
          </w:p>
        </w:tc>
        <w:tc>
          <w:tcPr>
            <w:tcW w:w="1122" w:type="pct"/>
            <w:noWrap/>
            <w:hideMark/>
          </w:tcPr>
          <w:p w:rsidR="00ED39A9" w:rsidRPr="00C919C6" w:rsidRDefault="00ED39A9" w:rsidP="00A075AB">
            <w:pPr>
              <w:spacing w:line="276" w:lineRule="auto"/>
              <w:jc w:val="both"/>
              <w:rPr>
                <w:b/>
                <w:bCs/>
                <w:sz w:val="18"/>
                <w:lang w:val="sq-AL"/>
              </w:rPr>
            </w:pPr>
            <w:r w:rsidRPr="00C919C6">
              <w:rPr>
                <w:b/>
                <w:bCs/>
                <w:sz w:val="18"/>
                <w:lang w:val="sq-AL"/>
              </w:rPr>
              <w:t>Totali i shpenzimeve</w:t>
            </w:r>
          </w:p>
        </w:tc>
        <w:tc>
          <w:tcPr>
            <w:tcW w:w="726" w:type="pct"/>
            <w:noWrap/>
            <w:hideMark/>
          </w:tcPr>
          <w:p w:rsidR="00ED39A9" w:rsidRPr="00C919C6" w:rsidRDefault="00ED39A9" w:rsidP="00ED39A9">
            <w:pPr>
              <w:spacing w:line="276" w:lineRule="auto"/>
              <w:jc w:val="center"/>
              <w:rPr>
                <w:b/>
                <w:bCs/>
                <w:sz w:val="18"/>
                <w:szCs w:val="20"/>
                <w:lang w:val="sq-AL"/>
              </w:rPr>
            </w:pPr>
            <w:r w:rsidRPr="00C919C6">
              <w:rPr>
                <w:b/>
                <w:bCs/>
                <w:sz w:val="18"/>
                <w:szCs w:val="20"/>
                <w:lang w:val="sq-AL"/>
              </w:rPr>
              <w:t>202.706</w:t>
            </w:r>
          </w:p>
        </w:tc>
        <w:tc>
          <w:tcPr>
            <w:tcW w:w="735" w:type="pct"/>
            <w:noWrap/>
            <w:hideMark/>
          </w:tcPr>
          <w:p w:rsidR="00ED39A9" w:rsidRPr="00C919C6" w:rsidRDefault="00ED39A9" w:rsidP="00ED39A9">
            <w:pPr>
              <w:spacing w:line="276" w:lineRule="auto"/>
              <w:jc w:val="center"/>
              <w:rPr>
                <w:b/>
                <w:bCs/>
                <w:sz w:val="18"/>
                <w:szCs w:val="20"/>
                <w:lang w:val="sq-AL"/>
              </w:rPr>
            </w:pPr>
            <w:r w:rsidRPr="00C919C6">
              <w:rPr>
                <w:b/>
                <w:bCs/>
                <w:sz w:val="18"/>
                <w:szCs w:val="20"/>
                <w:lang w:val="sq-AL"/>
              </w:rPr>
              <w:t>180.130</w:t>
            </w:r>
          </w:p>
        </w:tc>
        <w:tc>
          <w:tcPr>
            <w:tcW w:w="669" w:type="pct"/>
            <w:noWrap/>
            <w:hideMark/>
          </w:tcPr>
          <w:p w:rsidR="00ED39A9" w:rsidRPr="00C919C6" w:rsidRDefault="00ED39A9" w:rsidP="00ED39A9">
            <w:pPr>
              <w:spacing w:line="276" w:lineRule="auto"/>
              <w:jc w:val="center"/>
              <w:rPr>
                <w:b/>
                <w:bCs/>
                <w:sz w:val="18"/>
                <w:lang w:val="sq-AL"/>
              </w:rPr>
            </w:pPr>
            <w:r w:rsidRPr="00C919C6">
              <w:rPr>
                <w:b/>
                <w:bCs/>
                <w:sz w:val="18"/>
                <w:lang w:val="sq-AL"/>
              </w:rPr>
              <w:t>-22.576</w:t>
            </w:r>
          </w:p>
        </w:tc>
        <w:tc>
          <w:tcPr>
            <w:tcW w:w="1293" w:type="pct"/>
            <w:noWrap/>
            <w:hideMark/>
          </w:tcPr>
          <w:p w:rsidR="00ED39A9" w:rsidRPr="00C919C6" w:rsidRDefault="00ED39A9" w:rsidP="00ED39A9">
            <w:pPr>
              <w:spacing w:line="276" w:lineRule="auto"/>
              <w:jc w:val="center"/>
              <w:rPr>
                <w:b/>
                <w:bCs/>
                <w:sz w:val="18"/>
                <w:lang w:val="sq-AL"/>
              </w:rPr>
            </w:pPr>
            <w:r w:rsidRPr="00C919C6">
              <w:rPr>
                <w:b/>
                <w:bCs/>
                <w:sz w:val="18"/>
                <w:lang w:val="sq-AL"/>
              </w:rPr>
              <w:t>89</w:t>
            </w:r>
          </w:p>
        </w:tc>
      </w:tr>
      <w:tr w:rsidR="00C919C6" w:rsidRPr="00C919C6" w:rsidTr="00C919C6">
        <w:trPr>
          <w:trHeight w:val="81"/>
        </w:trPr>
        <w:tc>
          <w:tcPr>
            <w:tcW w:w="311" w:type="pct"/>
            <w:noWrap/>
            <w:hideMark/>
          </w:tcPr>
          <w:p w:rsidR="00ED39A9" w:rsidRPr="00C919C6" w:rsidRDefault="00ED39A9" w:rsidP="00A075AB">
            <w:pPr>
              <w:spacing w:line="276" w:lineRule="auto"/>
              <w:jc w:val="both"/>
              <w:rPr>
                <w:bCs/>
                <w:sz w:val="18"/>
                <w:lang w:val="sq-AL"/>
              </w:rPr>
            </w:pPr>
            <w:r w:rsidRPr="00C919C6">
              <w:rPr>
                <w:bCs/>
                <w:sz w:val="18"/>
                <w:lang w:val="sq-AL"/>
              </w:rPr>
              <w:t>I.</w:t>
            </w:r>
          </w:p>
        </w:tc>
        <w:tc>
          <w:tcPr>
            <w:tcW w:w="1122" w:type="pct"/>
            <w:noWrap/>
            <w:hideMark/>
          </w:tcPr>
          <w:p w:rsidR="00ED39A9" w:rsidRPr="00C919C6" w:rsidRDefault="00ED39A9" w:rsidP="00A075AB">
            <w:pPr>
              <w:spacing w:line="276" w:lineRule="auto"/>
              <w:jc w:val="both"/>
              <w:rPr>
                <w:bCs/>
                <w:i/>
                <w:sz w:val="18"/>
                <w:lang w:val="sq-AL"/>
              </w:rPr>
            </w:pPr>
            <w:r w:rsidRPr="00C919C6">
              <w:rPr>
                <w:bCs/>
                <w:i/>
                <w:sz w:val="18"/>
                <w:lang w:val="sq-AL"/>
              </w:rPr>
              <w:t>Shpenzime Korente</w:t>
            </w:r>
          </w:p>
        </w:tc>
        <w:tc>
          <w:tcPr>
            <w:tcW w:w="726" w:type="pct"/>
            <w:noWrap/>
            <w:hideMark/>
          </w:tcPr>
          <w:p w:rsidR="00ED39A9" w:rsidRPr="00C919C6" w:rsidRDefault="00ED39A9" w:rsidP="00ED39A9">
            <w:pPr>
              <w:spacing w:line="276" w:lineRule="auto"/>
              <w:jc w:val="center"/>
              <w:rPr>
                <w:sz w:val="18"/>
                <w:lang w:val="sq-AL"/>
              </w:rPr>
            </w:pPr>
            <w:r w:rsidRPr="00C919C6">
              <w:rPr>
                <w:sz w:val="18"/>
                <w:lang w:val="sq-AL"/>
              </w:rPr>
              <w:t>176.902</w:t>
            </w:r>
          </w:p>
        </w:tc>
        <w:tc>
          <w:tcPr>
            <w:tcW w:w="735" w:type="pct"/>
            <w:noWrap/>
            <w:hideMark/>
          </w:tcPr>
          <w:p w:rsidR="00ED39A9" w:rsidRPr="00C919C6" w:rsidRDefault="00ED39A9" w:rsidP="00ED39A9">
            <w:pPr>
              <w:spacing w:line="276" w:lineRule="auto"/>
              <w:jc w:val="center"/>
              <w:rPr>
                <w:sz w:val="18"/>
                <w:lang w:val="sq-AL"/>
              </w:rPr>
            </w:pPr>
            <w:r w:rsidRPr="00C919C6">
              <w:rPr>
                <w:sz w:val="18"/>
                <w:lang w:val="sq-AL"/>
              </w:rPr>
              <w:t>161.856</w:t>
            </w:r>
          </w:p>
        </w:tc>
        <w:tc>
          <w:tcPr>
            <w:tcW w:w="669" w:type="pct"/>
            <w:noWrap/>
            <w:hideMark/>
          </w:tcPr>
          <w:p w:rsidR="00ED39A9" w:rsidRPr="00C919C6" w:rsidRDefault="00ED39A9" w:rsidP="00ED39A9">
            <w:pPr>
              <w:spacing w:line="276" w:lineRule="auto"/>
              <w:jc w:val="center"/>
              <w:rPr>
                <w:sz w:val="18"/>
                <w:lang w:val="sq-AL"/>
              </w:rPr>
            </w:pPr>
            <w:r w:rsidRPr="00C919C6">
              <w:rPr>
                <w:sz w:val="18"/>
                <w:lang w:val="sq-AL"/>
              </w:rPr>
              <w:t>-15.046</w:t>
            </w:r>
          </w:p>
        </w:tc>
        <w:tc>
          <w:tcPr>
            <w:tcW w:w="1293" w:type="pct"/>
            <w:noWrap/>
            <w:hideMark/>
          </w:tcPr>
          <w:p w:rsidR="00ED39A9" w:rsidRPr="00C919C6" w:rsidRDefault="00ED39A9" w:rsidP="00ED39A9">
            <w:pPr>
              <w:spacing w:line="276" w:lineRule="auto"/>
              <w:jc w:val="center"/>
              <w:rPr>
                <w:sz w:val="18"/>
                <w:lang w:val="sq-AL"/>
              </w:rPr>
            </w:pPr>
            <w:r w:rsidRPr="00C919C6">
              <w:rPr>
                <w:sz w:val="18"/>
                <w:lang w:val="sq-AL"/>
              </w:rPr>
              <w:t>91</w:t>
            </w:r>
          </w:p>
        </w:tc>
      </w:tr>
      <w:tr w:rsidR="00C919C6" w:rsidRPr="00C919C6" w:rsidTr="00C919C6">
        <w:trPr>
          <w:trHeight w:val="255"/>
        </w:trPr>
        <w:tc>
          <w:tcPr>
            <w:tcW w:w="311" w:type="pct"/>
            <w:noWrap/>
            <w:hideMark/>
          </w:tcPr>
          <w:p w:rsidR="00ED39A9" w:rsidRPr="00C919C6" w:rsidRDefault="00ED39A9" w:rsidP="00A075AB">
            <w:pPr>
              <w:spacing w:line="276" w:lineRule="auto"/>
              <w:jc w:val="both"/>
              <w:rPr>
                <w:sz w:val="18"/>
                <w:lang w:val="sq-AL"/>
              </w:rPr>
            </w:pPr>
            <w:r w:rsidRPr="00C919C6">
              <w:rPr>
                <w:sz w:val="18"/>
                <w:lang w:val="sq-AL"/>
              </w:rPr>
              <w:t>II.</w:t>
            </w:r>
          </w:p>
        </w:tc>
        <w:tc>
          <w:tcPr>
            <w:tcW w:w="1122" w:type="pct"/>
            <w:noWrap/>
            <w:hideMark/>
          </w:tcPr>
          <w:p w:rsidR="00ED39A9" w:rsidRPr="00C919C6" w:rsidRDefault="00ED39A9" w:rsidP="00A075AB">
            <w:pPr>
              <w:spacing w:line="276" w:lineRule="auto"/>
              <w:jc w:val="both"/>
              <w:rPr>
                <w:i/>
                <w:sz w:val="18"/>
                <w:lang w:val="sq-AL"/>
              </w:rPr>
            </w:pPr>
            <w:r w:rsidRPr="00C919C6">
              <w:rPr>
                <w:i/>
                <w:sz w:val="18"/>
                <w:lang w:val="sq-AL"/>
              </w:rPr>
              <w:t>Shpenzime Kapitale</w:t>
            </w:r>
          </w:p>
        </w:tc>
        <w:tc>
          <w:tcPr>
            <w:tcW w:w="726" w:type="pct"/>
            <w:noWrap/>
            <w:hideMark/>
          </w:tcPr>
          <w:p w:rsidR="00ED39A9" w:rsidRPr="00C919C6" w:rsidRDefault="00ED39A9" w:rsidP="00ED39A9">
            <w:pPr>
              <w:spacing w:line="276" w:lineRule="auto"/>
              <w:jc w:val="center"/>
              <w:rPr>
                <w:sz w:val="18"/>
                <w:lang w:val="sq-AL"/>
              </w:rPr>
            </w:pPr>
            <w:r w:rsidRPr="00C919C6">
              <w:rPr>
                <w:sz w:val="18"/>
                <w:lang w:val="sq-AL"/>
              </w:rPr>
              <w:t>23.104</w:t>
            </w:r>
          </w:p>
        </w:tc>
        <w:tc>
          <w:tcPr>
            <w:tcW w:w="735" w:type="pct"/>
            <w:noWrap/>
            <w:hideMark/>
          </w:tcPr>
          <w:p w:rsidR="00ED39A9" w:rsidRPr="00C919C6" w:rsidRDefault="00ED39A9" w:rsidP="00ED39A9">
            <w:pPr>
              <w:spacing w:line="276" w:lineRule="auto"/>
              <w:jc w:val="center"/>
              <w:rPr>
                <w:sz w:val="18"/>
                <w:lang w:val="sq-AL"/>
              </w:rPr>
            </w:pPr>
            <w:r w:rsidRPr="00C919C6">
              <w:rPr>
                <w:sz w:val="18"/>
                <w:lang w:val="sq-AL"/>
              </w:rPr>
              <w:t>18.274</w:t>
            </w:r>
          </w:p>
        </w:tc>
        <w:tc>
          <w:tcPr>
            <w:tcW w:w="669" w:type="pct"/>
            <w:noWrap/>
            <w:hideMark/>
          </w:tcPr>
          <w:p w:rsidR="00ED39A9" w:rsidRPr="00C919C6" w:rsidRDefault="00ED39A9" w:rsidP="00ED39A9">
            <w:pPr>
              <w:spacing w:line="276" w:lineRule="auto"/>
              <w:jc w:val="center"/>
              <w:rPr>
                <w:sz w:val="18"/>
                <w:lang w:val="sq-AL"/>
              </w:rPr>
            </w:pPr>
            <w:r w:rsidRPr="00C919C6">
              <w:rPr>
                <w:sz w:val="18"/>
                <w:lang w:val="sq-AL"/>
              </w:rPr>
              <w:t>-4.830</w:t>
            </w:r>
          </w:p>
        </w:tc>
        <w:tc>
          <w:tcPr>
            <w:tcW w:w="1293" w:type="pct"/>
            <w:noWrap/>
            <w:hideMark/>
          </w:tcPr>
          <w:p w:rsidR="00ED39A9" w:rsidRPr="00C919C6" w:rsidRDefault="00ED39A9" w:rsidP="00ED39A9">
            <w:pPr>
              <w:spacing w:line="276" w:lineRule="auto"/>
              <w:jc w:val="center"/>
              <w:rPr>
                <w:sz w:val="18"/>
                <w:lang w:val="sq-AL"/>
              </w:rPr>
            </w:pPr>
            <w:r w:rsidRPr="00C919C6">
              <w:rPr>
                <w:sz w:val="18"/>
                <w:lang w:val="sq-AL"/>
              </w:rPr>
              <w:t>79</w:t>
            </w:r>
          </w:p>
        </w:tc>
      </w:tr>
      <w:tr w:rsidR="00C919C6" w:rsidRPr="00C919C6" w:rsidTr="00C919C6">
        <w:trPr>
          <w:trHeight w:val="196"/>
        </w:trPr>
        <w:tc>
          <w:tcPr>
            <w:tcW w:w="311" w:type="pct"/>
            <w:noWrap/>
            <w:hideMark/>
          </w:tcPr>
          <w:p w:rsidR="00ED39A9" w:rsidRPr="00C919C6" w:rsidRDefault="00ED39A9" w:rsidP="00A075AB">
            <w:pPr>
              <w:spacing w:line="276" w:lineRule="auto"/>
              <w:rPr>
                <w:rFonts w:ascii="Calibri" w:eastAsia="Calibri" w:hAnsi="Calibri"/>
                <w:sz w:val="18"/>
                <w:szCs w:val="22"/>
                <w:lang w:val="sq-AL"/>
              </w:rPr>
            </w:pPr>
          </w:p>
        </w:tc>
        <w:tc>
          <w:tcPr>
            <w:tcW w:w="1122" w:type="pct"/>
            <w:noWrap/>
            <w:hideMark/>
          </w:tcPr>
          <w:p w:rsidR="00ED39A9" w:rsidRPr="00C919C6" w:rsidRDefault="00ED39A9" w:rsidP="00A075AB">
            <w:pPr>
              <w:spacing w:line="276" w:lineRule="auto"/>
              <w:jc w:val="both"/>
              <w:rPr>
                <w:b/>
                <w:bCs/>
                <w:sz w:val="18"/>
                <w:lang w:val="sq-AL"/>
              </w:rPr>
            </w:pPr>
            <w:r w:rsidRPr="00C919C6">
              <w:rPr>
                <w:b/>
                <w:bCs/>
                <w:sz w:val="18"/>
                <w:lang w:val="sq-AL"/>
              </w:rPr>
              <w:t>Defiçiti</w:t>
            </w:r>
          </w:p>
        </w:tc>
        <w:tc>
          <w:tcPr>
            <w:tcW w:w="726" w:type="pct"/>
            <w:noWrap/>
            <w:hideMark/>
          </w:tcPr>
          <w:p w:rsidR="00ED39A9" w:rsidRPr="00C919C6" w:rsidRDefault="00ED39A9" w:rsidP="00ED39A9">
            <w:pPr>
              <w:spacing w:line="276" w:lineRule="auto"/>
              <w:jc w:val="center"/>
              <w:rPr>
                <w:b/>
                <w:bCs/>
                <w:sz w:val="18"/>
                <w:szCs w:val="20"/>
                <w:lang w:val="sq-AL"/>
              </w:rPr>
            </w:pPr>
            <w:r w:rsidRPr="00C919C6">
              <w:rPr>
                <w:b/>
                <w:bCs/>
                <w:sz w:val="18"/>
                <w:szCs w:val="20"/>
                <w:lang w:val="sq-AL"/>
              </w:rPr>
              <w:t>-4.692</w:t>
            </w:r>
          </w:p>
        </w:tc>
        <w:tc>
          <w:tcPr>
            <w:tcW w:w="735" w:type="pct"/>
            <w:noWrap/>
            <w:hideMark/>
          </w:tcPr>
          <w:p w:rsidR="00ED39A9" w:rsidRPr="00C919C6" w:rsidRDefault="00ED39A9" w:rsidP="00ED39A9">
            <w:pPr>
              <w:spacing w:line="276" w:lineRule="auto"/>
              <w:jc w:val="center"/>
              <w:rPr>
                <w:b/>
                <w:bCs/>
                <w:sz w:val="18"/>
                <w:szCs w:val="20"/>
                <w:lang w:val="sq-AL"/>
              </w:rPr>
            </w:pPr>
            <w:r w:rsidRPr="00C919C6">
              <w:rPr>
                <w:b/>
                <w:bCs/>
                <w:sz w:val="18"/>
                <w:szCs w:val="20"/>
                <w:lang w:val="sq-AL"/>
              </w:rPr>
              <w:t>17.986</w:t>
            </w:r>
          </w:p>
        </w:tc>
        <w:tc>
          <w:tcPr>
            <w:tcW w:w="669" w:type="pct"/>
            <w:noWrap/>
            <w:hideMark/>
          </w:tcPr>
          <w:p w:rsidR="00ED39A9" w:rsidRPr="00C919C6" w:rsidRDefault="00ED39A9" w:rsidP="00ED39A9">
            <w:pPr>
              <w:spacing w:line="276" w:lineRule="auto"/>
              <w:jc w:val="center"/>
              <w:rPr>
                <w:b/>
                <w:bCs/>
                <w:sz w:val="18"/>
                <w:lang w:val="sq-AL"/>
              </w:rPr>
            </w:pPr>
            <w:r w:rsidRPr="00C919C6">
              <w:rPr>
                <w:b/>
                <w:bCs/>
                <w:sz w:val="18"/>
                <w:lang w:val="sq-AL"/>
              </w:rPr>
              <w:t>22.678</w:t>
            </w:r>
          </w:p>
        </w:tc>
        <w:tc>
          <w:tcPr>
            <w:tcW w:w="1293" w:type="pct"/>
            <w:noWrap/>
            <w:hideMark/>
          </w:tcPr>
          <w:p w:rsidR="00ED39A9" w:rsidRPr="00C919C6" w:rsidRDefault="00ED39A9" w:rsidP="00ED39A9">
            <w:pPr>
              <w:spacing w:line="276" w:lineRule="auto"/>
              <w:jc w:val="center"/>
              <w:rPr>
                <w:b/>
                <w:sz w:val="18"/>
                <w:lang w:val="sq-AL"/>
              </w:rPr>
            </w:pPr>
            <w:r w:rsidRPr="00C919C6">
              <w:rPr>
                <w:b/>
                <w:sz w:val="18"/>
                <w:lang w:val="sq-AL"/>
              </w:rPr>
              <w:t>-383</w:t>
            </w:r>
          </w:p>
        </w:tc>
      </w:tr>
      <w:bookmarkEnd w:id="7"/>
      <w:bookmarkEnd w:id="8"/>
    </w:tbl>
    <w:p w:rsidR="00ED39A9" w:rsidRPr="007C40BE" w:rsidRDefault="00ED39A9" w:rsidP="00ED39A9">
      <w:pPr>
        <w:rPr>
          <w:i/>
          <w:lang w:val="sq-AL"/>
        </w:rPr>
      </w:pPr>
    </w:p>
    <w:p w:rsidR="00ED39A9" w:rsidRPr="007C40BE" w:rsidRDefault="00ED39A9" w:rsidP="00ED39A9">
      <w:pPr>
        <w:spacing w:line="360" w:lineRule="auto"/>
        <w:ind w:firstLine="720"/>
        <w:jc w:val="both"/>
        <w:rPr>
          <w:lang w:val="sq-AL"/>
        </w:rPr>
      </w:pPr>
      <w:r w:rsidRPr="007C40BE">
        <w:rPr>
          <w:lang w:val="sq-AL"/>
        </w:rPr>
        <w:t xml:space="preserve">Grafiku i mëposhtëm paraqet ndarjen e </w:t>
      </w:r>
      <w:r w:rsidRPr="007C40BE">
        <w:rPr>
          <w:b/>
          <w:lang w:val="sq-AL"/>
        </w:rPr>
        <w:t>shpenzimeve publike faktike</w:t>
      </w:r>
      <w:r w:rsidRPr="007C40BE">
        <w:rPr>
          <w:lang w:val="sq-AL"/>
        </w:rPr>
        <w:t xml:space="preserve"> për gjysmën e parë të vitit 2016, në milionë lekë. Shpenzimet korrente për 6 mujorin e vitit 2016</w:t>
      </w:r>
      <w:r w:rsidRPr="007C40BE">
        <w:rPr>
          <w:color w:val="FF0000"/>
          <w:lang w:val="sq-AL"/>
        </w:rPr>
        <w:t>,</w:t>
      </w:r>
      <w:r w:rsidRPr="007C40BE">
        <w:rPr>
          <w:lang w:val="sq-AL"/>
        </w:rPr>
        <w:t xml:space="preserve"> përbëjnë përqindjen më të madhe të shpenzimeve totale faktike ose 161.8 miliardë lekë; shpenzimet kapitale përbëjnë një pjesë më të vogël të shpenzimeve faktike ose 18.3 miliardë lekë.</w:t>
      </w:r>
    </w:p>
    <w:p w:rsidR="00ED39A9" w:rsidRPr="007C40BE" w:rsidRDefault="00ED39A9" w:rsidP="00ED39A9">
      <w:pPr>
        <w:spacing w:line="360" w:lineRule="auto"/>
        <w:ind w:firstLine="720"/>
        <w:jc w:val="both"/>
        <w:rPr>
          <w:sz w:val="16"/>
          <w:szCs w:val="16"/>
          <w:lang w:val="sq-AL"/>
        </w:rPr>
      </w:pPr>
    </w:p>
    <w:p w:rsidR="00ED39A9" w:rsidRPr="007C40BE" w:rsidRDefault="00ED39A9" w:rsidP="00ED39A9">
      <w:pPr>
        <w:jc w:val="center"/>
        <w:rPr>
          <w:lang w:val="sq-AL"/>
        </w:rPr>
      </w:pPr>
      <w:r w:rsidRPr="007C40BE">
        <w:rPr>
          <w:noProof/>
        </w:rPr>
        <w:drawing>
          <wp:inline distT="0" distB="0" distL="0" distR="0" wp14:anchorId="2622E8C1" wp14:editId="2447F65A">
            <wp:extent cx="5143500" cy="3086100"/>
            <wp:effectExtent l="0" t="0" r="19050" b="19050"/>
            <wp:docPr id="1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26C45" w:rsidRDefault="00526C45" w:rsidP="006B0E61">
      <w:pPr>
        <w:spacing w:line="360" w:lineRule="auto"/>
        <w:ind w:firstLine="720"/>
        <w:jc w:val="both"/>
        <w:rPr>
          <w:b/>
          <w:lang w:val="sq-AL"/>
        </w:rPr>
      </w:pPr>
    </w:p>
    <w:p w:rsidR="006B0E61" w:rsidRPr="007C40BE" w:rsidRDefault="00ED39A9" w:rsidP="006B0E61">
      <w:pPr>
        <w:spacing w:line="360" w:lineRule="auto"/>
        <w:ind w:firstLine="720"/>
        <w:jc w:val="both"/>
        <w:rPr>
          <w:lang w:val="sq-AL"/>
        </w:rPr>
      </w:pPr>
      <w:r w:rsidRPr="007C40BE">
        <w:rPr>
          <w:b/>
          <w:lang w:val="sq-AL"/>
        </w:rPr>
        <w:t xml:space="preserve">Shpenzimet kapitale, </w:t>
      </w:r>
      <w:r w:rsidRPr="007C40BE">
        <w:rPr>
          <w:lang w:val="sq-AL"/>
        </w:rPr>
        <w:t>në vijim të analizës</w:t>
      </w:r>
      <w:r w:rsidRPr="007C40BE">
        <w:rPr>
          <w:b/>
          <w:lang w:val="sq-AL"/>
        </w:rPr>
        <w:t xml:space="preserve"> </w:t>
      </w:r>
      <w:r w:rsidRPr="007C40BE">
        <w:rPr>
          <w:lang w:val="sq-AL"/>
        </w:rPr>
        <w:t xml:space="preserve">së ecurisë së realizimit të investimeve publike me financim të brendshëm dhe të huaj për 6 mujorin e parë të vitit 2016 është konstatuar një mosrealizim në investimet me financim të huaj në nivele të konsiderueshme pothuajse në  30% të planit 6 mujor ose realizim vetëm 70% i atyre të planifikuara për gjysmën e parë të vitit 2016, </w:t>
      </w:r>
      <w:r w:rsidRPr="007C40BE">
        <w:rPr>
          <w:lang w:val="sq-AL"/>
        </w:rPr>
        <w:lastRenderedPageBreak/>
        <w:t xml:space="preserve">ndërkohë që realizimi i investimeve me financim të brendshëm paraqitet në nivele më të larta, përkatësisht 90% e planit. </w:t>
      </w:r>
    </w:p>
    <w:p w:rsidR="00ED39A9" w:rsidRPr="007C40BE" w:rsidRDefault="00ED39A9" w:rsidP="006B0E61">
      <w:pPr>
        <w:pStyle w:val="ListParagraph"/>
        <w:numPr>
          <w:ilvl w:val="0"/>
          <w:numId w:val="42"/>
        </w:numPr>
        <w:spacing w:line="360" w:lineRule="auto"/>
        <w:jc w:val="both"/>
        <w:rPr>
          <w:rFonts w:ascii="Times New Roman" w:hAnsi="Times New Roman"/>
          <w:bCs/>
          <w:i/>
          <w:sz w:val="24"/>
        </w:rPr>
      </w:pPr>
      <w:r w:rsidRPr="007C40BE">
        <w:rPr>
          <w:rFonts w:ascii="Times New Roman" w:hAnsi="Times New Roman"/>
          <w:i/>
          <w:sz w:val="24"/>
        </w:rPr>
        <w:t>Ky mosrealizim i investimeve të huaja në nivelet e kërkuara, në raport me planin për programet në periudhën afatmesme ka ndodhur për shkaqe të ndryshme si,</w:t>
      </w:r>
      <w:r w:rsidRPr="007C40BE">
        <w:rPr>
          <w:rFonts w:ascii="Times New Roman" w:hAnsi="Times New Roman"/>
          <w:bCs/>
          <w:i/>
          <w:sz w:val="24"/>
        </w:rPr>
        <w:t xml:space="preserve"> shtyrja e afatit të realizimit nga procesi i prokurimit, apo edhe nga vonesat në paraqitjen e dokumentacionit teknik e financiar për lëvrimin e fondeve. Në përgjithësi ekziston një trend pothuajse i njëjtë realizimi i këtyre shpenzimeve nga të gjitha ministritë e linjës, kjo dhe si një efekt i gjysmës së parë vitit dhe procesit të shtrirjes së mëvonshme të likujdimit të shpenzimeve për investime. Gjithashtu vlen të theksohet fakti që ky trend mosrealizimi është një problematikë e zakonshme në gjysmën e parë të vitit buxhetor si shkak paraqitjes me vonesë të situacioneve të punimeve për tu paguar dhe vonesës në disbursim. Në këtë mënyrë pritet që disbursimet për realizimin e projekteve si me financim të huaj ashtu edhe me financim të brendshëm të rriten në muajt në vazhdim.</w:t>
      </w:r>
    </w:p>
    <w:p w:rsidR="00ED39A9" w:rsidRPr="007C40BE" w:rsidRDefault="00ED39A9" w:rsidP="00C919C6">
      <w:pPr>
        <w:spacing w:line="360" w:lineRule="auto"/>
        <w:jc w:val="both"/>
        <w:rPr>
          <w:lang w:val="sq-AL"/>
        </w:rPr>
      </w:pPr>
      <w:r w:rsidRPr="007C40BE">
        <w:rPr>
          <w:lang w:val="sq-AL"/>
        </w:rPr>
        <w:t xml:space="preserve">Sikurse evidentohet nga tabela e treguesve fiskalë të konsoliduar, të ardhurat totale janë realizuar 198.1 miliardë lekë ose me një tejkalim të lehtë në raport me planin 6-mujorit të parë  të vitit 2016. Ndërkohë, realizimi i shpenzimeve të përgjithshme është 180.1 miliardë lekë, pra rreth 11 për qind më pak se plani i periudhës. </w:t>
      </w:r>
      <w:r w:rsidRPr="00526C45">
        <w:rPr>
          <w:lang w:val="sq-AL"/>
        </w:rPr>
        <w:t>Kjo situatë është shoqëruar me një sufiçit buxhetor</w:t>
      </w:r>
      <w:r w:rsidR="002B2F51" w:rsidRPr="00526C45">
        <w:rPr>
          <w:lang w:val="sq-AL"/>
        </w:rPr>
        <w:t>.</w:t>
      </w:r>
      <w:r w:rsidRPr="00526C45">
        <w:rPr>
          <w:lang w:val="sq-AL"/>
        </w:rPr>
        <w:t xml:space="preserve"> Ky fakt lidhet me një politikë të kujdesshme në funksion të përmirësimit</w:t>
      </w:r>
      <w:r w:rsidRPr="00526C45">
        <w:rPr>
          <w:color w:val="FF0000"/>
          <w:lang w:val="sq-AL"/>
        </w:rPr>
        <w:t xml:space="preserve"> </w:t>
      </w:r>
      <w:r w:rsidRPr="00526C45">
        <w:rPr>
          <w:lang w:val="sq-AL"/>
        </w:rPr>
        <w:t xml:space="preserve">të financave </w:t>
      </w:r>
      <w:r w:rsidR="00E65C5A" w:rsidRPr="00526C45">
        <w:rPr>
          <w:lang w:val="sq-AL"/>
        </w:rPr>
        <w:t>publike</w:t>
      </w:r>
      <w:r w:rsidRPr="00526C45">
        <w:rPr>
          <w:lang w:val="sq-AL"/>
        </w:rPr>
        <w:t xml:space="preserve"> </w:t>
      </w:r>
      <w:r w:rsidR="002B2F51" w:rsidRPr="00526C45">
        <w:rPr>
          <w:lang w:val="sq-AL"/>
        </w:rPr>
        <w:t xml:space="preserve">dhe </w:t>
      </w:r>
      <w:r w:rsidRPr="00526C45">
        <w:rPr>
          <w:lang w:val="sq-AL"/>
        </w:rPr>
        <w:t xml:space="preserve">një tregues i efekteve pozitive të reformave të zbatuara me qëlllim disiplinën dhe qëndrueshmërinë fiskale e buxhetore. Këto përfundime statistikore tregojnë qartë reagimin pozitiv të ekonomisë dhe reformave që kanë ndikuar drejtpërdrejt në rritjen e parametrave të teguesve fiskale të buxhetit të konsoliduar duke dhënë efektet e pritshme të reformave në ekonomi. </w:t>
      </w:r>
    </w:p>
    <w:p w:rsidR="00ED39A9" w:rsidRPr="007C40BE" w:rsidRDefault="00ED39A9" w:rsidP="00262F9E">
      <w:pPr>
        <w:spacing w:line="360" w:lineRule="auto"/>
        <w:jc w:val="center"/>
        <w:rPr>
          <w:b/>
          <w:sz w:val="22"/>
          <w:szCs w:val="22"/>
          <w:lang w:val="sq-AL"/>
        </w:rPr>
      </w:pPr>
      <w:r w:rsidRPr="007C40BE">
        <w:rPr>
          <w:noProof/>
        </w:rPr>
        <w:drawing>
          <wp:inline distT="0" distB="0" distL="0" distR="0" wp14:anchorId="77C2A40C" wp14:editId="011C59E6">
            <wp:extent cx="5686425" cy="2647950"/>
            <wp:effectExtent l="0" t="0" r="9525" b="19050"/>
            <wp:docPr id="1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D39A9" w:rsidRPr="007C40BE" w:rsidRDefault="00ED39A9" w:rsidP="00ED39A9">
      <w:pPr>
        <w:spacing w:line="360" w:lineRule="auto"/>
        <w:jc w:val="both"/>
        <w:rPr>
          <w:lang w:val="sq-AL"/>
        </w:rPr>
      </w:pPr>
      <w:r w:rsidRPr="007C40BE">
        <w:rPr>
          <w:lang w:val="sq-AL"/>
        </w:rPr>
        <w:lastRenderedPageBreak/>
        <w:tab/>
        <w:t xml:space="preserve">Nga grafiku i mësipërm vihen re qartë tendencat </w:t>
      </w:r>
      <w:r w:rsidR="00E65C5A">
        <w:rPr>
          <w:lang w:val="sq-AL"/>
        </w:rPr>
        <w:t>e</w:t>
      </w:r>
      <w:r w:rsidRPr="007C40BE">
        <w:rPr>
          <w:lang w:val="sq-AL"/>
        </w:rPr>
        <w:t xml:space="preserve"> sjelljes së buxhetit parë në këndvështrimin e një sufiçiti të konsiderueshëm të krijuar gjatë kësaj periudhe në raport me planin. </w:t>
      </w:r>
      <w:r w:rsidRPr="00526C45">
        <w:rPr>
          <w:lang w:val="sq-AL"/>
        </w:rPr>
        <w:t>Krahasuar me planin e parashikuar, niveli i të ardhurave ka një realizim të rëndësishëm në shifrat e parashikuara ose e thënë ndryshe pothuajse e plotë, por nga ana tjetër trendi i kujdesshëm i shpenzimeve të realizuara në raport me planin ka rezultuar me sufiçit prej 18 miliard lekë. Kjo përkthehet në politika të kujdesshme buxhetore e fiskale nga ana e qeverisë</w:t>
      </w:r>
      <w:r w:rsidR="005D5D0D" w:rsidRPr="00526C45">
        <w:rPr>
          <w:lang w:val="sq-AL"/>
        </w:rPr>
        <w:t>,</w:t>
      </w:r>
      <w:r w:rsidRPr="00526C45">
        <w:rPr>
          <w:lang w:val="sq-AL"/>
        </w:rPr>
        <w:t xml:space="preserve"> duke rritur qëndrueshmërinë dhe ndikuar në premisat e një buxheti të konsoliduar. Mbi të gjitha këto parametra të identifikuara nga Ministria e Financave tregojnë një buxhet të vendosur në shinat e rritjes ekonomike dhe reformave të qëndrueshme.</w:t>
      </w:r>
      <w:r w:rsidRPr="007C40BE">
        <w:rPr>
          <w:lang w:val="sq-AL"/>
        </w:rPr>
        <w:t xml:space="preserve"> </w:t>
      </w:r>
    </w:p>
    <w:p w:rsidR="008D4E64" w:rsidRDefault="008D4E64" w:rsidP="008D4E64">
      <w:pPr>
        <w:spacing w:line="360" w:lineRule="auto"/>
        <w:jc w:val="both"/>
        <w:rPr>
          <w:b/>
          <w:sz w:val="28"/>
          <w:u w:val="single"/>
          <w:lang w:val="sq-AL"/>
        </w:rPr>
      </w:pPr>
    </w:p>
    <w:p w:rsidR="008D4E64" w:rsidRPr="006735A7" w:rsidRDefault="008D4E64" w:rsidP="008D4E64">
      <w:pPr>
        <w:spacing w:line="360" w:lineRule="auto"/>
        <w:jc w:val="both"/>
        <w:rPr>
          <w:b/>
          <w:sz w:val="28"/>
          <w:u w:val="single"/>
          <w:lang w:val="sq-AL"/>
        </w:rPr>
      </w:pPr>
      <w:r w:rsidRPr="006735A7">
        <w:rPr>
          <w:b/>
          <w:sz w:val="28"/>
          <w:u w:val="single"/>
          <w:lang w:val="sq-AL"/>
        </w:rPr>
        <w:t>B.4</w:t>
      </w:r>
      <w:r w:rsidRPr="006735A7">
        <w:rPr>
          <w:b/>
          <w:sz w:val="28"/>
          <w:u w:val="single"/>
          <w:lang w:val="sq-AL"/>
        </w:rPr>
        <w:tab/>
        <w:t>Borxhi publik dhe menaxhimi i tij</w:t>
      </w:r>
    </w:p>
    <w:p w:rsidR="008D4E64" w:rsidRPr="008D4E64" w:rsidRDefault="008D4E64" w:rsidP="008D4E64">
      <w:pPr>
        <w:shd w:val="clear" w:color="auto" w:fill="FFFFFF"/>
        <w:spacing w:line="360" w:lineRule="auto"/>
        <w:jc w:val="both"/>
        <w:rPr>
          <w:bCs/>
          <w:lang w:val="fi-FI"/>
        </w:rPr>
      </w:pPr>
      <w:r w:rsidRPr="008D4E64">
        <w:rPr>
          <w:bCs/>
          <w:lang w:val="fi-FI"/>
        </w:rPr>
        <w:t xml:space="preserve">Në këtë rishikim nuk janë parashikuar ndryshime në treguesit e intesave të borxhit, për arsye të sigurisë më të lartë në zbatimin e buxhetit të vitit 2016. </w:t>
      </w:r>
    </w:p>
    <w:p w:rsidR="008D4E64" w:rsidRPr="006735A7" w:rsidRDefault="008D4E64" w:rsidP="008D4E64">
      <w:pPr>
        <w:spacing w:line="360" w:lineRule="auto"/>
        <w:jc w:val="both"/>
        <w:rPr>
          <w:lang w:val="sq-AL"/>
        </w:rPr>
      </w:pPr>
      <w:r w:rsidRPr="006735A7">
        <w:rPr>
          <w:lang w:val="sq-AL"/>
        </w:rPr>
        <w:t xml:space="preserve">Në fund të qershorit 2016 stoku i borxhit </w:t>
      </w:r>
      <w:r>
        <w:rPr>
          <w:lang w:val="sq-AL"/>
        </w:rPr>
        <w:t xml:space="preserve">publik </w:t>
      </w:r>
      <w:r w:rsidRPr="006735A7">
        <w:rPr>
          <w:lang w:val="sq-AL"/>
        </w:rPr>
        <w:t xml:space="preserve">vlerësohet në 1,067.9 miliard </w:t>
      </w:r>
      <w:r>
        <w:rPr>
          <w:lang w:val="sq-AL"/>
        </w:rPr>
        <w:t>LEK</w:t>
      </w:r>
      <w:r w:rsidRPr="006735A7">
        <w:rPr>
          <w:lang w:val="sq-AL"/>
        </w:rPr>
        <w:t xml:space="preserve"> ose  69.78% e PBB</w:t>
      </w:r>
      <w:r w:rsidRPr="006735A7">
        <w:rPr>
          <w:rStyle w:val="FootnoteReference"/>
          <w:lang w:val="sq-AL"/>
        </w:rPr>
        <w:footnoteReference w:id="2"/>
      </w:r>
      <w:r>
        <w:rPr>
          <w:lang w:val="sq-AL"/>
        </w:rPr>
        <w:t>,</w:t>
      </w:r>
      <w:r w:rsidRPr="006735A7">
        <w:rPr>
          <w:lang w:val="sq-AL"/>
        </w:rPr>
        <w:t xml:space="preserve"> nga i cili 36.09% është borxh i brendshëm dhe 32.88% është borxh i jashtëm.</w:t>
      </w:r>
    </w:p>
    <w:p w:rsidR="008D4E64" w:rsidRPr="006735A7" w:rsidRDefault="008D4E64" w:rsidP="008D4E64">
      <w:pPr>
        <w:ind w:left="270"/>
        <w:jc w:val="center"/>
        <w:rPr>
          <w:b/>
          <w:sz w:val="22"/>
          <w:szCs w:val="22"/>
          <w:lang w:val="it-IT"/>
        </w:rPr>
      </w:pPr>
      <w:r w:rsidRPr="006735A7">
        <w:rPr>
          <w:b/>
          <w:sz w:val="22"/>
          <w:szCs w:val="22"/>
          <w:lang w:val="it-IT"/>
        </w:rPr>
        <w:t xml:space="preserve">Tabela: </w:t>
      </w:r>
      <w:r w:rsidRPr="006735A7">
        <w:rPr>
          <w:i/>
          <w:sz w:val="22"/>
          <w:szCs w:val="22"/>
          <w:lang w:val="it-IT"/>
        </w:rPr>
        <w:t>Ecuria e stokut të borxhit të Qeverisjes Qend</w:t>
      </w:r>
      <w:r>
        <w:rPr>
          <w:i/>
          <w:sz w:val="22"/>
          <w:szCs w:val="22"/>
          <w:lang w:val="it-IT"/>
        </w:rPr>
        <w:t>r</w:t>
      </w:r>
      <w:r w:rsidRPr="006735A7">
        <w:rPr>
          <w:i/>
          <w:sz w:val="22"/>
          <w:szCs w:val="22"/>
          <w:lang w:val="it-IT"/>
        </w:rPr>
        <w:t>ore</w:t>
      </w:r>
      <w:r w:rsidRPr="006735A7">
        <w:rPr>
          <w:lang w:val="sq-AL"/>
        </w:rPr>
        <w:fldChar w:fldCharType="begin"/>
      </w:r>
      <w:r w:rsidRPr="006735A7">
        <w:rPr>
          <w:lang w:val="sq-AL"/>
        </w:rPr>
        <w:instrText xml:space="preserve"> LINK Excel.Sheet.8 "C:\\Users\\marjus.borokoci\\Desktop\\WORD FILES\\Raporte\\Viti 2016\\Buxheti i rishikuar_korrik_2016\\Tabelat dhe Grafiket per rishikimin e buxhetit 2016_dt_19.07.2016.xls" "Stoku i Borxhit !R3C2:R14C13" \a \f 4 \h  \* MERGEFORMAT </w:instrText>
      </w:r>
      <w:r w:rsidRPr="006735A7">
        <w:rPr>
          <w:lang w:val="sq-AL"/>
        </w:rPr>
        <w:fldChar w:fldCharType="separate"/>
      </w:r>
    </w:p>
    <w:tbl>
      <w:tblPr>
        <w:tblStyle w:val="TableWeb3"/>
        <w:tblW w:w="9392" w:type="dxa"/>
        <w:jc w:val="center"/>
        <w:tblLook w:val="04A0" w:firstRow="1" w:lastRow="0" w:firstColumn="1" w:lastColumn="0" w:noHBand="0" w:noVBand="1"/>
      </w:tblPr>
      <w:tblGrid>
        <w:gridCol w:w="3403"/>
        <w:gridCol w:w="1313"/>
        <w:gridCol w:w="1189"/>
        <w:gridCol w:w="1189"/>
        <w:gridCol w:w="1189"/>
        <w:gridCol w:w="1493"/>
      </w:tblGrid>
      <w:tr w:rsidR="008D4E64" w:rsidRPr="00C919C6" w:rsidTr="00C919C6">
        <w:trPr>
          <w:cnfStyle w:val="100000000000" w:firstRow="1" w:lastRow="0" w:firstColumn="0" w:lastColumn="0" w:oddVBand="0" w:evenVBand="0" w:oddHBand="0" w:evenHBand="0" w:firstRowFirstColumn="0" w:firstRowLastColumn="0" w:lastRowFirstColumn="0" w:lastRowLastColumn="0"/>
          <w:trHeight w:val="255"/>
          <w:jc w:val="center"/>
        </w:trPr>
        <w:tc>
          <w:tcPr>
            <w:tcW w:w="3331" w:type="dxa"/>
            <w:noWrap/>
            <w:hideMark/>
          </w:tcPr>
          <w:p w:rsidR="008D4E64" w:rsidRPr="006735A7" w:rsidRDefault="008D4E64" w:rsidP="006267AA">
            <w:pPr>
              <w:jc w:val="center"/>
              <w:rPr>
                <w:rFonts w:ascii="Cambria" w:hAnsi="Cambria" w:cs="Arial"/>
                <w:b/>
                <w:bCs/>
                <w:color w:val="FFFFFF"/>
                <w:sz w:val="20"/>
                <w:szCs w:val="20"/>
              </w:rPr>
            </w:pPr>
            <w:r w:rsidRPr="006735A7">
              <w:rPr>
                <w:rFonts w:ascii="Cambria" w:hAnsi="Cambria" w:cs="Arial"/>
                <w:b/>
                <w:bCs/>
                <w:color w:val="FFFFFF"/>
                <w:sz w:val="20"/>
                <w:szCs w:val="20"/>
              </w:rPr>
              <w:t xml:space="preserve"> </w:t>
            </w:r>
          </w:p>
        </w:tc>
        <w:tc>
          <w:tcPr>
            <w:tcW w:w="1265" w:type="dxa"/>
            <w:noWrap/>
            <w:hideMark/>
          </w:tcPr>
          <w:p w:rsidR="008D4E64" w:rsidRPr="00C919C6" w:rsidRDefault="008D4E64" w:rsidP="006267AA">
            <w:pPr>
              <w:jc w:val="center"/>
              <w:rPr>
                <w:rFonts w:ascii="Cambria" w:hAnsi="Cambria" w:cs="Arial"/>
                <w:b/>
                <w:bCs/>
                <w:sz w:val="22"/>
                <w:szCs w:val="20"/>
              </w:rPr>
            </w:pPr>
            <w:r w:rsidRPr="00C919C6">
              <w:rPr>
                <w:rFonts w:ascii="Cambria" w:hAnsi="Cambria" w:cs="Arial"/>
                <w:b/>
                <w:bCs/>
                <w:sz w:val="22"/>
                <w:szCs w:val="20"/>
              </w:rPr>
              <w:t>2012</w:t>
            </w:r>
          </w:p>
        </w:tc>
        <w:tc>
          <w:tcPr>
            <w:tcW w:w="1138" w:type="dxa"/>
            <w:noWrap/>
            <w:hideMark/>
          </w:tcPr>
          <w:p w:rsidR="008D4E64" w:rsidRPr="00C919C6" w:rsidRDefault="008D4E64" w:rsidP="006267AA">
            <w:pPr>
              <w:jc w:val="center"/>
              <w:rPr>
                <w:rFonts w:ascii="Cambria" w:hAnsi="Cambria" w:cs="Arial"/>
                <w:b/>
                <w:bCs/>
                <w:sz w:val="22"/>
                <w:szCs w:val="20"/>
              </w:rPr>
            </w:pPr>
            <w:r w:rsidRPr="00C919C6">
              <w:rPr>
                <w:rFonts w:ascii="Cambria" w:hAnsi="Cambria" w:cs="Arial"/>
                <w:b/>
                <w:bCs/>
                <w:sz w:val="22"/>
                <w:szCs w:val="20"/>
              </w:rPr>
              <w:t>2013</w:t>
            </w:r>
          </w:p>
        </w:tc>
        <w:tc>
          <w:tcPr>
            <w:tcW w:w="1138" w:type="dxa"/>
            <w:noWrap/>
            <w:hideMark/>
          </w:tcPr>
          <w:p w:rsidR="008D4E64" w:rsidRPr="00C919C6" w:rsidRDefault="008D4E64" w:rsidP="006267AA">
            <w:pPr>
              <w:jc w:val="center"/>
              <w:rPr>
                <w:rFonts w:ascii="Cambria" w:hAnsi="Cambria" w:cs="Arial"/>
                <w:b/>
                <w:bCs/>
                <w:sz w:val="22"/>
                <w:szCs w:val="20"/>
              </w:rPr>
            </w:pPr>
            <w:r w:rsidRPr="00C919C6">
              <w:rPr>
                <w:rFonts w:ascii="Cambria" w:hAnsi="Cambria" w:cs="Arial"/>
                <w:b/>
                <w:bCs/>
                <w:sz w:val="22"/>
                <w:szCs w:val="20"/>
              </w:rPr>
              <w:t>2014</w:t>
            </w:r>
          </w:p>
        </w:tc>
        <w:tc>
          <w:tcPr>
            <w:tcW w:w="1138" w:type="dxa"/>
            <w:noWrap/>
            <w:hideMark/>
          </w:tcPr>
          <w:p w:rsidR="008D4E64" w:rsidRPr="00C919C6" w:rsidRDefault="008D4E64" w:rsidP="006267AA">
            <w:pPr>
              <w:jc w:val="center"/>
              <w:rPr>
                <w:rFonts w:ascii="Cambria" w:hAnsi="Cambria" w:cs="Arial"/>
                <w:b/>
                <w:bCs/>
                <w:sz w:val="22"/>
                <w:szCs w:val="20"/>
              </w:rPr>
            </w:pPr>
            <w:r w:rsidRPr="00C919C6">
              <w:rPr>
                <w:rFonts w:ascii="Cambria" w:hAnsi="Cambria" w:cs="Arial"/>
                <w:b/>
                <w:bCs/>
                <w:sz w:val="22"/>
                <w:szCs w:val="20"/>
              </w:rPr>
              <w:t>2015</w:t>
            </w:r>
          </w:p>
        </w:tc>
        <w:tc>
          <w:tcPr>
            <w:tcW w:w="1382" w:type="dxa"/>
            <w:noWrap/>
            <w:hideMark/>
          </w:tcPr>
          <w:p w:rsidR="008D4E64" w:rsidRPr="00C919C6" w:rsidRDefault="008D4E64" w:rsidP="006267AA">
            <w:pPr>
              <w:jc w:val="center"/>
              <w:rPr>
                <w:rFonts w:ascii="Cambria" w:hAnsi="Cambria" w:cs="Arial"/>
                <w:b/>
                <w:bCs/>
                <w:sz w:val="22"/>
                <w:szCs w:val="20"/>
              </w:rPr>
            </w:pPr>
            <w:r w:rsidRPr="00C919C6">
              <w:rPr>
                <w:rFonts w:ascii="Cambria" w:hAnsi="Cambria" w:cs="Arial"/>
                <w:b/>
                <w:bCs/>
                <w:sz w:val="22"/>
                <w:szCs w:val="20"/>
              </w:rPr>
              <w:t>Qer-16</w:t>
            </w:r>
          </w:p>
        </w:tc>
      </w:tr>
      <w:tr w:rsidR="008D4E64" w:rsidRPr="00C919C6" w:rsidTr="00C919C6">
        <w:trPr>
          <w:trHeight w:val="270"/>
          <w:jc w:val="center"/>
        </w:trPr>
        <w:tc>
          <w:tcPr>
            <w:tcW w:w="3331" w:type="dxa"/>
            <w:noWrap/>
            <w:hideMark/>
          </w:tcPr>
          <w:p w:rsidR="008D4E64" w:rsidRPr="00C919C6" w:rsidRDefault="008D4E64" w:rsidP="006267AA">
            <w:pPr>
              <w:rPr>
                <w:b/>
                <w:bCs/>
                <w:color w:val="C00000"/>
                <w:sz w:val="20"/>
                <w:szCs w:val="20"/>
              </w:rPr>
            </w:pPr>
            <w:r w:rsidRPr="00C919C6">
              <w:rPr>
                <w:b/>
                <w:bCs/>
                <w:color w:val="C00000"/>
                <w:sz w:val="20"/>
                <w:szCs w:val="20"/>
              </w:rPr>
              <w:t xml:space="preserve">Stoku Borxhit Gjithsej </w:t>
            </w:r>
          </w:p>
        </w:tc>
        <w:tc>
          <w:tcPr>
            <w:tcW w:w="1265" w:type="dxa"/>
            <w:noWrap/>
            <w:hideMark/>
          </w:tcPr>
          <w:p w:rsidR="008D4E64" w:rsidRPr="00C919C6" w:rsidRDefault="008D4E64" w:rsidP="006267AA">
            <w:pPr>
              <w:jc w:val="right"/>
              <w:rPr>
                <w:b/>
                <w:bCs/>
                <w:color w:val="C00000"/>
                <w:sz w:val="20"/>
                <w:szCs w:val="20"/>
              </w:rPr>
            </w:pPr>
            <w:r w:rsidRPr="00C919C6">
              <w:rPr>
                <w:b/>
                <w:bCs/>
                <w:color w:val="C00000"/>
                <w:sz w:val="20"/>
                <w:szCs w:val="20"/>
              </w:rPr>
              <w:t>827,981</w:t>
            </w:r>
          </w:p>
        </w:tc>
        <w:tc>
          <w:tcPr>
            <w:tcW w:w="1138" w:type="dxa"/>
            <w:noWrap/>
            <w:hideMark/>
          </w:tcPr>
          <w:p w:rsidR="008D4E64" w:rsidRPr="00C919C6" w:rsidRDefault="008D4E64" w:rsidP="006267AA">
            <w:pPr>
              <w:jc w:val="right"/>
              <w:rPr>
                <w:b/>
                <w:bCs/>
                <w:color w:val="C00000"/>
                <w:sz w:val="20"/>
                <w:szCs w:val="20"/>
              </w:rPr>
            </w:pPr>
            <w:r w:rsidRPr="00C919C6">
              <w:rPr>
                <w:b/>
                <w:bCs/>
                <w:color w:val="C00000"/>
                <w:sz w:val="20"/>
                <w:szCs w:val="20"/>
              </w:rPr>
              <w:t>884,692</w:t>
            </w:r>
          </w:p>
        </w:tc>
        <w:tc>
          <w:tcPr>
            <w:tcW w:w="1138" w:type="dxa"/>
            <w:noWrap/>
            <w:hideMark/>
          </w:tcPr>
          <w:p w:rsidR="008D4E64" w:rsidRPr="00C919C6" w:rsidRDefault="008D4E64" w:rsidP="006267AA">
            <w:pPr>
              <w:jc w:val="right"/>
              <w:rPr>
                <w:b/>
                <w:bCs/>
                <w:color w:val="C00000"/>
                <w:sz w:val="20"/>
                <w:szCs w:val="20"/>
              </w:rPr>
            </w:pPr>
            <w:r w:rsidRPr="00C919C6">
              <w:rPr>
                <w:b/>
                <w:bCs/>
                <w:color w:val="C00000"/>
                <w:sz w:val="20"/>
                <w:szCs w:val="20"/>
              </w:rPr>
              <w:t>977,102</w:t>
            </w:r>
          </w:p>
        </w:tc>
        <w:tc>
          <w:tcPr>
            <w:tcW w:w="1138" w:type="dxa"/>
            <w:noWrap/>
            <w:hideMark/>
          </w:tcPr>
          <w:p w:rsidR="008D4E64" w:rsidRPr="00C919C6" w:rsidRDefault="008D4E64" w:rsidP="006267AA">
            <w:pPr>
              <w:jc w:val="right"/>
              <w:rPr>
                <w:b/>
                <w:bCs/>
                <w:color w:val="C00000"/>
                <w:sz w:val="20"/>
                <w:szCs w:val="20"/>
              </w:rPr>
            </w:pPr>
            <w:r w:rsidRPr="00C919C6">
              <w:rPr>
                <w:b/>
                <w:bCs/>
                <w:color w:val="C00000"/>
                <w:sz w:val="20"/>
                <w:szCs w:val="20"/>
              </w:rPr>
              <w:t>1,042,272</w:t>
            </w:r>
          </w:p>
        </w:tc>
        <w:tc>
          <w:tcPr>
            <w:tcW w:w="1382" w:type="dxa"/>
            <w:noWrap/>
            <w:hideMark/>
          </w:tcPr>
          <w:p w:rsidR="008D4E64" w:rsidRPr="00C919C6" w:rsidRDefault="008D4E64" w:rsidP="006267AA">
            <w:pPr>
              <w:jc w:val="right"/>
              <w:rPr>
                <w:b/>
                <w:bCs/>
                <w:color w:val="C00000"/>
                <w:sz w:val="20"/>
                <w:szCs w:val="20"/>
              </w:rPr>
            </w:pPr>
            <w:r w:rsidRPr="00C919C6">
              <w:rPr>
                <w:b/>
                <w:bCs/>
                <w:color w:val="C00000"/>
                <w:sz w:val="20"/>
                <w:szCs w:val="20"/>
              </w:rPr>
              <w:t>1,067,933</w:t>
            </w:r>
          </w:p>
        </w:tc>
      </w:tr>
      <w:tr w:rsidR="008D4E64" w:rsidRPr="00C919C6" w:rsidTr="00C919C6">
        <w:trPr>
          <w:trHeight w:val="255"/>
          <w:jc w:val="center"/>
        </w:trPr>
        <w:tc>
          <w:tcPr>
            <w:tcW w:w="3331" w:type="dxa"/>
            <w:noWrap/>
            <w:hideMark/>
          </w:tcPr>
          <w:p w:rsidR="008D4E64" w:rsidRPr="00C919C6" w:rsidRDefault="008D4E64" w:rsidP="006267AA">
            <w:pPr>
              <w:rPr>
                <w:b/>
                <w:bCs/>
                <w:sz w:val="20"/>
                <w:szCs w:val="20"/>
              </w:rPr>
            </w:pPr>
            <w:r w:rsidRPr="00C919C6">
              <w:rPr>
                <w:b/>
                <w:bCs/>
                <w:sz w:val="20"/>
                <w:szCs w:val="20"/>
              </w:rPr>
              <w:t>Stoku Borxhit Brendshëm</w:t>
            </w:r>
          </w:p>
        </w:tc>
        <w:tc>
          <w:tcPr>
            <w:tcW w:w="1265" w:type="dxa"/>
            <w:noWrap/>
            <w:hideMark/>
          </w:tcPr>
          <w:p w:rsidR="008D4E64" w:rsidRPr="00C919C6" w:rsidRDefault="008D4E64" w:rsidP="006267AA">
            <w:pPr>
              <w:jc w:val="right"/>
              <w:rPr>
                <w:b/>
                <w:bCs/>
                <w:sz w:val="20"/>
                <w:szCs w:val="20"/>
              </w:rPr>
            </w:pPr>
            <w:r w:rsidRPr="00C919C6">
              <w:rPr>
                <w:b/>
                <w:bCs/>
                <w:sz w:val="20"/>
                <w:szCs w:val="20"/>
              </w:rPr>
              <w:t>470,358</w:t>
            </w:r>
          </w:p>
        </w:tc>
        <w:tc>
          <w:tcPr>
            <w:tcW w:w="1138" w:type="dxa"/>
            <w:noWrap/>
            <w:hideMark/>
          </w:tcPr>
          <w:p w:rsidR="008D4E64" w:rsidRPr="00C919C6" w:rsidRDefault="008D4E64" w:rsidP="006267AA">
            <w:pPr>
              <w:jc w:val="right"/>
              <w:rPr>
                <w:b/>
                <w:bCs/>
                <w:sz w:val="20"/>
                <w:szCs w:val="20"/>
              </w:rPr>
            </w:pPr>
            <w:r w:rsidRPr="00C919C6">
              <w:rPr>
                <w:b/>
                <w:bCs/>
                <w:sz w:val="20"/>
                <w:szCs w:val="20"/>
              </w:rPr>
              <w:t>520,786</w:t>
            </w:r>
          </w:p>
        </w:tc>
        <w:tc>
          <w:tcPr>
            <w:tcW w:w="1138" w:type="dxa"/>
            <w:noWrap/>
            <w:hideMark/>
          </w:tcPr>
          <w:p w:rsidR="008D4E64" w:rsidRPr="00C919C6" w:rsidRDefault="008D4E64" w:rsidP="006267AA">
            <w:pPr>
              <w:jc w:val="right"/>
              <w:rPr>
                <w:b/>
                <w:bCs/>
                <w:sz w:val="20"/>
                <w:szCs w:val="20"/>
              </w:rPr>
            </w:pPr>
            <w:r w:rsidRPr="00C919C6">
              <w:rPr>
                <w:b/>
                <w:bCs/>
                <w:sz w:val="20"/>
                <w:szCs w:val="20"/>
              </w:rPr>
              <w:t>564,673</w:t>
            </w:r>
          </w:p>
        </w:tc>
        <w:tc>
          <w:tcPr>
            <w:tcW w:w="1138" w:type="dxa"/>
            <w:noWrap/>
            <w:hideMark/>
          </w:tcPr>
          <w:p w:rsidR="008D4E64" w:rsidRPr="00C919C6" w:rsidRDefault="008D4E64" w:rsidP="006267AA">
            <w:pPr>
              <w:jc w:val="right"/>
              <w:rPr>
                <w:b/>
                <w:bCs/>
                <w:sz w:val="20"/>
                <w:szCs w:val="20"/>
              </w:rPr>
            </w:pPr>
            <w:r w:rsidRPr="00C919C6">
              <w:rPr>
                <w:b/>
                <w:bCs/>
                <w:sz w:val="20"/>
                <w:szCs w:val="20"/>
              </w:rPr>
              <w:t>551,374</w:t>
            </w:r>
          </w:p>
        </w:tc>
        <w:tc>
          <w:tcPr>
            <w:tcW w:w="1382" w:type="dxa"/>
            <w:noWrap/>
            <w:hideMark/>
          </w:tcPr>
          <w:p w:rsidR="008D4E64" w:rsidRPr="00C919C6" w:rsidRDefault="008D4E64" w:rsidP="006267AA">
            <w:pPr>
              <w:jc w:val="right"/>
              <w:rPr>
                <w:b/>
                <w:bCs/>
                <w:sz w:val="20"/>
                <w:szCs w:val="20"/>
              </w:rPr>
            </w:pPr>
            <w:r w:rsidRPr="00C919C6">
              <w:rPr>
                <w:b/>
                <w:bCs/>
                <w:sz w:val="20"/>
                <w:szCs w:val="20"/>
              </w:rPr>
              <w:t>564,734</w:t>
            </w:r>
          </w:p>
        </w:tc>
      </w:tr>
      <w:tr w:rsidR="008D4E64" w:rsidRPr="00C919C6" w:rsidTr="00C919C6">
        <w:trPr>
          <w:trHeight w:val="255"/>
          <w:jc w:val="center"/>
        </w:trPr>
        <w:tc>
          <w:tcPr>
            <w:tcW w:w="3331" w:type="dxa"/>
            <w:noWrap/>
            <w:hideMark/>
          </w:tcPr>
          <w:p w:rsidR="008D4E64" w:rsidRPr="00C919C6" w:rsidRDefault="008D4E64" w:rsidP="006267AA">
            <w:pPr>
              <w:rPr>
                <w:i/>
                <w:iCs/>
                <w:sz w:val="20"/>
                <w:szCs w:val="20"/>
              </w:rPr>
            </w:pPr>
            <w:r w:rsidRPr="00C919C6">
              <w:rPr>
                <w:i/>
                <w:iCs/>
                <w:sz w:val="20"/>
                <w:szCs w:val="20"/>
              </w:rPr>
              <w:t xml:space="preserve">     Shtetëror</w:t>
            </w:r>
          </w:p>
        </w:tc>
        <w:tc>
          <w:tcPr>
            <w:tcW w:w="1265" w:type="dxa"/>
            <w:noWrap/>
            <w:hideMark/>
          </w:tcPr>
          <w:p w:rsidR="008D4E64" w:rsidRPr="00C919C6" w:rsidRDefault="008D4E64" w:rsidP="006267AA">
            <w:pPr>
              <w:jc w:val="right"/>
              <w:rPr>
                <w:i/>
                <w:iCs/>
                <w:sz w:val="20"/>
                <w:szCs w:val="20"/>
              </w:rPr>
            </w:pPr>
            <w:r w:rsidRPr="00C919C6">
              <w:rPr>
                <w:i/>
                <w:iCs/>
                <w:sz w:val="20"/>
                <w:szCs w:val="20"/>
              </w:rPr>
              <w:t>454,695</w:t>
            </w:r>
          </w:p>
        </w:tc>
        <w:tc>
          <w:tcPr>
            <w:tcW w:w="1138" w:type="dxa"/>
            <w:noWrap/>
            <w:hideMark/>
          </w:tcPr>
          <w:p w:rsidR="008D4E64" w:rsidRPr="00C919C6" w:rsidRDefault="008D4E64" w:rsidP="006267AA">
            <w:pPr>
              <w:jc w:val="right"/>
              <w:rPr>
                <w:i/>
                <w:iCs/>
                <w:sz w:val="20"/>
                <w:szCs w:val="20"/>
              </w:rPr>
            </w:pPr>
            <w:r w:rsidRPr="00C919C6">
              <w:rPr>
                <w:i/>
                <w:iCs/>
                <w:sz w:val="20"/>
                <w:szCs w:val="20"/>
              </w:rPr>
              <w:t>500,868</w:t>
            </w:r>
          </w:p>
        </w:tc>
        <w:tc>
          <w:tcPr>
            <w:tcW w:w="1138" w:type="dxa"/>
            <w:noWrap/>
            <w:hideMark/>
          </w:tcPr>
          <w:p w:rsidR="008D4E64" w:rsidRPr="00C919C6" w:rsidRDefault="008D4E64" w:rsidP="006267AA">
            <w:pPr>
              <w:jc w:val="right"/>
              <w:rPr>
                <w:i/>
                <w:iCs/>
                <w:sz w:val="20"/>
                <w:szCs w:val="20"/>
              </w:rPr>
            </w:pPr>
            <w:r w:rsidRPr="00C919C6">
              <w:rPr>
                <w:i/>
                <w:iCs/>
                <w:sz w:val="20"/>
                <w:szCs w:val="20"/>
              </w:rPr>
              <w:t>538,641</w:t>
            </w:r>
          </w:p>
        </w:tc>
        <w:tc>
          <w:tcPr>
            <w:tcW w:w="1138" w:type="dxa"/>
            <w:noWrap/>
            <w:hideMark/>
          </w:tcPr>
          <w:p w:rsidR="008D4E64" w:rsidRPr="00C919C6" w:rsidRDefault="008D4E64" w:rsidP="006267AA">
            <w:pPr>
              <w:jc w:val="right"/>
              <w:rPr>
                <w:i/>
                <w:iCs/>
                <w:sz w:val="20"/>
                <w:szCs w:val="20"/>
              </w:rPr>
            </w:pPr>
            <w:r w:rsidRPr="00C919C6">
              <w:rPr>
                <w:i/>
                <w:iCs/>
                <w:sz w:val="20"/>
                <w:szCs w:val="20"/>
              </w:rPr>
              <w:t>520,936</w:t>
            </w:r>
          </w:p>
        </w:tc>
        <w:tc>
          <w:tcPr>
            <w:tcW w:w="1382" w:type="dxa"/>
            <w:noWrap/>
            <w:hideMark/>
          </w:tcPr>
          <w:p w:rsidR="008D4E64" w:rsidRPr="00C919C6" w:rsidRDefault="008D4E64" w:rsidP="006267AA">
            <w:pPr>
              <w:jc w:val="right"/>
              <w:rPr>
                <w:i/>
                <w:iCs/>
                <w:sz w:val="20"/>
                <w:szCs w:val="20"/>
              </w:rPr>
            </w:pPr>
            <w:r w:rsidRPr="00C919C6">
              <w:rPr>
                <w:i/>
                <w:iCs/>
                <w:sz w:val="20"/>
                <w:szCs w:val="20"/>
              </w:rPr>
              <w:t>534,292</w:t>
            </w:r>
          </w:p>
        </w:tc>
      </w:tr>
      <w:tr w:rsidR="008D4E64" w:rsidRPr="00C919C6" w:rsidTr="00C919C6">
        <w:trPr>
          <w:trHeight w:val="270"/>
          <w:jc w:val="center"/>
        </w:trPr>
        <w:tc>
          <w:tcPr>
            <w:tcW w:w="3331" w:type="dxa"/>
            <w:noWrap/>
            <w:hideMark/>
          </w:tcPr>
          <w:p w:rsidR="008D4E64" w:rsidRPr="00C919C6" w:rsidRDefault="008D4E64" w:rsidP="006267AA">
            <w:pPr>
              <w:rPr>
                <w:i/>
                <w:iCs/>
                <w:sz w:val="20"/>
                <w:szCs w:val="20"/>
              </w:rPr>
            </w:pPr>
            <w:r w:rsidRPr="00C919C6">
              <w:rPr>
                <w:i/>
                <w:iCs/>
                <w:sz w:val="20"/>
                <w:szCs w:val="20"/>
              </w:rPr>
              <w:t xml:space="preserve">    Garantuar</w:t>
            </w:r>
          </w:p>
        </w:tc>
        <w:tc>
          <w:tcPr>
            <w:tcW w:w="1265" w:type="dxa"/>
            <w:noWrap/>
            <w:hideMark/>
          </w:tcPr>
          <w:p w:rsidR="008D4E64" w:rsidRPr="00C919C6" w:rsidRDefault="008D4E64" w:rsidP="006267AA">
            <w:pPr>
              <w:jc w:val="right"/>
              <w:rPr>
                <w:i/>
                <w:iCs/>
                <w:sz w:val="20"/>
                <w:szCs w:val="20"/>
              </w:rPr>
            </w:pPr>
            <w:r w:rsidRPr="00C919C6">
              <w:rPr>
                <w:i/>
                <w:iCs/>
                <w:sz w:val="20"/>
                <w:szCs w:val="20"/>
              </w:rPr>
              <w:t xml:space="preserve">         15,663 </w:t>
            </w:r>
          </w:p>
        </w:tc>
        <w:tc>
          <w:tcPr>
            <w:tcW w:w="1138" w:type="dxa"/>
            <w:noWrap/>
            <w:hideMark/>
          </w:tcPr>
          <w:p w:rsidR="008D4E64" w:rsidRPr="00C919C6" w:rsidRDefault="008D4E64" w:rsidP="006267AA">
            <w:pPr>
              <w:jc w:val="right"/>
              <w:rPr>
                <w:i/>
                <w:iCs/>
                <w:sz w:val="20"/>
                <w:szCs w:val="20"/>
              </w:rPr>
            </w:pPr>
            <w:r w:rsidRPr="00C919C6">
              <w:rPr>
                <w:i/>
                <w:iCs/>
                <w:sz w:val="20"/>
                <w:szCs w:val="20"/>
              </w:rPr>
              <w:t xml:space="preserve">       19,918 </w:t>
            </w:r>
          </w:p>
        </w:tc>
        <w:tc>
          <w:tcPr>
            <w:tcW w:w="1138" w:type="dxa"/>
            <w:noWrap/>
            <w:hideMark/>
          </w:tcPr>
          <w:p w:rsidR="008D4E64" w:rsidRPr="00C919C6" w:rsidRDefault="008D4E64" w:rsidP="006267AA">
            <w:pPr>
              <w:jc w:val="right"/>
              <w:rPr>
                <w:i/>
                <w:iCs/>
                <w:sz w:val="20"/>
                <w:szCs w:val="20"/>
              </w:rPr>
            </w:pPr>
            <w:r w:rsidRPr="00C919C6">
              <w:rPr>
                <w:i/>
                <w:iCs/>
                <w:sz w:val="20"/>
                <w:szCs w:val="20"/>
              </w:rPr>
              <w:t xml:space="preserve">        26,033 </w:t>
            </w:r>
          </w:p>
        </w:tc>
        <w:tc>
          <w:tcPr>
            <w:tcW w:w="1138" w:type="dxa"/>
            <w:noWrap/>
            <w:hideMark/>
          </w:tcPr>
          <w:p w:rsidR="008D4E64" w:rsidRPr="00C919C6" w:rsidRDefault="008D4E64" w:rsidP="006267AA">
            <w:pPr>
              <w:jc w:val="right"/>
              <w:rPr>
                <w:i/>
                <w:iCs/>
                <w:sz w:val="20"/>
                <w:szCs w:val="20"/>
              </w:rPr>
            </w:pPr>
            <w:r w:rsidRPr="00C919C6">
              <w:rPr>
                <w:i/>
                <w:iCs/>
                <w:sz w:val="20"/>
                <w:szCs w:val="20"/>
              </w:rPr>
              <w:t>30,439</w:t>
            </w:r>
          </w:p>
        </w:tc>
        <w:tc>
          <w:tcPr>
            <w:tcW w:w="1382" w:type="dxa"/>
            <w:noWrap/>
            <w:hideMark/>
          </w:tcPr>
          <w:p w:rsidR="008D4E64" w:rsidRPr="00C919C6" w:rsidRDefault="008D4E64" w:rsidP="006267AA">
            <w:pPr>
              <w:jc w:val="right"/>
              <w:rPr>
                <w:i/>
                <w:iCs/>
                <w:sz w:val="20"/>
                <w:szCs w:val="20"/>
              </w:rPr>
            </w:pPr>
            <w:r w:rsidRPr="00C919C6">
              <w:rPr>
                <w:i/>
                <w:iCs/>
                <w:sz w:val="20"/>
                <w:szCs w:val="20"/>
              </w:rPr>
              <w:t>30,442</w:t>
            </w:r>
          </w:p>
        </w:tc>
      </w:tr>
      <w:tr w:rsidR="008D4E64" w:rsidRPr="00C919C6" w:rsidTr="00C919C6">
        <w:trPr>
          <w:trHeight w:val="255"/>
          <w:jc w:val="center"/>
        </w:trPr>
        <w:tc>
          <w:tcPr>
            <w:tcW w:w="3331" w:type="dxa"/>
            <w:noWrap/>
            <w:hideMark/>
          </w:tcPr>
          <w:p w:rsidR="008D4E64" w:rsidRPr="00C919C6" w:rsidRDefault="008D4E64" w:rsidP="006267AA">
            <w:pPr>
              <w:rPr>
                <w:b/>
                <w:bCs/>
                <w:sz w:val="20"/>
                <w:szCs w:val="20"/>
              </w:rPr>
            </w:pPr>
            <w:r w:rsidRPr="00C919C6">
              <w:rPr>
                <w:b/>
                <w:bCs/>
                <w:sz w:val="20"/>
                <w:szCs w:val="20"/>
              </w:rPr>
              <w:t>Stoku Borxhit Jashtëm</w:t>
            </w:r>
          </w:p>
        </w:tc>
        <w:tc>
          <w:tcPr>
            <w:tcW w:w="1265" w:type="dxa"/>
            <w:noWrap/>
            <w:hideMark/>
          </w:tcPr>
          <w:p w:rsidR="008D4E64" w:rsidRPr="00C919C6" w:rsidRDefault="008D4E64" w:rsidP="006267AA">
            <w:pPr>
              <w:jc w:val="right"/>
              <w:rPr>
                <w:b/>
                <w:bCs/>
                <w:sz w:val="20"/>
                <w:szCs w:val="20"/>
              </w:rPr>
            </w:pPr>
            <w:r w:rsidRPr="00C919C6">
              <w:rPr>
                <w:b/>
                <w:bCs/>
                <w:sz w:val="20"/>
                <w:szCs w:val="20"/>
              </w:rPr>
              <w:t>357,622</w:t>
            </w:r>
          </w:p>
        </w:tc>
        <w:tc>
          <w:tcPr>
            <w:tcW w:w="1138" w:type="dxa"/>
            <w:noWrap/>
            <w:hideMark/>
          </w:tcPr>
          <w:p w:rsidR="008D4E64" w:rsidRPr="00C919C6" w:rsidRDefault="008D4E64" w:rsidP="006267AA">
            <w:pPr>
              <w:jc w:val="right"/>
              <w:rPr>
                <w:b/>
                <w:bCs/>
                <w:sz w:val="20"/>
                <w:szCs w:val="20"/>
              </w:rPr>
            </w:pPr>
            <w:r w:rsidRPr="00C919C6">
              <w:rPr>
                <w:b/>
                <w:bCs/>
                <w:sz w:val="20"/>
                <w:szCs w:val="20"/>
              </w:rPr>
              <w:t>363,906</w:t>
            </w:r>
          </w:p>
        </w:tc>
        <w:tc>
          <w:tcPr>
            <w:tcW w:w="1138" w:type="dxa"/>
            <w:noWrap/>
            <w:hideMark/>
          </w:tcPr>
          <w:p w:rsidR="008D4E64" w:rsidRPr="00C919C6" w:rsidRDefault="008D4E64" w:rsidP="006267AA">
            <w:pPr>
              <w:jc w:val="right"/>
              <w:rPr>
                <w:b/>
                <w:bCs/>
                <w:sz w:val="20"/>
                <w:szCs w:val="20"/>
              </w:rPr>
            </w:pPr>
            <w:r w:rsidRPr="00C919C6">
              <w:rPr>
                <w:b/>
                <w:bCs/>
                <w:sz w:val="20"/>
                <w:szCs w:val="20"/>
              </w:rPr>
              <w:t>412,429</w:t>
            </w:r>
          </w:p>
        </w:tc>
        <w:tc>
          <w:tcPr>
            <w:tcW w:w="1138" w:type="dxa"/>
            <w:noWrap/>
            <w:hideMark/>
          </w:tcPr>
          <w:p w:rsidR="008D4E64" w:rsidRPr="00C919C6" w:rsidRDefault="008D4E64" w:rsidP="006267AA">
            <w:pPr>
              <w:jc w:val="right"/>
              <w:rPr>
                <w:b/>
                <w:bCs/>
                <w:sz w:val="20"/>
                <w:szCs w:val="20"/>
              </w:rPr>
            </w:pPr>
            <w:r w:rsidRPr="00C919C6">
              <w:rPr>
                <w:b/>
                <w:bCs/>
                <w:sz w:val="20"/>
                <w:szCs w:val="20"/>
              </w:rPr>
              <w:t>490,898</w:t>
            </w:r>
          </w:p>
        </w:tc>
        <w:tc>
          <w:tcPr>
            <w:tcW w:w="1382" w:type="dxa"/>
            <w:noWrap/>
            <w:hideMark/>
          </w:tcPr>
          <w:p w:rsidR="008D4E64" w:rsidRPr="00C919C6" w:rsidRDefault="008D4E64" w:rsidP="006267AA">
            <w:pPr>
              <w:jc w:val="right"/>
              <w:rPr>
                <w:b/>
                <w:bCs/>
                <w:sz w:val="20"/>
                <w:szCs w:val="20"/>
              </w:rPr>
            </w:pPr>
            <w:r w:rsidRPr="00C919C6">
              <w:rPr>
                <w:b/>
                <w:bCs/>
                <w:sz w:val="20"/>
                <w:szCs w:val="20"/>
              </w:rPr>
              <w:t>503,199</w:t>
            </w:r>
          </w:p>
        </w:tc>
      </w:tr>
      <w:tr w:rsidR="008D4E64" w:rsidRPr="00C919C6" w:rsidTr="00C919C6">
        <w:trPr>
          <w:trHeight w:val="255"/>
          <w:jc w:val="center"/>
        </w:trPr>
        <w:tc>
          <w:tcPr>
            <w:tcW w:w="3331" w:type="dxa"/>
            <w:noWrap/>
            <w:hideMark/>
          </w:tcPr>
          <w:p w:rsidR="008D4E64" w:rsidRPr="00C919C6" w:rsidRDefault="008D4E64" w:rsidP="006267AA">
            <w:pPr>
              <w:rPr>
                <w:i/>
                <w:iCs/>
                <w:sz w:val="20"/>
                <w:szCs w:val="20"/>
              </w:rPr>
            </w:pPr>
            <w:r w:rsidRPr="00C919C6">
              <w:rPr>
                <w:i/>
                <w:iCs/>
                <w:sz w:val="20"/>
                <w:szCs w:val="20"/>
              </w:rPr>
              <w:t xml:space="preserve">    Shtetëror</w:t>
            </w:r>
          </w:p>
        </w:tc>
        <w:tc>
          <w:tcPr>
            <w:tcW w:w="1265" w:type="dxa"/>
            <w:noWrap/>
            <w:hideMark/>
          </w:tcPr>
          <w:p w:rsidR="008D4E64" w:rsidRPr="00C919C6" w:rsidRDefault="008D4E64" w:rsidP="006267AA">
            <w:pPr>
              <w:jc w:val="right"/>
              <w:rPr>
                <w:i/>
                <w:iCs/>
                <w:sz w:val="20"/>
                <w:szCs w:val="20"/>
              </w:rPr>
            </w:pPr>
            <w:r w:rsidRPr="00C919C6">
              <w:rPr>
                <w:i/>
                <w:iCs/>
                <w:sz w:val="20"/>
                <w:szCs w:val="20"/>
              </w:rPr>
              <w:t>319,833</w:t>
            </w:r>
          </w:p>
        </w:tc>
        <w:tc>
          <w:tcPr>
            <w:tcW w:w="1138" w:type="dxa"/>
            <w:noWrap/>
            <w:hideMark/>
          </w:tcPr>
          <w:p w:rsidR="008D4E64" w:rsidRPr="00C919C6" w:rsidRDefault="008D4E64" w:rsidP="006267AA">
            <w:pPr>
              <w:jc w:val="right"/>
              <w:rPr>
                <w:i/>
                <w:iCs/>
                <w:sz w:val="20"/>
                <w:szCs w:val="20"/>
              </w:rPr>
            </w:pPr>
            <w:r w:rsidRPr="00C919C6">
              <w:rPr>
                <w:i/>
                <w:iCs/>
                <w:sz w:val="20"/>
                <w:szCs w:val="20"/>
              </w:rPr>
              <w:t>332,500</w:t>
            </w:r>
          </w:p>
        </w:tc>
        <w:tc>
          <w:tcPr>
            <w:tcW w:w="1138" w:type="dxa"/>
            <w:noWrap/>
            <w:hideMark/>
          </w:tcPr>
          <w:p w:rsidR="008D4E64" w:rsidRPr="00C919C6" w:rsidRDefault="008D4E64" w:rsidP="006267AA">
            <w:pPr>
              <w:jc w:val="right"/>
              <w:rPr>
                <w:i/>
                <w:iCs/>
                <w:sz w:val="20"/>
                <w:szCs w:val="20"/>
              </w:rPr>
            </w:pPr>
            <w:r w:rsidRPr="00C919C6">
              <w:rPr>
                <w:i/>
                <w:iCs/>
                <w:sz w:val="20"/>
                <w:szCs w:val="20"/>
              </w:rPr>
              <w:t>383,922</w:t>
            </w:r>
          </w:p>
        </w:tc>
        <w:tc>
          <w:tcPr>
            <w:tcW w:w="1138" w:type="dxa"/>
            <w:noWrap/>
            <w:hideMark/>
          </w:tcPr>
          <w:p w:rsidR="008D4E64" w:rsidRPr="00C919C6" w:rsidRDefault="008D4E64" w:rsidP="006267AA">
            <w:pPr>
              <w:jc w:val="right"/>
              <w:rPr>
                <w:i/>
                <w:iCs/>
                <w:sz w:val="20"/>
                <w:szCs w:val="20"/>
              </w:rPr>
            </w:pPr>
            <w:r w:rsidRPr="00C919C6">
              <w:rPr>
                <w:i/>
                <w:iCs/>
                <w:sz w:val="20"/>
                <w:szCs w:val="20"/>
              </w:rPr>
              <w:t>465,306</w:t>
            </w:r>
          </w:p>
        </w:tc>
        <w:tc>
          <w:tcPr>
            <w:tcW w:w="1382" w:type="dxa"/>
            <w:noWrap/>
            <w:hideMark/>
          </w:tcPr>
          <w:p w:rsidR="008D4E64" w:rsidRPr="00C919C6" w:rsidRDefault="008D4E64" w:rsidP="006267AA">
            <w:pPr>
              <w:jc w:val="right"/>
              <w:rPr>
                <w:i/>
                <w:iCs/>
                <w:sz w:val="20"/>
                <w:szCs w:val="20"/>
              </w:rPr>
            </w:pPr>
            <w:r w:rsidRPr="00C919C6">
              <w:rPr>
                <w:i/>
                <w:iCs/>
                <w:sz w:val="20"/>
                <w:szCs w:val="20"/>
              </w:rPr>
              <w:t>477,171</w:t>
            </w:r>
          </w:p>
        </w:tc>
      </w:tr>
      <w:tr w:rsidR="008D4E64" w:rsidRPr="00C919C6" w:rsidTr="00C919C6">
        <w:trPr>
          <w:trHeight w:val="270"/>
          <w:jc w:val="center"/>
        </w:trPr>
        <w:tc>
          <w:tcPr>
            <w:tcW w:w="3331" w:type="dxa"/>
            <w:noWrap/>
            <w:hideMark/>
          </w:tcPr>
          <w:p w:rsidR="008D4E64" w:rsidRPr="00C919C6" w:rsidRDefault="008D4E64" w:rsidP="006267AA">
            <w:pPr>
              <w:rPr>
                <w:i/>
                <w:iCs/>
                <w:sz w:val="20"/>
                <w:szCs w:val="20"/>
              </w:rPr>
            </w:pPr>
            <w:r w:rsidRPr="00C919C6">
              <w:rPr>
                <w:i/>
                <w:iCs/>
                <w:sz w:val="20"/>
                <w:szCs w:val="20"/>
              </w:rPr>
              <w:t xml:space="preserve">    Garantuar</w:t>
            </w:r>
          </w:p>
        </w:tc>
        <w:tc>
          <w:tcPr>
            <w:tcW w:w="1265" w:type="dxa"/>
            <w:noWrap/>
            <w:hideMark/>
          </w:tcPr>
          <w:p w:rsidR="008D4E64" w:rsidRPr="00C919C6" w:rsidRDefault="008D4E64" w:rsidP="006267AA">
            <w:pPr>
              <w:jc w:val="right"/>
              <w:rPr>
                <w:i/>
                <w:iCs/>
                <w:sz w:val="20"/>
                <w:szCs w:val="20"/>
              </w:rPr>
            </w:pPr>
            <w:r w:rsidRPr="00C919C6">
              <w:rPr>
                <w:i/>
                <w:iCs/>
                <w:sz w:val="20"/>
                <w:szCs w:val="20"/>
              </w:rPr>
              <w:t>37,790</w:t>
            </w:r>
          </w:p>
        </w:tc>
        <w:tc>
          <w:tcPr>
            <w:tcW w:w="1138" w:type="dxa"/>
            <w:noWrap/>
            <w:hideMark/>
          </w:tcPr>
          <w:p w:rsidR="008D4E64" w:rsidRPr="00C919C6" w:rsidRDefault="008D4E64" w:rsidP="006267AA">
            <w:pPr>
              <w:jc w:val="right"/>
              <w:rPr>
                <w:i/>
                <w:iCs/>
                <w:sz w:val="20"/>
                <w:szCs w:val="20"/>
              </w:rPr>
            </w:pPr>
            <w:r w:rsidRPr="00C919C6">
              <w:rPr>
                <w:i/>
                <w:iCs/>
                <w:sz w:val="20"/>
                <w:szCs w:val="20"/>
              </w:rPr>
              <w:t>31,406</w:t>
            </w:r>
          </w:p>
        </w:tc>
        <w:tc>
          <w:tcPr>
            <w:tcW w:w="1138" w:type="dxa"/>
            <w:noWrap/>
            <w:hideMark/>
          </w:tcPr>
          <w:p w:rsidR="008D4E64" w:rsidRPr="00C919C6" w:rsidRDefault="008D4E64" w:rsidP="006267AA">
            <w:pPr>
              <w:jc w:val="right"/>
              <w:rPr>
                <w:i/>
                <w:iCs/>
                <w:sz w:val="20"/>
                <w:szCs w:val="20"/>
              </w:rPr>
            </w:pPr>
            <w:r w:rsidRPr="00C919C6">
              <w:rPr>
                <w:i/>
                <w:iCs/>
                <w:sz w:val="20"/>
                <w:szCs w:val="20"/>
              </w:rPr>
              <w:t>28,507</w:t>
            </w:r>
          </w:p>
        </w:tc>
        <w:tc>
          <w:tcPr>
            <w:tcW w:w="1138" w:type="dxa"/>
            <w:noWrap/>
            <w:hideMark/>
          </w:tcPr>
          <w:p w:rsidR="008D4E64" w:rsidRPr="00C919C6" w:rsidRDefault="008D4E64" w:rsidP="006267AA">
            <w:pPr>
              <w:jc w:val="right"/>
              <w:rPr>
                <w:i/>
                <w:iCs/>
                <w:sz w:val="20"/>
                <w:szCs w:val="20"/>
              </w:rPr>
            </w:pPr>
            <w:r w:rsidRPr="00C919C6">
              <w:rPr>
                <w:i/>
                <w:iCs/>
                <w:sz w:val="20"/>
                <w:szCs w:val="20"/>
              </w:rPr>
              <w:t>25,591</w:t>
            </w:r>
          </w:p>
        </w:tc>
        <w:tc>
          <w:tcPr>
            <w:tcW w:w="1382" w:type="dxa"/>
            <w:noWrap/>
            <w:hideMark/>
          </w:tcPr>
          <w:p w:rsidR="008D4E64" w:rsidRPr="00C919C6" w:rsidRDefault="008D4E64" w:rsidP="006267AA">
            <w:pPr>
              <w:jc w:val="right"/>
              <w:rPr>
                <w:i/>
                <w:iCs/>
                <w:sz w:val="20"/>
                <w:szCs w:val="20"/>
              </w:rPr>
            </w:pPr>
            <w:r w:rsidRPr="00C919C6">
              <w:rPr>
                <w:i/>
                <w:iCs/>
                <w:sz w:val="20"/>
                <w:szCs w:val="20"/>
              </w:rPr>
              <w:t>26,028</w:t>
            </w:r>
          </w:p>
        </w:tc>
      </w:tr>
      <w:tr w:rsidR="008D4E64" w:rsidRPr="00C919C6" w:rsidTr="00C919C6">
        <w:trPr>
          <w:trHeight w:val="270"/>
          <w:jc w:val="center"/>
        </w:trPr>
        <w:tc>
          <w:tcPr>
            <w:tcW w:w="3331" w:type="dxa"/>
            <w:noWrap/>
            <w:hideMark/>
          </w:tcPr>
          <w:p w:rsidR="008D4E64" w:rsidRPr="00C919C6" w:rsidRDefault="008D4E64" w:rsidP="006267AA">
            <w:pPr>
              <w:rPr>
                <w:b/>
                <w:bCs/>
                <w:sz w:val="20"/>
                <w:szCs w:val="20"/>
              </w:rPr>
            </w:pPr>
            <w:r w:rsidRPr="00C919C6">
              <w:rPr>
                <w:b/>
                <w:bCs/>
                <w:sz w:val="20"/>
                <w:szCs w:val="20"/>
              </w:rPr>
              <w:t>PBB</w:t>
            </w:r>
          </w:p>
        </w:tc>
        <w:tc>
          <w:tcPr>
            <w:tcW w:w="1265" w:type="dxa"/>
            <w:noWrap/>
            <w:hideMark/>
          </w:tcPr>
          <w:p w:rsidR="008D4E64" w:rsidRPr="00C919C6" w:rsidRDefault="008D4E64" w:rsidP="006267AA">
            <w:pPr>
              <w:jc w:val="right"/>
              <w:rPr>
                <w:b/>
                <w:bCs/>
                <w:sz w:val="20"/>
                <w:szCs w:val="20"/>
              </w:rPr>
            </w:pPr>
            <w:r w:rsidRPr="00C919C6">
              <w:rPr>
                <w:b/>
                <w:bCs/>
                <w:sz w:val="20"/>
                <w:szCs w:val="20"/>
              </w:rPr>
              <w:t>1,332,811</w:t>
            </w:r>
          </w:p>
        </w:tc>
        <w:tc>
          <w:tcPr>
            <w:tcW w:w="1138" w:type="dxa"/>
            <w:noWrap/>
            <w:hideMark/>
          </w:tcPr>
          <w:p w:rsidR="008D4E64" w:rsidRPr="00C919C6" w:rsidRDefault="008D4E64" w:rsidP="006267AA">
            <w:pPr>
              <w:jc w:val="right"/>
              <w:rPr>
                <w:b/>
                <w:bCs/>
                <w:sz w:val="20"/>
                <w:szCs w:val="20"/>
              </w:rPr>
            </w:pPr>
            <w:r w:rsidRPr="00C919C6">
              <w:rPr>
                <w:b/>
                <w:bCs/>
                <w:sz w:val="20"/>
                <w:szCs w:val="20"/>
              </w:rPr>
              <w:t>1,350,555</w:t>
            </w:r>
          </w:p>
        </w:tc>
        <w:tc>
          <w:tcPr>
            <w:tcW w:w="1138" w:type="dxa"/>
            <w:noWrap/>
            <w:hideMark/>
          </w:tcPr>
          <w:p w:rsidR="008D4E64" w:rsidRPr="00C919C6" w:rsidRDefault="008D4E64" w:rsidP="006267AA">
            <w:pPr>
              <w:jc w:val="right"/>
              <w:rPr>
                <w:b/>
                <w:bCs/>
                <w:sz w:val="20"/>
                <w:szCs w:val="20"/>
              </w:rPr>
            </w:pPr>
            <w:r w:rsidRPr="00C919C6">
              <w:rPr>
                <w:b/>
                <w:bCs/>
                <w:sz w:val="20"/>
                <w:szCs w:val="20"/>
              </w:rPr>
              <w:t>1,400,549</w:t>
            </w:r>
          </w:p>
        </w:tc>
        <w:tc>
          <w:tcPr>
            <w:tcW w:w="1138" w:type="dxa"/>
            <w:noWrap/>
            <w:hideMark/>
          </w:tcPr>
          <w:p w:rsidR="008D4E64" w:rsidRPr="00C919C6" w:rsidRDefault="008D4E64" w:rsidP="006267AA">
            <w:pPr>
              <w:jc w:val="right"/>
              <w:rPr>
                <w:b/>
                <w:bCs/>
                <w:sz w:val="20"/>
                <w:szCs w:val="20"/>
              </w:rPr>
            </w:pPr>
            <w:r w:rsidRPr="00C919C6">
              <w:rPr>
                <w:b/>
                <w:bCs/>
                <w:sz w:val="20"/>
                <w:szCs w:val="20"/>
              </w:rPr>
              <w:t>1,444,741</w:t>
            </w:r>
          </w:p>
        </w:tc>
        <w:tc>
          <w:tcPr>
            <w:tcW w:w="1382" w:type="dxa"/>
            <w:noWrap/>
            <w:hideMark/>
          </w:tcPr>
          <w:p w:rsidR="008D4E64" w:rsidRPr="00C919C6" w:rsidRDefault="008D4E64" w:rsidP="006267AA">
            <w:pPr>
              <w:jc w:val="right"/>
              <w:rPr>
                <w:b/>
                <w:bCs/>
                <w:sz w:val="20"/>
                <w:szCs w:val="20"/>
              </w:rPr>
            </w:pPr>
            <w:r w:rsidRPr="00C919C6">
              <w:rPr>
                <w:b/>
                <w:bCs/>
                <w:sz w:val="20"/>
                <w:szCs w:val="20"/>
              </w:rPr>
              <w:t>1,530,475</w:t>
            </w:r>
          </w:p>
        </w:tc>
      </w:tr>
      <w:tr w:rsidR="008D4E64" w:rsidRPr="00C919C6" w:rsidTr="00C919C6">
        <w:trPr>
          <w:trHeight w:val="255"/>
          <w:jc w:val="center"/>
        </w:trPr>
        <w:tc>
          <w:tcPr>
            <w:tcW w:w="3331" w:type="dxa"/>
            <w:noWrap/>
            <w:hideMark/>
          </w:tcPr>
          <w:p w:rsidR="008D4E64" w:rsidRPr="00C919C6" w:rsidRDefault="008D4E64" w:rsidP="006267AA">
            <w:pPr>
              <w:rPr>
                <w:b/>
                <w:bCs/>
                <w:color w:val="C00000"/>
                <w:sz w:val="20"/>
                <w:szCs w:val="20"/>
              </w:rPr>
            </w:pPr>
            <w:r w:rsidRPr="00C919C6">
              <w:rPr>
                <w:b/>
                <w:bCs/>
                <w:color w:val="C00000"/>
                <w:sz w:val="20"/>
                <w:szCs w:val="20"/>
              </w:rPr>
              <w:t>Stoku Borxhit Gjithsej/PBB</w:t>
            </w:r>
          </w:p>
        </w:tc>
        <w:tc>
          <w:tcPr>
            <w:tcW w:w="1265" w:type="dxa"/>
            <w:noWrap/>
            <w:hideMark/>
          </w:tcPr>
          <w:p w:rsidR="008D4E64" w:rsidRPr="00C919C6" w:rsidRDefault="008D4E64" w:rsidP="006267AA">
            <w:pPr>
              <w:jc w:val="right"/>
              <w:rPr>
                <w:b/>
                <w:bCs/>
                <w:color w:val="C00000"/>
                <w:sz w:val="20"/>
                <w:szCs w:val="20"/>
              </w:rPr>
            </w:pPr>
            <w:r w:rsidRPr="00C919C6">
              <w:rPr>
                <w:b/>
                <w:bCs/>
                <w:color w:val="C00000"/>
                <w:sz w:val="20"/>
                <w:szCs w:val="20"/>
              </w:rPr>
              <w:t>62.12%</w:t>
            </w:r>
          </w:p>
        </w:tc>
        <w:tc>
          <w:tcPr>
            <w:tcW w:w="1138" w:type="dxa"/>
            <w:noWrap/>
            <w:hideMark/>
          </w:tcPr>
          <w:p w:rsidR="008D4E64" w:rsidRPr="00C919C6" w:rsidRDefault="008D4E64" w:rsidP="006267AA">
            <w:pPr>
              <w:jc w:val="right"/>
              <w:rPr>
                <w:b/>
                <w:bCs/>
                <w:color w:val="C00000"/>
                <w:sz w:val="20"/>
                <w:szCs w:val="20"/>
              </w:rPr>
            </w:pPr>
            <w:r w:rsidRPr="00C919C6">
              <w:rPr>
                <w:b/>
                <w:bCs/>
                <w:color w:val="C00000"/>
                <w:sz w:val="20"/>
                <w:szCs w:val="20"/>
              </w:rPr>
              <w:t>65.51%</w:t>
            </w:r>
          </w:p>
        </w:tc>
        <w:tc>
          <w:tcPr>
            <w:tcW w:w="1138" w:type="dxa"/>
            <w:noWrap/>
            <w:hideMark/>
          </w:tcPr>
          <w:p w:rsidR="008D4E64" w:rsidRPr="00C919C6" w:rsidRDefault="008D4E64" w:rsidP="006267AA">
            <w:pPr>
              <w:jc w:val="right"/>
              <w:rPr>
                <w:b/>
                <w:bCs/>
                <w:color w:val="C00000"/>
                <w:sz w:val="20"/>
                <w:szCs w:val="20"/>
              </w:rPr>
            </w:pPr>
            <w:r w:rsidRPr="00C919C6">
              <w:rPr>
                <w:b/>
                <w:bCs/>
                <w:color w:val="C00000"/>
                <w:sz w:val="20"/>
                <w:szCs w:val="20"/>
              </w:rPr>
              <w:t>69.77%</w:t>
            </w:r>
          </w:p>
        </w:tc>
        <w:tc>
          <w:tcPr>
            <w:tcW w:w="1138" w:type="dxa"/>
            <w:noWrap/>
            <w:hideMark/>
          </w:tcPr>
          <w:p w:rsidR="008D4E64" w:rsidRPr="00C919C6" w:rsidRDefault="008D4E64" w:rsidP="006267AA">
            <w:pPr>
              <w:jc w:val="right"/>
              <w:rPr>
                <w:b/>
                <w:bCs/>
                <w:color w:val="C00000"/>
                <w:sz w:val="20"/>
                <w:szCs w:val="20"/>
              </w:rPr>
            </w:pPr>
            <w:r w:rsidRPr="00C919C6">
              <w:rPr>
                <w:b/>
                <w:bCs/>
                <w:color w:val="C00000"/>
                <w:sz w:val="20"/>
                <w:szCs w:val="20"/>
              </w:rPr>
              <w:t>72.14%</w:t>
            </w:r>
          </w:p>
        </w:tc>
        <w:tc>
          <w:tcPr>
            <w:tcW w:w="1382" w:type="dxa"/>
            <w:noWrap/>
            <w:hideMark/>
          </w:tcPr>
          <w:p w:rsidR="008D4E64" w:rsidRPr="00C919C6" w:rsidRDefault="008D4E64" w:rsidP="006267AA">
            <w:pPr>
              <w:jc w:val="right"/>
              <w:rPr>
                <w:b/>
                <w:bCs/>
                <w:color w:val="C00000"/>
                <w:sz w:val="20"/>
                <w:szCs w:val="20"/>
              </w:rPr>
            </w:pPr>
            <w:r w:rsidRPr="00C919C6">
              <w:rPr>
                <w:b/>
                <w:bCs/>
                <w:color w:val="C00000"/>
                <w:sz w:val="20"/>
                <w:szCs w:val="20"/>
              </w:rPr>
              <w:t>69.78%</w:t>
            </w:r>
          </w:p>
        </w:tc>
      </w:tr>
      <w:tr w:rsidR="008D4E64" w:rsidRPr="00C919C6" w:rsidTr="00C919C6">
        <w:trPr>
          <w:trHeight w:val="255"/>
          <w:jc w:val="center"/>
        </w:trPr>
        <w:tc>
          <w:tcPr>
            <w:tcW w:w="3331" w:type="dxa"/>
            <w:noWrap/>
            <w:hideMark/>
          </w:tcPr>
          <w:p w:rsidR="008D4E64" w:rsidRPr="00C919C6" w:rsidRDefault="008D4E64" w:rsidP="006267AA">
            <w:pPr>
              <w:rPr>
                <w:i/>
                <w:iCs/>
                <w:sz w:val="20"/>
                <w:szCs w:val="20"/>
              </w:rPr>
            </w:pPr>
            <w:r w:rsidRPr="00C919C6">
              <w:rPr>
                <w:i/>
                <w:iCs/>
                <w:sz w:val="20"/>
                <w:szCs w:val="20"/>
              </w:rPr>
              <w:t xml:space="preserve">    Stoku B. Brendshëm/PBB</w:t>
            </w:r>
          </w:p>
        </w:tc>
        <w:tc>
          <w:tcPr>
            <w:tcW w:w="1265" w:type="dxa"/>
            <w:noWrap/>
            <w:hideMark/>
          </w:tcPr>
          <w:p w:rsidR="008D4E64" w:rsidRPr="00C919C6" w:rsidRDefault="008D4E64" w:rsidP="006267AA">
            <w:pPr>
              <w:jc w:val="right"/>
              <w:rPr>
                <w:i/>
                <w:iCs/>
                <w:sz w:val="20"/>
                <w:szCs w:val="20"/>
              </w:rPr>
            </w:pPr>
            <w:r w:rsidRPr="00C919C6">
              <w:rPr>
                <w:i/>
                <w:iCs/>
                <w:sz w:val="20"/>
                <w:szCs w:val="20"/>
              </w:rPr>
              <w:t>35.29%</w:t>
            </w:r>
          </w:p>
        </w:tc>
        <w:tc>
          <w:tcPr>
            <w:tcW w:w="1138" w:type="dxa"/>
            <w:noWrap/>
            <w:hideMark/>
          </w:tcPr>
          <w:p w:rsidR="008D4E64" w:rsidRPr="00C919C6" w:rsidRDefault="008D4E64" w:rsidP="006267AA">
            <w:pPr>
              <w:jc w:val="right"/>
              <w:rPr>
                <w:i/>
                <w:iCs/>
                <w:sz w:val="20"/>
                <w:szCs w:val="20"/>
              </w:rPr>
            </w:pPr>
            <w:r w:rsidRPr="00C919C6">
              <w:rPr>
                <w:i/>
                <w:iCs/>
                <w:sz w:val="20"/>
                <w:szCs w:val="20"/>
              </w:rPr>
              <w:t>38.56%</w:t>
            </w:r>
          </w:p>
        </w:tc>
        <w:tc>
          <w:tcPr>
            <w:tcW w:w="1138" w:type="dxa"/>
            <w:noWrap/>
            <w:hideMark/>
          </w:tcPr>
          <w:p w:rsidR="008D4E64" w:rsidRPr="00C919C6" w:rsidRDefault="008D4E64" w:rsidP="006267AA">
            <w:pPr>
              <w:jc w:val="right"/>
              <w:rPr>
                <w:i/>
                <w:iCs/>
                <w:sz w:val="20"/>
                <w:szCs w:val="20"/>
              </w:rPr>
            </w:pPr>
            <w:r w:rsidRPr="00C919C6">
              <w:rPr>
                <w:i/>
                <w:iCs/>
                <w:sz w:val="20"/>
                <w:szCs w:val="20"/>
              </w:rPr>
              <w:t>40.32%</w:t>
            </w:r>
          </w:p>
        </w:tc>
        <w:tc>
          <w:tcPr>
            <w:tcW w:w="1138" w:type="dxa"/>
            <w:noWrap/>
            <w:hideMark/>
          </w:tcPr>
          <w:p w:rsidR="008D4E64" w:rsidRPr="00C919C6" w:rsidRDefault="008D4E64" w:rsidP="006267AA">
            <w:pPr>
              <w:jc w:val="right"/>
              <w:rPr>
                <w:i/>
                <w:iCs/>
                <w:sz w:val="20"/>
                <w:szCs w:val="20"/>
              </w:rPr>
            </w:pPr>
            <w:r w:rsidRPr="00C919C6">
              <w:rPr>
                <w:i/>
                <w:iCs/>
                <w:sz w:val="20"/>
                <w:szCs w:val="20"/>
              </w:rPr>
              <w:t>38.16%</w:t>
            </w:r>
          </w:p>
        </w:tc>
        <w:tc>
          <w:tcPr>
            <w:tcW w:w="1382" w:type="dxa"/>
            <w:noWrap/>
            <w:hideMark/>
          </w:tcPr>
          <w:p w:rsidR="008D4E64" w:rsidRPr="00C919C6" w:rsidRDefault="008D4E64" w:rsidP="006267AA">
            <w:pPr>
              <w:jc w:val="right"/>
              <w:rPr>
                <w:i/>
                <w:iCs/>
                <w:sz w:val="20"/>
                <w:szCs w:val="20"/>
              </w:rPr>
            </w:pPr>
            <w:r w:rsidRPr="00C919C6">
              <w:rPr>
                <w:i/>
                <w:iCs/>
                <w:sz w:val="20"/>
                <w:szCs w:val="20"/>
              </w:rPr>
              <w:t>36.90%</w:t>
            </w:r>
          </w:p>
        </w:tc>
      </w:tr>
      <w:tr w:rsidR="008D4E64" w:rsidRPr="006735A7" w:rsidTr="00C919C6">
        <w:trPr>
          <w:trHeight w:val="270"/>
          <w:jc w:val="center"/>
        </w:trPr>
        <w:tc>
          <w:tcPr>
            <w:tcW w:w="3331" w:type="dxa"/>
            <w:noWrap/>
            <w:hideMark/>
          </w:tcPr>
          <w:p w:rsidR="008D4E64" w:rsidRPr="00C919C6" w:rsidRDefault="008D4E64" w:rsidP="006267AA">
            <w:pPr>
              <w:rPr>
                <w:i/>
                <w:iCs/>
                <w:sz w:val="20"/>
                <w:szCs w:val="20"/>
              </w:rPr>
            </w:pPr>
            <w:r w:rsidRPr="00C919C6">
              <w:rPr>
                <w:i/>
                <w:iCs/>
                <w:sz w:val="20"/>
                <w:szCs w:val="20"/>
              </w:rPr>
              <w:t xml:space="preserve">    Stoku B. Jashtëm/PBB</w:t>
            </w:r>
          </w:p>
        </w:tc>
        <w:tc>
          <w:tcPr>
            <w:tcW w:w="1265" w:type="dxa"/>
            <w:noWrap/>
            <w:hideMark/>
          </w:tcPr>
          <w:p w:rsidR="008D4E64" w:rsidRPr="00C919C6" w:rsidRDefault="008D4E64" w:rsidP="006267AA">
            <w:pPr>
              <w:jc w:val="right"/>
              <w:rPr>
                <w:i/>
                <w:iCs/>
                <w:sz w:val="20"/>
                <w:szCs w:val="20"/>
              </w:rPr>
            </w:pPr>
            <w:r w:rsidRPr="00C919C6">
              <w:rPr>
                <w:i/>
                <w:iCs/>
                <w:sz w:val="20"/>
                <w:szCs w:val="20"/>
              </w:rPr>
              <w:t>26.83%</w:t>
            </w:r>
          </w:p>
        </w:tc>
        <w:tc>
          <w:tcPr>
            <w:tcW w:w="1138" w:type="dxa"/>
            <w:noWrap/>
            <w:hideMark/>
          </w:tcPr>
          <w:p w:rsidR="008D4E64" w:rsidRPr="00C919C6" w:rsidRDefault="008D4E64" w:rsidP="006267AA">
            <w:pPr>
              <w:jc w:val="right"/>
              <w:rPr>
                <w:i/>
                <w:iCs/>
                <w:sz w:val="20"/>
                <w:szCs w:val="20"/>
              </w:rPr>
            </w:pPr>
            <w:r w:rsidRPr="00C919C6">
              <w:rPr>
                <w:i/>
                <w:iCs/>
                <w:sz w:val="20"/>
                <w:szCs w:val="20"/>
              </w:rPr>
              <w:t>26.94%</w:t>
            </w:r>
          </w:p>
        </w:tc>
        <w:tc>
          <w:tcPr>
            <w:tcW w:w="1138" w:type="dxa"/>
            <w:noWrap/>
            <w:hideMark/>
          </w:tcPr>
          <w:p w:rsidR="008D4E64" w:rsidRPr="00C919C6" w:rsidRDefault="008D4E64" w:rsidP="006267AA">
            <w:pPr>
              <w:jc w:val="right"/>
              <w:rPr>
                <w:i/>
                <w:iCs/>
                <w:sz w:val="20"/>
                <w:szCs w:val="20"/>
              </w:rPr>
            </w:pPr>
            <w:r w:rsidRPr="00C919C6">
              <w:rPr>
                <w:i/>
                <w:iCs/>
                <w:sz w:val="20"/>
                <w:szCs w:val="20"/>
              </w:rPr>
              <w:t>29.45%</w:t>
            </w:r>
          </w:p>
        </w:tc>
        <w:tc>
          <w:tcPr>
            <w:tcW w:w="1138" w:type="dxa"/>
            <w:noWrap/>
            <w:hideMark/>
          </w:tcPr>
          <w:p w:rsidR="008D4E64" w:rsidRPr="00C919C6" w:rsidRDefault="008D4E64" w:rsidP="006267AA">
            <w:pPr>
              <w:jc w:val="right"/>
              <w:rPr>
                <w:i/>
                <w:iCs/>
                <w:sz w:val="20"/>
                <w:szCs w:val="20"/>
              </w:rPr>
            </w:pPr>
            <w:r w:rsidRPr="00C919C6">
              <w:rPr>
                <w:i/>
                <w:iCs/>
                <w:sz w:val="20"/>
                <w:szCs w:val="20"/>
              </w:rPr>
              <w:t>33.98%</w:t>
            </w:r>
          </w:p>
        </w:tc>
        <w:tc>
          <w:tcPr>
            <w:tcW w:w="1382" w:type="dxa"/>
            <w:noWrap/>
            <w:hideMark/>
          </w:tcPr>
          <w:p w:rsidR="008D4E64" w:rsidRPr="00EF52F0" w:rsidRDefault="008D4E64" w:rsidP="006267AA">
            <w:pPr>
              <w:jc w:val="right"/>
              <w:rPr>
                <w:i/>
                <w:iCs/>
                <w:sz w:val="20"/>
                <w:szCs w:val="20"/>
              </w:rPr>
            </w:pPr>
            <w:r w:rsidRPr="00C919C6">
              <w:rPr>
                <w:i/>
                <w:iCs/>
                <w:sz w:val="20"/>
                <w:szCs w:val="20"/>
              </w:rPr>
              <w:t>32.88%</w:t>
            </w:r>
          </w:p>
        </w:tc>
      </w:tr>
    </w:tbl>
    <w:p w:rsidR="008D4E64" w:rsidRPr="006735A7" w:rsidRDefault="008D4E64" w:rsidP="00C919C6">
      <w:pPr>
        <w:spacing w:line="360" w:lineRule="auto"/>
        <w:jc w:val="both"/>
        <w:rPr>
          <w:lang w:val="sq-AL"/>
        </w:rPr>
      </w:pPr>
      <w:r w:rsidRPr="006735A7">
        <w:rPr>
          <w:lang w:val="sq-AL"/>
        </w:rPr>
        <w:fldChar w:fldCharType="end"/>
      </w:r>
      <w:r w:rsidRPr="006735A7">
        <w:rPr>
          <w:lang w:val="sq-AL"/>
        </w:rPr>
        <w:t xml:space="preserve">                                                                                              </w:t>
      </w:r>
    </w:p>
    <w:p w:rsidR="008D4E64" w:rsidRPr="006735A7" w:rsidRDefault="008D4E64" w:rsidP="008D4E64">
      <w:pPr>
        <w:spacing w:line="360" w:lineRule="auto"/>
        <w:jc w:val="both"/>
        <w:rPr>
          <w:lang w:val="sq-AL"/>
        </w:rPr>
      </w:pPr>
      <w:r w:rsidRPr="006735A7">
        <w:rPr>
          <w:lang w:val="sq-AL"/>
        </w:rPr>
        <w:t xml:space="preserve">Shërbimi i borxhit në raport me PBB në gjysmën e parë të vitit karakterizohet nga një rënie me rreth 3 pikë bazë krahasuar me të njëjtën periudhë të vitit të kaluar. Ndikim në uljen e shërbimit të borxhit ka pasur rënia e normave të interesit në tregun e brendshëm ashtu edhe në atë të </w:t>
      </w:r>
      <w:r w:rsidRPr="006735A7">
        <w:rPr>
          <w:lang w:val="sq-AL"/>
        </w:rPr>
        <w:lastRenderedPageBreak/>
        <w:t>jashtëm. Ndërkohë</w:t>
      </w:r>
      <w:r>
        <w:rPr>
          <w:lang w:val="sq-AL"/>
        </w:rPr>
        <w:t>,</w:t>
      </w:r>
      <w:r w:rsidRPr="006735A7">
        <w:rPr>
          <w:lang w:val="sq-AL"/>
        </w:rPr>
        <w:t xml:space="preserve"> përsa i përket pagesave të principalit vërehet një rritje e cila ka ardhur kryesisht si rezultat i stokut në rritje të borxhit të jashtëm. </w:t>
      </w:r>
    </w:p>
    <w:p w:rsidR="008D4E64" w:rsidRPr="006735A7" w:rsidRDefault="008D4E64" w:rsidP="008D4E64">
      <w:pPr>
        <w:jc w:val="both"/>
        <w:rPr>
          <w:b/>
          <w:lang w:val="sq-AL"/>
        </w:rPr>
      </w:pPr>
    </w:p>
    <w:p w:rsidR="008D4E64" w:rsidRPr="006735A7" w:rsidRDefault="008D4E64" w:rsidP="008D4E64">
      <w:pPr>
        <w:spacing w:line="360" w:lineRule="auto"/>
        <w:jc w:val="center"/>
        <w:rPr>
          <w:sz w:val="16"/>
          <w:szCs w:val="16"/>
          <w:u w:val="single"/>
        </w:rPr>
      </w:pPr>
      <w:r>
        <w:rPr>
          <w:noProof/>
        </w:rPr>
        <w:drawing>
          <wp:inline distT="0" distB="0" distL="0" distR="0">
            <wp:extent cx="6086475" cy="2743200"/>
            <wp:effectExtent l="0" t="0" r="0" b="0"/>
            <wp:docPr id="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D4E64" w:rsidRPr="00526C45" w:rsidRDefault="008D4E64" w:rsidP="000E3689">
      <w:pPr>
        <w:spacing w:line="360" w:lineRule="auto"/>
        <w:jc w:val="both"/>
        <w:rPr>
          <w:b/>
          <w:sz w:val="16"/>
          <w:szCs w:val="16"/>
          <w:lang w:val="sq-AL"/>
        </w:rPr>
      </w:pPr>
    </w:p>
    <w:p w:rsidR="005D5D0D" w:rsidRDefault="005D5D0D" w:rsidP="00304EC4">
      <w:pPr>
        <w:shd w:val="clear" w:color="auto" w:fill="FFFFFF"/>
        <w:spacing w:line="360" w:lineRule="auto"/>
        <w:jc w:val="both"/>
        <w:rPr>
          <w:b/>
          <w:bCs/>
          <w:highlight w:val="yellow"/>
          <w:lang w:val="fi-FI"/>
        </w:rPr>
      </w:pPr>
    </w:p>
    <w:p w:rsidR="00A075AB" w:rsidRPr="007C40BE" w:rsidRDefault="00A075AB" w:rsidP="00BE5905">
      <w:pPr>
        <w:spacing w:line="360" w:lineRule="auto"/>
        <w:jc w:val="both"/>
        <w:rPr>
          <w:sz w:val="16"/>
          <w:szCs w:val="16"/>
          <w:lang w:val="fi-FI"/>
        </w:rPr>
      </w:pPr>
    </w:p>
    <w:p w:rsidR="00975E62" w:rsidRPr="007C40BE" w:rsidRDefault="006D7DE6" w:rsidP="00BE5905">
      <w:pPr>
        <w:pStyle w:val="Heading1"/>
        <w:spacing w:line="360" w:lineRule="auto"/>
        <w:ind w:right="0"/>
        <w:jc w:val="left"/>
        <w:rPr>
          <w:lang w:val="sq-AL"/>
        </w:rPr>
      </w:pPr>
      <w:r w:rsidRPr="007C40BE">
        <w:rPr>
          <w:lang w:val="sq-AL"/>
        </w:rPr>
        <w:t xml:space="preserve">C. </w:t>
      </w:r>
      <w:r w:rsidR="00E6239C" w:rsidRPr="007C40BE">
        <w:rPr>
          <w:lang w:val="sq-AL"/>
        </w:rPr>
        <w:t>Q</w:t>
      </w:r>
      <w:r w:rsidR="00320909" w:rsidRPr="007C40BE">
        <w:rPr>
          <w:lang w:val="sq-AL"/>
        </w:rPr>
        <w:t>Ë</w:t>
      </w:r>
      <w:r w:rsidR="00E6239C" w:rsidRPr="007C40BE">
        <w:rPr>
          <w:lang w:val="sq-AL"/>
        </w:rPr>
        <w:t>LLIMI</w:t>
      </w:r>
      <w:bookmarkEnd w:id="5"/>
      <w:r w:rsidR="00C467EE" w:rsidRPr="007C40BE">
        <w:rPr>
          <w:lang w:val="sq-AL"/>
        </w:rPr>
        <w:t xml:space="preserve"> </w:t>
      </w:r>
      <w:r w:rsidR="00E6239C" w:rsidRPr="007C40BE">
        <w:rPr>
          <w:lang w:val="sq-AL"/>
        </w:rPr>
        <w:t>I</w:t>
      </w:r>
      <w:r w:rsidR="004965F4" w:rsidRPr="007C40BE">
        <w:rPr>
          <w:lang w:val="sq-AL"/>
        </w:rPr>
        <w:t xml:space="preserve"> hartimit t</w:t>
      </w:r>
      <w:r w:rsidR="00663161" w:rsidRPr="007C40BE">
        <w:rPr>
          <w:lang w:val="sq-AL"/>
        </w:rPr>
        <w:t>ë</w:t>
      </w:r>
      <w:r w:rsidR="004965F4" w:rsidRPr="007C40BE">
        <w:rPr>
          <w:lang w:val="sq-AL"/>
        </w:rPr>
        <w:t xml:space="preserve"> k</w:t>
      </w:r>
      <w:r w:rsidR="00663161" w:rsidRPr="007C40BE">
        <w:rPr>
          <w:lang w:val="sq-AL"/>
        </w:rPr>
        <w:t>ë</w:t>
      </w:r>
      <w:r w:rsidR="004965F4" w:rsidRPr="007C40BE">
        <w:rPr>
          <w:lang w:val="sq-AL"/>
        </w:rPr>
        <w:t xml:space="preserve">tij </w:t>
      </w:r>
      <w:bookmarkEnd w:id="6"/>
      <w:r w:rsidR="007E55D5" w:rsidRPr="007C40BE">
        <w:rPr>
          <w:lang w:val="sq-AL"/>
        </w:rPr>
        <w:t>PROJEKTLIGJI</w:t>
      </w:r>
    </w:p>
    <w:p w:rsidR="00A075AB" w:rsidRPr="007C40BE" w:rsidRDefault="00A075AB" w:rsidP="00A075AB">
      <w:pPr>
        <w:tabs>
          <w:tab w:val="center" w:pos="709"/>
          <w:tab w:val="right" w:pos="8696"/>
        </w:tabs>
        <w:autoSpaceDE w:val="0"/>
        <w:spacing w:line="360" w:lineRule="auto"/>
        <w:jc w:val="both"/>
        <w:rPr>
          <w:rFonts w:eastAsia="Calibri"/>
          <w:color w:val="000000"/>
          <w:lang w:val="sq-AL"/>
        </w:rPr>
      </w:pPr>
      <w:bookmarkStart w:id="9" w:name="_Toc368565535"/>
      <w:r w:rsidRPr="007C40BE">
        <w:rPr>
          <w:lang w:val="sq-AL"/>
        </w:rPr>
        <w:t>B</w:t>
      </w:r>
      <w:r w:rsidRPr="007C40BE">
        <w:rPr>
          <w:rFonts w:eastAsia="Calibri"/>
          <w:color w:val="000000"/>
          <w:lang w:val="sq-AL"/>
        </w:rPr>
        <w:t>azuar në performancën makro-fiskale e buxhetore të 6-mujorit të parë të vitit 2016, si edhe në parashikimin e pritshëm të këtyre treguesve deri në fund të këtij viti buxhetor, Akti Normativ që Ju propozojmë konsiston në:</w:t>
      </w:r>
    </w:p>
    <w:p w:rsidR="00A075AB" w:rsidRPr="007C40BE" w:rsidRDefault="00A075AB" w:rsidP="00A075AB">
      <w:pPr>
        <w:numPr>
          <w:ilvl w:val="0"/>
          <w:numId w:val="45"/>
        </w:numPr>
        <w:spacing w:line="360" w:lineRule="auto"/>
        <w:contextualSpacing/>
        <w:jc w:val="both"/>
        <w:rPr>
          <w:rFonts w:eastAsia="Calibri"/>
          <w:color w:val="000000"/>
          <w:lang w:val="sq-AL"/>
        </w:rPr>
      </w:pPr>
      <w:r w:rsidRPr="007C40BE">
        <w:rPr>
          <w:rFonts w:eastAsia="Calibri"/>
          <w:b/>
          <w:color w:val="000000"/>
          <w:lang w:val="sq-AL"/>
        </w:rPr>
        <w:t>Rritjen e t</w:t>
      </w:r>
      <w:r w:rsidR="00076F04" w:rsidRPr="007C40BE">
        <w:rPr>
          <w:rFonts w:eastAsia="Calibri"/>
          <w:b/>
          <w:color w:val="000000"/>
          <w:lang w:val="sq-AL"/>
        </w:rPr>
        <w:t>ë</w:t>
      </w:r>
      <w:r w:rsidRPr="007C40BE">
        <w:rPr>
          <w:rFonts w:eastAsia="Calibri"/>
          <w:b/>
          <w:color w:val="000000"/>
          <w:lang w:val="sq-AL"/>
        </w:rPr>
        <w:t xml:space="preserve"> ardhurave nga privatizimi me 2.6 miliard LEK,</w:t>
      </w:r>
      <w:r w:rsidRPr="007C40BE">
        <w:rPr>
          <w:rFonts w:eastAsia="Calibri"/>
          <w:color w:val="000000"/>
          <w:lang w:val="sq-AL"/>
        </w:rPr>
        <w:t xml:space="preserve"> si rrjedhoj</w:t>
      </w:r>
      <w:r w:rsidR="00076F04" w:rsidRPr="007C40BE">
        <w:rPr>
          <w:rFonts w:eastAsia="Calibri"/>
          <w:color w:val="000000"/>
          <w:lang w:val="sq-AL"/>
        </w:rPr>
        <w:t>ë</w:t>
      </w:r>
      <w:r w:rsidRPr="007C40BE">
        <w:rPr>
          <w:rFonts w:eastAsia="Calibri"/>
          <w:color w:val="000000"/>
          <w:lang w:val="sq-AL"/>
        </w:rPr>
        <w:t xml:space="preserve"> e privatizimit t</w:t>
      </w:r>
      <w:r w:rsidR="00076F04" w:rsidRPr="007C40BE">
        <w:rPr>
          <w:rFonts w:eastAsia="Calibri"/>
          <w:color w:val="000000"/>
          <w:lang w:val="sq-AL"/>
        </w:rPr>
        <w:t>ë</w:t>
      </w:r>
      <w:r w:rsidRPr="007C40BE">
        <w:rPr>
          <w:rFonts w:eastAsia="Calibri"/>
          <w:color w:val="000000"/>
          <w:lang w:val="sq-AL"/>
        </w:rPr>
        <w:t xml:space="preserve"> INSIG sh.a. dhe disa privatizimeve t</w:t>
      </w:r>
      <w:r w:rsidR="00076F04" w:rsidRPr="007C40BE">
        <w:rPr>
          <w:rFonts w:eastAsia="Calibri"/>
          <w:color w:val="000000"/>
          <w:lang w:val="sq-AL"/>
        </w:rPr>
        <w:t>ë</w:t>
      </w:r>
      <w:r w:rsidRPr="007C40BE">
        <w:rPr>
          <w:rFonts w:eastAsia="Calibri"/>
          <w:color w:val="000000"/>
          <w:lang w:val="sq-AL"/>
        </w:rPr>
        <w:t xml:space="preserve"> tjera.</w:t>
      </w:r>
    </w:p>
    <w:p w:rsidR="00BC7D97" w:rsidRPr="007C40BE" w:rsidRDefault="00BC7D97" w:rsidP="00BC7D97">
      <w:pPr>
        <w:spacing w:line="360" w:lineRule="auto"/>
        <w:ind w:left="720"/>
        <w:contextualSpacing/>
        <w:jc w:val="both"/>
        <w:rPr>
          <w:rFonts w:eastAsia="Calibri"/>
          <w:color w:val="000000"/>
          <w:sz w:val="16"/>
          <w:szCs w:val="16"/>
          <w:lang w:val="sq-AL"/>
        </w:rPr>
      </w:pPr>
    </w:p>
    <w:p w:rsidR="00A075AB" w:rsidRPr="007C40BE" w:rsidRDefault="00A075AB" w:rsidP="00A075AB">
      <w:pPr>
        <w:numPr>
          <w:ilvl w:val="0"/>
          <w:numId w:val="45"/>
        </w:numPr>
        <w:spacing w:line="360" w:lineRule="auto"/>
        <w:contextualSpacing/>
        <w:jc w:val="both"/>
        <w:rPr>
          <w:rFonts w:eastAsia="Calibri"/>
          <w:color w:val="000000"/>
          <w:lang w:val="sq-AL"/>
        </w:rPr>
      </w:pPr>
      <w:r w:rsidRPr="007C40BE">
        <w:rPr>
          <w:rFonts w:eastAsia="Calibri"/>
          <w:b/>
          <w:color w:val="000000"/>
          <w:lang w:val="sq-AL"/>
        </w:rPr>
        <w:t>Rritjen e defiçitit buxhetor në masën 1.3 miliard LE</w:t>
      </w:r>
      <w:r w:rsidRPr="007C40BE">
        <w:rPr>
          <w:rFonts w:eastAsia="Calibri"/>
          <w:color w:val="000000"/>
          <w:lang w:val="sq-AL"/>
        </w:rPr>
        <w:t xml:space="preserve">K, si rrjedhojë e alokimit të fondit në të njëjtën masë tek shpenzimet kapitale me financim të brendshëm, të 50% të të ardhurave nga privatizimi, por </w:t>
      </w:r>
      <w:r w:rsidRPr="007C40BE">
        <w:rPr>
          <w:rFonts w:eastAsia="Calibri"/>
          <w:b/>
          <w:color w:val="000000"/>
          <w:lang w:val="sq-AL"/>
        </w:rPr>
        <w:t>uljen e huamarrjes se brendshme</w:t>
      </w:r>
      <w:r w:rsidRPr="007C40BE">
        <w:rPr>
          <w:rFonts w:eastAsia="Calibri"/>
          <w:color w:val="000000"/>
          <w:lang w:val="sq-AL"/>
        </w:rPr>
        <w:t xml:space="preserve"> ne te njejten mase, pra edhe te nivelit te borxhit te parashikuar ne fillim te vitit 2016 .</w:t>
      </w:r>
    </w:p>
    <w:p w:rsidR="00BC7D97" w:rsidRPr="007C40BE" w:rsidRDefault="00BC7D97" w:rsidP="00BC7D97">
      <w:pPr>
        <w:spacing w:line="360" w:lineRule="auto"/>
        <w:ind w:left="720"/>
        <w:contextualSpacing/>
        <w:jc w:val="both"/>
        <w:rPr>
          <w:rFonts w:eastAsia="Calibri"/>
          <w:b/>
          <w:color w:val="000000"/>
          <w:sz w:val="16"/>
          <w:szCs w:val="16"/>
          <w:lang w:val="sq-AL"/>
        </w:rPr>
      </w:pPr>
    </w:p>
    <w:p w:rsidR="00A075AB" w:rsidRPr="007C40BE" w:rsidRDefault="00A075AB" w:rsidP="00A075AB">
      <w:pPr>
        <w:numPr>
          <w:ilvl w:val="0"/>
          <w:numId w:val="45"/>
        </w:numPr>
        <w:spacing w:line="360" w:lineRule="auto"/>
        <w:contextualSpacing/>
        <w:jc w:val="both"/>
        <w:rPr>
          <w:rFonts w:eastAsia="Calibri"/>
          <w:b/>
          <w:color w:val="000000"/>
          <w:lang w:val="sq-AL"/>
        </w:rPr>
      </w:pPr>
      <w:r w:rsidRPr="007C40BE">
        <w:rPr>
          <w:rFonts w:eastAsia="Calibri"/>
          <w:b/>
          <w:color w:val="000000"/>
          <w:lang w:val="sq-AL"/>
        </w:rPr>
        <w:t>Reduktimin me 4.4 miliard LEK të të ardhurave të përgjithshme, përkatësisht përmes:</w:t>
      </w:r>
    </w:p>
    <w:p w:rsidR="00A075AB" w:rsidRPr="007C40BE" w:rsidRDefault="00A075AB" w:rsidP="00A075AB">
      <w:pPr>
        <w:numPr>
          <w:ilvl w:val="1"/>
          <w:numId w:val="45"/>
        </w:numPr>
        <w:spacing w:line="360" w:lineRule="auto"/>
        <w:contextualSpacing/>
        <w:jc w:val="both"/>
        <w:rPr>
          <w:rFonts w:eastAsia="Calibri"/>
          <w:i/>
          <w:color w:val="000000"/>
          <w:lang w:val="sq-AL"/>
        </w:rPr>
      </w:pPr>
      <w:r w:rsidRPr="007C40BE">
        <w:rPr>
          <w:rFonts w:eastAsia="Calibri"/>
          <w:i/>
          <w:color w:val="000000"/>
          <w:lang w:val="sq-AL"/>
        </w:rPr>
        <w:t>Mbajtjes së pandryshuar të nivelit të planifikuar të të ardhurave nga tatimet dhe doganat, bazuar kjo në performancën e mirë të këtyre administratave, në drejtim të mbledhjes së të ardhurave në zërat përkatës.</w:t>
      </w:r>
    </w:p>
    <w:p w:rsidR="005176D2" w:rsidRPr="007C40BE" w:rsidRDefault="00A075AB" w:rsidP="00A075AB">
      <w:pPr>
        <w:numPr>
          <w:ilvl w:val="1"/>
          <w:numId w:val="45"/>
        </w:numPr>
        <w:spacing w:line="360" w:lineRule="auto"/>
        <w:contextualSpacing/>
        <w:jc w:val="both"/>
        <w:rPr>
          <w:rFonts w:eastAsia="Calibri"/>
          <w:i/>
          <w:color w:val="000000"/>
          <w:lang w:val="sq-AL"/>
        </w:rPr>
      </w:pPr>
      <w:r w:rsidRPr="007C40BE">
        <w:rPr>
          <w:rFonts w:eastAsia="Calibri"/>
          <w:i/>
          <w:color w:val="000000"/>
          <w:lang w:val="sq-AL"/>
        </w:rPr>
        <w:lastRenderedPageBreak/>
        <w:t>Reduktimit të të ardhurave të pushtetit vendor në masën 2 miliard LEK, përkatësisht 300 milion LEK taksa mbi pasurinë dhe 1.7 miliard LEK taksa vendore.</w:t>
      </w:r>
    </w:p>
    <w:p w:rsidR="00A075AB" w:rsidRPr="007C40BE" w:rsidRDefault="00A075AB" w:rsidP="00A075AB">
      <w:pPr>
        <w:numPr>
          <w:ilvl w:val="1"/>
          <w:numId w:val="45"/>
        </w:numPr>
        <w:spacing w:line="360" w:lineRule="auto"/>
        <w:contextualSpacing/>
        <w:jc w:val="both"/>
        <w:rPr>
          <w:rFonts w:eastAsia="Calibri"/>
          <w:i/>
          <w:color w:val="000000"/>
          <w:lang w:val="sq-AL"/>
        </w:rPr>
      </w:pPr>
      <w:r w:rsidRPr="007C40BE">
        <w:rPr>
          <w:rFonts w:eastAsia="Calibri"/>
          <w:i/>
          <w:color w:val="000000"/>
          <w:lang w:val="sq-AL"/>
        </w:rPr>
        <w:t>Rritjes së nivelit të të ardhurave të fondit për kompensimin e ish-pronarëve me 600 milion LEK të, bazuar në performancën e kënaqshme të ALUIZNI-t në proçesin e legalizimeve.</w:t>
      </w:r>
    </w:p>
    <w:p w:rsidR="00A075AB" w:rsidRPr="007C40BE" w:rsidRDefault="00A075AB" w:rsidP="00A075AB">
      <w:pPr>
        <w:numPr>
          <w:ilvl w:val="1"/>
          <w:numId w:val="45"/>
        </w:numPr>
        <w:spacing w:line="360" w:lineRule="auto"/>
        <w:contextualSpacing/>
        <w:jc w:val="both"/>
        <w:rPr>
          <w:rFonts w:eastAsia="Calibri"/>
          <w:i/>
          <w:color w:val="000000"/>
          <w:lang w:val="sq-AL"/>
        </w:rPr>
      </w:pPr>
      <w:r w:rsidRPr="007C40BE">
        <w:rPr>
          <w:rFonts w:eastAsia="Calibri"/>
          <w:i/>
          <w:color w:val="000000"/>
          <w:lang w:val="sq-AL"/>
        </w:rPr>
        <w:t>Reflektimit tek të ardhurat jo-tatimore të shtesës prej 1.5 miliard LEK, si rezultat i shitjes së frekuencës së kompanisë Vodafone. Si edhe, të reduktimit me 4 miliard LEK të zërit të dividentit, si pasojë e mosderdhjes së tij në nivelet e parashikuara.</w:t>
      </w:r>
    </w:p>
    <w:p w:rsidR="00A075AB" w:rsidRPr="007C40BE" w:rsidRDefault="00A075AB" w:rsidP="00A075AB">
      <w:pPr>
        <w:spacing w:line="360" w:lineRule="auto"/>
        <w:ind w:left="1440"/>
        <w:contextualSpacing/>
        <w:jc w:val="both"/>
        <w:rPr>
          <w:rFonts w:eastAsia="Calibri"/>
          <w:color w:val="000000"/>
          <w:sz w:val="16"/>
          <w:szCs w:val="16"/>
          <w:lang w:val="sq-AL"/>
        </w:rPr>
      </w:pPr>
    </w:p>
    <w:p w:rsidR="00A075AB" w:rsidRPr="007C40BE" w:rsidRDefault="00A075AB" w:rsidP="00A075AB">
      <w:pPr>
        <w:numPr>
          <w:ilvl w:val="0"/>
          <w:numId w:val="45"/>
        </w:numPr>
        <w:spacing w:line="360" w:lineRule="auto"/>
        <w:contextualSpacing/>
        <w:jc w:val="both"/>
        <w:rPr>
          <w:rFonts w:eastAsia="Calibri"/>
          <w:b/>
          <w:color w:val="000000"/>
          <w:lang w:val="sq-AL"/>
        </w:rPr>
      </w:pPr>
      <w:r w:rsidRPr="007C40BE">
        <w:rPr>
          <w:rFonts w:eastAsia="Calibri"/>
          <w:b/>
          <w:color w:val="000000"/>
          <w:lang w:val="sq-AL"/>
        </w:rPr>
        <w:t>Reduktimin me 3.1 miliard LEK të shpenzimeve të përgjithshme, përkatësisht përmes:</w:t>
      </w:r>
    </w:p>
    <w:p w:rsidR="00A075AB" w:rsidRPr="007C40BE" w:rsidRDefault="00A075AB" w:rsidP="00A075AB">
      <w:pPr>
        <w:numPr>
          <w:ilvl w:val="1"/>
          <w:numId w:val="45"/>
        </w:numPr>
        <w:spacing w:line="360" w:lineRule="auto"/>
        <w:contextualSpacing/>
        <w:jc w:val="both"/>
        <w:rPr>
          <w:rFonts w:eastAsia="Calibri"/>
          <w:i/>
          <w:color w:val="000000"/>
          <w:lang w:val="sq-AL"/>
        </w:rPr>
      </w:pPr>
      <w:r w:rsidRPr="007C40BE">
        <w:rPr>
          <w:rFonts w:eastAsia="Calibri"/>
          <w:i/>
          <w:color w:val="000000"/>
          <w:lang w:val="sq-AL"/>
        </w:rPr>
        <w:t>Reduktimit të zërit “shpenzime personeli” me 1 miliard LEK, si pasojë e mosplotësimit të strukturave organike të institucioneve buxhetore me vendet vakante të parashikuara për 6-mujorin e parë 2016.</w:t>
      </w:r>
    </w:p>
    <w:p w:rsidR="00A075AB" w:rsidRPr="007C40BE" w:rsidRDefault="00AC57B3" w:rsidP="00A075AB">
      <w:pPr>
        <w:numPr>
          <w:ilvl w:val="1"/>
          <w:numId w:val="45"/>
        </w:numPr>
        <w:spacing w:line="360" w:lineRule="auto"/>
        <w:contextualSpacing/>
        <w:jc w:val="both"/>
        <w:rPr>
          <w:rFonts w:eastAsia="Calibri"/>
          <w:i/>
          <w:color w:val="000000"/>
          <w:lang w:val="sq-AL"/>
        </w:rPr>
      </w:pPr>
      <w:r>
        <w:rPr>
          <w:rFonts w:eastAsia="Calibri"/>
          <w:i/>
          <w:color w:val="000000"/>
          <w:lang w:val="sq-AL"/>
        </w:rPr>
        <w:t>Rialokimit</w:t>
      </w:r>
      <w:r w:rsidR="00A075AB" w:rsidRPr="007C40BE">
        <w:rPr>
          <w:rFonts w:eastAsia="Calibri"/>
          <w:i/>
          <w:color w:val="000000"/>
          <w:lang w:val="sq-AL"/>
        </w:rPr>
        <w:t xml:space="preserve"> të shpenzimeve operative dhe mirëmbajtje me, si rrjedhojë e performancës së ulët të institucioneve buxhetore për këtë zë, gjatë</w:t>
      </w:r>
      <w:r w:rsidR="001275D1">
        <w:rPr>
          <w:rFonts w:eastAsia="Calibri"/>
          <w:i/>
          <w:color w:val="000000"/>
          <w:lang w:val="sq-AL"/>
        </w:rPr>
        <w:t xml:space="preserve"> </w:t>
      </w:r>
      <w:r w:rsidR="00A075AB" w:rsidRPr="007C40BE">
        <w:rPr>
          <w:rFonts w:eastAsia="Calibri"/>
          <w:i/>
          <w:color w:val="000000"/>
          <w:lang w:val="sq-AL"/>
        </w:rPr>
        <w:t>6-mujorit të parë</w:t>
      </w:r>
      <w:r w:rsidR="001275D1">
        <w:rPr>
          <w:rFonts w:eastAsia="Calibri"/>
          <w:i/>
          <w:color w:val="000000"/>
          <w:lang w:val="sq-AL"/>
        </w:rPr>
        <w:t xml:space="preserve"> 2016</w:t>
      </w:r>
      <w:r w:rsidR="00A075AB" w:rsidRPr="007C40BE">
        <w:rPr>
          <w:rFonts w:eastAsia="Calibri"/>
          <w:i/>
          <w:color w:val="000000"/>
          <w:lang w:val="sq-AL"/>
        </w:rPr>
        <w:t>, q</w:t>
      </w:r>
      <w:r w:rsidR="00530A7C">
        <w:rPr>
          <w:rFonts w:eastAsia="Calibri"/>
          <w:i/>
          <w:color w:val="000000"/>
          <w:lang w:val="sq-AL"/>
        </w:rPr>
        <w:t>ë</w:t>
      </w:r>
      <w:r w:rsidR="00A075AB" w:rsidRPr="007C40BE">
        <w:rPr>
          <w:rFonts w:eastAsia="Calibri"/>
          <w:i/>
          <w:color w:val="000000"/>
          <w:lang w:val="sq-AL"/>
        </w:rPr>
        <w:t xml:space="preserve"> </w:t>
      </w:r>
      <w:r w:rsidR="00530A7C">
        <w:rPr>
          <w:rFonts w:eastAsia="Calibri"/>
          <w:i/>
          <w:color w:val="000000"/>
          <w:lang w:val="sq-AL"/>
        </w:rPr>
        <w:t>ë</w:t>
      </w:r>
      <w:r w:rsidR="00A075AB" w:rsidRPr="007C40BE">
        <w:rPr>
          <w:rFonts w:eastAsia="Calibri"/>
          <w:i/>
          <w:color w:val="000000"/>
          <w:lang w:val="sq-AL"/>
        </w:rPr>
        <w:t>sht</w:t>
      </w:r>
      <w:r w:rsidR="00530A7C">
        <w:rPr>
          <w:rFonts w:eastAsia="Calibri"/>
          <w:i/>
          <w:color w:val="000000"/>
          <w:lang w:val="sq-AL"/>
        </w:rPr>
        <w:t>ë</w:t>
      </w:r>
      <w:r w:rsidR="00A075AB" w:rsidRPr="007C40BE">
        <w:rPr>
          <w:rFonts w:eastAsia="Calibri"/>
          <w:i/>
          <w:color w:val="000000"/>
          <w:lang w:val="sq-AL"/>
        </w:rPr>
        <w:t xml:space="preserve"> rezultante e shkurtimit t</w:t>
      </w:r>
      <w:r w:rsidR="00530A7C">
        <w:rPr>
          <w:rFonts w:eastAsia="Calibri"/>
          <w:i/>
          <w:color w:val="000000"/>
          <w:lang w:val="sq-AL"/>
        </w:rPr>
        <w:t>ë</w:t>
      </w:r>
      <w:r w:rsidR="00A075AB" w:rsidRPr="007C40BE">
        <w:rPr>
          <w:rFonts w:eastAsia="Calibri"/>
          <w:i/>
          <w:color w:val="000000"/>
          <w:lang w:val="sq-AL"/>
        </w:rPr>
        <w:t xml:space="preserve"> shpenzimeve, kryesisht administrative</w:t>
      </w:r>
      <w:r w:rsidR="001275D1">
        <w:rPr>
          <w:rFonts w:eastAsia="Calibri"/>
          <w:i/>
          <w:color w:val="000000"/>
          <w:lang w:val="sq-AL"/>
        </w:rPr>
        <w:t>,</w:t>
      </w:r>
      <w:r w:rsidR="00A075AB" w:rsidRPr="007C40BE">
        <w:rPr>
          <w:rFonts w:eastAsia="Calibri"/>
          <w:i/>
          <w:color w:val="000000"/>
          <w:lang w:val="sq-AL"/>
        </w:rPr>
        <w:t xml:space="preserve"> n</w:t>
      </w:r>
      <w:r w:rsidR="00530A7C">
        <w:rPr>
          <w:rFonts w:eastAsia="Calibri"/>
          <w:i/>
          <w:color w:val="000000"/>
          <w:lang w:val="sq-AL"/>
        </w:rPr>
        <w:t>ë</w:t>
      </w:r>
      <w:r w:rsidR="00A075AB" w:rsidRPr="007C40BE">
        <w:rPr>
          <w:rFonts w:eastAsia="Calibri"/>
          <w:i/>
          <w:color w:val="000000"/>
          <w:lang w:val="sq-AL"/>
        </w:rPr>
        <w:t xml:space="preserve"> masen 500 milion</w:t>
      </w:r>
      <w:r w:rsidR="00530A7C">
        <w:rPr>
          <w:rFonts w:eastAsia="Calibri"/>
          <w:i/>
          <w:color w:val="000000"/>
          <w:lang w:val="sq-AL"/>
        </w:rPr>
        <w:t>ë</w:t>
      </w:r>
      <w:r w:rsidR="00A075AB" w:rsidRPr="007C40BE">
        <w:rPr>
          <w:rFonts w:eastAsia="Calibri"/>
          <w:i/>
          <w:color w:val="000000"/>
          <w:lang w:val="sq-AL"/>
        </w:rPr>
        <w:t xml:space="preserve"> </w:t>
      </w:r>
      <w:r w:rsidR="001275D1">
        <w:rPr>
          <w:rFonts w:eastAsia="Calibri"/>
          <w:i/>
          <w:color w:val="000000"/>
          <w:lang w:val="sq-AL"/>
        </w:rPr>
        <w:t>LEK</w:t>
      </w:r>
      <w:r w:rsidR="00A075AB" w:rsidRPr="007C40BE">
        <w:rPr>
          <w:rFonts w:eastAsia="Calibri"/>
          <w:i/>
          <w:color w:val="000000"/>
          <w:lang w:val="sq-AL"/>
        </w:rPr>
        <w:t xml:space="preserve"> dhe rritjes s</w:t>
      </w:r>
      <w:r w:rsidR="00530A7C">
        <w:rPr>
          <w:rFonts w:eastAsia="Calibri"/>
          <w:i/>
          <w:color w:val="000000"/>
          <w:lang w:val="sq-AL"/>
        </w:rPr>
        <w:t>ë</w:t>
      </w:r>
      <w:r w:rsidR="00A075AB" w:rsidRPr="007C40BE">
        <w:rPr>
          <w:rFonts w:eastAsia="Calibri"/>
          <w:i/>
          <w:color w:val="000000"/>
          <w:lang w:val="sq-AL"/>
        </w:rPr>
        <w:t xml:space="preserve"> shpenzimeve t</w:t>
      </w:r>
      <w:r w:rsidR="00530A7C">
        <w:rPr>
          <w:rFonts w:eastAsia="Calibri"/>
          <w:i/>
          <w:color w:val="000000"/>
          <w:lang w:val="sq-AL"/>
        </w:rPr>
        <w:t>ë</w:t>
      </w:r>
      <w:r w:rsidR="00A075AB" w:rsidRPr="007C40BE">
        <w:rPr>
          <w:rFonts w:eastAsia="Calibri"/>
          <w:i/>
          <w:color w:val="000000"/>
          <w:lang w:val="sq-AL"/>
        </w:rPr>
        <w:t xml:space="preserve"> mir</w:t>
      </w:r>
      <w:r w:rsidR="00530A7C">
        <w:rPr>
          <w:rFonts w:eastAsia="Calibri"/>
          <w:i/>
          <w:color w:val="000000"/>
          <w:lang w:val="sq-AL"/>
        </w:rPr>
        <w:t>ë</w:t>
      </w:r>
      <w:r w:rsidR="00A075AB" w:rsidRPr="007C40BE">
        <w:rPr>
          <w:rFonts w:eastAsia="Calibri"/>
          <w:i/>
          <w:color w:val="000000"/>
          <w:lang w:val="sq-AL"/>
        </w:rPr>
        <w:t>mbajtjes s</w:t>
      </w:r>
      <w:r w:rsidR="00530A7C">
        <w:rPr>
          <w:rFonts w:eastAsia="Calibri"/>
          <w:i/>
          <w:color w:val="000000"/>
          <w:lang w:val="sq-AL"/>
        </w:rPr>
        <w:t>ë</w:t>
      </w:r>
      <w:r w:rsidR="00A075AB" w:rsidRPr="007C40BE">
        <w:rPr>
          <w:rFonts w:eastAsia="Calibri"/>
          <w:i/>
          <w:color w:val="000000"/>
          <w:lang w:val="sq-AL"/>
        </w:rPr>
        <w:t xml:space="preserve"> rrug</w:t>
      </w:r>
      <w:r w:rsidR="00530A7C">
        <w:rPr>
          <w:rFonts w:eastAsia="Calibri"/>
          <w:i/>
          <w:color w:val="000000"/>
          <w:lang w:val="sq-AL"/>
        </w:rPr>
        <w:t>ë</w:t>
      </w:r>
      <w:r w:rsidR="00A075AB" w:rsidRPr="007C40BE">
        <w:rPr>
          <w:rFonts w:eastAsia="Calibri"/>
          <w:i/>
          <w:color w:val="000000"/>
          <w:lang w:val="sq-AL"/>
        </w:rPr>
        <w:t>ve n</w:t>
      </w:r>
      <w:r w:rsidR="00530A7C">
        <w:rPr>
          <w:rFonts w:eastAsia="Calibri"/>
          <w:i/>
          <w:color w:val="000000"/>
          <w:lang w:val="sq-AL"/>
        </w:rPr>
        <w:t>ë</w:t>
      </w:r>
      <w:r w:rsidR="00A075AB" w:rsidRPr="007C40BE">
        <w:rPr>
          <w:rFonts w:eastAsia="Calibri"/>
          <w:i/>
          <w:color w:val="000000"/>
          <w:lang w:val="sq-AL"/>
        </w:rPr>
        <w:t xml:space="preserve"> masen </w:t>
      </w:r>
      <w:r w:rsidR="001275D1">
        <w:rPr>
          <w:rFonts w:eastAsia="Calibri"/>
          <w:i/>
          <w:color w:val="000000"/>
          <w:lang w:val="sq-AL"/>
        </w:rPr>
        <w:t>2</w:t>
      </w:r>
      <w:r>
        <w:rPr>
          <w:rFonts w:eastAsia="Calibri"/>
          <w:i/>
          <w:color w:val="000000"/>
          <w:lang w:val="sq-AL"/>
        </w:rPr>
        <w:t>0</w:t>
      </w:r>
      <w:r w:rsidR="001275D1">
        <w:rPr>
          <w:rFonts w:eastAsia="Calibri"/>
          <w:i/>
          <w:color w:val="000000"/>
          <w:lang w:val="sq-AL"/>
        </w:rPr>
        <w:t>0</w:t>
      </w:r>
      <w:r w:rsidR="00A075AB" w:rsidRPr="007C40BE">
        <w:rPr>
          <w:rFonts w:eastAsia="Calibri"/>
          <w:i/>
          <w:color w:val="000000"/>
          <w:lang w:val="sq-AL"/>
        </w:rPr>
        <w:t xml:space="preserve"> milion</w:t>
      </w:r>
      <w:r w:rsidR="00530A7C">
        <w:rPr>
          <w:rFonts w:eastAsia="Calibri"/>
          <w:i/>
          <w:color w:val="000000"/>
          <w:lang w:val="sq-AL"/>
        </w:rPr>
        <w:t>ë</w:t>
      </w:r>
      <w:r w:rsidR="00A075AB" w:rsidRPr="007C40BE">
        <w:rPr>
          <w:rFonts w:eastAsia="Calibri"/>
          <w:i/>
          <w:color w:val="000000"/>
          <w:lang w:val="sq-AL"/>
        </w:rPr>
        <w:t xml:space="preserve"> </w:t>
      </w:r>
      <w:r w:rsidR="001275D1">
        <w:rPr>
          <w:rFonts w:eastAsia="Calibri"/>
          <w:i/>
          <w:color w:val="000000"/>
          <w:lang w:val="sq-AL"/>
        </w:rPr>
        <w:t>LEK</w:t>
      </w:r>
      <w:r w:rsidR="00A075AB" w:rsidRPr="007C40BE">
        <w:rPr>
          <w:rFonts w:eastAsia="Calibri"/>
          <w:i/>
          <w:color w:val="000000"/>
          <w:lang w:val="sq-AL"/>
        </w:rPr>
        <w:t xml:space="preserve"> (emergjencat e shkaktuara nga p</w:t>
      </w:r>
      <w:r w:rsidR="00530A7C">
        <w:rPr>
          <w:rFonts w:eastAsia="Calibri"/>
          <w:i/>
          <w:color w:val="000000"/>
          <w:lang w:val="sq-AL"/>
        </w:rPr>
        <w:t>ë</w:t>
      </w:r>
      <w:r w:rsidR="00A075AB" w:rsidRPr="007C40BE">
        <w:rPr>
          <w:rFonts w:eastAsia="Calibri"/>
          <w:i/>
          <w:color w:val="000000"/>
          <w:lang w:val="sq-AL"/>
        </w:rPr>
        <w:t>rmbytjet, rr</w:t>
      </w:r>
      <w:r w:rsidR="00530A7C">
        <w:rPr>
          <w:rFonts w:eastAsia="Calibri"/>
          <w:i/>
          <w:color w:val="000000"/>
          <w:lang w:val="sq-AL"/>
        </w:rPr>
        <w:t>ë</w:t>
      </w:r>
      <w:r w:rsidR="00A075AB" w:rsidRPr="007C40BE">
        <w:rPr>
          <w:rFonts w:eastAsia="Calibri"/>
          <w:i/>
          <w:color w:val="000000"/>
          <w:lang w:val="sq-AL"/>
        </w:rPr>
        <w:t>shqitjet etj.)</w:t>
      </w:r>
    </w:p>
    <w:p w:rsidR="00A075AB" w:rsidRPr="003D2A7F" w:rsidRDefault="00A075AB" w:rsidP="00A075AB">
      <w:pPr>
        <w:numPr>
          <w:ilvl w:val="1"/>
          <w:numId w:val="45"/>
        </w:numPr>
        <w:spacing w:line="360" w:lineRule="auto"/>
        <w:contextualSpacing/>
        <w:jc w:val="both"/>
        <w:rPr>
          <w:rFonts w:eastAsia="Calibri"/>
          <w:i/>
          <w:color w:val="000000"/>
          <w:lang w:val="sq-AL"/>
        </w:rPr>
      </w:pPr>
      <w:r w:rsidRPr="003D2A7F">
        <w:rPr>
          <w:rFonts w:eastAsia="Calibri"/>
          <w:i/>
          <w:color w:val="000000"/>
          <w:lang w:val="sq-AL"/>
        </w:rPr>
        <w:t xml:space="preserve">Reduktimit të shpenzimeve për fondin e sigurimeve shoqërore të ISSH-së në masën 1.2 miliard LEK, </w:t>
      </w:r>
      <w:r w:rsidR="00C23E9B" w:rsidRPr="003D2A7F">
        <w:rPr>
          <w:rFonts w:eastAsia="Calibri"/>
          <w:i/>
          <w:color w:val="000000"/>
          <w:lang w:val="sq-AL"/>
        </w:rPr>
        <w:t>përkatësisht: 500</w:t>
      </w:r>
      <w:r w:rsidRPr="003D2A7F">
        <w:rPr>
          <w:rFonts w:eastAsia="Calibri"/>
          <w:i/>
          <w:color w:val="000000"/>
          <w:lang w:val="sq-AL"/>
        </w:rPr>
        <w:t xml:space="preserve"> milion LEK si pasojë e </w:t>
      </w:r>
      <w:r w:rsidR="00C23E9B" w:rsidRPr="003D2A7F">
        <w:rPr>
          <w:rFonts w:eastAsia="Calibri"/>
          <w:i/>
          <w:color w:val="000000"/>
          <w:lang w:val="sq-AL"/>
        </w:rPr>
        <w:t xml:space="preserve">kursimit ne fondin e parashikuar per indeksimin e </w:t>
      </w:r>
      <w:r w:rsidRPr="003D2A7F">
        <w:rPr>
          <w:rFonts w:eastAsia="Calibri"/>
          <w:i/>
          <w:color w:val="000000"/>
          <w:lang w:val="sq-AL"/>
        </w:rPr>
        <w:t xml:space="preserve"> pensioneve </w:t>
      </w:r>
      <w:r w:rsidR="00C23E9B" w:rsidRPr="003D2A7F">
        <w:rPr>
          <w:rFonts w:eastAsia="Calibri"/>
          <w:i/>
          <w:color w:val="000000"/>
          <w:lang w:val="sq-AL"/>
        </w:rPr>
        <w:t>dhe 700</w:t>
      </w:r>
      <w:r w:rsidRPr="003D2A7F">
        <w:rPr>
          <w:rFonts w:eastAsia="Calibri"/>
          <w:i/>
          <w:color w:val="000000"/>
          <w:lang w:val="sq-AL"/>
        </w:rPr>
        <w:t xml:space="preserve"> milion LEK nga kursimet e  skem</w:t>
      </w:r>
      <w:r w:rsidR="00530A7C">
        <w:rPr>
          <w:rFonts w:eastAsia="Calibri"/>
          <w:i/>
          <w:color w:val="000000"/>
          <w:lang w:val="sq-AL"/>
        </w:rPr>
        <w:t>ë</w:t>
      </w:r>
      <w:r w:rsidRPr="003D2A7F">
        <w:rPr>
          <w:rFonts w:eastAsia="Calibri"/>
          <w:i/>
          <w:color w:val="000000"/>
          <w:lang w:val="sq-AL"/>
        </w:rPr>
        <w:t>s baz</w:t>
      </w:r>
      <w:r w:rsidR="00530A7C">
        <w:rPr>
          <w:rFonts w:eastAsia="Calibri"/>
          <w:i/>
          <w:color w:val="000000"/>
          <w:lang w:val="sq-AL"/>
        </w:rPr>
        <w:t>ë</w:t>
      </w:r>
      <w:r w:rsidRPr="003D2A7F">
        <w:rPr>
          <w:rFonts w:eastAsia="Calibri"/>
          <w:i/>
          <w:color w:val="000000"/>
          <w:lang w:val="sq-AL"/>
        </w:rPr>
        <w:t xml:space="preserve">. </w:t>
      </w:r>
    </w:p>
    <w:p w:rsidR="00A075AB" w:rsidRPr="007C40BE" w:rsidRDefault="00A075AB" w:rsidP="00A075AB">
      <w:pPr>
        <w:numPr>
          <w:ilvl w:val="1"/>
          <w:numId w:val="45"/>
        </w:numPr>
        <w:spacing w:line="360" w:lineRule="auto"/>
        <w:contextualSpacing/>
        <w:jc w:val="both"/>
        <w:rPr>
          <w:rFonts w:eastAsia="Calibri"/>
          <w:i/>
          <w:color w:val="000000"/>
          <w:lang w:val="sq-AL"/>
        </w:rPr>
      </w:pPr>
      <w:r w:rsidRPr="007C40BE">
        <w:rPr>
          <w:rFonts w:eastAsia="Calibri"/>
          <w:i/>
          <w:color w:val="000000"/>
          <w:lang w:val="sq-AL"/>
        </w:rPr>
        <w:t>Shtimit me 600 milion LEK të Fondit rezervë të Këshillit të Ministrave, duke konsideruar nivelin minimal të tij në fund të 6-mujorit të parë 2016, si pasojë e përdorimit të tij për arsye të paparashikuara që kanë karakterizuar gjysmën e parë të këtij viti.</w:t>
      </w:r>
    </w:p>
    <w:p w:rsidR="00C23E9B" w:rsidRPr="003D2A7F" w:rsidRDefault="00A075AB" w:rsidP="00A075AB">
      <w:pPr>
        <w:numPr>
          <w:ilvl w:val="1"/>
          <w:numId w:val="45"/>
        </w:numPr>
        <w:spacing w:line="360" w:lineRule="auto"/>
        <w:contextualSpacing/>
        <w:jc w:val="both"/>
        <w:rPr>
          <w:rFonts w:eastAsia="Calibri"/>
          <w:i/>
          <w:color w:val="000000"/>
          <w:lang w:val="sq-AL"/>
        </w:rPr>
      </w:pPr>
      <w:r w:rsidRPr="003D2A7F">
        <w:rPr>
          <w:rFonts w:eastAsia="Calibri"/>
          <w:i/>
          <w:color w:val="000000"/>
          <w:lang w:val="sq-AL"/>
        </w:rPr>
        <w:t xml:space="preserve">Shtimit me 200 milion LEK të fondit kontigjencë, kryesisht për përballimin e vendimeve gjyqësore ndërkombëtare. Nga shuma prej 2 miliardë lekë parashikuar në fillim të vitit, rreth 1 miliardë lekë ishin parashikuar për vendimet e gjykatave </w:t>
      </w:r>
      <w:r w:rsidRPr="003D2A7F">
        <w:rPr>
          <w:rFonts w:eastAsia="Calibri"/>
          <w:i/>
          <w:color w:val="000000"/>
          <w:lang w:val="sq-AL"/>
        </w:rPr>
        <w:lastRenderedPageBreak/>
        <w:t xml:space="preserve">ndërkombëtare. Aktualisht </w:t>
      </w:r>
      <w:r w:rsidR="003D2A7F" w:rsidRPr="003D2A7F">
        <w:rPr>
          <w:rFonts w:eastAsia="Calibri"/>
          <w:i/>
          <w:color w:val="000000"/>
          <w:lang w:val="sq-AL"/>
        </w:rPr>
        <w:t>jan</w:t>
      </w:r>
      <w:r w:rsidR="00530A7C">
        <w:rPr>
          <w:rFonts w:eastAsia="Calibri"/>
          <w:i/>
          <w:color w:val="000000"/>
          <w:lang w:val="sq-AL"/>
        </w:rPr>
        <w:t>ë</w:t>
      </w:r>
      <w:r w:rsidRPr="003D2A7F">
        <w:rPr>
          <w:rFonts w:eastAsia="Calibri"/>
          <w:i/>
          <w:color w:val="000000"/>
          <w:lang w:val="sq-AL"/>
        </w:rPr>
        <w:t xml:space="preserve"> përdorur rreth 200 milionë </w:t>
      </w:r>
      <w:r w:rsidR="003D2A7F" w:rsidRPr="003D2A7F">
        <w:rPr>
          <w:rFonts w:eastAsia="Calibri"/>
          <w:i/>
          <w:color w:val="000000"/>
          <w:lang w:val="sq-AL"/>
        </w:rPr>
        <w:t>LEK</w:t>
      </w:r>
      <w:r w:rsidRPr="003D2A7F">
        <w:rPr>
          <w:rFonts w:eastAsia="Calibri"/>
          <w:i/>
          <w:color w:val="000000"/>
          <w:lang w:val="sq-AL"/>
        </w:rPr>
        <w:t>, ndërkoh</w:t>
      </w:r>
      <w:r w:rsidR="00530A7C">
        <w:rPr>
          <w:rFonts w:eastAsia="Calibri"/>
          <w:i/>
          <w:color w:val="000000"/>
          <w:lang w:val="sq-AL"/>
        </w:rPr>
        <w:t>ë</w:t>
      </w:r>
      <w:r w:rsidRPr="003D2A7F">
        <w:rPr>
          <w:rFonts w:eastAsia="Calibri"/>
          <w:i/>
          <w:color w:val="000000"/>
          <w:lang w:val="sq-AL"/>
        </w:rPr>
        <w:t xml:space="preserve"> </w:t>
      </w:r>
      <w:r w:rsidR="00C23E9B" w:rsidRPr="003D2A7F">
        <w:rPr>
          <w:rFonts w:eastAsia="Calibri"/>
          <w:i/>
          <w:color w:val="000000"/>
          <w:lang w:val="sq-AL"/>
        </w:rPr>
        <w:t>qe ka disa vendime t</w:t>
      </w:r>
      <w:r w:rsidR="00530A7C">
        <w:rPr>
          <w:rFonts w:eastAsia="Calibri"/>
          <w:i/>
          <w:color w:val="000000"/>
          <w:lang w:val="sq-AL"/>
        </w:rPr>
        <w:t>ë</w:t>
      </w:r>
      <w:r w:rsidR="00C23E9B" w:rsidRPr="003D2A7F">
        <w:rPr>
          <w:rFonts w:eastAsia="Calibri"/>
          <w:i/>
          <w:color w:val="000000"/>
          <w:lang w:val="sq-AL"/>
        </w:rPr>
        <w:t xml:space="preserve"> </w:t>
      </w:r>
      <w:r w:rsidRPr="003D2A7F">
        <w:rPr>
          <w:rFonts w:eastAsia="Calibri"/>
          <w:i/>
          <w:color w:val="000000"/>
          <w:lang w:val="sq-AL"/>
        </w:rPr>
        <w:t>miratuara tashmë të Gjykat</w:t>
      </w:r>
      <w:r w:rsidR="00530A7C">
        <w:rPr>
          <w:rFonts w:eastAsia="Calibri"/>
          <w:i/>
          <w:color w:val="000000"/>
          <w:lang w:val="sq-AL"/>
        </w:rPr>
        <w:t>ë</w:t>
      </w:r>
      <w:r w:rsidRPr="003D2A7F">
        <w:rPr>
          <w:rFonts w:eastAsia="Calibri"/>
          <w:i/>
          <w:color w:val="000000"/>
          <w:lang w:val="sq-AL"/>
        </w:rPr>
        <w:t>s së Strasburgut</w:t>
      </w:r>
      <w:r w:rsidR="00C23E9B" w:rsidRPr="003D2A7F">
        <w:rPr>
          <w:rFonts w:eastAsia="Calibri"/>
          <w:i/>
          <w:color w:val="000000"/>
          <w:lang w:val="sq-AL"/>
        </w:rPr>
        <w:t>.</w:t>
      </w:r>
      <w:r w:rsidRPr="003D2A7F">
        <w:rPr>
          <w:rFonts w:eastAsia="Calibri"/>
          <w:i/>
          <w:color w:val="000000"/>
          <w:lang w:val="sq-AL"/>
        </w:rPr>
        <w:t xml:space="preserve"> </w:t>
      </w:r>
    </w:p>
    <w:p w:rsidR="00A075AB" w:rsidRPr="00C23E9B" w:rsidRDefault="00530A7C" w:rsidP="00A075AB">
      <w:pPr>
        <w:numPr>
          <w:ilvl w:val="1"/>
          <w:numId w:val="45"/>
        </w:numPr>
        <w:spacing w:line="360" w:lineRule="auto"/>
        <w:contextualSpacing/>
        <w:jc w:val="both"/>
        <w:rPr>
          <w:rFonts w:eastAsia="Calibri"/>
          <w:i/>
          <w:color w:val="000000"/>
          <w:lang w:val="sq-AL"/>
        </w:rPr>
      </w:pPr>
      <w:r>
        <w:rPr>
          <w:rFonts w:eastAsia="Calibri"/>
          <w:i/>
          <w:color w:val="000000"/>
          <w:lang w:val="sq-AL"/>
        </w:rPr>
        <w:t>R</w:t>
      </w:r>
      <w:r w:rsidR="00A075AB" w:rsidRPr="00C23E9B">
        <w:rPr>
          <w:rFonts w:eastAsia="Calibri"/>
          <w:i/>
          <w:color w:val="000000"/>
          <w:lang w:val="sq-AL"/>
        </w:rPr>
        <w:t xml:space="preserve">ialokimit të </w:t>
      </w:r>
      <w:r>
        <w:rPr>
          <w:rFonts w:eastAsia="Calibri"/>
          <w:i/>
          <w:color w:val="000000"/>
          <w:lang w:val="sq-AL"/>
        </w:rPr>
        <w:t xml:space="preserve">shpenzimeve kapitale, përkatësisht përmes kalimit të një fondi në masën </w:t>
      </w:r>
      <w:r w:rsidRPr="00530A7C">
        <w:rPr>
          <w:rFonts w:eastAsia="Calibri"/>
          <w:i/>
          <w:color w:val="000000"/>
          <w:lang w:val="sq-AL"/>
        </w:rPr>
        <w:t>3.</w:t>
      </w:r>
      <w:r w:rsidR="00BE34A8">
        <w:rPr>
          <w:rFonts w:eastAsia="Calibri"/>
          <w:i/>
          <w:color w:val="000000"/>
          <w:lang w:val="sq-AL"/>
        </w:rPr>
        <w:t>5</w:t>
      </w:r>
      <w:r w:rsidRPr="00530A7C">
        <w:rPr>
          <w:rFonts w:eastAsia="Calibri"/>
          <w:i/>
          <w:color w:val="000000"/>
          <w:lang w:val="sq-AL"/>
        </w:rPr>
        <w:t xml:space="preserve"> </w:t>
      </w:r>
      <w:r w:rsidR="00A075AB" w:rsidRPr="00530A7C">
        <w:rPr>
          <w:rFonts w:eastAsia="Calibri"/>
          <w:i/>
          <w:color w:val="000000"/>
          <w:lang w:val="sq-AL"/>
        </w:rPr>
        <w:t>miliard LEK</w:t>
      </w:r>
      <w:r w:rsidR="00A075AB" w:rsidRPr="00C23E9B">
        <w:rPr>
          <w:rFonts w:eastAsia="Calibri"/>
          <w:i/>
          <w:color w:val="000000"/>
          <w:lang w:val="sq-AL"/>
        </w:rPr>
        <w:t xml:space="preserve"> tek projektet me financim të brendshëm nga ato me financim të huaj, bazuar në performancën e ulët të këtyre të fundit. Si edhe, alokimit të një fondi në masën 1.3 milard LEK për projektet me financim të brendshëm, i cili përkon me 50% të fondi</w:t>
      </w:r>
      <w:r w:rsidR="00C23E9B">
        <w:rPr>
          <w:rFonts w:eastAsia="Calibri"/>
          <w:i/>
          <w:color w:val="000000"/>
          <w:lang w:val="sq-AL"/>
        </w:rPr>
        <w:t>t të privatizimit të INSIG sh.</w:t>
      </w:r>
      <w:r w:rsidR="00C23E9B" w:rsidRPr="003D2A7F">
        <w:rPr>
          <w:rFonts w:eastAsia="Calibri"/>
          <w:i/>
          <w:color w:val="000000"/>
          <w:lang w:val="sq-AL"/>
        </w:rPr>
        <w:t>a dhe privatizimeve t</w:t>
      </w:r>
      <w:r>
        <w:rPr>
          <w:rFonts w:eastAsia="Calibri"/>
          <w:i/>
          <w:color w:val="000000"/>
          <w:lang w:val="sq-AL"/>
        </w:rPr>
        <w:t>ë</w:t>
      </w:r>
      <w:r w:rsidR="00C23E9B" w:rsidRPr="003D2A7F">
        <w:rPr>
          <w:rFonts w:eastAsia="Calibri"/>
          <w:i/>
          <w:color w:val="000000"/>
          <w:lang w:val="sq-AL"/>
        </w:rPr>
        <w:t xml:space="preserve"> tjera.</w:t>
      </w:r>
      <w:r w:rsidR="00A075AB" w:rsidRPr="003D2A7F">
        <w:rPr>
          <w:rFonts w:eastAsia="Calibri"/>
          <w:i/>
          <w:color w:val="000000"/>
          <w:lang w:val="sq-AL"/>
        </w:rPr>
        <w:t xml:space="preserve"> Pjesa e mbetur prej 50% e po këtij fondi, shkon për</w:t>
      </w:r>
      <w:r w:rsidR="00A075AB" w:rsidRPr="00C23E9B">
        <w:rPr>
          <w:rFonts w:eastAsia="Calibri"/>
          <w:i/>
          <w:color w:val="000000"/>
          <w:lang w:val="sq-AL"/>
        </w:rPr>
        <w:t xml:space="preserve"> reduktimin e defiçitit buxhetor.</w:t>
      </w:r>
    </w:p>
    <w:p w:rsidR="00A075AB" w:rsidRPr="007C40BE" w:rsidRDefault="00A075AB" w:rsidP="00A075AB">
      <w:pPr>
        <w:numPr>
          <w:ilvl w:val="1"/>
          <w:numId w:val="45"/>
        </w:numPr>
        <w:spacing w:line="360" w:lineRule="auto"/>
        <w:contextualSpacing/>
        <w:jc w:val="both"/>
        <w:rPr>
          <w:rFonts w:eastAsia="Calibri"/>
          <w:i/>
          <w:color w:val="000000"/>
          <w:lang w:val="sq-AL"/>
        </w:rPr>
      </w:pPr>
      <w:r w:rsidRPr="007C40BE">
        <w:rPr>
          <w:rFonts w:eastAsia="Calibri"/>
          <w:i/>
          <w:color w:val="000000"/>
          <w:lang w:val="sq-AL"/>
        </w:rPr>
        <w:t>Reduktimi</w:t>
      </w:r>
      <w:r w:rsidR="00530A7C">
        <w:rPr>
          <w:rFonts w:eastAsia="Calibri"/>
          <w:i/>
          <w:color w:val="000000"/>
          <w:lang w:val="sq-AL"/>
        </w:rPr>
        <w:t>t</w:t>
      </w:r>
      <w:r w:rsidRPr="007C40BE">
        <w:rPr>
          <w:rFonts w:eastAsia="Calibri"/>
          <w:i/>
          <w:color w:val="000000"/>
          <w:lang w:val="sq-AL"/>
        </w:rPr>
        <w:t xml:space="preserve"> </w:t>
      </w:r>
      <w:r w:rsidR="00530A7C">
        <w:rPr>
          <w:rFonts w:eastAsia="Calibri"/>
          <w:i/>
          <w:color w:val="000000"/>
          <w:lang w:val="sq-AL"/>
        </w:rPr>
        <w:t>të</w:t>
      </w:r>
      <w:r w:rsidRPr="007C40BE">
        <w:rPr>
          <w:rFonts w:eastAsia="Calibri"/>
          <w:i/>
          <w:color w:val="000000"/>
          <w:lang w:val="sq-AL"/>
        </w:rPr>
        <w:t xml:space="preserve"> huamarrjes nga sektori energjitik me 300 milionë leke, që përfaqëson pjesën e papërdorur të huase së dhëne nga buxheti vitin e kaluar. </w:t>
      </w:r>
    </w:p>
    <w:p w:rsidR="009C7BAA" w:rsidRPr="007C40BE" w:rsidRDefault="009C7BAA" w:rsidP="00BE5905">
      <w:pPr>
        <w:tabs>
          <w:tab w:val="center" w:pos="709"/>
          <w:tab w:val="right" w:pos="8696"/>
        </w:tabs>
        <w:autoSpaceDE w:val="0"/>
        <w:spacing w:line="360" w:lineRule="auto"/>
        <w:jc w:val="both"/>
        <w:rPr>
          <w:b/>
          <w:sz w:val="16"/>
          <w:szCs w:val="16"/>
          <w:lang w:val="sq-AL"/>
        </w:rPr>
      </w:pPr>
    </w:p>
    <w:p w:rsidR="00497E62" w:rsidRPr="007C40BE" w:rsidRDefault="00957515" w:rsidP="00BE5905">
      <w:pPr>
        <w:tabs>
          <w:tab w:val="center" w:pos="709"/>
          <w:tab w:val="right" w:pos="8696"/>
        </w:tabs>
        <w:autoSpaceDE w:val="0"/>
        <w:spacing w:line="360" w:lineRule="auto"/>
        <w:jc w:val="both"/>
        <w:rPr>
          <w:lang w:val="sq-AL"/>
        </w:rPr>
      </w:pPr>
      <w:r w:rsidRPr="007C40BE">
        <w:rPr>
          <w:b/>
          <w:lang w:val="sq-AL"/>
        </w:rPr>
        <w:tab/>
      </w:r>
      <w:r w:rsidR="00497E62" w:rsidRPr="007C40BE">
        <w:rPr>
          <w:b/>
          <w:lang w:val="sq-AL"/>
        </w:rPr>
        <w:t>Si konkluzion</w:t>
      </w:r>
      <w:r w:rsidR="00497E62" w:rsidRPr="007C40BE">
        <w:rPr>
          <w:lang w:val="sq-AL"/>
        </w:rPr>
        <w:t xml:space="preserve">, në gjykimin tonë, ndryshimi i </w:t>
      </w:r>
      <w:r w:rsidR="002266D7" w:rsidRPr="007C40BE">
        <w:rPr>
          <w:lang w:val="sq-AL"/>
        </w:rPr>
        <w:t>ligjit të buxhetit të vitit 201</w:t>
      </w:r>
      <w:r w:rsidR="005176D2" w:rsidRPr="007C40BE">
        <w:rPr>
          <w:lang w:val="sq-AL"/>
        </w:rPr>
        <w:t>6</w:t>
      </w:r>
      <w:r w:rsidR="00497E62" w:rsidRPr="007C40BE">
        <w:rPr>
          <w:lang w:val="sq-AL"/>
        </w:rPr>
        <w:t xml:space="preserve"> bën të mundur arritjen e</w:t>
      </w:r>
      <w:r w:rsidR="0071563C" w:rsidRPr="007C40BE">
        <w:rPr>
          <w:lang w:val="sq-AL"/>
        </w:rPr>
        <w:t xml:space="preserve"> </w:t>
      </w:r>
      <w:r w:rsidR="005176D2" w:rsidRPr="007C40BE">
        <w:rPr>
          <w:lang w:val="sq-AL"/>
        </w:rPr>
        <w:t>kat</w:t>
      </w:r>
      <w:r w:rsidR="00974116" w:rsidRPr="007C40BE">
        <w:rPr>
          <w:lang w:val="sq-AL"/>
        </w:rPr>
        <w:t>ë</w:t>
      </w:r>
      <w:r w:rsidR="005176D2" w:rsidRPr="007C40BE">
        <w:rPr>
          <w:lang w:val="sq-AL"/>
        </w:rPr>
        <w:t>r</w:t>
      </w:r>
      <w:r w:rsidR="00497E62" w:rsidRPr="007C40BE">
        <w:rPr>
          <w:lang w:val="sq-AL"/>
        </w:rPr>
        <w:t xml:space="preserve"> objektivave të rëndësishëm:</w:t>
      </w:r>
    </w:p>
    <w:p w:rsidR="005176D2" w:rsidRPr="007C40BE" w:rsidRDefault="005176D2" w:rsidP="005176D2">
      <w:pPr>
        <w:numPr>
          <w:ilvl w:val="1"/>
          <w:numId w:val="43"/>
        </w:numPr>
        <w:tabs>
          <w:tab w:val="left" w:pos="426"/>
        </w:tabs>
        <w:spacing w:after="200" w:line="360" w:lineRule="auto"/>
        <w:ind w:left="851" w:hanging="425"/>
        <w:contextualSpacing/>
        <w:jc w:val="both"/>
        <w:rPr>
          <w:rFonts w:eastAsia="Calibri"/>
          <w:i/>
          <w:noProof/>
          <w:szCs w:val="26"/>
          <w:lang w:val="sq-AL"/>
        </w:rPr>
      </w:pPr>
      <w:r w:rsidRPr="007C40BE">
        <w:rPr>
          <w:rFonts w:eastAsia="Calibri"/>
          <w:i/>
          <w:noProof/>
          <w:szCs w:val="26"/>
          <w:lang w:val="sq-AL"/>
        </w:rPr>
        <w:t>rritjen e stimujve dhe impulseve të reja për ekonominë në tërësi;</w:t>
      </w:r>
    </w:p>
    <w:p w:rsidR="005176D2" w:rsidRPr="007C40BE" w:rsidRDefault="005176D2" w:rsidP="005176D2">
      <w:pPr>
        <w:numPr>
          <w:ilvl w:val="1"/>
          <w:numId w:val="43"/>
        </w:numPr>
        <w:tabs>
          <w:tab w:val="left" w:pos="426"/>
        </w:tabs>
        <w:spacing w:after="200" w:line="360" w:lineRule="auto"/>
        <w:ind w:left="851" w:hanging="425"/>
        <w:contextualSpacing/>
        <w:jc w:val="both"/>
        <w:rPr>
          <w:rFonts w:eastAsia="Calibri"/>
          <w:i/>
          <w:noProof/>
          <w:szCs w:val="26"/>
          <w:lang w:val="sq-AL"/>
        </w:rPr>
      </w:pPr>
      <w:r w:rsidRPr="007C40BE">
        <w:rPr>
          <w:rFonts w:eastAsia="Calibri"/>
          <w:i/>
          <w:noProof/>
          <w:szCs w:val="26"/>
          <w:lang w:val="sq-AL"/>
        </w:rPr>
        <w:t>rritjen e efiçencës së përdorimit të burimeve publike;</w:t>
      </w:r>
    </w:p>
    <w:p w:rsidR="005176D2" w:rsidRPr="007C40BE" w:rsidRDefault="005176D2" w:rsidP="005176D2">
      <w:pPr>
        <w:numPr>
          <w:ilvl w:val="1"/>
          <w:numId w:val="43"/>
        </w:numPr>
        <w:tabs>
          <w:tab w:val="left" w:pos="426"/>
        </w:tabs>
        <w:spacing w:after="200" w:line="360" w:lineRule="auto"/>
        <w:ind w:left="851" w:hanging="425"/>
        <w:contextualSpacing/>
        <w:jc w:val="both"/>
        <w:rPr>
          <w:rFonts w:eastAsia="Calibri"/>
          <w:i/>
          <w:noProof/>
          <w:szCs w:val="26"/>
          <w:lang w:val="sq-AL"/>
        </w:rPr>
      </w:pPr>
      <w:r w:rsidRPr="007C40BE">
        <w:rPr>
          <w:rFonts w:eastAsia="Calibri"/>
          <w:i/>
          <w:noProof/>
          <w:szCs w:val="26"/>
          <w:lang w:val="sq-AL"/>
        </w:rPr>
        <w:t xml:space="preserve">rritjen e sigurisë në realizimin e treguesve të buxhetit; </w:t>
      </w:r>
    </w:p>
    <w:p w:rsidR="005D5D0D" w:rsidRPr="005D5D0D" w:rsidRDefault="005176D2" w:rsidP="005D5D0D">
      <w:pPr>
        <w:numPr>
          <w:ilvl w:val="1"/>
          <w:numId w:val="43"/>
        </w:numPr>
        <w:tabs>
          <w:tab w:val="left" w:pos="426"/>
        </w:tabs>
        <w:spacing w:after="200" w:line="360" w:lineRule="auto"/>
        <w:ind w:left="851" w:hanging="425"/>
        <w:contextualSpacing/>
        <w:jc w:val="both"/>
        <w:rPr>
          <w:rFonts w:eastAsia="Calibri"/>
          <w:i/>
          <w:noProof/>
          <w:szCs w:val="26"/>
          <w:lang w:val="sq-AL"/>
        </w:rPr>
      </w:pPr>
      <w:r w:rsidRPr="007C40BE">
        <w:rPr>
          <w:rFonts w:eastAsia="Calibri"/>
          <w:i/>
          <w:noProof/>
          <w:szCs w:val="26"/>
          <w:lang w:val="sq-AL"/>
        </w:rPr>
        <w:t>nxitjen e zhvillimit të sektorëve prioritarë.</w:t>
      </w:r>
    </w:p>
    <w:p w:rsidR="007B33A7" w:rsidRPr="007C40BE" w:rsidRDefault="007B33A7" w:rsidP="00BE5905">
      <w:pPr>
        <w:tabs>
          <w:tab w:val="center" w:pos="709"/>
          <w:tab w:val="right" w:pos="8696"/>
        </w:tabs>
        <w:autoSpaceDE w:val="0"/>
        <w:spacing w:line="360" w:lineRule="auto"/>
        <w:jc w:val="both"/>
        <w:rPr>
          <w:i/>
        </w:rPr>
      </w:pPr>
    </w:p>
    <w:p w:rsidR="007B33A7" w:rsidRPr="007C40BE" w:rsidRDefault="007B33A7" w:rsidP="00BE5905">
      <w:pPr>
        <w:tabs>
          <w:tab w:val="center" w:pos="709"/>
          <w:tab w:val="right" w:pos="8696"/>
        </w:tabs>
        <w:autoSpaceDE w:val="0"/>
        <w:spacing w:line="360" w:lineRule="auto"/>
        <w:jc w:val="both"/>
        <w:rPr>
          <w:i/>
        </w:rPr>
      </w:pPr>
    </w:p>
    <w:bookmarkEnd w:id="9"/>
    <w:p w:rsidR="005D5D0D" w:rsidRDefault="00BC75C2" w:rsidP="00BE5905">
      <w:pPr>
        <w:spacing w:line="360" w:lineRule="auto"/>
        <w:ind w:left="5760"/>
        <w:rPr>
          <w:b/>
          <w:noProof/>
          <w:sz w:val="28"/>
          <w:lang w:val="sq-AL"/>
        </w:rPr>
      </w:pPr>
      <w:r w:rsidRPr="007C40BE">
        <w:rPr>
          <w:b/>
          <w:noProof/>
          <w:sz w:val="28"/>
          <w:lang w:val="sq-AL"/>
        </w:rPr>
        <w:t>MINIST</w:t>
      </w:r>
      <w:r w:rsidR="00B44082" w:rsidRPr="007C40BE">
        <w:rPr>
          <w:b/>
          <w:noProof/>
          <w:sz w:val="28"/>
          <w:lang w:val="sq-AL"/>
        </w:rPr>
        <w:t>Ë</w:t>
      </w:r>
      <w:r w:rsidRPr="007C40BE">
        <w:rPr>
          <w:b/>
          <w:noProof/>
          <w:sz w:val="28"/>
          <w:lang w:val="sq-AL"/>
        </w:rPr>
        <w:t>R</w:t>
      </w:r>
      <w:r w:rsidR="004D0F7B" w:rsidRPr="007C40BE">
        <w:rPr>
          <w:b/>
          <w:noProof/>
          <w:sz w:val="28"/>
          <w:lang w:val="sq-AL"/>
        </w:rPr>
        <w:t xml:space="preserve"> I</w:t>
      </w:r>
      <w:r w:rsidRPr="007C40BE">
        <w:rPr>
          <w:b/>
          <w:noProof/>
          <w:sz w:val="28"/>
          <w:lang w:val="sq-AL"/>
        </w:rPr>
        <w:t xml:space="preserve"> FINANCAVE</w:t>
      </w:r>
    </w:p>
    <w:p w:rsidR="00C919C6" w:rsidRPr="007C40BE" w:rsidRDefault="00C919C6" w:rsidP="00BE5905">
      <w:pPr>
        <w:spacing w:line="360" w:lineRule="auto"/>
        <w:ind w:left="5760"/>
        <w:rPr>
          <w:b/>
          <w:noProof/>
          <w:sz w:val="28"/>
          <w:lang w:val="sq-AL"/>
        </w:rPr>
      </w:pPr>
    </w:p>
    <w:p w:rsidR="008C4ECE" w:rsidRPr="007C40BE" w:rsidRDefault="00F43985" w:rsidP="00BE5905">
      <w:pPr>
        <w:spacing w:line="360" w:lineRule="auto"/>
        <w:ind w:left="5760"/>
        <w:rPr>
          <w:b/>
          <w:noProof/>
          <w:sz w:val="28"/>
          <w:lang w:val="sq-AL"/>
        </w:rPr>
      </w:pPr>
      <w:r>
        <w:rPr>
          <w:b/>
          <w:noProof/>
          <w:sz w:val="28"/>
          <w:lang w:val="sq-AL"/>
        </w:rPr>
        <w:t>_______</w:t>
      </w:r>
      <w:r w:rsidR="008C4ECE" w:rsidRPr="007C40BE">
        <w:rPr>
          <w:b/>
          <w:noProof/>
          <w:sz w:val="28"/>
          <w:lang w:val="sq-AL"/>
        </w:rPr>
        <w:t>_________________</w:t>
      </w:r>
    </w:p>
    <w:p w:rsidR="00332D80" w:rsidRDefault="00C467EE" w:rsidP="00F43985">
      <w:pPr>
        <w:spacing w:line="360" w:lineRule="auto"/>
        <w:ind w:left="5760"/>
        <w:jc w:val="both"/>
        <w:rPr>
          <w:i/>
          <w:noProof/>
          <w:sz w:val="16"/>
          <w:szCs w:val="16"/>
          <w:lang w:val="sq-AL"/>
        </w:rPr>
      </w:pPr>
      <w:r w:rsidRPr="007C40BE">
        <w:rPr>
          <w:b/>
          <w:noProof/>
          <w:sz w:val="28"/>
          <w:lang w:val="sq-AL"/>
        </w:rPr>
        <w:t xml:space="preserve">     ARBEN AHMETAJ</w:t>
      </w:r>
    </w:p>
    <w:p w:rsidR="001B01EC" w:rsidRDefault="001B01EC">
      <w:pPr>
        <w:spacing w:line="360" w:lineRule="auto"/>
        <w:jc w:val="both"/>
        <w:rPr>
          <w:i/>
          <w:noProof/>
          <w:sz w:val="16"/>
          <w:szCs w:val="16"/>
          <w:lang w:val="sq-AL"/>
        </w:rPr>
      </w:pPr>
    </w:p>
    <w:sectPr w:rsidR="001B01EC" w:rsidSect="00196CE5">
      <w:footerReference w:type="even" r:id="rId23"/>
      <w:footerReference w:type="default" r:id="rId24"/>
      <w:pgSz w:w="12240" w:h="15840"/>
      <w:pgMar w:top="851" w:right="1440" w:bottom="851" w:left="1440" w:header="720" w:footer="720" w:gutter="0"/>
      <w:pgNumType w:fmt="numberInDash"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5745" w:rsidRDefault="000F5745">
      <w:r>
        <w:separator/>
      </w:r>
    </w:p>
  </w:endnote>
  <w:endnote w:type="continuationSeparator" w:id="0">
    <w:p w:rsidR="000F5745" w:rsidRDefault="000F57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EE"/>
    <w:family w:val="swiss"/>
    <w:pitch w:val="variable"/>
    <w:sig w:usb0="E10002FF" w:usb1="4000ACFF" w:usb2="00000009" w:usb3="00000000" w:csb0="0000019F" w:csb1="00000000"/>
  </w:font>
  <w:font w:name="Arial Black">
    <w:panose1 w:val="020B0A04020102020204"/>
    <w:charset w:val="EE"/>
    <w:family w:val="swiss"/>
    <w:pitch w:val="variable"/>
    <w:sig w:usb0="00000287" w:usb1="00000000" w:usb2="00000000" w:usb3="00000000" w:csb0="0000009F" w:csb1="00000000"/>
  </w:font>
  <w:font w:name="Sylfaen">
    <w:panose1 w:val="010A0502050306030303"/>
    <w:charset w:val="EE"/>
    <w:family w:val="roman"/>
    <w:pitch w:val="variable"/>
    <w:sig w:usb0="040006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F51" w:rsidRDefault="002B2F51" w:rsidP="00C506D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B2F51" w:rsidRDefault="002B2F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F51" w:rsidRDefault="002B2F51" w:rsidP="00212509">
    <w:pPr>
      <w:pStyle w:val="Footer"/>
      <w:jc w:val="right"/>
    </w:pPr>
    <w:r>
      <w:t>Faqe</w:t>
    </w:r>
    <w:r>
      <w:rPr>
        <w:b/>
        <w:bCs/>
      </w:rPr>
      <w:fldChar w:fldCharType="begin"/>
    </w:r>
    <w:r>
      <w:rPr>
        <w:b/>
        <w:bCs/>
      </w:rPr>
      <w:instrText xml:space="preserve"> PAGE </w:instrText>
    </w:r>
    <w:r>
      <w:rPr>
        <w:b/>
        <w:bCs/>
      </w:rPr>
      <w:fldChar w:fldCharType="separate"/>
    </w:r>
    <w:r w:rsidR="00231371">
      <w:rPr>
        <w:b/>
        <w:bCs/>
        <w:noProof/>
      </w:rPr>
      <w:t>- 20 -</w:t>
    </w:r>
    <w:r>
      <w:rPr>
        <w:b/>
        <w:bCs/>
      </w:rPr>
      <w:fldChar w:fldCharType="end"/>
    </w:r>
    <w:r>
      <w:t xml:space="preserve"> nga </w:t>
    </w:r>
    <w:r>
      <w:rPr>
        <w:b/>
        <w:bCs/>
      </w:rPr>
      <w:fldChar w:fldCharType="begin"/>
    </w:r>
    <w:r>
      <w:rPr>
        <w:b/>
        <w:bCs/>
      </w:rPr>
      <w:instrText xml:space="preserve"> NUMPAGES  </w:instrText>
    </w:r>
    <w:r>
      <w:rPr>
        <w:b/>
        <w:bCs/>
      </w:rPr>
      <w:fldChar w:fldCharType="separate"/>
    </w:r>
    <w:r w:rsidR="00231371">
      <w:rPr>
        <w:b/>
        <w:bCs/>
        <w:noProof/>
      </w:rPr>
      <w:t>21</w:t>
    </w:r>
    <w:r>
      <w:rPr>
        <w:b/>
        <w:bCs/>
      </w:rPr>
      <w:fldChar w:fldCharType="end"/>
    </w:r>
  </w:p>
  <w:p w:rsidR="002B2F51" w:rsidRDefault="002B2F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5745" w:rsidRDefault="000F5745">
      <w:r>
        <w:separator/>
      </w:r>
    </w:p>
  </w:footnote>
  <w:footnote w:type="continuationSeparator" w:id="0">
    <w:p w:rsidR="000F5745" w:rsidRDefault="000F5745">
      <w:r>
        <w:continuationSeparator/>
      </w:r>
    </w:p>
  </w:footnote>
  <w:footnote w:id="1">
    <w:p w:rsidR="002B2F51" w:rsidRPr="007D035A" w:rsidRDefault="002B2F51" w:rsidP="00EA214F">
      <w:pPr>
        <w:pStyle w:val="FootnoteText"/>
      </w:pPr>
      <w:r w:rsidRPr="007D035A">
        <w:rPr>
          <w:rStyle w:val="FootnoteReference"/>
        </w:rPr>
        <w:footnoteRef/>
      </w:r>
      <w:r w:rsidRPr="007D035A">
        <w:t xml:space="preserve"> Vendimi i Gjykatës Kushtetuese </w:t>
      </w:r>
      <w:r>
        <w:rPr>
          <w:lang w:val="sq-AL"/>
        </w:rPr>
        <w:t>N</w:t>
      </w:r>
      <w:r w:rsidRPr="007D035A">
        <w:rPr>
          <w:lang w:val="sq-AL"/>
        </w:rPr>
        <w:t>r. 24, datë 10.11.2006,</w:t>
      </w:r>
    </w:p>
  </w:footnote>
  <w:footnote w:id="2">
    <w:p w:rsidR="008D4E64" w:rsidRDefault="008D4E64" w:rsidP="008D4E64">
      <w:pPr>
        <w:pStyle w:val="FootnoteText"/>
      </w:pPr>
      <w:r>
        <w:rPr>
          <w:rStyle w:val="FootnoteReference"/>
        </w:rPr>
        <w:footnoteRef/>
      </w:r>
      <w:r>
        <w:t xml:space="preserve"> Vlerësuar me PBB vjetore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2AC"/>
      </v:shape>
    </w:pict>
  </w:numPicBullet>
  <w:abstractNum w:abstractNumId="0">
    <w:nsid w:val="00D2200A"/>
    <w:multiLevelType w:val="hybridMultilevel"/>
    <w:tmpl w:val="D45AFB18"/>
    <w:lvl w:ilvl="0" w:tplc="5B70377A">
      <w:start w:val="1"/>
      <w:numFmt w:val="bullet"/>
      <w:lvlText w:val="•"/>
      <w:lvlJc w:val="left"/>
      <w:pPr>
        <w:tabs>
          <w:tab w:val="num" w:pos="720"/>
        </w:tabs>
        <w:ind w:left="720" w:hanging="360"/>
      </w:pPr>
      <w:rPr>
        <w:rFonts w:ascii="Arial" w:hAnsi="Arial" w:hint="default"/>
      </w:rPr>
    </w:lvl>
    <w:lvl w:ilvl="1" w:tplc="CBC4BBD2">
      <w:start w:val="1005"/>
      <w:numFmt w:val="bullet"/>
      <w:lvlText w:val="–"/>
      <w:lvlJc w:val="left"/>
      <w:pPr>
        <w:tabs>
          <w:tab w:val="num" w:pos="1440"/>
        </w:tabs>
        <w:ind w:left="1440" w:hanging="360"/>
      </w:pPr>
      <w:rPr>
        <w:rFonts w:ascii="Arial" w:hAnsi="Arial" w:hint="default"/>
      </w:rPr>
    </w:lvl>
    <w:lvl w:ilvl="2" w:tplc="0A363AAA" w:tentative="1">
      <w:start w:val="1"/>
      <w:numFmt w:val="bullet"/>
      <w:lvlText w:val="•"/>
      <w:lvlJc w:val="left"/>
      <w:pPr>
        <w:tabs>
          <w:tab w:val="num" w:pos="2160"/>
        </w:tabs>
        <w:ind w:left="2160" w:hanging="360"/>
      </w:pPr>
      <w:rPr>
        <w:rFonts w:ascii="Arial" w:hAnsi="Arial" w:hint="default"/>
      </w:rPr>
    </w:lvl>
    <w:lvl w:ilvl="3" w:tplc="E18C5B6C" w:tentative="1">
      <w:start w:val="1"/>
      <w:numFmt w:val="bullet"/>
      <w:lvlText w:val="•"/>
      <w:lvlJc w:val="left"/>
      <w:pPr>
        <w:tabs>
          <w:tab w:val="num" w:pos="2880"/>
        </w:tabs>
        <w:ind w:left="2880" w:hanging="360"/>
      </w:pPr>
      <w:rPr>
        <w:rFonts w:ascii="Arial" w:hAnsi="Arial" w:hint="default"/>
      </w:rPr>
    </w:lvl>
    <w:lvl w:ilvl="4" w:tplc="CBAAE042" w:tentative="1">
      <w:start w:val="1"/>
      <w:numFmt w:val="bullet"/>
      <w:lvlText w:val="•"/>
      <w:lvlJc w:val="left"/>
      <w:pPr>
        <w:tabs>
          <w:tab w:val="num" w:pos="3600"/>
        </w:tabs>
        <w:ind w:left="3600" w:hanging="360"/>
      </w:pPr>
      <w:rPr>
        <w:rFonts w:ascii="Arial" w:hAnsi="Arial" w:hint="default"/>
      </w:rPr>
    </w:lvl>
    <w:lvl w:ilvl="5" w:tplc="D13CA3B4" w:tentative="1">
      <w:start w:val="1"/>
      <w:numFmt w:val="bullet"/>
      <w:lvlText w:val="•"/>
      <w:lvlJc w:val="left"/>
      <w:pPr>
        <w:tabs>
          <w:tab w:val="num" w:pos="4320"/>
        </w:tabs>
        <w:ind w:left="4320" w:hanging="360"/>
      </w:pPr>
      <w:rPr>
        <w:rFonts w:ascii="Arial" w:hAnsi="Arial" w:hint="default"/>
      </w:rPr>
    </w:lvl>
    <w:lvl w:ilvl="6" w:tplc="D70449D4" w:tentative="1">
      <w:start w:val="1"/>
      <w:numFmt w:val="bullet"/>
      <w:lvlText w:val="•"/>
      <w:lvlJc w:val="left"/>
      <w:pPr>
        <w:tabs>
          <w:tab w:val="num" w:pos="5040"/>
        </w:tabs>
        <w:ind w:left="5040" w:hanging="360"/>
      </w:pPr>
      <w:rPr>
        <w:rFonts w:ascii="Arial" w:hAnsi="Arial" w:hint="default"/>
      </w:rPr>
    </w:lvl>
    <w:lvl w:ilvl="7" w:tplc="D346CC08" w:tentative="1">
      <w:start w:val="1"/>
      <w:numFmt w:val="bullet"/>
      <w:lvlText w:val="•"/>
      <w:lvlJc w:val="left"/>
      <w:pPr>
        <w:tabs>
          <w:tab w:val="num" w:pos="5760"/>
        </w:tabs>
        <w:ind w:left="5760" w:hanging="360"/>
      </w:pPr>
      <w:rPr>
        <w:rFonts w:ascii="Arial" w:hAnsi="Arial" w:hint="default"/>
      </w:rPr>
    </w:lvl>
    <w:lvl w:ilvl="8" w:tplc="E9EA5BF4" w:tentative="1">
      <w:start w:val="1"/>
      <w:numFmt w:val="bullet"/>
      <w:lvlText w:val="•"/>
      <w:lvlJc w:val="left"/>
      <w:pPr>
        <w:tabs>
          <w:tab w:val="num" w:pos="6480"/>
        </w:tabs>
        <w:ind w:left="6480" w:hanging="360"/>
      </w:pPr>
      <w:rPr>
        <w:rFonts w:ascii="Arial" w:hAnsi="Arial" w:hint="default"/>
      </w:rPr>
    </w:lvl>
  </w:abstractNum>
  <w:abstractNum w:abstractNumId="1">
    <w:nsid w:val="02F340C6"/>
    <w:multiLevelType w:val="hybridMultilevel"/>
    <w:tmpl w:val="25C0A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7626B7"/>
    <w:multiLevelType w:val="hybridMultilevel"/>
    <w:tmpl w:val="DA685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B6412E"/>
    <w:multiLevelType w:val="hybridMultilevel"/>
    <w:tmpl w:val="727A0AD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BCF2847"/>
    <w:multiLevelType w:val="hybridMultilevel"/>
    <w:tmpl w:val="F10E43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3C1008"/>
    <w:multiLevelType w:val="hybridMultilevel"/>
    <w:tmpl w:val="630658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0C0292"/>
    <w:multiLevelType w:val="hybridMultilevel"/>
    <w:tmpl w:val="9B8A932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3E03FBB"/>
    <w:multiLevelType w:val="hybridMultilevel"/>
    <w:tmpl w:val="53F2E730"/>
    <w:lvl w:ilvl="0" w:tplc="920EB908">
      <w:start w:val="1005"/>
      <w:numFmt w:val="bullet"/>
      <w:lvlText w:val="–"/>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DC5062"/>
    <w:multiLevelType w:val="hybridMultilevel"/>
    <w:tmpl w:val="021C5998"/>
    <w:lvl w:ilvl="0" w:tplc="920EB908">
      <w:start w:val="1005"/>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0969CD"/>
    <w:multiLevelType w:val="hybridMultilevel"/>
    <w:tmpl w:val="4D6C8EA8"/>
    <w:lvl w:ilvl="0" w:tplc="61403980">
      <w:start w:val="1"/>
      <w:numFmt w:val="bullet"/>
      <w:lvlText w:val="•"/>
      <w:lvlJc w:val="left"/>
      <w:pPr>
        <w:tabs>
          <w:tab w:val="num" w:pos="720"/>
        </w:tabs>
        <w:ind w:left="720" w:hanging="360"/>
      </w:pPr>
      <w:rPr>
        <w:rFonts w:ascii="Arial" w:hAnsi="Arial" w:hint="default"/>
      </w:rPr>
    </w:lvl>
    <w:lvl w:ilvl="1" w:tplc="63728B00" w:tentative="1">
      <w:start w:val="1"/>
      <w:numFmt w:val="bullet"/>
      <w:lvlText w:val="•"/>
      <w:lvlJc w:val="left"/>
      <w:pPr>
        <w:tabs>
          <w:tab w:val="num" w:pos="1440"/>
        </w:tabs>
        <w:ind w:left="1440" w:hanging="360"/>
      </w:pPr>
      <w:rPr>
        <w:rFonts w:ascii="Arial" w:hAnsi="Arial" w:hint="default"/>
      </w:rPr>
    </w:lvl>
    <w:lvl w:ilvl="2" w:tplc="1E8C438C" w:tentative="1">
      <w:start w:val="1"/>
      <w:numFmt w:val="bullet"/>
      <w:lvlText w:val="•"/>
      <w:lvlJc w:val="left"/>
      <w:pPr>
        <w:tabs>
          <w:tab w:val="num" w:pos="2160"/>
        </w:tabs>
        <w:ind w:left="2160" w:hanging="360"/>
      </w:pPr>
      <w:rPr>
        <w:rFonts w:ascii="Arial" w:hAnsi="Arial" w:hint="default"/>
      </w:rPr>
    </w:lvl>
    <w:lvl w:ilvl="3" w:tplc="DC6CB78E" w:tentative="1">
      <w:start w:val="1"/>
      <w:numFmt w:val="bullet"/>
      <w:lvlText w:val="•"/>
      <w:lvlJc w:val="left"/>
      <w:pPr>
        <w:tabs>
          <w:tab w:val="num" w:pos="2880"/>
        </w:tabs>
        <w:ind w:left="2880" w:hanging="360"/>
      </w:pPr>
      <w:rPr>
        <w:rFonts w:ascii="Arial" w:hAnsi="Arial" w:hint="default"/>
      </w:rPr>
    </w:lvl>
    <w:lvl w:ilvl="4" w:tplc="71BEE988" w:tentative="1">
      <w:start w:val="1"/>
      <w:numFmt w:val="bullet"/>
      <w:lvlText w:val="•"/>
      <w:lvlJc w:val="left"/>
      <w:pPr>
        <w:tabs>
          <w:tab w:val="num" w:pos="3600"/>
        </w:tabs>
        <w:ind w:left="3600" w:hanging="360"/>
      </w:pPr>
      <w:rPr>
        <w:rFonts w:ascii="Arial" w:hAnsi="Arial" w:hint="default"/>
      </w:rPr>
    </w:lvl>
    <w:lvl w:ilvl="5" w:tplc="8C980F22" w:tentative="1">
      <w:start w:val="1"/>
      <w:numFmt w:val="bullet"/>
      <w:lvlText w:val="•"/>
      <w:lvlJc w:val="left"/>
      <w:pPr>
        <w:tabs>
          <w:tab w:val="num" w:pos="4320"/>
        </w:tabs>
        <w:ind w:left="4320" w:hanging="360"/>
      </w:pPr>
      <w:rPr>
        <w:rFonts w:ascii="Arial" w:hAnsi="Arial" w:hint="default"/>
      </w:rPr>
    </w:lvl>
    <w:lvl w:ilvl="6" w:tplc="F90860F2" w:tentative="1">
      <w:start w:val="1"/>
      <w:numFmt w:val="bullet"/>
      <w:lvlText w:val="•"/>
      <w:lvlJc w:val="left"/>
      <w:pPr>
        <w:tabs>
          <w:tab w:val="num" w:pos="5040"/>
        </w:tabs>
        <w:ind w:left="5040" w:hanging="360"/>
      </w:pPr>
      <w:rPr>
        <w:rFonts w:ascii="Arial" w:hAnsi="Arial" w:hint="default"/>
      </w:rPr>
    </w:lvl>
    <w:lvl w:ilvl="7" w:tplc="851AA332" w:tentative="1">
      <w:start w:val="1"/>
      <w:numFmt w:val="bullet"/>
      <w:lvlText w:val="•"/>
      <w:lvlJc w:val="left"/>
      <w:pPr>
        <w:tabs>
          <w:tab w:val="num" w:pos="5760"/>
        </w:tabs>
        <w:ind w:left="5760" w:hanging="360"/>
      </w:pPr>
      <w:rPr>
        <w:rFonts w:ascii="Arial" w:hAnsi="Arial" w:hint="default"/>
      </w:rPr>
    </w:lvl>
    <w:lvl w:ilvl="8" w:tplc="26480D64" w:tentative="1">
      <w:start w:val="1"/>
      <w:numFmt w:val="bullet"/>
      <w:lvlText w:val="•"/>
      <w:lvlJc w:val="left"/>
      <w:pPr>
        <w:tabs>
          <w:tab w:val="num" w:pos="6480"/>
        </w:tabs>
        <w:ind w:left="6480" w:hanging="360"/>
      </w:pPr>
      <w:rPr>
        <w:rFonts w:ascii="Arial" w:hAnsi="Arial" w:hint="default"/>
      </w:rPr>
    </w:lvl>
  </w:abstractNum>
  <w:abstractNum w:abstractNumId="10">
    <w:nsid w:val="21643E92"/>
    <w:multiLevelType w:val="hybridMultilevel"/>
    <w:tmpl w:val="66DC5C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1F3C05"/>
    <w:multiLevelType w:val="hybridMultilevel"/>
    <w:tmpl w:val="9600F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801201"/>
    <w:multiLevelType w:val="hybridMultilevel"/>
    <w:tmpl w:val="E160C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CF2788"/>
    <w:multiLevelType w:val="hybridMultilevel"/>
    <w:tmpl w:val="6DF00562"/>
    <w:lvl w:ilvl="0" w:tplc="041C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580EAC"/>
    <w:multiLevelType w:val="hybridMultilevel"/>
    <w:tmpl w:val="FBD25E38"/>
    <w:lvl w:ilvl="0" w:tplc="F19201BA">
      <w:start w:val="1"/>
      <w:numFmt w:val="bullet"/>
      <w:lvlText w:val="•"/>
      <w:lvlJc w:val="left"/>
      <w:pPr>
        <w:tabs>
          <w:tab w:val="num" w:pos="720"/>
        </w:tabs>
        <w:ind w:left="720" w:hanging="360"/>
      </w:pPr>
      <w:rPr>
        <w:rFonts w:ascii="Arial" w:hAnsi="Arial" w:hint="default"/>
      </w:rPr>
    </w:lvl>
    <w:lvl w:ilvl="1" w:tplc="BB788C46" w:tentative="1">
      <w:start w:val="1"/>
      <w:numFmt w:val="bullet"/>
      <w:lvlText w:val="•"/>
      <w:lvlJc w:val="left"/>
      <w:pPr>
        <w:tabs>
          <w:tab w:val="num" w:pos="1440"/>
        </w:tabs>
        <w:ind w:left="1440" w:hanging="360"/>
      </w:pPr>
      <w:rPr>
        <w:rFonts w:ascii="Arial" w:hAnsi="Arial" w:hint="default"/>
      </w:rPr>
    </w:lvl>
    <w:lvl w:ilvl="2" w:tplc="BEF8DA06" w:tentative="1">
      <w:start w:val="1"/>
      <w:numFmt w:val="bullet"/>
      <w:lvlText w:val="•"/>
      <w:lvlJc w:val="left"/>
      <w:pPr>
        <w:tabs>
          <w:tab w:val="num" w:pos="2160"/>
        </w:tabs>
        <w:ind w:left="2160" w:hanging="360"/>
      </w:pPr>
      <w:rPr>
        <w:rFonts w:ascii="Arial" w:hAnsi="Arial" w:hint="default"/>
      </w:rPr>
    </w:lvl>
    <w:lvl w:ilvl="3" w:tplc="CBFC130E" w:tentative="1">
      <w:start w:val="1"/>
      <w:numFmt w:val="bullet"/>
      <w:lvlText w:val="•"/>
      <w:lvlJc w:val="left"/>
      <w:pPr>
        <w:tabs>
          <w:tab w:val="num" w:pos="2880"/>
        </w:tabs>
        <w:ind w:left="2880" w:hanging="360"/>
      </w:pPr>
      <w:rPr>
        <w:rFonts w:ascii="Arial" w:hAnsi="Arial" w:hint="default"/>
      </w:rPr>
    </w:lvl>
    <w:lvl w:ilvl="4" w:tplc="7E420842" w:tentative="1">
      <w:start w:val="1"/>
      <w:numFmt w:val="bullet"/>
      <w:lvlText w:val="•"/>
      <w:lvlJc w:val="left"/>
      <w:pPr>
        <w:tabs>
          <w:tab w:val="num" w:pos="3600"/>
        </w:tabs>
        <w:ind w:left="3600" w:hanging="360"/>
      </w:pPr>
      <w:rPr>
        <w:rFonts w:ascii="Arial" w:hAnsi="Arial" w:hint="default"/>
      </w:rPr>
    </w:lvl>
    <w:lvl w:ilvl="5" w:tplc="3DB256C6" w:tentative="1">
      <w:start w:val="1"/>
      <w:numFmt w:val="bullet"/>
      <w:lvlText w:val="•"/>
      <w:lvlJc w:val="left"/>
      <w:pPr>
        <w:tabs>
          <w:tab w:val="num" w:pos="4320"/>
        </w:tabs>
        <w:ind w:left="4320" w:hanging="360"/>
      </w:pPr>
      <w:rPr>
        <w:rFonts w:ascii="Arial" w:hAnsi="Arial" w:hint="default"/>
      </w:rPr>
    </w:lvl>
    <w:lvl w:ilvl="6" w:tplc="6B3A0A78" w:tentative="1">
      <w:start w:val="1"/>
      <w:numFmt w:val="bullet"/>
      <w:lvlText w:val="•"/>
      <w:lvlJc w:val="left"/>
      <w:pPr>
        <w:tabs>
          <w:tab w:val="num" w:pos="5040"/>
        </w:tabs>
        <w:ind w:left="5040" w:hanging="360"/>
      </w:pPr>
      <w:rPr>
        <w:rFonts w:ascii="Arial" w:hAnsi="Arial" w:hint="default"/>
      </w:rPr>
    </w:lvl>
    <w:lvl w:ilvl="7" w:tplc="E69A4DEA" w:tentative="1">
      <w:start w:val="1"/>
      <w:numFmt w:val="bullet"/>
      <w:lvlText w:val="•"/>
      <w:lvlJc w:val="left"/>
      <w:pPr>
        <w:tabs>
          <w:tab w:val="num" w:pos="5760"/>
        </w:tabs>
        <w:ind w:left="5760" w:hanging="360"/>
      </w:pPr>
      <w:rPr>
        <w:rFonts w:ascii="Arial" w:hAnsi="Arial" w:hint="default"/>
      </w:rPr>
    </w:lvl>
    <w:lvl w:ilvl="8" w:tplc="74184762" w:tentative="1">
      <w:start w:val="1"/>
      <w:numFmt w:val="bullet"/>
      <w:lvlText w:val="•"/>
      <w:lvlJc w:val="left"/>
      <w:pPr>
        <w:tabs>
          <w:tab w:val="num" w:pos="6480"/>
        </w:tabs>
        <w:ind w:left="6480" w:hanging="360"/>
      </w:pPr>
      <w:rPr>
        <w:rFonts w:ascii="Arial" w:hAnsi="Arial" w:hint="default"/>
      </w:rPr>
    </w:lvl>
  </w:abstractNum>
  <w:abstractNum w:abstractNumId="15">
    <w:nsid w:val="303518A1"/>
    <w:multiLevelType w:val="hybridMultilevel"/>
    <w:tmpl w:val="EBF47468"/>
    <w:lvl w:ilvl="0" w:tplc="1EE0DE24">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67B410D"/>
    <w:multiLevelType w:val="hybridMultilevel"/>
    <w:tmpl w:val="80B89CA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pStyle w:val="Heading3"/>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3D74BC2"/>
    <w:multiLevelType w:val="hybridMultilevel"/>
    <w:tmpl w:val="2F1EE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6D17C77"/>
    <w:multiLevelType w:val="hybridMultilevel"/>
    <w:tmpl w:val="9768F5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22018C"/>
    <w:multiLevelType w:val="hybridMultilevel"/>
    <w:tmpl w:val="0C2E95EE"/>
    <w:lvl w:ilvl="0" w:tplc="46AA7AFC">
      <w:start w:val="1"/>
      <w:numFmt w:val="bullet"/>
      <w:lvlText w:val="•"/>
      <w:lvlJc w:val="left"/>
      <w:pPr>
        <w:tabs>
          <w:tab w:val="num" w:pos="720"/>
        </w:tabs>
        <w:ind w:left="720" w:hanging="360"/>
      </w:pPr>
      <w:rPr>
        <w:rFonts w:ascii="Arial" w:hAnsi="Arial" w:hint="default"/>
      </w:rPr>
    </w:lvl>
    <w:lvl w:ilvl="1" w:tplc="8740445A" w:tentative="1">
      <w:start w:val="1"/>
      <w:numFmt w:val="bullet"/>
      <w:lvlText w:val="•"/>
      <w:lvlJc w:val="left"/>
      <w:pPr>
        <w:tabs>
          <w:tab w:val="num" w:pos="1440"/>
        </w:tabs>
        <w:ind w:left="1440" w:hanging="360"/>
      </w:pPr>
      <w:rPr>
        <w:rFonts w:ascii="Arial" w:hAnsi="Arial" w:hint="default"/>
      </w:rPr>
    </w:lvl>
    <w:lvl w:ilvl="2" w:tplc="C2165450" w:tentative="1">
      <w:start w:val="1"/>
      <w:numFmt w:val="bullet"/>
      <w:lvlText w:val="•"/>
      <w:lvlJc w:val="left"/>
      <w:pPr>
        <w:tabs>
          <w:tab w:val="num" w:pos="2160"/>
        </w:tabs>
        <w:ind w:left="2160" w:hanging="360"/>
      </w:pPr>
      <w:rPr>
        <w:rFonts w:ascii="Arial" w:hAnsi="Arial" w:hint="default"/>
      </w:rPr>
    </w:lvl>
    <w:lvl w:ilvl="3" w:tplc="F08AA4B0" w:tentative="1">
      <w:start w:val="1"/>
      <w:numFmt w:val="bullet"/>
      <w:lvlText w:val="•"/>
      <w:lvlJc w:val="left"/>
      <w:pPr>
        <w:tabs>
          <w:tab w:val="num" w:pos="2880"/>
        </w:tabs>
        <w:ind w:left="2880" w:hanging="360"/>
      </w:pPr>
      <w:rPr>
        <w:rFonts w:ascii="Arial" w:hAnsi="Arial" w:hint="default"/>
      </w:rPr>
    </w:lvl>
    <w:lvl w:ilvl="4" w:tplc="65C6D576" w:tentative="1">
      <w:start w:val="1"/>
      <w:numFmt w:val="bullet"/>
      <w:lvlText w:val="•"/>
      <w:lvlJc w:val="left"/>
      <w:pPr>
        <w:tabs>
          <w:tab w:val="num" w:pos="3600"/>
        </w:tabs>
        <w:ind w:left="3600" w:hanging="360"/>
      </w:pPr>
      <w:rPr>
        <w:rFonts w:ascii="Arial" w:hAnsi="Arial" w:hint="default"/>
      </w:rPr>
    </w:lvl>
    <w:lvl w:ilvl="5" w:tplc="8BA4AB0C" w:tentative="1">
      <w:start w:val="1"/>
      <w:numFmt w:val="bullet"/>
      <w:lvlText w:val="•"/>
      <w:lvlJc w:val="left"/>
      <w:pPr>
        <w:tabs>
          <w:tab w:val="num" w:pos="4320"/>
        </w:tabs>
        <w:ind w:left="4320" w:hanging="360"/>
      </w:pPr>
      <w:rPr>
        <w:rFonts w:ascii="Arial" w:hAnsi="Arial" w:hint="default"/>
      </w:rPr>
    </w:lvl>
    <w:lvl w:ilvl="6" w:tplc="92846328" w:tentative="1">
      <w:start w:val="1"/>
      <w:numFmt w:val="bullet"/>
      <w:lvlText w:val="•"/>
      <w:lvlJc w:val="left"/>
      <w:pPr>
        <w:tabs>
          <w:tab w:val="num" w:pos="5040"/>
        </w:tabs>
        <w:ind w:left="5040" w:hanging="360"/>
      </w:pPr>
      <w:rPr>
        <w:rFonts w:ascii="Arial" w:hAnsi="Arial" w:hint="default"/>
      </w:rPr>
    </w:lvl>
    <w:lvl w:ilvl="7" w:tplc="7360AFF4" w:tentative="1">
      <w:start w:val="1"/>
      <w:numFmt w:val="bullet"/>
      <w:lvlText w:val="•"/>
      <w:lvlJc w:val="left"/>
      <w:pPr>
        <w:tabs>
          <w:tab w:val="num" w:pos="5760"/>
        </w:tabs>
        <w:ind w:left="5760" w:hanging="360"/>
      </w:pPr>
      <w:rPr>
        <w:rFonts w:ascii="Arial" w:hAnsi="Arial" w:hint="default"/>
      </w:rPr>
    </w:lvl>
    <w:lvl w:ilvl="8" w:tplc="A65A73E6" w:tentative="1">
      <w:start w:val="1"/>
      <w:numFmt w:val="bullet"/>
      <w:lvlText w:val="•"/>
      <w:lvlJc w:val="left"/>
      <w:pPr>
        <w:tabs>
          <w:tab w:val="num" w:pos="6480"/>
        </w:tabs>
        <w:ind w:left="6480" w:hanging="360"/>
      </w:pPr>
      <w:rPr>
        <w:rFonts w:ascii="Arial" w:hAnsi="Arial" w:hint="default"/>
      </w:rPr>
    </w:lvl>
  </w:abstractNum>
  <w:abstractNum w:abstractNumId="20">
    <w:nsid w:val="48C26F99"/>
    <w:multiLevelType w:val="multilevel"/>
    <w:tmpl w:val="A0B23AC2"/>
    <w:lvl w:ilvl="0">
      <w:start w:val="1"/>
      <w:numFmt w:val="decimal"/>
      <w:lvlText w:val="%1."/>
      <w:lvlJc w:val="left"/>
      <w:pPr>
        <w:ind w:left="1440" w:hanging="360"/>
      </w:pPr>
    </w:lvl>
    <w:lvl w:ilvl="1">
      <w:start w:val="5"/>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21">
    <w:nsid w:val="49C3772B"/>
    <w:multiLevelType w:val="hybridMultilevel"/>
    <w:tmpl w:val="16842C92"/>
    <w:lvl w:ilvl="0" w:tplc="24704F9C">
      <w:start w:val="1"/>
      <w:numFmt w:val="bullet"/>
      <w:lvlText w:val="•"/>
      <w:lvlJc w:val="left"/>
      <w:pPr>
        <w:tabs>
          <w:tab w:val="num" w:pos="720"/>
        </w:tabs>
        <w:ind w:left="720" w:hanging="360"/>
      </w:pPr>
      <w:rPr>
        <w:rFonts w:ascii="Arial" w:hAnsi="Arial" w:hint="default"/>
      </w:rPr>
    </w:lvl>
    <w:lvl w:ilvl="1" w:tplc="715C3A76">
      <w:start w:val="1088"/>
      <w:numFmt w:val="bullet"/>
      <w:lvlText w:val="•"/>
      <w:lvlJc w:val="left"/>
      <w:pPr>
        <w:tabs>
          <w:tab w:val="num" w:pos="1440"/>
        </w:tabs>
        <w:ind w:left="1440" w:hanging="360"/>
      </w:pPr>
      <w:rPr>
        <w:rFonts w:ascii="Arial" w:hAnsi="Arial" w:hint="default"/>
      </w:rPr>
    </w:lvl>
    <w:lvl w:ilvl="2" w:tplc="10C24CC2" w:tentative="1">
      <w:start w:val="1"/>
      <w:numFmt w:val="bullet"/>
      <w:lvlText w:val="•"/>
      <w:lvlJc w:val="left"/>
      <w:pPr>
        <w:tabs>
          <w:tab w:val="num" w:pos="2160"/>
        </w:tabs>
        <w:ind w:left="2160" w:hanging="360"/>
      </w:pPr>
      <w:rPr>
        <w:rFonts w:ascii="Arial" w:hAnsi="Arial" w:hint="default"/>
      </w:rPr>
    </w:lvl>
    <w:lvl w:ilvl="3" w:tplc="3564C984" w:tentative="1">
      <w:start w:val="1"/>
      <w:numFmt w:val="bullet"/>
      <w:lvlText w:val="•"/>
      <w:lvlJc w:val="left"/>
      <w:pPr>
        <w:tabs>
          <w:tab w:val="num" w:pos="2880"/>
        </w:tabs>
        <w:ind w:left="2880" w:hanging="360"/>
      </w:pPr>
      <w:rPr>
        <w:rFonts w:ascii="Arial" w:hAnsi="Arial" w:hint="default"/>
      </w:rPr>
    </w:lvl>
    <w:lvl w:ilvl="4" w:tplc="44B401B2" w:tentative="1">
      <w:start w:val="1"/>
      <w:numFmt w:val="bullet"/>
      <w:lvlText w:val="•"/>
      <w:lvlJc w:val="left"/>
      <w:pPr>
        <w:tabs>
          <w:tab w:val="num" w:pos="3600"/>
        </w:tabs>
        <w:ind w:left="3600" w:hanging="360"/>
      </w:pPr>
      <w:rPr>
        <w:rFonts w:ascii="Arial" w:hAnsi="Arial" w:hint="default"/>
      </w:rPr>
    </w:lvl>
    <w:lvl w:ilvl="5" w:tplc="4148CDA6" w:tentative="1">
      <w:start w:val="1"/>
      <w:numFmt w:val="bullet"/>
      <w:lvlText w:val="•"/>
      <w:lvlJc w:val="left"/>
      <w:pPr>
        <w:tabs>
          <w:tab w:val="num" w:pos="4320"/>
        </w:tabs>
        <w:ind w:left="4320" w:hanging="360"/>
      </w:pPr>
      <w:rPr>
        <w:rFonts w:ascii="Arial" w:hAnsi="Arial" w:hint="default"/>
      </w:rPr>
    </w:lvl>
    <w:lvl w:ilvl="6" w:tplc="E06C39F6" w:tentative="1">
      <w:start w:val="1"/>
      <w:numFmt w:val="bullet"/>
      <w:lvlText w:val="•"/>
      <w:lvlJc w:val="left"/>
      <w:pPr>
        <w:tabs>
          <w:tab w:val="num" w:pos="5040"/>
        </w:tabs>
        <w:ind w:left="5040" w:hanging="360"/>
      </w:pPr>
      <w:rPr>
        <w:rFonts w:ascii="Arial" w:hAnsi="Arial" w:hint="default"/>
      </w:rPr>
    </w:lvl>
    <w:lvl w:ilvl="7" w:tplc="0A1ACF14" w:tentative="1">
      <w:start w:val="1"/>
      <w:numFmt w:val="bullet"/>
      <w:lvlText w:val="•"/>
      <w:lvlJc w:val="left"/>
      <w:pPr>
        <w:tabs>
          <w:tab w:val="num" w:pos="5760"/>
        </w:tabs>
        <w:ind w:left="5760" w:hanging="360"/>
      </w:pPr>
      <w:rPr>
        <w:rFonts w:ascii="Arial" w:hAnsi="Arial" w:hint="default"/>
      </w:rPr>
    </w:lvl>
    <w:lvl w:ilvl="8" w:tplc="D25EE0A4" w:tentative="1">
      <w:start w:val="1"/>
      <w:numFmt w:val="bullet"/>
      <w:lvlText w:val="•"/>
      <w:lvlJc w:val="left"/>
      <w:pPr>
        <w:tabs>
          <w:tab w:val="num" w:pos="6480"/>
        </w:tabs>
        <w:ind w:left="6480" w:hanging="360"/>
      </w:pPr>
      <w:rPr>
        <w:rFonts w:ascii="Arial" w:hAnsi="Arial" w:hint="default"/>
      </w:rPr>
    </w:lvl>
  </w:abstractNum>
  <w:abstractNum w:abstractNumId="22">
    <w:nsid w:val="49E237AB"/>
    <w:multiLevelType w:val="hybridMultilevel"/>
    <w:tmpl w:val="D2405F16"/>
    <w:lvl w:ilvl="0" w:tplc="15EA157E">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AA43AFF"/>
    <w:multiLevelType w:val="hybridMultilevel"/>
    <w:tmpl w:val="11263F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B275500"/>
    <w:multiLevelType w:val="hybridMultilevel"/>
    <w:tmpl w:val="D6761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431640"/>
    <w:multiLevelType w:val="hybridMultilevel"/>
    <w:tmpl w:val="B168808A"/>
    <w:lvl w:ilvl="0" w:tplc="D26E3F6C">
      <w:start w:val="1"/>
      <w:numFmt w:val="bullet"/>
      <w:lvlText w:val="•"/>
      <w:lvlJc w:val="left"/>
      <w:pPr>
        <w:tabs>
          <w:tab w:val="num" w:pos="720"/>
        </w:tabs>
        <w:ind w:left="720" w:hanging="360"/>
      </w:pPr>
      <w:rPr>
        <w:rFonts w:ascii="Arial" w:hAnsi="Arial" w:hint="default"/>
      </w:rPr>
    </w:lvl>
    <w:lvl w:ilvl="1" w:tplc="865E2EDC" w:tentative="1">
      <w:start w:val="1"/>
      <w:numFmt w:val="bullet"/>
      <w:lvlText w:val="•"/>
      <w:lvlJc w:val="left"/>
      <w:pPr>
        <w:tabs>
          <w:tab w:val="num" w:pos="1440"/>
        </w:tabs>
        <w:ind w:left="1440" w:hanging="360"/>
      </w:pPr>
      <w:rPr>
        <w:rFonts w:ascii="Arial" w:hAnsi="Arial" w:hint="default"/>
      </w:rPr>
    </w:lvl>
    <w:lvl w:ilvl="2" w:tplc="16029E6E" w:tentative="1">
      <w:start w:val="1"/>
      <w:numFmt w:val="bullet"/>
      <w:lvlText w:val="•"/>
      <w:lvlJc w:val="left"/>
      <w:pPr>
        <w:tabs>
          <w:tab w:val="num" w:pos="2160"/>
        </w:tabs>
        <w:ind w:left="2160" w:hanging="360"/>
      </w:pPr>
      <w:rPr>
        <w:rFonts w:ascii="Arial" w:hAnsi="Arial" w:hint="default"/>
      </w:rPr>
    </w:lvl>
    <w:lvl w:ilvl="3" w:tplc="83C22428" w:tentative="1">
      <w:start w:val="1"/>
      <w:numFmt w:val="bullet"/>
      <w:lvlText w:val="•"/>
      <w:lvlJc w:val="left"/>
      <w:pPr>
        <w:tabs>
          <w:tab w:val="num" w:pos="2880"/>
        </w:tabs>
        <w:ind w:left="2880" w:hanging="360"/>
      </w:pPr>
      <w:rPr>
        <w:rFonts w:ascii="Arial" w:hAnsi="Arial" w:hint="default"/>
      </w:rPr>
    </w:lvl>
    <w:lvl w:ilvl="4" w:tplc="63760036" w:tentative="1">
      <w:start w:val="1"/>
      <w:numFmt w:val="bullet"/>
      <w:lvlText w:val="•"/>
      <w:lvlJc w:val="left"/>
      <w:pPr>
        <w:tabs>
          <w:tab w:val="num" w:pos="3600"/>
        </w:tabs>
        <w:ind w:left="3600" w:hanging="360"/>
      </w:pPr>
      <w:rPr>
        <w:rFonts w:ascii="Arial" w:hAnsi="Arial" w:hint="default"/>
      </w:rPr>
    </w:lvl>
    <w:lvl w:ilvl="5" w:tplc="7C1A5B7E" w:tentative="1">
      <w:start w:val="1"/>
      <w:numFmt w:val="bullet"/>
      <w:lvlText w:val="•"/>
      <w:lvlJc w:val="left"/>
      <w:pPr>
        <w:tabs>
          <w:tab w:val="num" w:pos="4320"/>
        </w:tabs>
        <w:ind w:left="4320" w:hanging="360"/>
      </w:pPr>
      <w:rPr>
        <w:rFonts w:ascii="Arial" w:hAnsi="Arial" w:hint="default"/>
      </w:rPr>
    </w:lvl>
    <w:lvl w:ilvl="6" w:tplc="66F07B58" w:tentative="1">
      <w:start w:val="1"/>
      <w:numFmt w:val="bullet"/>
      <w:lvlText w:val="•"/>
      <w:lvlJc w:val="left"/>
      <w:pPr>
        <w:tabs>
          <w:tab w:val="num" w:pos="5040"/>
        </w:tabs>
        <w:ind w:left="5040" w:hanging="360"/>
      </w:pPr>
      <w:rPr>
        <w:rFonts w:ascii="Arial" w:hAnsi="Arial" w:hint="default"/>
      </w:rPr>
    </w:lvl>
    <w:lvl w:ilvl="7" w:tplc="7F569F0C" w:tentative="1">
      <w:start w:val="1"/>
      <w:numFmt w:val="bullet"/>
      <w:lvlText w:val="•"/>
      <w:lvlJc w:val="left"/>
      <w:pPr>
        <w:tabs>
          <w:tab w:val="num" w:pos="5760"/>
        </w:tabs>
        <w:ind w:left="5760" w:hanging="360"/>
      </w:pPr>
      <w:rPr>
        <w:rFonts w:ascii="Arial" w:hAnsi="Arial" w:hint="default"/>
      </w:rPr>
    </w:lvl>
    <w:lvl w:ilvl="8" w:tplc="3AC4F3F2" w:tentative="1">
      <w:start w:val="1"/>
      <w:numFmt w:val="bullet"/>
      <w:lvlText w:val="•"/>
      <w:lvlJc w:val="left"/>
      <w:pPr>
        <w:tabs>
          <w:tab w:val="num" w:pos="6480"/>
        </w:tabs>
        <w:ind w:left="6480" w:hanging="360"/>
      </w:pPr>
      <w:rPr>
        <w:rFonts w:ascii="Arial" w:hAnsi="Arial" w:hint="default"/>
      </w:rPr>
    </w:lvl>
  </w:abstractNum>
  <w:abstractNum w:abstractNumId="26">
    <w:nsid w:val="515B4949"/>
    <w:multiLevelType w:val="hybridMultilevel"/>
    <w:tmpl w:val="61A6B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2182E30"/>
    <w:multiLevelType w:val="hybridMultilevel"/>
    <w:tmpl w:val="4CDC2C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73D19BE"/>
    <w:multiLevelType w:val="hybridMultilevel"/>
    <w:tmpl w:val="5A4EC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84A4706"/>
    <w:multiLevelType w:val="hybridMultilevel"/>
    <w:tmpl w:val="CB9A8D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93056FA"/>
    <w:multiLevelType w:val="hybridMultilevel"/>
    <w:tmpl w:val="F6EAF9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96B1705"/>
    <w:multiLevelType w:val="hybridMultilevel"/>
    <w:tmpl w:val="A7308DC6"/>
    <w:lvl w:ilvl="0" w:tplc="7C2AFCCA">
      <w:start w:val="1"/>
      <w:numFmt w:val="bullet"/>
      <w:lvlText w:val="•"/>
      <w:lvlJc w:val="left"/>
      <w:pPr>
        <w:tabs>
          <w:tab w:val="num" w:pos="720"/>
        </w:tabs>
        <w:ind w:left="720" w:hanging="360"/>
      </w:pPr>
      <w:rPr>
        <w:rFonts w:ascii="Arial" w:hAnsi="Arial" w:hint="default"/>
      </w:rPr>
    </w:lvl>
    <w:lvl w:ilvl="1" w:tplc="920EB908">
      <w:start w:val="1005"/>
      <w:numFmt w:val="bullet"/>
      <w:lvlText w:val="–"/>
      <w:lvlJc w:val="left"/>
      <w:pPr>
        <w:tabs>
          <w:tab w:val="num" w:pos="1440"/>
        </w:tabs>
        <w:ind w:left="1440" w:hanging="360"/>
      </w:pPr>
      <w:rPr>
        <w:rFonts w:ascii="Arial" w:hAnsi="Arial" w:hint="default"/>
      </w:rPr>
    </w:lvl>
    <w:lvl w:ilvl="2" w:tplc="FC388508" w:tentative="1">
      <w:start w:val="1"/>
      <w:numFmt w:val="bullet"/>
      <w:lvlText w:val="•"/>
      <w:lvlJc w:val="left"/>
      <w:pPr>
        <w:tabs>
          <w:tab w:val="num" w:pos="2160"/>
        </w:tabs>
        <w:ind w:left="2160" w:hanging="360"/>
      </w:pPr>
      <w:rPr>
        <w:rFonts w:ascii="Arial" w:hAnsi="Arial" w:hint="default"/>
      </w:rPr>
    </w:lvl>
    <w:lvl w:ilvl="3" w:tplc="E6B2BC22" w:tentative="1">
      <w:start w:val="1"/>
      <w:numFmt w:val="bullet"/>
      <w:lvlText w:val="•"/>
      <w:lvlJc w:val="left"/>
      <w:pPr>
        <w:tabs>
          <w:tab w:val="num" w:pos="2880"/>
        </w:tabs>
        <w:ind w:left="2880" w:hanging="360"/>
      </w:pPr>
      <w:rPr>
        <w:rFonts w:ascii="Arial" w:hAnsi="Arial" w:hint="default"/>
      </w:rPr>
    </w:lvl>
    <w:lvl w:ilvl="4" w:tplc="1EB8023A" w:tentative="1">
      <w:start w:val="1"/>
      <w:numFmt w:val="bullet"/>
      <w:lvlText w:val="•"/>
      <w:lvlJc w:val="left"/>
      <w:pPr>
        <w:tabs>
          <w:tab w:val="num" w:pos="3600"/>
        </w:tabs>
        <w:ind w:left="3600" w:hanging="360"/>
      </w:pPr>
      <w:rPr>
        <w:rFonts w:ascii="Arial" w:hAnsi="Arial" w:hint="default"/>
      </w:rPr>
    </w:lvl>
    <w:lvl w:ilvl="5" w:tplc="E556D7D4" w:tentative="1">
      <w:start w:val="1"/>
      <w:numFmt w:val="bullet"/>
      <w:lvlText w:val="•"/>
      <w:lvlJc w:val="left"/>
      <w:pPr>
        <w:tabs>
          <w:tab w:val="num" w:pos="4320"/>
        </w:tabs>
        <w:ind w:left="4320" w:hanging="360"/>
      </w:pPr>
      <w:rPr>
        <w:rFonts w:ascii="Arial" w:hAnsi="Arial" w:hint="default"/>
      </w:rPr>
    </w:lvl>
    <w:lvl w:ilvl="6" w:tplc="6C1CD040" w:tentative="1">
      <w:start w:val="1"/>
      <w:numFmt w:val="bullet"/>
      <w:lvlText w:val="•"/>
      <w:lvlJc w:val="left"/>
      <w:pPr>
        <w:tabs>
          <w:tab w:val="num" w:pos="5040"/>
        </w:tabs>
        <w:ind w:left="5040" w:hanging="360"/>
      </w:pPr>
      <w:rPr>
        <w:rFonts w:ascii="Arial" w:hAnsi="Arial" w:hint="default"/>
      </w:rPr>
    </w:lvl>
    <w:lvl w:ilvl="7" w:tplc="B13A886E" w:tentative="1">
      <w:start w:val="1"/>
      <w:numFmt w:val="bullet"/>
      <w:lvlText w:val="•"/>
      <w:lvlJc w:val="left"/>
      <w:pPr>
        <w:tabs>
          <w:tab w:val="num" w:pos="5760"/>
        </w:tabs>
        <w:ind w:left="5760" w:hanging="360"/>
      </w:pPr>
      <w:rPr>
        <w:rFonts w:ascii="Arial" w:hAnsi="Arial" w:hint="default"/>
      </w:rPr>
    </w:lvl>
    <w:lvl w:ilvl="8" w:tplc="6B2014E0" w:tentative="1">
      <w:start w:val="1"/>
      <w:numFmt w:val="bullet"/>
      <w:lvlText w:val="•"/>
      <w:lvlJc w:val="left"/>
      <w:pPr>
        <w:tabs>
          <w:tab w:val="num" w:pos="6480"/>
        </w:tabs>
        <w:ind w:left="6480" w:hanging="360"/>
      </w:pPr>
      <w:rPr>
        <w:rFonts w:ascii="Arial" w:hAnsi="Arial" w:hint="default"/>
      </w:rPr>
    </w:lvl>
  </w:abstractNum>
  <w:abstractNum w:abstractNumId="32">
    <w:nsid w:val="59F30005"/>
    <w:multiLevelType w:val="hybridMultilevel"/>
    <w:tmpl w:val="F3FE1070"/>
    <w:lvl w:ilvl="0" w:tplc="041C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E454DED"/>
    <w:multiLevelType w:val="hybridMultilevel"/>
    <w:tmpl w:val="9CF4D90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F0338E6"/>
    <w:multiLevelType w:val="hybridMultilevel"/>
    <w:tmpl w:val="7A9405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F712B41"/>
    <w:multiLevelType w:val="hybridMultilevel"/>
    <w:tmpl w:val="2FA88614"/>
    <w:lvl w:ilvl="0" w:tplc="920EB908">
      <w:start w:val="1005"/>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1677C56"/>
    <w:multiLevelType w:val="multilevel"/>
    <w:tmpl w:val="A0B23AC2"/>
    <w:lvl w:ilvl="0">
      <w:start w:val="1"/>
      <w:numFmt w:val="decimal"/>
      <w:lvlText w:val="%1."/>
      <w:lvlJc w:val="left"/>
      <w:pPr>
        <w:ind w:left="1440" w:hanging="360"/>
      </w:pPr>
    </w:lvl>
    <w:lvl w:ilvl="1">
      <w:start w:val="5"/>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37">
    <w:nsid w:val="671A2BFD"/>
    <w:multiLevelType w:val="hybridMultilevel"/>
    <w:tmpl w:val="6A8AC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8252321"/>
    <w:multiLevelType w:val="hybridMultilevel"/>
    <w:tmpl w:val="A3D47188"/>
    <w:lvl w:ilvl="0" w:tplc="04090001">
      <w:start w:val="1"/>
      <w:numFmt w:val="bullet"/>
      <w:lvlText w:val=""/>
      <w:lvlJc w:val="left"/>
      <w:pPr>
        <w:tabs>
          <w:tab w:val="num" w:pos="720"/>
        </w:tabs>
        <w:ind w:left="720" w:hanging="360"/>
      </w:pPr>
      <w:rPr>
        <w:rFonts w:ascii="Symbol" w:hAnsi="Symbol" w:hint="default"/>
      </w:rPr>
    </w:lvl>
    <w:lvl w:ilvl="1" w:tplc="865E2EDC" w:tentative="1">
      <w:start w:val="1"/>
      <w:numFmt w:val="bullet"/>
      <w:lvlText w:val="•"/>
      <w:lvlJc w:val="left"/>
      <w:pPr>
        <w:tabs>
          <w:tab w:val="num" w:pos="1440"/>
        </w:tabs>
        <w:ind w:left="1440" w:hanging="360"/>
      </w:pPr>
      <w:rPr>
        <w:rFonts w:ascii="Arial" w:hAnsi="Arial" w:hint="default"/>
      </w:rPr>
    </w:lvl>
    <w:lvl w:ilvl="2" w:tplc="16029E6E" w:tentative="1">
      <w:start w:val="1"/>
      <w:numFmt w:val="bullet"/>
      <w:lvlText w:val="•"/>
      <w:lvlJc w:val="left"/>
      <w:pPr>
        <w:tabs>
          <w:tab w:val="num" w:pos="2160"/>
        </w:tabs>
        <w:ind w:left="2160" w:hanging="360"/>
      </w:pPr>
      <w:rPr>
        <w:rFonts w:ascii="Arial" w:hAnsi="Arial" w:hint="default"/>
      </w:rPr>
    </w:lvl>
    <w:lvl w:ilvl="3" w:tplc="83C22428" w:tentative="1">
      <w:start w:val="1"/>
      <w:numFmt w:val="bullet"/>
      <w:lvlText w:val="•"/>
      <w:lvlJc w:val="left"/>
      <w:pPr>
        <w:tabs>
          <w:tab w:val="num" w:pos="2880"/>
        </w:tabs>
        <w:ind w:left="2880" w:hanging="360"/>
      </w:pPr>
      <w:rPr>
        <w:rFonts w:ascii="Arial" w:hAnsi="Arial" w:hint="default"/>
      </w:rPr>
    </w:lvl>
    <w:lvl w:ilvl="4" w:tplc="63760036" w:tentative="1">
      <w:start w:val="1"/>
      <w:numFmt w:val="bullet"/>
      <w:lvlText w:val="•"/>
      <w:lvlJc w:val="left"/>
      <w:pPr>
        <w:tabs>
          <w:tab w:val="num" w:pos="3600"/>
        </w:tabs>
        <w:ind w:left="3600" w:hanging="360"/>
      </w:pPr>
      <w:rPr>
        <w:rFonts w:ascii="Arial" w:hAnsi="Arial" w:hint="default"/>
      </w:rPr>
    </w:lvl>
    <w:lvl w:ilvl="5" w:tplc="7C1A5B7E" w:tentative="1">
      <w:start w:val="1"/>
      <w:numFmt w:val="bullet"/>
      <w:lvlText w:val="•"/>
      <w:lvlJc w:val="left"/>
      <w:pPr>
        <w:tabs>
          <w:tab w:val="num" w:pos="4320"/>
        </w:tabs>
        <w:ind w:left="4320" w:hanging="360"/>
      </w:pPr>
      <w:rPr>
        <w:rFonts w:ascii="Arial" w:hAnsi="Arial" w:hint="default"/>
      </w:rPr>
    </w:lvl>
    <w:lvl w:ilvl="6" w:tplc="66F07B58" w:tentative="1">
      <w:start w:val="1"/>
      <w:numFmt w:val="bullet"/>
      <w:lvlText w:val="•"/>
      <w:lvlJc w:val="left"/>
      <w:pPr>
        <w:tabs>
          <w:tab w:val="num" w:pos="5040"/>
        </w:tabs>
        <w:ind w:left="5040" w:hanging="360"/>
      </w:pPr>
      <w:rPr>
        <w:rFonts w:ascii="Arial" w:hAnsi="Arial" w:hint="default"/>
      </w:rPr>
    </w:lvl>
    <w:lvl w:ilvl="7" w:tplc="7F569F0C" w:tentative="1">
      <w:start w:val="1"/>
      <w:numFmt w:val="bullet"/>
      <w:lvlText w:val="•"/>
      <w:lvlJc w:val="left"/>
      <w:pPr>
        <w:tabs>
          <w:tab w:val="num" w:pos="5760"/>
        </w:tabs>
        <w:ind w:left="5760" w:hanging="360"/>
      </w:pPr>
      <w:rPr>
        <w:rFonts w:ascii="Arial" w:hAnsi="Arial" w:hint="default"/>
      </w:rPr>
    </w:lvl>
    <w:lvl w:ilvl="8" w:tplc="3AC4F3F2" w:tentative="1">
      <w:start w:val="1"/>
      <w:numFmt w:val="bullet"/>
      <w:lvlText w:val="•"/>
      <w:lvlJc w:val="left"/>
      <w:pPr>
        <w:tabs>
          <w:tab w:val="num" w:pos="6480"/>
        </w:tabs>
        <w:ind w:left="6480" w:hanging="360"/>
      </w:pPr>
      <w:rPr>
        <w:rFonts w:ascii="Arial" w:hAnsi="Arial" w:hint="default"/>
      </w:rPr>
    </w:lvl>
  </w:abstractNum>
  <w:abstractNum w:abstractNumId="39">
    <w:nsid w:val="6E9F0651"/>
    <w:multiLevelType w:val="hybridMultilevel"/>
    <w:tmpl w:val="1104056A"/>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29A4EAE"/>
    <w:multiLevelType w:val="hybridMultilevel"/>
    <w:tmpl w:val="89CE2A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2CC51A2"/>
    <w:multiLevelType w:val="hybridMultilevel"/>
    <w:tmpl w:val="D77C6DA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7357913"/>
    <w:multiLevelType w:val="hybridMultilevel"/>
    <w:tmpl w:val="53508D98"/>
    <w:lvl w:ilvl="0" w:tplc="88629D74">
      <w:start w:val="1"/>
      <w:numFmt w:val="bullet"/>
      <w:lvlText w:val="•"/>
      <w:lvlJc w:val="left"/>
      <w:pPr>
        <w:tabs>
          <w:tab w:val="num" w:pos="720"/>
        </w:tabs>
        <w:ind w:left="720" w:hanging="360"/>
      </w:pPr>
      <w:rPr>
        <w:rFonts w:ascii="Arial" w:hAnsi="Arial" w:hint="default"/>
      </w:rPr>
    </w:lvl>
    <w:lvl w:ilvl="1" w:tplc="F4C82144" w:tentative="1">
      <w:start w:val="1"/>
      <w:numFmt w:val="bullet"/>
      <w:lvlText w:val="•"/>
      <w:lvlJc w:val="left"/>
      <w:pPr>
        <w:tabs>
          <w:tab w:val="num" w:pos="1440"/>
        </w:tabs>
        <w:ind w:left="1440" w:hanging="360"/>
      </w:pPr>
      <w:rPr>
        <w:rFonts w:ascii="Arial" w:hAnsi="Arial" w:hint="default"/>
      </w:rPr>
    </w:lvl>
    <w:lvl w:ilvl="2" w:tplc="95F67DF4" w:tentative="1">
      <w:start w:val="1"/>
      <w:numFmt w:val="bullet"/>
      <w:lvlText w:val="•"/>
      <w:lvlJc w:val="left"/>
      <w:pPr>
        <w:tabs>
          <w:tab w:val="num" w:pos="2160"/>
        </w:tabs>
        <w:ind w:left="2160" w:hanging="360"/>
      </w:pPr>
      <w:rPr>
        <w:rFonts w:ascii="Arial" w:hAnsi="Arial" w:hint="default"/>
      </w:rPr>
    </w:lvl>
    <w:lvl w:ilvl="3" w:tplc="5B74F738" w:tentative="1">
      <w:start w:val="1"/>
      <w:numFmt w:val="bullet"/>
      <w:lvlText w:val="•"/>
      <w:lvlJc w:val="left"/>
      <w:pPr>
        <w:tabs>
          <w:tab w:val="num" w:pos="2880"/>
        </w:tabs>
        <w:ind w:left="2880" w:hanging="360"/>
      </w:pPr>
      <w:rPr>
        <w:rFonts w:ascii="Arial" w:hAnsi="Arial" w:hint="default"/>
      </w:rPr>
    </w:lvl>
    <w:lvl w:ilvl="4" w:tplc="AB5A4808" w:tentative="1">
      <w:start w:val="1"/>
      <w:numFmt w:val="bullet"/>
      <w:lvlText w:val="•"/>
      <w:lvlJc w:val="left"/>
      <w:pPr>
        <w:tabs>
          <w:tab w:val="num" w:pos="3600"/>
        </w:tabs>
        <w:ind w:left="3600" w:hanging="360"/>
      </w:pPr>
      <w:rPr>
        <w:rFonts w:ascii="Arial" w:hAnsi="Arial" w:hint="default"/>
      </w:rPr>
    </w:lvl>
    <w:lvl w:ilvl="5" w:tplc="D6BA39CE" w:tentative="1">
      <w:start w:val="1"/>
      <w:numFmt w:val="bullet"/>
      <w:lvlText w:val="•"/>
      <w:lvlJc w:val="left"/>
      <w:pPr>
        <w:tabs>
          <w:tab w:val="num" w:pos="4320"/>
        </w:tabs>
        <w:ind w:left="4320" w:hanging="360"/>
      </w:pPr>
      <w:rPr>
        <w:rFonts w:ascii="Arial" w:hAnsi="Arial" w:hint="default"/>
      </w:rPr>
    </w:lvl>
    <w:lvl w:ilvl="6" w:tplc="FC6A2DFE" w:tentative="1">
      <w:start w:val="1"/>
      <w:numFmt w:val="bullet"/>
      <w:lvlText w:val="•"/>
      <w:lvlJc w:val="left"/>
      <w:pPr>
        <w:tabs>
          <w:tab w:val="num" w:pos="5040"/>
        </w:tabs>
        <w:ind w:left="5040" w:hanging="360"/>
      </w:pPr>
      <w:rPr>
        <w:rFonts w:ascii="Arial" w:hAnsi="Arial" w:hint="default"/>
      </w:rPr>
    </w:lvl>
    <w:lvl w:ilvl="7" w:tplc="CEAC3606" w:tentative="1">
      <w:start w:val="1"/>
      <w:numFmt w:val="bullet"/>
      <w:lvlText w:val="•"/>
      <w:lvlJc w:val="left"/>
      <w:pPr>
        <w:tabs>
          <w:tab w:val="num" w:pos="5760"/>
        </w:tabs>
        <w:ind w:left="5760" w:hanging="360"/>
      </w:pPr>
      <w:rPr>
        <w:rFonts w:ascii="Arial" w:hAnsi="Arial" w:hint="default"/>
      </w:rPr>
    </w:lvl>
    <w:lvl w:ilvl="8" w:tplc="F000B77E" w:tentative="1">
      <w:start w:val="1"/>
      <w:numFmt w:val="bullet"/>
      <w:lvlText w:val="•"/>
      <w:lvlJc w:val="left"/>
      <w:pPr>
        <w:tabs>
          <w:tab w:val="num" w:pos="6480"/>
        </w:tabs>
        <w:ind w:left="6480" w:hanging="360"/>
      </w:pPr>
      <w:rPr>
        <w:rFonts w:ascii="Arial" w:hAnsi="Arial" w:hint="default"/>
      </w:rPr>
    </w:lvl>
  </w:abstractNum>
  <w:abstractNum w:abstractNumId="43">
    <w:nsid w:val="79841BE0"/>
    <w:multiLevelType w:val="hybridMultilevel"/>
    <w:tmpl w:val="50D8EB2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FC04FD2"/>
    <w:multiLevelType w:val="hybridMultilevel"/>
    <w:tmpl w:val="DBB41D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2"/>
  </w:num>
  <w:num w:numId="3">
    <w:abstractNumId w:val="34"/>
  </w:num>
  <w:num w:numId="4">
    <w:abstractNumId w:val="40"/>
  </w:num>
  <w:num w:numId="5">
    <w:abstractNumId w:val="18"/>
  </w:num>
  <w:num w:numId="6">
    <w:abstractNumId w:val="12"/>
  </w:num>
  <w:num w:numId="7">
    <w:abstractNumId w:val="37"/>
  </w:num>
  <w:num w:numId="8">
    <w:abstractNumId w:val="21"/>
  </w:num>
  <w:num w:numId="9">
    <w:abstractNumId w:val="14"/>
  </w:num>
  <w:num w:numId="10">
    <w:abstractNumId w:val="24"/>
  </w:num>
  <w:num w:numId="11">
    <w:abstractNumId w:val="31"/>
  </w:num>
  <w:num w:numId="12">
    <w:abstractNumId w:val="42"/>
  </w:num>
  <w:num w:numId="13">
    <w:abstractNumId w:val="25"/>
  </w:num>
  <w:num w:numId="14">
    <w:abstractNumId w:val="44"/>
  </w:num>
  <w:num w:numId="15">
    <w:abstractNumId w:val="7"/>
  </w:num>
  <w:num w:numId="16">
    <w:abstractNumId w:val="29"/>
  </w:num>
  <w:num w:numId="17">
    <w:abstractNumId w:val="27"/>
  </w:num>
  <w:num w:numId="18">
    <w:abstractNumId w:val="35"/>
  </w:num>
  <w:num w:numId="19">
    <w:abstractNumId w:val="10"/>
  </w:num>
  <w:num w:numId="20">
    <w:abstractNumId w:val="43"/>
  </w:num>
  <w:num w:numId="21">
    <w:abstractNumId w:val="38"/>
  </w:num>
  <w:num w:numId="22">
    <w:abstractNumId w:val="11"/>
  </w:num>
  <w:num w:numId="23">
    <w:abstractNumId w:val="15"/>
  </w:num>
  <w:num w:numId="24">
    <w:abstractNumId w:val="30"/>
  </w:num>
  <w:num w:numId="25">
    <w:abstractNumId w:val="41"/>
  </w:num>
  <w:num w:numId="26">
    <w:abstractNumId w:val="2"/>
  </w:num>
  <w:num w:numId="27">
    <w:abstractNumId w:val="4"/>
  </w:num>
  <w:num w:numId="28">
    <w:abstractNumId w:val="6"/>
  </w:num>
  <w:num w:numId="29">
    <w:abstractNumId w:val="3"/>
  </w:num>
  <w:num w:numId="30">
    <w:abstractNumId w:val="36"/>
  </w:num>
  <w:num w:numId="31">
    <w:abstractNumId w:val="33"/>
  </w:num>
  <w:num w:numId="32">
    <w:abstractNumId w:val="23"/>
  </w:num>
  <w:num w:numId="33">
    <w:abstractNumId w:val="20"/>
  </w:num>
  <w:num w:numId="34">
    <w:abstractNumId w:val="9"/>
  </w:num>
  <w:num w:numId="35">
    <w:abstractNumId w:val="19"/>
  </w:num>
  <w:num w:numId="36">
    <w:abstractNumId w:val="0"/>
  </w:num>
  <w:num w:numId="37">
    <w:abstractNumId w:val="5"/>
  </w:num>
  <w:num w:numId="38">
    <w:abstractNumId w:val="8"/>
  </w:num>
  <w:num w:numId="39">
    <w:abstractNumId w:val="1"/>
  </w:num>
  <w:num w:numId="40">
    <w:abstractNumId w:val="17"/>
  </w:num>
  <w:num w:numId="41">
    <w:abstractNumId w:val="26"/>
  </w:num>
  <w:num w:numId="42">
    <w:abstractNumId w:val="32"/>
  </w:num>
  <w:num w:numId="43">
    <w:abstractNumId w:val="39"/>
  </w:num>
  <w:num w:numId="44">
    <w:abstractNumId w:val="13"/>
  </w:num>
  <w:num w:numId="45">
    <w:abstractNumId w:val="2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6C58"/>
    <w:rsid w:val="0000156E"/>
    <w:rsid w:val="00001DFE"/>
    <w:rsid w:val="000033BA"/>
    <w:rsid w:val="00003989"/>
    <w:rsid w:val="000045E7"/>
    <w:rsid w:val="00005722"/>
    <w:rsid w:val="00006DEE"/>
    <w:rsid w:val="0000785B"/>
    <w:rsid w:val="00007D97"/>
    <w:rsid w:val="00010EB4"/>
    <w:rsid w:val="000126F7"/>
    <w:rsid w:val="000131D3"/>
    <w:rsid w:val="000163D1"/>
    <w:rsid w:val="00016C58"/>
    <w:rsid w:val="000207EA"/>
    <w:rsid w:val="00023E71"/>
    <w:rsid w:val="00025266"/>
    <w:rsid w:val="00032A39"/>
    <w:rsid w:val="00034478"/>
    <w:rsid w:val="00036678"/>
    <w:rsid w:val="0003788E"/>
    <w:rsid w:val="00041805"/>
    <w:rsid w:val="00042CBE"/>
    <w:rsid w:val="00043B3F"/>
    <w:rsid w:val="00047822"/>
    <w:rsid w:val="00047E34"/>
    <w:rsid w:val="00051CA3"/>
    <w:rsid w:val="00051E55"/>
    <w:rsid w:val="00061BE7"/>
    <w:rsid w:val="00061E1C"/>
    <w:rsid w:val="0006480F"/>
    <w:rsid w:val="00066DB5"/>
    <w:rsid w:val="00067C75"/>
    <w:rsid w:val="00073D52"/>
    <w:rsid w:val="00076F04"/>
    <w:rsid w:val="00077828"/>
    <w:rsid w:val="00080042"/>
    <w:rsid w:val="00081F95"/>
    <w:rsid w:val="000820A6"/>
    <w:rsid w:val="00082713"/>
    <w:rsid w:val="000828AB"/>
    <w:rsid w:val="0008582D"/>
    <w:rsid w:val="00086235"/>
    <w:rsid w:val="00091189"/>
    <w:rsid w:val="00091A28"/>
    <w:rsid w:val="00091EEF"/>
    <w:rsid w:val="000938CD"/>
    <w:rsid w:val="00096F64"/>
    <w:rsid w:val="000A1AB2"/>
    <w:rsid w:val="000A2668"/>
    <w:rsid w:val="000A34E1"/>
    <w:rsid w:val="000A420F"/>
    <w:rsid w:val="000A5D3A"/>
    <w:rsid w:val="000A6FBD"/>
    <w:rsid w:val="000B29B9"/>
    <w:rsid w:val="000B4AFB"/>
    <w:rsid w:val="000B77EA"/>
    <w:rsid w:val="000B7C23"/>
    <w:rsid w:val="000C03DA"/>
    <w:rsid w:val="000C0A42"/>
    <w:rsid w:val="000C443B"/>
    <w:rsid w:val="000C4E12"/>
    <w:rsid w:val="000D24FD"/>
    <w:rsid w:val="000D2C23"/>
    <w:rsid w:val="000D31FC"/>
    <w:rsid w:val="000D532F"/>
    <w:rsid w:val="000D69BE"/>
    <w:rsid w:val="000E3689"/>
    <w:rsid w:val="000E3780"/>
    <w:rsid w:val="000E3EFA"/>
    <w:rsid w:val="000E5941"/>
    <w:rsid w:val="000E6030"/>
    <w:rsid w:val="000E6B4A"/>
    <w:rsid w:val="000F08C9"/>
    <w:rsid w:val="000F1645"/>
    <w:rsid w:val="000F1889"/>
    <w:rsid w:val="000F2ADA"/>
    <w:rsid w:val="000F3C88"/>
    <w:rsid w:val="000F448D"/>
    <w:rsid w:val="000F5450"/>
    <w:rsid w:val="000F5745"/>
    <w:rsid w:val="001143C8"/>
    <w:rsid w:val="001149EC"/>
    <w:rsid w:val="00114E72"/>
    <w:rsid w:val="0011777C"/>
    <w:rsid w:val="00117D71"/>
    <w:rsid w:val="0012107B"/>
    <w:rsid w:val="00122CF2"/>
    <w:rsid w:val="00124F6D"/>
    <w:rsid w:val="0012617F"/>
    <w:rsid w:val="0012635C"/>
    <w:rsid w:val="00126C48"/>
    <w:rsid w:val="00126D13"/>
    <w:rsid w:val="001275D1"/>
    <w:rsid w:val="00127A4E"/>
    <w:rsid w:val="0013311B"/>
    <w:rsid w:val="001378A0"/>
    <w:rsid w:val="00137B53"/>
    <w:rsid w:val="001405B9"/>
    <w:rsid w:val="00140EAB"/>
    <w:rsid w:val="001452DC"/>
    <w:rsid w:val="0014574E"/>
    <w:rsid w:val="001472BF"/>
    <w:rsid w:val="00151267"/>
    <w:rsid w:val="00151B9A"/>
    <w:rsid w:val="0015284E"/>
    <w:rsid w:val="00152A53"/>
    <w:rsid w:val="00152D6F"/>
    <w:rsid w:val="001533DA"/>
    <w:rsid w:val="00164040"/>
    <w:rsid w:val="00165141"/>
    <w:rsid w:val="00165F09"/>
    <w:rsid w:val="001664DA"/>
    <w:rsid w:val="00167161"/>
    <w:rsid w:val="00167F89"/>
    <w:rsid w:val="00172266"/>
    <w:rsid w:val="001844B6"/>
    <w:rsid w:val="00185683"/>
    <w:rsid w:val="0018713D"/>
    <w:rsid w:val="00187D8A"/>
    <w:rsid w:val="00190028"/>
    <w:rsid w:val="00190A84"/>
    <w:rsid w:val="00191F36"/>
    <w:rsid w:val="00192318"/>
    <w:rsid w:val="00193245"/>
    <w:rsid w:val="00196CE5"/>
    <w:rsid w:val="001A0BD7"/>
    <w:rsid w:val="001A4939"/>
    <w:rsid w:val="001A6CCE"/>
    <w:rsid w:val="001A7CE6"/>
    <w:rsid w:val="001B01EC"/>
    <w:rsid w:val="001B145C"/>
    <w:rsid w:val="001B1A45"/>
    <w:rsid w:val="001B24A3"/>
    <w:rsid w:val="001B3993"/>
    <w:rsid w:val="001B5D61"/>
    <w:rsid w:val="001C3434"/>
    <w:rsid w:val="001C3D2C"/>
    <w:rsid w:val="001C3E29"/>
    <w:rsid w:val="001D2934"/>
    <w:rsid w:val="001D2AFC"/>
    <w:rsid w:val="001D5A18"/>
    <w:rsid w:val="001D6922"/>
    <w:rsid w:val="001D6B53"/>
    <w:rsid w:val="001E0ABD"/>
    <w:rsid w:val="001E0C3B"/>
    <w:rsid w:val="001E170B"/>
    <w:rsid w:val="001E1DDF"/>
    <w:rsid w:val="001E3570"/>
    <w:rsid w:val="001E49EB"/>
    <w:rsid w:val="001E52C4"/>
    <w:rsid w:val="001E5743"/>
    <w:rsid w:val="001F0954"/>
    <w:rsid w:val="001F1C7D"/>
    <w:rsid w:val="001F30E1"/>
    <w:rsid w:val="001F4111"/>
    <w:rsid w:val="001F47A9"/>
    <w:rsid w:val="001F4A19"/>
    <w:rsid w:val="001F6FA9"/>
    <w:rsid w:val="0020461A"/>
    <w:rsid w:val="00204A3A"/>
    <w:rsid w:val="00205AFF"/>
    <w:rsid w:val="002066CA"/>
    <w:rsid w:val="00212509"/>
    <w:rsid w:val="00212FB2"/>
    <w:rsid w:val="0021341B"/>
    <w:rsid w:val="00215411"/>
    <w:rsid w:val="00217610"/>
    <w:rsid w:val="002208A1"/>
    <w:rsid w:val="002231C5"/>
    <w:rsid w:val="0022550C"/>
    <w:rsid w:val="002266D7"/>
    <w:rsid w:val="00230E80"/>
    <w:rsid w:val="00231371"/>
    <w:rsid w:val="0024118F"/>
    <w:rsid w:val="0025081F"/>
    <w:rsid w:val="00253B89"/>
    <w:rsid w:val="00253FA2"/>
    <w:rsid w:val="00261535"/>
    <w:rsid w:val="00261EB5"/>
    <w:rsid w:val="0026272F"/>
    <w:rsid w:val="00262F36"/>
    <w:rsid w:val="00262F9E"/>
    <w:rsid w:val="0026550E"/>
    <w:rsid w:val="00265F1B"/>
    <w:rsid w:val="002709E1"/>
    <w:rsid w:val="00271524"/>
    <w:rsid w:val="00271799"/>
    <w:rsid w:val="00271B45"/>
    <w:rsid w:val="00272014"/>
    <w:rsid w:val="002759C2"/>
    <w:rsid w:val="00275FD0"/>
    <w:rsid w:val="00276C55"/>
    <w:rsid w:val="00281A4C"/>
    <w:rsid w:val="00282855"/>
    <w:rsid w:val="002852D3"/>
    <w:rsid w:val="00286C79"/>
    <w:rsid w:val="0028759E"/>
    <w:rsid w:val="0029093E"/>
    <w:rsid w:val="00291B55"/>
    <w:rsid w:val="00293225"/>
    <w:rsid w:val="00295459"/>
    <w:rsid w:val="002A0E86"/>
    <w:rsid w:val="002A3172"/>
    <w:rsid w:val="002B133D"/>
    <w:rsid w:val="002B2F51"/>
    <w:rsid w:val="002B53A2"/>
    <w:rsid w:val="002C46F4"/>
    <w:rsid w:val="002C6563"/>
    <w:rsid w:val="002C72F3"/>
    <w:rsid w:val="002D3DF6"/>
    <w:rsid w:val="002D6026"/>
    <w:rsid w:val="002D6126"/>
    <w:rsid w:val="002D649E"/>
    <w:rsid w:val="002D7D25"/>
    <w:rsid w:val="002E009E"/>
    <w:rsid w:val="002E0837"/>
    <w:rsid w:val="002E5FD8"/>
    <w:rsid w:val="002E6D51"/>
    <w:rsid w:val="002E7618"/>
    <w:rsid w:val="002F15DA"/>
    <w:rsid w:val="002F22C0"/>
    <w:rsid w:val="002F4B30"/>
    <w:rsid w:val="002F6E0C"/>
    <w:rsid w:val="00301358"/>
    <w:rsid w:val="00303CE6"/>
    <w:rsid w:val="003049C1"/>
    <w:rsid w:val="00304EC4"/>
    <w:rsid w:val="00305E77"/>
    <w:rsid w:val="00310548"/>
    <w:rsid w:val="00311C02"/>
    <w:rsid w:val="00313C6E"/>
    <w:rsid w:val="00316FBC"/>
    <w:rsid w:val="00320909"/>
    <w:rsid w:val="00320E3D"/>
    <w:rsid w:val="00323AFC"/>
    <w:rsid w:val="0032424B"/>
    <w:rsid w:val="003248F3"/>
    <w:rsid w:val="00332D80"/>
    <w:rsid w:val="00336C09"/>
    <w:rsid w:val="00343975"/>
    <w:rsid w:val="0034404B"/>
    <w:rsid w:val="003441F6"/>
    <w:rsid w:val="003443C7"/>
    <w:rsid w:val="0035412B"/>
    <w:rsid w:val="00355DCA"/>
    <w:rsid w:val="00361985"/>
    <w:rsid w:val="00362B4E"/>
    <w:rsid w:val="00363D10"/>
    <w:rsid w:val="003703B0"/>
    <w:rsid w:val="00371D3B"/>
    <w:rsid w:val="003742A5"/>
    <w:rsid w:val="00374F57"/>
    <w:rsid w:val="003764EC"/>
    <w:rsid w:val="003860E5"/>
    <w:rsid w:val="00387B0C"/>
    <w:rsid w:val="0039321B"/>
    <w:rsid w:val="00395881"/>
    <w:rsid w:val="00397619"/>
    <w:rsid w:val="00397796"/>
    <w:rsid w:val="003A1EFE"/>
    <w:rsid w:val="003A35F3"/>
    <w:rsid w:val="003A5B27"/>
    <w:rsid w:val="003A5C94"/>
    <w:rsid w:val="003B2309"/>
    <w:rsid w:val="003C05D4"/>
    <w:rsid w:val="003C2A43"/>
    <w:rsid w:val="003C4EBE"/>
    <w:rsid w:val="003D09DF"/>
    <w:rsid w:val="003D2A7F"/>
    <w:rsid w:val="003D2B85"/>
    <w:rsid w:val="003D7585"/>
    <w:rsid w:val="003E27CA"/>
    <w:rsid w:val="003E3016"/>
    <w:rsid w:val="003E3C2E"/>
    <w:rsid w:val="003E615B"/>
    <w:rsid w:val="003E6F30"/>
    <w:rsid w:val="003E6F8C"/>
    <w:rsid w:val="003F0BAF"/>
    <w:rsid w:val="003F1CC8"/>
    <w:rsid w:val="003F1F03"/>
    <w:rsid w:val="003F5F85"/>
    <w:rsid w:val="003F6763"/>
    <w:rsid w:val="00401AEA"/>
    <w:rsid w:val="004051A0"/>
    <w:rsid w:val="004074BC"/>
    <w:rsid w:val="00407E37"/>
    <w:rsid w:val="00411B99"/>
    <w:rsid w:val="00412D84"/>
    <w:rsid w:val="0041535E"/>
    <w:rsid w:val="00416383"/>
    <w:rsid w:val="00416A59"/>
    <w:rsid w:val="00417EAA"/>
    <w:rsid w:val="00420F36"/>
    <w:rsid w:val="00422677"/>
    <w:rsid w:val="00433799"/>
    <w:rsid w:val="0043394B"/>
    <w:rsid w:val="0043622B"/>
    <w:rsid w:val="00440B41"/>
    <w:rsid w:val="0044416B"/>
    <w:rsid w:val="00444E93"/>
    <w:rsid w:val="004455D8"/>
    <w:rsid w:val="004468F5"/>
    <w:rsid w:val="00447DEF"/>
    <w:rsid w:val="00457640"/>
    <w:rsid w:val="0045782D"/>
    <w:rsid w:val="00462876"/>
    <w:rsid w:val="00462F70"/>
    <w:rsid w:val="00470A03"/>
    <w:rsid w:val="00470BF8"/>
    <w:rsid w:val="00472B8D"/>
    <w:rsid w:val="0047332E"/>
    <w:rsid w:val="00473645"/>
    <w:rsid w:val="00473742"/>
    <w:rsid w:val="004744B0"/>
    <w:rsid w:val="00477848"/>
    <w:rsid w:val="0047799C"/>
    <w:rsid w:val="004779DC"/>
    <w:rsid w:val="00480176"/>
    <w:rsid w:val="0048186A"/>
    <w:rsid w:val="00484E01"/>
    <w:rsid w:val="00491B72"/>
    <w:rsid w:val="00491C1D"/>
    <w:rsid w:val="004924CA"/>
    <w:rsid w:val="00494D01"/>
    <w:rsid w:val="00495152"/>
    <w:rsid w:val="004965F4"/>
    <w:rsid w:val="00497E62"/>
    <w:rsid w:val="004A19E2"/>
    <w:rsid w:val="004A3266"/>
    <w:rsid w:val="004A35C2"/>
    <w:rsid w:val="004A39E8"/>
    <w:rsid w:val="004A7A5B"/>
    <w:rsid w:val="004B0B3F"/>
    <w:rsid w:val="004B0B44"/>
    <w:rsid w:val="004B0E99"/>
    <w:rsid w:val="004B3B55"/>
    <w:rsid w:val="004B6721"/>
    <w:rsid w:val="004B7D6C"/>
    <w:rsid w:val="004C1777"/>
    <w:rsid w:val="004C51DE"/>
    <w:rsid w:val="004C5535"/>
    <w:rsid w:val="004C61D9"/>
    <w:rsid w:val="004D0F7B"/>
    <w:rsid w:val="004D1D96"/>
    <w:rsid w:val="004D6B7B"/>
    <w:rsid w:val="004E0CDE"/>
    <w:rsid w:val="004E1D7D"/>
    <w:rsid w:val="004E5F5A"/>
    <w:rsid w:val="004E7173"/>
    <w:rsid w:val="004F48DF"/>
    <w:rsid w:val="004F4D6C"/>
    <w:rsid w:val="004F6F9D"/>
    <w:rsid w:val="00501AD8"/>
    <w:rsid w:val="005035F8"/>
    <w:rsid w:val="0050513F"/>
    <w:rsid w:val="00511CEA"/>
    <w:rsid w:val="00512647"/>
    <w:rsid w:val="005173DA"/>
    <w:rsid w:val="005176D2"/>
    <w:rsid w:val="00522CD3"/>
    <w:rsid w:val="00523FBE"/>
    <w:rsid w:val="00524FBE"/>
    <w:rsid w:val="00526C45"/>
    <w:rsid w:val="0053037A"/>
    <w:rsid w:val="00530394"/>
    <w:rsid w:val="00530A7C"/>
    <w:rsid w:val="00530F54"/>
    <w:rsid w:val="00531143"/>
    <w:rsid w:val="00536B83"/>
    <w:rsid w:val="00541AF7"/>
    <w:rsid w:val="005461A9"/>
    <w:rsid w:val="005566ED"/>
    <w:rsid w:val="00556F4B"/>
    <w:rsid w:val="00561243"/>
    <w:rsid w:val="00565104"/>
    <w:rsid w:val="00565880"/>
    <w:rsid w:val="00567547"/>
    <w:rsid w:val="005700F5"/>
    <w:rsid w:val="00570DF8"/>
    <w:rsid w:val="005737AE"/>
    <w:rsid w:val="00573B13"/>
    <w:rsid w:val="00574A08"/>
    <w:rsid w:val="00575BAB"/>
    <w:rsid w:val="00586001"/>
    <w:rsid w:val="00587FF6"/>
    <w:rsid w:val="00591003"/>
    <w:rsid w:val="00591F89"/>
    <w:rsid w:val="0059222B"/>
    <w:rsid w:val="00593A08"/>
    <w:rsid w:val="005A0FB3"/>
    <w:rsid w:val="005A1236"/>
    <w:rsid w:val="005A5281"/>
    <w:rsid w:val="005A5F31"/>
    <w:rsid w:val="005B1791"/>
    <w:rsid w:val="005B65C3"/>
    <w:rsid w:val="005C1151"/>
    <w:rsid w:val="005C19FB"/>
    <w:rsid w:val="005C2160"/>
    <w:rsid w:val="005C3D75"/>
    <w:rsid w:val="005D5D0D"/>
    <w:rsid w:val="005E2225"/>
    <w:rsid w:val="005E3C47"/>
    <w:rsid w:val="005E601C"/>
    <w:rsid w:val="005E7BA6"/>
    <w:rsid w:val="005F10D1"/>
    <w:rsid w:val="005F3278"/>
    <w:rsid w:val="005F58E9"/>
    <w:rsid w:val="00600F93"/>
    <w:rsid w:val="00603157"/>
    <w:rsid w:val="00604100"/>
    <w:rsid w:val="00606266"/>
    <w:rsid w:val="00606BF0"/>
    <w:rsid w:val="006077F6"/>
    <w:rsid w:val="00611EF9"/>
    <w:rsid w:val="00612D90"/>
    <w:rsid w:val="00621F43"/>
    <w:rsid w:val="006319AA"/>
    <w:rsid w:val="00631DE8"/>
    <w:rsid w:val="00631E38"/>
    <w:rsid w:val="006334DD"/>
    <w:rsid w:val="006401DF"/>
    <w:rsid w:val="0064566E"/>
    <w:rsid w:val="00652F95"/>
    <w:rsid w:val="00653296"/>
    <w:rsid w:val="00653E9F"/>
    <w:rsid w:val="00655B60"/>
    <w:rsid w:val="00657582"/>
    <w:rsid w:val="0066024E"/>
    <w:rsid w:val="00662638"/>
    <w:rsid w:val="00663161"/>
    <w:rsid w:val="00667CC4"/>
    <w:rsid w:val="00670F85"/>
    <w:rsid w:val="006710AD"/>
    <w:rsid w:val="00680DD8"/>
    <w:rsid w:val="006825B8"/>
    <w:rsid w:val="0068288C"/>
    <w:rsid w:val="00683047"/>
    <w:rsid w:val="0068594D"/>
    <w:rsid w:val="00685970"/>
    <w:rsid w:val="00693554"/>
    <w:rsid w:val="0069364C"/>
    <w:rsid w:val="00693B6B"/>
    <w:rsid w:val="00694EC6"/>
    <w:rsid w:val="00694F40"/>
    <w:rsid w:val="006952EB"/>
    <w:rsid w:val="00697226"/>
    <w:rsid w:val="00697CCD"/>
    <w:rsid w:val="006A169A"/>
    <w:rsid w:val="006A1FFF"/>
    <w:rsid w:val="006A21BB"/>
    <w:rsid w:val="006A21F8"/>
    <w:rsid w:val="006A2360"/>
    <w:rsid w:val="006A5277"/>
    <w:rsid w:val="006A59A8"/>
    <w:rsid w:val="006B0E61"/>
    <w:rsid w:val="006B1CCE"/>
    <w:rsid w:val="006B3365"/>
    <w:rsid w:val="006B3CAB"/>
    <w:rsid w:val="006B6B2F"/>
    <w:rsid w:val="006C0D09"/>
    <w:rsid w:val="006C4E58"/>
    <w:rsid w:val="006C53BD"/>
    <w:rsid w:val="006C5723"/>
    <w:rsid w:val="006C775F"/>
    <w:rsid w:val="006C7C54"/>
    <w:rsid w:val="006D2F24"/>
    <w:rsid w:val="006D63C2"/>
    <w:rsid w:val="006D7DE6"/>
    <w:rsid w:val="006E1000"/>
    <w:rsid w:val="006E2F2E"/>
    <w:rsid w:val="006F045B"/>
    <w:rsid w:val="006F41D6"/>
    <w:rsid w:val="006F536B"/>
    <w:rsid w:val="006F586E"/>
    <w:rsid w:val="006F605A"/>
    <w:rsid w:val="00700A61"/>
    <w:rsid w:val="007023E3"/>
    <w:rsid w:val="0070289C"/>
    <w:rsid w:val="0070582C"/>
    <w:rsid w:val="00705AD1"/>
    <w:rsid w:val="00705FE1"/>
    <w:rsid w:val="00706005"/>
    <w:rsid w:val="00706949"/>
    <w:rsid w:val="0071563C"/>
    <w:rsid w:val="00720E8A"/>
    <w:rsid w:val="00726181"/>
    <w:rsid w:val="00733334"/>
    <w:rsid w:val="007338EA"/>
    <w:rsid w:val="007366FB"/>
    <w:rsid w:val="00737190"/>
    <w:rsid w:val="00737231"/>
    <w:rsid w:val="00737C20"/>
    <w:rsid w:val="00740B51"/>
    <w:rsid w:val="0074212A"/>
    <w:rsid w:val="007452A6"/>
    <w:rsid w:val="00751369"/>
    <w:rsid w:val="00753396"/>
    <w:rsid w:val="007550DE"/>
    <w:rsid w:val="007551BA"/>
    <w:rsid w:val="0075571F"/>
    <w:rsid w:val="0075781D"/>
    <w:rsid w:val="00757CFC"/>
    <w:rsid w:val="0076150D"/>
    <w:rsid w:val="007630EE"/>
    <w:rsid w:val="00764EB7"/>
    <w:rsid w:val="00766479"/>
    <w:rsid w:val="00777653"/>
    <w:rsid w:val="00780212"/>
    <w:rsid w:val="0078026B"/>
    <w:rsid w:val="00787C5E"/>
    <w:rsid w:val="0079026C"/>
    <w:rsid w:val="00793533"/>
    <w:rsid w:val="00794556"/>
    <w:rsid w:val="00794778"/>
    <w:rsid w:val="007961E4"/>
    <w:rsid w:val="00796F45"/>
    <w:rsid w:val="007A07CF"/>
    <w:rsid w:val="007A493C"/>
    <w:rsid w:val="007A7EB3"/>
    <w:rsid w:val="007B016B"/>
    <w:rsid w:val="007B23B7"/>
    <w:rsid w:val="007B2577"/>
    <w:rsid w:val="007B33A7"/>
    <w:rsid w:val="007B43D8"/>
    <w:rsid w:val="007B495A"/>
    <w:rsid w:val="007B5249"/>
    <w:rsid w:val="007C404F"/>
    <w:rsid w:val="007C40BE"/>
    <w:rsid w:val="007C6182"/>
    <w:rsid w:val="007C69B6"/>
    <w:rsid w:val="007D1BD9"/>
    <w:rsid w:val="007D27F2"/>
    <w:rsid w:val="007D3AE6"/>
    <w:rsid w:val="007D64B6"/>
    <w:rsid w:val="007D6D58"/>
    <w:rsid w:val="007E3D9C"/>
    <w:rsid w:val="007E55D5"/>
    <w:rsid w:val="007E5E84"/>
    <w:rsid w:val="007E5F30"/>
    <w:rsid w:val="007E5FBC"/>
    <w:rsid w:val="007E61D9"/>
    <w:rsid w:val="007F04C8"/>
    <w:rsid w:val="007F28D6"/>
    <w:rsid w:val="007F3AF8"/>
    <w:rsid w:val="007F7F0C"/>
    <w:rsid w:val="00800032"/>
    <w:rsid w:val="00802759"/>
    <w:rsid w:val="008028F0"/>
    <w:rsid w:val="00802E40"/>
    <w:rsid w:val="00805596"/>
    <w:rsid w:val="008115F5"/>
    <w:rsid w:val="00812CE2"/>
    <w:rsid w:val="00814448"/>
    <w:rsid w:val="008154D2"/>
    <w:rsid w:val="00816657"/>
    <w:rsid w:val="00820F2B"/>
    <w:rsid w:val="008250CD"/>
    <w:rsid w:val="008260A6"/>
    <w:rsid w:val="00826622"/>
    <w:rsid w:val="008301C6"/>
    <w:rsid w:val="008315BE"/>
    <w:rsid w:val="00831E0D"/>
    <w:rsid w:val="008359C6"/>
    <w:rsid w:val="00837F6A"/>
    <w:rsid w:val="00843261"/>
    <w:rsid w:val="00851C21"/>
    <w:rsid w:val="00851DD7"/>
    <w:rsid w:val="0085371C"/>
    <w:rsid w:val="008549A7"/>
    <w:rsid w:val="008550E7"/>
    <w:rsid w:val="008577E8"/>
    <w:rsid w:val="00860AFC"/>
    <w:rsid w:val="0086161F"/>
    <w:rsid w:val="00861DB7"/>
    <w:rsid w:val="008664F9"/>
    <w:rsid w:val="00870A5A"/>
    <w:rsid w:val="00870C67"/>
    <w:rsid w:val="00871D4B"/>
    <w:rsid w:val="00872164"/>
    <w:rsid w:val="00872806"/>
    <w:rsid w:val="008731B4"/>
    <w:rsid w:val="008735DC"/>
    <w:rsid w:val="008750E8"/>
    <w:rsid w:val="00875A20"/>
    <w:rsid w:val="00875B59"/>
    <w:rsid w:val="008801BC"/>
    <w:rsid w:val="00883667"/>
    <w:rsid w:val="00886F31"/>
    <w:rsid w:val="00893058"/>
    <w:rsid w:val="00893AEE"/>
    <w:rsid w:val="008942EE"/>
    <w:rsid w:val="0089742C"/>
    <w:rsid w:val="008A0895"/>
    <w:rsid w:val="008A321D"/>
    <w:rsid w:val="008A48E9"/>
    <w:rsid w:val="008A4EB2"/>
    <w:rsid w:val="008A4FF4"/>
    <w:rsid w:val="008B107C"/>
    <w:rsid w:val="008B6020"/>
    <w:rsid w:val="008B65FA"/>
    <w:rsid w:val="008C4ECE"/>
    <w:rsid w:val="008C7241"/>
    <w:rsid w:val="008C7D89"/>
    <w:rsid w:val="008D4D41"/>
    <w:rsid w:val="008D4E64"/>
    <w:rsid w:val="008D664E"/>
    <w:rsid w:val="008D6F0E"/>
    <w:rsid w:val="008D73DD"/>
    <w:rsid w:val="008D7BEF"/>
    <w:rsid w:val="008E0E7F"/>
    <w:rsid w:val="008E2E72"/>
    <w:rsid w:val="008E333F"/>
    <w:rsid w:val="008E4755"/>
    <w:rsid w:val="008E4CB1"/>
    <w:rsid w:val="008E6FDB"/>
    <w:rsid w:val="008F1AAA"/>
    <w:rsid w:val="008F298B"/>
    <w:rsid w:val="008F5A23"/>
    <w:rsid w:val="008F5CB2"/>
    <w:rsid w:val="0090472F"/>
    <w:rsid w:val="0090746D"/>
    <w:rsid w:val="00907AAD"/>
    <w:rsid w:val="00907E30"/>
    <w:rsid w:val="00910FFF"/>
    <w:rsid w:val="0091397C"/>
    <w:rsid w:val="009147AE"/>
    <w:rsid w:val="0091537A"/>
    <w:rsid w:val="009159E9"/>
    <w:rsid w:val="00917289"/>
    <w:rsid w:val="0092067B"/>
    <w:rsid w:val="00920B70"/>
    <w:rsid w:val="00927F05"/>
    <w:rsid w:val="00933EBC"/>
    <w:rsid w:val="00933EC0"/>
    <w:rsid w:val="00934FCF"/>
    <w:rsid w:val="00935E39"/>
    <w:rsid w:val="00937E48"/>
    <w:rsid w:val="00942047"/>
    <w:rsid w:val="0094220B"/>
    <w:rsid w:val="00944F20"/>
    <w:rsid w:val="00945582"/>
    <w:rsid w:val="00945877"/>
    <w:rsid w:val="00946BAF"/>
    <w:rsid w:val="00951829"/>
    <w:rsid w:val="00952D2F"/>
    <w:rsid w:val="0095434C"/>
    <w:rsid w:val="00954729"/>
    <w:rsid w:val="009574EB"/>
    <w:rsid w:val="00957515"/>
    <w:rsid w:val="00960D70"/>
    <w:rsid w:val="00963DDC"/>
    <w:rsid w:val="009654A2"/>
    <w:rsid w:val="009667A5"/>
    <w:rsid w:val="00966A9F"/>
    <w:rsid w:val="009677DB"/>
    <w:rsid w:val="00973D6B"/>
    <w:rsid w:val="00974116"/>
    <w:rsid w:val="009754F0"/>
    <w:rsid w:val="00975E62"/>
    <w:rsid w:val="009773B6"/>
    <w:rsid w:val="0097773B"/>
    <w:rsid w:val="00981FD1"/>
    <w:rsid w:val="0098584F"/>
    <w:rsid w:val="00987D3D"/>
    <w:rsid w:val="00987DCC"/>
    <w:rsid w:val="0099219D"/>
    <w:rsid w:val="00992224"/>
    <w:rsid w:val="00992FF7"/>
    <w:rsid w:val="0099545A"/>
    <w:rsid w:val="009A1FDB"/>
    <w:rsid w:val="009A399A"/>
    <w:rsid w:val="009A3A93"/>
    <w:rsid w:val="009A522F"/>
    <w:rsid w:val="009A66DA"/>
    <w:rsid w:val="009A6E15"/>
    <w:rsid w:val="009B0C21"/>
    <w:rsid w:val="009B26B0"/>
    <w:rsid w:val="009B2AC1"/>
    <w:rsid w:val="009B2AF3"/>
    <w:rsid w:val="009B7568"/>
    <w:rsid w:val="009C43B4"/>
    <w:rsid w:val="009C66A4"/>
    <w:rsid w:val="009C7BAA"/>
    <w:rsid w:val="009D0D1C"/>
    <w:rsid w:val="009D467D"/>
    <w:rsid w:val="009D655B"/>
    <w:rsid w:val="009D69E7"/>
    <w:rsid w:val="009D6F64"/>
    <w:rsid w:val="009D7C92"/>
    <w:rsid w:val="009E0EE5"/>
    <w:rsid w:val="009E3C69"/>
    <w:rsid w:val="009E63D0"/>
    <w:rsid w:val="009F08DC"/>
    <w:rsid w:val="009F1E7F"/>
    <w:rsid w:val="009F4316"/>
    <w:rsid w:val="00A00CF9"/>
    <w:rsid w:val="00A020A4"/>
    <w:rsid w:val="00A0341B"/>
    <w:rsid w:val="00A075AB"/>
    <w:rsid w:val="00A07B29"/>
    <w:rsid w:val="00A123E8"/>
    <w:rsid w:val="00A13EB9"/>
    <w:rsid w:val="00A15ADA"/>
    <w:rsid w:val="00A20316"/>
    <w:rsid w:val="00A21A36"/>
    <w:rsid w:val="00A260F5"/>
    <w:rsid w:val="00A26D01"/>
    <w:rsid w:val="00A34839"/>
    <w:rsid w:val="00A449B9"/>
    <w:rsid w:val="00A4660A"/>
    <w:rsid w:val="00A47B04"/>
    <w:rsid w:val="00A50710"/>
    <w:rsid w:val="00A50F04"/>
    <w:rsid w:val="00A56BFD"/>
    <w:rsid w:val="00A56CD5"/>
    <w:rsid w:val="00A57E6A"/>
    <w:rsid w:val="00A624E2"/>
    <w:rsid w:val="00A65054"/>
    <w:rsid w:val="00A66A72"/>
    <w:rsid w:val="00A7116E"/>
    <w:rsid w:val="00A724BA"/>
    <w:rsid w:val="00A72E0C"/>
    <w:rsid w:val="00A75315"/>
    <w:rsid w:val="00A75B07"/>
    <w:rsid w:val="00A75EA9"/>
    <w:rsid w:val="00A7629A"/>
    <w:rsid w:val="00A76825"/>
    <w:rsid w:val="00A768E8"/>
    <w:rsid w:val="00A84501"/>
    <w:rsid w:val="00A86989"/>
    <w:rsid w:val="00A87E5B"/>
    <w:rsid w:val="00A90431"/>
    <w:rsid w:val="00A9636D"/>
    <w:rsid w:val="00A96D70"/>
    <w:rsid w:val="00A9773B"/>
    <w:rsid w:val="00AA0ABD"/>
    <w:rsid w:val="00AA17DA"/>
    <w:rsid w:val="00AA256C"/>
    <w:rsid w:val="00AA2A6A"/>
    <w:rsid w:val="00AA5DC1"/>
    <w:rsid w:val="00AA60EA"/>
    <w:rsid w:val="00AB01D3"/>
    <w:rsid w:val="00AB2C4F"/>
    <w:rsid w:val="00AB4EB1"/>
    <w:rsid w:val="00AC2C87"/>
    <w:rsid w:val="00AC3B30"/>
    <w:rsid w:val="00AC4931"/>
    <w:rsid w:val="00AC4DF8"/>
    <w:rsid w:val="00AC57B3"/>
    <w:rsid w:val="00AD1220"/>
    <w:rsid w:val="00AD2AEB"/>
    <w:rsid w:val="00AD5BED"/>
    <w:rsid w:val="00AE1DE5"/>
    <w:rsid w:val="00AE3CA0"/>
    <w:rsid w:val="00AE59BF"/>
    <w:rsid w:val="00AF054F"/>
    <w:rsid w:val="00AF665E"/>
    <w:rsid w:val="00B00466"/>
    <w:rsid w:val="00B03352"/>
    <w:rsid w:val="00B106B6"/>
    <w:rsid w:val="00B10CC2"/>
    <w:rsid w:val="00B126C5"/>
    <w:rsid w:val="00B13D0F"/>
    <w:rsid w:val="00B15F61"/>
    <w:rsid w:val="00B21E09"/>
    <w:rsid w:val="00B2556F"/>
    <w:rsid w:val="00B26D18"/>
    <w:rsid w:val="00B26D8D"/>
    <w:rsid w:val="00B27434"/>
    <w:rsid w:val="00B27F5D"/>
    <w:rsid w:val="00B30635"/>
    <w:rsid w:val="00B33BB0"/>
    <w:rsid w:val="00B351F1"/>
    <w:rsid w:val="00B35902"/>
    <w:rsid w:val="00B3623A"/>
    <w:rsid w:val="00B37F86"/>
    <w:rsid w:val="00B44082"/>
    <w:rsid w:val="00B45460"/>
    <w:rsid w:val="00B45EFD"/>
    <w:rsid w:val="00B46690"/>
    <w:rsid w:val="00B4781E"/>
    <w:rsid w:val="00B47B91"/>
    <w:rsid w:val="00B52DDB"/>
    <w:rsid w:val="00B52F6D"/>
    <w:rsid w:val="00B55C0A"/>
    <w:rsid w:val="00B55D5A"/>
    <w:rsid w:val="00B60333"/>
    <w:rsid w:val="00B61C65"/>
    <w:rsid w:val="00B621B0"/>
    <w:rsid w:val="00B6292C"/>
    <w:rsid w:val="00B6535F"/>
    <w:rsid w:val="00B70C6A"/>
    <w:rsid w:val="00B74954"/>
    <w:rsid w:val="00B7602D"/>
    <w:rsid w:val="00B84C3E"/>
    <w:rsid w:val="00B9083D"/>
    <w:rsid w:val="00B928DF"/>
    <w:rsid w:val="00B936BE"/>
    <w:rsid w:val="00B94909"/>
    <w:rsid w:val="00B97AD3"/>
    <w:rsid w:val="00BA0B74"/>
    <w:rsid w:val="00BA0ED5"/>
    <w:rsid w:val="00BA28A5"/>
    <w:rsid w:val="00BA395B"/>
    <w:rsid w:val="00BA64B3"/>
    <w:rsid w:val="00BA698A"/>
    <w:rsid w:val="00BB0120"/>
    <w:rsid w:val="00BB1502"/>
    <w:rsid w:val="00BB4538"/>
    <w:rsid w:val="00BB4B3A"/>
    <w:rsid w:val="00BB4B76"/>
    <w:rsid w:val="00BB5155"/>
    <w:rsid w:val="00BC0BDB"/>
    <w:rsid w:val="00BC1E72"/>
    <w:rsid w:val="00BC2A27"/>
    <w:rsid w:val="00BC54D9"/>
    <w:rsid w:val="00BC6D55"/>
    <w:rsid w:val="00BC75C2"/>
    <w:rsid w:val="00BC7D97"/>
    <w:rsid w:val="00BE34A8"/>
    <w:rsid w:val="00BE44CA"/>
    <w:rsid w:val="00BE480D"/>
    <w:rsid w:val="00BE498D"/>
    <w:rsid w:val="00BE5905"/>
    <w:rsid w:val="00BE7840"/>
    <w:rsid w:val="00BF19BB"/>
    <w:rsid w:val="00BF5ED6"/>
    <w:rsid w:val="00BF67D5"/>
    <w:rsid w:val="00BF6B2E"/>
    <w:rsid w:val="00BF711A"/>
    <w:rsid w:val="00C00506"/>
    <w:rsid w:val="00C03DB3"/>
    <w:rsid w:val="00C05238"/>
    <w:rsid w:val="00C056EB"/>
    <w:rsid w:val="00C10F35"/>
    <w:rsid w:val="00C115F9"/>
    <w:rsid w:val="00C147E0"/>
    <w:rsid w:val="00C15A21"/>
    <w:rsid w:val="00C16332"/>
    <w:rsid w:val="00C16B55"/>
    <w:rsid w:val="00C17724"/>
    <w:rsid w:val="00C1788C"/>
    <w:rsid w:val="00C17F20"/>
    <w:rsid w:val="00C222AF"/>
    <w:rsid w:val="00C23E9B"/>
    <w:rsid w:val="00C27E5A"/>
    <w:rsid w:val="00C30A20"/>
    <w:rsid w:val="00C30CCD"/>
    <w:rsid w:val="00C345AD"/>
    <w:rsid w:val="00C3503B"/>
    <w:rsid w:val="00C35521"/>
    <w:rsid w:val="00C35F31"/>
    <w:rsid w:val="00C36851"/>
    <w:rsid w:val="00C36F99"/>
    <w:rsid w:val="00C37B89"/>
    <w:rsid w:val="00C411AE"/>
    <w:rsid w:val="00C421E5"/>
    <w:rsid w:val="00C424E5"/>
    <w:rsid w:val="00C42AE5"/>
    <w:rsid w:val="00C43225"/>
    <w:rsid w:val="00C451AF"/>
    <w:rsid w:val="00C467EE"/>
    <w:rsid w:val="00C506DB"/>
    <w:rsid w:val="00C50DCA"/>
    <w:rsid w:val="00C61636"/>
    <w:rsid w:val="00C623BE"/>
    <w:rsid w:val="00C64A0F"/>
    <w:rsid w:val="00C762D2"/>
    <w:rsid w:val="00C8134D"/>
    <w:rsid w:val="00C82EA1"/>
    <w:rsid w:val="00C837C7"/>
    <w:rsid w:val="00C919C6"/>
    <w:rsid w:val="00C961BD"/>
    <w:rsid w:val="00C964F7"/>
    <w:rsid w:val="00C97172"/>
    <w:rsid w:val="00CA55B1"/>
    <w:rsid w:val="00CA6413"/>
    <w:rsid w:val="00CB1F19"/>
    <w:rsid w:val="00CB203E"/>
    <w:rsid w:val="00CB2FDE"/>
    <w:rsid w:val="00CB33BC"/>
    <w:rsid w:val="00CB77F8"/>
    <w:rsid w:val="00CC0555"/>
    <w:rsid w:val="00CC33FB"/>
    <w:rsid w:val="00CC521C"/>
    <w:rsid w:val="00CC58CD"/>
    <w:rsid w:val="00CC7FCD"/>
    <w:rsid w:val="00CD2B86"/>
    <w:rsid w:val="00CD2C99"/>
    <w:rsid w:val="00CD484B"/>
    <w:rsid w:val="00CD713B"/>
    <w:rsid w:val="00CE39BE"/>
    <w:rsid w:val="00CE4EE3"/>
    <w:rsid w:val="00CF0948"/>
    <w:rsid w:val="00CF5CF0"/>
    <w:rsid w:val="00D06B94"/>
    <w:rsid w:val="00D07EB6"/>
    <w:rsid w:val="00D106A0"/>
    <w:rsid w:val="00D12500"/>
    <w:rsid w:val="00D1508D"/>
    <w:rsid w:val="00D15F7F"/>
    <w:rsid w:val="00D16BC7"/>
    <w:rsid w:val="00D20C92"/>
    <w:rsid w:val="00D217AA"/>
    <w:rsid w:val="00D21E97"/>
    <w:rsid w:val="00D25120"/>
    <w:rsid w:val="00D25752"/>
    <w:rsid w:val="00D30753"/>
    <w:rsid w:val="00D3113C"/>
    <w:rsid w:val="00D32F08"/>
    <w:rsid w:val="00D34F1F"/>
    <w:rsid w:val="00D36D2B"/>
    <w:rsid w:val="00D43DD4"/>
    <w:rsid w:val="00D44483"/>
    <w:rsid w:val="00D45697"/>
    <w:rsid w:val="00D51241"/>
    <w:rsid w:val="00D52633"/>
    <w:rsid w:val="00D52FA1"/>
    <w:rsid w:val="00D53723"/>
    <w:rsid w:val="00D54FCB"/>
    <w:rsid w:val="00D55DFD"/>
    <w:rsid w:val="00D56738"/>
    <w:rsid w:val="00D56882"/>
    <w:rsid w:val="00D56D55"/>
    <w:rsid w:val="00D5785A"/>
    <w:rsid w:val="00D614BC"/>
    <w:rsid w:val="00D636F4"/>
    <w:rsid w:val="00D63816"/>
    <w:rsid w:val="00D661C2"/>
    <w:rsid w:val="00D67839"/>
    <w:rsid w:val="00D70D01"/>
    <w:rsid w:val="00D7175B"/>
    <w:rsid w:val="00D732BC"/>
    <w:rsid w:val="00D737D7"/>
    <w:rsid w:val="00D74587"/>
    <w:rsid w:val="00D831FB"/>
    <w:rsid w:val="00D86A61"/>
    <w:rsid w:val="00D86E82"/>
    <w:rsid w:val="00D90D2F"/>
    <w:rsid w:val="00D91DE2"/>
    <w:rsid w:val="00D92FC3"/>
    <w:rsid w:val="00D93FF5"/>
    <w:rsid w:val="00D953DA"/>
    <w:rsid w:val="00D96358"/>
    <w:rsid w:val="00DA1CEA"/>
    <w:rsid w:val="00DA5E88"/>
    <w:rsid w:val="00DA6379"/>
    <w:rsid w:val="00DB3A1C"/>
    <w:rsid w:val="00DB3AA5"/>
    <w:rsid w:val="00DB68F9"/>
    <w:rsid w:val="00DC0B85"/>
    <w:rsid w:val="00DC41B7"/>
    <w:rsid w:val="00DD0304"/>
    <w:rsid w:val="00DD1D39"/>
    <w:rsid w:val="00DD52F9"/>
    <w:rsid w:val="00DE0DD1"/>
    <w:rsid w:val="00DE2A29"/>
    <w:rsid w:val="00DE3C0A"/>
    <w:rsid w:val="00DE601C"/>
    <w:rsid w:val="00DF0638"/>
    <w:rsid w:val="00DF14D6"/>
    <w:rsid w:val="00DF4170"/>
    <w:rsid w:val="00DF4B85"/>
    <w:rsid w:val="00DF56A4"/>
    <w:rsid w:val="00DF637D"/>
    <w:rsid w:val="00DF7BE4"/>
    <w:rsid w:val="00E02982"/>
    <w:rsid w:val="00E02A9E"/>
    <w:rsid w:val="00E0323B"/>
    <w:rsid w:val="00E05CD3"/>
    <w:rsid w:val="00E06691"/>
    <w:rsid w:val="00E06AE1"/>
    <w:rsid w:val="00E071D0"/>
    <w:rsid w:val="00E12BDF"/>
    <w:rsid w:val="00E1325B"/>
    <w:rsid w:val="00E16BE6"/>
    <w:rsid w:val="00E170EB"/>
    <w:rsid w:val="00E2147A"/>
    <w:rsid w:val="00E235D0"/>
    <w:rsid w:val="00E25436"/>
    <w:rsid w:val="00E254F3"/>
    <w:rsid w:val="00E26C81"/>
    <w:rsid w:val="00E26EB6"/>
    <w:rsid w:val="00E27F7C"/>
    <w:rsid w:val="00E342CD"/>
    <w:rsid w:val="00E3551F"/>
    <w:rsid w:val="00E35A5A"/>
    <w:rsid w:val="00E41549"/>
    <w:rsid w:val="00E4523A"/>
    <w:rsid w:val="00E4669F"/>
    <w:rsid w:val="00E46CE3"/>
    <w:rsid w:val="00E51E36"/>
    <w:rsid w:val="00E54BB3"/>
    <w:rsid w:val="00E55B1E"/>
    <w:rsid w:val="00E55C31"/>
    <w:rsid w:val="00E56A41"/>
    <w:rsid w:val="00E56C33"/>
    <w:rsid w:val="00E60285"/>
    <w:rsid w:val="00E6061D"/>
    <w:rsid w:val="00E6239C"/>
    <w:rsid w:val="00E64E05"/>
    <w:rsid w:val="00E65C5A"/>
    <w:rsid w:val="00E67951"/>
    <w:rsid w:val="00E71CD5"/>
    <w:rsid w:val="00E71FEF"/>
    <w:rsid w:val="00E72203"/>
    <w:rsid w:val="00E73D37"/>
    <w:rsid w:val="00E74E05"/>
    <w:rsid w:val="00E75C78"/>
    <w:rsid w:val="00E81481"/>
    <w:rsid w:val="00E82F60"/>
    <w:rsid w:val="00E85409"/>
    <w:rsid w:val="00E87AC6"/>
    <w:rsid w:val="00E924DC"/>
    <w:rsid w:val="00E92E62"/>
    <w:rsid w:val="00E9349F"/>
    <w:rsid w:val="00E97A2F"/>
    <w:rsid w:val="00E97C8C"/>
    <w:rsid w:val="00EA1A21"/>
    <w:rsid w:val="00EA214F"/>
    <w:rsid w:val="00EA2377"/>
    <w:rsid w:val="00EA38A9"/>
    <w:rsid w:val="00EA3B05"/>
    <w:rsid w:val="00EA3B75"/>
    <w:rsid w:val="00EA771F"/>
    <w:rsid w:val="00EB2E74"/>
    <w:rsid w:val="00EB311D"/>
    <w:rsid w:val="00EB56A9"/>
    <w:rsid w:val="00EB7BCE"/>
    <w:rsid w:val="00EC01FE"/>
    <w:rsid w:val="00EC2F21"/>
    <w:rsid w:val="00EC4B6D"/>
    <w:rsid w:val="00EC509C"/>
    <w:rsid w:val="00EC6D29"/>
    <w:rsid w:val="00ED39A9"/>
    <w:rsid w:val="00ED45F2"/>
    <w:rsid w:val="00ED49BB"/>
    <w:rsid w:val="00ED5926"/>
    <w:rsid w:val="00EE0AA4"/>
    <w:rsid w:val="00EE223E"/>
    <w:rsid w:val="00EE2AC2"/>
    <w:rsid w:val="00EE625D"/>
    <w:rsid w:val="00EE63FC"/>
    <w:rsid w:val="00EF12A3"/>
    <w:rsid w:val="00EF24D7"/>
    <w:rsid w:val="00EF5279"/>
    <w:rsid w:val="00EF7BBD"/>
    <w:rsid w:val="00EF7F9B"/>
    <w:rsid w:val="00F002A2"/>
    <w:rsid w:val="00F01BF0"/>
    <w:rsid w:val="00F02F9E"/>
    <w:rsid w:val="00F11440"/>
    <w:rsid w:val="00F11A5E"/>
    <w:rsid w:val="00F1456A"/>
    <w:rsid w:val="00F14793"/>
    <w:rsid w:val="00F17EAF"/>
    <w:rsid w:val="00F17FB1"/>
    <w:rsid w:val="00F21CC3"/>
    <w:rsid w:val="00F27FE6"/>
    <w:rsid w:val="00F373E3"/>
    <w:rsid w:val="00F4277B"/>
    <w:rsid w:val="00F43985"/>
    <w:rsid w:val="00F45A12"/>
    <w:rsid w:val="00F46921"/>
    <w:rsid w:val="00F53528"/>
    <w:rsid w:val="00F55BF4"/>
    <w:rsid w:val="00F56BB4"/>
    <w:rsid w:val="00F600C2"/>
    <w:rsid w:val="00F63586"/>
    <w:rsid w:val="00F64B0B"/>
    <w:rsid w:val="00F650F8"/>
    <w:rsid w:val="00F70A8A"/>
    <w:rsid w:val="00F70B58"/>
    <w:rsid w:val="00F70B92"/>
    <w:rsid w:val="00F72391"/>
    <w:rsid w:val="00F7251C"/>
    <w:rsid w:val="00F72AC9"/>
    <w:rsid w:val="00F7607C"/>
    <w:rsid w:val="00F7645D"/>
    <w:rsid w:val="00F76637"/>
    <w:rsid w:val="00F817BE"/>
    <w:rsid w:val="00F83701"/>
    <w:rsid w:val="00F87C6F"/>
    <w:rsid w:val="00F90574"/>
    <w:rsid w:val="00F90935"/>
    <w:rsid w:val="00F90E42"/>
    <w:rsid w:val="00F9121F"/>
    <w:rsid w:val="00F92046"/>
    <w:rsid w:val="00F9513B"/>
    <w:rsid w:val="00FA3456"/>
    <w:rsid w:val="00FA614B"/>
    <w:rsid w:val="00FB0822"/>
    <w:rsid w:val="00FB34EC"/>
    <w:rsid w:val="00FB417D"/>
    <w:rsid w:val="00FB6E06"/>
    <w:rsid w:val="00FC00A2"/>
    <w:rsid w:val="00FC18B6"/>
    <w:rsid w:val="00FC39A0"/>
    <w:rsid w:val="00FD19F0"/>
    <w:rsid w:val="00FD2294"/>
    <w:rsid w:val="00FD4986"/>
    <w:rsid w:val="00FE0AF6"/>
    <w:rsid w:val="00FE6A43"/>
    <w:rsid w:val="00FF0BF1"/>
    <w:rsid w:val="00FF0D25"/>
    <w:rsid w:val="00FF345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16C58"/>
    <w:rPr>
      <w:sz w:val="24"/>
      <w:szCs w:val="24"/>
    </w:rPr>
  </w:style>
  <w:style w:type="paragraph" w:styleId="Heading1">
    <w:name w:val="heading 1"/>
    <w:basedOn w:val="Normal"/>
    <w:next w:val="Normal"/>
    <w:link w:val="Heading1Char"/>
    <w:uiPriority w:val="9"/>
    <w:qFormat/>
    <w:rsid w:val="00DF56A4"/>
    <w:pPr>
      <w:keepNext/>
      <w:tabs>
        <w:tab w:val="center" w:pos="5954"/>
      </w:tabs>
      <w:ind w:right="-1"/>
      <w:jc w:val="right"/>
      <w:outlineLvl w:val="0"/>
    </w:pPr>
    <w:rPr>
      <w:b/>
      <w:caps/>
      <w:lang w:val="it-IT"/>
    </w:rPr>
  </w:style>
  <w:style w:type="paragraph" w:styleId="Heading2">
    <w:name w:val="heading 2"/>
    <w:basedOn w:val="Normal"/>
    <w:next w:val="Normal"/>
    <w:link w:val="Heading2Char"/>
    <w:uiPriority w:val="9"/>
    <w:qFormat/>
    <w:rsid w:val="002231C5"/>
    <w:pPr>
      <w:keepNext/>
      <w:spacing w:before="240" w:after="60"/>
      <w:outlineLvl w:val="1"/>
    </w:pPr>
    <w:rPr>
      <w:rFonts w:ascii="Arial" w:hAnsi="Arial"/>
      <w:b/>
      <w:bCs/>
      <w:i/>
      <w:iCs/>
      <w:sz w:val="28"/>
      <w:szCs w:val="28"/>
    </w:rPr>
  </w:style>
  <w:style w:type="paragraph" w:styleId="Heading3">
    <w:name w:val="heading 3"/>
    <w:basedOn w:val="Normal"/>
    <w:next w:val="Normal"/>
    <w:qFormat/>
    <w:rsid w:val="00E71FEF"/>
    <w:pPr>
      <w:keepNext/>
      <w:numPr>
        <w:ilvl w:val="2"/>
        <w:numId w:val="1"/>
      </w:numPr>
      <w:suppressAutoHyphens/>
      <w:spacing w:before="240" w:after="60"/>
      <w:outlineLvl w:val="2"/>
    </w:pPr>
    <w:rPr>
      <w:rFonts w:ascii="Arial Narrow" w:hAnsi="Arial Narrow" w:cs="Arial"/>
      <w:b/>
      <w:bCs/>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
    <w:name w:val="Char Char Char"/>
    <w:basedOn w:val="Normal"/>
    <w:rsid w:val="00591F89"/>
    <w:pPr>
      <w:spacing w:after="160" w:line="240" w:lineRule="exact"/>
    </w:pPr>
    <w:rPr>
      <w:rFonts w:ascii="Tahoma" w:eastAsia="MS Mincho" w:hAnsi="Tahoma"/>
      <w:sz w:val="20"/>
      <w:szCs w:val="20"/>
    </w:rPr>
  </w:style>
  <w:style w:type="paragraph" w:styleId="ListBullet2">
    <w:name w:val="List Bullet 2"/>
    <w:basedOn w:val="Normal"/>
    <w:autoRedefine/>
    <w:rsid w:val="00EA3B05"/>
    <w:pPr>
      <w:tabs>
        <w:tab w:val="left" w:pos="1440"/>
      </w:tabs>
      <w:jc w:val="both"/>
    </w:pPr>
    <w:rPr>
      <w:bCs/>
      <w:lang w:val="sq-AL"/>
    </w:rPr>
  </w:style>
  <w:style w:type="paragraph" w:styleId="BodyText">
    <w:name w:val="Body Text"/>
    <w:basedOn w:val="Normal"/>
    <w:link w:val="BodyTextChar"/>
    <w:rsid w:val="00EA3B05"/>
    <w:pPr>
      <w:jc w:val="both"/>
    </w:pPr>
    <w:rPr>
      <w:rFonts w:ascii="Arial" w:hAnsi="Arial"/>
    </w:rPr>
  </w:style>
  <w:style w:type="paragraph" w:styleId="BodyText2">
    <w:name w:val="Body Text 2"/>
    <w:basedOn w:val="Normal"/>
    <w:rsid w:val="00EA3B05"/>
    <w:pPr>
      <w:jc w:val="both"/>
    </w:pPr>
    <w:rPr>
      <w:rFonts w:ascii="Arial" w:hAnsi="Arial"/>
      <w:b/>
      <w:bCs/>
    </w:rPr>
  </w:style>
  <w:style w:type="table" w:styleId="TableGrid">
    <w:name w:val="Table Grid"/>
    <w:basedOn w:val="TableNormal"/>
    <w:rsid w:val="00EA3B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EA3B05"/>
    <w:pPr>
      <w:tabs>
        <w:tab w:val="center" w:pos="4320"/>
        <w:tab w:val="right" w:pos="8640"/>
      </w:tabs>
    </w:pPr>
  </w:style>
  <w:style w:type="character" w:styleId="PageNumber">
    <w:name w:val="page number"/>
    <w:basedOn w:val="DefaultParagraphFont"/>
    <w:rsid w:val="00EA3B05"/>
  </w:style>
  <w:style w:type="paragraph" w:styleId="Header">
    <w:name w:val="header"/>
    <w:basedOn w:val="Normal"/>
    <w:link w:val="HeaderChar"/>
    <w:uiPriority w:val="99"/>
    <w:rsid w:val="00EA3B05"/>
    <w:pPr>
      <w:tabs>
        <w:tab w:val="center" w:pos="4320"/>
        <w:tab w:val="right" w:pos="8640"/>
      </w:tabs>
    </w:pPr>
  </w:style>
  <w:style w:type="paragraph" w:styleId="TOC1">
    <w:name w:val="toc 1"/>
    <w:basedOn w:val="Normal"/>
    <w:next w:val="Normal"/>
    <w:autoRedefine/>
    <w:uiPriority w:val="39"/>
    <w:rsid w:val="00D44483"/>
    <w:pPr>
      <w:spacing w:before="120" w:after="120" w:line="360" w:lineRule="auto"/>
      <w:jc w:val="center"/>
    </w:pPr>
    <w:rPr>
      <w:b/>
      <w:bCs/>
      <w:caps/>
      <w:szCs w:val="20"/>
    </w:rPr>
  </w:style>
  <w:style w:type="character" w:styleId="Hyperlink">
    <w:name w:val="Hyperlink"/>
    <w:uiPriority w:val="99"/>
    <w:rsid w:val="009147AE"/>
    <w:rPr>
      <w:color w:val="0000FF"/>
      <w:u w:val="single"/>
    </w:rPr>
  </w:style>
  <w:style w:type="paragraph" w:styleId="NormalWeb">
    <w:name w:val="Normal (Web)"/>
    <w:basedOn w:val="Normal"/>
    <w:uiPriority w:val="99"/>
    <w:rsid w:val="007D3AE6"/>
    <w:pPr>
      <w:spacing w:before="100" w:beforeAutospacing="1" w:after="100" w:afterAutospacing="1"/>
    </w:pPr>
    <w:rPr>
      <w:rFonts w:eastAsia="Calibri"/>
    </w:rPr>
  </w:style>
  <w:style w:type="paragraph" w:customStyle="1" w:styleId="CharCharChar0">
    <w:name w:val="Char Char Char"/>
    <w:basedOn w:val="Normal"/>
    <w:rsid w:val="00E6061D"/>
    <w:pPr>
      <w:spacing w:after="160" w:line="240" w:lineRule="exact"/>
    </w:pPr>
    <w:rPr>
      <w:rFonts w:ascii="Tahoma" w:eastAsia="MS Mincho" w:hAnsi="Tahoma"/>
      <w:sz w:val="20"/>
      <w:szCs w:val="20"/>
    </w:rPr>
  </w:style>
  <w:style w:type="paragraph" w:styleId="BodyTextIndent2">
    <w:name w:val="Body Text Indent 2"/>
    <w:basedOn w:val="Normal"/>
    <w:rsid w:val="00204A3A"/>
    <w:pPr>
      <w:spacing w:after="120" w:line="480" w:lineRule="auto"/>
      <w:ind w:left="360"/>
    </w:pPr>
  </w:style>
  <w:style w:type="character" w:customStyle="1" w:styleId="BodyTextChar">
    <w:name w:val="Body Text Char"/>
    <w:link w:val="BodyText"/>
    <w:rsid w:val="00204A3A"/>
    <w:rPr>
      <w:rFonts w:ascii="Arial" w:hAnsi="Arial"/>
      <w:sz w:val="24"/>
      <w:szCs w:val="24"/>
      <w:lang w:val="en-US" w:eastAsia="en-US" w:bidi="ar-SA"/>
    </w:rPr>
  </w:style>
  <w:style w:type="character" w:customStyle="1" w:styleId="FooterChar">
    <w:name w:val="Footer Char"/>
    <w:link w:val="Footer"/>
    <w:uiPriority w:val="99"/>
    <w:rsid w:val="00204A3A"/>
    <w:rPr>
      <w:sz w:val="24"/>
      <w:szCs w:val="24"/>
      <w:lang w:val="en-US" w:eastAsia="en-US" w:bidi="ar-SA"/>
    </w:rPr>
  </w:style>
  <w:style w:type="paragraph" w:styleId="BodyTextIndent">
    <w:name w:val="Body Text Indent"/>
    <w:basedOn w:val="Normal"/>
    <w:rsid w:val="003C2A43"/>
    <w:pPr>
      <w:spacing w:after="120"/>
      <w:ind w:left="360"/>
    </w:pPr>
    <w:rPr>
      <w:rFonts w:eastAsia="Calibri"/>
    </w:rPr>
  </w:style>
  <w:style w:type="character" w:customStyle="1" w:styleId="MessageHeaderLabel">
    <w:name w:val="Message Header Label"/>
    <w:rsid w:val="00DF56A4"/>
    <w:rPr>
      <w:rFonts w:ascii="Arial Black" w:hAnsi="Arial Black"/>
      <w:spacing w:val="-10"/>
      <w:sz w:val="18"/>
    </w:rPr>
  </w:style>
  <w:style w:type="paragraph" w:styleId="Subtitle">
    <w:name w:val="Subtitle"/>
    <w:basedOn w:val="Normal"/>
    <w:qFormat/>
    <w:rsid w:val="00DF56A4"/>
    <w:pPr>
      <w:jc w:val="center"/>
    </w:pPr>
    <w:rPr>
      <w:b/>
      <w:bCs/>
      <w:lang w:val="it-IT"/>
    </w:rPr>
  </w:style>
  <w:style w:type="character" w:styleId="FollowedHyperlink">
    <w:name w:val="FollowedHyperlink"/>
    <w:rsid w:val="00DF56A4"/>
    <w:rPr>
      <w:color w:val="800080"/>
      <w:u w:val="single"/>
    </w:rPr>
  </w:style>
  <w:style w:type="paragraph" w:styleId="TOC3">
    <w:name w:val="toc 3"/>
    <w:basedOn w:val="Normal"/>
    <w:next w:val="Normal"/>
    <w:autoRedefine/>
    <w:semiHidden/>
    <w:rsid w:val="005B1791"/>
    <w:pPr>
      <w:ind w:left="480"/>
    </w:pPr>
    <w:rPr>
      <w:i/>
      <w:iCs/>
      <w:sz w:val="20"/>
      <w:szCs w:val="20"/>
    </w:rPr>
  </w:style>
  <w:style w:type="paragraph" w:styleId="TOC2">
    <w:name w:val="toc 2"/>
    <w:basedOn w:val="Normal"/>
    <w:next w:val="Normal"/>
    <w:autoRedefine/>
    <w:semiHidden/>
    <w:rsid w:val="005B1791"/>
    <w:pPr>
      <w:ind w:left="240"/>
    </w:pPr>
    <w:rPr>
      <w:smallCaps/>
      <w:sz w:val="20"/>
      <w:szCs w:val="20"/>
    </w:rPr>
  </w:style>
  <w:style w:type="paragraph" w:styleId="TOC4">
    <w:name w:val="toc 4"/>
    <w:basedOn w:val="Normal"/>
    <w:next w:val="Normal"/>
    <w:autoRedefine/>
    <w:semiHidden/>
    <w:rsid w:val="006A21BB"/>
    <w:pPr>
      <w:ind w:left="720"/>
    </w:pPr>
    <w:rPr>
      <w:sz w:val="18"/>
      <w:szCs w:val="18"/>
    </w:rPr>
  </w:style>
  <w:style w:type="paragraph" w:styleId="TOC5">
    <w:name w:val="toc 5"/>
    <w:basedOn w:val="Normal"/>
    <w:next w:val="Normal"/>
    <w:autoRedefine/>
    <w:semiHidden/>
    <w:rsid w:val="006A21BB"/>
    <w:pPr>
      <w:ind w:left="960"/>
    </w:pPr>
    <w:rPr>
      <w:sz w:val="18"/>
      <w:szCs w:val="18"/>
    </w:rPr>
  </w:style>
  <w:style w:type="paragraph" w:styleId="TOC6">
    <w:name w:val="toc 6"/>
    <w:basedOn w:val="Normal"/>
    <w:next w:val="Normal"/>
    <w:autoRedefine/>
    <w:semiHidden/>
    <w:rsid w:val="006A21BB"/>
    <w:pPr>
      <w:ind w:left="1200"/>
    </w:pPr>
    <w:rPr>
      <w:sz w:val="18"/>
      <w:szCs w:val="18"/>
    </w:rPr>
  </w:style>
  <w:style w:type="paragraph" w:styleId="TOC7">
    <w:name w:val="toc 7"/>
    <w:basedOn w:val="Normal"/>
    <w:next w:val="Normal"/>
    <w:autoRedefine/>
    <w:semiHidden/>
    <w:rsid w:val="006A21BB"/>
    <w:pPr>
      <w:ind w:left="1440"/>
    </w:pPr>
    <w:rPr>
      <w:sz w:val="18"/>
      <w:szCs w:val="18"/>
    </w:rPr>
  </w:style>
  <w:style w:type="paragraph" w:styleId="TOC8">
    <w:name w:val="toc 8"/>
    <w:basedOn w:val="Normal"/>
    <w:next w:val="Normal"/>
    <w:autoRedefine/>
    <w:semiHidden/>
    <w:rsid w:val="006A21BB"/>
    <w:pPr>
      <w:ind w:left="1680"/>
    </w:pPr>
    <w:rPr>
      <w:sz w:val="18"/>
      <w:szCs w:val="18"/>
    </w:rPr>
  </w:style>
  <w:style w:type="paragraph" w:styleId="TOC9">
    <w:name w:val="toc 9"/>
    <w:basedOn w:val="Normal"/>
    <w:next w:val="Normal"/>
    <w:autoRedefine/>
    <w:semiHidden/>
    <w:rsid w:val="006A21BB"/>
    <w:pPr>
      <w:ind w:left="1920"/>
    </w:pPr>
    <w:rPr>
      <w:sz w:val="18"/>
      <w:szCs w:val="18"/>
    </w:rPr>
  </w:style>
  <w:style w:type="paragraph" w:styleId="BalloonText">
    <w:name w:val="Balloon Text"/>
    <w:basedOn w:val="Normal"/>
    <w:link w:val="BalloonTextChar"/>
    <w:uiPriority w:val="99"/>
    <w:semiHidden/>
    <w:rsid w:val="00E05CD3"/>
    <w:rPr>
      <w:rFonts w:ascii="Tahoma" w:hAnsi="Tahoma"/>
      <w:sz w:val="16"/>
      <w:szCs w:val="16"/>
    </w:rPr>
  </w:style>
  <w:style w:type="paragraph" w:customStyle="1" w:styleId="ColorfulList-Accent11">
    <w:name w:val="Colorful List - Accent 11"/>
    <w:basedOn w:val="Normal"/>
    <w:uiPriority w:val="34"/>
    <w:qFormat/>
    <w:rsid w:val="000B77EA"/>
    <w:pPr>
      <w:ind w:left="720"/>
    </w:pPr>
    <w:rPr>
      <w:rFonts w:eastAsia="Calibri"/>
    </w:rPr>
  </w:style>
  <w:style w:type="character" w:customStyle="1" w:styleId="BalloonTextChar">
    <w:name w:val="Balloon Text Char"/>
    <w:link w:val="BalloonText"/>
    <w:uiPriority w:val="99"/>
    <w:semiHidden/>
    <w:rsid w:val="000B77EA"/>
    <w:rPr>
      <w:rFonts w:ascii="Tahoma" w:hAnsi="Tahoma" w:cs="Tahoma"/>
      <w:sz w:val="16"/>
      <w:szCs w:val="16"/>
    </w:rPr>
  </w:style>
  <w:style w:type="table" w:styleId="TableColumns5">
    <w:name w:val="Table Columns 5"/>
    <w:basedOn w:val="TableNormal"/>
    <w:rsid w:val="000A34E1"/>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Heading2Char">
    <w:name w:val="Heading 2 Char"/>
    <w:link w:val="Heading2"/>
    <w:uiPriority w:val="9"/>
    <w:rsid w:val="00D614BC"/>
    <w:rPr>
      <w:rFonts w:ascii="Arial" w:hAnsi="Arial" w:cs="Arial"/>
      <w:b/>
      <w:bCs/>
      <w:i/>
      <w:iCs/>
      <w:sz w:val="28"/>
      <w:szCs w:val="28"/>
      <w:lang w:val="en-US" w:eastAsia="en-US"/>
    </w:rPr>
  </w:style>
  <w:style w:type="paragraph" w:styleId="FootnoteText">
    <w:name w:val="footnote text"/>
    <w:basedOn w:val="Normal"/>
    <w:link w:val="FootnoteTextChar"/>
    <w:rsid w:val="001472BF"/>
    <w:rPr>
      <w:sz w:val="20"/>
      <w:szCs w:val="20"/>
    </w:rPr>
  </w:style>
  <w:style w:type="character" w:customStyle="1" w:styleId="FootnoteTextChar">
    <w:name w:val="Footnote Text Char"/>
    <w:basedOn w:val="DefaultParagraphFont"/>
    <w:link w:val="FootnoteText"/>
    <w:rsid w:val="001472BF"/>
  </w:style>
  <w:style w:type="character" w:styleId="FootnoteReference">
    <w:name w:val="footnote reference"/>
    <w:rsid w:val="001472BF"/>
    <w:rPr>
      <w:vertAlign w:val="superscript"/>
    </w:rPr>
  </w:style>
  <w:style w:type="character" w:styleId="CommentReference">
    <w:name w:val="annotation reference"/>
    <w:rsid w:val="00A75315"/>
    <w:rPr>
      <w:sz w:val="18"/>
      <w:szCs w:val="18"/>
    </w:rPr>
  </w:style>
  <w:style w:type="paragraph" w:styleId="CommentText">
    <w:name w:val="annotation text"/>
    <w:basedOn w:val="Normal"/>
    <w:link w:val="CommentTextChar"/>
    <w:rsid w:val="00A75315"/>
  </w:style>
  <w:style w:type="character" w:customStyle="1" w:styleId="CommentTextChar">
    <w:name w:val="Comment Text Char"/>
    <w:link w:val="CommentText"/>
    <w:rsid w:val="00A75315"/>
    <w:rPr>
      <w:sz w:val="24"/>
      <w:szCs w:val="24"/>
    </w:rPr>
  </w:style>
  <w:style w:type="paragraph" w:styleId="CommentSubject">
    <w:name w:val="annotation subject"/>
    <w:basedOn w:val="CommentText"/>
    <w:next w:val="CommentText"/>
    <w:link w:val="CommentSubjectChar"/>
    <w:rsid w:val="00A75315"/>
    <w:rPr>
      <w:b/>
      <w:bCs/>
    </w:rPr>
  </w:style>
  <w:style w:type="character" w:customStyle="1" w:styleId="CommentSubjectChar">
    <w:name w:val="Comment Subject Char"/>
    <w:link w:val="CommentSubject"/>
    <w:rsid w:val="00A75315"/>
    <w:rPr>
      <w:b/>
      <w:bCs/>
      <w:sz w:val="24"/>
      <w:szCs w:val="24"/>
    </w:rPr>
  </w:style>
  <w:style w:type="paragraph" w:styleId="NoSpacing">
    <w:name w:val="No Spacing"/>
    <w:link w:val="NoSpacingChar"/>
    <w:uiPriority w:val="1"/>
    <w:qFormat/>
    <w:rsid w:val="00B30635"/>
    <w:rPr>
      <w:rFonts w:ascii="Calibri" w:hAnsi="Calibri"/>
      <w:sz w:val="22"/>
      <w:szCs w:val="22"/>
    </w:rPr>
  </w:style>
  <w:style w:type="character" w:customStyle="1" w:styleId="NoSpacingChar">
    <w:name w:val="No Spacing Char"/>
    <w:link w:val="NoSpacing"/>
    <w:uiPriority w:val="1"/>
    <w:rsid w:val="00B30635"/>
    <w:rPr>
      <w:rFonts w:ascii="Calibri" w:hAnsi="Calibri"/>
      <w:sz w:val="22"/>
      <w:szCs w:val="22"/>
      <w:lang w:val="en-US" w:eastAsia="en-US" w:bidi="ar-SA"/>
    </w:rPr>
  </w:style>
  <w:style w:type="character" w:customStyle="1" w:styleId="Heading1Char">
    <w:name w:val="Heading 1 Char"/>
    <w:link w:val="Heading1"/>
    <w:uiPriority w:val="9"/>
    <w:rsid w:val="00B30635"/>
    <w:rPr>
      <w:b/>
      <w:caps/>
      <w:sz w:val="24"/>
      <w:szCs w:val="24"/>
      <w:lang w:val="it-IT"/>
    </w:rPr>
  </w:style>
  <w:style w:type="paragraph" w:styleId="ListParagraph">
    <w:name w:val="List Paragraph"/>
    <w:basedOn w:val="Normal"/>
    <w:uiPriority w:val="34"/>
    <w:qFormat/>
    <w:rsid w:val="00B30635"/>
    <w:pPr>
      <w:spacing w:before="120"/>
      <w:ind w:left="720"/>
      <w:contextualSpacing/>
      <w:jc w:val="center"/>
    </w:pPr>
    <w:rPr>
      <w:rFonts w:ascii="Calibri" w:eastAsia="Calibri" w:hAnsi="Calibri"/>
      <w:sz w:val="22"/>
      <w:szCs w:val="22"/>
      <w:lang w:val="sq-AL"/>
    </w:rPr>
  </w:style>
  <w:style w:type="character" w:customStyle="1" w:styleId="HeaderChar">
    <w:name w:val="Header Char"/>
    <w:link w:val="Header"/>
    <w:uiPriority w:val="99"/>
    <w:rsid w:val="00B30635"/>
    <w:rPr>
      <w:sz w:val="24"/>
      <w:szCs w:val="24"/>
    </w:rPr>
  </w:style>
  <w:style w:type="paragraph" w:customStyle="1" w:styleId="Default">
    <w:name w:val="Default"/>
    <w:rsid w:val="00B30635"/>
    <w:pPr>
      <w:autoSpaceDE w:val="0"/>
      <w:autoSpaceDN w:val="0"/>
      <w:adjustRightInd w:val="0"/>
    </w:pPr>
    <w:rPr>
      <w:rFonts w:eastAsia="Calibri"/>
      <w:color w:val="000000"/>
      <w:sz w:val="24"/>
      <w:szCs w:val="24"/>
    </w:rPr>
  </w:style>
  <w:style w:type="table" w:styleId="TableWeb3">
    <w:name w:val="Table Web 3"/>
    <w:basedOn w:val="TableNormal"/>
    <w:rsid w:val="00ED39A9"/>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Columns3">
    <w:name w:val="Table Columns 3"/>
    <w:basedOn w:val="TableNormal"/>
    <w:rsid w:val="00C919C6"/>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16C58"/>
    <w:rPr>
      <w:sz w:val="24"/>
      <w:szCs w:val="24"/>
    </w:rPr>
  </w:style>
  <w:style w:type="paragraph" w:styleId="Heading1">
    <w:name w:val="heading 1"/>
    <w:basedOn w:val="Normal"/>
    <w:next w:val="Normal"/>
    <w:link w:val="Heading1Char"/>
    <w:uiPriority w:val="9"/>
    <w:qFormat/>
    <w:rsid w:val="00DF56A4"/>
    <w:pPr>
      <w:keepNext/>
      <w:tabs>
        <w:tab w:val="center" w:pos="5954"/>
      </w:tabs>
      <w:ind w:right="-1"/>
      <w:jc w:val="right"/>
      <w:outlineLvl w:val="0"/>
    </w:pPr>
    <w:rPr>
      <w:b/>
      <w:caps/>
      <w:lang w:val="it-IT"/>
    </w:rPr>
  </w:style>
  <w:style w:type="paragraph" w:styleId="Heading2">
    <w:name w:val="heading 2"/>
    <w:basedOn w:val="Normal"/>
    <w:next w:val="Normal"/>
    <w:link w:val="Heading2Char"/>
    <w:uiPriority w:val="9"/>
    <w:qFormat/>
    <w:rsid w:val="002231C5"/>
    <w:pPr>
      <w:keepNext/>
      <w:spacing w:before="240" w:after="60"/>
      <w:outlineLvl w:val="1"/>
    </w:pPr>
    <w:rPr>
      <w:rFonts w:ascii="Arial" w:hAnsi="Arial"/>
      <w:b/>
      <w:bCs/>
      <w:i/>
      <w:iCs/>
      <w:sz w:val="28"/>
      <w:szCs w:val="28"/>
    </w:rPr>
  </w:style>
  <w:style w:type="paragraph" w:styleId="Heading3">
    <w:name w:val="heading 3"/>
    <w:basedOn w:val="Normal"/>
    <w:next w:val="Normal"/>
    <w:qFormat/>
    <w:rsid w:val="00E71FEF"/>
    <w:pPr>
      <w:keepNext/>
      <w:numPr>
        <w:ilvl w:val="2"/>
        <w:numId w:val="1"/>
      </w:numPr>
      <w:suppressAutoHyphens/>
      <w:spacing w:before="240" w:after="60"/>
      <w:outlineLvl w:val="2"/>
    </w:pPr>
    <w:rPr>
      <w:rFonts w:ascii="Arial Narrow" w:hAnsi="Arial Narrow" w:cs="Arial"/>
      <w:b/>
      <w:bCs/>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
    <w:name w:val="Char Char Char"/>
    <w:basedOn w:val="Normal"/>
    <w:rsid w:val="00591F89"/>
    <w:pPr>
      <w:spacing w:after="160" w:line="240" w:lineRule="exact"/>
    </w:pPr>
    <w:rPr>
      <w:rFonts w:ascii="Tahoma" w:eastAsia="MS Mincho" w:hAnsi="Tahoma"/>
      <w:sz w:val="20"/>
      <w:szCs w:val="20"/>
    </w:rPr>
  </w:style>
  <w:style w:type="paragraph" w:styleId="ListBullet2">
    <w:name w:val="List Bullet 2"/>
    <w:basedOn w:val="Normal"/>
    <w:autoRedefine/>
    <w:rsid w:val="00EA3B05"/>
    <w:pPr>
      <w:tabs>
        <w:tab w:val="left" w:pos="1440"/>
      </w:tabs>
      <w:jc w:val="both"/>
    </w:pPr>
    <w:rPr>
      <w:bCs/>
      <w:lang w:val="sq-AL"/>
    </w:rPr>
  </w:style>
  <w:style w:type="paragraph" w:styleId="BodyText">
    <w:name w:val="Body Text"/>
    <w:basedOn w:val="Normal"/>
    <w:link w:val="BodyTextChar"/>
    <w:rsid w:val="00EA3B05"/>
    <w:pPr>
      <w:jc w:val="both"/>
    </w:pPr>
    <w:rPr>
      <w:rFonts w:ascii="Arial" w:hAnsi="Arial"/>
    </w:rPr>
  </w:style>
  <w:style w:type="paragraph" w:styleId="BodyText2">
    <w:name w:val="Body Text 2"/>
    <w:basedOn w:val="Normal"/>
    <w:rsid w:val="00EA3B05"/>
    <w:pPr>
      <w:jc w:val="both"/>
    </w:pPr>
    <w:rPr>
      <w:rFonts w:ascii="Arial" w:hAnsi="Arial"/>
      <w:b/>
      <w:bCs/>
    </w:rPr>
  </w:style>
  <w:style w:type="table" w:styleId="TableGrid">
    <w:name w:val="Table Grid"/>
    <w:basedOn w:val="TableNormal"/>
    <w:rsid w:val="00EA3B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EA3B05"/>
    <w:pPr>
      <w:tabs>
        <w:tab w:val="center" w:pos="4320"/>
        <w:tab w:val="right" w:pos="8640"/>
      </w:tabs>
    </w:pPr>
  </w:style>
  <w:style w:type="character" w:styleId="PageNumber">
    <w:name w:val="page number"/>
    <w:basedOn w:val="DefaultParagraphFont"/>
    <w:rsid w:val="00EA3B05"/>
  </w:style>
  <w:style w:type="paragraph" w:styleId="Header">
    <w:name w:val="header"/>
    <w:basedOn w:val="Normal"/>
    <w:link w:val="HeaderChar"/>
    <w:uiPriority w:val="99"/>
    <w:rsid w:val="00EA3B05"/>
    <w:pPr>
      <w:tabs>
        <w:tab w:val="center" w:pos="4320"/>
        <w:tab w:val="right" w:pos="8640"/>
      </w:tabs>
    </w:pPr>
  </w:style>
  <w:style w:type="paragraph" w:styleId="TOC1">
    <w:name w:val="toc 1"/>
    <w:basedOn w:val="Normal"/>
    <w:next w:val="Normal"/>
    <w:autoRedefine/>
    <w:uiPriority w:val="39"/>
    <w:rsid w:val="00D44483"/>
    <w:pPr>
      <w:spacing w:before="120" w:after="120" w:line="360" w:lineRule="auto"/>
      <w:jc w:val="center"/>
    </w:pPr>
    <w:rPr>
      <w:b/>
      <w:bCs/>
      <w:caps/>
      <w:szCs w:val="20"/>
    </w:rPr>
  </w:style>
  <w:style w:type="character" w:styleId="Hyperlink">
    <w:name w:val="Hyperlink"/>
    <w:uiPriority w:val="99"/>
    <w:rsid w:val="009147AE"/>
    <w:rPr>
      <w:color w:val="0000FF"/>
      <w:u w:val="single"/>
    </w:rPr>
  </w:style>
  <w:style w:type="paragraph" w:styleId="NormalWeb">
    <w:name w:val="Normal (Web)"/>
    <w:basedOn w:val="Normal"/>
    <w:uiPriority w:val="99"/>
    <w:rsid w:val="007D3AE6"/>
    <w:pPr>
      <w:spacing w:before="100" w:beforeAutospacing="1" w:after="100" w:afterAutospacing="1"/>
    </w:pPr>
    <w:rPr>
      <w:rFonts w:eastAsia="Calibri"/>
    </w:rPr>
  </w:style>
  <w:style w:type="paragraph" w:customStyle="1" w:styleId="CharCharChar0">
    <w:name w:val="Char Char Char"/>
    <w:basedOn w:val="Normal"/>
    <w:rsid w:val="00E6061D"/>
    <w:pPr>
      <w:spacing w:after="160" w:line="240" w:lineRule="exact"/>
    </w:pPr>
    <w:rPr>
      <w:rFonts w:ascii="Tahoma" w:eastAsia="MS Mincho" w:hAnsi="Tahoma"/>
      <w:sz w:val="20"/>
      <w:szCs w:val="20"/>
    </w:rPr>
  </w:style>
  <w:style w:type="paragraph" w:styleId="BodyTextIndent2">
    <w:name w:val="Body Text Indent 2"/>
    <w:basedOn w:val="Normal"/>
    <w:rsid w:val="00204A3A"/>
    <w:pPr>
      <w:spacing w:after="120" w:line="480" w:lineRule="auto"/>
      <w:ind w:left="360"/>
    </w:pPr>
  </w:style>
  <w:style w:type="character" w:customStyle="1" w:styleId="BodyTextChar">
    <w:name w:val="Body Text Char"/>
    <w:link w:val="BodyText"/>
    <w:rsid w:val="00204A3A"/>
    <w:rPr>
      <w:rFonts w:ascii="Arial" w:hAnsi="Arial"/>
      <w:sz w:val="24"/>
      <w:szCs w:val="24"/>
      <w:lang w:val="en-US" w:eastAsia="en-US" w:bidi="ar-SA"/>
    </w:rPr>
  </w:style>
  <w:style w:type="character" w:customStyle="1" w:styleId="FooterChar">
    <w:name w:val="Footer Char"/>
    <w:link w:val="Footer"/>
    <w:uiPriority w:val="99"/>
    <w:rsid w:val="00204A3A"/>
    <w:rPr>
      <w:sz w:val="24"/>
      <w:szCs w:val="24"/>
      <w:lang w:val="en-US" w:eastAsia="en-US" w:bidi="ar-SA"/>
    </w:rPr>
  </w:style>
  <w:style w:type="paragraph" w:styleId="BodyTextIndent">
    <w:name w:val="Body Text Indent"/>
    <w:basedOn w:val="Normal"/>
    <w:rsid w:val="003C2A43"/>
    <w:pPr>
      <w:spacing w:after="120"/>
      <w:ind w:left="360"/>
    </w:pPr>
    <w:rPr>
      <w:rFonts w:eastAsia="Calibri"/>
    </w:rPr>
  </w:style>
  <w:style w:type="character" w:customStyle="1" w:styleId="MessageHeaderLabel">
    <w:name w:val="Message Header Label"/>
    <w:rsid w:val="00DF56A4"/>
    <w:rPr>
      <w:rFonts w:ascii="Arial Black" w:hAnsi="Arial Black"/>
      <w:spacing w:val="-10"/>
      <w:sz w:val="18"/>
    </w:rPr>
  </w:style>
  <w:style w:type="paragraph" w:styleId="Subtitle">
    <w:name w:val="Subtitle"/>
    <w:basedOn w:val="Normal"/>
    <w:qFormat/>
    <w:rsid w:val="00DF56A4"/>
    <w:pPr>
      <w:jc w:val="center"/>
    </w:pPr>
    <w:rPr>
      <w:b/>
      <w:bCs/>
      <w:lang w:val="it-IT"/>
    </w:rPr>
  </w:style>
  <w:style w:type="character" w:styleId="FollowedHyperlink">
    <w:name w:val="FollowedHyperlink"/>
    <w:rsid w:val="00DF56A4"/>
    <w:rPr>
      <w:color w:val="800080"/>
      <w:u w:val="single"/>
    </w:rPr>
  </w:style>
  <w:style w:type="paragraph" w:styleId="TOC3">
    <w:name w:val="toc 3"/>
    <w:basedOn w:val="Normal"/>
    <w:next w:val="Normal"/>
    <w:autoRedefine/>
    <w:semiHidden/>
    <w:rsid w:val="005B1791"/>
    <w:pPr>
      <w:ind w:left="480"/>
    </w:pPr>
    <w:rPr>
      <w:i/>
      <w:iCs/>
      <w:sz w:val="20"/>
      <w:szCs w:val="20"/>
    </w:rPr>
  </w:style>
  <w:style w:type="paragraph" w:styleId="TOC2">
    <w:name w:val="toc 2"/>
    <w:basedOn w:val="Normal"/>
    <w:next w:val="Normal"/>
    <w:autoRedefine/>
    <w:semiHidden/>
    <w:rsid w:val="005B1791"/>
    <w:pPr>
      <w:ind w:left="240"/>
    </w:pPr>
    <w:rPr>
      <w:smallCaps/>
      <w:sz w:val="20"/>
      <w:szCs w:val="20"/>
    </w:rPr>
  </w:style>
  <w:style w:type="paragraph" w:styleId="TOC4">
    <w:name w:val="toc 4"/>
    <w:basedOn w:val="Normal"/>
    <w:next w:val="Normal"/>
    <w:autoRedefine/>
    <w:semiHidden/>
    <w:rsid w:val="006A21BB"/>
    <w:pPr>
      <w:ind w:left="720"/>
    </w:pPr>
    <w:rPr>
      <w:sz w:val="18"/>
      <w:szCs w:val="18"/>
    </w:rPr>
  </w:style>
  <w:style w:type="paragraph" w:styleId="TOC5">
    <w:name w:val="toc 5"/>
    <w:basedOn w:val="Normal"/>
    <w:next w:val="Normal"/>
    <w:autoRedefine/>
    <w:semiHidden/>
    <w:rsid w:val="006A21BB"/>
    <w:pPr>
      <w:ind w:left="960"/>
    </w:pPr>
    <w:rPr>
      <w:sz w:val="18"/>
      <w:szCs w:val="18"/>
    </w:rPr>
  </w:style>
  <w:style w:type="paragraph" w:styleId="TOC6">
    <w:name w:val="toc 6"/>
    <w:basedOn w:val="Normal"/>
    <w:next w:val="Normal"/>
    <w:autoRedefine/>
    <w:semiHidden/>
    <w:rsid w:val="006A21BB"/>
    <w:pPr>
      <w:ind w:left="1200"/>
    </w:pPr>
    <w:rPr>
      <w:sz w:val="18"/>
      <w:szCs w:val="18"/>
    </w:rPr>
  </w:style>
  <w:style w:type="paragraph" w:styleId="TOC7">
    <w:name w:val="toc 7"/>
    <w:basedOn w:val="Normal"/>
    <w:next w:val="Normal"/>
    <w:autoRedefine/>
    <w:semiHidden/>
    <w:rsid w:val="006A21BB"/>
    <w:pPr>
      <w:ind w:left="1440"/>
    </w:pPr>
    <w:rPr>
      <w:sz w:val="18"/>
      <w:szCs w:val="18"/>
    </w:rPr>
  </w:style>
  <w:style w:type="paragraph" w:styleId="TOC8">
    <w:name w:val="toc 8"/>
    <w:basedOn w:val="Normal"/>
    <w:next w:val="Normal"/>
    <w:autoRedefine/>
    <w:semiHidden/>
    <w:rsid w:val="006A21BB"/>
    <w:pPr>
      <w:ind w:left="1680"/>
    </w:pPr>
    <w:rPr>
      <w:sz w:val="18"/>
      <w:szCs w:val="18"/>
    </w:rPr>
  </w:style>
  <w:style w:type="paragraph" w:styleId="TOC9">
    <w:name w:val="toc 9"/>
    <w:basedOn w:val="Normal"/>
    <w:next w:val="Normal"/>
    <w:autoRedefine/>
    <w:semiHidden/>
    <w:rsid w:val="006A21BB"/>
    <w:pPr>
      <w:ind w:left="1920"/>
    </w:pPr>
    <w:rPr>
      <w:sz w:val="18"/>
      <w:szCs w:val="18"/>
    </w:rPr>
  </w:style>
  <w:style w:type="paragraph" w:styleId="BalloonText">
    <w:name w:val="Balloon Text"/>
    <w:basedOn w:val="Normal"/>
    <w:link w:val="BalloonTextChar"/>
    <w:uiPriority w:val="99"/>
    <w:semiHidden/>
    <w:rsid w:val="00E05CD3"/>
    <w:rPr>
      <w:rFonts w:ascii="Tahoma" w:hAnsi="Tahoma"/>
      <w:sz w:val="16"/>
      <w:szCs w:val="16"/>
    </w:rPr>
  </w:style>
  <w:style w:type="paragraph" w:customStyle="1" w:styleId="ColorfulList-Accent11">
    <w:name w:val="Colorful List - Accent 11"/>
    <w:basedOn w:val="Normal"/>
    <w:uiPriority w:val="34"/>
    <w:qFormat/>
    <w:rsid w:val="000B77EA"/>
    <w:pPr>
      <w:ind w:left="720"/>
    </w:pPr>
    <w:rPr>
      <w:rFonts w:eastAsia="Calibri"/>
    </w:rPr>
  </w:style>
  <w:style w:type="character" w:customStyle="1" w:styleId="BalloonTextChar">
    <w:name w:val="Balloon Text Char"/>
    <w:link w:val="BalloonText"/>
    <w:uiPriority w:val="99"/>
    <w:semiHidden/>
    <w:rsid w:val="000B77EA"/>
    <w:rPr>
      <w:rFonts w:ascii="Tahoma" w:hAnsi="Tahoma" w:cs="Tahoma"/>
      <w:sz w:val="16"/>
      <w:szCs w:val="16"/>
    </w:rPr>
  </w:style>
  <w:style w:type="table" w:styleId="TableColumns5">
    <w:name w:val="Table Columns 5"/>
    <w:basedOn w:val="TableNormal"/>
    <w:rsid w:val="000A34E1"/>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Heading2Char">
    <w:name w:val="Heading 2 Char"/>
    <w:link w:val="Heading2"/>
    <w:uiPriority w:val="9"/>
    <w:rsid w:val="00D614BC"/>
    <w:rPr>
      <w:rFonts w:ascii="Arial" w:hAnsi="Arial" w:cs="Arial"/>
      <w:b/>
      <w:bCs/>
      <w:i/>
      <w:iCs/>
      <w:sz w:val="28"/>
      <w:szCs w:val="28"/>
      <w:lang w:val="en-US" w:eastAsia="en-US"/>
    </w:rPr>
  </w:style>
  <w:style w:type="paragraph" w:styleId="FootnoteText">
    <w:name w:val="footnote text"/>
    <w:basedOn w:val="Normal"/>
    <w:link w:val="FootnoteTextChar"/>
    <w:rsid w:val="001472BF"/>
    <w:rPr>
      <w:sz w:val="20"/>
      <w:szCs w:val="20"/>
    </w:rPr>
  </w:style>
  <w:style w:type="character" w:customStyle="1" w:styleId="FootnoteTextChar">
    <w:name w:val="Footnote Text Char"/>
    <w:basedOn w:val="DefaultParagraphFont"/>
    <w:link w:val="FootnoteText"/>
    <w:rsid w:val="001472BF"/>
  </w:style>
  <w:style w:type="character" w:styleId="FootnoteReference">
    <w:name w:val="footnote reference"/>
    <w:rsid w:val="001472BF"/>
    <w:rPr>
      <w:vertAlign w:val="superscript"/>
    </w:rPr>
  </w:style>
  <w:style w:type="character" w:styleId="CommentReference">
    <w:name w:val="annotation reference"/>
    <w:rsid w:val="00A75315"/>
    <w:rPr>
      <w:sz w:val="18"/>
      <w:szCs w:val="18"/>
    </w:rPr>
  </w:style>
  <w:style w:type="paragraph" w:styleId="CommentText">
    <w:name w:val="annotation text"/>
    <w:basedOn w:val="Normal"/>
    <w:link w:val="CommentTextChar"/>
    <w:rsid w:val="00A75315"/>
  </w:style>
  <w:style w:type="character" w:customStyle="1" w:styleId="CommentTextChar">
    <w:name w:val="Comment Text Char"/>
    <w:link w:val="CommentText"/>
    <w:rsid w:val="00A75315"/>
    <w:rPr>
      <w:sz w:val="24"/>
      <w:szCs w:val="24"/>
    </w:rPr>
  </w:style>
  <w:style w:type="paragraph" w:styleId="CommentSubject">
    <w:name w:val="annotation subject"/>
    <w:basedOn w:val="CommentText"/>
    <w:next w:val="CommentText"/>
    <w:link w:val="CommentSubjectChar"/>
    <w:rsid w:val="00A75315"/>
    <w:rPr>
      <w:b/>
      <w:bCs/>
    </w:rPr>
  </w:style>
  <w:style w:type="character" w:customStyle="1" w:styleId="CommentSubjectChar">
    <w:name w:val="Comment Subject Char"/>
    <w:link w:val="CommentSubject"/>
    <w:rsid w:val="00A75315"/>
    <w:rPr>
      <w:b/>
      <w:bCs/>
      <w:sz w:val="24"/>
      <w:szCs w:val="24"/>
    </w:rPr>
  </w:style>
  <w:style w:type="paragraph" w:styleId="NoSpacing">
    <w:name w:val="No Spacing"/>
    <w:link w:val="NoSpacingChar"/>
    <w:uiPriority w:val="1"/>
    <w:qFormat/>
    <w:rsid w:val="00B30635"/>
    <w:rPr>
      <w:rFonts w:ascii="Calibri" w:hAnsi="Calibri"/>
      <w:sz w:val="22"/>
      <w:szCs w:val="22"/>
    </w:rPr>
  </w:style>
  <w:style w:type="character" w:customStyle="1" w:styleId="NoSpacingChar">
    <w:name w:val="No Spacing Char"/>
    <w:link w:val="NoSpacing"/>
    <w:uiPriority w:val="1"/>
    <w:rsid w:val="00B30635"/>
    <w:rPr>
      <w:rFonts w:ascii="Calibri" w:hAnsi="Calibri"/>
      <w:sz w:val="22"/>
      <w:szCs w:val="22"/>
      <w:lang w:val="en-US" w:eastAsia="en-US" w:bidi="ar-SA"/>
    </w:rPr>
  </w:style>
  <w:style w:type="character" w:customStyle="1" w:styleId="Heading1Char">
    <w:name w:val="Heading 1 Char"/>
    <w:link w:val="Heading1"/>
    <w:uiPriority w:val="9"/>
    <w:rsid w:val="00B30635"/>
    <w:rPr>
      <w:b/>
      <w:caps/>
      <w:sz w:val="24"/>
      <w:szCs w:val="24"/>
      <w:lang w:val="it-IT"/>
    </w:rPr>
  </w:style>
  <w:style w:type="paragraph" w:styleId="ListParagraph">
    <w:name w:val="List Paragraph"/>
    <w:basedOn w:val="Normal"/>
    <w:uiPriority w:val="34"/>
    <w:qFormat/>
    <w:rsid w:val="00B30635"/>
    <w:pPr>
      <w:spacing w:before="120"/>
      <w:ind w:left="720"/>
      <w:contextualSpacing/>
      <w:jc w:val="center"/>
    </w:pPr>
    <w:rPr>
      <w:rFonts w:ascii="Calibri" w:eastAsia="Calibri" w:hAnsi="Calibri"/>
      <w:sz w:val="22"/>
      <w:szCs w:val="22"/>
      <w:lang w:val="sq-AL"/>
    </w:rPr>
  </w:style>
  <w:style w:type="character" w:customStyle="1" w:styleId="HeaderChar">
    <w:name w:val="Header Char"/>
    <w:link w:val="Header"/>
    <w:uiPriority w:val="99"/>
    <w:rsid w:val="00B30635"/>
    <w:rPr>
      <w:sz w:val="24"/>
      <w:szCs w:val="24"/>
    </w:rPr>
  </w:style>
  <w:style w:type="paragraph" w:customStyle="1" w:styleId="Default">
    <w:name w:val="Default"/>
    <w:rsid w:val="00B30635"/>
    <w:pPr>
      <w:autoSpaceDE w:val="0"/>
      <w:autoSpaceDN w:val="0"/>
      <w:adjustRightInd w:val="0"/>
    </w:pPr>
    <w:rPr>
      <w:rFonts w:eastAsia="Calibri"/>
      <w:color w:val="000000"/>
      <w:sz w:val="24"/>
      <w:szCs w:val="24"/>
    </w:rPr>
  </w:style>
  <w:style w:type="table" w:styleId="TableWeb3">
    <w:name w:val="Table Web 3"/>
    <w:basedOn w:val="TableNormal"/>
    <w:rsid w:val="00ED39A9"/>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Columns3">
    <w:name w:val="Table Columns 3"/>
    <w:basedOn w:val="TableNormal"/>
    <w:rsid w:val="00C919C6"/>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50668">
      <w:bodyDiv w:val="1"/>
      <w:marLeft w:val="0"/>
      <w:marRight w:val="0"/>
      <w:marTop w:val="0"/>
      <w:marBottom w:val="0"/>
      <w:divBdr>
        <w:top w:val="none" w:sz="0" w:space="0" w:color="auto"/>
        <w:left w:val="none" w:sz="0" w:space="0" w:color="auto"/>
        <w:bottom w:val="none" w:sz="0" w:space="0" w:color="auto"/>
        <w:right w:val="none" w:sz="0" w:space="0" w:color="auto"/>
      </w:divBdr>
    </w:div>
    <w:div w:id="78404565">
      <w:bodyDiv w:val="1"/>
      <w:marLeft w:val="0"/>
      <w:marRight w:val="0"/>
      <w:marTop w:val="0"/>
      <w:marBottom w:val="0"/>
      <w:divBdr>
        <w:top w:val="none" w:sz="0" w:space="0" w:color="auto"/>
        <w:left w:val="none" w:sz="0" w:space="0" w:color="auto"/>
        <w:bottom w:val="none" w:sz="0" w:space="0" w:color="auto"/>
        <w:right w:val="none" w:sz="0" w:space="0" w:color="auto"/>
      </w:divBdr>
    </w:div>
    <w:div w:id="83260672">
      <w:bodyDiv w:val="1"/>
      <w:marLeft w:val="0"/>
      <w:marRight w:val="0"/>
      <w:marTop w:val="0"/>
      <w:marBottom w:val="0"/>
      <w:divBdr>
        <w:top w:val="none" w:sz="0" w:space="0" w:color="auto"/>
        <w:left w:val="none" w:sz="0" w:space="0" w:color="auto"/>
        <w:bottom w:val="none" w:sz="0" w:space="0" w:color="auto"/>
        <w:right w:val="none" w:sz="0" w:space="0" w:color="auto"/>
      </w:divBdr>
    </w:div>
    <w:div w:id="119807241">
      <w:bodyDiv w:val="1"/>
      <w:marLeft w:val="0"/>
      <w:marRight w:val="0"/>
      <w:marTop w:val="0"/>
      <w:marBottom w:val="0"/>
      <w:divBdr>
        <w:top w:val="none" w:sz="0" w:space="0" w:color="auto"/>
        <w:left w:val="none" w:sz="0" w:space="0" w:color="auto"/>
        <w:bottom w:val="none" w:sz="0" w:space="0" w:color="auto"/>
        <w:right w:val="none" w:sz="0" w:space="0" w:color="auto"/>
      </w:divBdr>
    </w:div>
    <w:div w:id="129325948">
      <w:bodyDiv w:val="1"/>
      <w:marLeft w:val="0"/>
      <w:marRight w:val="0"/>
      <w:marTop w:val="0"/>
      <w:marBottom w:val="0"/>
      <w:divBdr>
        <w:top w:val="none" w:sz="0" w:space="0" w:color="auto"/>
        <w:left w:val="none" w:sz="0" w:space="0" w:color="auto"/>
        <w:bottom w:val="none" w:sz="0" w:space="0" w:color="auto"/>
        <w:right w:val="none" w:sz="0" w:space="0" w:color="auto"/>
      </w:divBdr>
    </w:div>
    <w:div w:id="130906325">
      <w:bodyDiv w:val="1"/>
      <w:marLeft w:val="0"/>
      <w:marRight w:val="0"/>
      <w:marTop w:val="0"/>
      <w:marBottom w:val="0"/>
      <w:divBdr>
        <w:top w:val="none" w:sz="0" w:space="0" w:color="auto"/>
        <w:left w:val="none" w:sz="0" w:space="0" w:color="auto"/>
        <w:bottom w:val="none" w:sz="0" w:space="0" w:color="auto"/>
        <w:right w:val="none" w:sz="0" w:space="0" w:color="auto"/>
      </w:divBdr>
    </w:div>
    <w:div w:id="217669888">
      <w:bodyDiv w:val="1"/>
      <w:marLeft w:val="0"/>
      <w:marRight w:val="0"/>
      <w:marTop w:val="0"/>
      <w:marBottom w:val="0"/>
      <w:divBdr>
        <w:top w:val="none" w:sz="0" w:space="0" w:color="auto"/>
        <w:left w:val="none" w:sz="0" w:space="0" w:color="auto"/>
        <w:bottom w:val="none" w:sz="0" w:space="0" w:color="auto"/>
        <w:right w:val="none" w:sz="0" w:space="0" w:color="auto"/>
      </w:divBdr>
    </w:div>
    <w:div w:id="535385966">
      <w:bodyDiv w:val="1"/>
      <w:marLeft w:val="0"/>
      <w:marRight w:val="0"/>
      <w:marTop w:val="0"/>
      <w:marBottom w:val="0"/>
      <w:divBdr>
        <w:top w:val="none" w:sz="0" w:space="0" w:color="auto"/>
        <w:left w:val="none" w:sz="0" w:space="0" w:color="auto"/>
        <w:bottom w:val="none" w:sz="0" w:space="0" w:color="auto"/>
        <w:right w:val="none" w:sz="0" w:space="0" w:color="auto"/>
      </w:divBdr>
    </w:div>
    <w:div w:id="615408931">
      <w:bodyDiv w:val="1"/>
      <w:marLeft w:val="0"/>
      <w:marRight w:val="0"/>
      <w:marTop w:val="0"/>
      <w:marBottom w:val="0"/>
      <w:divBdr>
        <w:top w:val="none" w:sz="0" w:space="0" w:color="auto"/>
        <w:left w:val="none" w:sz="0" w:space="0" w:color="auto"/>
        <w:bottom w:val="none" w:sz="0" w:space="0" w:color="auto"/>
        <w:right w:val="none" w:sz="0" w:space="0" w:color="auto"/>
      </w:divBdr>
    </w:div>
    <w:div w:id="713386329">
      <w:bodyDiv w:val="1"/>
      <w:marLeft w:val="0"/>
      <w:marRight w:val="0"/>
      <w:marTop w:val="0"/>
      <w:marBottom w:val="0"/>
      <w:divBdr>
        <w:top w:val="none" w:sz="0" w:space="0" w:color="auto"/>
        <w:left w:val="none" w:sz="0" w:space="0" w:color="auto"/>
        <w:bottom w:val="none" w:sz="0" w:space="0" w:color="auto"/>
        <w:right w:val="none" w:sz="0" w:space="0" w:color="auto"/>
      </w:divBdr>
    </w:div>
    <w:div w:id="753168058">
      <w:bodyDiv w:val="1"/>
      <w:marLeft w:val="0"/>
      <w:marRight w:val="0"/>
      <w:marTop w:val="0"/>
      <w:marBottom w:val="0"/>
      <w:divBdr>
        <w:top w:val="none" w:sz="0" w:space="0" w:color="auto"/>
        <w:left w:val="none" w:sz="0" w:space="0" w:color="auto"/>
        <w:bottom w:val="none" w:sz="0" w:space="0" w:color="auto"/>
        <w:right w:val="none" w:sz="0" w:space="0" w:color="auto"/>
      </w:divBdr>
    </w:div>
    <w:div w:id="785121808">
      <w:bodyDiv w:val="1"/>
      <w:marLeft w:val="0"/>
      <w:marRight w:val="0"/>
      <w:marTop w:val="0"/>
      <w:marBottom w:val="0"/>
      <w:divBdr>
        <w:top w:val="none" w:sz="0" w:space="0" w:color="auto"/>
        <w:left w:val="none" w:sz="0" w:space="0" w:color="auto"/>
        <w:bottom w:val="none" w:sz="0" w:space="0" w:color="auto"/>
        <w:right w:val="none" w:sz="0" w:space="0" w:color="auto"/>
      </w:divBdr>
    </w:div>
    <w:div w:id="864100231">
      <w:bodyDiv w:val="1"/>
      <w:marLeft w:val="0"/>
      <w:marRight w:val="0"/>
      <w:marTop w:val="0"/>
      <w:marBottom w:val="0"/>
      <w:divBdr>
        <w:top w:val="none" w:sz="0" w:space="0" w:color="auto"/>
        <w:left w:val="none" w:sz="0" w:space="0" w:color="auto"/>
        <w:bottom w:val="none" w:sz="0" w:space="0" w:color="auto"/>
        <w:right w:val="none" w:sz="0" w:space="0" w:color="auto"/>
      </w:divBdr>
    </w:div>
    <w:div w:id="905187596">
      <w:bodyDiv w:val="1"/>
      <w:marLeft w:val="0"/>
      <w:marRight w:val="0"/>
      <w:marTop w:val="0"/>
      <w:marBottom w:val="0"/>
      <w:divBdr>
        <w:top w:val="none" w:sz="0" w:space="0" w:color="auto"/>
        <w:left w:val="none" w:sz="0" w:space="0" w:color="auto"/>
        <w:bottom w:val="none" w:sz="0" w:space="0" w:color="auto"/>
        <w:right w:val="none" w:sz="0" w:space="0" w:color="auto"/>
      </w:divBdr>
    </w:div>
    <w:div w:id="909771270">
      <w:bodyDiv w:val="1"/>
      <w:marLeft w:val="0"/>
      <w:marRight w:val="0"/>
      <w:marTop w:val="0"/>
      <w:marBottom w:val="0"/>
      <w:divBdr>
        <w:top w:val="none" w:sz="0" w:space="0" w:color="auto"/>
        <w:left w:val="none" w:sz="0" w:space="0" w:color="auto"/>
        <w:bottom w:val="none" w:sz="0" w:space="0" w:color="auto"/>
        <w:right w:val="none" w:sz="0" w:space="0" w:color="auto"/>
      </w:divBdr>
    </w:div>
    <w:div w:id="1010723023">
      <w:bodyDiv w:val="1"/>
      <w:marLeft w:val="0"/>
      <w:marRight w:val="0"/>
      <w:marTop w:val="0"/>
      <w:marBottom w:val="0"/>
      <w:divBdr>
        <w:top w:val="none" w:sz="0" w:space="0" w:color="auto"/>
        <w:left w:val="none" w:sz="0" w:space="0" w:color="auto"/>
        <w:bottom w:val="none" w:sz="0" w:space="0" w:color="auto"/>
        <w:right w:val="none" w:sz="0" w:space="0" w:color="auto"/>
      </w:divBdr>
    </w:div>
    <w:div w:id="1011419262">
      <w:bodyDiv w:val="1"/>
      <w:marLeft w:val="0"/>
      <w:marRight w:val="0"/>
      <w:marTop w:val="0"/>
      <w:marBottom w:val="0"/>
      <w:divBdr>
        <w:top w:val="none" w:sz="0" w:space="0" w:color="auto"/>
        <w:left w:val="none" w:sz="0" w:space="0" w:color="auto"/>
        <w:bottom w:val="none" w:sz="0" w:space="0" w:color="auto"/>
        <w:right w:val="none" w:sz="0" w:space="0" w:color="auto"/>
      </w:divBdr>
    </w:div>
    <w:div w:id="1033462569">
      <w:bodyDiv w:val="1"/>
      <w:marLeft w:val="0"/>
      <w:marRight w:val="0"/>
      <w:marTop w:val="0"/>
      <w:marBottom w:val="0"/>
      <w:divBdr>
        <w:top w:val="none" w:sz="0" w:space="0" w:color="auto"/>
        <w:left w:val="none" w:sz="0" w:space="0" w:color="auto"/>
        <w:bottom w:val="none" w:sz="0" w:space="0" w:color="auto"/>
        <w:right w:val="none" w:sz="0" w:space="0" w:color="auto"/>
      </w:divBdr>
    </w:div>
    <w:div w:id="1096559145">
      <w:bodyDiv w:val="1"/>
      <w:marLeft w:val="0"/>
      <w:marRight w:val="0"/>
      <w:marTop w:val="0"/>
      <w:marBottom w:val="0"/>
      <w:divBdr>
        <w:top w:val="none" w:sz="0" w:space="0" w:color="auto"/>
        <w:left w:val="none" w:sz="0" w:space="0" w:color="auto"/>
        <w:bottom w:val="none" w:sz="0" w:space="0" w:color="auto"/>
        <w:right w:val="none" w:sz="0" w:space="0" w:color="auto"/>
      </w:divBdr>
    </w:div>
    <w:div w:id="1102186903">
      <w:bodyDiv w:val="1"/>
      <w:marLeft w:val="0"/>
      <w:marRight w:val="0"/>
      <w:marTop w:val="0"/>
      <w:marBottom w:val="0"/>
      <w:divBdr>
        <w:top w:val="none" w:sz="0" w:space="0" w:color="auto"/>
        <w:left w:val="none" w:sz="0" w:space="0" w:color="auto"/>
        <w:bottom w:val="none" w:sz="0" w:space="0" w:color="auto"/>
        <w:right w:val="none" w:sz="0" w:space="0" w:color="auto"/>
      </w:divBdr>
    </w:div>
    <w:div w:id="1121996500">
      <w:bodyDiv w:val="1"/>
      <w:marLeft w:val="0"/>
      <w:marRight w:val="0"/>
      <w:marTop w:val="0"/>
      <w:marBottom w:val="0"/>
      <w:divBdr>
        <w:top w:val="none" w:sz="0" w:space="0" w:color="auto"/>
        <w:left w:val="none" w:sz="0" w:space="0" w:color="auto"/>
        <w:bottom w:val="none" w:sz="0" w:space="0" w:color="auto"/>
        <w:right w:val="none" w:sz="0" w:space="0" w:color="auto"/>
      </w:divBdr>
    </w:div>
    <w:div w:id="1122269495">
      <w:bodyDiv w:val="1"/>
      <w:marLeft w:val="0"/>
      <w:marRight w:val="0"/>
      <w:marTop w:val="0"/>
      <w:marBottom w:val="0"/>
      <w:divBdr>
        <w:top w:val="none" w:sz="0" w:space="0" w:color="auto"/>
        <w:left w:val="none" w:sz="0" w:space="0" w:color="auto"/>
        <w:bottom w:val="none" w:sz="0" w:space="0" w:color="auto"/>
        <w:right w:val="none" w:sz="0" w:space="0" w:color="auto"/>
      </w:divBdr>
    </w:div>
    <w:div w:id="1138112580">
      <w:bodyDiv w:val="1"/>
      <w:marLeft w:val="0"/>
      <w:marRight w:val="0"/>
      <w:marTop w:val="0"/>
      <w:marBottom w:val="0"/>
      <w:divBdr>
        <w:top w:val="none" w:sz="0" w:space="0" w:color="auto"/>
        <w:left w:val="none" w:sz="0" w:space="0" w:color="auto"/>
        <w:bottom w:val="none" w:sz="0" w:space="0" w:color="auto"/>
        <w:right w:val="none" w:sz="0" w:space="0" w:color="auto"/>
      </w:divBdr>
    </w:div>
    <w:div w:id="1204059532">
      <w:bodyDiv w:val="1"/>
      <w:marLeft w:val="0"/>
      <w:marRight w:val="0"/>
      <w:marTop w:val="0"/>
      <w:marBottom w:val="0"/>
      <w:divBdr>
        <w:top w:val="none" w:sz="0" w:space="0" w:color="auto"/>
        <w:left w:val="none" w:sz="0" w:space="0" w:color="auto"/>
        <w:bottom w:val="none" w:sz="0" w:space="0" w:color="auto"/>
        <w:right w:val="none" w:sz="0" w:space="0" w:color="auto"/>
      </w:divBdr>
    </w:div>
    <w:div w:id="1210917353">
      <w:bodyDiv w:val="1"/>
      <w:marLeft w:val="0"/>
      <w:marRight w:val="0"/>
      <w:marTop w:val="0"/>
      <w:marBottom w:val="0"/>
      <w:divBdr>
        <w:top w:val="none" w:sz="0" w:space="0" w:color="auto"/>
        <w:left w:val="none" w:sz="0" w:space="0" w:color="auto"/>
        <w:bottom w:val="none" w:sz="0" w:space="0" w:color="auto"/>
        <w:right w:val="none" w:sz="0" w:space="0" w:color="auto"/>
      </w:divBdr>
    </w:div>
    <w:div w:id="1218663380">
      <w:bodyDiv w:val="1"/>
      <w:marLeft w:val="0"/>
      <w:marRight w:val="0"/>
      <w:marTop w:val="0"/>
      <w:marBottom w:val="0"/>
      <w:divBdr>
        <w:top w:val="none" w:sz="0" w:space="0" w:color="auto"/>
        <w:left w:val="none" w:sz="0" w:space="0" w:color="auto"/>
        <w:bottom w:val="none" w:sz="0" w:space="0" w:color="auto"/>
        <w:right w:val="none" w:sz="0" w:space="0" w:color="auto"/>
      </w:divBdr>
    </w:div>
    <w:div w:id="1236941684">
      <w:bodyDiv w:val="1"/>
      <w:marLeft w:val="0"/>
      <w:marRight w:val="0"/>
      <w:marTop w:val="0"/>
      <w:marBottom w:val="0"/>
      <w:divBdr>
        <w:top w:val="none" w:sz="0" w:space="0" w:color="auto"/>
        <w:left w:val="none" w:sz="0" w:space="0" w:color="auto"/>
        <w:bottom w:val="none" w:sz="0" w:space="0" w:color="auto"/>
        <w:right w:val="none" w:sz="0" w:space="0" w:color="auto"/>
      </w:divBdr>
    </w:div>
    <w:div w:id="1239365540">
      <w:bodyDiv w:val="1"/>
      <w:marLeft w:val="0"/>
      <w:marRight w:val="0"/>
      <w:marTop w:val="0"/>
      <w:marBottom w:val="0"/>
      <w:divBdr>
        <w:top w:val="none" w:sz="0" w:space="0" w:color="auto"/>
        <w:left w:val="none" w:sz="0" w:space="0" w:color="auto"/>
        <w:bottom w:val="none" w:sz="0" w:space="0" w:color="auto"/>
        <w:right w:val="none" w:sz="0" w:space="0" w:color="auto"/>
      </w:divBdr>
    </w:div>
    <w:div w:id="1262299111">
      <w:bodyDiv w:val="1"/>
      <w:marLeft w:val="0"/>
      <w:marRight w:val="0"/>
      <w:marTop w:val="0"/>
      <w:marBottom w:val="0"/>
      <w:divBdr>
        <w:top w:val="none" w:sz="0" w:space="0" w:color="auto"/>
        <w:left w:val="none" w:sz="0" w:space="0" w:color="auto"/>
        <w:bottom w:val="none" w:sz="0" w:space="0" w:color="auto"/>
        <w:right w:val="none" w:sz="0" w:space="0" w:color="auto"/>
      </w:divBdr>
    </w:div>
    <w:div w:id="1265842598">
      <w:bodyDiv w:val="1"/>
      <w:marLeft w:val="0"/>
      <w:marRight w:val="0"/>
      <w:marTop w:val="0"/>
      <w:marBottom w:val="0"/>
      <w:divBdr>
        <w:top w:val="none" w:sz="0" w:space="0" w:color="auto"/>
        <w:left w:val="none" w:sz="0" w:space="0" w:color="auto"/>
        <w:bottom w:val="none" w:sz="0" w:space="0" w:color="auto"/>
        <w:right w:val="none" w:sz="0" w:space="0" w:color="auto"/>
      </w:divBdr>
    </w:div>
    <w:div w:id="1508444242">
      <w:bodyDiv w:val="1"/>
      <w:marLeft w:val="0"/>
      <w:marRight w:val="0"/>
      <w:marTop w:val="0"/>
      <w:marBottom w:val="0"/>
      <w:divBdr>
        <w:top w:val="none" w:sz="0" w:space="0" w:color="auto"/>
        <w:left w:val="none" w:sz="0" w:space="0" w:color="auto"/>
        <w:bottom w:val="none" w:sz="0" w:space="0" w:color="auto"/>
        <w:right w:val="none" w:sz="0" w:space="0" w:color="auto"/>
      </w:divBdr>
    </w:div>
    <w:div w:id="1627815161">
      <w:bodyDiv w:val="1"/>
      <w:marLeft w:val="0"/>
      <w:marRight w:val="0"/>
      <w:marTop w:val="0"/>
      <w:marBottom w:val="0"/>
      <w:divBdr>
        <w:top w:val="none" w:sz="0" w:space="0" w:color="auto"/>
        <w:left w:val="none" w:sz="0" w:space="0" w:color="auto"/>
        <w:bottom w:val="none" w:sz="0" w:space="0" w:color="auto"/>
        <w:right w:val="none" w:sz="0" w:space="0" w:color="auto"/>
      </w:divBdr>
    </w:div>
    <w:div w:id="1628470515">
      <w:bodyDiv w:val="1"/>
      <w:marLeft w:val="0"/>
      <w:marRight w:val="0"/>
      <w:marTop w:val="0"/>
      <w:marBottom w:val="0"/>
      <w:divBdr>
        <w:top w:val="none" w:sz="0" w:space="0" w:color="auto"/>
        <w:left w:val="none" w:sz="0" w:space="0" w:color="auto"/>
        <w:bottom w:val="none" w:sz="0" w:space="0" w:color="auto"/>
        <w:right w:val="none" w:sz="0" w:space="0" w:color="auto"/>
      </w:divBdr>
    </w:div>
    <w:div w:id="1676877458">
      <w:bodyDiv w:val="1"/>
      <w:marLeft w:val="0"/>
      <w:marRight w:val="0"/>
      <w:marTop w:val="0"/>
      <w:marBottom w:val="0"/>
      <w:divBdr>
        <w:top w:val="none" w:sz="0" w:space="0" w:color="auto"/>
        <w:left w:val="none" w:sz="0" w:space="0" w:color="auto"/>
        <w:bottom w:val="none" w:sz="0" w:space="0" w:color="auto"/>
        <w:right w:val="none" w:sz="0" w:space="0" w:color="auto"/>
      </w:divBdr>
    </w:div>
    <w:div w:id="1798715880">
      <w:bodyDiv w:val="1"/>
      <w:marLeft w:val="0"/>
      <w:marRight w:val="0"/>
      <w:marTop w:val="0"/>
      <w:marBottom w:val="0"/>
      <w:divBdr>
        <w:top w:val="none" w:sz="0" w:space="0" w:color="auto"/>
        <w:left w:val="none" w:sz="0" w:space="0" w:color="auto"/>
        <w:bottom w:val="none" w:sz="0" w:space="0" w:color="auto"/>
        <w:right w:val="none" w:sz="0" w:space="0" w:color="auto"/>
      </w:divBdr>
    </w:div>
    <w:div w:id="1806045270">
      <w:bodyDiv w:val="1"/>
      <w:marLeft w:val="0"/>
      <w:marRight w:val="0"/>
      <w:marTop w:val="0"/>
      <w:marBottom w:val="0"/>
      <w:divBdr>
        <w:top w:val="none" w:sz="0" w:space="0" w:color="auto"/>
        <w:left w:val="none" w:sz="0" w:space="0" w:color="auto"/>
        <w:bottom w:val="none" w:sz="0" w:space="0" w:color="auto"/>
        <w:right w:val="none" w:sz="0" w:space="0" w:color="auto"/>
      </w:divBdr>
    </w:div>
    <w:div w:id="1867864416">
      <w:bodyDiv w:val="1"/>
      <w:marLeft w:val="0"/>
      <w:marRight w:val="0"/>
      <w:marTop w:val="0"/>
      <w:marBottom w:val="0"/>
      <w:divBdr>
        <w:top w:val="none" w:sz="0" w:space="0" w:color="auto"/>
        <w:left w:val="none" w:sz="0" w:space="0" w:color="auto"/>
        <w:bottom w:val="none" w:sz="0" w:space="0" w:color="auto"/>
        <w:right w:val="none" w:sz="0" w:space="0" w:color="auto"/>
      </w:divBdr>
    </w:div>
    <w:div w:id="1880698727">
      <w:bodyDiv w:val="1"/>
      <w:marLeft w:val="0"/>
      <w:marRight w:val="0"/>
      <w:marTop w:val="0"/>
      <w:marBottom w:val="0"/>
      <w:divBdr>
        <w:top w:val="none" w:sz="0" w:space="0" w:color="auto"/>
        <w:left w:val="none" w:sz="0" w:space="0" w:color="auto"/>
        <w:bottom w:val="none" w:sz="0" w:space="0" w:color="auto"/>
        <w:right w:val="none" w:sz="0" w:space="0" w:color="auto"/>
      </w:divBdr>
    </w:div>
    <w:div w:id="1955478704">
      <w:bodyDiv w:val="1"/>
      <w:marLeft w:val="0"/>
      <w:marRight w:val="0"/>
      <w:marTop w:val="0"/>
      <w:marBottom w:val="0"/>
      <w:divBdr>
        <w:top w:val="none" w:sz="0" w:space="0" w:color="auto"/>
        <w:left w:val="none" w:sz="0" w:space="0" w:color="auto"/>
        <w:bottom w:val="none" w:sz="0" w:space="0" w:color="auto"/>
        <w:right w:val="none" w:sz="0" w:space="0" w:color="auto"/>
      </w:divBdr>
    </w:div>
    <w:div w:id="2043938633">
      <w:bodyDiv w:val="1"/>
      <w:marLeft w:val="0"/>
      <w:marRight w:val="0"/>
      <w:marTop w:val="0"/>
      <w:marBottom w:val="0"/>
      <w:divBdr>
        <w:top w:val="none" w:sz="0" w:space="0" w:color="auto"/>
        <w:left w:val="none" w:sz="0" w:space="0" w:color="auto"/>
        <w:bottom w:val="none" w:sz="0" w:space="0" w:color="auto"/>
        <w:right w:val="none" w:sz="0" w:space="0" w:color="auto"/>
      </w:divBdr>
    </w:div>
    <w:div w:id="2064718099">
      <w:bodyDiv w:val="1"/>
      <w:marLeft w:val="0"/>
      <w:marRight w:val="0"/>
      <w:marTop w:val="0"/>
      <w:marBottom w:val="0"/>
      <w:divBdr>
        <w:top w:val="none" w:sz="0" w:space="0" w:color="auto"/>
        <w:left w:val="none" w:sz="0" w:space="0" w:color="auto"/>
        <w:bottom w:val="none" w:sz="0" w:space="0" w:color="auto"/>
        <w:right w:val="none" w:sz="0" w:space="0" w:color="auto"/>
      </w:divBdr>
    </w:div>
    <w:div w:id="2110076006">
      <w:bodyDiv w:val="1"/>
      <w:marLeft w:val="0"/>
      <w:marRight w:val="0"/>
      <w:marTop w:val="0"/>
      <w:marBottom w:val="0"/>
      <w:divBdr>
        <w:top w:val="none" w:sz="0" w:space="0" w:color="auto"/>
        <w:left w:val="none" w:sz="0" w:space="0" w:color="auto"/>
        <w:bottom w:val="none" w:sz="0" w:space="0" w:color="auto"/>
        <w:right w:val="none" w:sz="0" w:space="0" w:color="auto"/>
      </w:divBdr>
    </w:div>
    <w:div w:id="212877292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chart" Target="charts/chart10.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chart" Target="charts/chart1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elida.fara\Sektori%20i%20Analizave%20makroekonomike%20dhe%20Statistikave\Prodhimi%20i%20Brendshem%20Bruto\Copy%20of%20pbb_prodhim_1-16%20(2).xls"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Mariel.Frroku\Desktop\Treguesit%20fiskale\Treguesit%20Fiskale%202016\Qershor\Treguesit%20fiskal%2006-2016%20(dt%2012%2007%202016)%20(2).xlsx" TargetMode="External"/><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Mariel.Frroku\Desktop\Treguesit%20fiskale\Treguesit%20Fiskale%202016\Qershor\Treguesit%20fiskal%2006-2016%20(dt%2012%2007%202016)%20(2).xlsx" TargetMode="External"/><Relationship Id="rId2" Type="http://schemas.openxmlformats.org/officeDocument/2006/relationships/image" Target="../media/image3.jpeg"/><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marjus.borokoci\Desktop\WORD%20FILES\Raporte\Viti%202016\Buxheti%20i%20rishikuar_korrik_2016\Tabela%20plan%20buxhet&amp;%20rishikim%20buxheti%202016.xls" TargetMode="External"/><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0690099098829381E-2"/>
          <c:y val="3.6732902183753087E-2"/>
          <c:w val="0.91072096976471095"/>
          <c:h val="0.76004293104750931"/>
        </c:manualLayout>
      </c:layout>
      <c:barChart>
        <c:barDir val="col"/>
        <c:grouping val="clustered"/>
        <c:varyColors val="0"/>
        <c:ser>
          <c:idx val="0"/>
          <c:order val="0"/>
          <c:tx>
            <c:strRef>
              <c:f>Sheet1!$B$4</c:f>
              <c:strCache>
                <c:ptCount val="1"/>
                <c:pt idx="0">
                  <c:v>Bujqësia, pyjet dhe peshkimi</c:v>
                </c:pt>
              </c:strCache>
            </c:strRef>
          </c:tx>
          <c:invertIfNegative val="0"/>
          <c:cat>
            <c:strRef>
              <c:f>Sheet1!$A$5:$A$11</c:f>
              <c:strCache>
                <c:ptCount val="7"/>
                <c:pt idx="0">
                  <c:v>2010</c:v>
                </c:pt>
                <c:pt idx="1">
                  <c:v>2011</c:v>
                </c:pt>
                <c:pt idx="2">
                  <c:v>2012</c:v>
                </c:pt>
                <c:pt idx="3">
                  <c:v>2013</c:v>
                </c:pt>
                <c:pt idx="4">
                  <c:v>2014</c:v>
                </c:pt>
                <c:pt idx="5">
                  <c:v>2015</c:v>
                </c:pt>
                <c:pt idx="6">
                  <c:v>2016 TI</c:v>
                </c:pt>
              </c:strCache>
            </c:strRef>
          </c:cat>
          <c:val>
            <c:numRef>
              <c:f>Sheet1!$B$5:$B$11</c:f>
              <c:numCache>
                <c:formatCode>_(* #,##0.0_);_(* \(#,##0.0\);_(* "-"??_);_(@_)</c:formatCode>
                <c:ptCount val="7"/>
                <c:pt idx="0">
                  <c:v>7.6497404314116295</c:v>
                </c:pt>
                <c:pt idx="1">
                  <c:v>4.7730319083494805</c:v>
                </c:pt>
                <c:pt idx="2">
                  <c:v>5.3942639680151672</c:v>
                </c:pt>
                <c:pt idx="3">
                  <c:v>1.1350522320795307</c:v>
                </c:pt>
                <c:pt idx="4">
                  <c:v>1.9619704965211611</c:v>
                </c:pt>
                <c:pt idx="5">
                  <c:v>-0.69015342330665419</c:v>
                </c:pt>
                <c:pt idx="6">
                  <c:v>-0.27301872225889667</c:v>
                </c:pt>
              </c:numCache>
            </c:numRef>
          </c:val>
        </c:ser>
        <c:ser>
          <c:idx val="1"/>
          <c:order val="1"/>
          <c:tx>
            <c:strRef>
              <c:f>Sheet1!$C$4</c:f>
              <c:strCache>
                <c:ptCount val="1"/>
                <c:pt idx="0">
                  <c:v>Industria</c:v>
                </c:pt>
              </c:strCache>
            </c:strRef>
          </c:tx>
          <c:invertIfNegative val="0"/>
          <c:cat>
            <c:strRef>
              <c:f>Sheet1!$A$5:$A$11</c:f>
              <c:strCache>
                <c:ptCount val="7"/>
                <c:pt idx="0">
                  <c:v>2010</c:v>
                </c:pt>
                <c:pt idx="1">
                  <c:v>2011</c:v>
                </c:pt>
                <c:pt idx="2">
                  <c:v>2012</c:v>
                </c:pt>
                <c:pt idx="3">
                  <c:v>2013</c:v>
                </c:pt>
                <c:pt idx="4">
                  <c:v>2014</c:v>
                </c:pt>
                <c:pt idx="5">
                  <c:v>2015</c:v>
                </c:pt>
                <c:pt idx="6">
                  <c:v>2016 TI</c:v>
                </c:pt>
              </c:strCache>
            </c:strRef>
          </c:cat>
          <c:val>
            <c:numRef>
              <c:f>Sheet1!$C$5:$C$11</c:f>
              <c:numCache>
                <c:formatCode>_(* #,##0.0_);_(* \(#,##0.0\);_(* "-"??_);_(@_)</c:formatCode>
                <c:ptCount val="7"/>
                <c:pt idx="0">
                  <c:v>19.621194161072225</c:v>
                </c:pt>
                <c:pt idx="1">
                  <c:v>1.6634157356086376</c:v>
                </c:pt>
                <c:pt idx="2">
                  <c:v>-3.265561125959664</c:v>
                </c:pt>
                <c:pt idx="3">
                  <c:v>14.54114887844915</c:v>
                </c:pt>
                <c:pt idx="4">
                  <c:v>4.2592037926465309</c:v>
                </c:pt>
                <c:pt idx="5">
                  <c:v>5.6591413720784516</c:v>
                </c:pt>
                <c:pt idx="6">
                  <c:v>-2.0177622995934001</c:v>
                </c:pt>
              </c:numCache>
            </c:numRef>
          </c:val>
        </c:ser>
        <c:ser>
          <c:idx val="2"/>
          <c:order val="2"/>
          <c:tx>
            <c:strRef>
              <c:f>Sheet1!$D$4</c:f>
              <c:strCache>
                <c:ptCount val="1"/>
                <c:pt idx="0">
                  <c:v>Ndërtimi</c:v>
                </c:pt>
              </c:strCache>
            </c:strRef>
          </c:tx>
          <c:invertIfNegative val="0"/>
          <c:cat>
            <c:strRef>
              <c:f>Sheet1!$A$5:$A$11</c:f>
              <c:strCache>
                <c:ptCount val="7"/>
                <c:pt idx="0">
                  <c:v>2010</c:v>
                </c:pt>
                <c:pt idx="1">
                  <c:v>2011</c:v>
                </c:pt>
                <c:pt idx="2">
                  <c:v>2012</c:v>
                </c:pt>
                <c:pt idx="3">
                  <c:v>2013</c:v>
                </c:pt>
                <c:pt idx="4">
                  <c:v>2014</c:v>
                </c:pt>
                <c:pt idx="5">
                  <c:v>2015</c:v>
                </c:pt>
                <c:pt idx="6">
                  <c:v>2016 TI</c:v>
                </c:pt>
              </c:strCache>
            </c:strRef>
          </c:cat>
          <c:val>
            <c:numRef>
              <c:f>Sheet1!$D$5:$D$11</c:f>
              <c:numCache>
                <c:formatCode>_(* #,##0.0_);_(* \(#,##0.0\);_(* "-"??_);_(@_)</c:formatCode>
                <c:ptCount val="7"/>
                <c:pt idx="0">
                  <c:v>-6.8528683225107443</c:v>
                </c:pt>
                <c:pt idx="1">
                  <c:v>2.8229763059491262</c:v>
                </c:pt>
                <c:pt idx="2">
                  <c:v>-8.8014774523659298</c:v>
                </c:pt>
                <c:pt idx="3">
                  <c:v>-9.2521762184411358</c:v>
                </c:pt>
                <c:pt idx="4">
                  <c:v>-12.444954069958527</c:v>
                </c:pt>
                <c:pt idx="5">
                  <c:v>12.670087331363618</c:v>
                </c:pt>
                <c:pt idx="6">
                  <c:v>7.5782263235679892</c:v>
                </c:pt>
              </c:numCache>
            </c:numRef>
          </c:val>
        </c:ser>
        <c:ser>
          <c:idx val="3"/>
          <c:order val="3"/>
          <c:tx>
            <c:strRef>
              <c:f>Sheet1!$E$4</c:f>
              <c:strCache>
                <c:ptCount val="1"/>
                <c:pt idx="0">
                  <c:v>Tregt shum. Pak. </c:v>
                </c:pt>
              </c:strCache>
            </c:strRef>
          </c:tx>
          <c:invertIfNegative val="0"/>
          <c:cat>
            <c:strRef>
              <c:f>Sheet1!$A$5:$A$11</c:f>
              <c:strCache>
                <c:ptCount val="7"/>
                <c:pt idx="0">
                  <c:v>2010</c:v>
                </c:pt>
                <c:pt idx="1">
                  <c:v>2011</c:v>
                </c:pt>
                <c:pt idx="2">
                  <c:v>2012</c:v>
                </c:pt>
                <c:pt idx="3">
                  <c:v>2013</c:v>
                </c:pt>
                <c:pt idx="4">
                  <c:v>2014</c:v>
                </c:pt>
                <c:pt idx="5">
                  <c:v>2015</c:v>
                </c:pt>
                <c:pt idx="6">
                  <c:v>2016 TI</c:v>
                </c:pt>
              </c:strCache>
            </c:strRef>
          </c:cat>
          <c:val>
            <c:numRef>
              <c:f>Sheet1!$E$5:$E$11</c:f>
              <c:numCache>
                <c:formatCode>_(* #,##0.0_);_(* \(#,##0.0\);_(* "-"??_);_(@_)</c:formatCode>
                <c:ptCount val="7"/>
                <c:pt idx="0">
                  <c:v>4.7209615256355306</c:v>
                </c:pt>
                <c:pt idx="1">
                  <c:v>3.7182282199733123</c:v>
                </c:pt>
                <c:pt idx="2">
                  <c:v>1.8646577613385347</c:v>
                </c:pt>
                <c:pt idx="3">
                  <c:v>-6.1458587413876273</c:v>
                </c:pt>
                <c:pt idx="4">
                  <c:v>2.1307202867388355</c:v>
                </c:pt>
                <c:pt idx="5">
                  <c:v>1.9137227486822042</c:v>
                </c:pt>
                <c:pt idx="6">
                  <c:v>5.7463735402125451</c:v>
                </c:pt>
              </c:numCache>
            </c:numRef>
          </c:val>
        </c:ser>
        <c:ser>
          <c:idx val="4"/>
          <c:order val="4"/>
          <c:tx>
            <c:strRef>
              <c:f>Sheet1!$F$4</c:f>
              <c:strCache>
                <c:ptCount val="1"/>
                <c:pt idx="0">
                  <c:v>Informa&amp;komunik</c:v>
                </c:pt>
              </c:strCache>
            </c:strRef>
          </c:tx>
          <c:invertIfNegative val="0"/>
          <c:cat>
            <c:strRef>
              <c:f>Sheet1!$A$5:$A$11</c:f>
              <c:strCache>
                <c:ptCount val="7"/>
                <c:pt idx="0">
                  <c:v>2010</c:v>
                </c:pt>
                <c:pt idx="1">
                  <c:v>2011</c:v>
                </c:pt>
                <c:pt idx="2">
                  <c:v>2012</c:v>
                </c:pt>
                <c:pt idx="3">
                  <c:v>2013</c:v>
                </c:pt>
                <c:pt idx="4">
                  <c:v>2014</c:v>
                </c:pt>
                <c:pt idx="5">
                  <c:v>2015</c:v>
                </c:pt>
                <c:pt idx="6">
                  <c:v>2016 TI</c:v>
                </c:pt>
              </c:strCache>
            </c:strRef>
          </c:cat>
          <c:val>
            <c:numRef>
              <c:f>Sheet1!$F$5:$F$11</c:f>
              <c:numCache>
                <c:formatCode>_(* #,##0.0_);_(* \(#,##0.0\);_(* "-"??_);_(@_)</c:formatCode>
                <c:ptCount val="7"/>
                <c:pt idx="0">
                  <c:v>-16.472306999651693</c:v>
                </c:pt>
                <c:pt idx="1">
                  <c:v>-3.1135552333121126</c:v>
                </c:pt>
                <c:pt idx="2">
                  <c:v>-5.5960417529036732</c:v>
                </c:pt>
                <c:pt idx="3">
                  <c:v>-10.103678474398535</c:v>
                </c:pt>
                <c:pt idx="4">
                  <c:v>2.6447210270839747</c:v>
                </c:pt>
                <c:pt idx="5">
                  <c:v>3.0119555269680234</c:v>
                </c:pt>
                <c:pt idx="6">
                  <c:v>14.58048702113453</c:v>
                </c:pt>
              </c:numCache>
            </c:numRef>
          </c:val>
        </c:ser>
        <c:ser>
          <c:idx val="5"/>
          <c:order val="5"/>
          <c:tx>
            <c:strRef>
              <c:f>Sheet1!$G$4</c:f>
              <c:strCache>
                <c:ptCount val="1"/>
                <c:pt idx="0">
                  <c:v>Aktiv finan&amp;sig</c:v>
                </c:pt>
              </c:strCache>
            </c:strRef>
          </c:tx>
          <c:invertIfNegative val="0"/>
          <c:cat>
            <c:strRef>
              <c:f>Sheet1!$A$5:$A$11</c:f>
              <c:strCache>
                <c:ptCount val="7"/>
                <c:pt idx="0">
                  <c:v>2010</c:v>
                </c:pt>
                <c:pt idx="1">
                  <c:v>2011</c:v>
                </c:pt>
                <c:pt idx="2">
                  <c:v>2012</c:v>
                </c:pt>
                <c:pt idx="3">
                  <c:v>2013</c:v>
                </c:pt>
                <c:pt idx="4">
                  <c:v>2014</c:v>
                </c:pt>
                <c:pt idx="5">
                  <c:v>2015</c:v>
                </c:pt>
                <c:pt idx="6">
                  <c:v>2016 TI</c:v>
                </c:pt>
              </c:strCache>
            </c:strRef>
          </c:cat>
          <c:val>
            <c:numRef>
              <c:f>Sheet1!$G$5:$G$11</c:f>
              <c:numCache>
                <c:formatCode>_(* #,##0.0_);_(* \(#,##0.0\);_(* "-"??_);_(@_)</c:formatCode>
                <c:ptCount val="7"/>
                <c:pt idx="0">
                  <c:v>5.753309461444303</c:v>
                </c:pt>
                <c:pt idx="1">
                  <c:v>8.4034780633270572</c:v>
                </c:pt>
                <c:pt idx="2">
                  <c:v>2.2850198114437603</c:v>
                </c:pt>
                <c:pt idx="3">
                  <c:v>1.6904437168720534</c:v>
                </c:pt>
                <c:pt idx="4">
                  <c:v>2.0939707513105503</c:v>
                </c:pt>
                <c:pt idx="5">
                  <c:v>4.3478583838505216</c:v>
                </c:pt>
                <c:pt idx="6">
                  <c:v>0.67262077428236466</c:v>
                </c:pt>
              </c:numCache>
            </c:numRef>
          </c:val>
        </c:ser>
        <c:ser>
          <c:idx val="6"/>
          <c:order val="6"/>
          <c:tx>
            <c:strRef>
              <c:f>Sheet1!$H$4</c:f>
              <c:strCache>
                <c:ptCount val="1"/>
                <c:pt idx="0">
                  <c:v>Aktiv pas.paluaj</c:v>
                </c:pt>
              </c:strCache>
            </c:strRef>
          </c:tx>
          <c:invertIfNegative val="0"/>
          <c:cat>
            <c:strRef>
              <c:f>Sheet1!$A$5:$A$11</c:f>
              <c:strCache>
                <c:ptCount val="7"/>
                <c:pt idx="0">
                  <c:v>2010</c:v>
                </c:pt>
                <c:pt idx="1">
                  <c:v>2011</c:v>
                </c:pt>
                <c:pt idx="2">
                  <c:v>2012</c:v>
                </c:pt>
                <c:pt idx="3">
                  <c:v>2013</c:v>
                </c:pt>
                <c:pt idx="4">
                  <c:v>2014</c:v>
                </c:pt>
                <c:pt idx="5">
                  <c:v>2015</c:v>
                </c:pt>
                <c:pt idx="6">
                  <c:v>2016 TI</c:v>
                </c:pt>
              </c:strCache>
            </c:strRef>
          </c:cat>
          <c:val>
            <c:numRef>
              <c:f>Sheet1!$H$5:$H$11</c:f>
              <c:numCache>
                <c:formatCode>_(* #,##0.0_);_(* \(#,##0.0\);_(* "-"??_);_(@_)</c:formatCode>
                <c:ptCount val="7"/>
                <c:pt idx="0">
                  <c:v>0.27429146626738543</c:v>
                </c:pt>
                <c:pt idx="1">
                  <c:v>0.49381317296968064</c:v>
                </c:pt>
                <c:pt idx="2">
                  <c:v>1.6698683110901698</c:v>
                </c:pt>
                <c:pt idx="3">
                  <c:v>8.7505477343557914</c:v>
                </c:pt>
                <c:pt idx="4">
                  <c:v>6.7571395382600485E-2</c:v>
                </c:pt>
                <c:pt idx="5">
                  <c:v>-0.22526906110499567</c:v>
                </c:pt>
                <c:pt idx="6">
                  <c:v>3.7284686179974642</c:v>
                </c:pt>
              </c:numCache>
            </c:numRef>
          </c:val>
        </c:ser>
        <c:ser>
          <c:idx val="7"/>
          <c:order val="7"/>
          <c:tx>
            <c:strRef>
              <c:f>Sheet1!$I$4</c:f>
              <c:strCache>
                <c:ptCount val="1"/>
                <c:pt idx="0">
                  <c:v>Aktiv shken.prof.tek dhe mbesh</c:v>
                </c:pt>
              </c:strCache>
            </c:strRef>
          </c:tx>
          <c:invertIfNegative val="0"/>
          <c:cat>
            <c:strRef>
              <c:f>Sheet1!$A$5:$A$11</c:f>
              <c:strCache>
                <c:ptCount val="7"/>
                <c:pt idx="0">
                  <c:v>2010</c:v>
                </c:pt>
                <c:pt idx="1">
                  <c:v>2011</c:v>
                </c:pt>
                <c:pt idx="2">
                  <c:v>2012</c:v>
                </c:pt>
                <c:pt idx="3">
                  <c:v>2013</c:v>
                </c:pt>
                <c:pt idx="4">
                  <c:v>2014</c:v>
                </c:pt>
                <c:pt idx="5">
                  <c:v>2015</c:v>
                </c:pt>
                <c:pt idx="6">
                  <c:v>2016 TI</c:v>
                </c:pt>
              </c:strCache>
            </c:strRef>
          </c:cat>
          <c:val>
            <c:numRef>
              <c:f>Sheet1!$I$5:$I$11</c:f>
              <c:numCache>
                <c:formatCode>_(* #,##0.0_);_(* \(#,##0.0\);_(* "-"??_);_(@_)</c:formatCode>
                <c:ptCount val="7"/>
                <c:pt idx="0">
                  <c:v>0.83914653440078268</c:v>
                </c:pt>
                <c:pt idx="1">
                  <c:v>6.6500070433013434</c:v>
                </c:pt>
                <c:pt idx="2">
                  <c:v>33.785714374848396</c:v>
                </c:pt>
                <c:pt idx="3">
                  <c:v>10.621023108761833</c:v>
                </c:pt>
                <c:pt idx="4">
                  <c:v>18.525068033346969</c:v>
                </c:pt>
                <c:pt idx="5">
                  <c:v>8.356784523331001</c:v>
                </c:pt>
                <c:pt idx="6">
                  <c:v>4.2198562587051782</c:v>
                </c:pt>
              </c:numCache>
            </c:numRef>
          </c:val>
        </c:ser>
        <c:ser>
          <c:idx val="8"/>
          <c:order val="8"/>
          <c:tx>
            <c:strRef>
              <c:f>Sheet1!$J$4</c:f>
              <c:strCache>
                <c:ptCount val="1"/>
                <c:pt idx="0">
                  <c:v>Administrata publike dhe mbrojtja</c:v>
                </c:pt>
              </c:strCache>
            </c:strRef>
          </c:tx>
          <c:invertIfNegative val="0"/>
          <c:cat>
            <c:strRef>
              <c:f>Sheet1!$A$5:$A$11</c:f>
              <c:strCache>
                <c:ptCount val="7"/>
                <c:pt idx="0">
                  <c:v>2010</c:v>
                </c:pt>
                <c:pt idx="1">
                  <c:v>2011</c:v>
                </c:pt>
                <c:pt idx="2">
                  <c:v>2012</c:v>
                </c:pt>
                <c:pt idx="3">
                  <c:v>2013</c:v>
                </c:pt>
                <c:pt idx="4">
                  <c:v>2014</c:v>
                </c:pt>
                <c:pt idx="5">
                  <c:v>2015</c:v>
                </c:pt>
                <c:pt idx="6">
                  <c:v>2016 TI</c:v>
                </c:pt>
              </c:strCache>
            </c:strRef>
          </c:cat>
          <c:val>
            <c:numRef>
              <c:f>Sheet1!$J$5:$J$11</c:f>
              <c:numCache>
                <c:formatCode>_(* #,##0.0_);_(* \(#,##0.0\);_(* "-"??_);_(@_)</c:formatCode>
                <c:ptCount val="7"/>
                <c:pt idx="0">
                  <c:v>4.4690054125048277</c:v>
                </c:pt>
                <c:pt idx="1">
                  <c:v>4.6622841423909165</c:v>
                </c:pt>
                <c:pt idx="2">
                  <c:v>6.8017292420651643</c:v>
                </c:pt>
                <c:pt idx="3">
                  <c:v>3.839357964830171</c:v>
                </c:pt>
                <c:pt idx="4">
                  <c:v>4.0202715750432816</c:v>
                </c:pt>
                <c:pt idx="5">
                  <c:v>4.2010384365096343</c:v>
                </c:pt>
                <c:pt idx="6">
                  <c:v>0.86815570653638474</c:v>
                </c:pt>
              </c:numCache>
            </c:numRef>
          </c:val>
        </c:ser>
        <c:ser>
          <c:idx val="9"/>
          <c:order val="9"/>
          <c:tx>
            <c:strRef>
              <c:f>Sheet1!$K$4</c:f>
              <c:strCache>
                <c:ptCount val="1"/>
                <c:pt idx="0">
                  <c:v>Arte, argëtim dhe çlodhje etj</c:v>
                </c:pt>
              </c:strCache>
            </c:strRef>
          </c:tx>
          <c:invertIfNegative val="0"/>
          <c:cat>
            <c:strRef>
              <c:f>Sheet1!$A$5:$A$11</c:f>
              <c:strCache>
                <c:ptCount val="7"/>
                <c:pt idx="0">
                  <c:v>2010</c:v>
                </c:pt>
                <c:pt idx="1">
                  <c:v>2011</c:v>
                </c:pt>
                <c:pt idx="2">
                  <c:v>2012</c:v>
                </c:pt>
                <c:pt idx="3">
                  <c:v>2013</c:v>
                </c:pt>
                <c:pt idx="4">
                  <c:v>2014</c:v>
                </c:pt>
                <c:pt idx="5">
                  <c:v>2015</c:v>
                </c:pt>
                <c:pt idx="6">
                  <c:v>2016 TI</c:v>
                </c:pt>
              </c:strCache>
            </c:strRef>
          </c:cat>
          <c:val>
            <c:numRef>
              <c:f>Sheet1!$K$5:$K$11</c:f>
              <c:numCache>
                <c:formatCode>_(* #,##0.0_);_(* \(#,##0.0\);_(* "-"??_);_(@_)</c:formatCode>
                <c:ptCount val="7"/>
                <c:pt idx="0">
                  <c:v>22.723450128817831</c:v>
                </c:pt>
                <c:pt idx="1">
                  <c:v>-2.0378428566553453</c:v>
                </c:pt>
                <c:pt idx="2">
                  <c:v>-22.729762352878879</c:v>
                </c:pt>
                <c:pt idx="3">
                  <c:v>5.2515891756612803</c:v>
                </c:pt>
                <c:pt idx="4">
                  <c:v>25.096011705023486</c:v>
                </c:pt>
                <c:pt idx="5">
                  <c:v>2.2461398162637778</c:v>
                </c:pt>
                <c:pt idx="6">
                  <c:v>2.7986240634936479</c:v>
                </c:pt>
              </c:numCache>
            </c:numRef>
          </c:val>
        </c:ser>
        <c:dLbls>
          <c:showLegendKey val="0"/>
          <c:showVal val="0"/>
          <c:showCatName val="0"/>
          <c:showSerName val="0"/>
          <c:showPercent val="0"/>
          <c:showBubbleSize val="0"/>
        </c:dLbls>
        <c:gapWidth val="150"/>
        <c:axId val="70253568"/>
        <c:axId val="72745728"/>
      </c:barChart>
      <c:lineChart>
        <c:grouping val="standard"/>
        <c:varyColors val="0"/>
        <c:ser>
          <c:idx val="10"/>
          <c:order val="10"/>
          <c:tx>
            <c:strRef>
              <c:f>Sheet1!$L$4</c:f>
              <c:strCache>
                <c:ptCount val="1"/>
                <c:pt idx="0">
                  <c:v>PBB</c:v>
                </c:pt>
              </c:strCache>
            </c:strRef>
          </c:tx>
          <c:marker>
            <c:symbol val="none"/>
          </c:marker>
          <c:cat>
            <c:strRef>
              <c:f>Sheet1!$A$5:$A$11</c:f>
              <c:strCache>
                <c:ptCount val="7"/>
                <c:pt idx="0">
                  <c:v>2010</c:v>
                </c:pt>
                <c:pt idx="1">
                  <c:v>2011</c:v>
                </c:pt>
                <c:pt idx="2">
                  <c:v>2012</c:v>
                </c:pt>
                <c:pt idx="3">
                  <c:v>2013</c:v>
                </c:pt>
                <c:pt idx="4">
                  <c:v>2014</c:v>
                </c:pt>
                <c:pt idx="5">
                  <c:v>2015</c:v>
                </c:pt>
                <c:pt idx="6">
                  <c:v>2016 TI</c:v>
                </c:pt>
              </c:strCache>
            </c:strRef>
          </c:cat>
          <c:val>
            <c:numRef>
              <c:f>Sheet1!$L$5:$L$11</c:f>
              <c:numCache>
                <c:formatCode>_(* #,##0.0_);_(* \(#,##0.0\);_(* "-"??_);_(@_)</c:formatCode>
                <c:ptCount val="7"/>
                <c:pt idx="0">
                  <c:v>3.7068807698661885</c:v>
                </c:pt>
                <c:pt idx="1">
                  <c:v>8.4579984199563825</c:v>
                </c:pt>
                <c:pt idx="2">
                  <c:v>1.4175257830485037</c:v>
                </c:pt>
                <c:pt idx="3">
                  <c:v>1.0019879211949956</c:v>
                </c:pt>
                <c:pt idx="4">
                  <c:v>1.8271810657327023</c:v>
                </c:pt>
                <c:pt idx="5">
                  <c:v>2.7700930904796621</c:v>
                </c:pt>
                <c:pt idx="6">
                  <c:v>2.9640073920427881</c:v>
                </c:pt>
              </c:numCache>
            </c:numRef>
          </c:val>
          <c:smooth val="0"/>
        </c:ser>
        <c:dLbls>
          <c:showLegendKey val="0"/>
          <c:showVal val="0"/>
          <c:showCatName val="0"/>
          <c:showSerName val="0"/>
          <c:showPercent val="0"/>
          <c:showBubbleSize val="0"/>
        </c:dLbls>
        <c:marker val="1"/>
        <c:smooth val="0"/>
        <c:axId val="70253568"/>
        <c:axId val="72745728"/>
      </c:lineChart>
      <c:catAx>
        <c:axId val="70253568"/>
        <c:scaling>
          <c:orientation val="minMax"/>
        </c:scaling>
        <c:delete val="0"/>
        <c:axPos val="b"/>
        <c:numFmt formatCode="General" sourceLinked="1"/>
        <c:majorTickMark val="out"/>
        <c:minorTickMark val="none"/>
        <c:tickLblPos val="nextTo"/>
        <c:txPr>
          <a:bodyPr/>
          <a:lstStyle/>
          <a:p>
            <a:pPr>
              <a:defRPr b="1"/>
            </a:pPr>
            <a:endParaRPr lang="en-US"/>
          </a:p>
        </c:txPr>
        <c:crossAx val="72745728"/>
        <c:crosses val="autoZero"/>
        <c:auto val="1"/>
        <c:lblAlgn val="ctr"/>
        <c:lblOffset val="100"/>
        <c:noMultiLvlLbl val="0"/>
      </c:catAx>
      <c:valAx>
        <c:axId val="72745728"/>
        <c:scaling>
          <c:orientation val="minMax"/>
          <c:max val="30"/>
          <c:min val="-25"/>
        </c:scaling>
        <c:delete val="0"/>
        <c:axPos val="l"/>
        <c:numFmt formatCode="_(* #,##0.0_);_(* \(#,##0.0\);_(* &quot;-&quot;??_);_(@_)" sourceLinked="1"/>
        <c:majorTickMark val="out"/>
        <c:minorTickMark val="none"/>
        <c:tickLblPos val="nextTo"/>
        <c:txPr>
          <a:bodyPr/>
          <a:lstStyle/>
          <a:p>
            <a:pPr>
              <a:defRPr sz="700" b="1"/>
            </a:pPr>
            <a:endParaRPr lang="en-US"/>
          </a:p>
        </c:txPr>
        <c:crossAx val="70253568"/>
        <c:crosses val="autoZero"/>
        <c:crossBetween val="between"/>
      </c:valAx>
      <c:spPr>
        <a:noFill/>
        <a:ln w="25400">
          <a:noFill/>
        </a:ln>
      </c:spPr>
    </c:plotArea>
    <c:legend>
      <c:legendPos val="b"/>
      <c:layout>
        <c:manualLayout>
          <c:xMode val="edge"/>
          <c:yMode val="edge"/>
          <c:x val="1.9518602828674854E-2"/>
          <c:y val="0.71677008046627355"/>
          <c:w val="0.97485029418716018"/>
          <c:h val="0.26309393622358002"/>
        </c:manualLayout>
      </c:layout>
      <c:overlay val="0"/>
      <c:txPr>
        <a:bodyPr/>
        <a:lstStyle/>
        <a:p>
          <a:pPr>
            <a:defRPr sz="1050" baseline="0"/>
          </a:pPr>
          <a:endParaRPr lang="en-US"/>
        </a:p>
      </c:txPr>
    </c:legend>
    <c:plotVisOnly val="1"/>
    <c:dispBlanksAs val="gap"/>
    <c:showDLblsOverMax val="0"/>
  </c:chart>
  <c:spPr>
    <a:noFill/>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a:latin typeface="Times New Roman" pitchFamily="18" charset="0"/>
                <a:cs typeface="Times New Roman" pitchFamily="18" charset="0"/>
              </a:defRPr>
            </a:pPr>
            <a:r>
              <a:rPr lang="en-US" sz="1050" b="0" dirty="0">
                <a:latin typeface="Times New Roman" pitchFamily="18" charset="0"/>
                <a:cs typeface="Times New Roman" pitchFamily="18" charset="0"/>
              </a:rPr>
              <a:t>(</a:t>
            </a:r>
            <a:r>
              <a:rPr lang="en-US" sz="1050" b="0" dirty="0" err="1">
                <a:latin typeface="Times New Roman" pitchFamily="18" charset="0"/>
                <a:cs typeface="Times New Roman" pitchFamily="18" charset="0"/>
              </a:rPr>
              <a:t>në</a:t>
            </a:r>
            <a:r>
              <a:rPr lang="en-US" sz="1050" b="0" dirty="0">
                <a:latin typeface="Times New Roman" pitchFamily="18" charset="0"/>
                <a:cs typeface="Times New Roman" pitchFamily="18" charset="0"/>
              </a:rPr>
              <a:t> </a:t>
            </a:r>
            <a:r>
              <a:rPr lang="en-US" sz="1050" b="0" dirty="0" err="1">
                <a:latin typeface="Times New Roman" pitchFamily="18" charset="0"/>
                <a:cs typeface="Times New Roman" pitchFamily="18" charset="0"/>
              </a:rPr>
              <a:t>milion</a:t>
            </a:r>
            <a:r>
              <a:rPr lang="en-US" sz="1050" b="0" dirty="0">
                <a:latin typeface="Times New Roman" pitchFamily="18" charset="0"/>
                <a:cs typeface="Times New Roman" pitchFamily="18" charset="0"/>
              </a:rPr>
              <a:t> </a:t>
            </a:r>
            <a:r>
              <a:rPr lang="en-US" sz="1050" b="0" dirty="0" err="1">
                <a:latin typeface="Times New Roman" pitchFamily="18" charset="0"/>
                <a:cs typeface="Times New Roman" pitchFamily="18" charset="0"/>
              </a:rPr>
              <a:t>lekë</a:t>
            </a:r>
            <a:r>
              <a:rPr lang="en-US" sz="1050" b="0" dirty="0">
                <a:latin typeface="Times New Roman" pitchFamily="18" charset="0"/>
                <a:cs typeface="Times New Roman" pitchFamily="18" charset="0"/>
              </a:rPr>
              <a:t>)</a:t>
            </a:r>
          </a:p>
        </c:rich>
      </c:tx>
      <c:layout>
        <c:manualLayout>
          <c:xMode val="edge"/>
          <c:yMode val="edge"/>
          <c:x val="0.42819130941965589"/>
          <c:y val="2.1276595744680851E-2"/>
        </c:manualLayout>
      </c:layout>
      <c:overlay val="0"/>
    </c:title>
    <c:autoTitleDeleted val="0"/>
    <c:plotArea>
      <c:layout>
        <c:manualLayout>
          <c:layoutTarget val="inner"/>
          <c:xMode val="edge"/>
          <c:yMode val="edge"/>
          <c:x val="2.4691358024691357E-2"/>
          <c:y val="0.16678533534372034"/>
          <c:w val="0.95061728395061729"/>
          <c:h val="0.75296112340790555"/>
        </c:manualLayout>
      </c:layout>
      <c:lineChart>
        <c:grouping val="standard"/>
        <c:varyColors val="0"/>
        <c:ser>
          <c:idx val="0"/>
          <c:order val="0"/>
          <c:tx>
            <c:strRef>
              <c:f>Sheet2!$B$75</c:f>
              <c:strCache>
                <c:ptCount val="1"/>
                <c:pt idx="0">
                  <c:v>Fakt</c:v>
                </c:pt>
              </c:strCache>
            </c:strRef>
          </c:tx>
          <c:dLbls>
            <c:dLbl>
              <c:idx val="0"/>
              <c:layout>
                <c:manualLayout>
                  <c:x val="-5.8333333333333348E-2"/>
                  <c:y val="5.092592592592592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1666666666666664E-2"/>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7.2222222222222215E-2"/>
                  <c:y val="-6.944444444444444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7.4999999999999997E-2"/>
                  <c:y val="-6.9444444444444448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9.6296296296296297E-2"/>
                  <c:y val="-4.816775562629139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solidFill>
                      <a:schemeClr val="accent1">
                        <a:lumMod val="75000"/>
                      </a:schemeClr>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Sheet2!$A$76:$A$80</c:f>
              <c:numCache>
                <c:formatCode>General</c:formatCode>
                <c:ptCount val="5"/>
                <c:pt idx="0">
                  <c:v>2012</c:v>
                </c:pt>
                <c:pt idx="1">
                  <c:v>2013</c:v>
                </c:pt>
                <c:pt idx="2">
                  <c:v>2014</c:v>
                </c:pt>
                <c:pt idx="3">
                  <c:v>2015</c:v>
                </c:pt>
                <c:pt idx="4">
                  <c:v>2016</c:v>
                </c:pt>
              </c:numCache>
            </c:numRef>
          </c:cat>
          <c:val>
            <c:numRef>
              <c:f>Sheet2!$B$76:$B$80</c:f>
              <c:numCache>
                <c:formatCode>_(* #,##0_);_(* \(#,##0\);_(* "-"??_);_(@_)</c:formatCode>
                <c:ptCount val="5"/>
                <c:pt idx="0">
                  <c:v>26369</c:v>
                </c:pt>
                <c:pt idx="1">
                  <c:v>27064</c:v>
                </c:pt>
                <c:pt idx="2">
                  <c:v>29627</c:v>
                </c:pt>
                <c:pt idx="3">
                  <c:v>32673</c:v>
                </c:pt>
                <c:pt idx="4">
                  <c:v>36822</c:v>
                </c:pt>
              </c:numCache>
            </c:numRef>
          </c:val>
          <c:smooth val="0"/>
        </c:ser>
        <c:ser>
          <c:idx val="1"/>
          <c:order val="1"/>
          <c:tx>
            <c:strRef>
              <c:f>Sheet2!$C$75</c:f>
              <c:strCache>
                <c:ptCount val="1"/>
                <c:pt idx="0">
                  <c:v>Plan</c:v>
                </c:pt>
              </c:strCache>
            </c:strRef>
          </c:tx>
          <c:dLbls>
            <c:dLbl>
              <c:idx val="0"/>
              <c:layout>
                <c:manualLayout>
                  <c:x val="-6.666666666666668E-2"/>
                  <c:y val="-6.944444444444444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6666666666666666E-2"/>
                  <c:y val="-9.259259259259254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7222222222222221E-2"/>
                  <c:y val="7.40740740740740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9444444444444448E-2"/>
                  <c:y val="6.9444079906678335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7.2222222222222215E-2"/>
                  <c:y val="7.40740740740740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solidFill>
                      <a:schemeClr val="accent2">
                        <a:lumMod val="75000"/>
                      </a:schemeClr>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Sheet2!$A$76:$A$80</c:f>
              <c:numCache>
                <c:formatCode>General</c:formatCode>
                <c:ptCount val="5"/>
                <c:pt idx="0">
                  <c:v>2012</c:v>
                </c:pt>
                <c:pt idx="1">
                  <c:v>2013</c:v>
                </c:pt>
                <c:pt idx="2">
                  <c:v>2014</c:v>
                </c:pt>
                <c:pt idx="3">
                  <c:v>2015</c:v>
                </c:pt>
                <c:pt idx="4">
                  <c:v>2016</c:v>
                </c:pt>
              </c:numCache>
            </c:numRef>
          </c:cat>
          <c:val>
            <c:numRef>
              <c:f>Sheet2!$C$76:$C$80</c:f>
              <c:numCache>
                <c:formatCode>_(* #,##0_);_(* \(#,##0\);_(* "-"??_);_(@_)</c:formatCode>
                <c:ptCount val="5"/>
                <c:pt idx="0">
                  <c:v>26810</c:v>
                </c:pt>
                <c:pt idx="1">
                  <c:v>27700</c:v>
                </c:pt>
                <c:pt idx="2">
                  <c:v>29300</c:v>
                </c:pt>
                <c:pt idx="3">
                  <c:v>32000</c:v>
                </c:pt>
                <c:pt idx="4">
                  <c:v>36000</c:v>
                </c:pt>
              </c:numCache>
            </c:numRef>
          </c:val>
          <c:smooth val="0"/>
        </c:ser>
        <c:dLbls>
          <c:showLegendKey val="0"/>
          <c:showVal val="1"/>
          <c:showCatName val="0"/>
          <c:showSerName val="0"/>
          <c:showPercent val="0"/>
          <c:showBubbleSize val="0"/>
        </c:dLbls>
        <c:marker val="1"/>
        <c:smooth val="0"/>
        <c:axId val="131874176"/>
        <c:axId val="131888256"/>
      </c:lineChart>
      <c:catAx>
        <c:axId val="131874176"/>
        <c:scaling>
          <c:orientation val="minMax"/>
        </c:scaling>
        <c:delete val="0"/>
        <c:axPos val="b"/>
        <c:numFmt formatCode="General" sourceLinked="1"/>
        <c:majorTickMark val="none"/>
        <c:minorTickMark val="none"/>
        <c:tickLblPos val="nextTo"/>
        <c:crossAx val="131888256"/>
        <c:crosses val="autoZero"/>
        <c:auto val="1"/>
        <c:lblAlgn val="ctr"/>
        <c:lblOffset val="100"/>
        <c:noMultiLvlLbl val="0"/>
      </c:catAx>
      <c:valAx>
        <c:axId val="131888256"/>
        <c:scaling>
          <c:orientation val="minMax"/>
        </c:scaling>
        <c:delete val="1"/>
        <c:axPos val="l"/>
        <c:numFmt formatCode="_(* #,##0_);_(* \(#,##0\);_(* &quot;-&quot;??_);_(@_)" sourceLinked="1"/>
        <c:majorTickMark val="out"/>
        <c:minorTickMark val="none"/>
        <c:tickLblPos val="nextTo"/>
        <c:crossAx val="131874176"/>
        <c:crosses val="autoZero"/>
        <c:crossBetween val="between"/>
      </c:valAx>
    </c:plotArea>
    <c:legend>
      <c:legendPos val="t"/>
      <c:layout>
        <c:manualLayout>
          <c:xMode val="edge"/>
          <c:yMode val="edge"/>
          <c:x val="0.38316263244872167"/>
          <c:y val="8.8014184397163117E-2"/>
          <c:w val="0.2484893554972295"/>
          <c:h val="6.4123806332719052E-2"/>
        </c:manualLayout>
      </c:layout>
      <c:overlay val="0"/>
      <c:txPr>
        <a:bodyPr/>
        <a:lstStyle/>
        <a:p>
          <a:pPr>
            <a:defRPr b="1"/>
          </a:pPr>
          <a:endParaRPr lang="en-US"/>
        </a:p>
      </c:txPr>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Fakt i </a:t>
            </a:r>
            <a:r>
              <a:rPr lang="sq-AL"/>
              <a:t>s</a:t>
            </a:r>
            <a:r>
              <a:rPr lang="en-US"/>
              <a:t>hpenzimeve </a:t>
            </a:r>
            <a:r>
              <a:rPr lang="sq-AL"/>
              <a:t>i </a:t>
            </a:r>
            <a:r>
              <a:rPr lang="en-US"/>
              <a:t>publike</a:t>
            </a:r>
            <a:r>
              <a:rPr lang="sq-AL"/>
              <a:t> për 6 mujorin 2016</a:t>
            </a:r>
            <a:endParaRPr lang="en-US"/>
          </a:p>
        </c:rich>
      </c:tx>
      <c:layout>
        <c:manualLayout>
          <c:xMode val="edge"/>
          <c:yMode val="edge"/>
          <c:x val="0.12106175752421192"/>
          <c:y val="1.6683680012311165E-2"/>
        </c:manualLayout>
      </c:layout>
      <c:overlay val="0"/>
    </c:title>
    <c:autoTitleDeleted val="0"/>
    <c:plotArea>
      <c:layout>
        <c:manualLayout>
          <c:layoutTarget val="inner"/>
          <c:xMode val="edge"/>
          <c:yMode val="edge"/>
          <c:x val="0.14519739910559962"/>
          <c:y val="0.17379978968426993"/>
          <c:w val="0.42645468096975681"/>
          <c:h val="0.79734523412586455"/>
        </c:manualLayout>
      </c:layout>
      <c:pieChart>
        <c:varyColors val="1"/>
        <c:ser>
          <c:idx val="0"/>
          <c:order val="0"/>
          <c:tx>
            <c:strRef>
              <c:f>'Buxheti i Konsoliduar '!$D$163:$F$163</c:f>
              <c:strCache>
                <c:ptCount val="1"/>
                <c:pt idx="0">
                  <c:v>Fakt i Shpenzimeve te përgjithshme publike</c:v>
                </c:pt>
              </c:strCache>
            </c:strRef>
          </c:tx>
          <c:dPt>
            <c:idx val="0"/>
            <c:bubble3D val="0"/>
          </c:dPt>
          <c:dPt>
            <c:idx val="1"/>
            <c:bubble3D val="0"/>
          </c:dPt>
          <c:dLbls>
            <c:dLbl>
              <c:idx val="2"/>
              <c:layout>
                <c:manualLayout>
                  <c:x val="0.14129063194023825"/>
                  <c:y val="2.8538812785388126E-2"/>
                </c:manualLayout>
              </c:layout>
              <c:dLblPos val="bestFit"/>
              <c:showLegendKey val="0"/>
              <c:showVal val="1"/>
              <c:showCatName val="0"/>
              <c:showSerName val="0"/>
              <c:showPercent val="1"/>
              <c:showBubbleSize val="0"/>
            </c:dLbl>
            <c:txPr>
              <a:bodyPr/>
              <a:lstStyle/>
              <a:p>
                <a:pPr>
                  <a:defRPr sz="1200"/>
                </a:pPr>
                <a:endParaRPr lang="en-US"/>
              </a:p>
            </c:txPr>
            <c:dLblPos val="bestFit"/>
            <c:showLegendKey val="0"/>
            <c:showVal val="1"/>
            <c:showCatName val="0"/>
            <c:showSerName val="0"/>
            <c:showPercent val="1"/>
            <c:showBubbleSize val="0"/>
            <c:showLeaderLines val="1"/>
          </c:dLbls>
          <c:cat>
            <c:strRef>
              <c:f>'C:\Users\Mariel.Frroku\Desktop\Treguesit fiskale\Treguesit Fiskale 2016\Shkurt\[2m fiskale Print 14.03.2016.xls]Buxheti i Konsoliduar '!$D$165:$D$166</c:f>
              <c:strCache>
                <c:ptCount val="2"/>
                <c:pt idx="0">
                  <c:v>Shpenzime Korrente</c:v>
                </c:pt>
                <c:pt idx="1">
                  <c:v>Shpenzime Kapitale</c:v>
                </c:pt>
              </c:strCache>
            </c:strRef>
          </c:cat>
          <c:val>
            <c:numRef>
              <c:f>'Buxheti i Konsoliduar '!$E$164:$E$165</c:f>
              <c:numCache>
                <c:formatCode>#,##0</c:formatCode>
                <c:ptCount val="2"/>
                <c:pt idx="0">
                  <c:v>161856</c:v>
                </c:pt>
                <c:pt idx="1">
                  <c:v>18274</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6561476766623684"/>
          <c:y val="0.37268289346567834"/>
          <c:w val="0.29898147440307821"/>
          <c:h val="0.47134148947993881"/>
        </c:manualLayout>
      </c:layout>
      <c:overlay val="0"/>
      <c:txPr>
        <a:bodyPr/>
        <a:lstStyle/>
        <a:p>
          <a:pPr>
            <a:defRPr sz="1400"/>
          </a:pPr>
          <a:endParaRPr lang="en-US"/>
        </a:p>
      </c:txPr>
    </c:legend>
    <c:plotVisOnly val="1"/>
    <c:dispBlanksAs val="zero"/>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4"/>
    </mc:Choice>
    <mc:Fallback>
      <c:style val="24"/>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'Buxheti i Konsoliduar '!$D$177</c:f>
              <c:strCache>
                <c:ptCount val="1"/>
                <c:pt idx="0">
                  <c:v>Totali i të Ardhurave</c:v>
                </c:pt>
              </c:strCache>
            </c:strRef>
          </c:tx>
          <c:spPr>
            <a:solidFill>
              <a:schemeClr val="accent1"/>
            </a:solidFill>
          </c:spPr>
          <c:invertIfNegative val="0"/>
          <c:dLbls>
            <c:dLbl>
              <c:idx val="0"/>
              <c:layout>
                <c:manualLayout>
                  <c:x val="-1.9444444444444445E-2"/>
                  <c:y val="0.15070902595508895"/>
                </c:manualLayout>
              </c:layout>
              <c:spPr/>
              <c:txPr>
                <a:bodyPr/>
                <a:lstStyle/>
                <a:p>
                  <a:pPr>
                    <a:defRPr/>
                  </a:pPr>
                  <a:endParaRPr lang="en-US"/>
                </a:p>
              </c:txPr>
              <c:dLblPos val="outEnd"/>
              <c:showLegendKey val="0"/>
              <c:showVal val="1"/>
              <c:showCatName val="0"/>
              <c:showSerName val="0"/>
              <c:showPercent val="0"/>
              <c:showBubbleSize val="0"/>
            </c:dLbl>
            <c:dLbl>
              <c:idx val="1"/>
              <c:layout>
                <c:manualLayout>
                  <c:x val="-1.6666666666666666E-2"/>
                  <c:y val="0.17624234470691164"/>
                </c:manualLayout>
              </c:layout>
              <c:spPr/>
              <c:txPr>
                <a:bodyPr/>
                <a:lstStyle/>
                <a:p>
                  <a:pPr>
                    <a:defRPr/>
                  </a:pPr>
                  <a:endParaRPr lang="en-US"/>
                </a:p>
              </c:txPr>
              <c:dLblPos val="outEnd"/>
              <c:showLegendKey val="0"/>
              <c:showVal val="1"/>
              <c:showCatName val="0"/>
              <c:showSerName val="0"/>
              <c:showPercent val="0"/>
              <c:showBubbleSize val="0"/>
            </c:dLbl>
            <c:showLegendKey val="0"/>
            <c:showVal val="0"/>
            <c:showCatName val="0"/>
            <c:showSerName val="0"/>
            <c:showPercent val="0"/>
            <c:showBubbleSize val="0"/>
          </c:dLbls>
          <c:cat>
            <c:strRef>
              <c:f>'C:\Users\Mariel.Frroku\Desktop\Treguesit fiskale\Treguesit Fiskale 2016\Prill\[4m fiskale Print 12.05.2016.xlsx]Buxheti i Konsoliduar '!$E$169:$F$169</c:f>
              <c:strCache>
                <c:ptCount val="2"/>
                <c:pt idx="0">
                  <c:v>Fakt</c:v>
                </c:pt>
                <c:pt idx="1">
                  <c:v>Plan</c:v>
                </c:pt>
              </c:strCache>
            </c:strRef>
          </c:cat>
          <c:val>
            <c:numRef>
              <c:f>'Buxheti i Konsoliduar '!$E$177:$F$177</c:f>
              <c:numCache>
                <c:formatCode>#,##0</c:formatCode>
                <c:ptCount val="2"/>
                <c:pt idx="0">
                  <c:v>198116.11350500002</c:v>
                </c:pt>
                <c:pt idx="1">
                  <c:v>198014</c:v>
                </c:pt>
              </c:numCache>
            </c:numRef>
          </c:val>
        </c:ser>
        <c:ser>
          <c:idx val="1"/>
          <c:order val="1"/>
          <c:tx>
            <c:strRef>
              <c:f>'Buxheti i Konsoliduar '!$D$178</c:f>
              <c:strCache>
                <c:ptCount val="1"/>
                <c:pt idx="0">
                  <c:v>Totali i Shpenzimeve</c:v>
                </c:pt>
              </c:strCache>
            </c:strRef>
          </c:tx>
          <c:invertIfNegative val="0"/>
          <c:dLbls>
            <c:showLegendKey val="0"/>
            <c:showVal val="1"/>
            <c:showCatName val="0"/>
            <c:showSerName val="0"/>
            <c:showPercent val="0"/>
            <c:showBubbleSize val="0"/>
            <c:showLeaderLines val="0"/>
          </c:dLbls>
          <c:cat>
            <c:strRef>
              <c:f>'C:\Users\Mariel.Frroku\Desktop\Treguesit fiskale\Treguesit Fiskale 2016\Prill\[4m fiskale Print 12.05.2016.xlsx]Buxheti i Konsoliduar '!$E$169:$F$169</c:f>
              <c:strCache>
                <c:ptCount val="2"/>
                <c:pt idx="0">
                  <c:v>Fakt</c:v>
                </c:pt>
                <c:pt idx="1">
                  <c:v>Plan</c:v>
                </c:pt>
              </c:strCache>
            </c:strRef>
          </c:cat>
          <c:val>
            <c:numRef>
              <c:f>'Buxheti i Konsoliduar '!$E$178:$F$178</c:f>
              <c:numCache>
                <c:formatCode>#,##0</c:formatCode>
                <c:ptCount val="2"/>
                <c:pt idx="0">
                  <c:v>180130</c:v>
                </c:pt>
                <c:pt idx="1">
                  <c:v>202706</c:v>
                </c:pt>
              </c:numCache>
            </c:numRef>
          </c:val>
        </c:ser>
        <c:ser>
          <c:idx val="2"/>
          <c:order val="2"/>
          <c:tx>
            <c:strRef>
              <c:f>'Buxheti i Konsoliduar '!$D$179</c:f>
              <c:strCache>
                <c:ptCount val="1"/>
                <c:pt idx="0">
                  <c:v>Defiçiti Buxhetor</c:v>
                </c:pt>
              </c:strCache>
            </c:strRef>
          </c:tx>
          <c:spPr>
            <a:solidFill>
              <a:schemeClr val="accent2">
                <a:lumMod val="50000"/>
              </a:schemeClr>
            </a:solidFill>
          </c:spPr>
          <c:invertIfNegative val="0"/>
          <c:dLbls>
            <c:showLegendKey val="0"/>
            <c:showVal val="1"/>
            <c:showCatName val="0"/>
            <c:showSerName val="0"/>
            <c:showPercent val="0"/>
            <c:showBubbleSize val="0"/>
            <c:showLeaderLines val="0"/>
          </c:dLbls>
          <c:cat>
            <c:strRef>
              <c:f>'C:\Users\Mariel.Frroku\Desktop\Treguesit fiskale\Treguesit Fiskale 2016\Prill\[4m fiskale Print 12.05.2016.xlsx]Buxheti i Konsoliduar '!$E$169:$F$169</c:f>
              <c:strCache>
                <c:ptCount val="2"/>
                <c:pt idx="0">
                  <c:v>Fakt</c:v>
                </c:pt>
                <c:pt idx="1">
                  <c:v>Plan</c:v>
                </c:pt>
              </c:strCache>
            </c:strRef>
          </c:cat>
          <c:val>
            <c:numRef>
              <c:f>'Buxheti i Konsoliduar '!$E$179:$F$179</c:f>
              <c:numCache>
                <c:formatCode>#,##0</c:formatCode>
                <c:ptCount val="2"/>
                <c:pt idx="0">
                  <c:v>17986.113505000016</c:v>
                </c:pt>
                <c:pt idx="1">
                  <c:v>-4692</c:v>
                </c:pt>
              </c:numCache>
            </c:numRef>
          </c:val>
        </c:ser>
        <c:dLbls>
          <c:showLegendKey val="0"/>
          <c:showVal val="0"/>
          <c:showCatName val="0"/>
          <c:showSerName val="0"/>
          <c:showPercent val="0"/>
          <c:showBubbleSize val="0"/>
        </c:dLbls>
        <c:gapWidth val="150"/>
        <c:axId val="132128768"/>
        <c:axId val="132130304"/>
      </c:barChart>
      <c:catAx>
        <c:axId val="132128768"/>
        <c:scaling>
          <c:orientation val="minMax"/>
        </c:scaling>
        <c:delete val="0"/>
        <c:axPos val="b"/>
        <c:numFmt formatCode="General" sourceLinked="1"/>
        <c:majorTickMark val="out"/>
        <c:minorTickMark val="none"/>
        <c:tickLblPos val="nextTo"/>
        <c:crossAx val="132130304"/>
        <c:crosses val="autoZero"/>
        <c:auto val="1"/>
        <c:lblAlgn val="ctr"/>
        <c:lblOffset val="100"/>
        <c:noMultiLvlLbl val="0"/>
      </c:catAx>
      <c:valAx>
        <c:axId val="132130304"/>
        <c:scaling>
          <c:orientation val="minMax"/>
        </c:scaling>
        <c:delete val="0"/>
        <c:axPos val="l"/>
        <c:majorGridlines/>
        <c:numFmt formatCode="#,##0" sourceLinked="1"/>
        <c:majorTickMark val="out"/>
        <c:minorTickMark val="none"/>
        <c:tickLblPos val="nextTo"/>
        <c:crossAx val="132128768"/>
        <c:crosses val="autoZero"/>
        <c:crossBetween val="between"/>
      </c:valAx>
      <c:spPr>
        <a:blipFill>
          <a:blip xmlns:r="http://schemas.openxmlformats.org/officeDocument/2006/relationships" r:embed="rId2"/>
          <a:tile tx="0" ty="0" sx="100000" sy="100000" flip="none" algn="tl"/>
        </a:blipFill>
      </c:spPr>
    </c:plotArea>
    <c:legend>
      <c:legendPos val="r"/>
      <c:layout>
        <c:manualLayout>
          <c:xMode val="edge"/>
          <c:yMode val="edge"/>
          <c:x val="0.75254483624329571"/>
          <c:y val="0.27577013399640832"/>
          <c:w val="0.23354212027844345"/>
          <c:h val="0.34319622876087857"/>
        </c:manualLayout>
      </c:layout>
      <c:overlay val="0"/>
    </c:legend>
    <c:plotVisOnly val="1"/>
    <c:dispBlanksAs val="gap"/>
    <c:showDLblsOverMax val="0"/>
  </c:chart>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Cambria" panose="02040503050406030204" pitchFamily="18" charset="0"/>
                <a:ea typeface="+mn-ea"/>
                <a:cs typeface="+mn-cs"/>
              </a:defRPr>
            </a:pPr>
            <a:r>
              <a:rPr lang="en-US" sz="1100" b="1">
                <a:solidFill>
                  <a:sysClr val="windowText" lastClr="000000"/>
                </a:solidFill>
                <a:latin typeface="Cambria" panose="02040503050406030204" pitchFamily="18" charset="0"/>
              </a:rPr>
              <a:t>Shërbimi</a:t>
            </a:r>
            <a:r>
              <a:rPr lang="en-US" sz="1100" b="1" baseline="0">
                <a:solidFill>
                  <a:sysClr val="windowText" lastClr="000000"/>
                </a:solidFill>
                <a:latin typeface="Cambria" panose="02040503050406030204" pitchFamily="18" charset="0"/>
              </a:rPr>
              <a:t> i Borxhit</a:t>
            </a:r>
            <a:endParaRPr lang="en-US" sz="1100" b="1">
              <a:solidFill>
                <a:sysClr val="windowText" lastClr="000000"/>
              </a:solidFill>
              <a:latin typeface="Cambria" panose="02040503050406030204" pitchFamily="18" charset="0"/>
            </a:endParaRPr>
          </a:p>
        </c:rich>
      </c:tx>
      <c:overlay val="0"/>
      <c:spPr>
        <a:noFill/>
        <a:ln>
          <a:noFill/>
        </a:ln>
        <a:effectLst/>
      </c:spPr>
    </c:title>
    <c:autoTitleDeleted val="0"/>
    <c:plotArea>
      <c:layout/>
      <c:lineChart>
        <c:grouping val="standard"/>
        <c:varyColors val="0"/>
        <c:ser>
          <c:idx val="0"/>
          <c:order val="0"/>
          <c:tx>
            <c:strRef>
              <c:f>'Sherbimi i Borxhit'!$B$10</c:f>
              <c:strCache>
                <c:ptCount val="1"/>
                <c:pt idx="0">
                  <c:v>Shërbimi i Borxhit/PBB</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5.1779935275080922E-2"/>
                  <c:y val="-4.166666666666670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5307443365695796E-2"/>
                  <c:y val="-4.166666666666666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099244875943913E-2"/>
                  <c:y val="-4.629629629629629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8834951456310676E-2"/>
                  <c:y val="-4.629629629629629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'Sherbimi i Borxhit'!$C$3:$F$3</c:f>
              <c:numCache>
                <c:formatCode>mmm\-yy</c:formatCode>
                <c:ptCount val="4"/>
                <c:pt idx="0">
                  <c:v>41426</c:v>
                </c:pt>
                <c:pt idx="1">
                  <c:v>41791</c:v>
                </c:pt>
                <c:pt idx="2">
                  <c:v>42156</c:v>
                </c:pt>
                <c:pt idx="3">
                  <c:v>42522</c:v>
                </c:pt>
              </c:numCache>
            </c:numRef>
          </c:cat>
          <c:val>
            <c:numRef>
              <c:f>'Sherbimi i Borxhit'!$C$10:$F$10</c:f>
              <c:numCache>
                <c:formatCode>0.00%</c:formatCode>
                <c:ptCount val="4"/>
                <c:pt idx="0">
                  <c:v>2.0047313882070705E-2</c:v>
                </c:pt>
                <c:pt idx="1">
                  <c:v>2.1858571174589392E-2</c:v>
                </c:pt>
                <c:pt idx="2">
                  <c:v>1.973640950177229E-2</c:v>
                </c:pt>
                <c:pt idx="3">
                  <c:v>1.942795537333181E-2</c:v>
                </c:pt>
              </c:numCache>
            </c:numRef>
          </c:val>
          <c:smooth val="0"/>
        </c:ser>
        <c:ser>
          <c:idx val="1"/>
          <c:order val="1"/>
          <c:tx>
            <c:strRef>
              <c:f>'Sherbimi i Borxhit'!$B$11</c:f>
              <c:strCache>
                <c:ptCount val="1"/>
                <c:pt idx="0">
                  <c:v>   Interesa/PBB</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3.8834951456310676E-2"/>
                  <c:y val="-4.166666666666666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8834951456310676E-2"/>
                  <c:y val="-4.166666666666666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099244875943913E-2"/>
                  <c:y val="-4.629629629629629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8834951456310676E-2"/>
                  <c:y val="-5.092592592592592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'Sherbimi i Borxhit'!$C$3:$F$3</c:f>
              <c:numCache>
                <c:formatCode>mmm\-yy</c:formatCode>
                <c:ptCount val="4"/>
                <c:pt idx="0">
                  <c:v>41426</c:v>
                </c:pt>
                <c:pt idx="1">
                  <c:v>41791</c:v>
                </c:pt>
                <c:pt idx="2">
                  <c:v>42156</c:v>
                </c:pt>
                <c:pt idx="3">
                  <c:v>42522</c:v>
                </c:pt>
              </c:numCache>
            </c:numRef>
          </c:cat>
          <c:val>
            <c:numRef>
              <c:f>'Sherbimi i Borxhit'!$C$11:$F$11</c:f>
              <c:numCache>
                <c:formatCode>0.00%</c:formatCode>
                <c:ptCount val="4"/>
                <c:pt idx="0">
                  <c:v>1.5644679409576062E-2</c:v>
                </c:pt>
                <c:pt idx="1">
                  <c:v>1.4629263238915597E-2</c:v>
                </c:pt>
                <c:pt idx="2">
                  <c:v>1.1894173419318756E-2</c:v>
                </c:pt>
                <c:pt idx="3">
                  <c:v>1.14023424100361E-2</c:v>
                </c:pt>
              </c:numCache>
            </c:numRef>
          </c:val>
          <c:smooth val="0"/>
        </c:ser>
        <c:ser>
          <c:idx val="2"/>
          <c:order val="2"/>
          <c:tx>
            <c:strRef>
              <c:f>'Sherbimi i Borxhit'!$B$12</c:f>
              <c:strCache>
                <c:ptCount val="1"/>
                <c:pt idx="0">
                  <c:v>   Principal/PBB</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5.1779935275080922E-2"/>
                  <c:y val="-5.092592592592601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1779935275080909E-2"/>
                  <c:y val="-5.092592592592601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1779935275080909E-2"/>
                  <c:y val="-4.629629629629638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588996763754061E-2"/>
                  <c:y val="-3.2407407407407489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'Sherbimi i Borxhit'!$C$3:$F$3</c:f>
              <c:numCache>
                <c:formatCode>mmm\-yy</c:formatCode>
                <c:ptCount val="4"/>
                <c:pt idx="0">
                  <c:v>41426</c:v>
                </c:pt>
                <c:pt idx="1">
                  <c:v>41791</c:v>
                </c:pt>
                <c:pt idx="2">
                  <c:v>42156</c:v>
                </c:pt>
                <c:pt idx="3">
                  <c:v>42522</c:v>
                </c:pt>
              </c:numCache>
            </c:numRef>
          </c:cat>
          <c:val>
            <c:numRef>
              <c:f>'Sherbimi i Borxhit'!$C$12:$F$12</c:f>
              <c:numCache>
                <c:formatCode>0.00%</c:formatCode>
                <c:ptCount val="4"/>
                <c:pt idx="0">
                  <c:v>4.4026344724946414E-3</c:v>
                </c:pt>
                <c:pt idx="1">
                  <c:v>7.2293079356737962E-3</c:v>
                </c:pt>
                <c:pt idx="2">
                  <c:v>7.8422360824535325E-3</c:v>
                </c:pt>
                <c:pt idx="3">
                  <c:v>8.0256129632957085E-3</c:v>
                </c:pt>
              </c:numCache>
            </c:numRef>
          </c:val>
          <c:smooth val="0"/>
        </c:ser>
        <c:dLbls>
          <c:showLegendKey val="0"/>
          <c:showVal val="0"/>
          <c:showCatName val="0"/>
          <c:showSerName val="0"/>
          <c:showPercent val="0"/>
          <c:showBubbleSize val="0"/>
        </c:dLbls>
        <c:marker val="1"/>
        <c:smooth val="0"/>
        <c:axId val="132178304"/>
        <c:axId val="132179840"/>
      </c:lineChart>
      <c:catAx>
        <c:axId val="132178304"/>
        <c:scaling>
          <c:orientation val="minMax"/>
        </c:scaling>
        <c:delete val="0"/>
        <c:axPos val="b"/>
        <c:numFmt formatCode="mmm\-yy" sourceLinked="1"/>
        <c:majorTickMark val="none"/>
        <c:minorTickMark val="none"/>
        <c:tickLblPos val="nextTo"/>
        <c:spPr>
          <a:noFill/>
          <a:ln w="9525" cap="flat" cmpd="sng" algn="ctr">
            <a:solidFill>
              <a:schemeClr val="tx1"/>
            </a:solidFill>
            <a:round/>
          </a:ln>
          <a:effectLst/>
        </c:spPr>
        <c:txPr>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2179840"/>
        <c:crosses val="autoZero"/>
        <c:auto val="0"/>
        <c:lblAlgn val="ctr"/>
        <c:lblOffset val="100"/>
        <c:noMultiLvlLbl val="0"/>
      </c:catAx>
      <c:valAx>
        <c:axId val="132179840"/>
        <c:scaling>
          <c:orientation val="minMax"/>
        </c:scaling>
        <c:delete val="0"/>
        <c:axPos val="l"/>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2178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25207741555670027"/>
          <c:y val="3.7753079908073695E-2"/>
          <c:w val="0.74792258444329973"/>
          <c:h val="0.66803718802224499"/>
        </c:manualLayout>
      </c:layout>
      <c:bar3DChart>
        <c:barDir val="col"/>
        <c:grouping val="clustered"/>
        <c:varyColors val="0"/>
        <c:ser>
          <c:idx val="0"/>
          <c:order val="0"/>
          <c:tx>
            <c:strRef>
              <c:f>Sheet1!$B$1</c:f>
              <c:strCache>
                <c:ptCount val="1"/>
                <c:pt idx="0">
                  <c:v>Plan 2016</c:v>
                </c:pt>
              </c:strCache>
            </c:strRef>
          </c:tx>
          <c:invertIfNegative val="0"/>
          <c:cat>
            <c:strRef>
              <c:f>Sheet1!$A$2:$A$8</c:f>
              <c:strCache>
                <c:ptCount val="7"/>
                <c:pt idx="0">
                  <c:v>Janar</c:v>
                </c:pt>
                <c:pt idx="1">
                  <c:v>Shkurt</c:v>
                </c:pt>
                <c:pt idx="2">
                  <c:v>Mars</c:v>
                </c:pt>
                <c:pt idx="3">
                  <c:v>Prill</c:v>
                </c:pt>
                <c:pt idx="4">
                  <c:v>Maj</c:v>
                </c:pt>
                <c:pt idx="5">
                  <c:v>Qershor</c:v>
                </c:pt>
                <c:pt idx="6">
                  <c:v>Progresive</c:v>
                </c:pt>
              </c:strCache>
            </c:strRef>
          </c:cat>
          <c:val>
            <c:numRef>
              <c:f>Sheet1!$B$2:$B$8</c:f>
              <c:numCache>
                <c:formatCode>General</c:formatCode>
                <c:ptCount val="7"/>
                <c:pt idx="0">
                  <c:v>9607</c:v>
                </c:pt>
                <c:pt idx="1">
                  <c:v>9957</c:v>
                </c:pt>
                <c:pt idx="2">
                  <c:v>11703</c:v>
                </c:pt>
                <c:pt idx="3">
                  <c:v>11770</c:v>
                </c:pt>
                <c:pt idx="4">
                  <c:v>12500</c:v>
                </c:pt>
                <c:pt idx="5">
                  <c:v>13832</c:v>
                </c:pt>
                <c:pt idx="6">
                  <c:v>69370</c:v>
                </c:pt>
              </c:numCache>
            </c:numRef>
          </c:val>
        </c:ser>
        <c:ser>
          <c:idx val="1"/>
          <c:order val="1"/>
          <c:tx>
            <c:strRef>
              <c:f>Sheet1!$C$1</c:f>
              <c:strCache>
                <c:ptCount val="1"/>
                <c:pt idx="0">
                  <c:v>Realizim 2016 - Rimbursim Akcize</c:v>
                </c:pt>
              </c:strCache>
            </c:strRef>
          </c:tx>
          <c:invertIfNegative val="0"/>
          <c:cat>
            <c:strRef>
              <c:f>Sheet1!$A$2:$A$8</c:f>
              <c:strCache>
                <c:ptCount val="7"/>
                <c:pt idx="0">
                  <c:v>Janar</c:v>
                </c:pt>
                <c:pt idx="1">
                  <c:v>Shkurt</c:v>
                </c:pt>
                <c:pt idx="2">
                  <c:v>Mars</c:v>
                </c:pt>
                <c:pt idx="3">
                  <c:v>Prill</c:v>
                </c:pt>
                <c:pt idx="4">
                  <c:v>Maj</c:v>
                </c:pt>
                <c:pt idx="5">
                  <c:v>Qershor</c:v>
                </c:pt>
                <c:pt idx="6">
                  <c:v>Progresive</c:v>
                </c:pt>
              </c:strCache>
            </c:strRef>
          </c:cat>
          <c:val>
            <c:numRef>
              <c:f>Sheet1!$C$2:$C$8</c:f>
              <c:numCache>
                <c:formatCode>General</c:formatCode>
                <c:ptCount val="7"/>
                <c:pt idx="0">
                  <c:v>9386</c:v>
                </c:pt>
                <c:pt idx="1">
                  <c:v>10360</c:v>
                </c:pt>
                <c:pt idx="2">
                  <c:v>11726</c:v>
                </c:pt>
                <c:pt idx="3">
                  <c:v>11948</c:v>
                </c:pt>
                <c:pt idx="4">
                  <c:v>12245</c:v>
                </c:pt>
                <c:pt idx="5" formatCode="0">
                  <c:v>13385</c:v>
                </c:pt>
                <c:pt idx="6" formatCode="0">
                  <c:v>69050</c:v>
                </c:pt>
              </c:numCache>
            </c:numRef>
          </c:val>
        </c:ser>
        <c:ser>
          <c:idx val="2"/>
          <c:order val="2"/>
          <c:tx>
            <c:strRef>
              <c:f>Sheet1!$D$1</c:f>
              <c:strCache>
                <c:ptCount val="1"/>
                <c:pt idx="0">
                  <c:v>Realizimi në % të të Ardhurave Neto</c:v>
                </c:pt>
              </c:strCache>
            </c:strRef>
          </c:tx>
          <c:invertIfNegative val="0"/>
          <c:cat>
            <c:strRef>
              <c:f>Sheet1!$A$2:$A$8</c:f>
              <c:strCache>
                <c:ptCount val="7"/>
                <c:pt idx="0">
                  <c:v>Janar</c:v>
                </c:pt>
                <c:pt idx="1">
                  <c:v>Shkurt</c:v>
                </c:pt>
                <c:pt idx="2">
                  <c:v>Mars</c:v>
                </c:pt>
                <c:pt idx="3">
                  <c:v>Prill</c:v>
                </c:pt>
                <c:pt idx="4">
                  <c:v>Maj</c:v>
                </c:pt>
                <c:pt idx="5">
                  <c:v>Qershor</c:v>
                </c:pt>
                <c:pt idx="6">
                  <c:v>Progresive</c:v>
                </c:pt>
              </c:strCache>
            </c:strRef>
          </c:cat>
          <c:val>
            <c:numRef>
              <c:f>Sheet1!$D$2:$D$8</c:f>
              <c:numCache>
                <c:formatCode>0%</c:formatCode>
                <c:ptCount val="7"/>
                <c:pt idx="0" formatCode="0.00%">
                  <c:v>0.97699999999999998</c:v>
                </c:pt>
                <c:pt idx="1">
                  <c:v>1.04</c:v>
                </c:pt>
                <c:pt idx="2" formatCode="0.00%">
                  <c:v>1.002</c:v>
                </c:pt>
                <c:pt idx="3" formatCode="0.00%">
                  <c:v>1.0152000000000001</c:v>
                </c:pt>
                <c:pt idx="4" formatCode="0.00%">
                  <c:v>0.97960000000000003</c:v>
                </c:pt>
                <c:pt idx="5" formatCode="0.00%">
                  <c:v>0.96768363215731634</c:v>
                </c:pt>
                <c:pt idx="6" formatCode="0.00%">
                  <c:v>0.99538705492287738</c:v>
                </c:pt>
              </c:numCache>
            </c:numRef>
          </c:val>
        </c:ser>
        <c:dLbls>
          <c:showLegendKey val="0"/>
          <c:showVal val="0"/>
          <c:showCatName val="0"/>
          <c:showSerName val="0"/>
          <c:showPercent val="0"/>
          <c:showBubbleSize val="0"/>
        </c:dLbls>
        <c:gapWidth val="150"/>
        <c:shape val="box"/>
        <c:axId val="72808320"/>
        <c:axId val="72809856"/>
        <c:axId val="0"/>
      </c:bar3DChart>
      <c:catAx>
        <c:axId val="72808320"/>
        <c:scaling>
          <c:orientation val="minMax"/>
        </c:scaling>
        <c:delete val="0"/>
        <c:axPos val="b"/>
        <c:numFmt formatCode="General" sourceLinked="0"/>
        <c:majorTickMark val="none"/>
        <c:minorTickMark val="none"/>
        <c:tickLblPos val="nextTo"/>
        <c:crossAx val="72809856"/>
        <c:crosses val="autoZero"/>
        <c:auto val="1"/>
        <c:lblAlgn val="ctr"/>
        <c:lblOffset val="100"/>
        <c:noMultiLvlLbl val="0"/>
      </c:catAx>
      <c:valAx>
        <c:axId val="72809856"/>
        <c:scaling>
          <c:orientation val="minMax"/>
        </c:scaling>
        <c:delete val="0"/>
        <c:axPos val="l"/>
        <c:majorGridlines/>
        <c:title>
          <c:tx>
            <c:rich>
              <a:bodyPr/>
              <a:lstStyle/>
              <a:p>
                <a:pPr>
                  <a:defRPr sz="1050">
                    <a:latin typeface="Times New Roman" pitchFamily="18" charset="0"/>
                    <a:cs typeface="Times New Roman" pitchFamily="18" charset="0"/>
                  </a:defRPr>
                </a:pPr>
                <a:r>
                  <a:rPr lang="en-US" sz="1050" b="0" i="0" baseline="0" dirty="0" err="1" smtClean="0">
                    <a:effectLst/>
                    <a:latin typeface="Times New Roman" pitchFamily="18" charset="0"/>
                    <a:cs typeface="Times New Roman" pitchFamily="18" charset="0"/>
                  </a:rPr>
                  <a:t>Të</a:t>
                </a:r>
                <a:r>
                  <a:rPr lang="en-US" sz="1050" b="0" i="0" baseline="0" dirty="0" smtClean="0">
                    <a:effectLst/>
                    <a:latin typeface="Times New Roman" pitchFamily="18" charset="0"/>
                    <a:cs typeface="Times New Roman" pitchFamily="18" charset="0"/>
                  </a:rPr>
                  <a:t> </a:t>
                </a:r>
                <a:r>
                  <a:rPr lang="en-US" sz="1050" b="0" i="0" baseline="0" dirty="0" err="1" smtClean="0">
                    <a:effectLst/>
                    <a:latin typeface="Times New Roman" pitchFamily="18" charset="0"/>
                    <a:cs typeface="Times New Roman" pitchFamily="18" charset="0"/>
                  </a:rPr>
                  <a:t>ardhurat</a:t>
                </a:r>
                <a:r>
                  <a:rPr lang="en-US" sz="1050" b="0" i="0" baseline="0" dirty="0" smtClean="0">
                    <a:effectLst/>
                    <a:latin typeface="Times New Roman" pitchFamily="18" charset="0"/>
                    <a:cs typeface="Times New Roman" pitchFamily="18" charset="0"/>
                  </a:rPr>
                  <a:t> </a:t>
                </a:r>
                <a:r>
                  <a:rPr lang="en-US" sz="1050" b="0" i="0" baseline="0" dirty="0" err="1" smtClean="0">
                    <a:effectLst/>
                    <a:latin typeface="Times New Roman" pitchFamily="18" charset="0"/>
                    <a:cs typeface="Times New Roman" pitchFamily="18" charset="0"/>
                  </a:rPr>
                  <a:t>doganore</a:t>
                </a:r>
                <a:r>
                  <a:rPr lang="en-US" sz="1050" b="0" i="0" baseline="0" dirty="0" smtClean="0">
                    <a:effectLst/>
                    <a:latin typeface="Times New Roman" pitchFamily="18" charset="0"/>
                    <a:cs typeface="Times New Roman" pitchFamily="18" charset="0"/>
                  </a:rPr>
                  <a:t> (</a:t>
                </a:r>
                <a:r>
                  <a:rPr lang="en-US" sz="1050" b="0" i="0" baseline="0" dirty="0" err="1" smtClean="0">
                    <a:effectLst/>
                    <a:latin typeface="Times New Roman" pitchFamily="18" charset="0"/>
                    <a:cs typeface="Times New Roman" pitchFamily="18" charset="0"/>
                  </a:rPr>
                  <a:t>në</a:t>
                </a:r>
                <a:r>
                  <a:rPr lang="en-US" sz="1050" b="0" i="0" baseline="0" dirty="0" smtClean="0">
                    <a:effectLst/>
                    <a:latin typeface="Times New Roman" pitchFamily="18" charset="0"/>
                    <a:cs typeface="Times New Roman" pitchFamily="18" charset="0"/>
                  </a:rPr>
                  <a:t> </a:t>
                </a:r>
                <a:r>
                  <a:rPr lang="en-US" sz="1050" b="0" i="0" baseline="0" dirty="0" err="1" smtClean="0">
                    <a:effectLst/>
                    <a:latin typeface="Times New Roman" pitchFamily="18" charset="0"/>
                    <a:cs typeface="Times New Roman" pitchFamily="18" charset="0"/>
                  </a:rPr>
                  <a:t>milion</a:t>
                </a:r>
                <a:r>
                  <a:rPr lang="en-US" sz="1050" b="0" i="0" baseline="0" dirty="0" smtClean="0">
                    <a:effectLst/>
                    <a:latin typeface="Times New Roman" pitchFamily="18" charset="0"/>
                    <a:cs typeface="Times New Roman" pitchFamily="18" charset="0"/>
                  </a:rPr>
                  <a:t> </a:t>
                </a:r>
                <a:r>
                  <a:rPr lang="en-US" sz="1050" b="0" i="0" baseline="0" dirty="0" err="1" smtClean="0">
                    <a:effectLst/>
                    <a:latin typeface="Times New Roman" pitchFamily="18" charset="0"/>
                    <a:cs typeface="Times New Roman" pitchFamily="18" charset="0"/>
                  </a:rPr>
                  <a:t>lekë</a:t>
                </a:r>
                <a:r>
                  <a:rPr lang="en-US" sz="1050" b="0" i="0" baseline="0" dirty="0" smtClean="0">
                    <a:effectLst/>
                    <a:latin typeface="Times New Roman" pitchFamily="18" charset="0"/>
                    <a:cs typeface="Times New Roman" pitchFamily="18" charset="0"/>
                  </a:rPr>
                  <a:t>)</a:t>
                </a:r>
                <a:endParaRPr lang="en-US" sz="1050" dirty="0">
                  <a:effectLst/>
                  <a:latin typeface="Times New Roman" pitchFamily="18" charset="0"/>
                  <a:cs typeface="Times New Roman" pitchFamily="18" charset="0"/>
                </a:endParaRPr>
              </a:p>
            </c:rich>
          </c:tx>
          <c:layout>
            <c:manualLayout>
              <c:xMode val="edge"/>
              <c:yMode val="edge"/>
              <c:x val="0.15659262218390926"/>
              <c:y val="0.11492697384118852"/>
            </c:manualLayout>
          </c:layout>
          <c:overlay val="0"/>
        </c:title>
        <c:numFmt formatCode="General" sourceLinked="1"/>
        <c:majorTickMark val="none"/>
        <c:minorTickMark val="none"/>
        <c:tickLblPos val="nextTo"/>
        <c:txPr>
          <a:bodyPr/>
          <a:lstStyle/>
          <a:p>
            <a:pPr>
              <a:defRPr sz="1000">
                <a:latin typeface="Times New Roman" pitchFamily="18" charset="0"/>
                <a:cs typeface="Times New Roman" pitchFamily="18" charset="0"/>
              </a:defRPr>
            </a:pPr>
            <a:endParaRPr lang="en-US"/>
          </a:p>
        </c:txPr>
        <c:crossAx val="72808320"/>
        <c:crosses val="autoZero"/>
        <c:crossBetween val="between"/>
      </c:valAx>
      <c:dTable>
        <c:showHorzBorder val="1"/>
        <c:showVertBorder val="1"/>
        <c:showOutline val="1"/>
        <c:showKeys val="1"/>
        <c:txPr>
          <a:bodyPr/>
          <a:lstStyle/>
          <a:p>
            <a:pPr rtl="0">
              <a:defRPr sz="800">
                <a:latin typeface="Times New Roman" pitchFamily="18" charset="0"/>
                <a:cs typeface="Times New Roman" pitchFamily="18" charset="0"/>
              </a:defRPr>
            </a:pPr>
            <a:endParaRPr lang="en-US"/>
          </a:p>
        </c:txPr>
      </c:dTable>
    </c:plotArea>
    <c:plotVisOnly val="1"/>
    <c:dispBlanksAs val="gap"/>
    <c:showDLblsOverMax val="0"/>
  </c:chart>
  <c:spPr>
    <a:noFill/>
    <a:ln>
      <a:noFill/>
    </a:ln>
  </c:spPr>
  <c:txPr>
    <a:bodyPr/>
    <a:lstStyle/>
    <a:p>
      <a:pPr>
        <a:defRPr sz="18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8"/>
    </mc:Choice>
    <mc:Fallback>
      <c:style val="28"/>
    </mc:Fallback>
  </mc:AlternateContent>
  <c:clrMapOvr bg1="lt1" tx1="dk1" bg2="lt2" tx2="dk2" accent1="accent1" accent2="accent2" accent3="accent3" accent4="accent4" accent5="accent5" accent6="accent6" hlink="hlink" folHlink="folHlink"/>
  <c:chart>
    <c:title>
      <c:tx>
        <c:rich>
          <a:bodyPr/>
          <a:lstStyle/>
          <a:p>
            <a:pPr>
              <a:defRPr/>
            </a:pPr>
            <a:r>
              <a:rPr lang="en-US" sz="1100"/>
              <a:t>Cigare ne Ton</a:t>
            </a:r>
          </a:p>
          <a:p>
            <a:pPr>
              <a:defRPr/>
            </a:pPr>
            <a:r>
              <a:rPr lang="en-US" sz="900"/>
              <a:t>13.6</a:t>
            </a:r>
            <a:r>
              <a:rPr lang="en-US" sz="900" baseline="0"/>
              <a:t> </a:t>
            </a:r>
            <a:r>
              <a:rPr lang="en-US" sz="900"/>
              <a:t>% eTotalit te  Ardhurave</a:t>
            </a:r>
          </a:p>
        </c:rich>
      </c:tx>
      <c:layout>
        <c:manualLayout>
          <c:xMode val="edge"/>
          <c:yMode val="edge"/>
          <c:x val="3.610768533451391E-2"/>
          <c:y val="4.7074542038834294E-2"/>
        </c:manualLayout>
      </c:layout>
      <c:overlay val="0"/>
    </c:title>
    <c:autoTitleDeleted val="0"/>
    <c:plotArea>
      <c:layout>
        <c:manualLayout>
          <c:layoutTarget val="inner"/>
          <c:xMode val="edge"/>
          <c:yMode val="edge"/>
          <c:x val="0.13675130845330724"/>
          <c:y val="0.22488587660719625"/>
          <c:w val="0.82335202182567402"/>
          <c:h val="0.61449456792584467"/>
        </c:manualLayout>
      </c:layout>
      <c:barChart>
        <c:barDir val="col"/>
        <c:grouping val="clustered"/>
        <c:varyColors val="0"/>
        <c:ser>
          <c:idx val="0"/>
          <c:order val="0"/>
          <c:tx>
            <c:v>Cigare</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'Efekte te detajuara progresive '!$G$3:$I$3</c:f>
              <c:numCache>
                <c:formatCode>General</c:formatCode>
                <c:ptCount val="3"/>
                <c:pt idx="0">
                  <c:v>2014</c:v>
                </c:pt>
                <c:pt idx="1">
                  <c:v>2015</c:v>
                </c:pt>
                <c:pt idx="2">
                  <c:v>2016</c:v>
                </c:pt>
              </c:numCache>
            </c:numRef>
          </c:cat>
          <c:val>
            <c:numRef>
              <c:f>'Efekte te detajuara progresive '!$G$5:$I$5</c:f>
              <c:numCache>
                <c:formatCode>#,##0</c:formatCode>
                <c:ptCount val="3"/>
                <c:pt idx="0">
                  <c:v>1169</c:v>
                </c:pt>
                <c:pt idx="1">
                  <c:v>1084</c:v>
                </c:pt>
                <c:pt idx="2">
                  <c:v>1353</c:v>
                </c:pt>
              </c:numCache>
            </c:numRef>
          </c:val>
        </c:ser>
        <c:dLbls>
          <c:showLegendKey val="0"/>
          <c:showVal val="0"/>
          <c:showCatName val="0"/>
          <c:showSerName val="0"/>
          <c:showPercent val="0"/>
          <c:showBubbleSize val="0"/>
        </c:dLbls>
        <c:gapWidth val="150"/>
        <c:axId val="72959104"/>
        <c:axId val="72960640"/>
      </c:barChart>
      <c:catAx>
        <c:axId val="72959104"/>
        <c:scaling>
          <c:orientation val="minMax"/>
        </c:scaling>
        <c:delete val="0"/>
        <c:axPos val="b"/>
        <c:numFmt formatCode="General" sourceLinked="1"/>
        <c:majorTickMark val="none"/>
        <c:minorTickMark val="none"/>
        <c:tickLblPos val="nextTo"/>
        <c:crossAx val="72960640"/>
        <c:crosses val="autoZero"/>
        <c:auto val="1"/>
        <c:lblAlgn val="ctr"/>
        <c:lblOffset val="100"/>
        <c:noMultiLvlLbl val="0"/>
      </c:catAx>
      <c:valAx>
        <c:axId val="72960640"/>
        <c:scaling>
          <c:orientation val="minMax"/>
        </c:scaling>
        <c:delete val="0"/>
        <c:axPos val="l"/>
        <c:majorGridlines/>
        <c:numFmt formatCode="#,##0" sourceLinked="1"/>
        <c:majorTickMark val="none"/>
        <c:minorTickMark val="none"/>
        <c:tickLblPos val="nextTo"/>
        <c:crossAx val="72959104"/>
        <c:crosses val="autoZero"/>
        <c:crossBetween val="between"/>
      </c:valAx>
      <c:dTable>
        <c:showHorzBorder val="1"/>
        <c:showVertBorder val="1"/>
        <c:showOutline val="1"/>
        <c:showKeys val="1"/>
        <c:txPr>
          <a:bodyPr/>
          <a:lstStyle/>
          <a:p>
            <a:pPr rtl="0">
              <a:defRPr b="1"/>
            </a:pPr>
            <a:endParaRPr lang="en-US"/>
          </a:p>
        </c:txPr>
      </c:dTable>
    </c:plotArea>
    <c:plotVisOnly val="1"/>
    <c:dispBlanksAs val="gap"/>
    <c:showDLblsOverMax val="0"/>
  </c:chart>
  <c:spPr>
    <a:noFill/>
    <a:ln>
      <a:noFill/>
    </a:ln>
  </c:sp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itchFamily="18" charset="0"/>
                <a:cs typeface="Times New Roman" pitchFamily="18" charset="0"/>
              </a:defRPr>
            </a:pPr>
            <a:r>
              <a:rPr lang="en-US" sz="1050" b="0" dirty="0">
                <a:latin typeface="Times New Roman" pitchFamily="18" charset="0"/>
                <a:cs typeface="Times New Roman" pitchFamily="18" charset="0"/>
              </a:rPr>
              <a:t>(</a:t>
            </a:r>
            <a:r>
              <a:rPr lang="en-US" sz="1050" b="0" dirty="0" err="1">
                <a:latin typeface="Times New Roman" pitchFamily="18" charset="0"/>
                <a:cs typeface="Times New Roman" pitchFamily="18" charset="0"/>
              </a:rPr>
              <a:t>në</a:t>
            </a:r>
            <a:r>
              <a:rPr lang="en-US" sz="1050" b="0" dirty="0">
                <a:latin typeface="Times New Roman" pitchFamily="18" charset="0"/>
                <a:cs typeface="Times New Roman" pitchFamily="18" charset="0"/>
              </a:rPr>
              <a:t> </a:t>
            </a:r>
            <a:r>
              <a:rPr lang="en-US" sz="1050" b="0" dirty="0" err="1">
                <a:latin typeface="Times New Roman" pitchFamily="18" charset="0"/>
                <a:cs typeface="Times New Roman" pitchFamily="18" charset="0"/>
              </a:rPr>
              <a:t>milion</a:t>
            </a:r>
            <a:r>
              <a:rPr lang="en-US" sz="1050" b="0" dirty="0">
                <a:latin typeface="Times New Roman" pitchFamily="18" charset="0"/>
                <a:cs typeface="Times New Roman" pitchFamily="18" charset="0"/>
              </a:rPr>
              <a:t> </a:t>
            </a:r>
            <a:r>
              <a:rPr lang="en-US" sz="1050" b="0" dirty="0" err="1">
                <a:latin typeface="Times New Roman" pitchFamily="18" charset="0"/>
                <a:cs typeface="Times New Roman" pitchFamily="18" charset="0"/>
              </a:rPr>
              <a:t>lekë</a:t>
            </a:r>
            <a:r>
              <a:rPr lang="en-US" sz="1050" b="0" dirty="0">
                <a:latin typeface="Times New Roman" pitchFamily="18" charset="0"/>
                <a:cs typeface="Times New Roman" pitchFamily="18" charset="0"/>
              </a:rPr>
              <a:t>)</a:t>
            </a:r>
          </a:p>
        </c:rich>
      </c:tx>
      <c:layout>
        <c:manualLayout>
          <c:xMode val="edge"/>
          <c:yMode val="edge"/>
          <c:x val="0.38634711286089241"/>
          <c:y val="2.7777777777777776E-2"/>
        </c:manualLayout>
      </c:layout>
      <c:overlay val="0"/>
    </c:title>
    <c:autoTitleDeleted val="0"/>
    <c:plotArea>
      <c:layout>
        <c:manualLayout>
          <c:layoutTarget val="inner"/>
          <c:xMode val="edge"/>
          <c:yMode val="edge"/>
          <c:x val="3.0555555555555555E-2"/>
          <c:y val="0.24320305998335573"/>
          <c:w val="0.93614551267511315"/>
          <c:h val="0.63155783880673444"/>
        </c:manualLayout>
      </c:layout>
      <c:lineChart>
        <c:grouping val="standard"/>
        <c:varyColors val="0"/>
        <c:ser>
          <c:idx val="0"/>
          <c:order val="0"/>
          <c:tx>
            <c:strRef>
              <c:f>Sheet2!$B$4</c:f>
              <c:strCache>
                <c:ptCount val="1"/>
                <c:pt idx="0">
                  <c:v>Fakt</c:v>
                </c:pt>
              </c:strCache>
            </c:strRef>
          </c:tx>
          <c:dLbls>
            <c:dLbl>
              <c:idx val="0"/>
              <c:layout>
                <c:manualLayout>
                  <c:x val="-7.2222440944881894E-2"/>
                  <c:y val="6.018518518518518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3888888888888884E-2"/>
                  <c:y val="5.092592592592592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7.2222222222222215E-2"/>
                  <c:y val="-6.944444444444444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3333333333333333E-2"/>
                  <c:y val="6.018518518518518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388888888888899E-2"/>
                  <c:y val="-7.40740740740740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solidFill>
                      <a:schemeClr val="tx2">
                        <a:lumMod val="75000"/>
                      </a:schemeClr>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Sheet2!$A$5:$A$9</c:f>
              <c:numCache>
                <c:formatCode>General</c:formatCode>
                <c:ptCount val="5"/>
                <c:pt idx="0">
                  <c:v>2012</c:v>
                </c:pt>
                <c:pt idx="1">
                  <c:v>2013</c:v>
                </c:pt>
                <c:pt idx="2">
                  <c:v>2014</c:v>
                </c:pt>
                <c:pt idx="3">
                  <c:v>2015</c:v>
                </c:pt>
                <c:pt idx="4">
                  <c:v>2016</c:v>
                </c:pt>
              </c:numCache>
            </c:numRef>
          </c:cat>
          <c:val>
            <c:numRef>
              <c:f>Sheet2!$B$5:$B$9</c:f>
              <c:numCache>
                <c:formatCode>_(* #,##0_);_(* \(#,##0\);_(* "-"??_);_(@_)</c:formatCode>
                <c:ptCount val="5"/>
                <c:pt idx="0">
                  <c:v>79033</c:v>
                </c:pt>
                <c:pt idx="1">
                  <c:v>70247</c:v>
                </c:pt>
                <c:pt idx="2">
                  <c:v>80350</c:v>
                </c:pt>
                <c:pt idx="3">
                  <c:v>87598</c:v>
                </c:pt>
                <c:pt idx="4">
                  <c:v>101444</c:v>
                </c:pt>
              </c:numCache>
            </c:numRef>
          </c:val>
          <c:smooth val="0"/>
        </c:ser>
        <c:ser>
          <c:idx val="1"/>
          <c:order val="1"/>
          <c:tx>
            <c:strRef>
              <c:f>Sheet2!$C$4</c:f>
              <c:strCache>
                <c:ptCount val="1"/>
                <c:pt idx="0">
                  <c:v>Plan</c:v>
                </c:pt>
              </c:strCache>
            </c:strRef>
          </c:tx>
          <c:dLbls>
            <c:dLbl>
              <c:idx val="0"/>
              <c:layout>
                <c:manualLayout>
                  <c:x val="-5.8333333333333348E-2"/>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9444444444444448E-2"/>
                  <c:y val="-6.944444444444444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7222222222222221E-2"/>
                  <c:y val="8.796296296296296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9444444444444445E-2"/>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888888888888889E-2"/>
                  <c:y val="6.481481481481481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solidFill>
                      <a:schemeClr val="accent2">
                        <a:lumMod val="75000"/>
                      </a:schemeClr>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Sheet2!$A$5:$A$9</c:f>
              <c:numCache>
                <c:formatCode>General</c:formatCode>
                <c:ptCount val="5"/>
                <c:pt idx="0">
                  <c:v>2012</c:v>
                </c:pt>
                <c:pt idx="1">
                  <c:v>2013</c:v>
                </c:pt>
                <c:pt idx="2">
                  <c:v>2014</c:v>
                </c:pt>
                <c:pt idx="3">
                  <c:v>2015</c:v>
                </c:pt>
                <c:pt idx="4">
                  <c:v>2016</c:v>
                </c:pt>
              </c:numCache>
            </c:numRef>
          </c:cat>
          <c:val>
            <c:numRef>
              <c:f>Sheet2!$C$5:$C$9</c:f>
              <c:numCache>
                <c:formatCode>_(* #,##0_);_(* \(#,##0\);_(* "-"??_);_(@_)</c:formatCode>
                <c:ptCount val="5"/>
                <c:pt idx="0">
                  <c:v>84030</c:v>
                </c:pt>
                <c:pt idx="1">
                  <c:v>75840</c:v>
                </c:pt>
                <c:pt idx="2">
                  <c:v>80300</c:v>
                </c:pt>
                <c:pt idx="3">
                  <c:v>106640</c:v>
                </c:pt>
                <c:pt idx="4">
                  <c:v>98795</c:v>
                </c:pt>
              </c:numCache>
            </c:numRef>
          </c:val>
          <c:smooth val="0"/>
        </c:ser>
        <c:dLbls>
          <c:showLegendKey val="0"/>
          <c:showVal val="1"/>
          <c:showCatName val="0"/>
          <c:showSerName val="0"/>
          <c:showPercent val="0"/>
          <c:showBubbleSize val="0"/>
        </c:dLbls>
        <c:marker val="1"/>
        <c:smooth val="0"/>
        <c:axId val="73140096"/>
        <c:axId val="73141632"/>
      </c:lineChart>
      <c:catAx>
        <c:axId val="73140096"/>
        <c:scaling>
          <c:orientation val="minMax"/>
        </c:scaling>
        <c:delete val="0"/>
        <c:axPos val="b"/>
        <c:numFmt formatCode="General" sourceLinked="1"/>
        <c:majorTickMark val="none"/>
        <c:minorTickMark val="none"/>
        <c:tickLblPos val="nextTo"/>
        <c:crossAx val="73141632"/>
        <c:crosses val="autoZero"/>
        <c:auto val="1"/>
        <c:lblAlgn val="ctr"/>
        <c:lblOffset val="100"/>
        <c:noMultiLvlLbl val="0"/>
      </c:catAx>
      <c:valAx>
        <c:axId val="73141632"/>
        <c:scaling>
          <c:orientation val="minMax"/>
        </c:scaling>
        <c:delete val="1"/>
        <c:axPos val="l"/>
        <c:numFmt formatCode="_(* #,##0_);_(* \(#,##0\);_(* &quot;-&quot;??_);_(@_)" sourceLinked="1"/>
        <c:majorTickMark val="none"/>
        <c:minorTickMark val="none"/>
        <c:tickLblPos val="nextTo"/>
        <c:crossAx val="73140096"/>
        <c:crosses val="autoZero"/>
        <c:crossBetween val="between"/>
      </c:valAx>
    </c:plotArea>
    <c:legend>
      <c:legendPos val="t"/>
      <c:overlay val="0"/>
      <c:txPr>
        <a:bodyPr/>
        <a:lstStyle/>
        <a:p>
          <a:pPr>
            <a:defRPr b="1">
              <a:latin typeface="Times New Roman" pitchFamily="18" charset="0"/>
              <a:cs typeface="Times New Roman" pitchFamily="18" charset="0"/>
            </a:defRPr>
          </a:pPr>
          <a:endParaRPr lang="en-US"/>
        </a:p>
      </c:txPr>
    </c:legend>
    <c:plotVisOnly val="1"/>
    <c:dispBlanksAs val="gap"/>
    <c:showDLblsOverMax val="0"/>
  </c:chart>
  <c:spPr>
    <a:noFill/>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6111111111111108E-2"/>
          <c:y val="7.2191134608398683E-2"/>
          <c:w val="0.94850434080355339"/>
          <c:h val="0.77924772649376184"/>
        </c:manualLayout>
      </c:layout>
      <c:lineChart>
        <c:grouping val="standard"/>
        <c:varyColors val="0"/>
        <c:ser>
          <c:idx val="0"/>
          <c:order val="0"/>
          <c:tx>
            <c:strRef>
              <c:f>Sheet2!$B$23</c:f>
              <c:strCache>
                <c:ptCount val="1"/>
                <c:pt idx="0">
                  <c:v>TVSH Bruto</c:v>
                </c:pt>
              </c:strCache>
            </c:strRef>
          </c:tx>
          <c:dLbls>
            <c:dLbl>
              <c:idx val="0"/>
              <c:layout>
                <c:manualLayout>
                  <c:x val="-7.2222222222222229E-2"/>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7222222222222221E-2"/>
                  <c:y val="-6.944444444444444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1666666666666664E-2"/>
                  <c:y val="-6.944444444444444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4444444444444446E-2"/>
                  <c:y val="-6.9444444444444448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6111111111111108E-2"/>
                  <c:y val="-5.092592592592592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solidFill>
                      <a:schemeClr val="tx2">
                        <a:lumMod val="75000"/>
                      </a:schemeClr>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Sheet2!$A$24:$A$28</c:f>
              <c:numCache>
                <c:formatCode>General</c:formatCode>
                <c:ptCount val="5"/>
                <c:pt idx="0">
                  <c:v>2012</c:v>
                </c:pt>
                <c:pt idx="1">
                  <c:v>2013</c:v>
                </c:pt>
                <c:pt idx="2">
                  <c:v>2014</c:v>
                </c:pt>
                <c:pt idx="3">
                  <c:v>2015</c:v>
                </c:pt>
                <c:pt idx="4">
                  <c:v>2016</c:v>
                </c:pt>
              </c:numCache>
            </c:numRef>
          </c:cat>
          <c:val>
            <c:numRef>
              <c:f>Sheet2!$B$24:$B$28</c:f>
              <c:numCache>
                <c:formatCode>_(* #,##0_);_(* \(#,##0\);_(* "-"??_);_(@_)</c:formatCode>
                <c:ptCount val="5"/>
                <c:pt idx="0">
                  <c:v>14921</c:v>
                </c:pt>
                <c:pt idx="1">
                  <c:v>15781</c:v>
                </c:pt>
                <c:pt idx="2">
                  <c:v>16963</c:v>
                </c:pt>
                <c:pt idx="3">
                  <c:v>17721</c:v>
                </c:pt>
                <c:pt idx="4">
                  <c:v>21068</c:v>
                </c:pt>
              </c:numCache>
            </c:numRef>
          </c:val>
          <c:smooth val="0"/>
        </c:ser>
        <c:ser>
          <c:idx val="1"/>
          <c:order val="1"/>
          <c:tx>
            <c:strRef>
              <c:f>Sheet2!$C$23</c:f>
              <c:strCache>
                <c:ptCount val="1"/>
                <c:pt idx="0">
                  <c:v>TVSH Neto</c:v>
                </c:pt>
              </c:strCache>
            </c:strRef>
          </c:tx>
          <c:dLbls>
            <c:dLbl>
              <c:idx val="0"/>
              <c:layout>
                <c:manualLayout>
                  <c:x val="-5.000000000000001E-2"/>
                  <c:y val="5.09259259259258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3333333333333333E-2"/>
                  <c:y val="4.166666666666666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8333333333333334E-2"/>
                  <c:y val="6.481481481481481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05"/>
                  <c:y val="6.018518518518518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3333333333333333E-2"/>
                  <c:y val="7.40740740740740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solidFill>
                      <a:schemeClr val="accent2">
                        <a:lumMod val="75000"/>
                      </a:schemeClr>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Sheet2!$A$24:$A$28</c:f>
              <c:numCache>
                <c:formatCode>General</c:formatCode>
                <c:ptCount val="5"/>
                <c:pt idx="0">
                  <c:v>2012</c:v>
                </c:pt>
                <c:pt idx="1">
                  <c:v>2013</c:v>
                </c:pt>
                <c:pt idx="2">
                  <c:v>2014</c:v>
                </c:pt>
                <c:pt idx="3">
                  <c:v>2015</c:v>
                </c:pt>
                <c:pt idx="4">
                  <c:v>2016</c:v>
                </c:pt>
              </c:numCache>
            </c:numRef>
          </c:cat>
          <c:val>
            <c:numRef>
              <c:f>Sheet2!$C$24:$C$28</c:f>
              <c:numCache>
                <c:formatCode>_(* #,##0_);_(* \(#,##0\);_(* "-"??_);_(@_)</c:formatCode>
                <c:ptCount val="5"/>
                <c:pt idx="0">
                  <c:v>11712</c:v>
                </c:pt>
                <c:pt idx="1">
                  <c:v>11474</c:v>
                </c:pt>
                <c:pt idx="2">
                  <c:v>14634</c:v>
                </c:pt>
                <c:pt idx="3">
                  <c:v>14392</c:v>
                </c:pt>
                <c:pt idx="4">
                  <c:v>17029</c:v>
                </c:pt>
              </c:numCache>
            </c:numRef>
          </c:val>
          <c:smooth val="0"/>
        </c:ser>
        <c:dLbls>
          <c:showLegendKey val="0"/>
          <c:showVal val="1"/>
          <c:showCatName val="0"/>
          <c:showSerName val="0"/>
          <c:showPercent val="0"/>
          <c:showBubbleSize val="0"/>
        </c:dLbls>
        <c:marker val="1"/>
        <c:smooth val="0"/>
        <c:axId val="120796288"/>
        <c:axId val="120797824"/>
      </c:lineChart>
      <c:catAx>
        <c:axId val="120796288"/>
        <c:scaling>
          <c:orientation val="minMax"/>
        </c:scaling>
        <c:delete val="0"/>
        <c:axPos val="b"/>
        <c:numFmt formatCode="General" sourceLinked="1"/>
        <c:majorTickMark val="none"/>
        <c:minorTickMark val="none"/>
        <c:tickLblPos val="nextTo"/>
        <c:crossAx val="120797824"/>
        <c:crosses val="autoZero"/>
        <c:auto val="1"/>
        <c:lblAlgn val="ctr"/>
        <c:lblOffset val="100"/>
        <c:noMultiLvlLbl val="0"/>
      </c:catAx>
      <c:valAx>
        <c:axId val="120797824"/>
        <c:scaling>
          <c:orientation val="minMax"/>
        </c:scaling>
        <c:delete val="1"/>
        <c:axPos val="l"/>
        <c:numFmt formatCode="_(* #,##0_);_(* \(#,##0\);_(* &quot;-&quot;??_);_(@_)" sourceLinked="1"/>
        <c:majorTickMark val="out"/>
        <c:minorTickMark val="none"/>
        <c:tickLblPos val="nextTo"/>
        <c:crossAx val="120796288"/>
        <c:crosses val="autoZero"/>
        <c:crossBetween val="between"/>
      </c:valAx>
    </c:plotArea>
    <c:legend>
      <c:legendPos val="t"/>
      <c:layout>
        <c:manualLayout>
          <c:xMode val="edge"/>
          <c:yMode val="edge"/>
          <c:x val="0.29977609529578031"/>
          <c:y val="0"/>
          <c:w val="0.43121683827983043"/>
          <c:h val="5.8916444156201321E-2"/>
        </c:manualLayout>
      </c:layout>
      <c:overlay val="0"/>
      <c:txPr>
        <a:bodyPr/>
        <a:lstStyle/>
        <a:p>
          <a:pPr>
            <a:defRPr b="1">
              <a:latin typeface="Times New Roman" pitchFamily="18" charset="0"/>
              <a:cs typeface="Times New Roman" pitchFamily="18" charset="0"/>
            </a:defRPr>
          </a:pPr>
          <a:endParaRPr lang="en-US"/>
        </a:p>
      </c:txPr>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Sheet1!$B$195</c:f>
              <c:strCache>
                <c:ptCount val="1"/>
              </c:strCache>
            </c:strRef>
          </c:tx>
          <c:dLbls>
            <c:dLbl>
              <c:idx val="0"/>
              <c:layout>
                <c:manualLayout>
                  <c:x val="5.0404912978110748E-2"/>
                  <c:y val="3.8461538461538464E-2"/>
                </c:manualLayout>
              </c:layout>
              <c:tx>
                <c:rich>
                  <a:bodyPr/>
                  <a:lstStyle/>
                  <a:p>
                    <a:r>
                      <a:rPr lang="en-US" sz="900" smtClean="0"/>
                      <a:t>Nd</a:t>
                    </a:r>
                    <a:r>
                      <a:rPr lang="en-US" sz="900" b="0" i="0" u="none" strike="noStrike" baseline="0" smtClean="0">
                        <a:effectLst/>
                      </a:rPr>
                      <a:t>ë</a:t>
                    </a:r>
                    <a:r>
                      <a:rPr lang="en-US" sz="900" smtClean="0"/>
                      <a:t>rtim</a:t>
                    </a:r>
                    <a:r>
                      <a:rPr lang="en-US" sz="900" dirty="0"/>
                      <a:t>
13%</a:t>
                    </a:r>
                    <a:endParaRPr lang="en-US" dirty="0"/>
                  </a:p>
                </c:rich>
              </c:tx>
              <c:showLegendKey val="0"/>
              <c:showVal val="0"/>
              <c:showCatName val="1"/>
              <c:showSerName val="0"/>
              <c:showPercent val="1"/>
              <c:showBubbleSize val="0"/>
              <c:extLst>
                <c:ext xmlns:c15="http://schemas.microsoft.com/office/drawing/2012/chart" uri="{CE6537A1-D6FC-4f65-9D91-7224C49458BB}"/>
              </c:extLst>
            </c:dLbl>
            <c:dLbl>
              <c:idx val="1"/>
              <c:layout>
                <c:manualLayout>
                  <c:x val="3.0473920730235058E-2"/>
                  <c:y val="9.5102746303053574E-3"/>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6.0211502688377543E-2"/>
                  <c:y val="-0.2073076923076923"/>
                </c:manualLayout>
              </c:layout>
              <c:tx>
                <c:rich>
                  <a:bodyPr/>
                  <a:lstStyle/>
                  <a:p>
                    <a:r>
                      <a:rPr lang="en-US" sz="900" smtClean="0"/>
                      <a:t>Sh</a:t>
                    </a:r>
                    <a:r>
                      <a:rPr lang="en-US" sz="900" b="0" i="0" u="none" strike="noStrike" baseline="0" smtClean="0">
                        <a:effectLst/>
                      </a:rPr>
                      <a:t>ë</a:t>
                    </a:r>
                    <a:r>
                      <a:rPr lang="en-US" sz="900" smtClean="0"/>
                      <a:t>rbime</a:t>
                    </a:r>
                    <a:r>
                      <a:rPr lang="en-US" sz="900" dirty="0"/>
                      <a:t>
44%</a:t>
                    </a:r>
                    <a:endParaRPr lang="en-US" dirty="0"/>
                  </a:p>
                </c:rich>
              </c:tx>
              <c:showLegendKey val="0"/>
              <c:showVal val="0"/>
              <c:showCatName val="1"/>
              <c:showSerName val="0"/>
              <c:showPercent val="1"/>
              <c:showBubbleSize val="0"/>
              <c:extLst>
                <c:ext xmlns:c15="http://schemas.microsoft.com/office/drawing/2012/chart" uri="{CE6537A1-D6FC-4f65-9D91-7224C49458BB}"/>
              </c:extLst>
            </c:dLbl>
            <c:dLbl>
              <c:idx val="3"/>
              <c:layout>
                <c:manualLayout>
                  <c:x val="0"/>
                  <c:y val="-0.14567136082525092"/>
                </c:manualLayout>
              </c:layout>
              <c:showLegendKey val="0"/>
              <c:showVal val="0"/>
              <c:showCatName val="1"/>
              <c:showSerName val="0"/>
              <c:showPercent val="1"/>
              <c:showBubbleSize val="0"/>
              <c:extLst>
                <c:ext xmlns:c15="http://schemas.microsoft.com/office/drawing/2012/chart" uri="{CE6537A1-D6FC-4f65-9D91-7224C49458BB}"/>
              </c:extLst>
            </c:dLbl>
            <c:dLbl>
              <c:idx val="4"/>
              <c:layout>
                <c:manualLayout>
                  <c:x val="7.0150704455711504E-2"/>
                  <c:y val="0.16223186735804365"/>
                </c:manualLayout>
              </c:layout>
              <c:showLegendKey val="0"/>
              <c:showVal val="0"/>
              <c:showCatName val="1"/>
              <c:showSerName val="0"/>
              <c:showPercent val="1"/>
              <c:showBubbleSize val="0"/>
              <c:extLst>
                <c:ext xmlns:c15="http://schemas.microsoft.com/office/drawing/2012/chart" uri="{CE6537A1-D6FC-4f65-9D91-7224C49458BB}"/>
              </c:extLst>
            </c:dLbl>
            <c:dLbl>
              <c:idx val="5"/>
              <c:layout>
                <c:manualLayout>
                  <c:x val="-0.25602290005011513"/>
                  <c:y val="3.8461538461538464E-2"/>
                </c:manualLayout>
              </c:layout>
              <c:tx>
                <c:rich>
                  <a:bodyPr/>
                  <a:lstStyle/>
                  <a:p>
                    <a:r>
                      <a:rPr lang="en-US" sz="900" smtClean="0"/>
                      <a:t>T</a:t>
                    </a:r>
                    <a:r>
                      <a:rPr lang="en-US" sz="900" b="0" i="0" u="none" strike="noStrike" baseline="0" smtClean="0">
                        <a:effectLst/>
                      </a:rPr>
                      <a:t>ë</a:t>
                    </a:r>
                    <a:r>
                      <a:rPr lang="en-US" sz="900" smtClean="0"/>
                      <a:t> </a:t>
                    </a:r>
                    <a:r>
                      <a:rPr lang="en-US" sz="900" dirty="0" err="1"/>
                      <a:t>tjera</a:t>
                    </a:r>
                    <a:r>
                      <a:rPr lang="en-US" sz="900" dirty="0"/>
                      <a:t>
0%</a:t>
                    </a:r>
                    <a:endParaRPr lang="en-US" dirty="0"/>
                  </a:p>
                </c:rich>
              </c:tx>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900"/>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Sheet1!$A$196:$A$201</c:f>
              <c:strCache>
                <c:ptCount val="6"/>
                <c:pt idx="0">
                  <c:v>Ndertim</c:v>
                </c:pt>
                <c:pt idx="1">
                  <c:v>Prodhim</c:v>
                </c:pt>
                <c:pt idx="2">
                  <c:v>Sherbime</c:v>
                </c:pt>
                <c:pt idx="3">
                  <c:v>Transport </c:v>
                </c:pt>
                <c:pt idx="4">
                  <c:v>Tregti</c:v>
                </c:pt>
                <c:pt idx="5">
                  <c:v>Te tjera</c:v>
                </c:pt>
              </c:strCache>
            </c:strRef>
          </c:cat>
          <c:val>
            <c:numRef>
              <c:f>Sheet1!$B$196:$B$201</c:f>
              <c:numCache>
                <c:formatCode>0.00%</c:formatCode>
                <c:ptCount val="6"/>
                <c:pt idx="0">
                  <c:v>0.12784776255451588</c:v>
                </c:pt>
                <c:pt idx="1">
                  <c:v>0.16755700189401512</c:v>
                </c:pt>
                <c:pt idx="2">
                  <c:v>0.44457557895716443</c:v>
                </c:pt>
                <c:pt idx="3">
                  <c:v>2.293618432194679E-2</c:v>
                </c:pt>
                <c:pt idx="4">
                  <c:v>0.23458750731920414</c:v>
                </c:pt>
                <c:pt idx="5">
                  <c:v>2.4959649531536622E-3</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itchFamily="18" charset="0"/>
                <a:cs typeface="Times New Roman" pitchFamily="18" charset="0"/>
              </a:defRPr>
            </a:pPr>
            <a:r>
              <a:rPr lang="en-US" sz="1050" b="0" dirty="0">
                <a:latin typeface="Times New Roman" pitchFamily="18" charset="0"/>
                <a:cs typeface="Times New Roman" pitchFamily="18" charset="0"/>
              </a:rPr>
              <a:t>(</a:t>
            </a:r>
            <a:r>
              <a:rPr lang="en-US" sz="1050" b="0" dirty="0" err="1">
                <a:latin typeface="Times New Roman" pitchFamily="18" charset="0"/>
                <a:cs typeface="Times New Roman" pitchFamily="18" charset="0"/>
              </a:rPr>
              <a:t>në</a:t>
            </a:r>
            <a:r>
              <a:rPr lang="en-US" sz="1050" b="0" dirty="0">
                <a:latin typeface="Times New Roman" pitchFamily="18" charset="0"/>
                <a:cs typeface="Times New Roman" pitchFamily="18" charset="0"/>
              </a:rPr>
              <a:t> </a:t>
            </a:r>
            <a:r>
              <a:rPr lang="en-US" sz="1050" b="0" dirty="0" err="1">
                <a:latin typeface="Times New Roman" pitchFamily="18" charset="0"/>
                <a:cs typeface="Times New Roman" pitchFamily="18" charset="0"/>
              </a:rPr>
              <a:t>milion</a:t>
            </a:r>
            <a:r>
              <a:rPr lang="en-US" sz="1050" b="0" dirty="0">
                <a:latin typeface="Times New Roman" pitchFamily="18" charset="0"/>
                <a:cs typeface="Times New Roman" pitchFamily="18" charset="0"/>
              </a:rPr>
              <a:t> </a:t>
            </a:r>
            <a:r>
              <a:rPr lang="en-US" sz="1050" b="0" dirty="0" err="1">
                <a:latin typeface="Times New Roman" pitchFamily="18" charset="0"/>
                <a:cs typeface="Times New Roman" pitchFamily="18" charset="0"/>
              </a:rPr>
              <a:t>lekë</a:t>
            </a:r>
            <a:r>
              <a:rPr lang="en-US" sz="1050" b="0" dirty="0">
                <a:latin typeface="Times New Roman" pitchFamily="18" charset="0"/>
                <a:cs typeface="Times New Roman" pitchFamily="18" charset="0"/>
              </a:rPr>
              <a:t>)</a:t>
            </a:r>
          </a:p>
        </c:rich>
      </c:tx>
      <c:layout>
        <c:manualLayout>
          <c:xMode val="edge"/>
          <c:yMode val="edge"/>
          <c:x val="0.43458328578492905"/>
          <c:y val="0.02"/>
        </c:manualLayout>
      </c:layout>
      <c:overlay val="0"/>
    </c:title>
    <c:autoTitleDeleted val="0"/>
    <c:plotArea>
      <c:layout>
        <c:manualLayout>
          <c:layoutTarget val="inner"/>
          <c:xMode val="edge"/>
          <c:yMode val="edge"/>
          <c:x val="2.7052979488675025E-2"/>
          <c:y val="0.18027320448580292"/>
          <c:w val="0.95061728395061729"/>
          <c:h val="0.74620353137675977"/>
        </c:manualLayout>
      </c:layout>
      <c:lineChart>
        <c:grouping val="standard"/>
        <c:varyColors val="0"/>
        <c:ser>
          <c:idx val="0"/>
          <c:order val="0"/>
          <c:tx>
            <c:strRef>
              <c:f>Sheet2!$B$47</c:f>
              <c:strCache>
                <c:ptCount val="1"/>
                <c:pt idx="0">
                  <c:v>Fakt </c:v>
                </c:pt>
              </c:strCache>
            </c:strRef>
          </c:tx>
          <c:dLbls>
            <c:dLbl>
              <c:idx val="0"/>
              <c:layout>
                <c:manualLayout>
                  <c:x val="-4.7222222222222235E-2"/>
                  <c:y val="4.629629629629629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6666666666666666E-2"/>
                  <c:y val="3.703703703703703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2777777777777778E-2"/>
                  <c:y val="6.018518518518518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3888888888888884E-2"/>
                  <c:y val="-6.9444444444444448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5.5555555555555552E-2"/>
                  <c:y val="-6.481481481481481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solidFill>
                      <a:schemeClr val="tx2">
                        <a:lumMod val="75000"/>
                      </a:schemeClr>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Sheet2!$A$48:$A$52</c:f>
              <c:numCache>
                <c:formatCode>General</c:formatCode>
                <c:ptCount val="5"/>
                <c:pt idx="0">
                  <c:v>2012</c:v>
                </c:pt>
                <c:pt idx="1">
                  <c:v>2013</c:v>
                </c:pt>
                <c:pt idx="2">
                  <c:v>2014</c:v>
                </c:pt>
                <c:pt idx="3">
                  <c:v>2015</c:v>
                </c:pt>
                <c:pt idx="4">
                  <c:v>2016</c:v>
                </c:pt>
              </c:numCache>
            </c:numRef>
          </c:cat>
          <c:val>
            <c:numRef>
              <c:f>Sheet2!$B$48:$B$52</c:f>
              <c:numCache>
                <c:formatCode>_(* #,##0_);_(* \(#,##0\);_(* "-"??_);_(@_)</c:formatCode>
                <c:ptCount val="5"/>
                <c:pt idx="0">
                  <c:v>8787</c:v>
                </c:pt>
                <c:pt idx="1">
                  <c:v>8472</c:v>
                </c:pt>
                <c:pt idx="2">
                  <c:v>11167</c:v>
                </c:pt>
                <c:pt idx="3">
                  <c:v>13595</c:v>
                </c:pt>
                <c:pt idx="4">
                  <c:v>16556</c:v>
                </c:pt>
              </c:numCache>
            </c:numRef>
          </c:val>
          <c:smooth val="0"/>
        </c:ser>
        <c:ser>
          <c:idx val="1"/>
          <c:order val="1"/>
          <c:tx>
            <c:strRef>
              <c:f>Sheet2!$C$47</c:f>
              <c:strCache>
                <c:ptCount val="1"/>
                <c:pt idx="0">
                  <c:v>Plan</c:v>
                </c:pt>
              </c:strCache>
            </c:strRef>
          </c:tx>
          <c:dLbls>
            <c:dLbl>
              <c:idx val="0"/>
              <c:layout>
                <c:manualLayout>
                  <c:x val="-6.1111111111111123E-2"/>
                  <c:y val="-8.33333333333333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888888888888889E-2"/>
                  <c:y val="-8.333333333333332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7.2222222222222215E-2"/>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05"/>
                  <c:y val="4.629629629629629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7.4999999999999997E-2"/>
                  <c:y val="5.555555555555555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solidFill>
                      <a:schemeClr val="accent2">
                        <a:lumMod val="75000"/>
                      </a:schemeClr>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Sheet2!$A$48:$A$52</c:f>
              <c:numCache>
                <c:formatCode>General</c:formatCode>
                <c:ptCount val="5"/>
                <c:pt idx="0">
                  <c:v>2012</c:v>
                </c:pt>
                <c:pt idx="1">
                  <c:v>2013</c:v>
                </c:pt>
                <c:pt idx="2">
                  <c:v>2014</c:v>
                </c:pt>
                <c:pt idx="3">
                  <c:v>2015</c:v>
                </c:pt>
                <c:pt idx="4">
                  <c:v>2016</c:v>
                </c:pt>
              </c:numCache>
            </c:numRef>
          </c:cat>
          <c:val>
            <c:numRef>
              <c:f>Sheet2!$C$48:$C$52</c:f>
              <c:numCache>
                <c:formatCode>_(* #,##0_);_(* \(#,##0\);_(* "-"??_);_(@_)</c:formatCode>
                <c:ptCount val="5"/>
                <c:pt idx="0">
                  <c:v>11980</c:v>
                </c:pt>
                <c:pt idx="1">
                  <c:v>9300</c:v>
                </c:pt>
                <c:pt idx="2">
                  <c:v>12100</c:v>
                </c:pt>
                <c:pt idx="3">
                  <c:v>12420</c:v>
                </c:pt>
                <c:pt idx="4">
                  <c:v>13200</c:v>
                </c:pt>
              </c:numCache>
            </c:numRef>
          </c:val>
          <c:smooth val="0"/>
        </c:ser>
        <c:dLbls>
          <c:showLegendKey val="0"/>
          <c:showVal val="1"/>
          <c:showCatName val="0"/>
          <c:showSerName val="0"/>
          <c:showPercent val="0"/>
          <c:showBubbleSize val="0"/>
        </c:dLbls>
        <c:marker val="1"/>
        <c:smooth val="0"/>
        <c:axId val="131651456"/>
        <c:axId val="131652992"/>
      </c:lineChart>
      <c:catAx>
        <c:axId val="131651456"/>
        <c:scaling>
          <c:orientation val="minMax"/>
        </c:scaling>
        <c:delete val="0"/>
        <c:axPos val="b"/>
        <c:numFmt formatCode="General" sourceLinked="1"/>
        <c:majorTickMark val="none"/>
        <c:minorTickMark val="none"/>
        <c:tickLblPos val="nextTo"/>
        <c:crossAx val="131652992"/>
        <c:crosses val="autoZero"/>
        <c:auto val="1"/>
        <c:lblAlgn val="ctr"/>
        <c:lblOffset val="100"/>
        <c:noMultiLvlLbl val="0"/>
      </c:catAx>
      <c:valAx>
        <c:axId val="131652992"/>
        <c:scaling>
          <c:orientation val="minMax"/>
        </c:scaling>
        <c:delete val="1"/>
        <c:axPos val="l"/>
        <c:numFmt formatCode="_(* #,##0_);_(* \(#,##0\);_(* &quot;-&quot;??_);_(@_)" sourceLinked="1"/>
        <c:majorTickMark val="out"/>
        <c:minorTickMark val="none"/>
        <c:tickLblPos val="nextTo"/>
        <c:crossAx val="131651456"/>
        <c:crosses val="autoZero"/>
        <c:crossBetween val="between"/>
      </c:valAx>
    </c:plotArea>
    <c:legend>
      <c:legendPos val="t"/>
      <c:layout>
        <c:manualLayout>
          <c:xMode val="edge"/>
          <c:yMode val="edge"/>
          <c:x val="0.38475279478954022"/>
          <c:y val="7.5212121212121216E-2"/>
          <c:w val="0.25518576844561097"/>
          <c:h val="5.4796707229778099E-2"/>
        </c:manualLayout>
      </c:layout>
      <c:overlay val="0"/>
      <c:txPr>
        <a:bodyPr/>
        <a:lstStyle/>
        <a:p>
          <a:pPr>
            <a:defRPr b="1"/>
          </a:pPr>
          <a:endParaRPr lang="en-US"/>
        </a:p>
      </c:txPr>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itchFamily="18" charset="0"/>
                <a:cs typeface="Times New Roman" pitchFamily="18" charset="0"/>
              </a:defRPr>
            </a:pPr>
            <a:r>
              <a:rPr lang="en-US" sz="1050" b="0" dirty="0">
                <a:latin typeface="Times New Roman" pitchFamily="18" charset="0"/>
                <a:cs typeface="Times New Roman" pitchFamily="18" charset="0"/>
              </a:rPr>
              <a:t>(</a:t>
            </a:r>
            <a:r>
              <a:rPr lang="en-US" sz="1050" b="0" dirty="0" err="1">
                <a:latin typeface="Times New Roman" pitchFamily="18" charset="0"/>
                <a:cs typeface="Times New Roman" pitchFamily="18" charset="0"/>
              </a:rPr>
              <a:t>në</a:t>
            </a:r>
            <a:r>
              <a:rPr lang="en-US" sz="1050" b="0" dirty="0">
                <a:latin typeface="Times New Roman" pitchFamily="18" charset="0"/>
                <a:cs typeface="Times New Roman" pitchFamily="18" charset="0"/>
              </a:rPr>
              <a:t> </a:t>
            </a:r>
            <a:r>
              <a:rPr lang="en-US" sz="1050" b="0" dirty="0" err="1">
                <a:latin typeface="Times New Roman" pitchFamily="18" charset="0"/>
                <a:cs typeface="Times New Roman" pitchFamily="18" charset="0"/>
              </a:rPr>
              <a:t>milion</a:t>
            </a:r>
            <a:r>
              <a:rPr lang="en-US" sz="1050" b="0" dirty="0">
                <a:latin typeface="Times New Roman" pitchFamily="18" charset="0"/>
                <a:cs typeface="Times New Roman" pitchFamily="18" charset="0"/>
              </a:rPr>
              <a:t> </a:t>
            </a:r>
            <a:r>
              <a:rPr lang="en-US" sz="1050" b="0" dirty="0" err="1">
                <a:latin typeface="Times New Roman" pitchFamily="18" charset="0"/>
                <a:cs typeface="Times New Roman" pitchFamily="18" charset="0"/>
              </a:rPr>
              <a:t>lekë</a:t>
            </a:r>
            <a:r>
              <a:rPr lang="en-US" sz="1050" b="0" dirty="0">
                <a:latin typeface="Times New Roman" pitchFamily="18" charset="0"/>
                <a:cs typeface="Times New Roman" pitchFamily="18" charset="0"/>
              </a:rPr>
              <a:t>)</a:t>
            </a:r>
          </a:p>
        </c:rich>
      </c:tx>
      <c:overlay val="0"/>
    </c:title>
    <c:autoTitleDeleted val="0"/>
    <c:plotArea>
      <c:layout>
        <c:manualLayout>
          <c:layoutTarget val="inner"/>
          <c:xMode val="edge"/>
          <c:yMode val="edge"/>
          <c:x val="0"/>
          <c:y val="0.14119284431551318"/>
          <c:w val="1"/>
          <c:h val="0.74754501082101577"/>
        </c:manualLayout>
      </c:layout>
      <c:lineChart>
        <c:grouping val="standard"/>
        <c:varyColors val="0"/>
        <c:ser>
          <c:idx val="0"/>
          <c:order val="0"/>
          <c:tx>
            <c:strRef>
              <c:f>Sheet2!$B$56</c:f>
              <c:strCache>
                <c:ptCount val="1"/>
                <c:pt idx="0">
                  <c:v>Fakt</c:v>
                </c:pt>
              </c:strCache>
            </c:strRef>
          </c:tx>
          <c:dLbls>
            <c:dLbl>
              <c:idx val="0"/>
              <c:layout>
                <c:manualLayout>
                  <c:x val="-5.000000000000001E-2"/>
                  <c:y val="4.166666666666666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1111111111111109E-2"/>
                  <c:y val="-6.94448089822105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05"/>
                  <c:y val="5.092592592592592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888888888888889E-2"/>
                  <c:y val="6.9444444444444448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6666666666666666E-2"/>
                  <c:y val="-5.555555555555551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solidFill>
                      <a:schemeClr val="tx2">
                        <a:lumMod val="75000"/>
                      </a:schemeClr>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Sheet2!$A$57:$A$61</c:f>
              <c:numCache>
                <c:formatCode>General</c:formatCode>
                <c:ptCount val="5"/>
                <c:pt idx="0">
                  <c:v>2012</c:v>
                </c:pt>
                <c:pt idx="1">
                  <c:v>2013</c:v>
                </c:pt>
                <c:pt idx="2">
                  <c:v>2014</c:v>
                </c:pt>
                <c:pt idx="3">
                  <c:v>2015</c:v>
                </c:pt>
                <c:pt idx="4">
                  <c:v>2016</c:v>
                </c:pt>
              </c:numCache>
            </c:numRef>
          </c:cat>
          <c:val>
            <c:numRef>
              <c:f>Sheet2!$B$57:$B$61</c:f>
              <c:numCache>
                <c:formatCode>_(* #,##0_);_(* \(#,##0\);_(* "-"??_);_(@_)</c:formatCode>
                <c:ptCount val="5"/>
                <c:pt idx="0">
                  <c:v>13025</c:v>
                </c:pt>
                <c:pt idx="1">
                  <c:v>14077</c:v>
                </c:pt>
                <c:pt idx="2">
                  <c:v>13160</c:v>
                </c:pt>
                <c:pt idx="3">
                  <c:v>13510</c:v>
                </c:pt>
                <c:pt idx="4">
                  <c:v>16002</c:v>
                </c:pt>
              </c:numCache>
            </c:numRef>
          </c:val>
          <c:smooth val="0"/>
        </c:ser>
        <c:ser>
          <c:idx val="1"/>
          <c:order val="1"/>
          <c:tx>
            <c:strRef>
              <c:f>Sheet2!$C$56</c:f>
              <c:strCache>
                <c:ptCount val="1"/>
                <c:pt idx="0">
                  <c:v>Plan</c:v>
                </c:pt>
              </c:strCache>
            </c:strRef>
          </c:tx>
          <c:dLbls>
            <c:dLbl>
              <c:idx val="0"/>
              <c:layout>
                <c:manualLayout>
                  <c:x val="-3.3333333333333347E-2"/>
                  <c:y val="-5.092592592592592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6666666666666666E-2"/>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6666666666666666E-2"/>
                  <c:y val="-7.870370370370370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6666666666666666E-2"/>
                  <c:y val="-4.629629629629629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5.8333333333333334E-2"/>
                  <c:y val="4.629629629629629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solidFill>
                      <a:schemeClr val="accent2">
                        <a:lumMod val="75000"/>
                      </a:schemeClr>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Sheet2!$A$57:$A$61</c:f>
              <c:numCache>
                <c:formatCode>General</c:formatCode>
                <c:ptCount val="5"/>
                <c:pt idx="0">
                  <c:v>2012</c:v>
                </c:pt>
                <c:pt idx="1">
                  <c:v>2013</c:v>
                </c:pt>
                <c:pt idx="2">
                  <c:v>2014</c:v>
                </c:pt>
                <c:pt idx="3">
                  <c:v>2015</c:v>
                </c:pt>
                <c:pt idx="4">
                  <c:v>2016</c:v>
                </c:pt>
              </c:numCache>
            </c:numRef>
          </c:cat>
          <c:val>
            <c:numRef>
              <c:f>Sheet2!$C$57:$C$61</c:f>
              <c:numCache>
                <c:formatCode>_(* #,##0_);_(* \(#,##0\);_(* "-"??_);_(@_)</c:formatCode>
                <c:ptCount val="5"/>
                <c:pt idx="0">
                  <c:v>13830</c:v>
                </c:pt>
                <c:pt idx="1">
                  <c:v>13800</c:v>
                </c:pt>
                <c:pt idx="2">
                  <c:v>13500</c:v>
                </c:pt>
                <c:pt idx="3">
                  <c:v>17405</c:v>
                </c:pt>
                <c:pt idx="4">
                  <c:v>15860</c:v>
                </c:pt>
              </c:numCache>
            </c:numRef>
          </c:val>
          <c:smooth val="0"/>
        </c:ser>
        <c:dLbls>
          <c:showLegendKey val="0"/>
          <c:showVal val="1"/>
          <c:showCatName val="0"/>
          <c:showSerName val="0"/>
          <c:showPercent val="0"/>
          <c:showBubbleSize val="0"/>
        </c:dLbls>
        <c:marker val="1"/>
        <c:smooth val="0"/>
        <c:axId val="131384448"/>
        <c:axId val="131385984"/>
      </c:lineChart>
      <c:catAx>
        <c:axId val="131384448"/>
        <c:scaling>
          <c:orientation val="minMax"/>
        </c:scaling>
        <c:delete val="0"/>
        <c:axPos val="b"/>
        <c:numFmt formatCode="General" sourceLinked="1"/>
        <c:majorTickMark val="none"/>
        <c:minorTickMark val="none"/>
        <c:tickLblPos val="nextTo"/>
        <c:crossAx val="131385984"/>
        <c:crosses val="autoZero"/>
        <c:auto val="1"/>
        <c:lblAlgn val="ctr"/>
        <c:lblOffset val="100"/>
        <c:noMultiLvlLbl val="0"/>
      </c:catAx>
      <c:valAx>
        <c:axId val="131385984"/>
        <c:scaling>
          <c:orientation val="minMax"/>
        </c:scaling>
        <c:delete val="1"/>
        <c:axPos val="l"/>
        <c:numFmt formatCode="_(* #,##0_);_(* \(#,##0\);_(* &quot;-&quot;??_);_(@_)" sourceLinked="1"/>
        <c:majorTickMark val="out"/>
        <c:minorTickMark val="none"/>
        <c:tickLblPos val="nextTo"/>
        <c:crossAx val="131384448"/>
        <c:crosses val="autoZero"/>
        <c:crossBetween val="between"/>
      </c:valAx>
    </c:plotArea>
    <c:legend>
      <c:legendPos val="t"/>
      <c:overlay val="0"/>
      <c:txPr>
        <a:bodyPr/>
        <a:lstStyle/>
        <a:p>
          <a:pPr>
            <a:defRPr b="1"/>
          </a:pPr>
          <a:endParaRPr lang="en-US"/>
        </a:p>
      </c:txPr>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itchFamily="18" charset="0"/>
                <a:cs typeface="Times New Roman" pitchFamily="18" charset="0"/>
              </a:defRPr>
            </a:pPr>
            <a:r>
              <a:rPr lang="en-US" sz="1050" b="0" dirty="0">
                <a:latin typeface="Times New Roman" pitchFamily="18" charset="0"/>
                <a:cs typeface="Times New Roman" pitchFamily="18" charset="0"/>
              </a:rPr>
              <a:t>(</a:t>
            </a:r>
            <a:r>
              <a:rPr lang="en-US" sz="1050" b="0" dirty="0" err="1">
                <a:latin typeface="Times New Roman" pitchFamily="18" charset="0"/>
                <a:cs typeface="Times New Roman" pitchFamily="18" charset="0"/>
              </a:rPr>
              <a:t>në</a:t>
            </a:r>
            <a:r>
              <a:rPr lang="en-US" sz="1050" b="0" dirty="0">
                <a:latin typeface="Times New Roman" pitchFamily="18" charset="0"/>
                <a:cs typeface="Times New Roman" pitchFamily="18" charset="0"/>
              </a:rPr>
              <a:t> </a:t>
            </a:r>
            <a:r>
              <a:rPr lang="en-US" sz="1050" b="0" dirty="0" err="1">
                <a:latin typeface="Times New Roman" pitchFamily="18" charset="0"/>
                <a:cs typeface="Times New Roman" pitchFamily="18" charset="0"/>
              </a:rPr>
              <a:t>milion</a:t>
            </a:r>
            <a:r>
              <a:rPr lang="en-US" sz="1050" b="0" dirty="0">
                <a:latin typeface="Times New Roman" pitchFamily="18" charset="0"/>
                <a:cs typeface="Times New Roman" pitchFamily="18" charset="0"/>
              </a:rPr>
              <a:t> </a:t>
            </a:r>
            <a:r>
              <a:rPr lang="en-US" sz="1050" b="0" dirty="0" err="1">
                <a:latin typeface="Times New Roman" pitchFamily="18" charset="0"/>
                <a:cs typeface="Times New Roman" pitchFamily="18" charset="0"/>
              </a:rPr>
              <a:t>lekë</a:t>
            </a:r>
            <a:r>
              <a:rPr lang="en-US" sz="1050" b="0" dirty="0">
                <a:latin typeface="Times New Roman" pitchFamily="18" charset="0"/>
                <a:cs typeface="Times New Roman" pitchFamily="18" charset="0"/>
              </a:rPr>
              <a:t>)</a:t>
            </a:r>
          </a:p>
        </c:rich>
      </c:tx>
      <c:layout>
        <c:manualLayout>
          <c:xMode val="edge"/>
          <c:yMode val="edge"/>
          <c:x val="0.43209254398755709"/>
          <c:y val="0.08"/>
        </c:manualLayout>
      </c:layout>
      <c:overlay val="0"/>
    </c:title>
    <c:autoTitleDeleted val="0"/>
    <c:plotArea>
      <c:layout>
        <c:manualLayout>
          <c:layoutTarget val="inner"/>
          <c:xMode val="edge"/>
          <c:yMode val="edge"/>
          <c:x val="1.2511000463177395E-2"/>
          <c:y val="0.12484333989501314"/>
          <c:w val="0.94278606965174128"/>
          <c:h val="0.80553286307961502"/>
        </c:manualLayout>
      </c:layout>
      <c:lineChart>
        <c:grouping val="standard"/>
        <c:varyColors val="0"/>
        <c:ser>
          <c:idx val="0"/>
          <c:order val="0"/>
          <c:tx>
            <c:strRef>
              <c:f>Sheet2!$B$66</c:f>
              <c:strCache>
                <c:ptCount val="1"/>
                <c:pt idx="0">
                  <c:v>Fakt</c:v>
                </c:pt>
              </c:strCache>
            </c:strRef>
          </c:tx>
          <c:dLbls>
            <c:dLbl>
              <c:idx val="0"/>
              <c:layout>
                <c:manualLayout>
                  <c:x val="-7.7777777777777779E-2"/>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05"/>
                  <c:y val="6.018518518518518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9444444444444448E-2"/>
                  <c:y val="7.40740740740740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8333333333333334E-2"/>
                  <c:y val="5.092592592592592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solidFill>
                      <a:schemeClr val="accent1">
                        <a:lumMod val="75000"/>
                      </a:schemeClr>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Sheet2!$A$67:$A$71</c:f>
              <c:numCache>
                <c:formatCode>General</c:formatCode>
                <c:ptCount val="5"/>
                <c:pt idx="0">
                  <c:v>2012</c:v>
                </c:pt>
                <c:pt idx="1">
                  <c:v>2013</c:v>
                </c:pt>
                <c:pt idx="2">
                  <c:v>2014</c:v>
                </c:pt>
                <c:pt idx="3">
                  <c:v>2015</c:v>
                </c:pt>
                <c:pt idx="4">
                  <c:v>2016</c:v>
                </c:pt>
              </c:numCache>
            </c:numRef>
          </c:cat>
          <c:val>
            <c:numRef>
              <c:f>Sheet2!$B$67:$B$71</c:f>
              <c:numCache>
                <c:formatCode>_(* #,##0_);_(* \(#,##0\);_(* "-"??_);_(@_)</c:formatCode>
                <c:ptCount val="5"/>
                <c:pt idx="0">
                  <c:v>11521</c:v>
                </c:pt>
                <c:pt idx="1">
                  <c:v>8901</c:v>
                </c:pt>
                <c:pt idx="2">
                  <c:v>11761</c:v>
                </c:pt>
                <c:pt idx="3">
                  <c:v>13428</c:v>
                </c:pt>
                <c:pt idx="4">
                  <c:v>15035</c:v>
                </c:pt>
              </c:numCache>
            </c:numRef>
          </c:val>
          <c:smooth val="0"/>
        </c:ser>
        <c:ser>
          <c:idx val="1"/>
          <c:order val="1"/>
          <c:tx>
            <c:strRef>
              <c:f>Sheet2!$C$66</c:f>
              <c:strCache>
                <c:ptCount val="1"/>
                <c:pt idx="0">
                  <c:v>Plan</c:v>
                </c:pt>
              </c:strCache>
            </c:strRef>
          </c:tx>
          <c:dLbls>
            <c:dLbl>
              <c:idx val="0"/>
              <c:layout>
                <c:manualLayout>
                  <c:x val="-4.1666666666666664E-2"/>
                  <c:y val="6.481481481481489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05"/>
                  <c:y val="-8.333333333333332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6666666666666666E-2"/>
                  <c:y val="-6.481481481481481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8333333333333334E-2"/>
                  <c:y val="-6.944444444444444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solidFill>
                      <a:schemeClr val="accent2">
                        <a:lumMod val="75000"/>
                      </a:schemeClr>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Sheet2!$A$67:$A$71</c:f>
              <c:numCache>
                <c:formatCode>General</c:formatCode>
                <c:ptCount val="5"/>
                <c:pt idx="0">
                  <c:v>2012</c:v>
                </c:pt>
                <c:pt idx="1">
                  <c:v>2013</c:v>
                </c:pt>
                <c:pt idx="2">
                  <c:v>2014</c:v>
                </c:pt>
                <c:pt idx="3">
                  <c:v>2015</c:v>
                </c:pt>
                <c:pt idx="4">
                  <c:v>2016</c:v>
                </c:pt>
              </c:numCache>
            </c:numRef>
          </c:cat>
          <c:val>
            <c:numRef>
              <c:f>Sheet2!$C$67:$C$71</c:f>
              <c:numCache>
                <c:formatCode>_(* #,##0_);_(* \(#,##0\);_(* "-"??_);_(@_)</c:formatCode>
                <c:ptCount val="5"/>
                <c:pt idx="0">
                  <c:v>8810</c:v>
                </c:pt>
                <c:pt idx="1">
                  <c:v>11050</c:v>
                </c:pt>
                <c:pt idx="2">
                  <c:v>13000</c:v>
                </c:pt>
                <c:pt idx="3">
                  <c:v>15277</c:v>
                </c:pt>
                <c:pt idx="4">
                  <c:v>16235</c:v>
                </c:pt>
              </c:numCache>
            </c:numRef>
          </c:val>
          <c:smooth val="0"/>
        </c:ser>
        <c:dLbls>
          <c:showLegendKey val="0"/>
          <c:showVal val="1"/>
          <c:showCatName val="0"/>
          <c:showSerName val="0"/>
          <c:showPercent val="0"/>
          <c:showBubbleSize val="0"/>
        </c:dLbls>
        <c:marker val="1"/>
        <c:smooth val="0"/>
        <c:axId val="131449216"/>
        <c:axId val="131450752"/>
      </c:lineChart>
      <c:catAx>
        <c:axId val="131449216"/>
        <c:scaling>
          <c:orientation val="minMax"/>
        </c:scaling>
        <c:delete val="0"/>
        <c:axPos val="b"/>
        <c:numFmt formatCode="General" sourceLinked="1"/>
        <c:majorTickMark val="none"/>
        <c:minorTickMark val="none"/>
        <c:tickLblPos val="nextTo"/>
        <c:crossAx val="131450752"/>
        <c:crosses val="autoZero"/>
        <c:auto val="1"/>
        <c:lblAlgn val="ctr"/>
        <c:lblOffset val="100"/>
        <c:noMultiLvlLbl val="0"/>
      </c:catAx>
      <c:valAx>
        <c:axId val="131450752"/>
        <c:scaling>
          <c:orientation val="minMax"/>
        </c:scaling>
        <c:delete val="1"/>
        <c:axPos val="l"/>
        <c:numFmt formatCode="_(* #,##0_);_(* \(#,##0\);_(* &quot;-&quot;??_);_(@_)" sourceLinked="1"/>
        <c:majorTickMark val="out"/>
        <c:minorTickMark val="none"/>
        <c:tickLblPos val="nextTo"/>
        <c:crossAx val="131449216"/>
        <c:crosses val="autoZero"/>
        <c:crossBetween val="between"/>
      </c:valAx>
    </c:plotArea>
    <c:legend>
      <c:legendPos val="t"/>
      <c:layout>
        <c:manualLayout>
          <c:xMode val="edge"/>
          <c:yMode val="edge"/>
          <c:x val="0.37665072421502865"/>
          <c:y val="2.0712073490813648E-2"/>
          <c:w val="0.24666222788327929"/>
          <c:h val="6.2787893700787398E-2"/>
        </c:manualLayout>
      </c:layout>
      <c:overlay val="0"/>
      <c:txPr>
        <a:bodyPr/>
        <a:lstStyle/>
        <a:p>
          <a:pPr>
            <a:defRPr b="1"/>
          </a:pPr>
          <a:endParaRPr lang="en-US"/>
        </a:p>
      </c:txPr>
    </c:legend>
    <c:plotVisOnly val="1"/>
    <c:dispBlanksAs val="gap"/>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0.45738</cdr:x>
      <cdr:y>0.0303</cdr:y>
    </cdr:from>
    <cdr:to>
      <cdr:x>0.93902</cdr:x>
      <cdr:y>0.18351</cdr:y>
    </cdr:to>
    <cdr:sp macro="" textlink="">
      <cdr:nvSpPr>
        <cdr:cNvPr id="2" name="TextBox 3"/>
        <cdr:cNvSpPr txBox="1"/>
      </cdr:nvSpPr>
      <cdr:spPr>
        <a:xfrm xmlns:a="http://schemas.openxmlformats.org/drawingml/2006/main">
          <a:off x="2143420" y="108516"/>
          <a:ext cx="2257130" cy="548709"/>
        </a:xfrm>
        <a:prstGeom xmlns:a="http://schemas.openxmlformats.org/drawingml/2006/main" prst="rect">
          <a:avLst/>
        </a:prstGeom>
        <a:solidFill xmlns:a="http://schemas.openxmlformats.org/drawingml/2006/main">
          <a:sysClr val="window" lastClr="FFFFFF"/>
        </a:solidFill>
        <a:ln xmlns:a="http://schemas.openxmlformats.org/drawingml/2006/main" w="9525" cmpd="sng">
          <a:solidFill>
            <a:sysClr val="window" lastClr="FFFFFF">
              <a:shade val="50000"/>
            </a:sysClr>
          </a:solid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l"/>
          <a:r>
            <a:rPr lang="en-US" sz="900" b="1" baseline="0">
              <a:ln>
                <a:noFill/>
              </a:ln>
            </a:rPr>
            <a:t>Sasia   	+1 844 Milion Lekë</a:t>
          </a:r>
        </a:p>
        <a:p xmlns:a="http://schemas.openxmlformats.org/drawingml/2006/main">
          <a:pPr algn="l"/>
          <a:r>
            <a:rPr lang="en-US" sz="900" b="1" baseline="0">
              <a:ln>
                <a:noFill/>
              </a:ln>
            </a:rPr>
            <a:t>Cmimi   	  + 152 Milione Lekë</a:t>
          </a:r>
        </a:p>
        <a:p xmlns:a="http://schemas.openxmlformats.org/drawingml/2006/main">
          <a:pPr algn="l"/>
          <a:r>
            <a:rPr lang="en-US" sz="900" b="1" baseline="0">
              <a:ln>
                <a:noFill/>
              </a:ln>
              <a:solidFill>
                <a:srgbClr val="FF0000"/>
              </a:solidFill>
            </a:rPr>
            <a:t>Efekt Total </a:t>
          </a:r>
          <a:r>
            <a:rPr lang="en-US" sz="900" b="1" baseline="0">
              <a:ln>
                <a:noFill/>
              </a:ln>
            </a:rPr>
            <a:t>	</a:t>
          </a:r>
          <a:r>
            <a:rPr lang="en-US" sz="900" b="1" baseline="0">
              <a:ln>
                <a:noFill/>
              </a:ln>
              <a:solidFill>
                <a:srgbClr val="FF0000"/>
              </a:solidFill>
            </a:rPr>
            <a:t>+1 996 Milion Lekë</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02ED74-1CED-4798-8323-672A7B33B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1221</TotalTime>
  <Pages>21</Pages>
  <Words>5358</Words>
  <Characters>30546</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Gjatë vitit 2009, ndonëse ekonomia shqiptare u përball me një tkurrje të ritmeve të rritjes si pasojë e efekteve negative të krizës ekonomike globale, përsëri ajo performoi tejet pozitivisht dhe tregoi që ajo është një ekonomi vitale dhe me optimizëm</vt:lpstr>
    </vt:vector>
  </TitlesOfParts>
  <Company/>
  <LinksUpToDate>false</LinksUpToDate>
  <CharactersWithSpaces>35833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Gjatë vitit 2009, ndonëse ekonomia shqiptare u përball me një tkurrje të ritmeve të rritjes si pasojë e efekteve negative të krizës ekonomike globale, përsëri ajo performoi tejet pozitivisht dhe tregoi që ajo është një ekonomi vitale dhe me optimizëm</dc:title>
  <dc:creator>MoF</dc:creator>
  <cp:lastModifiedBy>xhoana.agolli</cp:lastModifiedBy>
  <cp:revision>20</cp:revision>
  <cp:lastPrinted>2016-07-28T15:30:00Z</cp:lastPrinted>
  <dcterms:created xsi:type="dcterms:W3CDTF">2016-07-26T14:08:00Z</dcterms:created>
  <dcterms:modified xsi:type="dcterms:W3CDTF">2016-07-28T15:30:00Z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