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E38" w:rsidRPr="00DB4F1E" w:rsidRDefault="001A0E38" w:rsidP="001A0E38">
      <w:pPr>
        <w:spacing w:line="360" w:lineRule="auto"/>
        <w:jc w:val="center"/>
        <w:rPr>
          <w:rFonts w:asciiTheme="majorBidi" w:hAnsiTheme="majorBidi" w:cstheme="majorBidi"/>
          <w:b/>
          <w:lang w:val="sq-AL"/>
        </w:rPr>
      </w:pPr>
      <w:bookmarkStart w:id="0" w:name="_GoBack"/>
      <w:bookmarkEnd w:id="0"/>
      <w:r w:rsidRPr="00DB4F1E">
        <w:rPr>
          <w:rFonts w:asciiTheme="majorBidi" w:hAnsiTheme="majorBidi" w:cstheme="majorBidi"/>
          <w:b/>
          <w:lang w:val="sq-AL"/>
        </w:rPr>
        <w:t xml:space="preserve">KOMENTE DHE REKOMANDIME </w:t>
      </w:r>
    </w:p>
    <w:p w:rsidR="001A0E38" w:rsidRPr="00DB4F1E" w:rsidRDefault="001A0E38" w:rsidP="001A0E38">
      <w:pPr>
        <w:spacing w:line="360" w:lineRule="auto"/>
        <w:jc w:val="center"/>
        <w:rPr>
          <w:rFonts w:asciiTheme="majorBidi" w:hAnsiTheme="majorBidi" w:cstheme="majorBidi"/>
          <w:b/>
          <w:lang w:val="sq-AL"/>
        </w:rPr>
      </w:pPr>
      <w:r w:rsidRPr="00DB4F1E">
        <w:rPr>
          <w:rFonts w:asciiTheme="majorBidi" w:hAnsiTheme="majorBidi" w:cstheme="majorBidi"/>
          <w:b/>
          <w:lang w:val="sq-AL"/>
        </w:rPr>
        <w:t xml:space="preserve">MBI RAPORTIN E MONITORIMIT TË </w:t>
      </w:r>
      <w:r w:rsidRPr="001A0E38">
        <w:rPr>
          <w:rFonts w:asciiTheme="majorBidi" w:hAnsiTheme="majorBidi" w:cstheme="majorBidi"/>
          <w:b/>
          <w:caps/>
          <w:lang w:val="sq-AL"/>
        </w:rPr>
        <w:t>KATËRMUJORIT të parë të vitit 2017</w:t>
      </w:r>
      <w:r w:rsidRPr="00DB4F1E">
        <w:rPr>
          <w:rFonts w:asciiTheme="majorBidi" w:hAnsiTheme="majorBidi" w:cstheme="majorBidi"/>
          <w:b/>
          <w:lang w:val="sq-AL"/>
        </w:rPr>
        <w:t xml:space="preserve"> </w:t>
      </w:r>
    </w:p>
    <w:p w:rsidR="00EB45AE" w:rsidRPr="00EB45AE" w:rsidRDefault="001A0E38" w:rsidP="001A0E38">
      <w:pPr>
        <w:spacing w:line="360" w:lineRule="auto"/>
        <w:jc w:val="center"/>
        <w:rPr>
          <w:b/>
          <w:sz w:val="28"/>
          <w:szCs w:val="28"/>
          <w:lang w:val="sq-AL"/>
        </w:rPr>
      </w:pPr>
      <w:r w:rsidRPr="00DB4F1E">
        <w:rPr>
          <w:rFonts w:asciiTheme="majorBidi" w:hAnsiTheme="majorBidi" w:cstheme="majorBidi"/>
          <w:b/>
          <w:lang w:val="sq-AL"/>
        </w:rPr>
        <w:t>PËR MINISTRINË E</w:t>
      </w:r>
      <w:r w:rsidRPr="00EB45AE">
        <w:rPr>
          <w:b/>
          <w:sz w:val="28"/>
          <w:szCs w:val="28"/>
          <w:lang w:val="sq-AL"/>
        </w:rPr>
        <w:t xml:space="preserve"> </w:t>
      </w:r>
      <w:r w:rsidR="008E71D5" w:rsidRPr="001A0E38">
        <w:rPr>
          <w:rFonts w:asciiTheme="majorBidi" w:hAnsiTheme="majorBidi" w:cstheme="majorBidi"/>
          <w:b/>
          <w:caps/>
          <w:lang w:val="sq-AL"/>
        </w:rPr>
        <w:t>M</w:t>
      </w:r>
      <w:r w:rsidR="00EB45AE" w:rsidRPr="001A0E38">
        <w:rPr>
          <w:rFonts w:asciiTheme="majorBidi" w:hAnsiTheme="majorBidi" w:cstheme="majorBidi"/>
          <w:b/>
          <w:caps/>
          <w:lang w:val="sq-AL"/>
        </w:rPr>
        <w:t>brojtjes</w:t>
      </w:r>
    </w:p>
    <w:p w:rsidR="00B25EEF" w:rsidRDefault="00B25EEF" w:rsidP="00B25EEF">
      <w:pPr>
        <w:spacing w:line="276" w:lineRule="auto"/>
        <w:jc w:val="both"/>
        <w:rPr>
          <w:b/>
          <w:lang w:val="sq-AL"/>
        </w:rPr>
      </w:pPr>
    </w:p>
    <w:p w:rsidR="00EB45AE" w:rsidRPr="00EB45AE" w:rsidRDefault="00EB45AE" w:rsidP="00B25EEF">
      <w:pPr>
        <w:spacing w:line="276" w:lineRule="auto"/>
        <w:jc w:val="both"/>
        <w:rPr>
          <w:b/>
          <w:lang w:val="sq-AL"/>
        </w:rPr>
      </w:pPr>
    </w:p>
    <w:p w:rsidR="0091052B" w:rsidRDefault="001A0E38" w:rsidP="006462D9">
      <w:pPr>
        <w:jc w:val="both"/>
        <w:rPr>
          <w:bCs/>
          <w:lang w:val="sq-AL"/>
        </w:rPr>
      </w:pPr>
      <w:r>
        <w:rPr>
          <w:bCs/>
          <w:lang w:val="sq-AL"/>
        </w:rPr>
        <w:t>N</w:t>
      </w:r>
      <w:r w:rsidR="0091052B">
        <w:rPr>
          <w:bCs/>
          <w:lang w:val="sq-AL"/>
        </w:rPr>
        <w:t>ë</w:t>
      </w:r>
      <w:r>
        <w:rPr>
          <w:bCs/>
          <w:lang w:val="sq-AL"/>
        </w:rPr>
        <w:t xml:space="preserve"> lidhje me raportimin e b</w:t>
      </w:r>
      <w:r w:rsidR="0091052B">
        <w:rPr>
          <w:bCs/>
          <w:lang w:val="sq-AL"/>
        </w:rPr>
        <w:t>ë</w:t>
      </w:r>
      <w:r>
        <w:rPr>
          <w:bCs/>
          <w:lang w:val="sq-AL"/>
        </w:rPr>
        <w:t>r</w:t>
      </w:r>
      <w:r w:rsidR="0091052B">
        <w:rPr>
          <w:bCs/>
          <w:lang w:val="sq-AL"/>
        </w:rPr>
        <w:t>ë</w:t>
      </w:r>
      <w:r>
        <w:rPr>
          <w:bCs/>
          <w:lang w:val="sq-AL"/>
        </w:rPr>
        <w:t xml:space="preserve"> mga Ministria e Mbrojtjes, t</w:t>
      </w:r>
      <w:r w:rsidR="0091052B">
        <w:rPr>
          <w:bCs/>
          <w:lang w:val="sq-AL"/>
        </w:rPr>
        <w:t>ë</w:t>
      </w:r>
      <w:r>
        <w:rPr>
          <w:bCs/>
          <w:lang w:val="sq-AL"/>
        </w:rPr>
        <w:t>rheqim v</w:t>
      </w:r>
      <w:r w:rsidR="0091052B">
        <w:rPr>
          <w:bCs/>
          <w:lang w:val="sq-AL"/>
        </w:rPr>
        <w:t>ë</w:t>
      </w:r>
      <w:r>
        <w:rPr>
          <w:bCs/>
          <w:lang w:val="sq-AL"/>
        </w:rPr>
        <w:t>rejtjen p</w:t>
      </w:r>
      <w:r w:rsidR="0091052B">
        <w:rPr>
          <w:bCs/>
          <w:lang w:val="sq-AL"/>
        </w:rPr>
        <w:t>ë</w:t>
      </w:r>
      <w:r>
        <w:rPr>
          <w:bCs/>
          <w:lang w:val="sq-AL"/>
        </w:rPr>
        <w:t>r paraqitjen e raportit t</w:t>
      </w:r>
      <w:r w:rsidR="0091052B">
        <w:rPr>
          <w:bCs/>
          <w:lang w:val="sq-AL"/>
        </w:rPr>
        <w:t>ë</w:t>
      </w:r>
      <w:r>
        <w:rPr>
          <w:bCs/>
          <w:lang w:val="sq-AL"/>
        </w:rPr>
        <w:t xml:space="preserve"> monitorimit p</w:t>
      </w:r>
      <w:r w:rsidR="0091052B">
        <w:rPr>
          <w:bCs/>
          <w:lang w:val="sq-AL"/>
        </w:rPr>
        <w:t>ë</w:t>
      </w:r>
      <w:r>
        <w:rPr>
          <w:bCs/>
          <w:lang w:val="sq-AL"/>
        </w:rPr>
        <w:t>r periudh</w:t>
      </w:r>
      <w:r w:rsidR="0091052B">
        <w:rPr>
          <w:bCs/>
          <w:lang w:val="sq-AL"/>
        </w:rPr>
        <w:t>ë</w:t>
      </w:r>
      <w:r>
        <w:rPr>
          <w:bCs/>
          <w:lang w:val="sq-AL"/>
        </w:rPr>
        <w:t xml:space="preserve">n 3 mujore. </w:t>
      </w:r>
    </w:p>
    <w:p w:rsidR="001A0E38" w:rsidRDefault="001A0E38" w:rsidP="006462D9">
      <w:pPr>
        <w:jc w:val="both"/>
        <w:rPr>
          <w:lang w:val="sq-AL"/>
        </w:rPr>
      </w:pPr>
      <w:r>
        <w:rPr>
          <w:bCs/>
          <w:lang w:val="sq-AL"/>
        </w:rPr>
        <w:t xml:space="preserve">Nisur </w:t>
      </w:r>
      <w:r w:rsidR="006462D9">
        <w:rPr>
          <w:bCs/>
          <w:lang w:val="sq-AL"/>
        </w:rPr>
        <w:t>nga ky fakt, do t</w:t>
      </w:r>
      <w:r w:rsidR="0091052B">
        <w:rPr>
          <w:bCs/>
          <w:lang w:val="sq-AL"/>
        </w:rPr>
        <w:t>ë</w:t>
      </w:r>
      <w:r w:rsidR="006462D9">
        <w:rPr>
          <w:bCs/>
          <w:lang w:val="sq-AL"/>
        </w:rPr>
        <w:t xml:space="preserve"> b</w:t>
      </w:r>
      <w:r w:rsidR="0091052B">
        <w:rPr>
          <w:bCs/>
          <w:lang w:val="sq-AL"/>
        </w:rPr>
        <w:t>ë</w:t>
      </w:r>
      <w:r w:rsidR="006462D9">
        <w:rPr>
          <w:bCs/>
          <w:lang w:val="sq-AL"/>
        </w:rPr>
        <w:t>jm</w:t>
      </w:r>
      <w:r w:rsidR="0091052B">
        <w:rPr>
          <w:bCs/>
          <w:lang w:val="sq-AL"/>
        </w:rPr>
        <w:t>ë</w:t>
      </w:r>
      <w:r w:rsidR="006462D9">
        <w:rPr>
          <w:bCs/>
          <w:lang w:val="sq-AL"/>
        </w:rPr>
        <w:t xml:space="preserve"> raportimin me t</w:t>
      </w:r>
      <w:r w:rsidR="0091052B">
        <w:rPr>
          <w:bCs/>
          <w:lang w:val="sq-AL"/>
        </w:rPr>
        <w:t>ë</w:t>
      </w:r>
      <w:r w:rsidR="006462D9">
        <w:rPr>
          <w:bCs/>
          <w:lang w:val="sq-AL"/>
        </w:rPr>
        <w:t xml:space="preserve"> dh</w:t>
      </w:r>
      <w:r w:rsidR="0091052B">
        <w:rPr>
          <w:bCs/>
          <w:lang w:val="sq-AL"/>
        </w:rPr>
        <w:t>ë</w:t>
      </w:r>
      <w:r w:rsidR="006462D9">
        <w:rPr>
          <w:bCs/>
          <w:lang w:val="sq-AL"/>
        </w:rPr>
        <w:t xml:space="preserve">nat e disponueshme nga </w:t>
      </w:r>
      <w:r w:rsidR="006462D9" w:rsidRPr="00EB45AE">
        <w:rPr>
          <w:lang w:val="sq-AL"/>
        </w:rPr>
        <w:t xml:space="preserve">Sistemi Financiar Informatik </w:t>
      </w:r>
      <w:r w:rsidR="006462D9">
        <w:rPr>
          <w:lang w:val="sq-AL"/>
        </w:rPr>
        <w:t>i</w:t>
      </w:r>
      <w:r w:rsidR="006462D9" w:rsidRPr="00EB45AE">
        <w:rPr>
          <w:lang w:val="sq-AL"/>
        </w:rPr>
        <w:t xml:space="preserve"> Qeverisë</w:t>
      </w:r>
      <w:r w:rsidR="006462D9">
        <w:rPr>
          <w:lang w:val="sq-AL"/>
        </w:rPr>
        <w:t xml:space="preserve"> p</w:t>
      </w:r>
      <w:r w:rsidR="0091052B">
        <w:rPr>
          <w:lang w:val="sq-AL"/>
        </w:rPr>
        <w:t>ë</w:t>
      </w:r>
      <w:r w:rsidR="006462D9">
        <w:rPr>
          <w:lang w:val="sq-AL"/>
        </w:rPr>
        <w:t>r periudh</w:t>
      </w:r>
      <w:r w:rsidR="0091052B">
        <w:rPr>
          <w:lang w:val="sq-AL"/>
        </w:rPr>
        <w:t>ë</w:t>
      </w:r>
      <w:r w:rsidR="006462D9">
        <w:rPr>
          <w:lang w:val="sq-AL"/>
        </w:rPr>
        <w:t>n 4 mujore pa patur mund</w:t>
      </w:r>
      <w:r w:rsidR="0091052B">
        <w:rPr>
          <w:lang w:val="sq-AL"/>
        </w:rPr>
        <w:t>ë</w:t>
      </w:r>
      <w:r w:rsidR="006462D9">
        <w:rPr>
          <w:lang w:val="sq-AL"/>
        </w:rPr>
        <w:t>si krahasimi me t</w:t>
      </w:r>
      <w:r w:rsidR="0091052B">
        <w:rPr>
          <w:lang w:val="sq-AL"/>
        </w:rPr>
        <w:t>ë</w:t>
      </w:r>
      <w:r w:rsidR="006462D9">
        <w:rPr>
          <w:lang w:val="sq-AL"/>
        </w:rPr>
        <w:t xml:space="preserve"> dh</w:t>
      </w:r>
      <w:r w:rsidR="0091052B">
        <w:rPr>
          <w:lang w:val="sq-AL"/>
        </w:rPr>
        <w:t>ë</w:t>
      </w:r>
      <w:r w:rsidR="006462D9">
        <w:rPr>
          <w:lang w:val="sq-AL"/>
        </w:rPr>
        <w:t>nat e raportuara nga ministria.</w:t>
      </w:r>
    </w:p>
    <w:p w:rsidR="006462D9" w:rsidRDefault="006462D9" w:rsidP="006462D9">
      <w:pPr>
        <w:jc w:val="both"/>
        <w:rPr>
          <w:bCs/>
          <w:lang w:val="sq-AL"/>
        </w:rPr>
      </w:pPr>
    </w:p>
    <w:p w:rsidR="008E71D5" w:rsidRPr="00EB45AE" w:rsidRDefault="00B25EEF" w:rsidP="00EB45AE">
      <w:pPr>
        <w:jc w:val="both"/>
        <w:rPr>
          <w:lang w:val="sq-AL"/>
        </w:rPr>
      </w:pPr>
      <w:r w:rsidRPr="00EB45AE">
        <w:rPr>
          <w:b/>
          <w:lang w:val="sq-AL"/>
        </w:rPr>
        <w:t xml:space="preserve">Ministria e </w:t>
      </w:r>
      <w:r w:rsidR="008E71D5" w:rsidRPr="00EB45AE">
        <w:rPr>
          <w:b/>
          <w:lang w:val="sq-AL"/>
        </w:rPr>
        <w:t>M</w:t>
      </w:r>
      <w:r w:rsidR="00EB45AE" w:rsidRPr="00EB45AE">
        <w:rPr>
          <w:b/>
          <w:lang w:val="sq-AL"/>
        </w:rPr>
        <w:t>brojtjes</w:t>
      </w:r>
      <w:r w:rsidRPr="00EB45AE">
        <w:rPr>
          <w:b/>
          <w:sz w:val="28"/>
          <w:szCs w:val="28"/>
          <w:lang w:val="sq-AL"/>
        </w:rPr>
        <w:t xml:space="preserve"> </w:t>
      </w:r>
      <w:r w:rsidRPr="00EB45AE">
        <w:rPr>
          <w:lang w:val="sq-AL"/>
        </w:rPr>
        <w:t>për kat</w:t>
      </w:r>
      <w:r w:rsidR="005D40BF" w:rsidRPr="00EB45AE">
        <w:rPr>
          <w:lang w:val="sq-AL"/>
        </w:rPr>
        <w:t>ë</w:t>
      </w:r>
      <w:r w:rsidRPr="00EB45AE">
        <w:rPr>
          <w:lang w:val="sq-AL"/>
        </w:rPr>
        <w:t xml:space="preserve">rmujorin e parë të vitit 2017, administroi dhe menaxhoi fondet publike sipas </w:t>
      </w:r>
      <w:r w:rsidR="00EB45AE" w:rsidRPr="00EB45AE">
        <w:rPr>
          <w:lang w:val="sq-AL"/>
        </w:rPr>
        <w:t>pes</w:t>
      </w:r>
      <w:r w:rsidR="008E71D5" w:rsidRPr="00EB45AE">
        <w:rPr>
          <w:lang w:val="sq-AL"/>
        </w:rPr>
        <w:t>ë programeve të miratuara, e konkretisht:</w:t>
      </w:r>
    </w:p>
    <w:p w:rsidR="008E71D5" w:rsidRPr="00EB45AE" w:rsidRDefault="008E71D5" w:rsidP="008E71D5">
      <w:pPr>
        <w:jc w:val="both"/>
        <w:rPr>
          <w:lang w:val="sq-AL"/>
        </w:rPr>
      </w:pPr>
    </w:p>
    <w:p w:rsidR="00EB45AE" w:rsidRDefault="008E71D5" w:rsidP="00EB45AE">
      <w:pPr>
        <w:pStyle w:val="Subtitle"/>
        <w:numPr>
          <w:ilvl w:val="1"/>
          <w:numId w:val="1"/>
        </w:numPr>
        <w:tabs>
          <w:tab w:val="num" w:pos="1620"/>
        </w:tabs>
        <w:spacing w:after="0"/>
        <w:jc w:val="both"/>
        <w:outlineLvl w:val="9"/>
        <w:rPr>
          <w:rFonts w:ascii="Times New Roman" w:hAnsi="Times New Roman" w:cs="Times New Roman"/>
          <w:bCs/>
          <w:lang w:val="sq-AL"/>
        </w:rPr>
      </w:pPr>
      <w:r w:rsidRPr="00EB45AE">
        <w:rPr>
          <w:rFonts w:ascii="Times New Roman" w:hAnsi="Times New Roman" w:cs="Times New Roman"/>
          <w:bCs/>
          <w:lang w:val="sq-AL"/>
        </w:rPr>
        <w:t>Planifikimi, menaxhimi dhe administrimi.</w:t>
      </w:r>
    </w:p>
    <w:p w:rsidR="00EB45AE" w:rsidRPr="00EB45AE" w:rsidRDefault="00EB45AE" w:rsidP="00EB45AE">
      <w:pPr>
        <w:pStyle w:val="Subtitle"/>
        <w:numPr>
          <w:ilvl w:val="1"/>
          <w:numId w:val="1"/>
        </w:numPr>
        <w:tabs>
          <w:tab w:val="num" w:pos="1620"/>
        </w:tabs>
        <w:spacing w:after="0"/>
        <w:jc w:val="both"/>
        <w:outlineLvl w:val="9"/>
        <w:rPr>
          <w:lang w:val="sq-AL"/>
        </w:rPr>
      </w:pPr>
      <w:r w:rsidRPr="00EB45AE">
        <w:rPr>
          <w:rFonts w:ascii="Times New Roman" w:hAnsi="Times New Roman" w:cs="Times New Roman"/>
          <w:bCs/>
          <w:lang w:val="sq-AL"/>
        </w:rPr>
        <w:t>Forcat e Luftimit</w:t>
      </w:r>
    </w:p>
    <w:p w:rsidR="00EB45AE" w:rsidRPr="00EB45AE" w:rsidRDefault="00EB45AE" w:rsidP="00EB45AE">
      <w:pPr>
        <w:pStyle w:val="Subtitle"/>
        <w:numPr>
          <w:ilvl w:val="1"/>
          <w:numId w:val="1"/>
        </w:numPr>
        <w:tabs>
          <w:tab w:val="num" w:pos="1620"/>
        </w:tabs>
        <w:spacing w:after="0"/>
        <w:jc w:val="both"/>
        <w:outlineLvl w:val="9"/>
        <w:rPr>
          <w:lang w:val="sq-AL"/>
        </w:rPr>
      </w:pPr>
      <w:r>
        <w:rPr>
          <w:rFonts w:ascii="Times New Roman" w:hAnsi="Times New Roman" w:cs="Times New Roman"/>
          <w:bCs/>
          <w:lang w:val="sq-AL"/>
        </w:rPr>
        <w:t>A</w:t>
      </w:r>
      <w:r w:rsidRPr="00EB45AE">
        <w:rPr>
          <w:rFonts w:ascii="Times New Roman" w:hAnsi="Times New Roman" w:cs="Times New Roman"/>
          <w:bCs/>
          <w:lang w:val="sq-AL"/>
        </w:rPr>
        <w:t xml:space="preserve">rsimi Ushtarak </w:t>
      </w:r>
    </w:p>
    <w:p w:rsidR="00EB45AE" w:rsidRPr="00EB45AE" w:rsidRDefault="00EB45AE" w:rsidP="00EB45AE">
      <w:pPr>
        <w:pStyle w:val="Subtitle"/>
        <w:numPr>
          <w:ilvl w:val="1"/>
          <w:numId w:val="1"/>
        </w:numPr>
        <w:tabs>
          <w:tab w:val="num" w:pos="1620"/>
        </w:tabs>
        <w:spacing w:after="0"/>
        <w:jc w:val="both"/>
        <w:outlineLvl w:val="9"/>
        <w:rPr>
          <w:lang w:val="sq-AL"/>
        </w:rPr>
      </w:pPr>
      <w:r w:rsidRPr="00EB45AE">
        <w:rPr>
          <w:rFonts w:ascii="Times New Roman" w:hAnsi="Times New Roman" w:cs="Times New Roman"/>
          <w:bCs/>
          <w:lang w:val="sq-AL"/>
        </w:rPr>
        <w:t xml:space="preserve">Mbështetja e Luftimit </w:t>
      </w:r>
    </w:p>
    <w:p w:rsidR="00EB45AE" w:rsidRDefault="00EB45AE" w:rsidP="00EB45AE">
      <w:pPr>
        <w:pStyle w:val="Subtitle"/>
        <w:numPr>
          <w:ilvl w:val="1"/>
          <w:numId w:val="1"/>
        </w:numPr>
        <w:tabs>
          <w:tab w:val="num" w:pos="1620"/>
        </w:tabs>
        <w:spacing w:after="0"/>
        <w:jc w:val="both"/>
        <w:outlineLvl w:val="9"/>
        <w:rPr>
          <w:lang w:val="sq-AL"/>
        </w:rPr>
      </w:pPr>
      <w:r w:rsidRPr="00EB45AE">
        <w:rPr>
          <w:rFonts w:ascii="Times New Roman" w:hAnsi="Times New Roman" w:cs="Times New Roman"/>
          <w:bCs/>
          <w:lang w:val="sq-AL"/>
        </w:rPr>
        <w:t>Mbështetje për Shëndetësinë</w:t>
      </w:r>
      <w:r w:rsidRPr="00EB45AE">
        <w:rPr>
          <w:lang w:val="sq-AL"/>
        </w:rPr>
        <w:t xml:space="preserve"> </w:t>
      </w:r>
    </w:p>
    <w:p w:rsidR="00EB45AE" w:rsidRDefault="00EB45AE" w:rsidP="00EB45AE">
      <w:pPr>
        <w:pStyle w:val="Subtitle"/>
        <w:tabs>
          <w:tab w:val="num" w:pos="1620"/>
        </w:tabs>
        <w:spacing w:after="0"/>
        <w:jc w:val="both"/>
        <w:outlineLvl w:val="9"/>
        <w:rPr>
          <w:lang w:val="sq-AL"/>
        </w:rPr>
      </w:pPr>
    </w:p>
    <w:p w:rsidR="00EB45AE" w:rsidRPr="00EB45AE" w:rsidRDefault="00B25EEF" w:rsidP="00EB45AE">
      <w:pPr>
        <w:jc w:val="both"/>
        <w:rPr>
          <w:i/>
          <w:iCs/>
          <w:lang w:val="sq-AL"/>
        </w:rPr>
      </w:pPr>
      <w:r w:rsidRPr="00EB45AE">
        <w:rPr>
          <w:lang w:val="sq-AL"/>
        </w:rPr>
        <w:t xml:space="preserve">Sipas të dhënave të Sistemit Financiar Informatik të Qeverisë, </w:t>
      </w:r>
      <w:r w:rsidR="00602DFF" w:rsidRPr="00EB45AE">
        <w:rPr>
          <w:lang w:val="sq-AL"/>
        </w:rPr>
        <w:t>realizimi i shpenzimeve sipas lloji</w:t>
      </w:r>
      <w:r w:rsidR="005D40BF" w:rsidRPr="00EB45AE">
        <w:rPr>
          <w:lang w:val="sq-AL"/>
        </w:rPr>
        <w:t>t</w:t>
      </w:r>
      <w:r w:rsidR="00602DFF" w:rsidRPr="00EB45AE">
        <w:rPr>
          <w:lang w:val="sq-AL"/>
        </w:rPr>
        <w:t xml:space="preserve"> t</w:t>
      </w:r>
      <w:r w:rsidR="005D40BF" w:rsidRPr="00EB45AE">
        <w:rPr>
          <w:lang w:val="sq-AL"/>
        </w:rPr>
        <w:t>ë</w:t>
      </w:r>
      <w:r w:rsidR="00602DFF" w:rsidRPr="00EB45AE">
        <w:rPr>
          <w:lang w:val="sq-AL"/>
        </w:rPr>
        <w:t xml:space="preserve"> tyre, deri në fund </w:t>
      </w:r>
      <w:r w:rsidR="00602DFF" w:rsidRPr="00EB45AE">
        <w:rPr>
          <w:b/>
          <w:bCs/>
          <w:lang w:val="sq-AL"/>
        </w:rPr>
        <w:t>kat</w:t>
      </w:r>
      <w:r w:rsidR="005D40BF" w:rsidRPr="00EB45AE">
        <w:rPr>
          <w:b/>
          <w:bCs/>
          <w:lang w:val="sq-AL"/>
        </w:rPr>
        <w:t>ë</w:t>
      </w:r>
      <w:r w:rsidR="00602DFF" w:rsidRPr="00EB45AE">
        <w:rPr>
          <w:b/>
          <w:bCs/>
          <w:lang w:val="sq-AL"/>
        </w:rPr>
        <w:t>rmujorit të parë të vitit 2017</w:t>
      </w:r>
      <w:r w:rsidR="00602DFF" w:rsidRPr="00EB45AE">
        <w:rPr>
          <w:lang w:val="sq-AL"/>
        </w:rPr>
        <w:t xml:space="preserve"> për M</w:t>
      </w:r>
      <w:r w:rsidR="008E71D5" w:rsidRPr="00EB45AE">
        <w:rPr>
          <w:lang w:val="sq-AL"/>
        </w:rPr>
        <w:t>M</w:t>
      </w:r>
      <w:r w:rsidR="00602DFF" w:rsidRPr="00EB45AE">
        <w:rPr>
          <w:lang w:val="sq-AL"/>
        </w:rPr>
        <w:t xml:space="preserve">  paraqitet si më poshtë</w:t>
      </w:r>
      <w:r w:rsidR="005D40BF" w:rsidRPr="00EB45AE">
        <w:rPr>
          <w:lang w:val="sq-AL"/>
        </w:rPr>
        <w:t xml:space="preserve">, </w:t>
      </w:r>
      <w:r w:rsidR="005D40BF" w:rsidRPr="00EB45AE">
        <w:rPr>
          <w:i/>
          <w:iCs/>
          <w:lang w:val="sq-AL"/>
        </w:rPr>
        <w:t>në mijë lekë</w:t>
      </w:r>
      <w:r w:rsidR="00602DFF" w:rsidRPr="00EB45AE">
        <w:rPr>
          <w:i/>
          <w:iCs/>
          <w:lang w:val="sq-AL"/>
        </w:rPr>
        <w:t>:</w:t>
      </w:r>
      <w:r w:rsidR="005D40BF" w:rsidRPr="00EB45AE">
        <w:rPr>
          <w:i/>
          <w:iCs/>
          <w:lang w:val="sq-AL"/>
        </w:rPr>
        <w:t xml:space="preserve"> </w:t>
      </w:r>
    </w:p>
    <w:p w:rsidR="00EB45AE" w:rsidRPr="00EB45AE" w:rsidRDefault="00EB45AE" w:rsidP="00EB45AE">
      <w:pPr>
        <w:jc w:val="both"/>
        <w:rPr>
          <w:lang w:val="sq-AL"/>
        </w:rPr>
      </w:pPr>
    </w:p>
    <w:tbl>
      <w:tblPr>
        <w:tblW w:w="8720" w:type="dxa"/>
        <w:jc w:val="center"/>
        <w:tblCellMar>
          <w:left w:w="0" w:type="dxa"/>
          <w:right w:w="0" w:type="dxa"/>
        </w:tblCellMar>
        <w:tblLook w:val="04A0" w:firstRow="1" w:lastRow="0" w:firstColumn="1" w:lastColumn="0" w:noHBand="0" w:noVBand="1"/>
      </w:tblPr>
      <w:tblGrid>
        <w:gridCol w:w="420"/>
        <w:gridCol w:w="3740"/>
        <w:gridCol w:w="1600"/>
        <w:gridCol w:w="1480"/>
        <w:gridCol w:w="1480"/>
      </w:tblGrid>
      <w:tr w:rsidR="00EB45AE" w:rsidRPr="00EB45AE" w:rsidTr="00EB45AE">
        <w:trPr>
          <w:trHeight w:val="780"/>
          <w:jc w:val="center"/>
        </w:trPr>
        <w:tc>
          <w:tcPr>
            <w:tcW w:w="420" w:type="dxa"/>
            <w:tcBorders>
              <w:top w:val="double" w:sz="6" w:space="0" w:color="auto"/>
              <w:left w:val="double" w:sz="6" w:space="0" w:color="auto"/>
              <w:bottom w:val="dotted" w:sz="4" w:space="0" w:color="auto"/>
              <w:right w:val="dotted" w:sz="4"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0"/>
                <w:szCs w:val="20"/>
                <w:lang w:val="sq-AL"/>
              </w:rPr>
            </w:pPr>
            <w:r w:rsidRPr="00EB45AE">
              <w:rPr>
                <w:b/>
                <w:bCs/>
                <w:color w:val="000000"/>
                <w:sz w:val="20"/>
                <w:szCs w:val="20"/>
                <w:lang w:val="sq-AL"/>
              </w:rPr>
              <w:t>NR.</w:t>
            </w:r>
          </w:p>
        </w:tc>
        <w:tc>
          <w:tcPr>
            <w:tcW w:w="3740" w:type="dxa"/>
            <w:tcBorders>
              <w:top w:val="double" w:sz="6" w:space="0" w:color="auto"/>
              <w:left w:val="nil"/>
              <w:bottom w:val="dotted" w:sz="4" w:space="0" w:color="auto"/>
              <w:right w:val="dotted" w:sz="4"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0"/>
                <w:szCs w:val="20"/>
                <w:lang w:val="sq-AL"/>
              </w:rPr>
            </w:pPr>
            <w:r w:rsidRPr="00EB45AE">
              <w:rPr>
                <w:b/>
                <w:bCs/>
                <w:color w:val="000000"/>
                <w:sz w:val="20"/>
                <w:szCs w:val="20"/>
                <w:lang w:val="sq-AL"/>
              </w:rPr>
              <w:t>Emërtimi</w:t>
            </w:r>
          </w:p>
        </w:tc>
        <w:tc>
          <w:tcPr>
            <w:tcW w:w="1600" w:type="dxa"/>
            <w:tcBorders>
              <w:top w:val="double" w:sz="6" w:space="0" w:color="auto"/>
              <w:left w:val="nil"/>
              <w:bottom w:val="dotted" w:sz="4" w:space="0" w:color="auto"/>
              <w:right w:val="dotted" w:sz="4"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0"/>
                <w:szCs w:val="20"/>
                <w:lang w:val="sq-AL"/>
              </w:rPr>
            </w:pPr>
            <w:r w:rsidRPr="00EB45AE">
              <w:rPr>
                <w:b/>
                <w:bCs/>
                <w:color w:val="000000"/>
                <w:sz w:val="20"/>
                <w:szCs w:val="20"/>
                <w:lang w:val="sq-AL"/>
              </w:rPr>
              <w:t>Plani i ndryshuar 2017</w:t>
            </w:r>
          </w:p>
        </w:tc>
        <w:tc>
          <w:tcPr>
            <w:tcW w:w="1480" w:type="dxa"/>
            <w:tcBorders>
              <w:top w:val="double" w:sz="6" w:space="0" w:color="auto"/>
              <w:left w:val="nil"/>
              <w:bottom w:val="dotted" w:sz="4" w:space="0" w:color="auto"/>
              <w:right w:val="dotted" w:sz="4"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0"/>
                <w:szCs w:val="20"/>
                <w:lang w:val="sq-AL"/>
              </w:rPr>
            </w:pPr>
            <w:r w:rsidRPr="00EB45AE">
              <w:rPr>
                <w:b/>
                <w:bCs/>
                <w:color w:val="000000"/>
                <w:sz w:val="20"/>
                <w:szCs w:val="20"/>
                <w:lang w:val="sq-AL"/>
              </w:rPr>
              <w:t>Fakti 4/mujori I 2017</w:t>
            </w:r>
          </w:p>
        </w:tc>
        <w:tc>
          <w:tcPr>
            <w:tcW w:w="1480" w:type="dxa"/>
            <w:tcBorders>
              <w:top w:val="double" w:sz="6" w:space="0" w:color="auto"/>
              <w:left w:val="nil"/>
              <w:bottom w:val="dotted" w:sz="4" w:space="0" w:color="auto"/>
              <w:right w:val="double" w:sz="6"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0"/>
                <w:szCs w:val="20"/>
                <w:lang w:val="sq-AL"/>
              </w:rPr>
            </w:pPr>
            <w:r w:rsidRPr="00EB45AE">
              <w:rPr>
                <w:b/>
                <w:bCs/>
                <w:color w:val="000000"/>
                <w:sz w:val="20"/>
                <w:szCs w:val="20"/>
                <w:lang w:val="sq-AL"/>
              </w:rPr>
              <w:t>Përqindja  e realizimit</w:t>
            </w:r>
          </w:p>
        </w:tc>
      </w:tr>
      <w:tr w:rsidR="00EB45AE" w:rsidRPr="00EB45AE" w:rsidTr="00EB45AE">
        <w:trPr>
          <w:trHeight w:val="315"/>
          <w:jc w:val="center"/>
        </w:trPr>
        <w:tc>
          <w:tcPr>
            <w:tcW w:w="420" w:type="dxa"/>
            <w:tcBorders>
              <w:top w:val="nil"/>
              <w:left w:val="double" w:sz="6" w:space="0" w:color="auto"/>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2"/>
                <w:szCs w:val="22"/>
                <w:lang w:val="sq-AL"/>
              </w:rPr>
            </w:pPr>
            <w:r w:rsidRPr="00EB45AE">
              <w:rPr>
                <w:color w:val="000000"/>
                <w:sz w:val="22"/>
                <w:szCs w:val="22"/>
                <w:lang w:val="sq-AL"/>
              </w:rPr>
              <w:t>1</w:t>
            </w:r>
          </w:p>
        </w:tc>
        <w:tc>
          <w:tcPr>
            <w:tcW w:w="3740" w:type="dxa"/>
            <w:tcBorders>
              <w:top w:val="nil"/>
              <w:left w:val="nil"/>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rPr>
                <w:color w:val="000000"/>
                <w:lang w:val="sq-AL"/>
              </w:rPr>
            </w:pPr>
            <w:r w:rsidRPr="00EB45AE">
              <w:rPr>
                <w:color w:val="000000"/>
                <w:lang w:val="sq-AL"/>
              </w:rPr>
              <w:t>Shpenzime personeli</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6,115,600</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1,894,091</w:t>
            </w:r>
          </w:p>
        </w:tc>
        <w:tc>
          <w:tcPr>
            <w:tcW w:w="1480" w:type="dxa"/>
            <w:tcBorders>
              <w:top w:val="nil"/>
              <w:left w:val="nil"/>
              <w:bottom w:val="dotted" w:sz="4" w:space="0" w:color="auto"/>
              <w:right w:val="double" w:sz="6"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b/>
                <w:bCs/>
                <w:color w:val="000000"/>
                <w:sz w:val="22"/>
                <w:szCs w:val="22"/>
                <w:lang w:val="sq-AL"/>
              </w:rPr>
            </w:pPr>
            <w:r w:rsidRPr="00EB45AE">
              <w:rPr>
                <w:b/>
                <w:bCs/>
                <w:color w:val="000000"/>
                <w:sz w:val="22"/>
                <w:szCs w:val="22"/>
                <w:lang w:val="sq-AL"/>
              </w:rPr>
              <w:t>30.97</w:t>
            </w:r>
          </w:p>
        </w:tc>
      </w:tr>
      <w:tr w:rsidR="00EB45AE" w:rsidRPr="00EB45AE" w:rsidTr="00EB45AE">
        <w:trPr>
          <w:trHeight w:val="315"/>
          <w:jc w:val="center"/>
        </w:trPr>
        <w:tc>
          <w:tcPr>
            <w:tcW w:w="420" w:type="dxa"/>
            <w:tcBorders>
              <w:top w:val="nil"/>
              <w:left w:val="double" w:sz="6" w:space="0" w:color="auto"/>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2"/>
                <w:szCs w:val="22"/>
                <w:lang w:val="sq-AL"/>
              </w:rPr>
            </w:pPr>
            <w:r w:rsidRPr="00EB45AE">
              <w:rPr>
                <w:color w:val="000000"/>
                <w:sz w:val="22"/>
                <w:szCs w:val="22"/>
                <w:lang w:val="sq-AL"/>
              </w:rPr>
              <w:t>2</w:t>
            </w:r>
          </w:p>
        </w:tc>
        <w:tc>
          <w:tcPr>
            <w:tcW w:w="3740" w:type="dxa"/>
            <w:tcBorders>
              <w:top w:val="nil"/>
              <w:left w:val="nil"/>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rPr>
                <w:color w:val="000000"/>
                <w:lang w:val="sq-AL"/>
              </w:rPr>
            </w:pPr>
            <w:r w:rsidRPr="00EB45AE">
              <w:rPr>
                <w:color w:val="000000"/>
                <w:lang w:val="sq-AL"/>
              </w:rPr>
              <w:t>Shpenzime të tjera korente</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5,589,773</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946,430</w:t>
            </w:r>
          </w:p>
        </w:tc>
        <w:tc>
          <w:tcPr>
            <w:tcW w:w="1480" w:type="dxa"/>
            <w:tcBorders>
              <w:top w:val="nil"/>
              <w:left w:val="nil"/>
              <w:bottom w:val="dotted" w:sz="4" w:space="0" w:color="auto"/>
              <w:right w:val="double" w:sz="6"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b/>
                <w:bCs/>
                <w:color w:val="000000"/>
                <w:sz w:val="22"/>
                <w:szCs w:val="22"/>
                <w:lang w:val="sq-AL"/>
              </w:rPr>
            </w:pPr>
            <w:r w:rsidRPr="00EB45AE">
              <w:rPr>
                <w:b/>
                <w:bCs/>
                <w:color w:val="000000"/>
                <w:sz w:val="22"/>
                <w:szCs w:val="22"/>
                <w:lang w:val="sq-AL"/>
              </w:rPr>
              <w:t>16.93</w:t>
            </w:r>
          </w:p>
        </w:tc>
      </w:tr>
      <w:tr w:rsidR="00EB45AE" w:rsidRPr="00EB45AE" w:rsidTr="00EB45AE">
        <w:trPr>
          <w:trHeight w:val="315"/>
          <w:jc w:val="center"/>
        </w:trPr>
        <w:tc>
          <w:tcPr>
            <w:tcW w:w="420" w:type="dxa"/>
            <w:tcBorders>
              <w:top w:val="nil"/>
              <w:left w:val="double" w:sz="6" w:space="0" w:color="auto"/>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2"/>
                <w:szCs w:val="22"/>
                <w:lang w:val="sq-AL"/>
              </w:rPr>
            </w:pPr>
            <w:r w:rsidRPr="00EB45AE">
              <w:rPr>
                <w:color w:val="000000"/>
                <w:sz w:val="22"/>
                <w:szCs w:val="22"/>
                <w:lang w:val="sq-AL"/>
              </w:rPr>
              <w:t>3</w:t>
            </w:r>
          </w:p>
        </w:tc>
        <w:tc>
          <w:tcPr>
            <w:tcW w:w="3740" w:type="dxa"/>
            <w:tcBorders>
              <w:top w:val="nil"/>
              <w:left w:val="nil"/>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rPr>
                <w:color w:val="000000"/>
                <w:lang w:val="sq-AL"/>
              </w:rPr>
            </w:pPr>
            <w:r w:rsidRPr="00EB45AE">
              <w:rPr>
                <w:color w:val="000000"/>
                <w:lang w:val="sq-AL"/>
              </w:rPr>
              <w:t>Shpenzime kapitale</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1,344,000</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75,721</w:t>
            </w:r>
          </w:p>
        </w:tc>
        <w:tc>
          <w:tcPr>
            <w:tcW w:w="1480" w:type="dxa"/>
            <w:tcBorders>
              <w:top w:val="nil"/>
              <w:left w:val="nil"/>
              <w:bottom w:val="dotted" w:sz="4" w:space="0" w:color="auto"/>
              <w:right w:val="double" w:sz="6"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b/>
                <w:bCs/>
                <w:color w:val="000000"/>
                <w:sz w:val="22"/>
                <w:szCs w:val="22"/>
                <w:lang w:val="sq-AL"/>
              </w:rPr>
            </w:pPr>
            <w:r w:rsidRPr="00EB45AE">
              <w:rPr>
                <w:b/>
                <w:bCs/>
                <w:color w:val="000000"/>
                <w:sz w:val="22"/>
                <w:szCs w:val="22"/>
                <w:lang w:val="sq-AL"/>
              </w:rPr>
              <w:t>5.63</w:t>
            </w:r>
          </w:p>
        </w:tc>
      </w:tr>
      <w:tr w:rsidR="00EB45AE" w:rsidRPr="00EB45AE" w:rsidTr="00EB45AE">
        <w:trPr>
          <w:trHeight w:val="300"/>
          <w:jc w:val="center"/>
        </w:trPr>
        <w:tc>
          <w:tcPr>
            <w:tcW w:w="420" w:type="dxa"/>
            <w:tcBorders>
              <w:top w:val="nil"/>
              <w:left w:val="double" w:sz="6" w:space="0" w:color="auto"/>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2"/>
                <w:szCs w:val="22"/>
                <w:lang w:val="sq-AL"/>
              </w:rPr>
            </w:pPr>
            <w:r w:rsidRPr="00EB45AE">
              <w:rPr>
                <w:color w:val="000000"/>
                <w:sz w:val="22"/>
                <w:szCs w:val="22"/>
                <w:lang w:val="sq-AL"/>
              </w:rPr>
              <w:t> </w:t>
            </w:r>
          </w:p>
        </w:tc>
        <w:tc>
          <w:tcPr>
            <w:tcW w:w="3740" w:type="dxa"/>
            <w:tcBorders>
              <w:top w:val="nil"/>
              <w:left w:val="nil"/>
              <w:bottom w:val="dotted" w:sz="4" w:space="0" w:color="auto"/>
              <w:right w:val="dotted" w:sz="4" w:space="0" w:color="auto"/>
            </w:tcBorders>
            <w:shd w:val="clear" w:color="auto" w:fill="auto"/>
            <w:tcMar>
              <w:top w:w="15" w:type="dxa"/>
              <w:left w:w="405" w:type="dxa"/>
              <w:bottom w:w="0" w:type="dxa"/>
              <w:right w:w="15" w:type="dxa"/>
            </w:tcMar>
            <w:vAlign w:val="center"/>
            <w:hideMark/>
          </w:tcPr>
          <w:p w:rsidR="00EB45AE" w:rsidRPr="00EB45AE" w:rsidRDefault="00EB45AE">
            <w:pPr>
              <w:ind w:firstLineChars="300" w:firstLine="660"/>
              <w:rPr>
                <w:i/>
                <w:iCs/>
                <w:color w:val="000000"/>
                <w:sz w:val="22"/>
                <w:szCs w:val="22"/>
                <w:lang w:val="sq-AL"/>
              </w:rPr>
            </w:pPr>
            <w:r w:rsidRPr="00EB45AE">
              <w:rPr>
                <w:i/>
                <w:iCs/>
                <w:color w:val="000000"/>
                <w:sz w:val="22"/>
                <w:szCs w:val="22"/>
                <w:lang w:val="sq-AL"/>
              </w:rPr>
              <w:t xml:space="preserve"> Me financim të brendshëm</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color w:val="000000"/>
                <w:sz w:val="22"/>
                <w:szCs w:val="22"/>
                <w:lang w:val="sq-AL"/>
              </w:rPr>
            </w:pPr>
            <w:r w:rsidRPr="00EB45AE">
              <w:rPr>
                <w:color w:val="000000"/>
                <w:sz w:val="22"/>
                <w:szCs w:val="22"/>
                <w:lang w:val="sq-AL"/>
              </w:rPr>
              <w:t>1,344,000</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color w:val="000000"/>
                <w:sz w:val="22"/>
                <w:szCs w:val="22"/>
                <w:lang w:val="sq-AL"/>
              </w:rPr>
            </w:pPr>
            <w:r w:rsidRPr="00EB45AE">
              <w:rPr>
                <w:color w:val="000000"/>
                <w:sz w:val="22"/>
                <w:szCs w:val="22"/>
                <w:lang w:val="sq-AL"/>
              </w:rPr>
              <w:t>75,721</w:t>
            </w:r>
          </w:p>
        </w:tc>
        <w:tc>
          <w:tcPr>
            <w:tcW w:w="1480" w:type="dxa"/>
            <w:tcBorders>
              <w:top w:val="nil"/>
              <w:left w:val="nil"/>
              <w:bottom w:val="dotted" w:sz="4" w:space="0" w:color="auto"/>
              <w:right w:val="double" w:sz="6"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2"/>
                <w:szCs w:val="22"/>
                <w:lang w:val="sq-AL"/>
              </w:rPr>
            </w:pPr>
            <w:r w:rsidRPr="00EB45AE">
              <w:rPr>
                <w:color w:val="000000"/>
                <w:sz w:val="22"/>
                <w:szCs w:val="22"/>
                <w:lang w:val="sq-AL"/>
              </w:rPr>
              <w:t>5.63</w:t>
            </w:r>
          </w:p>
        </w:tc>
      </w:tr>
      <w:tr w:rsidR="00EB45AE" w:rsidRPr="00EB45AE" w:rsidTr="00EB45AE">
        <w:trPr>
          <w:trHeight w:val="300"/>
          <w:jc w:val="center"/>
        </w:trPr>
        <w:tc>
          <w:tcPr>
            <w:tcW w:w="420" w:type="dxa"/>
            <w:tcBorders>
              <w:top w:val="nil"/>
              <w:left w:val="double" w:sz="6" w:space="0" w:color="auto"/>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2"/>
                <w:szCs w:val="22"/>
                <w:lang w:val="sq-AL"/>
              </w:rPr>
            </w:pPr>
            <w:r w:rsidRPr="00EB45AE">
              <w:rPr>
                <w:color w:val="000000"/>
                <w:sz w:val="22"/>
                <w:szCs w:val="22"/>
                <w:lang w:val="sq-AL"/>
              </w:rPr>
              <w:t> </w:t>
            </w:r>
          </w:p>
        </w:tc>
        <w:tc>
          <w:tcPr>
            <w:tcW w:w="3740" w:type="dxa"/>
            <w:tcBorders>
              <w:top w:val="nil"/>
              <w:left w:val="nil"/>
              <w:bottom w:val="dotted" w:sz="4" w:space="0" w:color="auto"/>
              <w:right w:val="dotted" w:sz="4" w:space="0" w:color="auto"/>
            </w:tcBorders>
            <w:shd w:val="clear" w:color="auto" w:fill="auto"/>
            <w:tcMar>
              <w:top w:w="15" w:type="dxa"/>
              <w:left w:w="405" w:type="dxa"/>
              <w:bottom w:w="0" w:type="dxa"/>
              <w:right w:w="15" w:type="dxa"/>
            </w:tcMar>
            <w:vAlign w:val="center"/>
            <w:hideMark/>
          </w:tcPr>
          <w:p w:rsidR="00EB45AE" w:rsidRPr="00EB45AE" w:rsidRDefault="00EB45AE">
            <w:pPr>
              <w:ind w:firstLineChars="300" w:firstLine="660"/>
              <w:rPr>
                <w:i/>
                <w:iCs/>
                <w:color w:val="000000"/>
                <w:sz w:val="22"/>
                <w:szCs w:val="22"/>
                <w:lang w:val="sq-AL"/>
              </w:rPr>
            </w:pPr>
            <w:r w:rsidRPr="00EB45AE">
              <w:rPr>
                <w:i/>
                <w:iCs/>
                <w:color w:val="000000"/>
                <w:sz w:val="22"/>
                <w:szCs w:val="22"/>
                <w:lang w:val="sq-AL"/>
              </w:rPr>
              <w:t xml:space="preserve"> Me financim të huaj </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color w:val="000000"/>
                <w:sz w:val="22"/>
                <w:szCs w:val="22"/>
                <w:lang w:val="sq-AL"/>
              </w:rPr>
            </w:pPr>
            <w:r w:rsidRPr="00EB45AE">
              <w:rPr>
                <w:color w:val="000000"/>
                <w:sz w:val="22"/>
                <w:szCs w:val="22"/>
                <w:lang w:val="sq-AL"/>
              </w:rPr>
              <w:t>0</w:t>
            </w:r>
          </w:p>
        </w:tc>
        <w:tc>
          <w:tcPr>
            <w:tcW w:w="0" w:type="auto"/>
            <w:tcBorders>
              <w:top w:val="nil"/>
              <w:left w:val="nil"/>
              <w:bottom w:val="dotted" w:sz="4" w:space="0" w:color="auto"/>
              <w:right w:val="dotted" w:sz="4" w:space="0" w:color="auto"/>
            </w:tcBorders>
            <w:shd w:val="clear" w:color="auto" w:fill="auto"/>
            <w:noWrap/>
            <w:tcMar>
              <w:top w:w="15" w:type="dxa"/>
              <w:left w:w="15" w:type="dxa"/>
              <w:bottom w:w="0" w:type="dxa"/>
              <w:right w:w="15" w:type="dxa"/>
            </w:tcMar>
            <w:vAlign w:val="center"/>
            <w:hideMark/>
          </w:tcPr>
          <w:p w:rsidR="00EB45AE" w:rsidRPr="00EB45AE" w:rsidRDefault="00EB45AE" w:rsidP="00EB45AE">
            <w:pPr>
              <w:jc w:val="center"/>
              <w:rPr>
                <w:color w:val="000000"/>
                <w:sz w:val="22"/>
                <w:szCs w:val="22"/>
                <w:lang w:val="sq-AL"/>
              </w:rPr>
            </w:pPr>
            <w:r w:rsidRPr="00EB45AE">
              <w:rPr>
                <w:color w:val="000000"/>
                <w:sz w:val="22"/>
                <w:szCs w:val="22"/>
                <w:lang w:val="sq-AL"/>
              </w:rPr>
              <w:t>0</w:t>
            </w:r>
          </w:p>
        </w:tc>
        <w:tc>
          <w:tcPr>
            <w:tcW w:w="1480" w:type="dxa"/>
            <w:tcBorders>
              <w:top w:val="nil"/>
              <w:left w:val="nil"/>
              <w:bottom w:val="dotted" w:sz="4" w:space="0" w:color="auto"/>
              <w:right w:val="double" w:sz="6"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2"/>
                <w:szCs w:val="22"/>
                <w:lang w:val="sq-AL"/>
              </w:rPr>
            </w:pPr>
            <w:r w:rsidRPr="00EB45AE">
              <w:rPr>
                <w:color w:val="000000"/>
                <w:sz w:val="22"/>
                <w:szCs w:val="22"/>
                <w:lang w:val="sq-AL"/>
              </w:rPr>
              <w:t> </w:t>
            </w:r>
          </w:p>
        </w:tc>
      </w:tr>
      <w:tr w:rsidR="00EB45AE" w:rsidRPr="00EB45AE" w:rsidTr="00EB45AE">
        <w:trPr>
          <w:trHeight w:val="300"/>
          <w:jc w:val="center"/>
        </w:trPr>
        <w:tc>
          <w:tcPr>
            <w:tcW w:w="420" w:type="dxa"/>
            <w:tcBorders>
              <w:top w:val="nil"/>
              <w:left w:val="double" w:sz="6" w:space="0" w:color="auto"/>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rPr>
                <w:b/>
                <w:bCs/>
                <w:color w:val="000000"/>
                <w:sz w:val="20"/>
                <w:szCs w:val="20"/>
                <w:lang w:val="sq-AL"/>
              </w:rPr>
            </w:pPr>
            <w:r w:rsidRPr="00EB45AE">
              <w:rPr>
                <w:b/>
                <w:bCs/>
                <w:color w:val="000000"/>
                <w:sz w:val="20"/>
                <w:szCs w:val="20"/>
                <w:lang w:val="sq-AL"/>
              </w:rPr>
              <w:t> </w:t>
            </w:r>
          </w:p>
        </w:tc>
        <w:tc>
          <w:tcPr>
            <w:tcW w:w="3740" w:type="dxa"/>
            <w:tcBorders>
              <w:top w:val="nil"/>
              <w:left w:val="nil"/>
              <w:bottom w:val="dotted" w:sz="4" w:space="0" w:color="auto"/>
              <w:right w:val="dotted" w:sz="4" w:space="0" w:color="auto"/>
            </w:tcBorders>
            <w:shd w:val="clear" w:color="auto" w:fill="auto"/>
            <w:tcMar>
              <w:top w:w="15" w:type="dxa"/>
              <w:left w:w="675" w:type="dxa"/>
              <w:bottom w:w="0" w:type="dxa"/>
              <w:right w:w="15" w:type="dxa"/>
            </w:tcMar>
            <w:vAlign w:val="center"/>
            <w:hideMark/>
          </w:tcPr>
          <w:p w:rsidR="00EB45AE" w:rsidRPr="00EB45AE" w:rsidRDefault="00EB45AE">
            <w:pPr>
              <w:ind w:firstLineChars="500" w:firstLine="1004"/>
              <w:rPr>
                <w:b/>
                <w:bCs/>
                <w:color w:val="000000"/>
                <w:sz w:val="20"/>
                <w:szCs w:val="20"/>
                <w:lang w:val="sq-AL"/>
              </w:rPr>
            </w:pPr>
            <w:r w:rsidRPr="00EB45AE">
              <w:rPr>
                <w:b/>
                <w:bCs/>
                <w:color w:val="000000"/>
                <w:sz w:val="20"/>
                <w:szCs w:val="20"/>
                <w:lang w:val="sq-AL"/>
              </w:rPr>
              <w:t> </w:t>
            </w:r>
          </w:p>
        </w:tc>
        <w:tc>
          <w:tcPr>
            <w:tcW w:w="1600" w:type="dxa"/>
            <w:tcBorders>
              <w:top w:val="nil"/>
              <w:left w:val="nil"/>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b/>
                <w:bCs/>
                <w:color w:val="000000"/>
                <w:sz w:val="20"/>
                <w:szCs w:val="20"/>
                <w:lang w:val="sq-AL"/>
              </w:rPr>
            </w:pPr>
            <w:r w:rsidRPr="00EB45AE">
              <w:rPr>
                <w:b/>
                <w:bCs/>
                <w:color w:val="000000"/>
                <w:sz w:val="20"/>
                <w:szCs w:val="20"/>
                <w:lang w:val="sq-AL"/>
              </w:rPr>
              <w:t> </w:t>
            </w:r>
          </w:p>
        </w:tc>
        <w:tc>
          <w:tcPr>
            <w:tcW w:w="1480" w:type="dxa"/>
            <w:tcBorders>
              <w:top w:val="nil"/>
              <w:left w:val="nil"/>
              <w:bottom w:val="dotted" w:sz="4" w:space="0" w:color="auto"/>
              <w:right w:val="dotted" w:sz="4"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color w:val="000000"/>
                <w:sz w:val="20"/>
                <w:szCs w:val="20"/>
                <w:lang w:val="sq-AL"/>
              </w:rPr>
            </w:pPr>
            <w:r w:rsidRPr="00EB45AE">
              <w:rPr>
                <w:color w:val="000000"/>
                <w:sz w:val="20"/>
                <w:szCs w:val="20"/>
                <w:lang w:val="sq-AL"/>
              </w:rPr>
              <w:t> </w:t>
            </w:r>
          </w:p>
        </w:tc>
        <w:tc>
          <w:tcPr>
            <w:tcW w:w="1480" w:type="dxa"/>
            <w:tcBorders>
              <w:top w:val="nil"/>
              <w:left w:val="nil"/>
              <w:bottom w:val="dotted" w:sz="4" w:space="0" w:color="auto"/>
              <w:right w:val="double" w:sz="6" w:space="0" w:color="auto"/>
            </w:tcBorders>
            <w:shd w:val="clear" w:color="auto" w:fill="auto"/>
            <w:tcMar>
              <w:top w:w="15" w:type="dxa"/>
              <w:left w:w="15" w:type="dxa"/>
              <w:bottom w:w="0" w:type="dxa"/>
              <w:right w:w="15" w:type="dxa"/>
            </w:tcMar>
            <w:vAlign w:val="center"/>
            <w:hideMark/>
          </w:tcPr>
          <w:p w:rsidR="00EB45AE" w:rsidRPr="00EB45AE" w:rsidRDefault="00EB45AE">
            <w:pPr>
              <w:jc w:val="center"/>
              <w:rPr>
                <w:b/>
                <w:bCs/>
                <w:color w:val="000000"/>
                <w:sz w:val="20"/>
                <w:szCs w:val="20"/>
                <w:lang w:val="sq-AL"/>
              </w:rPr>
            </w:pPr>
            <w:r w:rsidRPr="00EB45AE">
              <w:rPr>
                <w:b/>
                <w:bCs/>
                <w:color w:val="000000"/>
                <w:sz w:val="20"/>
                <w:szCs w:val="20"/>
                <w:lang w:val="sq-AL"/>
              </w:rPr>
              <w:t> </w:t>
            </w:r>
          </w:p>
        </w:tc>
      </w:tr>
      <w:tr w:rsidR="00EB45AE" w:rsidRPr="00EB45AE" w:rsidTr="00EB45AE">
        <w:trPr>
          <w:trHeight w:val="315"/>
          <w:jc w:val="center"/>
        </w:trPr>
        <w:tc>
          <w:tcPr>
            <w:tcW w:w="4160" w:type="dxa"/>
            <w:gridSpan w:val="2"/>
            <w:tcBorders>
              <w:top w:val="dotted" w:sz="4" w:space="0" w:color="auto"/>
              <w:left w:val="double" w:sz="6" w:space="0" w:color="auto"/>
              <w:bottom w:val="double" w:sz="6" w:space="0" w:color="auto"/>
              <w:right w:val="dotted" w:sz="4" w:space="0" w:color="000000"/>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2"/>
                <w:szCs w:val="22"/>
                <w:lang w:val="sq-AL"/>
              </w:rPr>
            </w:pPr>
            <w:r w:rsidRPr="00EB45AE">
              <w:rPr>
                <w:b/>
                <w:bCs/>
                <w:color w:val="000000"/>
                <w:sz w:val="22"/>
                <w:szCs w:val="22"/>
                <w:lang w:val="sq-AL"/>
              </w:rPr>
              <w:t>TOTALI</w:t>
            </w:r>
          </w:p>
        </w:tc>
        <w:tc>
          <w:tcPr>
            <w:tcW w:w="1600" w:type="dxa"/>
            <w:tcBorders>
              <w:top w:val="nil"/>
              <w:left w:val="nil"/>
              <w:bottom w:val="double" w:sz="6" w:space="0" w:color="auto"/>
              <w:right w:val="dotted" w:sz="4"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2"/>
                <w:szCs w:val="22"/>
                <w:lang w:val="sq-AL"/>
              </w:rPr>
            </w:pPr>
            <w:r w:rsidRPr="00EB45AE">
              <w:rPr>
                <w:b/>
                <w:bCs/>
                <w:color w:val="000000"/>
                <w:sz w:val="22"/>
                <w:szCs w:val="22"/>
                <w:lang w:val="sq-AL"/>
              </w:rPr>
              <w:t>13,049,373</w:t>
            </w:r>
          </w:p>
        </w:tc>
        <w:tc>
          <w:tcPr>
            <w:tcW w:w="1480" w:type="dxa"/>
            <w:tcBorders>
              <w:top w:val="nil"/>
              <w:left w:val="nil"/>
              <w:bottom w:val="double" w:sz="6" w:space="0" w:color="auto"/>
              <w:right w:val="dotted" w:sz="4"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2"/>
                <w:szCs w:val="22"/>
                <w:lang w:val="sq-AL"/>
              </w:rPr>
            </w:pPr>
            <w:r w:rsidRPr="00EB45AE">
              <w:rPr>
                <w:b/>
                <w:bCs/>
                <w:color w:val="000000"/>
                <w:sz w:val="22"/>
                <w:szCs w:val="22"/>
                <w:lang w:val="sq-AL"/>
              </w:rPr>
              <w:t>2,916,242</w:t>
            </w:r>
          </w:p>
        </w:tc>
        <w:tc>
          <w:tcPr>
            <w:tcW w:w="1480" w:type="dxa"/>
            <w:tcBorders>
              <w:top w:val="nil"/>
              <w:left w:val="nil"/>
              <w:bottom w:val="double" w:sz="6" w:space="0" w:color="auto"/>
              <w:right w:val="double" w:sz="6" w:space="0" w:color="auto"/>
            </w:tcBorders>
            <w:shd w:val="clear" w:color="000000" w:fill="FFFFCC"/>
            <w:tcMar>
              <w:top w:w="15" w:type="dxa"/>
              <w:left w:w="15" w:type="dxa"/>
              <w:bottom w:w="0" w:type="dxa"/>
              <w:right w:w="15" w:type="dxa"/>
            </w:tcMar>
            <w:vAlign w:val="center"/>
            <w:hideMark/>
          </w:tcPr>
          <w:p w:rsidR="00EB45AE" w:rsidRPr="00EB45AE" w:rsidRDefault="00EB45AE">
            <w:pPr>
              <w:jc w:val="center"/>
              <w:rPr>
                <w:b/>
                <w:bCs/>
                <w:color w:val="000000"/>
                <w:sz w:val="22"/>
                <w:szCs w:val="22"/>
                <w:lang w:val="sq-AL"/>
              </w:rPr>
            </w:pPr>
            <w:r w:rsidRPr="00EB45AE">
              <w:rPr>
                <w:b/>
                <w:bCs/>
                <w:color w:val="000000"/>
                <w:sz w:val="22"/>
                <w:szCs w:val="22"/>
                <w:lang w:val="sq-AL"/>
              </w:rPr>
              <w:t>22.35</w:t>
            </w:r>
          </w:p>
        </w:tc>
      </w:tr>
    </w:tbl>
    <w:p w:rsidR="00EB45AE" w:rsidRPr="00EB45AE" w:rsidRDefault="00EB45AE" w:rsidP="00EB45AE">
      <w:pPr>
        <w:spacing w:after="200" w:line="276" w:lineRule="auto"/>
        <w:jc w:val="both"/>
        <w:rPr>
          <w:lang w:val="sq-AL"/>
        </w:rPr>
      </w:pPr>
    </w:p>
    <w:p w:rsidR="00B25EEF" w:rsidRPr="00EB45AE" w:rsidRDefault="00602DFF" w:rsidP="00EB45AE">
      <w:pPr>
        <w:spacing w:after="200" w:line="276" w:lineRule="auto"/>
        <w:jc w:val="both"/>
        <w:rPr>
          <w:lang w:val="sq-AL"/>
        </w:rPr>
      </w:pPr>
      <w:r w:rsidRPr="00EB45AE">
        <w:rPr>
          <w:lang w:val="sq-AL"/>
        </w:rPr>
        <w:t>Nd</w:t>
      </w:r>
      <w:r w:rsidR="005D40BF" w:rsidRPr="00EB45AE">
        <w:rPr>
          <w:lang w:val="sq-AL"/>
        </w:rPr>
        <w:t>ë</w:t>
      </w:r>
      <w:r w:rsidRPr="00EB45AE">
        <w:rPr>
          <w:lang w:val="sq-AL"/>
        </w:rPr>
        <w:t xml:space="preserve">rsa </w:t>
      </w:r>
      <w:r w:rsidR="00B25EEF" w:rsidRPr="00EB45AE">
        <w:rPr>
          <w:lang w:val="sq-AL"/>
        </w:rPr>
        <w:t>plani me ndryshime i buxhetit dhe realizimi i shpenzimeve faktike të buxhetit, sipas çdo programi të ndarë në shpenzime korente dhe shpenzime kapitale, paraqitet si më poshtë</w:t>
      </w:r>
      <w:r w:rsidR="005D40BF" w:rsidRPr="00EB45AE">
        <w:rPr>
          <w:lang w:val="sq-AL"/>
        </w:rPr>
        <w:t xml:space="preserve">, </w:t>
      </w:r>
      <w:r w:rsidR="005D40BF" w:rsidRPr="00EB45AE">
        <w:rPr>
          <w:i/>
          <w:sz w:val="22"/>
          <w:szCs w:val="22"/>
          <w:lang w:val="sq-AL"/>
        </w:rPr>
        <w:t>në mijë lekë</w:t>
      </w:r>
      <w:r w:rsidR="00B25EEF" w:rsidRPr="00EB45AE">
        <w:rPr>
          <w:lang w:val="sq-AL"/>
        </w:rPr>
        <w:t>:</w:t>
      </w:r>
    </w:p>
    <w:tbl>
      <w:tblPr>
        <w:tblW w:w="8318" w:type="dxa"/>
        <w:jc w:val="center"/>
        <w:tblInd w:w="85" w:type="dxa"/>
        <w:tblLook w:val="04A0" w:firstRow="1" w:lastRow="0" w:firstColumn="1" w:lastColumn="0" w:noHBand="0" w:noVBand="1"/>
      </w:tblPr>
      <w:tblGrid>
        <w:gridCol w:w="3979"/>
        <w:gridCol w:w="1379"/>
        <w:gridCol w:w="1480"/>
        <w:gridCol w:w="1480"/>
      </w:tblGrid>
      <w:tr w:rsidR="00EB45AE" w:rsidRPr="00EB45AE" w:rsidTr="00EB45AE">
        <w:trPr>
          <w:trHeight w:val="315"/>
          <w:jc w:val="center"/>
        </w:trPr>
        <w:tc>
          <w:tcPr>
            <w:tcW w:w="3979"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EB45AE" w:rsidRPr="00EB45AE" w:rsidRDefault="00EB45AE" w:rsidP="00EB45AE">
            <w:pPr>
              <w:jc w:val="center"/>
              <w:rPr>
                <w:b/>
                <w:bCs/>
                <w:sz w:val="22"/>
                <w:szCs w:val="22"/>
                <w:lang w:val="sq-AL"/>
              </w:rPr>
            </w:pPr>
            <w:r w:rsidRPr="00EB45AE">
              <w:rPr>
                <w:b/>
                <w:bCs/>
                <w:sz w:val="22"/>
                <w:szCs w:val="22"/>
                <w:lang w:val="sq-AL"/>
              </w:rPr>
              <w:t>Programi</w:t>
            </w:r>
          </w:p>
        </w:tc>
        <w:tc>
          <w:tcPr>
            <w:tcW w:w="4339" w:type="dxa"/>
            <w:gridSpan w:val="3"/>
            <w:tcBorders>
              <w:top w:val="double" w:sz="6" w:space="0" w:color="auto"/>
              <w:left w:val="nil"/>
              <w:bottom w:val="dotted" w:sz="4" w:space="0" w:color="auto"/>
              <w:right w:val="double" w:sz="6" w:space="0" w:color="000000"/>
            </w:tcBorders>
            <w:shd w:val="clear" w:color="000000" w:fill="D9D9D9"/>
            <w:noWrap/>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Shpenzime korente</w:t>
            </w:r>
          </w:p>
        </w:tc>
      </w:tr>
      <w:tr w:rsidR="00EB45AE" w:rsidRPr="00EB45AE" w:rsidTr="00EB45AE">
        <w:trPr>
          <w:trHeight w:val="570"/>
          <w:jc w:val="center"/>
        </w:trPr>
        <w:tc>
          <w:tcPr>
            <w:tcW w:w="3979" w:type="dxa"/>
            <w:vMerge/>
            <w:tcBorders>
              <w:top w:val="double" w:sz="6" w:space="0" w:color="auto"/>
              <w:left w:val="double" w:sz="6" w:space="0" w:color="auto"/>
              <w:bottom w:val="dotted" w:sz="4" w:space="0" w:color="000000"/>
              <w:right w:val="dotted" w:sz="4" w:space="0" w:color="auto"/>
            </w:tcBorders>
            <w:vAlign w:val="center"/>
            <w:hideMark/>
          </w:tcPr>
          <w:p w:rsidR="00EB45AE" w:rsidRPr="00EB45AE" w:rsidRDefault="00EB45AE" w:rsidP="00EB45AE">
            <w:pPr>
              <w:rPr>
                <w:b/>
                <w:bCs/>
                <w:sz w:val="22"/>
                <w:szCs w:val="22"/>
                <w:lang w:val="sq-AL"/>
              </w:rPr>
            </w:pPr>
          </w:p>
        </w:tc>
        <w:tc>
          <w:tcPr>
            <w:tcW w:w="1379" w:type="dxa"/>
            <w:tcBorders>
              <w:top w:val="nil"/>
              <w:left w:val="nil"/>
              <w:bottom w:val="dotted" w:sz="4" w:space="0" w:color="auto"/>
              <w:right w:val="dotted" w:sz="4"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Plani</w:t>
            </w:r>
          </w:p>
        </w:tc>
        <w:tc>
          <w:tcPr>
            <w:tcW w:w="1480" w:type="dxa"/>
            <w:tcBorders>
              <w:top w:val="nil"/>
              <w:left w:val="nil"/>
              <w:bottom w:val="dotted" w:sz="4" w:space="0" w:color="auto"/>
              <w:right w:val="dotted" w:sz="4"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Fakt</w:t>
            </w:r>
          </w:p>
        </w:tc>
        <w:tc>
          <w:tcPr>
            <w:tcW w:w="1480" w:type="dxa"/>
            <w:tcBorders>
              <w:top w:val="nil"/>
              <w:left w:val="nil"/>
              <w:bottom w:val="dotted" w:sz="4" w:space="0" w:color="auto"/>
              <w:right w:val="double" w:sz="6"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 e realizimit</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Planifikimi, Menaxhimi dhe Administrimi</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1,098,706</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279,125</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25.4%</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lastRenderedPageBreak/>
              <w:t>Forcat e Luftimit</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4,651,917</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1,078,727</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23.2%</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Arsimi Ushtarak</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580,534</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156,451</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26.9%</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Mbështetja e Luftimit</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4,565,238</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1,068,722</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23.4%</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Mbështetje për Shëndetësinë</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808,978</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257,497</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31.8%</w:t>
            </w:r>
          </w:p>
        </w:tc>
      </w:tr>
      <w:tr w:rsidR="00EB45AE" w:rsidRPr="00EB45AE" w:rsidTr="00EB45AE">
        <w:trPr>
          <w:trHeight w:val="315"/>
          <w:jc w:val="center"/>
        </w:trPr>
        <w:tc>
          <w:tcPr>
            <w:tcW w:w="3979" w:type="dxa"/>
            <w:tcBorders>
              <w:top w:val="nil"/>
              <w:left w:val="double" w:sz="6" w:space="0" w:color="auto"/>
              <w:bottom w:val="double" w:sz="6" w:space="0" w:color="auto"/>
              <w:right w:val="dotted" w:sz="4" w:space="0" w:color="auto"/>
            </w:tcBorders>
            <w:shd w:val="clear" w:color="000000" w:fill="FFFFCC"/>
            <w:noWrap/>
            <w:vAlign w:val="center"/>
            <w:hideMark/>
          </w:tcPr>
          <w:p w:rsidR="00EB45AE" w:rsidRPr="00EB45AE" w:rsidRDefault="00EB45AE" w:rsidP="00EB45AE">
            <w:pPr>
              <w:jc w:val="center"/>
              <w:rPr>
                <w:b/>
                <w:bCs/>
                <w:sz w:val="22"/>
                <w:szCs w:val="22"/>
                <w:lang w:val="sq-AL"/>
              </w:rPr>
            </w:pPr>
            <w:r w:rsidRPr="00EB45AE">
              <w:rPr>
                <w:b/>
                <w:bCs/>
                <w:sz w:val="22"/>
                <w:szCs w:val="22"/>
                <w:lang w:val="sq-AL"/>
              </w:rPr>
              <w:t>Totali</w:t>
            </w:r>
          </w:p>
        </w:tc>
        <w:tc>
          <w:tcPr>
            <w:tcW w:w="1379" w:type="dxa"/>
            <w:tcBorders>
              <w:top w:val="nil"/>
              <w:left w:val="nil"/>
              <w:bottom w:val="double" w:sz="6" w:space="0" w:color="auto"/>
              <w:right w:val="dotted" w:sz="4" w:space="0" w:color="auto"/>
            </w:tcBorders>
            <w:shd w:val="clear" w:color="000000" w:fill="FFFFCC"/>
            <w:noWrap/>
            <w:vAlign w:val="center"/>
            <w:hideMark/>
          </w:tcPr>
          <w:p w:rsidR="00EB45AE" w:rsidRPr="00EB45AE" w:rsidRDefault="00EB45AE" w:rsidP="00EB45AE">
            <w:pPr>
              <w:jc w:val="right"/>
              <w:rPr>
                <w:b/>
                <w:bCs/>
                <w:sz w:val="22"/>
                <w:szCs w:val="22"/>
                <w:lang w:val="sq-AL"/>
              </w:rPr>
            </w:pPr>
            <w:r w:rsidRPr="00EB45AE">
              <w:rPr>
                <w:b/>
                <w:bCs/>
                <w:sz w:val="22"/>
                <w:szCs w:val="22"/>
                <w:lang w:val="sq-AL"/>
              </w:rPr>
              <w:t>11,705,373</w:t>
            </w:r>
          </w:p>
        </w:tc>
        <w:tc>
          <w:tcPr>
            <w:tcW w:w="1480" w:type="dxa"/>
            <w:tcBorders>
              <w:top w:val="nil"/>
              <w:left w:val="nil"/>
              <w:bottom w:val="double" w:sz="6" w:space="0" w:color="auto"/>
              <w:right w:val="dotted" w:sz="4" w:space="0" w:color="auto"/>
            </w:tcBorders>
            <w:shd w:val="clear" w:color="000000" w:fill="FFFFCC"/>
            <w:noWrap/>
            <w:vAlign w:val="center"/>
            <w:hideMark/>
          </w:tcPr>
          <w:p w:rsidR="00EB45AE" w:rsidRPr="00EB45AE" w:rsidRDefault="00EB45AE" w:rsidP="00EB45AE">
            <w:pPr>
              <w:jc w:val="right"/>
              <w:rPr>
                <w:b/>
                <w:bCs/>
                <w:sz w:val="22"/>
                <w:szCs w:val="22"/>
                <w:lang w:val="sq-AL"/>
              </w:rPr>
            </w:pPr>
            <w:r w:rsidRPr="00EB45AE">
              <w:rPr>
                <w:b/>
                <w:bCs/>
                <w:sz w:val="22"/>
                <w:szCs w:val="22"/>
                <w:lang w:val="sq-AL"/>
              </w:rPr>
              <w:t>2,840,521</w:t>
            </w:r>
          </w:p>
        </w:tc>
        <w:tc>
          <w:tcPr>
            <w:tcW w:w="1480" w:type="dxa"/>
            <w:tcBorders>
              <w:top w:val="nil"/>
              <w:left w:val="nil"/>
              <w:bottom w:val="double" w:sz="6" w:space="0" w:color="auto"/>
              <w:right w:val="double" w:sz="6" w:space="0" w:color="auto"/>
            </w:tcBorders>
            <w:shd w:val="clear" w:color="000000" w:fill="FFFFCC"/>
            <w:noWrap/>
            <w:vAlign w:val="center"/>
            <w:hideMark/>
          </w:tcPr>
          <w:p w:rsidR="00EB45AE" w:rsidRPr="00EB45AE" w:rsidRDefault="00EB45AE" w:rsidP="00EB45AE">
            <w:pPr>
              <w:jc w:val="center"/>
              <w:rPr>
                <w:b/>
                <w:bCs/>
                <w:sz w:val="22"/>
                <w:szCs w:val="22"/>
                <w:lang w:val="sq-AL"/>
              </w:rPr>
            </w:pPr>
            <w:r w:rsidRPr="00EB45AE">
              <w:rPr>
                <w:b/>
                <w:bCs/>
                <w:sz w:val="22"/>
                <w:szCs w:val="22"/>
                <w:lang w:val="sq-AL"/>
              </w:rPr>
              <w:t>24.3%</w:t>
            </w:r>
          </w:p>
        </w:tc>
      </w:tr>
      <w:tr w:rsidR="00EB45AE" w:rsidRPr="00EB45AE" w:rsidTr="00EB45AE">
        <w:trPr>
          <w:trHeight w:val="330"/>
          <w:jc w:val="center"/>
        </w:trPr>
        <w:tc>
          <w:tcPr>
            <w:tcW w:w="3979" w:type="dxa"/>
            <w:tcBorders>
              <w:top w:val="nil"/>
              <w:left w:val="nil"/>
              <w:bottom w:val="nil"/>
              <w:right w:val="nil"/>
            </w:tcBorders>
            <w:shd w:val="clear" w:color="auto" w:fill="auto"/>
            <w:noWrap/>
            <w:vAlign w:val="center"/>
            <w:hideMark/>
          </w:tcPr>
          <w:p w:rsidR="00EB45AE" w:rsidRPr="00EB45AE" w:rsidRDefault="00EB45AE" w:rsidP="00EB45AE">
            <w:pPr>
              <w:rPr>
                <w:rFonts w:ascii="Calibri" w:hAnsi="Calibri" w:cs="Calibri"/>
                <w:color w:val="000000"/>
                <w:sz w:val="22"/>
                <w:szCs w:val="22"/>
                <w:lang w:val="sq-AL"/>
              </w:rPr>
            </w:pPr>
          </w:p>
          <w:p w:rsidR="00EB45AE" w:rsidRDefault="00EB45AE" w:rsidP="00EB45AE">
            <w:pPr>
              <w:rPr>
                <w:rFonts w:ascii="Calibri" w:hAnsi="Calibri" w:cs="Calibri"/>
                <w:color w:val="000000"/>
                <w:sz w:val="22"/>
                <w:szCs w:val="22"/>
                <w:lang w:val="sq-AL"/>
              </w:rPr>
            </w:pPr>
          </w:p>
          <w:p w:rsidR="00EB45AE" w:rsidRPr="00EB45AE" w:rsidRDefault="00EB45AE" w:rsidP="00EB45AE">
            <w:pPr>
              <w:rPr>
                <w:rFonts w:ascii="Calibri" w:hAnsi="Calibri" w:cs="Calibri"/>
                <w:color w:val="000000"/>
                <w:sz w:val="22"/>
                <w:szCs w:val="22"/>
                <w:lang w:val="sq-AL"/>
              </w:rPr>
            </w:pPr>
          </w:p>
        </w:tc>
        <w:tc>
          <w:tcPr>
            <w:tcW w:w="1379" w:type="dxa"/>
            <w:tcBorders>
              <w:top w:val="nil"/>
              <w:left w:val="nil"/>
              <w:bottom w:val="nil"/>
              <w:right w:val="nil"/>
            </w:tcBorders>
            <w:shd w:val="clear" w:color="auto" w:fill="auto"/>
            <w:noWrap/>
            <w:vAlign w:val="center"/>
            <w:hideMark/>
          </w:tcPr>
          <w:p w:rsidR="00EB45AE" w:rsidRPr="00EB45AE" w:rsidRDefault="00EB45AE" w:rsidP="00EB45AE">
            <w:pPr>
              <w:rPr>
                <w:rFonts w:ascii="Calibri" w:hAnsi="Calibri" w:cs="Calibri"/>
                <w:color w:val="000000"/>
                <w:sz w:val="22"/>
                <w:szCs w:val="22"/>
                <w:lang w:val="sq-AL"/>
              </w:rPr>
            </w:pPr>
          </w:p>
        </w:tc>
        <w:tc>
          <w:tcPr>
            <w:tcW w:w="1480" w:type="dxa"/>
            <w:tcBorders>
              <w:top w:val="nil"/>
              <w:left w:val="nil"/>
              <w:bottom w:val="nil"/>
              <w:right w:val="nil"/>
            </w:tcBorders>
            <w:shd w:val="clear" w:color="auto" w:fill="auto"/>
            <w:noWrap/>
            <w:vAlign w:val="center"/>
            <w:hideMark/>
          </w:tcPr>
          <w:p w:rsidR="00EB45AE" w:rsidRPr="00EB45AE" w:rsidRDefault="00EB45AE" w:rsidP="00EB45AE">
            <w:pPr>
              <w:rPr>
                <w:rFonts w:ascii="Calibri" w:hAnsi="Calibri" w:cs="Calibri"/>
                <w:color w:val="000000"/>
                <w:sz w:val="22"/>
                <w:szCs w:val="22"/>
                <w:lang w:val="sq-AL"/>
              </w:rPr>
            </w:pPr>
          </w:p>
        </w:tc>
        <w:tc>
          <w:tcPr>
            <w:tcW w:w="1480" w:type="dxa"/>
            <w:tcBorders>
              <w:top w:val="nil"/>
              <w:left w:val="nil"/>
              <w:bottom w:val="nil"/>
              <w:right w:val="nil"/>
            </w:tcBorders>
            <w:shd w:val="clear" w:color="auto" w:fill="auto"/>
            <w:noWrap/>
            <w:vAlign w:val="center"/>
            <w:hideMark/>
          </w:tcPr>
          <w:p w:rsidR="00EB45AE" w:rsidRPr="00EB45AE" w:rsidRDefault="00EB45AE" w:rsidP="00EB45AE">
            <w:pPr>
              <w:jc w:val="center"/>
              <w:rPr>
                <w:rFonts w:ascii="Calibri" w:hAnsi="Calibri" w:cs="Calibri"/>
                <w:color w:val="000000"/>
                <w:sz w:val="22"/>
                <w:szCs w:val="22"/>
                <w:lang w:val="sq-AL"/>
              </w:rPr>
            </w:pPr>
          </w:p>
        </w:tc>
      </w:tr>
      <w:tr w:rsidR="00EB45AE" w:rsidRPr="00EB45AE" w:rsidTr="00EB45AE">
        <w:trPr>
          <w:trHeight w:val="315"/>
          <w:jc w:val="center"/>
        </w:trPr>
        <w:tc>
          <w:tcPr>
            <w:tcW w:w="3979"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EB45AE" w:rsidRPr="00EB45AE" w:rsidRDefault="00EB45AE" w:rsidP="00EB45AE">
            <w:pPr>
              <w:jc w:val="center"/>
              <w:rPr>
                <w:b/>
                <w:bCs/>
                <w:sz w:val="22"/>
                <w:szCs w:val="22"/>
                <w:lang w:val="sq-AL"/>
              </w:rPr>
            </w:pPr>
            <w:r w:rsidRPr="00EB45AE">
              <w:rPr>
                <w:b/>
                <w:bCs/>
                <w:sz w:val="22"/>
                <w:szCs w:val="22"/>
                <w:lang w:val="sq-AL"/>
              </w:rPr>
              <w:t>Programi</w:t>
            </w:r>
          </w:p>
        </w:tc>
        <w:tc>
          <w:tcPr>
            <w:tcW w:w="4339" w:type="dxa"/>
            <w:gridSpan w:val="3"/>
            <w:tcBorders>
              <w:top w:val="double" w:sz="6" w:space="0" w:color="auto"/>
              <w:left w:val="nil"/>
              <w:bottom w:val="dotted" w:sz="4" w:space="0" w:color="auto"/>
              <w:right w:val="double" w:sz="6" w:space="0" w:color="000000"/>
            </w:tcBorders>
            <w:shd w:val="clear" w:color="000000" w:fill="F2DCDB"/>
            <w:noWrap/>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Shpenzime kapitale</w:t>
            </w:r>
          </w:p>
        </w:tc>
      </w:tr>
      <w:tr w:rsidR="00EB45AE" w:rsidRPr="00EB45AE" w:rsidTr="00EB45AE">
        <w:trPr>
          <w:trHeight w:val="570"/>
          <w:jc w:val="center"/>
        </w:trPr>
        <w:tc>
          <w:tcPr>
            <w:tcW w:w="3979" w:type="dxa"/>
            <w:vMerge/>
            <w:tcBorders>
              <w:top w:val="double" w:sz="6" w:space="0" w:color="auto"/>
              <w:left w:val="double" w:sz="6" w:space="0" w:color="auto"/>
              <w:bottom w:val="dotted" w:sz="4" w:space="0" w:color="000000"/>
              <w:right w:val="dotted" w:sz="4" w:space="0" w:color="auto"/>
            </w:tcBorders>
            <w:vAlign w:val="center"/>
            <w:hideMark/>
          </w:tcPr>
          <w:p w:rsidR="00EB45AE" w:rsidRPr="00EB45AE" w:rsidRDefault="00EB45AE" w:rsidP="00EB45AE">
            <w:pPr>
              <w:rPr>
                <w:b/>
                <w:bCs/>
                <w:sz w:val="22"/>
                <w:szCs w:val="22"/>
                <w:lang w:val="sq-AL"/>
              </w:rPr>
            </w:pPr>
          </w:p>
        </w:tc>
        <w:tc>
          <w:tcPr>
            <w:tcW w:w="1379" w:type="dxa"/>
            <w:tcBorders>
              <w:top w:val="nil"/>
              <w:left w:val="nil"/>
              <w:bottom w:val="dotted" w:sz="4" w:space="0" w:color="auto"/>
              <w:right w:val="dotted" w:sz="4"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Plani</w:t>
            </w:r>
          </w:p>
        </w:tc>
        <w:tc>
          <w:tcPr>
            <w:tcW w:w="1480" w:type="dxa"/>
            <w:tcBorders>
              <w:top w:val="nil"/>
              <w:left w:val="nil"/>
              <w:bottom w:val="dotted" w:sz="4" w:space="0" w:color="auto"/>
              <w:right w:val="dotted" w:sz="4"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Fakt</w:t>
            </w:r>
          </w:p>
        </w:tc>
        <w:tc>
          <w:tcPr>
            <w:tcW w:w="1480" w:type="dxa"/>
            <w:tcBorders>
              <w:top w:val="nil"/>
              <w:left w:val="nil"/>
              <w:bottom w:val="dotted" w:sz="4" w:space="0" w:color="auto"/>
              <w:right w:val="double" w:sz="6"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 e realizimit</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Planifikimi, Menaxhimi dhe Administrimi</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27,500</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0</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0.0%</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Forcat e Luftimit</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1,037,500</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75,721</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7.3%</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Arsimi Ushtarak</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15,000</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0</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0.0%</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Mbështetja e Luftimit</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259,000</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0</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0.0%</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Mbështetje për Shëndetësinë</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5,000</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0</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0.0%</w:t>
            </w:r>
          </w:p>
        </w:tc>
      </w:tr>
      <w:tr w:rsidR="00EB45AE" w:rsidRPr="00EB45AE" w:rsidTr="00EB45AE">
        <w:trPr>
          <w:trHeight w:val="315"/>
          <w:jc w:val="center"/>
        </w:trPr>
        <w:tc>
          <w:tcPr>
            <w:tcW w:w="3979" w:type="dxa"/>
            <w:tcBorders>
              <w:top w:val="nil"/>
              <w:left w:val="double" w:sz="6" w:space="0" w:color="auto"/>
              <w:bottom w:val="double" w:sz="6" w:space="0" w:color="auto"/>
              <w:right w:val="dotted" w:sz="4" w:space="0" w:color="auto"/>
            </w:tcBorders>
            <w:shd w:val="clear" w:color="000000" w:fill="FFFFCC"/>
            <w:noWrap/>
            <w:vAlign w:val="center"/>
            <w:hideMark/>
          </w:tcPr>
          <w:p w:rsidR="00EB45AE" w:rsidRPr="00EB45AE" w:rsidRDefault="00EB45AE" w:rsidP="00EB45AE">
            <w:pPr>
              <w:jc w:val="center"/>
              <w:rPr>
                <w:b/>
                <w:bCs/>
                <w:sz w:val="22"/>
                <w:szCs w:val="22"/>
                <w:lang w:val="sq-AL"/>
              </w:rPr>
            </w:pPr>
            <w:r w:rsidRPr="00EB45AE">
              <w:rPr>
                <w:b/>
                <w:bCs/>
                <w:sz w:val="22"/>
                <w:szCs w:val="22"/>
                <w:lang w:val="sq-AL"/>
              </w:rPr>
              <w:t>Totali</w:t>
            </w:r>
          </w:p>
        </w:tc>
        <w:tc>
          <w:tcPr>
            <w:tcW w:w="1379" w:type="dxa"/>
            <w:tcBorders>
              <w:top w:val="nil"/>
              <w:left w:val="nil"/>
              <w:bottom w:val="double" w:sz="6" w:space="0" w:color="auto"/>
              <w:right w:val="dotted" w:sz="4" w:space="0" w:color="auto"/>
            </w:tcBorders>
            <w:shd w:val="clear" w:color="000000" w:fill="FFFFCC"/>
            <w:noWrap/>
            <w:vAlign w:val="center"/>
            <w:hideMark/>
          </w:tcPr>
          <w:p w:rsidR="00EB45AE" w:rsidRPr="00EB45AE" w:rsidRDefault="00EB45AE" w:rsidP="00EB45AE">
            <w:pPr>
              <w:jc w:val="right"/>
              <w:rPr>
                <w:b/>
                <w:bCs/>
                <w:sz w:val="22"/>
                <w:szCs w:val="22"/>
                <w:lang w:val="sq-AL"/>
              </w:rPr>
            </w:pPr>
            <w:r w:rsidRPr="00EB45AE">
              <w:rPr>
                <w:b/>
                <w:bCs/>
                <w:sz w:val="22"/>
                <w:szCs w:val="22"/>
                <w:lang w:val="sq-AL"/>
              </w:rPr>
              <w:t>1,344,000</w:t>
            </w:r>
          </w:p>
        </w:tc>
        <w:tc>
          <w:tcPr>
            <w:tcW w:w="1480" w:type="dxa"/>
            <w:tcBorders>
              <w:top w:val="nil"/>
              <w:left w:val="nil"/>
              <w:bottom w:val="double" w:sz="6" w:space="0" w:color="auto"/>
              <w:right w:val="dotted" w:sz="4" w:space="0" w:color="auto"/>
            </w:tcBorders>
            <w:shd w:val="clear" w:color="000000" w:fill="FFFFCC"/>
            <w:noWrap/>
            <w:vAlign w:val="center"/>
            <w:hideMark/>
          </w:tcPr>
          <w:p w:rsidR="00EB45AE" w:rsidRPr="00EB45AE" w:rsidRDefault="00EB45AE" w:rsidP="00EB45AE">
            <w:pPr>
              <w:jc w:val="right"/>
              <w:rPr>
                <w:b/>
                <w:bCs/>
                <w:sz w:val="22"/>
                <w:szCs w:val="22"/>
                <w:lang w:val="sq-AL"/>
              </w:rPr>
            </w:pPr>
            <w:r w:rsidRPr="00EB45AE">
              <w:rPr>
                <w:b/>
                <w:bCs/>
                <w:sz w:val="22"/>
                <w:szCs w:val="22"/>
                <w:lang w:val="sq-AL"/>
              </w:rPr>
              <w:t>75,721</w:t>
            </w:r>
          </w:p>
        </w:tc>
        <w:tc>
          <w:tcPr>
            <w:tcW w:w="1480" w:type="dxa"/>
            <w:tcBorders>
              <w:top w:val="nil"/>
              <w:left w:val="nil"/>
              <w:bottom w:val="double" w:sz="6" w:space="0" w:color="auto"/>
              <w:right w:val="double" w:sz="6" w:space="0" w:color="auto"/>
            </w:tcBorders>
            <w:shd w:val="clear" w:color="000000" w:fill="FFFFCC"/>
            <w:noWrap/>
            <w:vAlign w:val="center"/>
            <w:hideMark/>
          </w:tcPr>
          <w:p w:rsidR="00EB45AE" w:rsidRPr="00EB45AE" w:rsidRDefault="00EB45AE" w:rsidP="00EB45AE">
            <w:pPr>
              <w:jc w:val="center"/>
              <w:rPr>
                <w:b/>
                <w:bCs/>
                <w:sz w:val="22"/>
                <w:szCs w:val="22"/>
                <w:lang w:val="sq-AL"/>
              </w:rPr>
            </w:pPr>
            <w:r w:rsidRPr="00EB45AE">
              <w:rPr>
                <w:b/>
                <w:bCs/>
                <w:sz w:val="22"/>
                <w:szCs w:val="22"/>
                <w:lang w:val="sq-AL"/>
              </w:rPr>
              <w:t>5.6%</w:t>
            </w:r>
          </w:p>
        </w:tc>
      </w:tr>
      <w:tr w:rsidR="00EB45AE" w:rsidRPr="00EB45AE" w:rsidTr="00EB45AE">
        <w:trPr>
          <w:trHeight w:val="330"/>
          <w:jc w:val="center"/>
        </w:trPr>
        <w:tc>
          <w:tcPr>
            <w:tcW w:w="3979" w:type="dxa"/>
            <w:tcBorders>
              <w:top w:val="nil"/>
              <w:left w:val="nil"/>
              <w:bottom w:val="nil"/>
              <w:right w:val="nil"/>
            </w:tcBorders>
            <w:shd w:val="clear" w:color="auto" w:fill="auto"/>
            <w:noWrap/>
            <w:vAlign w:val="center"/>
            <w:hideMark/>
          </w:tcPr>
          <w:p w:rsidR="00EB45AE" w:rsidRPr="00EB45AE" w:rsidRDefault="00EB45AE" w:rsidP="00EB45AE">
            <w:pPr>
              <w:rPr>
                <w:rFonts w:ascii="Calibri" w:hAnsi="Calibri" w:cs="Calibri"/>
                <w:color w:val="000000"/>
                <w:sz w:val="22"/>
                <w:szCs w:val="22"/>
                <w:lang w:val="sq-AL"/>
              </w:rPr>
            </w:pPr>
          </w:p>
          <w:p w:rsidR="00EB45AE" w:rsidRPr="00EB45AE" w:rsidRDefault="00EB45AE" w:rsidP="00EB45AE">
            <w:pPr>
              <w:rPr>
                <w:rFonts w:ascii="Calibri" w:hAnsi="Calibri" w:cs="Calibri"/>
                <w:color w:val="000000"/>
                <w:sz w:val="22"/>
                <w:szCs w:val="22"/>
                <w:lang w:val="sq-AL"/>
              </w:rPr>
            </w:pPr>
          </w:p>
        </w:tc>
        <w:tc>
          <w:tcPr>
            <w:tcW w:w="1379" w:type="dxa"/>
            <w:tcBorders>
              <w:top w:val="nil"/>
              <w:left w:val="nil"/>
              <w:bottom w:val="nil"/>
              <w:right w:val="nil"/>
            </w:tcBorders>
            <w:shd w:val="clear" w:color="auto" w:fill="auto"/>
            <w:noWrap/>
            <w:vAlign w:val="center"/>
            <w:hideMark/>
          </w:tcPr>
          <w:p w:rsidR="00EB45AE" w:rsidRPr="00EB45AE" w:rsidRDefault="00EB45AE" w:rsidP="00EB45AE">
            <w:pPr>
              <w:rPr>
                <w:rFonts w:ascii="Calibri" w:hAnsi="Calibri" w:cs="Calibri"/>
                <w:color w:val="000000"/>
                <w:sz w:val="22"/>
                <w:szCs w:val="22"/>
                <w:lang w:val="sq-AL"/>
              </w:rPr>
            </w:pPr>
          </w:p>
        </w:tc>
        <w:tc>
          <w:tcPr>
            <w:tcW w:w="1480" w:type="dxa"/>
            <w:tcBorders>
              <w:top w:val="nil"/>
              <w:left w:val="nil"/>
              <w:bottom w:val="nil"/>
              <w:right w:val="nil"/>
            </w:tcBorders>
            <w:shd w:val="clear" w:color="auto" w:fill="auto"/>
            <w:noWrap/>
            <w:vAlign w:val="center"/>
            <w:hideMark/>
          </w:tcPr>
          <w:p w:rsidR="00EB45AE" w:rsidRPr="00EB45AE" w:rsidRDefault="00EB45AE" w:rsidP="00EB45AE">
            <w:pPr>
              <w:rPr>
                <w:rFonts w:ascii="Calibri" w:hAnsi="Calibri" w:cs="Calibri"/>
                <w:color w:val="000000"/>
                <w:sz w:val="22"/>
                <w:szCs w:val="22"/>
                <w:lang w:val="sq-AL"/>
              </w:rPr>
            </w:pPr>
          </w:p>
        </w:tc>
        <w:tc>
          <w:tcPr>
            <w:tcW w:w="1480" w:type="dxa"/>
            <w:tcBorders>
              <w:top w:val="nil"/>
              <w:left w:val="nil"/>
              <w:bottom w:val="nil"/>
              <w:right w:val="nil"/>
            </w:tcBorders>
            <w:shd w:val="clear" w:color="auto" w:fill="auto"/>
            <w:noWrap/>
            <w:vAlign w:val="center"/>
            <w:hideMark/>
          </w:tcPr>
          <w:p w:rsidR="00EB45AE" w:rsidRPr="00EB45AE" w:rsidRDefault="00EB45AE" w:rsidP="00EB45AE">
            <w:pPr>
              <w:jc w:val="center"/>
              <w:rPr>
                <w:rFonts w:ascii="Calibri" w:hAnsi="Calibri" w:cs="Calibri"/>
                <w:color w:val="000000"/>
                <w:sz w:val="22"/>
                <w:szCs w:val="22"/>
                <w:lang w:val="sq-AL"/>
              </w:rPr>
            </w:pPr>
          </w:p>
        </w:tc>
      </w:tr>
      <w:tr w:rsidR="00EB45AE" w:rsidRPr="00EB45AE" w:rsidTr="00EB45AE">
        <w:trPr>
          <w:trHeight w:val="315"/>
          <w:jc w:val="center"/>
        </w:trPr>
        <w:tc>
          <w:tcPr>
            <w:tcW w:w="3979"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EB45AE" w:rsidRPr="00EB45AE" w:rsidRDefault="00EB45AE" w:rsidP="00EB45AE">
            <w:pPr>
              <w:jc w:val="center"/>
              <w:rPr>
                <w:b/>
                <w:bCs/>
                <w:sz w:val="22"/>
                <w:szCs w:val="22"/>
                <w:lang w:val="sq-AL"/>
              </w:rPr>
            </w:pPr>
            <w:r w:rsidRPr="00EB45AE">
              <w:rPr>
                <w:b/>
                <w:bCs/>
                <w:sz w:val="22"/>
                <w:szCs w:val="22"/>
                <w:lang w:val="sq-AL"/>
              </w:rPr>
              <w:t>Programi</w:t>
            </w:r>
          </w:p>
        </w:tc>
        <w:tc>
          <w:tcPr>
            <w:tcW w:w="4339" w:type="dxa"/>
            <w:gridSpan w:val="3"/>
            <w:tcBorders>
              <w:top w:val="double" w:sz="6" w:space="0" w:color="auto"/>
              <w:left w:val="nil"/>
              <w:bottom w:val="dotted" w:sz="4" w:space="0" w:color="auto"/>
              <w:right w:val="double" w:sz="6" w:space="0" w:color="000000"/>
            </w:tcBorders>
            <w:shd w:val="clear" w:color="000000" w:fill="FCD5B4"/>
            <w:noWrap/>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TOTALI Shpenzimeve</w:t>
            </w:r>
          </w:p>
        </w:tc>
      </w:tr>
      <w:tr w:rsidR="00EB45AE" w:rsidRPr="00EB45AE" w:rsidTr="00EB45AE">
        <w:trPr>
          <w:trHeight w:val="570"/>
          <w:jc w:val="center"/>
        </w:trPr>
        <w:tc>
          <w:tcPr>
            <w:tcW w:w="3979" w:type="dxa"/>
            <w:vMerge/>
            <w:tcBorders>
              <w:top w:val="double" w:sz="6" w:space="0" w:color="auto"/>
              <w:left w:val="double" w:sz="6" w:space="0" w:color="auto"/>
              <w:bottom w:val="dotted" w:sz="4" w:space="0" w:color="000000"/>
              <w:right w:val="dotted" w:sz="4" w:space="0" w:color="auto"/>
            </w:tcBorders>
            <w:vAlign w:val="center"/>
            <w:hideMark/>
          </w:tcPr>
          <w:p w:rsidR="00EB45AE" w:rsidRPr="00EB45AE" w:rsidRDefault="00EB45AE" w:rsidP="00EB45AE">
            <w:pPr>
              <w:rPr>
                <w:b/>
                <w:bCs/>
                <w:sz w:val="22"/>
                <w:szCs w:val="22"/>
                <w:lang w:val="sq-AL"/>
              </w:rPr>
            </w:pPr>
          </w:p>
        </w:tc>
        <w:tc>
          <w:tcPr>
            <w:tcW w:w="1379" w:type="dxa"/>
            <w:tcBorders>
              <w:top w:val="nil"/>
              <w:left w:val="nil"/>
              <w:bottom w:val="dotted" w:sz="4" w:space="0" w:color="auto"/>
              <w:right w:val="dotted" w:sz="4"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Plani</w:t>
            </w:r>
          </w:p>
        </w:tc>
        <w:tc>
          <w:tcPr>
            <w:tcW w:w="1480" w:type="dxa"/>
            <w:tcBorders>
              <w:top w:val="nil"/>
              <w:left w:val="nil"/>
              <w:bottom w:val="dotted" w:sz="4" w:space="0" w:color="auto"/>
              <w:right w:val="dotted" w:sz="4"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Fakt</w:t>
            </w:r>
          </w:p>
        </w:tc>
        <w:tc>
          <w:tcPr>
            <w:tcW w:w="1480" w:type="dxa"/>
            <w:tcBorders>
              <w:top w:val="nil"/>
              <w:left w:val="nil"/>
              <w:bottom w:val="dotted" w:sz="4" w:space="0" w:color="auto"/>
              <w:right w:val="double" w:sz="6" w:space="0" w:color="auto"/>
            </w:tcBorders>
            <w:shd w:val="clear" w:color="auto" w:fill="auto"/>
            <w:vAlign w:val="center"/>
            <w:hideMark/>
          </w:tcPr>
          <w:p w:rsidR="00EB45AE" w:rsidRPr="00EB45AE" w:rsidRDefault="00EB45AE" w:rsidP="00EB45AE">
            <w:pPr>
              <w:jc w:val="center"/>
              <w:rPr>
                <w:b/>
                <w:bCs/>
                <w:color w:val="000000"/>
                <w:sz w:val="22"/>
                <w:szCs w:val="22"/>
                <w:lang w:val="sq-AL"/>
              </w:rPr>
            </w:pPr>
            <w:r w:rsidRPr="00EB45AE">
              <w:rPr>
                <w:b/>
                <w:bCs/>
                <w:color w:val="000000"/>
                <w:sz w:val="22"/>
                <w:szCs w:val="22"/>
                <w:lang w:val="sq-AL"/>
              </w:rPr>
              <w:t>% e realizimit</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Planifikimi, Menaxhimi dhe Administrimi</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1,126,206</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279,125</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24.8%</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Forcat e Luftimit</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5,689,417</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1,154,448</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20.3%</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Arsimi Ushtarak</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595,534</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156,451</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26.3%</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Mbështetja e Luftimit</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4,824,238</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1,068,722</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22.2%</w:t>
            </w:r>
          </w:p>
        </w:tc>
      </w:tr>
      <w:tr w:rsidR="00EB45AE" w:rsidRPr="00EB45AE" w:rsidTr="00EB45AE">
        <w:trPr>
          <w:trHeight w:val="300"/>
          <w:jc w:val="center"/>
        </w:trPr>
        <w:tc>
          <w:tcPr>
            <w:tcW w:w="3979" w:type="dxa"/>
            <w:tcBorders>
              <w:top w:val="nil"/>
              <w:left w:val="double" w:sz="6" w:space="0" w:color="auto"/>
              <w:bottom w:val="dotted" w:sz="4" w:space="0" w:color="auto"/>
              <w:right w:val="dotted" w:sz="4" w:space="0" w:color="auto"/>
            </w:tcBorders>
            <w:shd w:val="clear" w:color="auto" w:fill="auto"/>
            <w:noWrap/>
            <w:vAlign w:val="center"/>
            <w:hideMark/>
          </w:tcPr>
          <w:p w:rsidR="00EB45AE" w:rsidRPr="00EB45AE" w:rsidRDefault="00EB45AE" w:rsidP="00EB45AE">
            <w:pPr>
              <w:rPr>
                <w:sz w:val="22"/>
                <w:szCs w:val="22"/>
                <w:lang w:val="sq-AL"/>
              </w:rPr>
            </w:pPr>
            <w:r w:rsidRPr="00EB45AE">
              <w:rPr>
                <w:sz w:val="22"/>
                <w:szCs w:val="22"/>
                <w:lang w:val="sq-AL"/>
              </w:rPr>
              <w:t>Mbështetje për Shëndetësinë</w:t>
            </w:r>
          </w:p>
        </w:tc>
        <w:tc>
          <w:tcPr>
            <w:tcW w:w="1379"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813,978</w:t>
            </w:r>
          </w:p>
        </w:tc>
        <w:tc>
          <w:tcPr>
            <w:tcW w:w="1480" w:type="dxa"/>
            <w:tcBorders>
              <w:top w:val="nil"/>
              <w:left w:val="nil"/>
              <w:bottom w:val="dotted" w:sz="4" w:space="0" w:color="auto"/>
              <w:right w:val="dotted" w:sz="4" w:space="0" w:color="auto"/>
            </w:tcBorders>
            <w:shd w:val="clear" w:color="auto" w:fill="auto"/>
            <w:noWrap/>
            <w:vAlign w:val="center"/>
            <w:hideMark/>
          </w:tcPr>
          <w:p w:rsidR="00EB45AE" w:rsidRPr="00EB45AE" w:rsidRDefault="00EB45AE" w:rsidP="00EB45AE">
            <w:pPr>
              <w:jc w:val="right"/>
              <w:rPr>
                <w:sz w:val="22"/>
                <w:szCs w:val="22"/>
                <w:lang w:val="sq-AL"/>
              </w:rPr>
            </w:pPr>
            <w:r w:rsidRPr="00EB45AE">
              <w:rPr>
                <w:sz w:val="22"/>
                <w:szCs w:val="22"/>
                <w:lang w:val="sq-AL"/>
              </w:rPr>
              <w:t>257,497</w:t>
            </w:r>
          </w:p>
        </w:tc>
        <w:tc>
          <w:tcPr>
            <w:tcW w:w="1480" w:type="dxa"/>
            <w:tcBorders>
              <w:top w:val="nil"/>
              <w:left w:val="nil"/>
              <w:bottom w:val="dotted" w:sz="4" w:space="0" w:color="auto"/>
              <w:right w:val="double" w:sz="6" w:space="0" w:color="auto"/>
            </w:tcBorders>
            <w:shd w:val="clear" w:color="auto" w:fill="auto"/>
            <w:noWrap/>
            <w:vAlign w:val="center"/>
            <w:hideMark/>
          </w:tcPr>
          <w:p w:rsidR="00EB45AE" w:rsidRPr="00EB45AE" w:rsidRDefault="00EB45AE" w:rsidP="00EB45AE">
            <w:pPr>
              <w:jc w:val="center"/>
              <w:rPr>
                <w:sz w:val="22"/>
                <w:szCs w:val="22"/>
                <w:lang w:val="sq-AL"/>
              </w:rPr>
            </w:pPr>
            <w:r w:rsidRPr="00EB45AE">
              <w:rPr>
                <w:sz w:val="22"/>
                <w:szCs w:val="22"/>
                <w:lang w:val="sq-AL"/>
              </w:rPr>
              <w:t>31.6%</w:t>
            </w:r>
          </w:p>
        </w:tc>
      </w:tr>
      <w:tr w:rsidR="00EB45AE" w:rsidRPr="00EB45AE" w:rsidTr="00EB45AE">
        <w:trPr>
          <w:trHeight w:val="315"/>
          <w:jc w:val="center"/>
        </w:trPr>
        <w:tc>
          <w:tcPr>
            <w:tcW w:w="3979" w:type="dxa"/>
            <w:tcBorders>
              <w:top w:val="nil"/>
              <w:left w:val="double" w:sz="6" w:space="0" w:color="auto"/>
              <w:bottom w:val="double" w:sz="6" w:space="0" w:color="auto"/>
              <w:right w:val="dotted" w:sz="4" w:space="0" w:color="auto"/>
            </w:tcBorders>
            <w:shd w:val="clear" w:color="000000" w:fill="FFFFCC"/>
            <w:noWrap/>
            <w:vAlign w:val="center"/>
            <w:hideMark/>
          </w:tcPr>
          <w:p w:rsidR="00EB45AE" w:rsidRPr="00EB45AE" w:rsidRDefault="00EB45AE" w:rsidP="00EB45AE">
            <w:pPr>
              <w:jc w:val="center"/>
              <w:rPr>
                <w:b/>
                <w:bCs/>
                <w:sz w:val="22"/>
                <w:szCs w:val="22"/>
                <w:lang w:val="sq-AL"/>
              </w:rPr>
            </w:pPr>
            <w:r w:rsidRPr="00EB45AE">
              <w:rPr>
                <w:b/>
                <w:bCs/>
                <w:sz w:val="22"/>
                <w:szCs w:val="22"/>
                <w:lang w:val="sq-AL"/>
              </w:rPr>
              <w:t>Totali</w:t>
            </w:r>
          </w:p>
        </w:tc>
        <w:tc>
          <w:tcPr>
            <w:tcW w:w="1379" w:type="dxa"/>
            <w:tcBorders>
              <w:top w:val="nil"/>
              <w:left w:val="nil"/>
              <w:bottom w:val="double" w:sz="6" w:space="0" w:color="auto"/>
              <w:right w:val="dotted" w:sz="4" w:space="0" w:color="auto"/>
            </w:tcBorders>
            <w:shd w:val="clear" w:color="000000" w:fill="FFFFCC"/>
            <w:noWrap/>
            <w:vAlign w:val="center"/>
            <w:hideMark/>
          </w:tcPr>
          <w:p w:rsidR="00EB45AE" w:rsidRPr="00EB45AE" w:rsidRDefault="00EB45AE" w:rsidP="00EB45AE">
            <w:pPr>
              <w:jc w:val="right"/>
              <w:rPr>
                <w:b/>
                <w:bCs/>
                <w:sz w:val="22"/>
                <w:szCs w:val="22"/>
                <w:lang w:val="sq-AL"/>
              </w:rPr>
            </w:pPr>
            <w:r w:rsidRPr="00EB45AE">
              <w:rPr>
                <w:b/>
                <w:bCs/>
                <w:sz w:val="22"/>
                <w:szCs w:val="22"/>
                <w:lang w:val="sq-AL"/>
              </w:rPr>
              <w:t>13,049,373</w:t>
            </w:r>
          </w:p>
        </w:tc>
        <w:tc>
          <w:tcPr>
            <w:tcW w:w="1480" w:type="dxa"/>
            <w:tcBorders>
              <w:top w:val="nil"/>
              <w:left w:val="nil"/>
              <w:bottom w:val="double" w:sz="6" w:space="0" w:color="auto"/>
              <w:right w:val="dotted" w:sz="4" w:space="0" w:color="auto"/>
            </w:tcBorders>
            <w:shd w:val="clear" w:color="000000" w:fill="FFFFCC"/>
            <w:noWrap/>
            <w:vAlign w:val="center"/>
            <w:hideMark/>
          </w:tcPr>
          <w:p w:rsidR="00EB45AE" w:rsidRPr="00EB45AE" w:rsidRDefault="00EB45AE" w:rsidP="00EB45AE">
            <w:pPr>
              <w:jc w:val="right"/>
              <w:rPr>
                <w:b/>
                <w:bCs/>
                <w:sz w:val="22"/>
                <w:szCs w:val="22"/>
                <w:lang w:val="sq-AL"/>
              </w:rPr>
            </w:pPr>
            <w:r w:rsidRPr="00EB45AE">
              <w:rPr>
                <w:b/>
                <w:bCs/>
                <w:sz w:val="22"/>
                <w:szCs w:val="22"/>
                <w:lang w:val="sq-AL"/>
              </w:rPr>
              <w:t>2,916,242</w:t>
            </w:r>
          </w:p>
        </w:tc>
        <w:tc>
          <w:tcPr>
            <w:tcW w:w="1480" w:type="dxa"/>
            <w:tcBorders>
              <w:top w:val="nil"/>
              <w:left w:val="nil"/>
              <w:bottom w:val="double" w:sz="6" w:space="0" w:color="auto"/>
              <w:right w:val="double" w:sz="6" w:space="0" w:color="auto"/>
            </w:tcBorders>
            <w:shd w:val="clear" w:color="000000" w:fill="FFFFCC"/>
            <w:noWrap/>
            <w:vAlign w:val="center"/>
            <w:hideMark/>
          </w:tcPr>
          <w:p w:rsidR="00EB45AE" w:rsidRPr="00EB45AE" w:rsidRDefault="00EB45AE" w:rsidP="00EB45AE">
            <w:pPr>
              <w:jc w:val="center"/>
              <w:rPr>
                <w:b/>
                <w:bCs/>
                <w:sz w:val="22"/>
                <w:szCs w:val="22"/>
                <w:lang w:val="sq-AL"/>
              </w:rPr>
            </w:pPr>
            <w:r w:rsidRPr="00EB45AE">
              <w:rPr>
                <w:b/>
                <w:bCs/>
                <w:sz w:val="22"/>
                <w:szCs w:val="22"/>
                <w:lang w:val="sq-AL"/>
              </w:rPr>
              <w:t>22.35%</w:t>
            </w:r>
          </w:p>
        </w:tc>
      </w:tr>
    </w:tbl>
    <w:p w:rsidR="006462D9" w:rsidRDefault="006462D9" w:rsidP="00F31F4D">
      <w:pPr>
        <w:jc w:val="both"/>
        <w:rPr>
          <w:i/>
          <w:sz w:val="22"/>
          <w:szCs w:val="22"/>
          <w:lang w:val="sq-AL"/>
        </w:rPr>
      </w:pPr>
    </w:p>
    <w:p w:rsidR="00F31F4D" w:rsidRPr="00EB45AE" w:rsidRDefault="00602DFF" w:rsidP="00F31F4D">
      <w:pPr>
        <w:jc w:val="both"/>
        <w:rPr>
          <w:i/>
          <w:sz w:val="22"/>
          <w:szCs w:val="22"/>
          <w:lang w:val="sq-AL"/>
        </w:rPr>
      </w:pPr>
      <w:r w:rsidRPr="00EB45AE">
        <w:rPr>
          <w:i/>
          <w:sz w:val="22"/>
          <w:szCs w:val="22"/>
          <w:lang w:val="sq-AL"/>
        </w:rPr>
        <w:t>Burimi: Ministria e Financave</w:t>
      </w:r>
    </w:p>
    <w:p w:rsidR="00F31F4D" w:rsidRDefault="00F31F4D" w:rsidP="00F31F4D">
      <w:pPr>
        <w:jc w:val="both"/>
        <w:rPr>
          <w:i/>
          <w:sz w:val="22"/>
          <w:szCs w:val="22"/>
          <w:lang w:val="sq-AL"/>
        </w:rPr>
      </w:pPr>
    </w:p>
    <w:p w:rsidR="00EB45AE" w:rsidRPr="00EB45AE" w:rsidRDefault="00EB45AE" w:rsidP="00F31F4D">
      <w:pPr>
        <w:jc w:val="both"/>
        <w:rPr>
          <w:i/>
          <w:sz w:val="22"/>
          <w:szCs w:val="22"/>
          <w:lang w:val="sq-AL"/>
        </w:rPr>
      </w:pPr>
    </w:p>
    <w:p w:rsidR="00F31F4D" w:rsidRPr="00EB45AE" w:rsidRDefault="00F31F4D" w:rsidP="00EB45AE">
      <w:pPr>
        <w:jc w:val="both"/>
        <w:rPr>
          <w:i/>
          <w:sz w:val="22"/>
          <w:szCs w:val="22"/>
          <w:lang w:val="sq-AL"/>
        </w:rPr>
      </w:pPr>
      <w:r w:rsidRPr="00EB45AE">
        <w:rPr>
          <w:b/>
          <w:bCs/>
          <w:lang w:val="sq-AL"/>
        </w:rPr>
        <w:t>Ndryshimet e planit të buxhetit 2017</w:t>
      </w:r>
      <w:r w:rsidRPr="00EB45AE">
        <w:rPr>
          <w:lang w:val="sq-AL"/>
        </w:rPr>
        <w:t xml:space="preserve">: Vëmë në dukje që plani i buxhetit për vitin 2017 ka ndryshuar për shkak të shtesës së fondeve </w:t>
      </w:r>
      <w:r w:rsidR="00EB45AE">
        <w:rPr>
          <w:lang w:val="sq-AL"/>
        </w:rPr>
        <w:t>nga</w:t>
      </w:r>
      <w:r w:rsidRPr="00EB45AE">
        <w:rPr>
          <w:lang w:val="sq-AL"/>
        </w:rPr>
        <w:t xml:space="preserve"> akordimet për përdorim nga Fondi i Veçantë.</w:t>
      </w:r>
    </w:p>
    <w:p w:rsidR="00F31F4D" w:rsidRDefault="00F31F4D" w:rsidP="00F31F4D">
      <w:pPr>
        <w:jc w:val="both"/>
        <w:rPr>
          <w:lang w:val="sq-AL"/>
        </w:rPr>
      </w:pPr>
    </w:p>
    <w:p w:rsidR="001A0E38" w:rsidRPr="00B61C60" w:rsidRDefault="001A0E38" w:rsidP="006462D9">
      <w:pPr>
        <w:tabs>
          <w:tab w:val="left" w:pos="2160"/>
        </w:tabs>
        <w:spacing w:line="276" w:lineRule="auto"/>
        <w:jc w:val="both"/>
        <w:rPr>
          <w:lang w:val="sq-AL"/>
        </w:rPr>
      </w:pPr>
      <w:r w:rsidRPr="00B61C60">
        <w:rPr>
          <w:bCs/>
          <w:lang w:val="sq-AL"/>
        </w:rPr>
        <w:t>Në Programin</w:t>
      </w:r>
      <w:r w:rsidRPr="00B61C60">
        <w:rPr>
          <w:b/>
          <w:bCs/>
          <w:lang w:val="sq-AL"/>
        </w:rPr>
        <w:t xml:space="preserve"> “Planifikim, administrim dhe menaxhimi”</w:t>
      </w:r>
      <w:r w:rsidRPr="00B61C60">
        <w:rPr>
          <w:lang w:val="sq-AL"/>
        </w:rPr>
        <w:t>, sipas raportit të ministrisë</w:t>
      </w:r>
      <w:r w:rsidR="006462D9">
        <w:rPr>
          <w:lang w:val="sq-AL"/>
        </w:rPr>
        <w:t xml:space="preserve"> janë parashikuar 8 produkte</w:t>
      </w:r>
      <w:r w:rsidRPr="00B61C60">
        <w:rPr>
          <w:lang w:val="sq-AL"/>
        </w:rPr>
        <w:t>.</w:t>
      </w:r>
      <w:r w:rsidRPr="00B61C60">
        <w:rPr>
          <w:rFonts w:asciiTheme="majorBidi" w:hAnsiTheme="majorBidi" w:cstheme="majorBidi"/>
          <w:lang w:val="sq-AL"/>
        </w:rPr>
        <w:t xml:space="preserve"> Me produktet e realizuara nga përdorimi i fondeve të planifikuara për këtë program nuk kuptojmë se sa realisht është realizuar qëllimi si edhe objektivat e politikës së tij nëpërmjet realizimit të produkteve.</w:t>
      </w:r>
    </w:p>
    <w:p w:rsidR="001A0E38" w:rsidRPr="00B61C60" w:rsidRDefault="001A0E38" w:rsidP="001A0E38">
      <w:pPr>
        <w:tabs>
          <w:tab w:val="left" w:pos="2160"/>
        </w:tabs>
        <w:spacing w:line="276" w:lineRule="auto"/>
        <w:jc w:val="both"/>
        <w:rPr>
          <w:b/>
          <w:bCs/>
          <w:lang w:val="sq-AL"/>
        </w:rPr>
      </w:pPr>
    </w:p>
    <w:p w:rsidR="006462D9" w:rsidRPr="00B61C60" w:rsidRDefault="006462D9" w:rsidP="006462D9">
      <w:pPr>
        <w:tabs>
          <w:tab w:val="left" w:pos="2160"/>
        </w:tabs>
        <w:spacing w:line="276" w:lineRule="auto"/>
        <w:jc w:val="both"/>
        <w:rPr>
          <w:lang w:val="sq-AL"/>
        </w:rPr>
      </w:pPr>
      <w:r w:rsidRPr="00B61C60">
        <w:rPr>
          <w:bCs/>
          <w:lang w:val="sq-AL"/>
        </w:rPr>
        <w:t>Në Programin</w:t>
      </w:r>
      <w:r w:rsidRPr="00B61C60">
        <w:rPr>
          <w:b/>
          <w:bCs/>
          <w:lang w:val="sq-AL"/>
        </w:rPr>
        <w:t xml:space="preserve"> “</w:t>
      </w:r>
      <w:r>
        <w:rPr>
          <w:b/>
          <w:bCs/>
          <w:lang w:val="sq-AL"/>
        </w:rPr>
        <w:t>Forcat e Luftimit</w:t>
      </w:r>
      <w:r w:rsidRPr="00B61C60">
        <w:rPr>
          <w:b/>
          <w:bCs/>
          <w:lang w:val="sq-AL"/>
        </w:rPr>
        <w:t>”</w:t>
      </w:r>
      <w:r w:rsidRPr="00B61C60">
        <w:rPr>
          <w:lang w:val="sq-AL"/>
        </w:rPr>
        <w:t>, sipas raportit të ministrisë</w:t>
      </w:r>
      <w:r>
        <w:rPr>
          <w:lang w:val="sq-AL"/>
        </w:rPr>
        <w:t xml:space="preserve"> janë parashikuar 15 produkte</w:t>
      </w:r>
      <w:r w:rsidRPr="00B61C60">
        <w:rPr>
          <w:lang w:val="sq-AL"/>
        </w:rPr>
        <w:t>.</w:t>
      </w:r>
      <w:r w:rsidRPr="00B61C60">
        <w:rPr>
          <w:rFonts w:asciiTheme="majorBidi" w:hAnsiTheme="majorBidi" w:cstheme="majorBidi"/>
          <w:lang w:val="sq-AL"/>
        </w:rPr>
        <w:t xml:space="preserve"> Me produktet e realizuara nga përdorimi i fondeve të planifikuara për këtë program nuk kuptojmë se sa realisht është realizuar qëllimi si edhe objektivat e politikës së tij nëpërmjet realizimit të produkteve.</w:t>
      </w:r>
    </w:p>
    <w:p w:rsidR="001A0E38" w:rsidRPr="006462D9" w:rsidRDefault="006462D9" w:rsidP="006462D9">
      <w:pPr>
        <w:tabs>
          <w:tab w:val="left" w:pos="2160"/>
        </w:tabs>
        <w:spacing w:line="276" w:lineRule="auto"/>
        <w:jc w:val="both"/>
        <w:rPr>
          <w:lang w:val="sq-AL"/>
        </w:rPr>
      </w:pPr>
      <w:r w:rsidRPr="00B61C60">
        <w:rPr>
          <w:bCs/>
          <w:lang w:val="sq-AL"/>
        </w:rPr>
        <w:lastRenderedPageBreak/>
        <w:t>Në Programin</w:t>
      </w:r>
      <w:r w:rsidRPr="00B61C60">
        <w:rPr>
          <w:b/>
          <w:bCs/>
          <w:lang w:val="sq-AL"/>
        </w:rPr>
        <w:t xml:space="preserve"> </w:t>
      </w:r>
      <w:r w:rsidR="001A0E38" w:rsidRPr="00B61C60">
        <w:rPr>
          <w:b/>
          <w:lang w:val="sq-AL"/>
        </w:rPr>
        <w:t>“Mbështetja e Luftimit</w:t>
      </w:r>
      <w:r>
        <w:rPr>
          <w:b/>
          <w:lang w:val="sq-AL"/>
        </w:rPr>
        <w:t>”</w:t>
      </w:r>
      <w:r w:rsidRPr="006462D9">
        <w:rPr>
          <w:lang w:val="sq-AL"/>
        </w:rPr>
        <w:t xml:space="preserve"> </w:t>
      </w:r>
      <w:r w:rsidRPr="00B61C60">
        <w:rPr>
          <w:lang w:val="sq-AL"/>
        </w:rPr>
        <w:t>sipas raportit të ministrisë</w:t>
      </w:r>
      <w:r>
        <w:rPr>
          <w:lang w:val="sq-AL"/>
        </w:rPr>
        <w:t xml:space="preserve"> janë parashikuar 25 produkte, 12 nga t</w:t>
      </w:r>
      <w:r w:rsidR="0091052B">
        <w:rPr>
          <w:lang w:val="sq-AL"/>
        </w:rPr>
        <w:t>ë</w:t>
      </w:r>
      <w:r>
        <w:rPr>
          <w:lang w:val="sq-AL"/>
        </w:rPr>
        <w:t xml:space="preserve"> cilat listohen strukturat organike t</w:t>
      </w:r>
      <w:r w:rsidR="0091052B">
        <w:rPr>
          <w:lang w:val="sq-AL"/>
        </w:rPr>
        <w:t>ë</w:t>
      </w:r>
      <w:r>
        <w:rPr>
          <w:lang w:val="sq-AL"/>
        </w:rPr>
        <w:t xml:space="preserve"> çdo reparti ushtarak dhe m</w:t>
      </w:r>
      <w:r w:rsidR="0091052B">
        <w:rPr>
          <w:lang w:val="sq-AL"/>
        </w:rPr>
        <w:t>ë</w:t>
      </w:r>
      <w:r>
        <w:rPr>
          <w:lang w:val="sq-AL"/>
        </w:rPr>
        <w:t xml:space="preserve"> pas listohen projektet e investimeve. </w:t>
      </w:r>
      <w:r>
        <w:rPr>
          <w:rFonts w:asciiTheme="majorBidi" w:hAnsiTheme="majorBidi" w:cstheme="majorBidi"/>
          <w:lang w:val="sq-AL"/>
        </w:rPr>
        <w:t>Edhe nga k</w:t>
      </w:r>
      <w:r w:rsidR="0091052B">
        <w:rPr>
          <w:rFonts w:asciiTheme="majorBidi" w:hAnsiTheme="majorBidi" w:cstheme="majorBidi"/>
          <w:lang w:val="sq-AL"/>
        </w:rPr>
        <w:t>ë</w:t>
      </w:r>
      <w:r>
        <w:rPr>
          <w:rFonts w:asciiTheme="majorBidi" w:hAnsiTheme="majorBidi" w:cstheme="majorBidi"/>
          <w:lang w:val="sq-AL"/>
        </w:rPr>
        <w:t>to produkte</w:t>
      </w:r>
      <w:r w:rsidRPr="00B61C60">
        <w:rPr>
          <w:rFonts w:asciiTheme="majorBidi" w:hAnsiTheme="majorBidi" w:cstheme="majorBidi"/>
          <w:lang w:val="sq-AL"/>
        </w:rPr>
        <w:t xml:space="preserve"> nuk kuptojmë se sa realisht është realizuar qëllimi si edhe objektivat e politikës së tij nëpërmjet realizimit të produkteve.</w:t>
      </w:r>
    </w:p>
    <w:p w:rsidR="001A0E38" w:rsidRPr="00B61C60" w:rsidRDefault="001A0E38" w:rsidP="001A0E38">
      <w:pPr>
        <w:tabs>
          <w:tab w:val="left" w:pos="2160"/>
        </w:tabs>
        <w:spacing w:line="276" w:lineRule="auto"/>
        <w:jc w:val="both"/>
        <w:rPr>
          <w:rFonts w:asciiTheme="majorBidi" w:hAnsiTheme="majorBidi" w:cstheme="majorBidi"/>
          <w:lang w:val="sq-AL"/>
        </w:rPr>
      </w:pPr>
    </w:p>
    <w:p w:rsidR="001A0E38" w:rsidRPr="00B61C60" w:rsidRDefault="001A0E38" w:rsidP="001A0E38">
      <w:pPr>
        <w:tabs>
          <w:tab w:val="left" w:pos="2160"/>
        </w:tabs>
        <w:spacing w:line="276" w:lineRule="auto"/>
        <w:jc w:val="both"/>
        <w:rPr>
          <w:rFonts w:asciiTheme="majorBidi" w:hAnsiTheme="majorBidi" w:cstheme="majorBidi"/>
          <w:lang w:val="sq-AL"/>
        </w:rPr>
      </w:pPr>
    </w:p>
    <w:p w:rsidR="001A0E38" w:rsidRPr="00B61C60" w:rsidRDefault="001A0E38" w:rsidP="001A0E38">
      <w:pPr>
        <w:numPr>
          <w:ilvl w:val="0"/>
          <w:numId w:val="2"/>
        </w:numPr>
        <w:tabs>
          <w:tab w:val="left" w:pos="2160"/>
        </w:tabs>
        <w:spacing w:after="200" w:line="276" w:lineRule="auto"/>
        <w:ind w:left="0" w:firstLine="720"/>
        <w:jc w:val="both"/>
        <w:rPr>
          <w:rFonts w:asciiTheme="majorBidi" w:hAnsiTheme="majorBidi" w:cstheme="majorBidi"/>
          <w:b/>
          <w:lang w:val="sq-AL"/>
        </w:rPr>
      </w:pPr>
      <w:r w:rsidRPr="00B61C60">
        <w:rPr>
          <w:rFonts w:asciiTheme="majorBidi" w:hAnsiTheme="majorBidi" w:cstheme="majorBidi"/>
          <w:b/>
          <w:lang w:val="sq-AL"/>
        </w:rPr>
        <w:t xml:space="preserve">Komente dhe rekomandime </w:t>
      </w:r>
    </w:p>
    <w:p w:rsidR="001A0E38" w:rsidRPr="00B61C60" w:rsidRDefault="001A0E38" w:rsidP="006462D9">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bCs/>
          <w:sz w:val="24"/>
          <w:szCs w:val="24"/>
          <w:lang w:val="sq-AL"/>
        </w:rPr>
        <w:t>Theksojmë se paraqitja</w:t>
      </w:r>
      <w:r w:rsidRPr="00B61C60">
        <w:rPr>
          <w:rFonts w:asciiTheme="majorBidi" w:hAnsiTheme="majorBidi" w:cstheme="majorBidi"/>
          <w:sz w:val="24"/>
          <w:szCs w:val="24"/>
          <w:lang w:val="sq-AL"/>
        </w:rPr>
        <w:t xml:space="preserve"> e </w:t>
      </w:r>
      <w:r w:rsidRPr="00B61C60">
        <w:rPr>
          <w:bCs/>
          <w:sz w:val="24"/>
          <w:szCs w:val="24"/>
          <w:lang w:val="sq-AL"/>
        </w:rPr>
        <w:t>informacionit</w:t>
      </w:r>
      <w:r w:rsidRPr="00B61C60">
        <w:rPr>
          <w:rFonts w:asciiTheme="majorBidi" w:hAnsiTheme="majorBidi" w:cstheme="majorBidi"/>
          <w:sz w:val="24"/>
          <w:szCs w:val="24"/>
          <w:lang w:val="sq-AL"/>
        </w:rPr>
        <w:t xml:space="preserve"> </w:t>
      </w:r>
      <w:r w:rsidRPr="00B61C60">
        <w:rPr>
          <w:bCs/>
          <w:sz w:val="24"/>
          <w:szCs w:val="24"/>
          <w:lang w:val="sq-AL"/>
        </w:rPr>
        <w:t xml:space="preserve">si dhe të dhënat e raportuara në raportin e monitorimit </w:t>
      </w:r>
      <w:r w:rsidRPr="00B61C60">
        <w:rPr>
          <w:rFonts w:asciiTheme="majorBidi" w:hAnsiTheme="majorBidi" w:cstheme="majorBidi"/>
          <w:sz w:val="24"/>
          <w:szCs w:val="24"/>
          <w:lang w:val="sq-AL"/>
        </w:rPr>
        <w:t>duhet të jetë në përputhje me përcaktimet e bëra në Udhëzimin nr. 22, datë 17.11.2016 “Për procedurat standar</w:t>
      </w:r>
      <w:r w:rsidR="006462D9">
        <w:rPr>
          <w:rFonts w:asciiTheme="majorBidi" w:hAnsiTheme="majorBidi" w:cstheme="majorBidi"/>
          <w:sz w:val="24"/>
          <w:szCs w:val="24"/>
          <w:lang w:val="sq-AL"/>
        </w:rPr>
        <w:t>d</w:t>
      </w:r>
      <w:r w:rsidRPr="00B61C60">
        <w:rPr>
          <w:rFonts w:asciiTheme="majorBidi" w:hAnsiTheme="majorBidi" w:cstheme="majorBidi"/>
          <w:sz w:val="24"/>
          <w:szCs w:val="24"/>
          <w:lang w:val="sq-AL"/>
        </w:rPr>
        <w:t>e të monitorimit të buxhetit në njësitë e Qeverisjes Qendrore”, specifikisht</w:t>
      </w:r>
      <w:r w:rsidRPr="00B61C60">
        <w:rPr>
          <w:bCs/>
          <w:sz w:val="24"/>
          <w:szCs w:val="24"/>
          <w:lang w:val="sq-AL"/>
        </w:rPr>
        <w:t xml:space="preserve"> sipas formateve të përcaktuara në paragrafin 49, të  këtij udhëzimi. </w:t>
      </w:r>
      <w:r w:rsidRPr="00B61C60">
        <w:rPr>
          <w:rFonts w:asciiTheme="majorBidi" w:hAnsiTheme="majorBidi" w:cstheme="majorBidi"/>
          <w:sz w:val="24"/>
          <w:szCs w:val="24"/>
          <w:lang w:val="sq-AL"/>
        </w:rPr>
        <w:t xml:space="preserve">Vërejmë që të dhënat e raportuara në raportin e monitorimit të Ministrisë së Mbrojtjes, nuk janë sipas formateve të përcaktuara në këtë udhëzim në anekset përkatëse. </w:t>
      </w:r>
    </w:p>
    <w:p w:rsidR="001A0E38" w:rsidRPr="00B61C60" w:rsidRDefault="001A0E38" w:rsidP="001A0E38">
      <w:pPr>
        <w:pStyle w:val="ListParagraph"/>
        <w:tabs>
          <w:tab w:val="left" w:pos="2160"/>
        </w:tabs>
        <w:spacing w:line="276" w:lineRule="auto"/>
        <w:ind w:left="540"/>
        <w:jc w:val="both"/>
        <w:rPr>
          <w:rFonts w:asciiTheme="majorBidi" w:hAnsiTheme="majorBidi" w:cstheme="majorBidi"/>
          <w:sz w:val="24"/>
          <w:szCs w:val="24"/>
          <w:lang w:val="sq-AL"/>
        </w:rPr>
      </w:pPr>
    </w:p>
    <w:p w:rsidR="001A0E38" w:rsidRPr="00B61C60" w:rsidRDefault="001A0E38" w:rsidP="006462D9">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 xml:space="preserve">Raporti i monitorimit të MM në përgjithësi ka të plotësuara tabelat por në relacionin e tij nuk ka një analizë të produkteve, të cilat sipas përcaktimeve në tabela nuk janë gjithmonë të kuptueshme apo të klasifikueshme si produkte. Referuar të dhënave të Raportit të monitorimit të Ministrisë së Mbrojtjes, vërejmë probleme në përcaktimin e emërtesave të produkteve dhe vetë produkteve. Shumë nga produktet identifikohen me projektet e investimeve dhe raportohen këto të fundit si produkte. </w:t>
      </w:r>
    </w:p>
    <w:p w:rsidR="001A0E38" w:rsidRPr="00B61C60" w:rsidRDefault="001A0E38" w:rsidP="001A0E38">
      <w:pPr>
        <w:tabs>
          <w:tab w:val="left" w:pos="2160"/>
        </w:tabs>
        <w:spacing w:line="276" w:lineRule="auto"/>
        <w:jc w:val="both"/>
        <w:rPr>
          <w:rFonts w:asciiTheme="majorBidi" w:hAnsiTheme="majorBidi" w:cstheme="majorBidi"/>
          <w:lang w:val="sq-AL"/>
        </w:rPr>
      </w:pPr>
    </w:p>
    <w:p w:rsidR="001A0E38" w:rsidRPr="006462D9" w:rsidRDefault="001A0E38" w:rsidP="001A0E38">
      <w:pPr>
        <w:pStyle w:val="ListParagraph"/>
        <w:numPr>
          <w:ilvl w:val="0"/>
          <w:numId w:val="3"/>
        </w:numPr>
        <w:tabs>
          <w:tab w:val="left" w:pos="2160"/>
        </w:tabs>
        <w:spacing w:line="276" w:lineRule="auto"/>
        <w:ind w:left="540" w:hanging="180"/>
        <w:jc w:val="both"/>
        <w:rPr>
          <w:rFonts w:asciiTheme="majorBidi" w:hAnsiTheme="majorBidi" w:cstheme="majorBidi"/>
          <w:lang w:val="sq-AL"/>
        </w:rPr>
      </w:pPr>
      <w:r w:rsidRPr="006462D9">
        <w:rPr>
          <w:rFonts w:asciiTheme="majorBidi" w:hAnsiTheme="majorBidi" w:cstheme="majorBidi"/>
          <w:sz w:val="24"/>
          <w:szCs w:val="24"/>
          <w:lang w:val="sq-AL"/>
        </w:rPr>
        <w:t xml:space="preserve">Të  dhënat faktike të raportuara duhet të jenë të rakorduara me të dhënat faktike të Sistemit Informatik Financiar i Qeverisë (SIFQ). Për këtë pikë </w:t>
      </w:r>
      <w:r w:rsidR="006462D9" w:rsidRPr="006462D9">
        <w:rPr>
          <w:rFonts w:asciiTheme="majorBidi" w:hAnsiTheme="majorBidi" w:cstheme="majorBidi"/>
          <w:sz w:val="24"/>
          <w:szCs w:val="24"/>
          <w:lang w:val="sq-AL"/>
        </w:rPr>
        <w:t>nuk mund t</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 xml:space="preserve"> shprehemi pasi raportimi i ministris</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 xml:space="preserve"> siç e n</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nvij</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zuam n</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 xml:space="preserve"> fillim nuk </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sht</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 xml:space="preserve"> paraqitur p</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r periudh</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n e k</w:t>
      </w:r>
      <w:r w:rsidR="0091052B">
        <w:rPr>
          <w:rFonts w:asciiTheme="majorBidi" w:hAnsiTheme="majorBidi" w:cstheme="majorBidi"/>
          <w:sz w:val="24"/>
          <w:szCs w:val="24"/>
          <w:lang w:val="sq-AL"/>
        </w:rPr>
        <w:t>ë</w:t>
      </w:r>
      <w:r w:rsidR="006462D9" w:rsidRPr="006462D9">
        <w:rPr>
          <w:rFonts w:asciiTheme="majorBidi" w:hAnsiTheme="majorBidi" w:cstheme="majorBidi"/>
          <w:sz w:val="24"/>
          <w:szCs w:val="24"/>
          <w:lang w:val="sq-AL"/>
        </w:rPr>
        <w:t xml:space="preserve">rkuar. </w:t>
      </w:r>
    </w:p>
    <w:p w:rsidR="006462D9" w:rsidRPr="006462D9" w:rsidRDefault="006462D9" w:rsidP="006462D9">
      <w:pPr>
        <w:tabs>
          <w:tab w:val="left" w:pos="2160"/>
        </w:tabs>
        <w:spacing w:line="276" w:lineRule="auto"/>
        <w:jc w:val="both"/>
        <w:rPr>
          <w:rFonts w:asciiTheme="majorBidi" w:hAnsiTheme="majorBidi" w:cstheme="majorBidi"/>
          <w:lang w:val="sq-AL"/>
        </w:rPr>
      </w:pPr>
    </w:p>
    <w:p w:rsidR="001A0E38" w:rsidRPr="00B61C60" w:rsidRDefault="001A0E38" w:rsidP="0091052B">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 xml:space="preserve">Gjithashtu pjesë e raportit të monitorimit duhet të jenë dhe të raportohen edhe realizimi i të ardhurave jashtë limitit, për të cilat në </w:t>
      </w:r>
      <w:r w:rsidR="0091052B">
        <w:rPr>
          <w:rFonts w:asciiTheme="majorBidi" w:hAnsiTheme="majorBidi" w:cstheme="majorBidi"/>
          <w:sz w:val="24"/>
          <w:szCs w:val="24"/>
          <w:lang w:val="sq-AL"/>
        </w:rPr>
        <w:t xml:space="preserve">katërmujorin e parë të </w:t>
      </w:r>
      <w:r w:rsidRPr="00B61C60">
        <w:rPr>
          <w:rFonts w:asciiTheme="majorBidi" w:hAnsiTheme="majorBidi" w:cstheme="majorBidi"/>
          <w:sz w:val="24"/>
          <w:szCs w:val="24"/>
          <w:lang w:val="sq-AL"/>
        </w:rPr>
        <w:t>viti</w:t>
      </w:r>
      <w:r w:rsidR="0091052B">
        <w:rPr>
          <w:rFonts w:asciiTheme="majorBidi" w:hAnsiTheme="majorBidi" w:cstheme="majorBidi"/>
          <w:sz w:val="24"/>
          <w:szCs w:val="24"/>
          <w:lang w:val="sq-AL"/>
        </w:rPr>
        <w:t>t</w:t>
      </w:r>
      <w:r w:rsidRPr="00B61C60">
        <w:rPr>
          <w:rFonts w:asciiTheme="majorBidi" w:hAnsiTheme="majorBidi" w:cstheme="majorBidi"/>
          <w:sz w:val="24"/>
          <w:szCs w:val="24"/>
          <w:lang w:val="sq-AL"/>
        </w:rPr>
        <w:t xml:space="preserve"> 201</w:t>
      </w:r>
      <w:r w:rsidR="0091052B">
        <w:rPr>
          <w:rFonts w:asciiTheme="majorBidi" w:hAnsiTheme="majorBidi" w:cstheme="majorBidi"/>
          <w:sz w:val="24"/>
          <w:szCs w:val="24"/>
          <w:lang w:val="sq-AL"/>
        </w:rPr>
        <w:t>7</w:t>
      </w:r>
      <w:r w:rsidRPr="00B61C60">
        <w:rPr>
          <w:rFonts w:asciiTheme="majorBidi" w:hAnsiTheme="majorBidi" w:cstheme="majorBidi"/>
          <w:sz w:val="24"/>
          <w:szCs w:val="24"/>
          <w:lang w:val="sq-AL"/>
        </w:rPr>
        <w:t xml:space="preserve">, MM </w:t>
      </w:r>
      <w:r w:rsidR="0091052B">
        <w:rPr>
          <w:rFonts w:asciiTheme="majorBidi" w:hAnsiTheme="majorBidi" w:cstheme="majorBidi"/>
          <w:sz w:val="24"/>
          <w:szCs w:val="24"/>
          <w:lang w:val="sq-AL"/>
        </w:rPr>
        <w:t xml:space="preserve">ka patur realizim rreth 90 milionë lekë në shpenzime kapitale dhe rreth 3 milionë lekë në shpenzime operative, </w:t>
      </w:r>
      <w:r w:rsidRPr="00B61C60">
        <w:rPr>
          <w:rFonts w:asciiTheme="majorBidi" w:hAnsiTheme="majorBidi" w:cstheme="majorBidi"/>
          <w:sz w:val="24"/>
          <w:szCs w:val="24"/>
          <w:lang w:val="sq-AL"/>
        </w:rPr>
        <w:t xml:space="preserve">por që nuk janë raportuar nga ministria. </w:t>
      </w:r>
    </w:p>
    <w:p w:rsidR="001A0E38" w:rsidRPr="00B61C60" w:rsidRDefault="001A0E38" w:rsidP="001A0E38">
      <w:pPr>
        <w:pStyle w:val="ListParagraph"/>
        <w:spacing w:line="276" w:lineRule="auto"/>
        <w:rPr>
          <w:rFonts w:asciiTheme="majorBidi" w:hAnsiTheme="majorBidi" w:cstheme="majorBidi"/>
          <w:sz w:val="24"/>
          <w:szCs w:val="24"/>
          <w:lang w:val="sq-AL"/>
        </w:rPr>
      </w:pPr>
    </w:p>
    <w:p w:rsidR="001A0E38" w:rsidRPr="0091052B" w:rsidRDefault="0091052B" w:rsidP="0091052B">
      <w:pPr>
        <w:tabs>
          <w:tab w:val="left" w:pos="2160"/>
        </w:tabs>
        <w:spacing w:line="276" w:lineRule="auto"/>
        <w:jc w:val="both"/>
        <w:rPr>
          <w:rFonts w:asciiTheme="majorBidi" w:hAnsiTheme="majorBidi" w:cstheme="majorBidi"/>
          <w:b/>
          <w:bCs/>
          <w:lang w:val="sq-AL"/>
        </w:rPr>
      </w:pPr>
      <w:r w:rsidRPr="0091052B">
        <w:rPr>
          <w:rFonts w:asciiTheme="majorBidi" w:hAnsiTheme="majorBidi" w:cstheme="majorBidi"/>
          <w:b/>
          <w:bCs/>
          <w:lang w:val="sq-AL"/>
        </w:rPr>
        <w:t>Mb</w:t>
      </w:r>
      <w:r>
        <w:rPr>
          <w:rFonts w:asciiTheme="majorBidi" w:hAnsiTheme="majorBidi" w:cstheme="majorBidi"/>
          <w:b/>
          <w:bCs/>
          <w:lang w:val="sq-AL"/>
        </w:rPr>
        <w:t>ë</w:t>
      </w:r>
      <w:r w:rsidRPr="0091052B">
        <w:rPr>
          <w:rFonts w:asciiTheme="majorBidi" w:hAnsiTheme="majorBidi" w:cstheme="majorBidi"/>
          <w:b/>
          <w:bCs/>
          <w:lang w:val="sq-AL"/>
        </w:rPr>
        <w:t>shtetur n</w:t>
      </w:r>
      <w:r>
        <w:rPr>
          <w:rFonts w:asciiTheme="majorBidi" w:hAnsiTheme="majorBidi" w:cstheme="majorBidi"/>
          <w:b/>
          <w:bCs/>
          <w:lang w:val="sq-AL"/>
        </w:rPr>
        <w:t>ë</w:t>
      </w:r>
      <w:r w:rsidRPr="0091052B">
        <w:rPr>
          <w:rFonts w:asciiTheme="majorBidi" w:hAnsiTheme="majorBidi" w:cstheme="majorBidi"/>
          <w:b/>
          <w:bCs/>
          <w:lang w:val="sq-AL"/>
        </w:rPr>
        <w:t xml:space="preserve"> sa m</w:t>
      </w:r>
      <w:r>
        <w:rPr>
          <w:rFonts w:asciiTheme="majorBidi" w:hAnsiTheme="majorBidi" w:cstheme="majorBidi"/>
          <w:b/>
          <w:bCs/>
          <w:lang w:val="sq-AL"/>
        </w:rPr>
        <w:t>ë</w:t>
      </w:r>
      <w:r w:rsidRPr="0091052B">
        <w:rPr>
          <w:rFonts w:asciiTheme="majorBidi" w:hAnsiTheme="majorBidi" w:cstheme="majorBidi"/>
          <w:b/>
          <w:bCs/>
          <w:lang w:val="sq-AL"/>
        </w:rPr>
        <w:t xml:space="preserve"> sip</w:t>
      </w:r>
      <w:r>
        <w:rPr>
          <w:rFonts w:asciiTheme="majorBidi" w:hAnsiTheme="majorBidi" w:cstheme="majorBidi"/>
          <w:b/>
          <w:bCs/>
          <w:lang w:val="sq-AL"/>
        </w:rPr>
        <w:t>ë</w:t>
      </w:r>
      <w:r w:rsidRPr="0091052B">
        <w:rPr>
          <w:rFonts w:asciiTheme="majorBidi" w:hAnsiTheme="majorBidi" w:cstheme="majorBidi"/>
          <w:b/>
          <w:bCs/>
          <w:lang w:val="sq-AL"/>
        </w:rPr>
        <w:t>r p</w:t>
      </w:r>
      <w:r>
        <w:rPr>
          <w:rFonts w:asciiTheme="majorBidi" w:hAnsiTheme="majorBidi" w:cstheme="majorBidi"/>
          <w:b/>
          <w:bCs/>
          <w:lang w:val="sq-AL"/>
        </w:rPr>
        <w:t>ë</w:t>
      </w:r>
      <w:r w:rsidRPr="0091052B">
        <w:rPr>
          <w:rFonts w:asciiTheme="majorBidi" w:hAnsiTheme="majorBidi" w:cstheme="majorBidi"/>
          <w:b/>
          <w:bCs/>
          <w:lang w:val="sq-AL"/>
        </w:rPr>
        <w:t>r</w:t>
      </w:r>
      <w:r w:rsidR="001A0E38" w:rsidRPr="0091052B">
        <w:rPr>
          <w:rFonts w:asciiTheme="majorBidi" w:hAnsiTheme="majorBidi" w:cstheme="majorBidi"/>
          <w:b/>
          <w:bCs/>
          <w:lang w:val="sq-AL"/>
        </w:rPr>
        <w:t xml:space="preserve"> përmirësimin e cilësisë së përmbajtjes së raportit të monitorimit rekomandojmë:</w:t>
      </w:r>
    </w:p>
    <w:p w:rsidR="001A0E38" w:rsidRPr="00B61C60" w:rsidRDefault="001A0E38" w:rsidP="001A0E38">
      <w:pPr>
        <w:tabs>
          <w:tab w:val="left" w:pos="2160"/>
        </w:tabs>
        <w:spacing w:line="276" w:lineRule="auto"/>
        <w:jc w:val="both"/>
        <w:rPr>
          <w:rFonts w:asciiTheme="majorBidi" w:hAnsiTheme="majorBidi" w:cstheme="majorBidi"/>
          <w:lang w:val="sq-AL"/>
        </w:rPr>
      </w:pPr>
    </w:p>
    <w:p w:rsidR="001A0E38" w:rsidRPr="00B61C60" w:rsidRDefault="001A0E38" w:rsidP="001A0E38">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 xml:space="preserve">Për shpenzimet buxhetore paraqitja e tyre duhet të bëhet sipas anekseve nr. 1 “Raporti i shpenzimeve sipas Programeve” dhe aneksi 2 “Raporti i shpenzimeve të Programit sipas Artikujve buxhetorë”. Këto të dhëna duhet të shoqërohen me një analizë të lidhur me të gjithë faktorët që kanë ndikuar në nivelin e realizimit të tyre. </w:t>
      </w:r>
    </w:p>
    <w:p w:rsidR="001A0E38" w:rsidRPr="00B61C60" w:rsidRDefault="001A0E38" w:rsidP="001A0E38">
      <w:pPr>
        <w:tabs>
          <w:tab w:val="left" w:pos="2160"/>
        </w:tabs>
        <w:spacing w:line="276" w:lineRule="auto"/>
        <w:jc w:val="both"/>
        <w:rPr>
          <w:rFonts w:asciiTheme="majorBidi" w:hAnsiTheme="majorBidi" w:cstheme="majorBidi"/>
          <w:lang w:val="sq-AL"/>
        </w:rPr>
      </w:pPr>
    </w:p>
    <w:p w:rsidR="001A0E38" w:rsidRPr="00B61C60" w:rsidRDefault="001A0E38" w:rsidP="001A0E38">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 xml:space="preserve">Për të siguruar paraqitjen sa më mirë të lidhjes midis realizimit të objektivave të politikës së programit me realizimin e treguesve të performancës/produkteve, të dhënat mbi </w:t>
      </w:r>
      <w:r w:rsidRPr="00B61C60">
        <w:rPr>
          <w:rFonts w:asciiTheme="majorBidi" w:hAnsiTheme="majorBidi" w:cstheme="majorBidi"/>
          <w:sz w:val="24"/>
          <w:szCs w:val="24"/>
          <w:lang w:val="sq-AL"/>
        </w:rPr>
        <w:lastRenderedPageBreak/>
        <w:t>realizimin e tyre duhet të paraqiten sipas aneksit nr. 4 “Raporti i realizimit të objektivave të politikës së programit”, të përcaktuar në udhëzimin e mësipërm. I rëndësishëm është edhe plotësimi i komenteve për secilin tregues për të evidentuar si arritjet edhe problematikat.</w:t>
      </w:r>
    </w:p>
    <w:p w:rsidR="001A0E38" w:rsidRPr="00B61C60" w:rsidRDefault="001A0E38" w:rsidP="001A0E38">
      <w:pPr>
        <w:pStyle w:val="ListParagraph"/>
        <w:spacing w:line="276" w:lineRule="auto"/>
        <w:rPr>
          <w:rFonts w:asciiTheme="majorBidi" w:hAnsiTheme="majorBidi" w:cstheme="majorBidi"/>
          <w:sz w:val="24"/>
          <w:szCs w:val="24"/>
          <w:lang w:val="sq-AL"/>
        </w:rPr>
      </w:pPr>
    </w:p>
    <w:p w:rsidR="001A0E38" w:rsidRPr="00B61C60" w:rsidRDefault="001A0E38" w:rsidP="001A0E38">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Analiza e treguesve të performancës/produkteve duhet të bëhet duke plotësuar dhe paraqitur të dhënat sipas aneksit nr. 3 “Raporti përmbledhës i realizimit të treguesve të performancës/produkteve të programit”. Nga krahasimi i luhatjeve të kostos për njësi mund të evidentohen problematika të cilat duhet të paraqiten në kolonën “komente”.</w:t>
      </w:r>
    </w:p>
    <w:p w:rsidR="001A0E38" w:rsidRPr="00B61C60" w:rsidRDefault="001A0E38" w:rsidP="001A0E38">
      <w:pPr>
        <w:pStyle w:val="ListParagraph"/>
        <w:tabs>
          <w:tab w:val="left" w:pos="2160"/>
        </w:tabs>
        <w:spacing w:line="276" w:lineRule="auto"/>
        <w:ind w:left="540"/>
        <w:jc w:val="both"/>
        <w:rPr>
          <w:rFonts w:asciiTheme="majorBidi" w:hAnsiTheme="majorBidi" w:cstheme="majorBidi"/>
          <w:sz w:val="24"/>
          <w:szCs w:val="24"/>
          <w:lang w:val="sq-AL"/>
        </w:rPr>
      </w:pPr>
    </w:p>
    <w:p w:rsidR="001A0E38" w:rsidRPr="00B61C60" w:rsidRDefault="001A0E38" w:rsidP="0091052B">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Për ndryshimet që ka pësuar plani i buxhetit duhet të jepen aktet përkatëse që kanë bërë këtë ndryshim, të jepen shpjegime nëse kanë ndikuar ato në treguesit e performancës/produkteve apo edhe në realizimin e objektivave të politikës së programit.</w:t>
      </w:r>
    </w:p>
    <w:p w:rsidR="001A0E38" w:rsidRPr="00B61C60" w:rsidRDefault="001A0E38" w:rsidP="001A0E38">
      <w:pPr>
        <w:pStyle w:val="ListParagraph"/>
        <w:tabs>
          <w:tab w:val="left" w:pos="2160"/>
        </w:tabs>
        <w:spacing w:line="276" w:lineRule="auto"/>
        <w:ind w:left="540"/>
        <w:jc w:val="both"/>
        <w:rPr>
          <w:rFonts w:asciiTheme="majorBidi" w:hAnsiTheme="majorBidi" w:cstheme="majorBidi"/>
          <w:sz w:val="24"/>
          <w:szCs w:val="24"/>
          <w:lang w:val="sq-AL"/>
        </w:rPr>
      </w:pPr>
    </w:p>
    <w:p w:rsidR="001A0E38" w:rsidRDefault="001A0E38" w:rsidP="001A0E38">
      <w:pPr>
        <w:pStyle w:val="ListParagraph"/>
        <w:numPr>
          <w:ilvl w:val="0"/>
          <w:numId w:val="3"/>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Pjesë e raportit të monitorimit duhet të jenë edhe shpenzimet e realizuara nga të ardhurat jashtë limitit si edhe treguesit e performancës/produktet e realizuara nga përdorimi i tyre pjesë e aneksit nr. 3.</w:t>
      </w:r>
    </w:p>
    <w:p w:rsidR="001A0E38" w:rsidRPr="00733808" w:rsidRDefault="001A0E38" w:rsidP="001A0E38">
      <w:pPr>
        <w:pStyle w:val="ListParagraph"/>
        <w:rPr>
          <w:rFonts w:asciiTheme="majorBidi" w:hAnsiTheme="majorBidi" w:cstheme="majorBidi"/>
          <w:sz w:val="24"/>
          <w:szCs w:val="24"/>
          <w:lang w:val="sq-AL"/>
        </w:rPr>
      </w:pPr>
    </w:p>
    <w:p w:rsidR="0091052B" w:rsidRPr="0091052B" w:rsidRDefault="001A0E38" w:rsidP="001A0E38">
      <w:pPr>
        <w:pStyle w:val="ListParagraph"/>
        <w:numPr>
          <w:ilvl w:val="0"/>
          <w:numId w:val="3"/>
        </w:numPr>
        <w:tabs>
          <w:tab w:val="left" w:pos="2160"/>
        </w:tabs>
        <w:spacing w:line="276" w:lineRule="auto"/>
        <w:ind w:left="540" w:hanging="180"/>
        <w:jc w:val="both"/>
        <w:rPr>
          <w:bCs/>
          <w:lang w:val="sq-AL"/>
        </w:rPr>
      </w:pPr>
      <w:r w:rsidRPr="00733808">
        <w:rPr>
          <w:sz w:val="24"/>
          <w:szCs w:val="24"/>
          <w:lang w:val="sq-AL"/>
        </w:rPr>
        <w:t xml:space="preserve">Një ndër problematikat që duhet të trajtohet në raportet e monitorimit është edhe evidentimi dhe trajtimi i detyrimeve të prapambetura si ato të trashëguara ashtu edhe ato të krijuara rishtazi. Trajtimi i tyre i cili duhet të konsiderohet si prioritar duhet të konsistojë në paraqitjen e argumentave lidhur me krijimin e tyre si edhe masat që parashikohet të merren për likujdimin e tyre. </w:t>
      </w:r>
    </w:p>
    <w:p w:rsidR="0091052B" w:rsidRPr="0091052B" w:rsidRDefault="0091052B" w:rsidP="0091052B">
      <w:pPr>
        <w:pStyle w:val="ListParagraph"/>
        <w:rPr>
          <w:sz w:val="24"/>
          <w:szCs w:val="24"/>
          <w:lang w:val="sq-AL"/>
        </w:rPr>
      </w:pPr>
    </w:p>
    <w:p w:rsidR="001A0E38" w:rsidRPr="00733808" w:rsidRDefault="001A0E38" w:rsidP="0091052B">
      <w:pPr>
        <w:pStyle w:val="ListParagraph"/>
        <w:tabs>
          <w:tab w:val="left" w:pos="2160"/>
        </w:tabs>
        <w:spacing w:line="276" w:lineRule="auto"/>
        <w:ind w:left="540"/>
        <w:jc w:val="both"/>
        <w:rPr>
          <w:bCs/>
          <w:lang w:val="sq-AL"/>
        </w:rPr>
      </w:pPr>
      <w:r w:rsidRPr="00CB5116">
        <w:rPr>
          <w:sz w:val="24"/>
          <w:szCs w:val="24"/>
          <w:lang w:val="sq-AL"/>
        </w:rPr>
        <w:t xml:space="preserve">Në lidhje me </w:t>
      </w:r>
      <w:r w:rsidRPr="00733808">
        <w:rPr>
          <w:sz w:val="24"/>
          <w:szCs w:val="24"/>
          <w:lang w:val="sq-AL"/>
        </w:rPr>
        <w:t xml:space="preserve">këtë </w:t>
      </w:r>
      <w:r w:rsidRPr="00CB5116">
        <w:rPr>
          <w:sz w:val="24"/>
          <w:szCs w:val="24"/>
          <w:lang w:val="sq-AL"/>
        </w:rPr>
        <w:t>rekomandim, vlerësojmë faktin që</w:t>
      </w:r>
      <w:r w:rsidRPr="00733808">
        <w:rPr>
          <w:sz w:val="24"/>
          <w:szCs w:val="24"/>
          <w:lang w:val="sq-AL"/>
        </w:rPr>
        <w:t>,</w:t>
      </w:r>
      <w:r w:rsidRPr="00CB5116">
        <w:rPr>
          <w:sz w:val="24"/>
          <w:szCs w:val="24"/>
          <w:lang w:val="sq-AL"/>
        </w:rPr>
        <w:t xml:space="preserve"> </w:t>
      </w:r>
      <w:r w:rsidRPr="00733808">
        <w:rPr>
          <w:sz w:val="24"/>
          <w:szCs w:val="24"/>
          <w:lang w:val="sq-AL"/>
        </w:rPr>
        <w:t xml:space="preserve">sipas deklarimeve të bëra nga ana </w:t>
      </w:r>
      <w:r w:rsidR="0091052B">
        <w:rPr>
          <w:sz w:val="24"/>
          <w:szCs w:val="24"/>
          <w:lang w:val="sq-AL"/>
        </w:rPr>
        <w:t>e tyre</w:t>
      </w:r>
      <w:r w:rsidRPr="00733808">
        <w:rPr>
          <w:sz w:val="24"/>
          <w:szCs w:val="24"/>
          <w:lang w:val="sq-AL"/>
        </w:rPr>
        <w:t>, Ministria e Mbrojtjes nuk ka detyrime të prapambetura.</w:t>
      </w:r>
    </w:p>
    <w:p w:rsidR="001A0E38" w:rsidRPr="00B61C60" w:rsidRDefault="001A0E38" w:rsidP="001A0E38">
      <w:pPr>
        <w:pStyle w:val="ListParagraph"/>
        <w:tabs>
          <w:tab w:val="left" w:pos="2160"/>
        </w:tabs>
        <w:spacing w:line="276" w:lineRule="auto"/>
        <w:ind w:left="540"/>
        <w:jc w:val="both"/>
        <w:rPr>
          <w:rFonts w:asciiTheme="majorBidi" w:hAnsiTheme="majorBidi" w:cstheme="majorBidi"/>
          <w:sz w:val="24"/>
          <w:szCs w:val="24"/>
          <w:lang w:val="sq-AL"/>
        </w:rPr>
      </w:pPr>
    </w:p>
    <w:p w:rsidR="001A0E38" w:rsidRPr="00B61C60" w:rsidRDefault="001A0E38" w:rsidP="001A0E38">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 xml:space="preserve">    </w:t>
      </w:r>
    </w:p>
    <w:p w:rsidR="001A0E38" w:rsidRPr="00B61C60" w:rsidRDefault="001A0E38" w:rsidP="001A0E38">
      <w:pPr>
        <w:numPr>
          <w:ilvl w:val="0"/>
          <w:numId w:val="2"/>
        </w:numPr>
        <w:tabs>
          <w:tab w:val="left" w:pos="2160"/>
        </w:tabs>
        <w:spacing w:after="200" w:line="276" w:lineRule="auto"/>
        <w:ind w:left="0" w:firstLine="720"/>
        <w:jc w:val="both"/>
        <w:rPr>
          <w:rFonts w:asciiTheme="majorBidi" w:hAnsiTheme="majorBidi" w:cstheme="majorBidi"/>
          <w:b/>
          <w:lang w:val="sq-AL"/>
        </w:rPr>
      </w:pPr>
      <w:r w:rsidRPr="00B61C60">
        <w:rPr>
          <w:rFonts w:asciiTheme="majorBidi" w:hAnsiTheme="majorBidi" w:cstheme="majorBidi"/>
          <w:b/>
          <w:lang w:val="sq-AL"/>
        </w:rPr>
        <w:t xml:space="preserve"> Publikimi </w:t>
      </w:r>
    </w:p>
    <w:p w:rsidR="001A0E38" w:rsidRPr="00B61C60" w:rsidRDefault="001A0E38" w:rsidP="0091052B">
      <w:pPr>
        <w:tabs>
          <w:tab w:val="left" w:pos="2160"/>
        </w:tabs>
        <w:spacing w:line="276" w:lineRule="auto"/>
        <w:jc w:val="both"/>
        <w:rPr>
          <w:b/>
          <w:bCs/>
          <w:lang w:val="sq-AL"/>
        </w:rPr>
      </w:pPr>
      <w:r w:rsidRPr="00B61C60">
        <w:rPr>
          <w:rFonts w:asciiTheme="majorBidi" w:hAnsiTheme="majorBidi" w:cstheme="majorBidi"/>
          <w:lang w:val="sq-AL"/>
        </w:rPr>
        <w:t>Nuk kemi informacion nëse Raporti i Monitorimit i Ministrisë së Mbrojtjes, është publikuar në faqen zyrtare të MM.</w:t>
      </w:r>
    </w:p>
    <w:p w:rsidR="00782453" w:rsidRPr="00782453" w:rsidRDefault="00782453" w:rsidP="001A0E38">
      <w:pPr>
        <w:jc w:val="both"/>
        <w:rPr>
          <w:b/>
          <w:bCs/>
          <w:lang w:val="sq-AL"/>
        </w:rPr>
      </w:pPr>
    </w:p>
    <w:sectPr w:rsidR="00782453" w:rsidRPr="00782453" w:rsidSect="00EB45AE">
      <w:pgSz w:w="12240" w:h="15840"/>
      <w:pgMar w:top="135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E421FF7"/>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D6865"/>
    <w:rsid w:val="001A0E38"/>
    <w:rsid w:val="005D134C"/>
    <w:rsid w:val="005D40BF"/>
    <w:rsid w:val="00602DFF"/>
    <w:rsid w:val="006462D9"/>
    <w:rsid w:val="006A01D2"/>
    <w:rsid w:val="00782453"/>
    <w:rsid w:val="007E3096"/>
    <w:rsid w:val="008E71D5"/>
    <w:rsid w:val="0091052B"/>
    <w:rsid w:val="00912624"/>
    <w:rsid w:val="00B25EEF"/>
    <w:rsid w:val="00D62933"/>
    <w:rsid w:val="00DD1B55"/>
    <w:rsid w:val="00EB45AE"/>
    <w:rsid w:val="00ED17CA"/>
    <w:rsid w:val="00F31F4D"/>
    <w:rsid w:val="00F47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link w:val="ListParagraph"/>
    <w:uiPriority w:val="34"/>
    <w:locked/>
    <w:rsid w:val="001A0E38"/>
    <w:rPr>
      <w:rFonts w:ascii="Times New Roman" w:eastAsia="MS Mincho"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link w:val="ListParagraph"/>
    <w:uiPriority w:val="34"/>
    <w:locked/>
    <w:rsid w:val="001A0E38"/>
    <w:rPr>
      <w:rFonts w:ascii="Times New Roman" w:eastAsia="MS Mincho"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FE815-862B-4C58-B1A3-972D5224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Shpresa Karanxha</cp:lastModifiedBy>
  <cp:revision>2</cp:revision>
  <dcterms:created xsi:type="dcterms:W3CDTF">2017-07-18T11:21:00Z</dcterms:created>
  <dcterms:modified xsi:type="dcterms:W3CDTF">2017-07-18T11:21:00Z</dcterms:modified>
</cp:coreProperties>
</file>