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C2" w:rsidRPr="00187D35" w:rsidRDefault="002C2BC2" w:rsidP="008B3E5E">
      <w:pPr>
        <w:spacing w:line="360" w:lineRule="auto"/>
        <w:jc w:val="center"/>
        <w:rPr>
          <w:b/>
          <w:spacing w:val="1"/>
          <w:lang w:val="sq-AL"/>
        </w:rPr>
      </w:pPr>
      <w:r w:rsidRPr="00187D35">
        <w:rPr>
          <w:b/>
          <w:spacing w:val="1"/>
          <w:lang w:val="sq-AL"/>
        </w:rPr>
        <w:t>RAPORT</w:t>
      </w:r>
    </w:p>
    <w:p w:rsidR="00826FF1" w:rsidRPr="00187D35" w:rsidRDefault="008439E3" w:rsidP="008B3E5E">
      <w:pPr>
        <w:spacing w:line="360" w:lineRule="auto"/>
        <w:jc w:val="center"/>
        <w:rPr>
          <w:b/>
          <w:spacing w:val="1"/>
          <w:lang w:val="sq-AL"/>
        </w:rPr>
      </w:pPr>
      <w:r w:rsidRPr="00187D35">
        <w:rPr>
          <w:b/>
          <w:spacing w:val="1"/>
          <w:lang w:val="sq-AL"/>
        </w:rPr>
        <w:t>MBI</w:t>
      </w:r>
    </w:p>
    <w:p w:rsidR="008B3E5E" w:rsidRPr="00187D35" w:rsidRDefault="008439E3" w:rsidP="008B3E5E">
      <w:pPr>
        <w:spacing w:line="360" w:lineRule="auto"/>
        <w:jc w:val="center"/>
        <w:rPr>
          <w:b/>
          <w:lang w:val="sq-AL"/>
        </w:rPr>
      </w:pPr>
      <w:r w:rsidRPr="00187D35">
        <w:rPr>
          <w:b/>
          <w:spacing w:val="1"/>
          <w:lang w:val="sq-AL"/>
        </w:rPr>
        <w:t>P</w:t>
      </w:r>
      <w:r w:rsidR="00410EEB" w:rsidRPr="00187D35">
        <w:rPr>
          <w:b/>
          <w:spacing w:val="1"/>
          <w:lang w:val="sq-AL"/>
        </w:rPr>
        <w:t>Ë</w:t>
      </w:r>
      <w:r w:rsidRPr="00187D35">
        <w:rPr>
          <w:b/>
          <w:spacing w:val="1"/>
          <w:lang w:val="sq-AL"/>
        </w:rPr>
        <w:t xml:space="preserve">RDORIMIN </w:t>
      </w:r>
      <w:r w:rsidRPr="00187D35">
        <w:rPr>
          <w:b/>
          <w:lang w:val="sq-AL"/>
        </w:rPr>
        <w:t xml:space="preserve">E </w:t>
      </w:r>
      <w:r w:rsidRPr="00187D35">
        <w:rPr>
          <w:b/>
          <w:spacing w:val="1"/>
          <w:lang w:val="sq-AL"/>
        </w:rPr>
        <w:t>FONDIT REZERV</w:t>
      </w:r>
      <w:r w:rsidR="00410EEB" w:rsidRPr="00187D35">
        <w:rPr>
          <w:b/>
          <w:spacing w:val="1"/>
          <w:lang w:val="sq-AL"/>
        </w:rPr>
        <w:t>Ë</w:t>
      </w:r>
      <w:r w:rsidRPr="00187D35">
        <w:rPr>
          <w:b/>
          <w:spacing w:val="1"/>
          <w:lang w:val="sq-AL"/>
        </w:rPr>
        <w:t xml:space="preserve"> T</w:t>
      </w:r>
      <w:r w:rsidR="00410EEB" w:rsidRPr="00187D35">
        <w:rPr>
          <w:b/>
          <w:spacing w:val="1"/>
          <w:lang w:val="sq-AL"/>
        </w:rPr>
        <w:t>Ë</w:t>
      </w:r>
      <w:r w:rsidRPr="00187D35">
        <w:rPr>
          <w:b/>
          <w:spacing w:val="1"/>
          <w:lang w:val="sq-AL"/>
        </w:rPr>
        <w:t xml:space="preserve"> </w:t>
      </w:r>
      <w:r w:rsidR="00863EC6" w:rsidRPr="00187D35">
        <w:rPr>
          <w:b/>
          <w:spacing w:val="1"/>
          <w:lang w:val="sq-AL"/>
        </w:rPr>
        <w:t>BUXHETIT T</w:t>
      </w:r>
      <w:r w:rsidR="00410EEB" w:rsidRPr="00187D35">
        <w:rPr>
          <w:b/>
          <w:spacing w:val="1"/>
          <w:lang w:val="sq-AL"/>
        </w:rPr>
        <w:t>Ë</w:t>
      </w:r>
      <w:r w:rsidR="00863EC6" w:rsidRPr="00187D35">
        <w:rPr>
          <w:b/>
          <w:spacing w:val="1"/>
          <w:lang w:val="sq-AL"/>
        </w:rPr>
        <w:t xml:space="preserve"> SHTETIT</w:t>
      </w:r>
      <w:r w:rsidR="008B3E5E" w:rsidRPr="00187D35">
        <w:rPr>
          <w:b/>
          <w:spacing w:val="1"/>
          <w:lang w:val="sq-AL"/>
        </w:rPr>
        <w:t xml:space="preserve"> DHE</w:t>
      </w:r>
      <w:r w:rsidR="008B3E5E" w:rsidRPr="00187D35">
        <w:rPr>
          <w:b/>
          <w:lang w:val="sq-AL"/>
        </w:rPr>
        <w:t xml:space="preserve"> TË FONDIT TË KONTIGJENCËS PËR VITIN 201</w:t>
      </w:r>
      <w:r w:rsidR="0003036C" w:rsidRPr="00187D35">
        <w:rPr>
          <w:b/>
          <w:lang w:val="sq-AL"/>
        </w:rPr>
        <w:t>4</w:t>
      </w:r>
    </w:p>
    <w:p w:rsidR="008B3E5E" w:rsidRPr="00187D35" w:rsidRDefault="008B3E5E" w:rsidP="008B3E5E">
      <w:pPr>
        <w:spacing w:line="360" w:lineRule="auto"/>
        <w:jc w:val="center"/>
        <w:rPr>
          <w:b/>
          <w:lang w:val="sq-AL"/>
        </w:rPr>
      </w:pPr>
    </w:p>
    <w:p w:rsidR="008B3E5E" w:rsidRPr="00187D35" w:rsidRDefault="008B3E5E" w:rsidP="008B3E5E">
      <w:pPr>
        <w:numPr>
          <w:ilvl w:val="0"/>
          <w:numId w:val="22"/>
        </w:numPr>
        <w:spacing w:line="360" w:lineRule="auto"/>
        <w:jc w:val="both"/>
        <w:rPr>
          <w:b/>
          <w:sz w:val="26"/>
          <w:szCs w:val="26"/>
          <w:lang w:val="sq-AL"/>
        </w:rPr>
      </w:pPr>
      <w:r w:rsidRPr="00187D35">
        <w:rPr>
          <w:b/>
          <w:sz w:val="26"/>
          <w:szCs w:val="26"/>
          <w:lang w:val="sq-AL"/>
        </w:rPr>
        <w:t>Fondi Rezerv</w:t>
      </w:r>
      <w:r w:rsidR="009B1780" w:rsidRPr="00187D35">
        <w:rPr>
          <w:b/>
          <w:sz w:val="26"/>
          <w:szCs w:val="26"/>
          <w:lang w:val="sq-AL"/>
        </w:rPr>
        <w:t>ë</w:t>
      </w:r>
    </w:p>
    <w:p w:rsidR="008439E3" w:rsidRPr="00187D35" w:rsidRDefault="008439E3" w:rsidP="004C70C3">
      <w:pPr>
        <w:jc w:val="both"/>
        <w:rPr>
          <w:spacing w:val="-1"/>
          <w:lang w:val="sq-AL"/>
        </w:rPr>
      </w:pPr>
      <w:r w:rsidRPr="00187D35">
        <w:rPr>
          <w:spacing w:val="-1"/>
          <w:lang w:val="sq-AL"/>
        </w:rPr>
        <w:t>N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</w:t>
      </w:r>
      <w:r w:rsidR="00950FB7" w:rsidRPr="00187D35">
        <w:rPr>
          <w:spacing w:val="-1"/>
          <w:lang w:val="sq-AL"/>
        </w:rPr>
        <w:t>mbështetje</w:t>
      </w:r>
      <w:r w:rsidRPr="00187D35">
        <w:rPr>
          <w:spacing w:val="-1"/>
          <w:lang w:val="sq-AL"/>
        </w:rPr>
        <w:t xml:space="preserve"> t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nenit </w:t>
      </w:r>
      <w:r w:rsidR="00502D53" w:rsidRPr="00187D35">
        <w:rPr>
          <w:spacing w:val="-1"/>
          <w:lang w:val="sq-AL"/>
        </w:rPr>
        <w:t>5</w:t>
      </w:r>
      <w:r w:rsidRPr="00187D35">
        <w:rPr>
          <w:spacing w:val="-1"/>
          <w:lang w:val="sq-AL"/>
        </w:rPr>
        <w:t xml:space="preserve"> t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</w:t>
      </w:r>
      <w:r w:rsidR="004C70C3">
        <w:rPr>
          <w:spacing w:val="-1"/>
          <w:lang w:val="sq-AL"/>
        </w:rPr>
        <w:t>l</w:t>
      </w:r>
      <w:r w:rsidRPr="00187D35">
        <w:rPr>
          <w:spacing w:val="-1"/>
          <w:lang w:val="sq-AL"/>
        </w:rPr>
        <w:t xml:space="preserve">igjit </w:t>
      </w:r>
      <w:r w:rsidR="00170E5F" w:rsidRPr="00187D35">
        <w:rPr>
          <w:spacing w:val="-1"/>
          <w:lang w:val="sq-AL"/>
        </w:rPr>
        <w:t>n</w:t>
      </w:r>
      <w:r w:rsidRPr="00187D35">
        <w:rPr>
          <w:spacing w:val="-1"/>
          <w:lang w:val="sq-AL"/>
        </w:rPr>
        <w:t>r.</w:t>
      </w:r>
      <w:r w:rsidR="00170E5F" w:rsidRPr="00187D35">
        <w:rPr>
          <w:spacing w:val="-1"/>
          <w:lang w:val="sq-AL"/>
        </w:rPr>
        <w:t xml:space="preserve"> </w:t>
      </w:r>
      <w:r w:rsidR="00502D53" w:rsidRPr="00187D35">
        <w:rPr>
          <w:spacing w:val="-1"/>
          <w:lang w:val="sq-AL"/>
        </w:rPr>
        <w:t>9936</w:t>
      </w:r>
      <w:r w:rsidR="004C70C3">
        <w:rPr>
          <w:spacing w:val="-1"/>
          <w:lang w:val="sq-AL"/>
        </w:rPr>
        <w:t>,</w:t>
      </w:r>
      <w:r w:rsidRPr="00187D35">
        <w:rPr>
          <w:spacing w:val="-1"/>
          <w:lang w:val="sq-AL"/>
        </w:rPr>
        <w:t xml:space="preserve"> dat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2</w:t>
      </w:r>
      <w:r w:rsidR="00502D53" w:rsidRPr="00187D35">
        <w:rPr>
          <w:spacing w:val="-1"/>
          <w:lang w:val="sq-AL"/>
        </w:rPr>
        <w:t>6.6.2008,</w:t>
      </w:r>
      <w:r w:rsidRPr="00187D35">
        <w:rPr>
          <w:spacing w:val="-1"/>
          <w:lang w:val="sq-AL"/>
        </w:rPr>
        <w:t xml:space="preserve"> </w:t>
      </w:r>
      <w:r w:rsidR="00502D53" w:rsidRPr="00187D35">
        <w:rPr>
          <w:spacing w:val="-1"/>
          <w:lang w:val="sq-AL"/>
        </w:rPr>
        <w:t>“</w:t>
      </w:r>
      <w:r w:rsidRPr="00187D35">
        <w:rPr>
          <w:spacing w:val="-1"/>
          <w:lang w:val="sq-AL"/>
        </w:rPr>
        <w:t>P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r </w:t>
      </w:r>
      <w:r w:rsidR="00502D53" w:rsidRPr="00187D35">
        <w:rPr>
          <w:spacing w:val="-1"/>
          <w:lang w:val="sq-AL"/>
        </w:rPr>
        <w:t>menaxhimin e sistemit buxhetor n</w:t>
      </w:r>
      <w:r w:rsidR="00410EEB" w:rsidRPr="00187D35">
        <w:rPr>
          <w:spacing w:val="-1"/>
          <w:lang w:val="sq-AL"/>
        </w:rPr>
        <w:t>ë</w:t>
      </w:r>
      <w:r w:rsidR="00502D53" w:rsidRPr="00187D35">
        <w:rPr>
          <w:spacing w:val="-1"/>
          <w:lang w:val="sq-AL"/>
        </w:rPr>
        <w:t xml:space="preserve"> Republik</w:t>
      </w:r>
      <w:r w:rsidR="00410EEB" w:rsidRPr="00187D35">
        <w:rPr>
          <w:spacing w:val="-1"/>
          <w:lang w:val="sq-AL"/>
        </w:rPr>
        <w:t>ë</w:t>
      </w:r>
      <w:r w:rsidR="00502D53" w:rsidRPr="00187D35">
        <w:rPr>
          <w:spacing w:val="-1"/>
          <w:lang w:val="sq-AL"/>
        </w:rPr>
        <w:t xml:space="preserve">n e </w:t>
      </w:r>
      <w:r w:rsidR="00950FB7" w:rsidRPr="00187D35">
        <w:rPr>
          <w:spacing w:val="-1"/>
          <w:lang w:val="sq-AL"/>
        </w:rPr>
        <w:t>Shqipërisë</w:t>
      </w:r>
      <w:r w:rsidR="00502D53" w:rsidRPr="00187D35">
        <w:rPr>
          <w:spacing w:val="-1"/>
          <w:lang w:val="sq-AL"/>
        </w:rPr>
        <w:t>”</w:t>
      </w:r>
      <w:r w:rsidRPr="00187D35">
        <w:rPr>
          <w:spacing w:val="-1"/>
          <w:lang w:val="sq-AL"/>
        </w:rPr>
        <w:t xml:space="preserve">, </w:t>
      </w:r>
      <w:r w:rsidR="00502D53" w:rsidRPr="00187D35">
        <w:rPr>
          <w:spacing w:val="-1"/>
          <w:lang w:val="sq-AL"/>
        </w:rPr>
        <w:t>buxheti i shtetit p</w:t>
      </w:r>
      <w:r w:rsidR="00410EEB" w:rsidRPr="00187D35">
        <w:rPr>
          <w:spacing w:val="-1"/>
          <w:lang w:val="sq-AL"/>
        </w:rPr>
        <w:t>ë</w:t>
      </w:r>
      <w:r w:rsidR="00502D53" w:rsidRPr="00187D35">
        <w:rPr>
          <w:spacing w:val="-1"/>
          <w:lang w:val="sq-AL"/>
        </w:rPr>
        <w:t xml:space="preserve">rfshin </w:t>
      </w:r>
      <w:r w:rsidR="00863EC6" w:rsidRPr="00187D35">
        <w:rPr>
          <w:spacing w:val="-1"/>
          <w:lang w:val="sq-AL"/>
        </w:rPr>
        <w:t xml:space="preserve">edhe </w:t>
      </w:r>
      <w:r w:rsidR="00502D53" w:rsidRPr="00187D35">
        <w:rPr>
          <w:spacing w:val="-1"/>
          <w:lang w:val="sq-AL"/>
        </w:rPr>
        <w:t>nj</w:t>
      </w:r>
      <w:r w:rsidR="00410EEB" w:rsidRPr="00187D35">
        <w:rPr>
          <w:spacing w:val="-1"/>
          <w:lang w:val="sq-AL"/>
        </w:rPr>
        <w:t>ë</w:t>
      </w:r>
      <w:r w:rsidR="00502D53" w:rsidRPr="00187D35">
        <w:rPr>
          <w:spacing w:val="-1"/>
          <w:lang w:val="sq-AL"/>
        </w:rPr>
        <w:t xml:space="preserve"> </w:t>
      </w:r>
      <w:r w:rsidRPr="00187D35">
        <w:rPr>
          <w:spacing w:val="-1"/>
          <w:lang w:val="sq-AL"/>
        </w:rPr>
        <w:t>fond rezerv</w:t>
      </w:r>
      <w:r w:rsidR="00410EEB" w:rsidRPr="00187D35">
        <w:rPr>
          <w:spacing w:val="-1"/>
          <w:lang w:val="sq-AL"/>
        </w:rPr>
        <w:t>ë</w:t>
      </w:r>
      <w:r w:rsidR="000C60CC" w:rsidRPr="00187D35">
        <w:rPr>
          <w:spacing w:val="-1"/>
          <w:lang w:val="sq-AL"/>
        </w:rPr>
        <w:t>,</w:t>
      </w:r>
      <w:r w:rsidRPr="00187D35">
        <w:rPr>
          <w:spacing w:val="-1"/>
          <w:lang w:val="sq-AL"/>
        </w:rPr>
        <w:t xml:space="preserve"> i </w:t>
      </w:r>
      <w:r w:rsidR="00502D53" w:rsidRPr="00187D35">
        <w:rPr>
          <w:spacing w:val="-1"/>
          <w:lang w:val="sq-AL"/>
        </w:rPr>
        <w:t>cili p</w:t>
      </w:r>
      <w:r w:rsidR="00410EEB" w:rsidRPr="00187D35">
        <w:rPr>
          <w:spacing w:val="-1"/>
          <w:lang w:val="sq-AL"/>
        </w:rPr>
        <w:t>ë</w:t>
      </w:r>
      <w:r w:rsidR="00502D53" w:rsidRPr="00187D35">
        <w:rPr>
          <w:spacing w:val="-1"/>
          <w:lang w:val="sq-AL"/>
        </w:rPr>
        <w:t>rdoret p</w:t>
      </w:r>
      <w:r w:rsidR="00410EEB" w:rsidRPr="00187D35">
        <w:rPr>
          <w:spacing w:val="-1"/>
          <w:lang w:val="sq-AL"/>
        </w:rPr>
        <w:t>ë</w:t>
      </w:r>
      <w:r w:rsidR="00502D53" w:rsidRPr="00187D35">
        <w:rPr>
          <w:spacing w:val="-1"/>
          <w:lang w:val="sq-AL"/>
        </w:rPr>
        <w:t>r rastet e financimit t</w:t>
      </w:r>
      <w:r w:rsidR="00410EEB" w:rsidRPr="00187D35">
        <w:rPr>
          <w:spacing w:val="-1"/>
          <w:lang w:val="sq-AL"/>
        </w:rPr>
        <w:t>ë</w:t>
      </w:r>
      <w:r w:rsidR="00502D53" w:rsidRPr="00187D35">
        <w:rPr>
          <w:spacing w:val="-1"/>
          <w:lang w:val="sq-AL"/>
        </w:rPr>
        <w:t xml:space="preserve"> shpenzimeve</w:t>
      </w:r>
      <w:r w:rsidR="000C60CC" w:rsidRPr="00187D35">
        <w:rPr>
          <w:spacing w:val="-1"/>
          <w:lang w:val="sq-AL"/>
        </w:rPr>
        <w:t>,</w:t>
      </w:r>
      <w:r w:rsidR="00502D53" w:rsidRPr="00187D35">
        <w:rPr>
          <w:spacing w:val="-1"/>
          <w:lang w:val="sq-AL"/>
        </w:rPr>
        <w:t xml:space="preserve"> q</w:t>
      </w:r>
      <w:r w:rsidR="00410EEB" w:rsidRPr="00187D35">
        <w:rPr>
          <w:spacing w:val="-1"/>
          <w:lang w:val="sq-AL"/>
        </w:rPr>
        <w:t>ë</w:t>
      </w:r>
      <w:r w:rsidR="00B75E39" w:rsidRPr="00187D35">
        <w:rPr>
          <w:spacing w:val="-1"/>
          <w:lang w:val="sq-AL"/>
        </w:rPr>
        <w:t xml:space="preserve"> </w:t>
      </w:r>
      <w:r w:rsidR="00502D53" w:rsidRPr="00187D35">
        <w:rPr>
          <w:spacing w:val="-1"/>
          <w:lang w:val="sq-AL"/>
        </w:rPr>
        <w:t>nuk njihen dhe jan</w:t>
      </w:r>
      <w:r w:rsidR="00410EEB" w:rsidRPr="00187D35">
        <w:rPr>
          <w:spacing w:val="-1"/>
          <w:lang w:val="sq-AL"/>
        </w:rPr>
        <w:t>ë</w:t>
      </w:r>
      <w:r w:rsidR="00502D53" w:rsidRPr="00187D35">
        <w:rPr>
          <w:spacing w:val="-1"/>
          <w:lang w:val="sq-AL"/>
        </w:rPr>
        <w:t xml:space="preserve"> t</w:t>
      </w:r>
      <w:r w:rsidR="00410EEB" w:rsidRPr="00187D35">
        <w:rPr>
          <w:spacing w:val="-1"/>
          <w:lang w:val="sq-AL"/>
        </w:rPr>
        <w:t>ë</w:t>
      </w:r>
      <w:r w:rsidR="00502D53" w:rsidRPr="00187D35">
        <w:rPr>
          <w:spacing w:val="-1"/>
          <w:lang w:val="sq-AL"/>
        </w:rPr>
        <w:t xml:space="preserve"> pamundura t</w:t>
      </w:r>
      <w:r w:rsidR="00410EEB" w:rsidRPr="00187D35">
        <w:rPr>
          <w:spacing w:val="-1"/>
          <w:lang w:val="sq-AL"/>
        </w:rPr>
        <w:t>ë</w:t>
      </w:r>
      <w:r w:rsidR="00502D53" w:rsidRPr="00187D35">
        <w:rPr>
          <w:spacing w:val="-1"/>
          <w:lang w:val="sq-AL"/>
        </w:rPr>
        <w:t xml:space="preserve"> parashikohen gjat</w:t>
      </w:r>
      <w:r w:rsidR="00410EEB" w:rsidRPr="00187D35">
        <w:rPr>
          <w:spacing w:val="-1"/>
          <w:lang w:val="sq-AL"/>
        </w:rPr>
        <w:t>ë</w:t>
      </w:r>
      <w:r w:rsidR="00502D53" w:rsidRPr="00187D35">
        <w:rPr>
          <w:spacing w:val="-1"/>
          <w:lang w:val="sq-AL"/>
        </w:rPr>
        <w:t xml:space="preserve"> procesit t</w:t>
      </w:r>
      <w:r w:rsidR="00410EEB" w:rsidRPr="00187D35">
        <w:rPr>
          <w:spacing w:val="-1"/>
          <w:lang w:val="sq-AL"/>
        </w:rPr>
        <w:t>ë</w:t>
      </w:r>
      <w:r w:rsidR="00B75E39" w:rsidRPr="00187D35">
        <w:rPr>
          <w:spacing w:val="-1"/>
          <w:lang w:val="sq-AL"/>
        </w:rPr>
        <w:t xml:space="preserve"> </w:t>
      </w:r>
      <w:r w:rsidR="00950FB7" w:rsidRPr="00187D35">
        <w:rPr>
          <w:spacing w:val="-1"/>
          <w:lang w:val="sq-AL"/>
        </w:rPr>
        <w:t>përgatitjes</w:t>
      </w:r>
      <w:r w:rsidR="00502D53" w:rsidRPr="00187D35">
        <w:rPr>
          <w:spacing w:val="-1"/>
          <w:lang w:val="sq-AL"/>
        </w:rPr>
        <w:t xml:space="preserve"> s</w:t>
      </w:r>
      <w:r w:rsidR="00410EEB" w:rsidRPr="00187D35">
        <w:rPr>
          <w:spacing w:val="-1"/>
          <w:lang w:val="sq-AL"/>
        </w:rPr>
        <w:t>ë</w:t>
      </w:r>
      <w:r w:rsidR="00502D53" w:rsidRPr="00187D35">
        <w:rPr>
          <w:spacing w:val="-1"/>
          <w:lang w:val="sq-AL"/>
        </w:rPr>
        <w:t xml:space="preserve"> buxhetit</w:t>
      </w:r>
      <w:r w:rsidR="000C60CC" w:rsidRPr="00187D35">
        <w:rPr>
          <w:spacing w:val="-1"/>
          <w:lang w:val="sq-AL"/>
        </w:rPr>
        <w:t>.</w:t>
      </w:r>
      <w:r w:rsidRPr="00187D35">
        <w:rPr>
          <w:spacing w:val="-1"/>
          <w:lang w:val="sq-AL"/>
        </w:rPr>
        <w:t xml:space="preserve"> </w:t>
      </w:r>
      <w:smartTag w:uri="urn:schemas-microsoft-com:office:smarttags" w:element="PersonName">
        <w:r w:rsidR="000C60CC" w:rsidRPr="00187D35">
          <w:rPr>
            <w:spacing w:val="-1"/>
            <w:lang w:val="sq-AL"/>
          </w:rPr>
          <w:t>Mira</w:t>
        </w:r>
      </w:smartTag>
      <w:r w:rsidR="000C60CC" w:rsidRPr="00187D35">
        <w:rPr>
          <w:spacing w:val="-1"/>
          <w:lang w:val="sq-AL"/>
        </w:rPr>
        <w:t>timi i p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>rdorimi</w:t>
      </w:r>
      <w:r w:rsidR="000C60CC" w:rsidRPr="00187D35">
        <w:rPr>
          <w:spacing w:val="-1"/>
          <w:lang w:val="sq-AL"/>
        </w:rPr>
        <w:t>t t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tij b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het me </w:t>
      </w:r>
      <w:r w:rsidR="004C70C3">
        <w:rPr>
          <w:spacing w:val="-1"/>
          <w:lang w:val="sq-AL"/>
        </w:rPr>
        <w:t>V</w:t>
      </w:r>
      <w:r w:rsidRPr="00187D35">
        <w:rPr>
          <w:spacing w:val="-1"/>
          <w:lang w:val="sq-AL"/>
        </w:rPr>
        <w:t>endim t</w:t>
      </w:r>
      <w:r w:rsidR="00410EEB" w:rsidRPr="00187D35">
        <w:rPr>
          <w:spacing w:val="-1"/>
          <w:lang w:val="sq-AL"/>
        </w:rPr>
        <w:t>ë</w:t>
      </w:r>
      <w:r w:rsidR="00B75E39" w:rsidRPr="00187D35">
        <w:rPr>
          <w:spacing w:val="-1"/>
          <w:lang w:val="sq-AL"/>
        </w:rPr>
        <w:t xml:space="preserve"> </w:t>
      </w:r>
      <w:r w:rsidRPr="00187D35">
        <w:rPr>
          <w:spacing w:val="-1"/>
          <w:lang w:val="sq-AL"/>
        </w:rPr>
        <w:t>K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>shillit t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Ministrave</w:t>
      </w:r>
      <w:r w:rsidR="00A369BE" w:rsidRPr="00187D35">
        <w:rPr>
          <w:spacing w:val="-1"/>
          <w:lang w:val="sq-AL"/>
        </w:rPr>
        <w:t>.</w:t>
      </w:r>
    </w:p>
    <w:p w:rsidR="008439E3" w:rsidRPr="00187D35" w:rsidRDefault="008439E3" w:rsidP="008439E3">
      <w:pPr>
        <w:jc w:val="both"/>
        <w:rPr>
          <w:spacing w:val="-1"/>
          <w:lang w:val="sq-AL"/>
        </w:rPr>
      </w:pPr>
    </w:p>
    <w:p w:rsidR="008439E3" w:rsidRPr="00187D35" w:rsidRDefault="008439E3" w:rsidP="004C70C3">
      <w:pPr>
        <w:jc w:val="both"/>
        <w:rPr>
          <w:spacing w:val="-1"/>
          <w:lang w:val="sq-AL"/>
        </w:rPr>
      </w:pPr>
      <w:r w:rsidRPr="00187D35">
        <w:rPr>
          <w:spacing w:val="-1"/>
          <w:lang w:val="sq-AL"/>
        </w:rPr>
        <w:t xml:space="preserve">Me </w:t>
      </w:r>
      <w:r w:rsidR="004C70C3">
        <w:rPr>
          <w:spacing w:val="-1"/>
          <w:lang w:val="sq-AL"/>
        </w:rPr>
        <w:t>l</w:t>
      </w:r>
      <w:r w:rsidRPr="00187D35">
        <w:rPr>
          <w:spacing w:val="-1"/>
          <w:lang w:val="sq-AL"/>
        </w:rPr>
        <w:t xml:space="preserve">igjin </w:t>
      </w:r>
      <w:r w:rsidR="004C70C3">
        <w:rPr>
          <w:spacing w:val="-1"/>
          <w:lang w:val="sq-AL"/>
        </w:rPr>
        <w:t>n</w:t>
      </w:r>
      <w:r w:rsidRPr="00187D35">
        <w:rPr>
          <w:spacing w:val="-1"/>
          <w:lang w:val="sq-AL"/>
        </w:rPr>
        <w:t xml:space="preserve">r. </w:t>
      </w:r>
      <w:r w:rsidR="0003036C" w:rsidRPr="00187D35">
        <w:rPr>
          <w:spacing w:val="-1"/>
          <w:lang w:val="sq-AL"/>
        </w:rPr>
        <w:t>185</w:t>
      </w:r>
      <w:r w:rsidR="004C70C3">
        <w:rPr>
          <w:spacing w:val="-1"/>
          <w:lang w:val="sq-AL"/>
        </w:rPr>
        <w:t>,</w:t>
      </w:r>
      <w:r w:rsidRPr="00187D35">
        <w:rPr>
          <w:spacing w:val="-1"/>
          <w:lang w:val="sq-AL"/>
        </w:rPr>
        <w:t xml:space="preserve"> dat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</w:t>
      </w:r>
      <w:r w:rsidR="0003036C" w:rsidRPr="00187D35">
        <w:rPr>
          <w:spacing w:val="-1"/>
          <w:lang w:val="sq-AL"/>
        </w:rPr>
        <w:t>2</w:t>
      </w:r>
      <w:r w:rsidR="00821B55" w:rsidRPr="00187D35">
        <w:rPr>
          <w:spacing w:val="-1"/>
          <w:lang w:val="sq-AL"/>
        </w:rPr>
        <w:t>.12.201</w:t>
      </w:r>
      <w:r w:rsidR="005D2849" w:rsidRPr="00187D35">
        <w:rPr>
          <w:spacing w:val="-1"/>
          <w:lang w:val="sq-AL"/>
        </w:rPr>
        <w:t>3</w:t>
      </w:r>
      <w:r w:rsidRPr="00187D35">
        <w:rPr>
          <w:spacing w:val="-1"/>
          <w:lang w:val="sq-AL"/>
        </w:rPr>
        <w:t xml:space="preserve"> </w:t>
      </w:r>
      <w:r w:rsidR="004C70C3">
        <w:rPr>
          <w:spacing w:val="-1"/>
          <w:lang w:val="sq-AL"/>
        </w:rPr>
        <w:t>“</w:t>
      </w:r>
      <w:r w:rsidRPr="00187D35">
        <w:rPr>
          <w:spacing w:val="-1"/>
          <w:lang w:val="sq-AL"/>
        </w:rPr>
        <w:t>P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>r buxhetin e vitit 20</w:t>
      </w:r>
      <w:r w:rsidR="008A21FD" w:rsidRPr="00187D35">
        <w:rPr>
          <w:spacing w:val="-1"/>
          <w:lang w:val="sq-AL"/>
        </w:rPr>
        <w:t>1</w:t>
      </w:r>
      <w:r w:rsidR="0003036C" w:rsidRPr="00187D35">
        <w:rPr>
          <w:spacing w:val="-1"/>
          <w:lang w:val="sq-AL"/>
        </w:rPr>
        <w:t>4</w:t>
      </w:r>
      <w:r w:rsidR="004C70C3">
        <w:rPr>
          <w:spacing w:val="-1"/>
          <w:lang w:val="sq-AL"/>
        </w:rPr>
        <w:t>”</w:t>
      </w:r>
      <w:r w:rsidRPr="00187D35">
        <w:rPr>
          <w:spacing w:val="-1"/>
          <w:lang w:val="sq-AL"/>
        </w:rPr>
        <w:t>,</w:t>
      </w:r>
      <w:r w:rsidR="00A773B2" w:rsidRPr="00187D35">
        <w:rPr>
          <w:spacing w:val="-1"/>
          <w:lang w:val="sq-AL"/>
        </w:rPr>
        <w:t xml:space="preserve"> </w:t>
      </w:r>
      <w:r w:rsidR="00E82052" w:rsidRPr="00187D35">
        <w:rPr>
          <w:spacing w:val="-1"/>
          <w:lang w:val="sq-AL"/>
        </w:rPr>
        <w:t>t</w:t>
      </w:r>
      <w:r w:rsidR="00410EEB" w:rsidRPr="00187D35">
        <w:rPr>
          <w:spacing w:val="-1"/>
          <w:lang w:val="sq-AL"/>
        </w:rPr>
        <w:t>ë</w:t>
      </w:r>
      <w:r w:rsidR="00E82052" w:rsidRPr="00187D35">
        <w:rPr>
          <w:spacing w:val="-1"/>
          <w:lang w:val="sq-AL"/>
        </w:rPr>
        <w:t xml:space="preserve"> ndryshuar</w:t>
      </w:r>
      <w:r w:rsidR="004C70C3">
        <w:rPr>
          <w:spacing w:val="-1"/>
          <w:lang w:val="sq-AL"/>
        </w:rPr>
        <w:t>”</w:t>
      </w:r>
      <w:r w:rsidR="00E82052" w:rsidRPr="00187D35">
        <w:rPr>
          <w:spacing w:val="-1"/>
          <w:lang w:val="sq-AL"/>
        </w:rPr>
        <w:t xml:space="preserve">, </w:t>
      </w:r>
      <w:r w:rsidR="002B172B" w:rsidRPr="00187D35">
        <w:rPr>
          <w:spacing w:val="-1"/>
          <w:lang w:val="sq-AL"/>
        </w:rPr>
        <w:t>f</w:t>
      </w:r>
      <w:r w:rsidRPr="00187D35">
        <w:rPr>
          <w:spacing w:val="-1"/>
          <w:lang w:val="sq-AL"/>
        </w:rPr>
        <w:t xml:space="preserve">ondi </w:t>
      </w:r>
      <w:r w:rsidR="002B172B" w:rsidRPr="00187D35">
        <w:rPr>
          <w:spacing w:val="-1"/>
          <w:lang w:val="sq-AL"/>
        </w:rPr>
        <w:t>r</w:t>
      </w:r>
      <w:r w:rsidRPr="00187D35">
        <w:rPr>
          <w:spacing w:val="-1"/>
          <w:lang w:val="sq-AL"/>
        </w:rPr>
        <w:t>ezerv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</w:t>
      </w:r>
      <w:r w:rsidR="003B5050" w:rsidRPr="00187D35">
        <w:rPr>
          <w:spacing w:val="-1"/>
          <w:lang w:val="sq-AL"/>
        </w:rPr>
        <w:t>i</w:t>
      </w:r>
      <w:r w:rsidRPr="00187D35">
        <w:rPr>
          <w:spacing w:val="-1"/>
          <w:lang w:val="sq-AL"/>
        </w:rPr>
        <w:t xml:space="preserve"> K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>shillit t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Ministrave</w:t>
      </w:r>
      <w:r w:rsidR="001E6660" w:rsidRPr="00187D35">
        <w:rPr>
          <w:spacing w:val="-1"/>
          <w:lang w:val="sq-AL"/>
        </w:rPr>
        <w:t>,</w:t>
      </w:r>
      <w:r w:rsidRPr="00187D35">
        <w:rPr>
          <w:spacing w:val="-1"/>
          <w:lang w:val="sq-AL"/>
        </w:rPr>
        <w:t xml:space="preserve"> u </w:t>
      </w:r>
      <w:r w:rsidR="00A773B2" w:rsidRPr="00187D35">
        <w:rPr>
          <w:spacing w:val="-1"/>
          <w:lang w:val="sq-AL"/>
        </w:rPr>
        <w:t>miratua</w:t>
      </w:r>
      <w:r w:rsidRPr="00187D35">
        <w:rPr>
          <w:spacing w:val="-1"/>
          <w:lang w:val="sq-AL"/>
        </w:rPr>
        <w:t xml:space="preserve"> n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shum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n </w:t>
      </w:r>
      <w:r w:rsidR="0003036C" w:rsidRPr="00187D35">
        <w:rPr>
          <w:spacing w:val="-1"/>
          <w:lang w:val="sq-AL"/>
        </w:rPr>
        <w:t>1.5</w:t>
      </w:r>
      <w:r w:rsidRPr="00187D35">
        <w:rPr>
          <w:spacing w:val="-1"/>
          <w:lang w:val="sq-AL"/>
        </w:rPr>
        <w:t xml:space="preserve"> miliard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lek</w:t>
      </w:r>
      <w:r w:rsidR="00410EEB" w:rsidRPr="00187D35">
        <w:rPr>
          <w:spacing w:val="-1"/>
          <w:lang w:val="sq-AL"/>
        </w:rPr>
        <w:t>ë</w:t>
      </w:r>
      <w:r w:rsidR="001E6660" w:rsidRPr="00187D35">
        <w:rPr>
          <w:spacing w:val="-1"/>
          <w:lang w:val="sq-AL"/>
        </w:rPr>
        <w:t>,</w:t>
      </w:r>
      <w:r w:rsidR="002B172B" w:rsidRPr="00187D35">
        <w:rPr>
          <w:spacing w:val="-1"/>
          <w:lang w:val="sq-AL"/>
        </w:rPr>
        <w:t xml:space="preserve"> p</w:t>
      </w:r>
      <w:r w:rsidR="00410EEB" w:rsidRPr="00187D35">
        <w:rPr>
          <w:spacing w:val="-1"/>
          <w:lang w:val="sq-AL"/>
        </w:rPr>
        <w:t>ë</w:t>
      </w:r>
      <w:r w:rsidR="002B172B" w:rsidRPr="00187D35">
        <w:rPr>
          <w:spacing w:val="-1"/>
          <w:lang w:val="sq-AL"/>
        </w:rPr>
        <w:t>r t’u p</w:t>
      </w:r>
      <w:r w:rsidR="00410EEB" w:rsidRPr="00187D35">
        <w:rPr>
          <w:spacing w:val="-1"/>
          <w:lang w:val="sq-AL"/>
        </w:rPr>
        <w:t>ë</w:t>
      </w:r>
      <w:r w:rsidR="002B172B" w:rsidRPr="00187D35">
        <w:rPr>
          <w:spacing w:val="-1"/>
          <w:lang w:val="sq-AL"/>
        </w:rPr>
        <w:t>rdorur p</w:t>
      </w:r>
      <w:r w:rsidR="00410EEB" w:rsidRPr="00187D35">
        <w:rPr>
          <w:spacing w:val="-1"/>
          <w:lang w:val="sq-AL"/>
        </w:rPr>
        <w:t>ë</w:t>
      </w:r>
      <w:r w:rsidR="002B172B" w:rsidRPr="00187D35">
        <w:rPr>
          <w:spacing w:val="-1"/>
          <w:lang w:val="sq-AL"/>
        </w:rPr>
        <w:t>r raste t</w:t>
      </w:r>
      <w:r w:rsidR="00410EEB" w:rsidRPr="00187D35">
        <w:rPr>
          <w:spacing w:val="-1"/>
          <w:lang w:val="sq-AL"/>
        </w:rPr>
        <w:t>ë</w:t>
      </w:r>
      <w:r w:rsidR="002B172B" w:rsidRPr="00187D35">
        <w:rPr>
          <w:spacing w:val="-1"/>
          <w:lang w:val="sq-AL"/>
        </w:rPr>
        <w:t xml:space="preserve"> paparashikuara t</w:t>
      </w:r>
      <w:r w:rsidR="00410EEB" w:rsidRPr="00187D35">
        <w:rPr>
          <w:spacing w:val="-1"/>
          <w:lang w:val="sq-AL"/>
        </w:rPr>
        <w:t>ë</w:t>
      </w:r>
      <w:r w:rsidR="002B172B" w:rsidRPr="00187D35">
        <w:rPr>
          <w:spacing w:val="-1"/>
          <w:lang w:val="sq-AL"/>
        </w:rPr>
        <w:t xml:space="preserve"> institucioneve buxhetore</w:t>
      </w:r>
      <w:r w:rsidR="000F2C53" w:rsidRPr="00187D35">
        <w:rPr>
          <w:spacing w:val="-1"/>
          <w:lang w:val="sq-AL"/>
        </w:rPr>
        <w:t>.</w:t>
      </w:r>
      <w:r w:rsidRPr="00187D35">
        <w:rPr>
          <w:spacing w:val="-1"/>
          <w:lang w:val="sq-AL"/>
        </w:rPr>
        <w:t xml:space="preserve"> </w:t>
      </w:r>
    </w:p>
    <w:p w:rsidR="00CB5523" w:rsidRPr="00187D35" w:rsidRDefault="00CB5523" w:rsidP="00CB5523">
      <w:pPr>
        <w:jc w:val="both"/>
        <w:rPr>
          <w:b/>
          <w:lang w:val="sq-AL"/>
        </w:rPr>
      </w:pPr>
    </w:p>
    <w:p w:rsidR="00060800" w:rsidRPr="00187D35" w:rsidRDefault="00625D1D" w:rsidP="004C70C3">
      <w:pPr>
        <w:jc w:val="both"/>
        <w:rPr>
          <w:lang w:val="sq-AL"/>
        </w:rPr>
      </w:pPr>
      <w:r w:rsidRPr="00187D35">
        <w:rPr>
          <w:b/>
          <w:spacing w:val="-1"/>
          <w:lang w:val="sq-AL"/>
        </w:rPr>
        <w:t>Deri n</w:t>
      </w:r>
      <w:r w:rsidR="00410EEB" w:rsidRPr="00187D35">
        <w:rPr>
          <w:b/>
          <w:spacing w:val="-1"/>
          <w:lang w:val="sq-AL"/>
        </w:rPr>
        <w:t>ë</w:t>
      </w:r>
      <w:r w:rsidRPr="00187D35">
        <w:rPr>
          <w:b/>
          <w:spacing w:val="-1"/>
          <w:lang w:val="sq-AL"/>
        </w:rPr>
        <w:t xml:space="preserve"> </w:t>
      </w:r>
      <w:r w:rsidR="00EF295E" w:rsidRPr="00187D35">
        <w:rPr>
          <w:b/>
          <w:spacing w:val="-1"/>
          <w:lang w:val="sq-AL"/>
        </w:rPr>
        <w:t>dat</w:t>
      </w:r>
      <w:r w:rsidR="00410EEB" w:rsidRPr="00187D35">
        <w:rPr>
          <w:b/>
          <w:spacing w:val="-1"/>
          <w:lang w:val="sq-AL"/>
        </w:rPr>
        <w:t>ë</w:t>
      </w:r>
      <w:r w:rsidR="00EF295E" w:rsidRPr="00187D35">
        <w:rPr>
          <w:b/>
          <w:spacing w:val="-1"/>
          <w:lang w:val="sq-AL"/>
        </w:rPr>
        <w:t xml:space="preserve">n </w:t>
      </w:r>
      <w:r w:rsidR="00B33CA7" w:rsidRPr="00187D35">
        <w:rPr>
          <w:b/>
          <w:spacing w:val="-1"/>
          <w:lang w:val="sq-AL"/>
        </w:rPr>
        <w:t>31</w:t>
      </w:r>
      <w:r w:rsidR="00EF295E" w:rsidRPr="00187D35">
        <w:rPr>
          <w:b/>
          <w:spacing w:val="-1"/>
          <w:lang w:val="sq-AL"/>
        </w:rPr>
        <w:t xml:space="preserve"> </w:t>
      </w:r>
      <w:r w:rsidR="00B33CA7" w:rsidRPr="00187D35">
        <w:rPr>
          <w:b/>
          <w:spacing w:val="-1"/>
          <w:lang w:val="sq-AL"/>
        </w:rPr>
        <w:t>dhjetor t</w:t>
      </w:r>
      <w:r w:rsidR="00410EEB" w:rsidRPr="00187D35">
        <w:rPr>
          <w:b/>
          <w:spacing w:val="-1"/>
          <w:lang w:val="sq-AL"/>
        </w:rPr>
        <w:t>ë</w:t>
      </w:r>
      <w:r w:rsidR="008A21FD" w:rsidRPr="00187D35">
        <w:rPr>
          <w:b/>
          <w:spacing w:val="-1"/>
          <w:lang w:val="sq-AL"/>
        </w:rPr>
        <w:t xml:space="preserve"> vitit </w:t>
      </w:r>
      <w:r w:rsidR="00060800" w:rsidRPr="00187D35">
        <w:rPr>
          <w:b/>
          <w:spacing w:val="-1"/>
          <w:lang w:val="sq-AL"/>
        </w:rPr>
        <w:t>20</w:t>
      </w:r>
      <w:r w:rsidR="008A21FD" w:rsidRPr="00187D35">
        <w:rPr>
          <w:b/>
          <w:spacing w:val="-1"/>
          <w:lang w:val="sq-AL"/>
        </w:rPr>
        <w:t>1</w:t>
      </w:r>
      <w:r w:rsidR="0003036C" w:rsidRPr="00187D35">
        <w:rPr>
          <w:b/>
          <w:spacing w:val="-1"/>
          <w:lang w:val="sq-AL"/>
        </w:rPr>
        <w:t>4</w:t>
      </w:r>
      <w:r w:rsidR="00060800" w:rsidRPr="00187D35">
        <w:rPr>
          <w:spacing w:val="-1"/>
          <w:lang w:val="sq-AL"/>
        </w:rPr>
        <w:t xml:space="preserve">, </w:t>
      </w:r>
      <w:r w:rsidR="001401E6" w:rsidRPr="00187D35">
        <w:rPr>
          <w:spacing w:val="-1"/>
          <w:lang w:val="sq-AL"/>
        </w:rPr>
        <w:t>f</w:t>
      </w:r>
      <w:r w:rsidR="00060800" w:rsidRPr="00187D35">
        <w:rPr>
          <w:spacing w:val="-1"/>
          <w:lang w:val="sq-AL"/>
        </w:rPr>
        <w:t xml:space="preserve">ondi </w:t>
      </w:r>
      <w:r w:rsidR="001401E6" w:rsidRPr="00187D35">
        <w:rPr>
          <w:spacing w:val="-1"/>
          <w:lang w:val="sq-AL"/>
        </w:rPr>
        <w:t>r</w:t>
      </w:r>
      <w:r w:rsidR="00060800" w:rsidRPr="00187D35">
        <w:rPr>
          <w:spacing w:val="-1"/>
          <w:lang w:val="sq-AL"/>
        </w:rPr>
        <w:t>ezerv</w:t>
      </w:r>
      <w:r w:rsidR="00410EEB" w:rsidRPr="00187D35">
        <w:rPr>
          <w:spacing w:val="-1"/>
          <w:lang w:val="sq-AL"/>
        </w:rPr>
        <w:t>ë</w:t>
      </w:r>
      <w:r w:rsidR="00060800" w:rsidRPr="00187D35">
        <w:rPr>
          <w:spacing w:val="-1"/>
          <w:lang w:val="sq-AL"/>
        </w:rPr>
        <w:t xml:space="preserve"> i </w:t>
      </w:r>
      <w:r w:rsidR="008A21FD" w:rsidRPr="00187D35">
        <w:rPr>
          <w:spacing w:val="-1"/>
          <w:lang w:val="sq-AL"/>
        </w:rPr>
        <w:t>buxhetit t</w:t>
      </w:r>
      <w:r w:rsidR="00410EEB" w:rsidRPr="00187D35">
        <w:rPr>
          <w:spacing w:val="-1"/>
          <w:lang w:val="sq-AL"/>
        </w:rPr>
        <w:t>ë</w:t>
      </w:r>
      <w:r w:rsidR="008A21FD" w:rsidRPr="00187D35">
        <w:rPr>
          <w:spacing w:val="-1"/>
          <w:lang w:val="sq-AL"/>
        </w:rPr>
        <w:t xml:space="preserve"> shtetit</w:t>
      </w:r>
      <w:r w:rsidR="00060800" w:rsidRPr="00187D35">
        <w:rPr>
          <w:lang w:val="sq-AL"/>
        </w:rPr>
        <w:t xml:space="preserve"> </w:t>
      </w:r>
      <w:r w:rsidR="00410EEB" w:rsidRPr="00187D35">
        <w:rPr>
          <w:lang w:val="sq-AL"/>
        </w:rPr>
        <w:t>ë</w:t>
      </w:r>
      <w:r w:rsidR="00060800" w:rsidRPr="00187D35">
        <w:rPr>
          <w:lang w:val="sq-AL"/>
        </w:rPr>
        <w:t>sht</w:t>
      </w:r>
      <w:r w:rsidR="00410EEB" w:rsidRPr="00187D35">
        <w:rPr>
          <w:lang w:val="sq-AL"/>
        </w:rPr>
        <w:t>ë</w:t>
      </w:r>
      <w:r w:rsidR="00060800" w:rsidRPr="00187D35">
        <w:rPr>
          <w:lang w:val="sq-AL"/>
        </w:rPr>
        <w:t xml:space="preserve"> p</w:t>
      </w:r>
      <w:r w:rsidR="008A21FD" w:rsidRPr="00187D35">
        <w:rPr>
          <w:lang w:val="sq-AL"/>
        </w:rPr>
        <w:t>rekur</w:t>
      </w:r>
      <w:r w:rsidR="00060800" w:rsidRPr="00187D35">
        <w:rPr>
          <w:lang w:val="sq-AL"/>
        </w:rPr>
        <w:t xml:space="preserve"> n</w:t>
      </w:r>
      <w:r w:rsidR="00410EEB" w:rsidRPr="00187D35">
        <w:rPr>
          <w:lang w:val="sq-AL"/>
        </w:rPr>
        <w:t>ë</w:t>
      </w:r>
      <w:r w:rsidR="00060800" w:rsidRPr="00187D35">
        <w:rPr>
          <w:lang w:val="sq-AL"/>
        </w:rPr>
        <w:t>p</w:t>
      </w:r>
      <w:r w:rsidR="00410EEB" w:rsidRPr="00187D35">
        <w:rPr>
          <w:lang w:val="sq-AL"/>
        </w:rPr>
        <w:t>ë</w:t>
      </w:r>
      <w:r w:rsidR="00060800" w:rsidRPr="00187D35">
        <w:rPr>
          <w:lang w:val="sq-AL"/>
        </w:rPr>
        <w:t xml:space="preserve">rmjet </w:t>
      </w:r>
      <w:r w:rsidR="0003036C" w:rsidRPr="00187D35">
        <w:rPr>
          <w:u w:val="single"/>
          <w:lang w:val="sq-AL"/>
        </w:rPr>
        <w:t>16</w:t>
      </w:r>
      <w:r w:rsidR="00060800" w:rsidRPr="00187D35">
        <w:rPr>
          <w:u w:val="single"/>
          <w:lang w:val="sq-AL"/>
        </w:rPr>
        <w:t xml:space="preserve"> </w:t>
      </w:r>
      <w:r w:rsidR="004C70C3">
        <w:rPr>
          <w:u w:val="single"/>
          <w:lang w:val="sq-AL"/>
        </w:rPr>
        <w:t>V</w:t>
      </w:r>
      <w:r w:rsidR="00060800" w:rsidRPr="00187D35">
        <w:rPr>
          <w:spacing w:val="-1"/>
          <w:u w:val="single"/>
          <w:lang w:val="sq-AL"/>
        </w:rPr>
        <w:t>endime</w:t>
      </w:r>
      <w:r w:rsidR="008B3F49" w:rsidRPr="00187D35">
        <w:rPr>
          <w:spacing w:val="-1"/>
          <w:u w:val="single"/>
          <w:lang w:val="sq-AL"/>
        </w:rPr>
        <w:t>ve</w:t>
      </w:r>
      <w:r w:rsidR="00060800" w:rsidRPr="00187D35">
        <w:rPr>
          <w:spacing w:val="-1"/>
          <w:lang w:val="sq-AL"/>
        </w:rPr>
        <w:t xml:space="preserve"> t</w:t>
      </w:r>
      <w:r w:rsidR="00410EEB" w:rsidRPr="00187D35">
        <w:rPr>
          <w:spacing w:val="-1"/>
          <w:lang w:val="sq-AL"/>
        </w:rPr>
        <w:t>ë</w:t>
      </w:r>
      <w:r w:rsidR="00060800" w:rsidRPr="00187D35">
        <w:rPr>
          <w:spacing w:val="-1"/>
          <w:lang w:val="sq-AL"/>
        </w:rPr>
        <w:t xml:space="preserve"> K</w:t>
      </w:r>
      <w:r w:rsidR="00410EEB" w:rsidRPr="00187D35">
        <w:rPr>
          <w:spacing w:val="-1"/>
          <w:lang w:val="sq-AL"/>
        </w:rPr>
        <w:t>ë</w:t>
      </w:r>
      <w:r w:rsidR="00060800" w:rsidRPr="00187D35">
        <w:rPr>
          <w:spacing w:val="-1"/>
          <w:lang w:val="sq-AL"/>
        </w:rPr>
        <w:t>shillit t</w:t>
      </w:r>
      <w:r w:rsidR="00410EEB" w:rsidRPr="00187D35">
        <w:rPr>
          <w:spacing w:val="-1"/>
          <w:lang w:val="sq-AL"/>
        </w:rPr>
        <w:t>ë</w:t>
      </w:r>
      <w:r w:rsidR="00060800" w:rsidRPr="00187D35">
        <w:rPr>
          <w:spacing w:val="-1"/>
          <w:lang w:val="sq-AL"/>
        </w:rPr>
        <w:t xml:space="preserve"> </w:t>
      </w:r>
      <w:r w:rsidR="00060800" w:rsidRPr="00187D35">
        <w:rPr>
          <w:spacing w:val="7"/>
          <w:lang w:val="sq-AL"/>
        </w:rPr>
        <w:t>Ministrave, n</w:t>
      </w:r>
      <w:r w:rsidR="00410EEB" w:rsidRPr="00187D35">
        <w:rPr>
          <w:spacing w:val="7"/>
          <w:lang w:val="sq-AL"/>
        </w:rPr>
        <w:t>ë</w:t>
      </w:r>
      <w:r w:rsidR="00060800" w:rsidRPr="00187D35">
        <w:rPr>
          <w:spacing w:val="7"/>
          <w:lang w:val="sq-AL"/>
        </w:rPr>
        <w:t xml:space="preserve"> </w:t>
      </w:r>
      <w:r w:rsidR="008B3F49" w:rsidRPr="00187D35">
        <w:rPr>
          <w:spacing w:val="7"/>
          <w:lang w:val="sq-AL"/>
        </w:rPr>
        <w:t>shum</w:t>
      </w:r>
      <w:r w:rsidR="00410EEB" w:rsidRPr="00187D35">
        <w:rPr>
          <w:spacing w:val="7"/>
          <w:lang w:val="sq-AL"/>
        </w:rPr>
        <w:t>ë</w:t>
      </w:r>
      <w:r w:rsidR="008B3F49" w:rsidRPr="00187D35">
        <w:rPr>
          <w:spacing w:val="7"/>
          <w:lang w:val="sq-AL"/>
        </w:rPr>
        <w:t xml:space="preserve">n prej </w:t>
      </w:r>
      <w:r w:rsidR="00060800" w:rsidRPr="00187D35">
        <w:rPr>
          <w:spacing w:val="7"/>
          <w:lang w:val="sq-AL"/>
        </w:rPr>
        <w:t>rreth</w:t>
      </w:r>
      <w:r w:rsidR="00060800" w:rsidRPr="00187D35">
        <w:rPr>
          <w:spacing w:val="7"/>
          <w:u w:val="single"/>
          <w:lang w:val="sq-AL"/>
        </w:rPr>
        <w:t xml:space="preserve"> </w:t>
      </w:r>
      <w:r w:rsidR="00EF295E" w:rsidRPr="00187D35">
        <w:rPr>
          <w:spacing w:val="7"/>
          <w:u w:val="single"/>
          <w:lang w:val="sq-AL"/>
        </w:rPr>
        <w:t>1</w:t>
      </w:r>
      <w:r w:rsidR="005D2849" w:rsidRPr="00187D35">
        <w:rPr>
          <w:spacing w:val="7"/>
          <w:u w:val="single"/>
          <w:lang w:val="sq-AL"/>
        </w:rPr>
        <w:t xml:space="preserve"> </w:t>
      </w:r>
      <w:r w:rsidR="0003036C" w:rsidRPr="00187D35">
        <w:rPr>
          <w:spacing w:val="7"/>
          <w:u w:val="single"/>
          <w:lang w:val="sq-AL"/>
        </w:rPr>
        <w:t>499</w:t>
      </w:r>
      <w:r w:rsidR="00B75E39" w:rsidRPr="00187D35">
        <w:rPr>
          <w:spacing w:val="7"/>
          <w:u w:val="single"/>
          <w:lang w:val="sq-AL"/>
        </w:rPr>
        <w:t>.</w:t>
      </w:r>
      <w:r w:rsidR="0003036C" w:rsidRPr="00187D35">
        <w:rPr>
          <w:spacing w:val="7"/>
          <w:u w:val="single"/>
          <w:lang w:val="sq-AL"/>
        </w:rPr>
        <w:t>6</w:t>
      </w:r>
      <w:r w:rsidR="00060800" w:rsidRPr="00187D35">
        <w:rPr>
          <w:spacing w:val="7"/>
          <w:u w:val="single"/>
          <w:lang w:val="sq-AL"/>
        </w:rPr>
        <w:t xml:space="preserve"> </w:t>
      </w:r>
      <w:r w:rsidR="005D2849" w:rsidRPr="00187D35">
        <w:rPr>
          <w:spacing w:val="7"/>
          <w:u w:val="single"/>
          <w:lang w:val="sq-AL"/>
        </w:rPr>
        <w:t>milion</w:t>
      </w:r>
      <w:r w:rsidR="00410EEB" w:rsidRPr="00187D35">
        <w:rPr>
          <w:spacing w:val="7"/>
          <w:u w:val="single"/>
          <w:lang w:val="sq-AL"/>
        </w:rPr>
        <w:t>ë</w:t>
      </w:r>
      <w:r w:rsidR="00060800" w:rsidRPr="00187D35">
        <w:rPr>
          <w:u w:val="single"/>
          <w:lang w:val="sq-AL"/>
        </w:rPr>
        <w:t xml:space="preserve"> lek</w:t>
      </w:r>
      <w:r w:rsidR="00410EEB" w:rsidRPr="00187D35">
        <w:rPr>
          <w:u w:val="single"/>
          <w:lang w:val="sq-AL"/>
        </w:rPr>
        <w:t>ë</w:t>
      </w:r>
      <w:r w:rsidR="004C70C3">
        <w:rPr>
          <w:u w:val="single"/>
          <w:lang w:val="sq-AL"/>
        </w:rPr>
        <w:t>sh</w:t>
      </w:r>
      <w:r w:rsidR="008B3F49" w:rsidRPr="00187D35">
        <w:rPr>
          <w:lang w:val="sq-AL"/>
        </w:rPr>
        <w:t>,</w:t>
      </w:r>
      <w:r w:rsidR="005D2849" w:rsidRPr="00187D35">
        <w:rPr>
          <w:lang w:val="sq-AL"/>
        </w:rPr>
        <w:t xml:space="preserve"> </w:t>
      </w:r>
      <w:r w:rsidR="008B3F49" w:rsidRPr="00187D35">
        <w:rPr>
          <w:lang w:val="sq-AL"/>
        </w:rPr>
        <w:t xml:space="preserve">nga </w:t>
      </w:r>
      <w:r w:rsidR="005D2849" w:rsidRPr="00187D35">
        <w:rPr>
          <w:lang w:val="sq-AL"/>
        </w:rPr>
        <w:t xml:space="preserve">1 </w:t>
      </w:r>
      <w:r w:rsidR="0003036C" w:rsidRPr="00187D35">
        <w:rPr>
          <w:lang w:val="sq-AL"/>
        </w:rPr>
        <w:t>5</w:t>
      </w:r>
      <w:r w:rsidR="005D2849" w:rsidRPr="00187D35">
        <w:rPr>
          <w:lang w:val="sq-AL"/>
        </w:rPr>
        <w:t>00</w:t>
      </w:r>
      <w:r w:rsidR="008B3F49" w:rsidRPr="00187D35">
        <w:rPr>
          <w:lang w:val="sq-AL"/>
        </w:rPr>
        <w:t xml:space="preserve"> </w:t>
      </w:r>
      <w:r w:rsidR="00846FAD" w:rsidRPr="00187D35">
        <w:rPr>
          <w:lang w:val="sq-AL"/>
        </w:rPr>
        <w:t>milion</w:t>
      </w:r>
      <w:r w:rsidR="00410EEB" w:rsidRPr="00187D35">
        <w:rPr>
          <w:lang w:val="sq-AL"/>
        </w:rPr>
        <w:t>ë</w:t>
      </w:r>
      <w:r w:rsidR="008B3F49" w:rsidRPr="00187D35">
        <w:rPr>
          <w:lang w:val="sq-AL"/>
        </w:rPr>
        <w:t xml:space="preserve"> lek</w:t>
      </w:r>
      <w:r w:rsidR="00410EEB" w:rsidRPr="00187D35">
        <w:rPr>
          <w:lang w:val="sq-AL"/>
        </w:rPr>
        <w:t>ë</w:t>
      </w:r>
      <w:r w:rsidR="008B3F49" w:rsidRPr="00187D35">
        <w:rPr>
          <w:lang w:val="sq-AL"/>
        </w:rPr>
        <w:t xml:space="preserve"> t</w:t>
      </w:r>
      <w:r w:rsidR="00410EEB" w:rsidRPr="00187D35">
        <w:rPr>
          <w:lang w:val="sq-AL"/>
        </w:rPr>
        <w:t>ë</w:t>
      </w:r>
      <w:r w:rsidR="00950FB7" w:rsidRPr="00187D35">
        <w:rPr>
          <w:lang w:val="sq-AL"/>
        </w:rPr>
        <w:t xml:space="preserve"> </w:t>
      </w:r>
      <w:r w:rsidR="008B3F49" w:rsidRPr="00187D35">
        <w:rPr>
          <w:lang w:val="sq-AL"/>
        </w:rPr>
        <w:t>planifikuar</w:t>
      </w:r>
      <w:r w:rsidR="00067C6A" w:rsidRPr="00187D35">
        <w:rPr>
          <w:lang w:val="sq-AL"/>
        </w:rPr>
        <w:t xml:space="preserve"> ose rreth </w:t>
      </w:r>
      <w:r w:rsidR="0003036C" w:rsidRPr="00187D35">
        <w:rPr>
          <w:u w:val="single"/>
          <w:lang w:val="sq-AL"/>
        </w:rPr>
        <w:t>99.5</w:t>
      </w:r>
      <w:r w:rsidR="00067C6A" w:rsidRPr="00187D35">
        <w:rPr>
          <w:u w:val="single"/>
          <w:lang w:val="sq-AL"/>
        </w:rPr>
        <w:t xml:space="preserve"> p</w:t>
      </w:r>
      <w:r w:rsidR="00410EEB" w:rsidRPr="00187D35">
        <w:rPr>
          <w:u w:val="single"/>
          <w:lang w:val="sq-AL"/>
        </w:rPr>
        <w:t>ë</w:t>
      </w:r>
      <w:r w:rsidR="00067C6A" w:rsidRPr="00187D35">
        <w:rPr>
          <w:u w:val="single"/>
          <w:lang w:val="sq-AL"/>
        </w:rPr>
        <w:t>r</w:t>
      </w:r>
      <w:r w:rsidR="004C70C3">
        <w:rPr>
          <w:u w:val="single"/>
          <w:lang w:val="sq-AL"/>
        </w:rPr>
        <w:t xml:space="preserve"> </w:t>
      </w:r>
      <w:r w:rsidR="00067C6A" w:rsidRPr="00187D35">
        <w:rPr>
          <w:u w:val="single"/>
          <w:lang w:val="sq-AL"/>
        </w:rPr>
        <w:t>qind e tij</w:t>
      </w:r>
      <w:r w:rsidR="008B3F49" w:rsidRPr="00187D35">
        <w:rPr>
          <w:lang w:val="sq-AL"/>
        </w:rPr>
        <w:t>.</w:t>
      </w:r>
    </w:p>
    <w:p w:rsidR="005D2849" w:rsidRPr="00187D35" w:rsidRDefault="005D2849" w:rsidP="002C2BC2">
      <w:pPr>
        <w:ind w:firstLine="720"/>
        <w:jc w:val="both"/>
        <w:rPr>
          <w:lang w:val="sq-AL"/>
        </w:rPr>
      </w:pPr>
    </w:p>
    <w:p w:rsidR="00060800" w:rsidRPr="00187D35" w:rsidRDefault="00D87F6B" w:rsidP="00D87F6B">
      <w:pPr>
        <w:jc w:val="both"/>
        <w:rPr>
          <w:i/>
          <w:lang w:val="sq-AL"/>
        </w:rPr>
      </w:pPr>
      <w:r w:rsidRPr="00187D35">
        <w:rPr>
          <w:i/>
          <w:iCs/>
          <w:sz w:val="22"/>
          <w:szCs w:val="22"/>
          <w:lang w:val="sq-AL"/>
        </w:rPr>
        <w:t xml:space="preserve">    </w:t>
      </w:r>
      <w:r w:rsidRPr="00187D35">
        <w:rPr>
          <w:i/>
          <w:lang w:val="sq-AL"/>
        </w:rPr>
        <w:t>Tabela</w:t>
      </w:r>
      <w:r w:rsidR="00D14E73" w:rsidRPr="00187D35">
        <w:rPr>
          <w:i/>
          <w:lang w:val="sq-AL"/>
        </w:rPr>
        <w:t>1</w:t>
      </w:r>
      <w:r w:rsidRPr="00187D35">
        <w:rPr>
          <w:i/>
          <w:lang w:val="sq-AL"/>
        </w:rPr>
        <w:t xml:space="preserve">:Përdorimi i Fondit të </w:t>
      </w:r>
      <w:r w:rsidR="00986169">
        <w:rPr>
          <w:i/>
          <w:lang w:val="sq-AL"/>
        </w:rPr>
        <w:t>K</w:t>
      </w:r>
      <w:r w:rsidRPr="00187D35">
        <w:rPr>
          <w:i/>
          <w:lang w:val="sq-AL"/>
        </w:rPr>
        <w:t xml:space="preserve">ontigjencës për vitin 2014                                     </w:t>
      </w:r>
      <w:r w:rsidR="00172ED9" w:rsidRPr="00187D35">
        <w:rPr>
          <w:i/>
          <w:iCs/>
          <w:sz w:val="22"/>
          <w:szCs w:val="22"/>
          <w:lang w:val="sq-AL"/>
        </w:rPr>
        <w:t xml:space="preserve">   </w:t>
      </w:r>
      <w:r w:rsidRPr="00187D35">
        <w:rPr>
          <w:b/>
          <w:i/>
          <w:iCs/>
          <w:sz w:val="22"/>
          <w:szCs w:val="22"/>
          <w:lang w:val="sq-AL"/>
        </w:rPr>
        <w:t>Në</w:t>
      </w:r>
      <w:r w:rsidR="00597569" w:rsidRPr="00187D35">
        <w:rPr>
          <w:b/>
          <w:i/>
          <w:iCs/>
          <w:sz w:val="22"/>
          <w:szCs w:val="22"/>
          <w:lang w:val="sq-AL"/>
        </w:rPr>
        <w:t xml:space="preserve"> milion</w:t>
      </w:r>
      <w:r w:rsidR="00410EEB" w:rsidRPr="00187D35">
        <w:rPr>
          <w:b/>
          <w:i/>
          <w:iCs/>
          <w:sz w:val="22"/>
          <w:szCs w:val="22"/>
          <w:lang w:val="sq-AL"/>
        </w:rPr>
        <w:t>ë</w:t>
      </w:r>
      <w:r w:rsidR="00597569" w:rsidRPr="00187D35">
        <w:rPr>
          <w:b/>
          <w:i/>
          <w:iCs/>
          <w:sz w:val="22"/>
          <w:szCs w:val="22"/>
          <w:lang w:val="sq-AL"/>
        </w:rPr>
        <w:t xml:space="preserve"> lek</w:t>
      </w:r>
      <w:r w:rsidR="00410EEB" w:rsidRPr="00187D35">
        <w:rPr>
          <w:b/>
          <w:i/>
          <w:iCs/>
          <w:sz w:val="22"/>
          <w:szCs w:val="22"/>
          <w:lang w:val="sq-AL"/>
        </w:rPr>
        <w:t>ë</w:t>
      </w:r>
    </w:p>
    <w:tbl>
      <w:tblPr>
        <w:tblW w:w="9619" w:type="dxa"/>
        <w:jc w:val="center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1E0"/>
      </w:tblPr>
      <w:tblGrid>
        <w:gridCol w:w="1908"/>
        <w:gridCol w:w="1512"/>
        <w:gridCol w:w="1285"/>
        <w:gridCol w:w="1246"/>
        <w:gridCol w:w="1407"/>
        <w:gridCol w:w="2261"/>
      </w:tblGrid>
      <w:tr w:rsidR="00B33CA7" w:rsidRPr="00187D35" w:rsidTr="00172ED9">
        <w:trPr>
          <w:jc w:val="center"/>
        </w:trPr>
        <w:tc>
          <w:tcPr>
            <w:tcW w:w="1908" w:type="dxa"/>
            <w:vMerge w:val="restart"/>
            <w:shd w:val="clear" w:color="auto" w:fill="FBD4B4"/>
            <w:vAlign w:val="center"/>
          </w:tcPr>
          <w:p w:rsidR="00B33CA7" w:rsidRPr="00187D35" w:rsidRDefault="00B33CA7" w:rsidP="00172ED9">
            <w:pPr>
              <w:jc w:val="center"/>
              <w:rPr>
                <w:b/>
                <w:bCs/>
                <w:lang w:val="sq-AL"/>
              </w:rPr>
            </w:pPr>
          </w:p>
          <w:p w:rsidR="00B33CA7" w:rsidRPr="00187D35" w:rsidRDefault="00B33CA7" w:rsidP="00172ED9">
            <w:pPr>
              <w:jc w:val="center"/>
              <w:rPr>
                <w:b/>
                <w:bCs/>
                <w:lang w:val="sq-AL"/>
              </w:rPr>
            </w:pPr>
          </w:p>
          <w:p w:rsidR="00B33CA7" w:rsidRPr="00187D35" w:rsidRDefault="00B33CA7" w:rsidP="00172ED9">
            <w:pPr>
              <w:jc w:val="center"/>
              <w:rPr>
                <w:lang w:val="sq-AL"/>
              </w:rPr>
            </w:pPr>
            <w:r w:rsidRPr="00187D35">
              <w:rPr>
                <w:b/>
                <w:bCs/>
                <w:lang w:val="sq-AL"/>
              </w:rPr>
              <w:t>Fondi Rezerv</w:t>
            </w:r>
            <w:r w:rsidR="00410EEB" w:rsidRPr="00187D35">
              <w:rPr>
                <w:b/>
                <w:bCs/>
                <w:lang w:val="sq-AL"/>
              </w:rPr>
              <w:t>ë</w:t>
            </w:r>
          </w:p>
        </w:tc>
        <w:tc>
          <w:tcPr>
            <w:tcW w:w="1512" w:type="dxa"/>
            <w:shd w:val="clear" w:color="auto" w:fill="FBD4B4"/>
            <w:vAlign w:val="center"/>
          </w:tcPr>
          <w:p w:rsidR="00B33CA7" w:rsidRPr="00187D35" w:rsidRDefault="00B33CA7" w:rsidP="00172ED9">
            <w:pPr>
              <w:jc w:val="center"/>
              <w:rPr>
                <w:sz w:val="20"/>
                <w:szCs w:val="20"/>
                <w:lang w:val="sq-AL"/>
              </w:rPr>
            </w:pPr>
            <w:r w:rsidRPr="00187D35">
              <w:rPr>
                <w:b/>
                <w:bCs/>
                <w:sz w:val="20"/>
                <w:szCs w:val="20"/>
                <w:lang w:val="sq-AL"/>
              </w:rPr>
              <w:t>Parashikuar p</w:t>
            </w:r>
            <w:r w:rsidR="00410EEB" w:rsidRPr="00187D35">
              <w:rPr>
                <w:b/>
                <w:bCs/>
                <w:sz w:val="20"/>
                <w:szCs w:val="20"/>
                <w:lang w:val="sq-AL"/>
              </w:rPr>
              <w:t>ë</w:t>
            </w:r>
            <w:r w:rsidRPr="00187D35">
              <w:rPr>
                <w:b/>
                <w:bCs/>
                <w:sz w:val="20"/>
                <w:szCs w:val="20"/>
                <w:lang w:val="sq-AL"/>
              </w:rPr>
              <w:t>r vitin 201</w:t>
            </w:r>
            <w:r w:rsidR="0003036C" w:rsidRPr="00187D35">
              <w:rPr>
                <w:b/>
                <w:bCs/>
                <w:sz w:val="20"/>
                <w:szCs w:val="20"/>
                <w:lang w:val="sq-AL"/>
              </w:rPr>
              <w:t>4</w:t>
            </w:r>
          </w:p>
        </w:tc>
        <w:tc>
          <w:tcPr>
            <w:tcW w:w="1285" w:type="dxa"/>
            <w:shd w:val="clear" w:color="auto" w:fill="FBD4B4"/>
            <w:vAlign w:val="center"/>
          </w:tcPr>
          <w:p w:rsidR="00B33CA7" w:rsidRPr="00187D35" w:rsidRDefault="00B33CA7" w:rsidP="00986169">
            <w:pPr>
              <w:jc w:val="center"/>
              <w:rPr>
                <w:b/>
                <w:bCs/>
                <w:sz w:val="20"/>
                <w:szCs w:val="20"/>
                <w:lang w:val="sq-AL"/>
              </w:rPr>
            </w:pPr>
            <w:r w:rsidRPr="00187D35">
              <w:rPr>
                <w:b/>
                <w:bCs/>
                <w:sz w:val="20"/>
                <w:szCs w:val="20"/>
                <w:lang w:val="sq-AL"/>
              </w:rPr>
              <w:t xml:space="preserve">Miratuar me </w:t>
            </w:r>
            <w:r w:rsidR="00986169">
              <w:rPr>
                <w:b/>
                <w:bCs/>
                <w:sz w:val="20"/>
                <w:szCs w:val="20"/>
                <w:lang w:val="sq-AL"/>
              </w:rPr>
              <w:t>V</w:t>
            </w:r>
            <w:r w:rsidRPr="00187D35">
              <w:rPr>
                <w:b/>
                <w:bCs/>
                <w:sz w:val="20"/>
                <w:szCs w:val="20"/>
                <w:lang w:val="sq-AL"/>
              </w:rPr>
              <w:t>endime t</w:t>
            </w:r>
            <w:r w:rsidR="00410EEB" w:rsidRPr="00187D35">
              <w:rPr>
                <w:b/>
                <w:bCs/>
                <w:sz w:val="20"/>
                <w:szCs w:val="20"/>
                <w:lang w:val="sq-AL"/>
              </w:rPr>
              <w:t>ë</w:t>
            </w:r>
            <w:r w:rsidRPr="00187D35">
              <w:rPr>
                <w:b/>
                <w:bCs/>
                <w:sz w:val="20"/>
                <w:szCs w:val="20"/>
                <w:lang w:val="sq-AL"/>
              </w:rPr>
              <w:t xml:space="preserve"> KM</w:t>
            </w:r>
          </w:p>
        </w:tc>
        <w:tc>
          <w:tcPr>
            <w:tcW w:w="1246" w:type="dxa"/>
            <w:shd w:val="clear" w:color="auto" w:fill="FBD4B4"/>
            <w:vAlign w:val="center"/>
          </w:tcPr>
          <w:p w:rsidR="00B33CA7" w:rsidRPr="00187D35" w:rsidRDefault="00B33CA7" w:rsidP="00986169">
            <w:pPr>
              <w:jc w:val="center"/>
              <w:rPr>
                <w:sz w:val="20"/>
                <w:szCs w:val="20"/>
                <w:lang w:val="sq-AL"/>
              </w:rPr>
            </w:pPr>
            <w:r w:rsidRPr="00187D35">
              <w:rPr>
                <w:b/>
                <w:bCs/>
                <w:sz w:val="20"/>
                <w:szCs w:val="20"/>
                <w:lang w:val="sq-AL"/>
              </w:rPr>
              <w:t>P</w:t>
            </w:r>
            <w:r w:rsidR="00410EEB" w:rsidRPr="00187D35">
              <w:rPr>
                <w:b/>
                <w:bCs/>
                <w:sz w:val="20"/>
                <w:szCs w:val="20"/>
                <w:lang w:val="sq-AL"/>
              </w:rPr>
              <w:t>ë</w:t>
            </w:r>
            <w:r w:rsidRPr="00187D35">
              <w:rPr>
                <w:b/>
                <w:bCs/>
                <w:sz w:val="20"/>
                <w:szCs w:val="20"/>
                <w:lang w:val="sq-AL"/>
              </w:rPr>
              <w:t xml:space="preserve">rdorur me </w:t>
            </w:r>
            <w:r w:rsidR="00986169">
              <w:rPr>
                <w:b/>
                <w:bCs/>
                <w:sz w:val="20"/>
                <w:szCs w:val="20"/>
                <w:lang w:val="sq-AL"/>
              </w:rPr>
              <w:t>V</w:t>
            </w:r>
            <w:r w:rsidRPr="00187D35">
              <w:rPr>
                <w:b/>
                <w:bCs/>
                <w:sz w:val="20"/>
                <w:szCs w:val="20"/>
                <w:lang w:val="sq-AL"/>
              </w:rPr>
              <w:t>endime t</w:t>
            </w:r>
            <w:r w:rsidR="00410EEB" w:rsidRPr="00187D35">
              <w:rPr>
                <w:b/>
                <w:bCs/>
                <w:sz w:val="20"/>
                <w:szCs w:val="20"/>
                <w:lang w:val="sq-AL"/>
              </w:rPr>
              <w:t>ë</w:t>
            </w:r>
            <w:r w:rsidRPr="00187D35">
              <w:rPr>
                <w:b/>
                <w:bCs/>
                <w:sz w:val="20"/>
                <w:szCs w:val="20"/>
                <w:lang w:val="sq-AL"/>
              </w:rPr>
              <w:t xml:space="preserve"> KM</w:t>
            </w:r>
          </w:p>
        </w:tc>
        <w:tc>
          <w:tcPr>
            <w:tcW w:w="1407" w:type="dxa"/>
            <w:shd w:val="clear" w:color="auto" w:fill="FBD4B4"/>
            <w:vAlign w:val="center"/>
          </w:tcPr>
          <w:p w:rsidR="00B33CA7" w:rsidRPr="00187D35" w:rsidRDefault="00B33CA7" w:rsidP="00172ED9">
            <w:pPr>
              <w:jc w:val="center"/>
              <w:rPr>
                <w:sz w:val="20"/>
                <w:szCs w:val="20"/>
                <w:lang w:val="sq-AL"/>
              </w:rPr>
            </w:pPr>
            <w:r w:rsidRPr="00187D35">
              <w:rPr>
                <w:b/>
                <w:bCs/>
                <w:sz w:val="20"/>
                <w:szCs w:val="20"/>
                <w:lang w:val="sq-AL"/>
              </w:rPr>
              <w:t>Mbetur</w:t>
            </w:r>
          </w:p>
        </w:tc>
        <w:tc>
          <w:tcPr>
            <w:tcW w:w="2261" w:type="dxa"/>
            <w:shd w:val="clear" w:color="auto" w:fill="FBD4B4"/>
            <w:vAlign w:val="center"/>
          </w:tcPr>
          <w:p w:rsidR="00B33CA7" w:rsidRPr="00187D35" w:rsidRDefault="00B33CA7" w:rsidP="00172ED9">
            <w:pPr>
              <w:jc w:val="center"/>
              <w:rPr>
                <w:b/>
                <w:bCs/>
                <w:sz w:val="20"/>
                <w:szCs w:val="20"/>
                <w:lang w:val="sq-AL"/>
              </w:rPr>
            </w:pPr>
            <w:r w:rsidRPr="00187D35">
              <w:rPr>
                <w:b/>
                <w:bCs/>
                <w:sz w:val="20"/>
                <w:szCs w:val="20"/>
                <w:lang w:val="sq-AL"/>
              </w:rPr>
              <w:t>P</w:t>
            </w:r>
            <w:r w:rsidR="00410EEB" w:rsidRPr="00187D35">
              <w:rPr>
                <w:b/>
                <w:bCs/>
                <w:sz w:val="20"/>
                <w:szCs w:val="20"/>
                <w:lang w:val="sq-AL"/>
              </w:rPr>
              <w:t>ë</w:t>
            </w:r>
            <w:r w:rsidRPr="00187D35">
              <w:rPr>
                <w:b/>
                <w:bCs/>
                <w:sz w:val="20"/>
                <w:szCs w:val="20"/>
                <w:lang w:val="sq-AL"/>
              </w:rPr>
              <w:t>rqindja (P</w:t>
            </w:r>
            <w:r w:rsidR="00410EEB" w:rsidRPr="00187D35">
              <w:rPr>
                <w:b/>
                <w:bCs/>
                <w:sz w:val="20"/>
                <w:szCs w:val="20"/>
                <w:lang w:val="sq-AL"/>
              </w:rPr>
              <w:t>ë</w:t>
            </w:r>
            <w:r w:rsidRPr="00187D35">
              <w:rPr>
                <w:b/>
                <w:bCs/>
                <w:sz w:val="20"/>
                <w:szCs w:val="20"/>
                <w:lang w:val="sq-AL"/>
              </w:rPr>
              <w:t>rdorur/parashikuar)</w:t>
            </w:r>
          </w:p>
        </w:tc>
      </w:tr>
      <w:tr w:rsidR="00B33CA7" w:rsidRPr="00187D35" w:rsidTr="00172ED9">
        <w:trPr>
          <w:jc w:val="center"/>
        </w:trPr>
        <w:tc>
          <w:tcPr>
            <w:tcW w:w="1908" w:type="dxa"/>
            <w:vMerge/>
            <w:shd w:val="clear" w:color="auto" w:fill="FBD4B4"/>
          </w:tcPr>
          <w:p w:rsidR="00B33CA7" w:rsidRPr="00187D35" w:rsidRDefault="00B33CA7" w:rsidP="00175117">
            <w:pPr>
              <w:jc w:val="center"/>
              <w:rPr>
                <w:b/>
                <w:bCs/>
                <w:lang w:val="sq-AL"/>
              </w:rPr>
            </w:pPr>
          </w:p>
        </w:tc>
        <w:tc>
          <w:tcPr>
            <w:tcW w:w="1512" w:type="dxa"/>
            <w:shd w:val="clear" w:color="auto" w:fill="FBD4B4"/>
          </w:tcPr>
          <w:p w:rsidR="00B33CA7" w:rsidRPr="00187D35" w:rsidRDefault="0003036C" w:rsidP="00175117">
            <w:pPr>
              <w:jc w:val="center"/>
              <w:rPr>
                <w:b/>
                <w:bCs/>
                <w:lang w:val="sq-AL"/>
              </w:rPr>
            </w:pPr>
            <w:r w:rsidRPr="00187D35">
              <w:rPr>
                <w:b/>
                <w:bCs/>
                <w:lang w:val="sq-AL"/>
              </w:rPr>
              <w:t>1 500</w:t>
            </w:r>
          </w:p>
        </w:tc>
        <w:tc>
          <w:tcPr>
            <w:tcW w:w="1285" w:type="dxa"/>
            <w:shd w:val="clear" w:color="auto" w:fill="FBD4B4"/>
          </w:tcPr>
          <w:p w:rsidR="00B33CA7" w:rsidRPr="00187D35" w:rsidRDefault="00B33CA7" w:rsidP="00CF266C">
            <w:pPr>
              <w:jc w:val="center"/>
              <w:rPr>
                <w:b/>
                <w:bCs/>
                <w:lang w:val="sq-AL"/>
              </w:rPr>
            </w:pPr>
            <w:r w:rsidRPr="00187D35">
              <w:rPr>
                <w:b/>
                <w:bCs/>
                <w:lang w:val="sq-AL"/>
              </w:rPr>
              <w:t xml:space="preserve">1 </w:t>
            </w:r>
            <w:r w:rsidR="00CF266C" w:rsidRPr="00187D35">
              <w:rPr>
                <w:b/>
                <w:bCs/>
                <w:lang w:val="sq-AL"/>
              </w:rPr>
              <w:t>499.6</w:t>
            </w:r>
          </w:p>
        </w:tc>
        <w:tc>
          <w:tcPr>
            <w:tcW w:w="1246" w:type="dxa"/>
            <w:shd w:val="clear" w:color="auto" w:fill="FBD4B4"/>
          </w:tcPr>
          <w:p w:rsidR="00B33CA7" w:rsidRPr="00187D35" w:rsidRDefault="00B33CA7" w:rsidP="00CF266C">
            <w:pPr>
              <w:jc w:val="center"/>
              <w:rPr>
                <w:b/>
                <w:bCs/>
                <w:lang w:val="sq-AL"/>
              </w:rPr>
            </w:pPr>
            <w:r w:rsidRPr="00187D35">
              <w:rPr>
                <w:b/>
                <w:bCs/>
                <w:lang w:val="sq-AL"/>
              </w:rPr>
              <w:t xml:space="preserve">1 </w:t>
            </w:r>
            <w:r w:rsidR="00CF266C" w:rsidRPr="00187D35">
              <w:rPr>
                <w:b/>
                <w:bCs/>
                <w:lang w:val="sq-AL"/>
              </w:rPr>
              <w:t>492</w:t>
            </w:r>
            <w:r w:rsidRPr="00187D35">
              <w:rPr>
                <w:b/>
                <w:bCs/>
                <w:lang w:val="sq-AL"/>
              </w:rPr>
              <w:t>.</w:t>
            </w:r>
            <w:r w:rsidR="00F060F5" w:rsidRPr="00187D35">
              <w:rPr>
                <w:b/>
                <w:bCs/>
                <w:lang w:val="sq-AL"/>
              </w:rPr>
              <w:t>4</w:t>
            </w:r>
          </w:p>
        </w:tc>
        <w:tc>
          <w:tcPr>
            <w:tcW w:w="1407" w:type="dxa"/>
            <w:shd w:val="clear" w:color="auto" w:fill="FBD4B4"/>
          </w:tcPr>
          <w:p w:rsidR="00B33CA7" w:rsidRPr="00187D35" w:rsidRDefault="00CF266C" w:rsidP="00175117">
            <w:pPr>
              <w:jc w:val="center"/>
              <w:rPr>
                <w:b/>
                <w:bCs/>
                <w:lang w:val="sq-AL"/>
              </w:rPr>
            </w:pPr>
            <w:r w:rsidRPr="00187D35">
              <w:rPr>
                <w:b/>
                <w:bCs/>
                <w:lang w:val="sq-AL"/>
              </w:rPr>
              <w:t>7.2</w:t>
            </w:r>
          </w:p>
        </w:tc>
        <w:tc>
          <w:tcPr>
            <w:tcW w:w="2261" w:type="dxa"/>
            <w:shd w:val="clear" w:color="auto" w:fill="FBD4B4"/>
          </w:tcPr>
          <w:p w:rsidR="00B33CA7" w:rsidRPr="00187D35" w:rsidRDefault="00500CE9" w:rsidP="00175117">
            <w:pPr>
              <w:jc w:val="center"/>
              <w:rPr>
                <w:b/>
                <w:bCs/>
                <w:lang w:val="sq-AL"/>
              </w:rPr>
            </w:pPr>
            <w:r w:rsidRPr="00187D35">
              <w:rPr>
                <w:b/>
                <w:bCs/>
                <w:lang w:val="sq-AL"/>
              </w:rPr>
              <w:t>99.5</w:t>
            </w:r>
          </w:p>
        </w:tc>
      </w:tr>
    </w:tbl>
    <w:p w:rsidR="005D2849" w:rsidRPr="00187D35" w:rsidRDefault="00D87F6B" w:rsidP="005D2849">
      <w:pPr>
        <w:spacing w:line="276" w:lineRule="auto"/>
        <w:rPr>
          <w:i/>
          <w:noProof/>
          <w:lang w:val="sq-AL"/>
        </w:rPr>
      </w:pPr>
      <w:r w:rsidRPr="00187D35">
        <w:rPr>
          <w:i/>
          <w:noProof/>
          <w:lang w:val="sq-AL"/>
        </w:rPr>
        <w:t xml:space="preserve">   </w:t>
      </w:r>
      <w:r w:rsidR="005D2849" w:rsidRPr="00187D35">
        <w:rPr>
          <w:i/>
          <w:noProof/>
          <w:lang w:val="sq-AL"/>
        </w:rPr>
        <w:t>Burimi:Ministria e Financave (2015)</w:t>
      </w:r>
      <w:r w:rsidR="005D2849" w:rsidRPr="00187D35">
        <w:rPr>
          <w:i/>
          <w:noProof/>
          <w:lang w:val="sq-AL"/>
        </w:rPr>
        <w:tab/>
      </w:r>
    </w:p>
    <w:p w:rsidR="00597569" w:rsidRPr="00187D35" w:rsidRDefault="00597569" w:rsidP="003F43D7">
      <w:pPr>
        <w:jc w:val="center"/>
        <w:rPr>
          <w:lang w:val="sq-AL"/>
        </w:rPr>
      </w:pPr>
    </w:p>
    <w:p w:rsidR="00500CE9" w:rsidRPr="00187D35" w:rsidRDefault="001401E6" w:rsidP="004C70C3">
      <w:pPr>
        <w:jc w:val="both"/>
        <w:rPr>
          <w:bCs/>
          <w:lang w:val="sq-AL"/>
        </w:rPr>
      </w:pPr>
      <w:r w:rsidRPr="00187D35">
        <w:rPr>
          <w:bCs/>
          <w:lang w:val="sq-AL"/>
        </w:rPr>
        <w:t>Nga fondi rezerv</w:t>
      </w:r>
      <w:r w:rsidR="00410EEB" w:rsidRPr="00187D35">
        <w:rPr>
          <w:bCs/>
          <w:lang w:val="sq-AL"/>
        </w:rPr>
        <w:t>ë</w:t>
      </w:r>
      <w:r w:rsidR="0029103B" w:rsidRPr="00187D35">
        <w:rPr>
          <w:bCs/>
          <w:lang w:val="sq-AL"/>
        </w:rPr>
        <w:t>,</w:t>
      </w:r>
      <w:r w:rsidRPr="00187D35">
        <w:rPr>
          <w:bCs/>
          <w:lang w:val="sq-AL"/>
        </w:rPr>
        <w:t xml:space="preserve"> i p</w:t>
      </w:r>
      <w:r w:rsidR="00410EEB" w:rsidRPr="00187D35">
        <w:rPr>
          <w:bCs/>
          <w:lang w:val="sq-AL"/>
        </w:rPr>
        <w:t>ë</w:t>
      </w:r>
      <w:r w:rsidRPr="00187D35">
        <w:rPr>
          <w:bCs/>
          <w:lang w:val="sq-AL"/>
        </w:rPr>
        <w:t>rdorur n</w:t>
      </w:r>
      <w:r w:rsidR="00410EEB" w:rsidRPr="00187D35">
        <w:rPr>
          <w:bCs/>
          <w:lang w:val="sq-AL"/>
        </w:rPr>
        <w:t>ë</w:t>
      </w:r>
      <w:r w:rsidRPr="00187D35">
        <w:rPr>
          <w:bCs/>
          <w:lang w:val="sq-AL"/>
        </w:rPr>
        <w:t>p</w:t>
      </w:r>
      <w:r w:rsidR="00410EEB" w:rsidRPr="00187D35">
        <w:rPr>
          <w:bCs/>
          <w:lang w:val="sq-AL"/>
        </w:rPr>
        <w:t>ë</w:t>
      </w:r>
      <w:r w:rsidRPr="00187D35">
        <w:rPr>
          <w:bCs/>
          <w:lang w:val="sq-AL"/>
        </w:rPr>
        <w:t xml:space="preserve">rmjet </w:t>
      </w:r>
      <w:r w:rsidR="004C70C3">
        <w:rPr>
          <w:bCs/>
          <w:lang w:val="sq-AL"/>
        </w:rPr>
        <w:t>V</w:t>
      </w:r>
      <w:r w:rsidRPr="00187D35">
        <w:rPr>
          <w:bCs/>
          <w:lang w:val="sq-AL"/>
        </w:rPr>
        <w:t>endimeve t</w:t>
      </w:r>
      <w:r w:rsidR="00410EEB" w:rsidRPr="00187D35">
        <w:rPr>
          <w:bCs/>
          <w:lang w:val="sq-AL"/>
        </w:rPr>
        <w:t>ë</w:t>
      </w:r>
      <w:r w:rsidRPr="00187D35">
        <w:rPr>
          <w:bCs/>
          <w:lang w:val="sq-AL"/>
        </w:rPr>
        <w:t xml:space="preserve"> K</w:t>
      </w:r>
      <w:r w:rsidR="00410EEB" w:rsidRPr="00187D35">
        <w:rPr>
          <w:bCs/>
          <w:lang w:val="sq-AL"/>
        </w:rPr>
        <w:t>ë</w:t>
      </w:r>
      <w:r w:rsidRPr="00187D35">
        <w:rPr>
          <w:bCs/>
          <w:lang w:val="sq-AL"/>
        </w:rPr>
        <w:t>shillit t</w:t>
      </w:r>
      <w:r w:rsidR="00410EEB" w:rsidRPr="00187D35">
        <w:rPr>
          <w:bCs/>
          <w:lang w:val="sq-AL"/>
        </w:rPr>
        <w:t>ë</w:t>
      </w:r>
      <w:r w:rsidRPr="00187D35">
        <w:rPr>
          <w:bCs/>
          <w:lang w:val="sq-AL"/>
        </w:rPr>
        <w:t xml:space="preserve"> Ministrave, deri n</w:t>
      </w:r>
      <w:r w:rsidR="00410EEB" w:rsidRPr="00187D35">
        <w:rPr>
          <w:bCs/>
          <w:lang w:val="sq-AL"/>
        </w:rPr>
        <w:t>ë</w:t>
      </w:r>
      <w:r w:rsidRPr="00187D35">
        <w:rPr>
          <w:bCs/>
          <w:lang w:val="sq-AL"/>
        </w:rPr>
        <w:t xml:space="preserve"> </w:t>
      </w:r>
      <w:r w:rsidR="00EF295E" w:rsidRPr="00187D35">
        <w:rPr>
          <w:bCs/>
          <w:lang w:val="sq-AL"/>
        </w:rPr>
        <w:t>dat</w:t>
      </w:r>
      <w:r w:rsidR="00410EEB" w:rsidRPr="00187D35">
        <w:rPr>
          <w:bCs/>
          <w:lang w:val="sq-AL"/>
        </w:rPr>
        <w:t>ë</w:t>
      </w:r>
      <w:r w:rsidR="00EF295E" w:rsidRPr="00187D35">
        <w:rPr>
          <w:bCs/>
          <w:lang w:val="sq-AL"/>
        </w:rPr>
        <w:t xml:space="preserve">n </w:t>
      </w:r>
      <w:r w:rsidR="00F060F5" w:rsidRPr="00187D35">
        <w:rPr>
          <w:bCs/>
          <w:lang w:val="sq-AL"/>
        </w:rPr>
        <w:t>31 dhjetor</w:t>
      </w:r>
      <w:r w:rsidRPr="00187D35">
        <w:rPr>
          <w:bCs/>
          <w:lang w:val="sq-AL"/>
        </w:rPr>
        <w:t xml:space="preserve"> 201</w:t>
      </w:r>
      <w:r w:rsidR="00500CE9" w:rsidRPr="00187D35">
        <w:rPr>
          <w:bCs/>
          <w:lang w:val="sq-AL"/>
        </w:rPr>
        <w:t>4</w:t>
      </w:r>
      <w:r w:rsidRPr="00187D35">
        <w:rPr>
          <w:bCs/>
          <w:lang w:val="sq-AL"/>
        </w:rPr>
        <w:t xml:space="preserve"> </w:t>
      </w:r>
      <w:r w:rsidR="00950FB7" w:rsidRPr="00187D35">
        <w:rPr>
          <w:bCs/>
          <w:lang w:val="sq-AL"/>
        </w:rPr>
        <w:t>është</w:t>
      </w:r>
      <w:r w:rsidRPr="00187D35">
        <w:rPr>
          <w:bCs/>
          <w:lang w:val="sq-AL"/>
        </w:rPr>
        <w:t xml:space="preserve"> </w:t>
      </w:r>
      <w:r w:rsidRPr="00187D35">
        <w:rPr>
          <w:bCs/>
          <w:u w:val="single"/>
          <w:lang w:val="sq-AL"/>
        </w:rPr>
        <w:t xml:space="preserve">ekzekutuar fondi prej </w:t>
      </w:r>
      <w:r w:rsidR="00F060F5" w:rsidRPr="00187D35">
        <w:rPr>
          <w:bCs/>
          <w:u w:val="single"/>
          <w:lang w:val="sq-AL"/>
        </w:rPr>
        <w:t>1.</w:t>
      </w:r>
      <w:r w:rsidR="00500CE9" w:rsidRPr="00187D35">
        <w:rPr>
          <w:bCs/>
          <w:u w:val="single"/>
          <w:lang w:val="sq-AL"/>
        </w:rPr>
        <w:t>49</w:t>
      </w:r>
      <w:r w:rsidR="00EF295E" w:rsidRPr="00187D35">
        <w:rPr>
          <w:bCs/>
          <w:u w:val="single"/>
          <w:lang w:val="sq-AL"/>
        </w:rPr>
        <w:t xml:space="preserve"> </w:t>
      </w:r>
      <w:r w:rsidR="00950FB7" w:rsidRPr="00187D35">
        <w:rPr>
          <w:bCs/>
          <w:u w:val="single"/>
          <w:lang w:val="sq-AL"/>
        </w:rPr>
        <w:t>miliardë</w:t>
      </w:r>
      <w:r w:rsidRPr="00187D35">
        <w:rPr>
          <w:bCs/>
          <w:u w:val="single"/>
          <w:lang w:val="sq-AL"/>
        </w:rPr>
        <w:t xml:space="preserve"> lek</w:t>
      </w:r>
      <w:r w:rsidR="004C70C3">
        <w:rPr>
          <w:bCs/>
          <w:u w:val="single"/>
          <w:lang w:val="sq-AL"/>
        </w:rPr>
        <w:t>ë</w:t>
      </w:r>
      <w:r w:rsidRPr="00187D35">
        <w:rPr>
          <w:bCs/>
          <w:lang w:val="sq-AL"/>
        </w:rPr>
        <w:t xml:space="preserve">, pasi </w:t>
      </w:r>
      <w:r w:rsidR="00950FB7" w:rsidRPr="00187D35">
        <w:rPr>
          <w:bCs/>
          <w:lang w:val="sq-AL"/>
        </w:rPr>
        <w:t>për</w:t>
      </w:r>
      <w:r w:rsidR="00F060F5" w:rsidRPr="00187D35">
        <w:rPr>
          <w:bCs/>
          <w:lang w:val="sq-AL"/>
        </w:rPr>
        <w:t xml:space="preserve"> </w:t>
      </w:r>
      <w:r w:rsidR="00500CE9" w:rsidRPr="00187D35">
        <w:rPr>
          <w:bCs/>
          <w:lang w:val="sq-AL"/>
        </w:rPr>
        <w:t>1</w:t>
      </w:r>
      <w:r w:rsidR="004C70C3">
        <w:rPr>
          <w:bCs/>
          <w:lang w:val="sq-AL"/>
        </w:rPr>
        <w:t xml:space="preserve"> (një)</w:t>
      </w:r>
      <w:r w:rsidR="00F060F5" w:rsidRPr="00187D35">
        <w:rPr>
          <w:bCs/>
          <w:lang w:val="sq-AL"/>
        </w:rPr>
        <w:t xml:space="preserve"> VKM nuk 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>sht</w:t>
      </w:r>
      <w:r w:rsidR="003D2980" w:rsidRPr="00187D35">
        <w:rPr>
          <w:bCs/>
          <w:lang w:val="sq-AL"/>
        </w:rPr>
        <w:t>ë</w:t>
      </w:r>
      <w:r w:rsidR="00F060F5" w:rsidRPr="00187D35">
        <w:rPr>
          <w:bCs/>
          <w:lang w:val="sq-AL"/>
        </w:rPr>
        <w:t xml:space="preserve"> paraqitur k</w:t>
      </w:r>
      <w:r w:rsidR="00410EEB" w:rsidRPr="00187D35">
        <w:rPr>
          <w:bCs/>
          <w:lang w:val="sq-AL"/>
        </w:rPr>
        <w:t>ë</w:t>
      </w:r>
      <w:r w:rsidR="00F060F5" w:rsidRPr="00187D35">
        <w:rPr>
          <w:bCs/>
          <w:lang w:val="sq-AL"/>
        </w:rPr>
        <w:t>rkesa nga Ministr</w:t>
      </w:r>
      <w:r w:rsidR="004C70C3">
        <w:rPr>
          <w:bCs/>
          <w:lang w:val="sq-AL"/>
        </w:rPr>
        <w:t>i</w:t>
      </w:r>
      <w:r w:rsidR="00500CE9" w:rsidRPr="00187D35">
        <w:rPr>
          <w:bCs/>
          <w:lang w:val="sq-AL"/>
        </w:rPr>
        <w:t>a e Sh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>ndet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>sis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 xml:space="preserve"> p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>r akordimin e fondit t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 xml:space="preserve"> miratuar p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>r VKM-n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 xml:space="preserve"> p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>rkat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>se p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>r 7.2 milion</w:t>
      </w:r>
      <w:r w:rsidR="004C70C3">
        <w:rPr>
          <w:bCs/>
          <w:lang w:val="sq-AL"/>
        </w:rPr>
        <w:t>ë</w:t>
      </w:r>
      <w:r w:rsidR="00500CE9" w:rsidRPr="00187D35">
        <w:rPr>
          <w:bCs/>
          <w:lang w:val="sq-AL"/>
        </w:rPr>
        <w:t xml:space="preserve"> lek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 xml:space="preserve"> dhe konkretisht p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>r:</w:t>
      </w:r>
    </w:p>
    <w:p w:rsidR="001D0A7B" w:rsidRPr="00187D35" w:rsidRDefault="00F060F5" w:rsidP="00500CE9">
      <w:pPr>
        <w:ind w:firstLine="720"/>
        <w:jc w:val="both"/>
        <w:rPr>
          <w:bCs/>
          <w:lang w:val="sq-AL"/>
        </w:rPr>
      </w:pPr>
      <w:r w:rsidRPr="00187D35">
        <w:rPr>
          <w:bCs/>
          <w:lang w:val="sq-AL"/>
        </w:rPr>
        <w:t xml:space="preserve"> </w:t>
      </w:r>
    </w:p>
    <w:p w:rsidR="00B221D6" w:rsidRPr="00187D35" w:rsidRDefault="00345A68" w:rsidP="007D0125">
      <w:pPr>
        <w:numPr>
          <w:ilvl w:val="0"/>
          <w:numId w:val="16"/>
        </w:numPr>
        <w:jc w:val="both"/>
        <w:rPr>
          <w:bCs/>
          <w:lang w:val="sq-AL"/>
        </w:rPr>
      </w:pPr>
      <w:r w:rsidRPr="00187D35">
        <w:rPr>
          <w:bCs/>
          <w:lang w:val="sq-AL"/>
        </w:rPr>
        <w:t>VKM nr</w:t>
      </w:r>
      <w:r w:rsidR="00500CE9" w:rsidRPr="00187D35">
        <w:rPr>
          <w:bCs/>
          <w:lang w:val="sq-AL"/>
        </w:rPr>
        <w:t>.155</w:t>
      </w:r>
      <w:r w:rsidRPr="00187D35">
        <w:rPr>
          <w:bCs/>
          <w:lang w:val="sq-AL"/>
        </w:rPr>
        <w:t>, dat</w:t>
      </w:r>
      <w:r w:rsidR="00410EEB" w:rsidRPr="00187D35">
        <w:rPr>
          <w:bCs/>
          <w:lang w:val="sq-AL"/>
        </w:rPr>
        <w:t>ë</w:t>
      </w:r>
      <w:r w:rsidRPr="00187D35">
        <w:rPr>
          <w:bCs/>
          <w:lang w:val="sq-AL"/>
        </w:rPr>
        <w:t xml:space="preserve"> </w:t>
      </w:r>
      <w:r w:rsidR="00500CE9" w:rsidRPr="00187D35">
        <w:rPr>
          <w:bCs/>
          <w:lang w:val="sq-AL"/>
        </w:rPr>
        <w:t>19</w:t>
      </w:r>
      <w:r w:rsidR="007C577E" w:rsidRPr="00187D35">
        <w:rPr>
          <w:bCs/>
          <w:lang w:val="sq-AL"/>
        </w:rPr>
        <w:t>.0</w:t>
      </w:r>
      <w:r w:rsidR="00500CE9" w:rsidRPr="00187D35">
        <w:rPr>
          <w:bCs/>
          <w:lang w:val="sq-AL"/>
        </w:rPr>
        <w:t>3</w:t>
      </w:r>
      <w:r w:rsidR="007C577E" w:rsidRPr="00187D35">
        <w:rPr>
          <w:bCs/>
          <w:lang w:val="sq-AL"/>
        </w:rPr>
        <w:t>.201</w:t>
      </w:r>
      <w:r w:rsidR="00500CE9" w:rsidRPr="00187D35">
        <w:rPr>
          <w:bCs/>
          <w:lang w:val="sq-AL"/>
        </w:rPr>
        <w:t>4</w:t>
      </w:r>
      <w:r w:rsidR="007C577E" w:rsidRPr="00187D35">
        <w:rPr>
          <w:bCs/>
          <w:lang w:val="sq-AL"/>
        </w:rPr>
        <w:t xml:space="preserve">, </w:t>
      </w:r>
      <w:r w:rsidR="004C70C3">
        <w:rPr>
          <w:bCs/>
          <w:lang w:val="sq-AL"/>
        </w:rPr>
        <w:t>“</w:t>
      </w:r>
      <w:r w:rsidRPr="00187D35">
        <w:rPr>
          <w:bCs/>
          <w:lang w:val="sq-AL"/>
        </w:rPr>
        <w:t>P</w:t>
      </w:r>
      <w:r w:rsidR="00410EEB" w:rsidRPr="00187D35">
        <w:rPr>
          <w:bCs/>
          <w:lang w:val="sq-AL"/>
        </w:rPr>
        <w:t>ë</w:t>
      </w:r>
      <w:r w:rsidRPr="00187D35">
        <w:rPr>
          <w:bCs/>
          <w:lang w:val="sq-AL"/>
        </w:rPr>
        <w:t xml:space="preserve">r </w:t>
      </w:r>
      <w:r w:rsidR="00500CE9" w:rsidRPr="00187D35">
        <w:rPr>
          <w:bCs/>
          <w:lang w:val="sq-AL"/>
        </w:rPr>
        <w:t>dh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>nie ndihme financiare Komun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>s s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 xml:space="preserve"> Preshev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>s p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>r maternitetin e Preshev</w:t>
      </w:r>
      <w:r w:rsidR="003D2980" w:rsidRPr="00187D35">
        <w:rPr>
          <w:bCs/>
          <w:lang w:val="sq-AL"/>
        </w:rPr>
        <w:t>ë</w:t>
      </w:r>
      <w:r w:rsidR="00500CE9" w:rsidRPr="00187D35">
        <w:rPr>
          <w:bCs/>
          <w:lang w:val="sq-AL"/>
        </w:rPr>
        <w:t>s”.</w:t>
      </w:r>
    </w:p>
    <w:p w:rsidR="0030201C" w:rsidRPr="00187D35" w:rsidRDefault="0030201C" w:rsidP="00C81786">
      <w:pPr>
        <w:jc w:val="both"/>
        <w:rPr>
          <w:bCs/>
          <w:lang w:val="sq-AL"/>
        </w:rPr>
      </w:pPr>
    </w:p>
    <w:p w:rsidR="002374D7" w:rsidRPr="00187D35" w:rsidRDefault="003F43D7" w:rsidP="004C70C3">
      <w:pPr>
        <w:jc w:val="both"/>
        <w:rPr>
          <w:bCs/>
          <w:lang w:val="sq-AL"/>
        </w:rPr>
      </w:pPr>
      <w:r w:rsidRPr="00187D35">
        <w:rPr>
          <w:bCs/>
          <w:lang w:val="sq-AL"/>
        </w:rPr>
        <w:t>Nga fondi</w:t>
      </w:r>
      <w:r w:rsidR="00FD427E" w:rsidRPr="00187D35">
        <w:rPr>
          <w:bCs/>
          <w:lang w:val="sq-AL"/>
        </w:rPr>
        <w:t xml:space="preserve"> rezerv</w:t>
      </w:r>
      <w:r w:rsidR="00410EEB" w:rsidRPr="00187D35">
        <w:rPr>
          <w:bCs/>
          <w:lang w:val="sq-AL"/>
        </w:rPr>
        <w:t>ë</w:t>
      </w:r>
      <w:r w:rsidRPr="00187D35">
        <w:rPr>
          <w:bCs/>
          <w:lang w:val="sq-AL"/>
        </w:rPr>
        <w:t xml:space="preserve"> i </w:t>
      </w:r>
      <w:r w:rsidR="00FD427E" w:rsidRPr="00187D35">
        <w:rPr>
          <w:bCs/>
          <w:lang w:val="sq-AL"/>
        </w:rPr>
        <w:t>ekzekutuar</w:t>
      </w:r>
      <w:r w:rsidRPr="00187D35">
        <w:rPr>
          <w:bCs/>
          <w:lang w:val="sq-AL"/>
        </w:rPr>
        <w:t xml:space="preserve"> deri </w:t>
      </w:r>
      <w:r w:rsidR="004C70C3">
        <w:rPr>
          <w:bCs/>
          <w:lang w:val="sq-AL"/>
        </w:rPr>
        <w:t>m</w:t>
      </w:r>
      <w:r w:rsidR="00410EEB" w:rsidRPr="00187D35">
        <w:rPr>
          <w:bCs/>
          <w:lang w:val="sq-AL"/>
        </w:rPr>
        <w:t>ë</w:t>
      </w:r>
      <w:r w:rsidR="00B75E39" w:rsidRPr="00187D35">
        <w:rPr>
          <w:bCs/>
          <w:lang w:val="sq-AL"/>
        </w:rPr>
        <w:t xml:space="preserve"> </w:t>
      </w:r>
      <w:r w:rsidR="00264CE1" w:rsidRPr="00187D35">
        <w:rPr>
          <w:bCs/>
          <w:lang w:val="sq-AL"/>
        </w:rPr>
        <w:t>dat</w:t>
      </w:r>
      <w:r w:rsidR="00410EEB" w:rsidRPr="00187D35">
        <w:rPr>
          <w:bCs/>
          <w:lang w:val="sq-AL"/>
        </w:rPr>
        <w:t>ë</w:t>
      </w:r>
      <w:r w:rsidR="00264CE1" w:rsidRPr="00187D35">
        <w:rPr>
          <w:bCs/>
          <w:lang w:val="sq-AL"/>
        </w:rPr>
        <w:t xml:space="preserve">n </w:t>
      </w:r>
      <w:r w:rsidR="00EB5370" w:rsidRPr="00187D35">
        <w:rPr>
          <w:bCs/>
          <w:lang w:val="sq-AL"/>
        </w:rPr>
        <w:t>31 dhjetor</w:t>
      </w:r>
      <w:r w:rsidRPr="00187D35">
        <w:rPr>
          <w:bCs/>
          <w:lang w:val="sq-AL"/>
        </w:rPr>
        <w:t xml:space="preserve"> 201</w:t>
      </w:r>
      <w:r w:rsidR="00FB0DBC" w:rsidRPr="00187D35">
        <w:rPr>
          <w:bCs/>
          <w:lang w:val="sq-AL"/>
        </w:rPr>
        <w:t>4</w:t>
      </w:r>
      <w:r w:rsidRPr="00187D35">
        <w:rPr>
          <w:bCs/>
          <w:lang w:val="sq-AL"/>
        </w:rPr>
        <w:t>, r</w:t>
      </w:r>
      <w:r w:rsidR="00067C6A" w:rsidRPr="00187D35">
        <w:rPr>
          <w:bCs/>
          <w:lang w:val="sq-AL"/>
        </w:rPr>
        <w:t xml:space="preserve">reth </w:t>
      </w:r>
      <w:r w:rsidR="003D5C81" w:rsidRPr="00187D35">
        <w:rPr>
          <w:bCs/>
          <w:lang w:val="sq-AL"/>
        </w:rPr>
        <w:t>100</w:t>
      </w:r>
      <w:r w:rsidR="00264CE1" w:rsidRPr="00187D35">
        <w:rPr>
          <w:bCs/>
          <w:lang w:val="sq-AL"/>
        </w:rPr>
        <w:t xml:space="preserve"> milion</w:t>
      </w:r>
      <w:r w:rsidR="00410EEB" w:rsidRPr="00187D35">
        <w:rPr>
          <w:bCs/>
          <w:lang w:val="sq-AL"/>
        </w:rPr>
        <w:t>ë</w:t>
      </w:r>
      <w:r w:rsidR="00264CE1" w:rsidRPr="00187D35">
        <w:rPr>
          <w:bCs/>
          <w:lang w:val="sq-AL"/>
        </w:rPr>
        <w:t xml:space="preserve"> lek</w:t>
      </w:r>
      <w:r w:rsidR="00410EEB" w:rsidRPr="00187D35">
        <w:rPr>
          <w:bCs/>
          <w:lang w:val="sq-AL"/>
        </w:rPr>
        <w:t>ë</w:t>
      </w:r>
      <w:r w:rsidR="00264CE1" w:rsidRPr="00187D35">
        <w:rPr>
          <w:bCs/>
          <w:lang w:val="sq-AL"/>
        </w:rPr>
        <w:t xml:space="preserve"> </w:t>
      </w:r>
      <w:r w:rsidR="00950FB7" w:rsidRPr="00187D35">
        <w:rPr>
          <w:bCs/>
          <w:lang w:val="sq-AL"/>
        </w:rPr>
        <w:t>janë</w:t>
      </w:r>
      <w:r w:rsidR="00264CE1" w:rsidRPr="00187D35">
        <w:rPr>
          <w:bCs/>
          <w:lang w:val="sq-AL"/>
        </w:rPr>
        <w:t xml:space="preserve"> p</w:t>
      </w:r>
      <w:r w:rsidR="00410EEB" w:rsidRPr="00187D35">
        <w:rPr>
          <w:bCs/>
          <w:lang w:val="sq-AL"/>
        </w:rPr>
        <w:t>ë</w:t>
      </w:r>
      <w:r w:rsidR="00264CE1" w:rsidRPr="00187D35">
        <w:rPr>
          <w:bCs/>
          <w:lang w:val="sq-AL"/>
        </w:rPr>
        <w:t>rdorur p</w:t>
      </w:r>
      <w:r w:rsidR="00410EEB" w:rsidRPr="00187D35">
        <w:rPr>
          <w:bCs/>
          <w:lang w:val="sq-AL"/>
        </w:rPr>
        <w:t>ë</w:t>
      </w:r>
      <w:r w:rsidR="00264CE1" w:rsidRPr="00187D35">
        <w:rPr>
          <w:bCs/>
          <w:lang w:val="sq-AL"/>
        </w:rPr>
        <w:t>r shpenzime personeli, rreth 1.</w:t>
      </w:r>
      <w:r w:rsidR="003D5C81" w:rsidRPr="00187D35">
        <w:rPr>
          <w:bCs/>
          <w:lang w:val="sq-AL"/>
        </w:rPr>
        <w:t xml:space="preserve">179 </w:t>
      </w:r>
      <w:r w:rsidR="00264CE1" w:rsidRPr="00187D35">
        <w:rPr>
          <w:bCs/>
          <w:lang w:val="sq-AL"/>
        </w:rPr>
        <w:t>miliard</w:t>
      </w:r>
      <w:r w:rsidR="00410EEB" w:rsidRPr="00187D35">
        <w:rPr>
          <w:bCs/>
          <w:lang w:val="sq-AL"/>
        </w:rPr>
        <w:t>ë</w:t>
      </w:r>
      <w:r w:rsidR="00264CE1" w:rsidRPr="00187D35">
        <w:rPr>
          <w:bCs/>
          <w:lang w:val="sq-AL"/>
        </w:rPr>
        <w:t xml:space="preserve"> </w:t>
      </w:r>
      <w:r w:rsidR="002374D7" w:rsidRPr="00187D35">
        <w:rPr>
          <w:bCs/>
          <w:lang w:val="sq-AL"/>
        </w:rPr>
        <w:t>lek</w:t>
      </w:r>
      <w:r w:rsidR="00410EEB" w:rsidRPr="00187D35">
        <w:rPr>
          <w:bCs/>
          <w:lang w:val="sq-AL"/>
        </w:rPr>
        <w:t>ë</w:t>
      </w:r>
      <w:r w:rsidR="002374D7" w:rsidRPr="00187D35">
        <w:rPr>
          <w:bCs/>
          <w:lang w:val="sq-AL"/>
        </w:rPr>
        <w:t xml:space="preserve"> </w:t>
      </w:r>
      <w:r w:rsidR="00067C6A" w:rsidRPr="00187D35">
        <w:rPr>
          <w:bCs/>
          <w:lang w:val="sq-AL"/>
        </w:rPr>
        <w:t>p</w:t>
      </w:r>
      <w:r w:rsidR="00410EEB" w:rsidRPr="00187D35">
        <w:rPr>
          <w:bCs/>
          <w:lang w:val="sq-AL"/>
        </w:rPr>
        <w:t>ë</w:t>
      </w:r>
      <w:r w:rsidR="00067C6A" w:rsidRPr="00187D35">
        <w:rPr>
          <w:bCs/>
          <w:lang w:val="sq-AL"/>
        </w:rPr>
        <w:t xml:space="preserve">r </w:t>
      </w:r>
      <w:r w:rsidRPr="00187D35">
        <w:rPr>
          <w:bCs/>
          <w:lang w:val="sq-AL"/>
        </w:rPr>
        <w:t xml:space="preserve">shpenzime </w:t>
      </w:r>
      <w:r w:rsidR="00FD427E" w:rsidRPr="00187D35">
        <w:rPr>
          <w:bCs/>
          <w:lang w:val="sq-AL"/>
        </w:rPr>
        <w:t>t</w:t>
      </w:r>
      <w:r w:rsidR="00410EEB" w:rsidRPr="00187D35">
        <w:rPr>
          <w:bCs/>
          <w:lang w:val="sq-AL"/>
        </w:rPr>
        <w:t>ë</w:t>
      </w:r>
      <w:r w:rsidR="00FD427E" w:rsidRPr="00187D35">
        <w:rPr>
          <w:bCs/>
          <w:lang w:val="sq-AL"/>
        </w:rPr>
        <w:t xml:space="preserve"> tjera korente (shpenzime </w:t>
      </w:r>
      <w:r w:rsidR="002374D7" w:rsidRPr="00187D35">
        <w:rPr>
          <w:bCs/>
          <w:lang w:val="sq-AL"/>
        </w:rPr>
        <w:t>operative</w:t>
      </w:r>
      <w:r w:rsidR="003D5C81" w:rsidRPr="00187D35">
        <w:rPr>
          <w:bCs/>
          <w:lang w:val="sq-AL"/>
        </w:rPr>
        <w:t xml:space="preserve"> dhe </w:t>
      </w:r>
      <w:r w:rsidR="00FD427E" w:rsidRPr="00187D35">
        <w:rPr>
          <w:bCs/>
          <w:lang w:val="sq-AL"/>
        </w:rPr>
        <w:t>transferta t</w:t>
      </w:r>
      <w:r w:rsidR="00410EEB" w:rsidRPr="00187D35">
        <w:rPr>
          <w:bCs/>
          <w:lang w:val="sq-AL"/>
        </w:rPr>
        <w:t>ë</w:t>
      </w:r>
      <w:r w:rsidR="00FD427E" w:rsidRPr="00187D35">
        <w:rPr>
          <w:bCs/>
          <w:lang w:val="sq-AL"/>
        </w:rPr>
        <w:t xml:space="preserve"> </w:t>
      </w:r>
      <w:r w:rsidR="00950FB7" w:rsidRPr="00187D35">
        <w:rPr>
          <w:bCs/>
          <w:lang w:val="sq-AL"/>
        </w:rPr>
        <w:t>brendshme</w:t>
      </w:r>
      <w:r w:rsidR="004C70C3">
        <w:rPr>
          <w:bCs/>
          <w:lang w:val="sq-AL"/>
        </w:rPr>
        <w:t>)</w:t>
      </w:r>
      <w:r w:rsidR="00FD427E" w:rsidRPr="00187D35">
        <w:rPr>
          <w:bCs/>
          <w:lang w:val="sq-AL"/>
        </w:rPr>
        <w:t xml:space="preserve"> </w:t>
      </w:r>
      <w:r w:rsidR="00067C6A" w:rsidRPr="00187D35">
        <w:rPr>
          <w:bCs/>
          <w:lang w:val="sq-AL"/>
        </w:rPr>
        <w:t xml:space="preserve">dhe </w:t>
      </w:r>
      <w:r w:rsidR="002374D7" w:rsidRPr="00187D35">
        <w:rPr>
          <w:bCs/>
          <w:lang w:val="sq-AL"/>
        </w:rPr>
        <w:t xml:space="preserve">rreth </w:t>
      </w:r>
      <w:r w:rsidR="003D5C81" w:rsidRPr="00187D35">
        <w:rPr>
          <w:bCs/>
          <w:lang w:val="sq-AL"/>
        </w:rPr>
        <w:t>213</w:t>
      </w:r>
      <w:r w:rsidR="002374D7" w:rsidRPr="00187D35">
        <w:rPr>
          <w:bCs/>
          <w:lang w:val="sq-AL"/>
        </w:rPr>
        <w:t xml:space="preserve"> </w:t>
      </w:r>
      <w:r w:rsidR="00950FB7" w:rsidRPr="00187D35">
        <w:rPr>
          <w:bCs/>
          <w:lang w:val="sq-AL"/>
        </w:rPr>
        <w:t>milionë</w:t>
      </w:r>
      <w:r w:rsidR="002374D7" w:rsidRPr="00187D35">
        <w:rPr>
          <w:bCs/>
          <w:lang w:val="sq-AL"/>
        </w:rPr>
        <w:t xml:space="preserve"> lek</w:t>
      </w:r>
      <w:r w:rsidR="00410EEB" w:rsidRPr="00187D35">
        <w:rPr>
          <w:bCs/>
          <w:lang w:val="sq-AL"/>
        </w:rPr>
        <w:t>ë</w:t>
      </w:r>
      <w:r w:rsidR="002374D7" w:rsidRPr="00187D35">
        <w:rPr>
          <w:bCs/>
          <w:lang w:val="sq-AL"/>
        </w:rPr>
        <w:t xml:space="preserve"> </w:t>
      </w:r>
      <w:r w:rsidR="00067C6A" w:rsidRPr="00187D35">
        <w:rPr>
          <w:bCs/>
          <w:lang w:val="sq-AL"/>
        </w:rPr>
        <w:t>p</w:t>
      </w:r>
      <w:r w:rsidR="00410EEB" w:rsidRPr="00187D35">
        <w:rPr>
          <w:bCs/>
          <w:lang w:val="sq-AL"/>
        </w:rPr>
        <w:t>ë</w:t>
      </w:r>
      <w:r w:rsidR="00067C6A" w:rsidRPr="00187D35">
        <w:rPr>
          <w:bCs/>
          <w:lang w:val="sq-AL"/>
        </w:rPr>
        <w:t>r investime</w:t>
      </w:r>
      <w:r w:rsidR="002374D7" w:rsidRPr="00187D35">
        <w:rPr>
          <w:bCs/>
          <w:lang w:val="sq-AL"/>
        </w:rPr>
        <w:t>.</w:t>
      </w:r>
      <w:r w:rsidR="005D2849" w:rsidRPr="00187D35">
        <w:rPr>
          <w:bCs/>
          <w:lang w:val="sq-AL"/>
        </w:rPr>
        <w:t xml:space="preserve"> </w:t>
      </w:r>
      <w:r w:rsidR="009D5575" w:rsidRPr="00187D35">
        <w:rPr>
          <w:bCs/>
          <w:lang w:val="sq-AL"/>
        </w:rPr>
        <w:t>N</w:t>
      </w:r>
      <w:r w:rsidR="003D2980" w:rsidRPr="00187D35">
        <w:rPr>
          <w:bCs/>
          <w:lang w:val="sq-AL"/>
        </w:rPr>
        <w:t>ë</w:t>
      </w:r>
      <w:r w:rsidR="006964CA" w:rsidRPr="00187D35">
        <w:rPr>
          <w:bCs/>
          <w:lang w:val="sq-AL"/>
        </w:rPr>
        <w:t xml:space="preserve"> </w:t>
      </w:r>
      <w:r w:rsidR="009D5575" w:rsidRPr="00187D35">
        <w:rPr>
          <w:bCs/>
          <w:lang w:val="sq-AL"/>
        </w:rPr>
        <w:t xml:space="preserve">grafikun e </w:t>
      </w:r>
      <w:r w:rsidR="00187D35" w:rsidRPr="00187D35">
        <w:rPr>
          <w:bCs/>
          <w:lang w:val="sq-AL"/>
        </w:rPr>
        <w:t>mëposhtëm</w:t>
      </w:r>
      <w:r w:rsidR="009D5575" w:rsidRPr="00187D35">
        <w:rPr>
          <w:bCs/>
          <w:lang w:val="sq-AL"/>
        </w:rPr>
        <w:t xml:space="preserve"> jepet struktura e p</w:t>
      </w:r>
      <w:r w:rsidR="003D2980" w:rsidRPr="00187D35">
        <w:rPr>
          <w:bCs/>
          <w:lang w:val="sq-AL"/>
        </w:rPr>
        <w:t>ë</w:t>
      </w:r>
      <w:r w:rsidR="009D5575" w:rsidRPr="00187D35">
        <w:rPr>
          <w:bCs/>
          <w:lang w:val="sq-AL"/>
        </w:rPr>
        <w:t>rdorimit t</w:t>
      </w:r>
      <w:r w:rsidR="003D2980" w:rsidRPr="00187D35">
        <w:rPr>
          <w:bCs/>
          <w:lang w:val="sq-AL"/>
        </w:rPr>
        <w:t>ë</w:t>
      </w:r>
      <w:r w:rsidR="004C70C3">
        <w:rPr>
          <w:bCs/>
          <w:lang w:val="sq-AL"/>
        </w:rPr>
        <w:t xml:space="preserve"> Fondit </w:t>
      </w:r>
      <w:r w:rsidR="009D5575" w:rsidRPr="00187D35">
        <w:rPr>
          <w:bCs/>
          <w:lang w:val="sq-AL"/>
        </w:rPr>
        <w:t>R</w:t>
      </w:r>
      <w:r w:rsidR="003D2980" w:rsidRPr="00187D35">
        <w:rPr>
          <w:bCs/>
          <w:lang w:val="sq-AL"/>
        </w:rPr>
        <w:t>ezerv</w:t>
      </w:r>
      <w:r w:rsidR="004C70C3">
        <w:rPr>
          <w:bCs/>
          <w:lang w:val="sq-AL"/>
        </w:rPr>
        <w:t>ë</w:t>
      </w:r>
      <w:r w:rsidR="003D2980" w:rsidRPr="00187D35">
        <w:rPr>
          <w:bCs/>
          <w:lang w:val="sq-AL"/>
        </w:rPr>
        <w:t xml:space="preserve"> për vitin 2014.</w:t>
      </w:r>
    </w:p>
    <w:p w:rsidR="00DB6FD3" w:rsidRPr="00187D35" w:rsidRDefault="00DB6FD3" w:rsidP="00AC665A">
      <w:pPr>
        <w:jc w:val="both"/>
        <w:rPr>
          <w:bCs/>
          <w:lang w:val="sq-AL"/>
        </w:rPr>
      </w:pPr>
    </w:p>
    <w:p w:rsidR="00DB6FD3" w:rsidRPr="00187D35" w:rsidRDefault="004C70C3" w:rsidP="00950FB7">
      <w:pPr>
        <w:jc w:val="center"/>
        <w:rPr>
          <w:noProof/>
          <w:lang w:val="sq-AL"/>
        </w:rPr>
      </w:pPr>
      <w:r>
        <w:rPr>
          <w:noProof/>
        </w:rPr>
        <w:lastRenderedPageBreak/>
        <w:drawing>
          <wp:inline distT="0" distB="0" distL="0" distR="0">
            <wp:extent cx="4554220" cy="3413125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670B" w:rsidRPr="00187D35" w:rsidRDefault="005D2849" w:rsidP="005D2849">
      <w:pPr>
        <w:spacing w:line="276" w:lineRule="auto"/>
        <w:jc w:val="center"/>
        <w:rPr>
          <w:i/>
          <w:noProof/>
          <w:lang w:val="sq-AL"/>
        </w:rPr>
      </w:pPr>
      <w:r w:rsidRPr="00187D35">
        <w:rPr>
          <w:i/>
          <w:noProof/>
          <w:lang w:val="sq-AL"/>
        </w:rPr>
        <w:t>Burimi:Ministria e Financave (2015);</w:t>
      </w:r>
    </w:p>
    <w:p w:rsidR="00F4732B" w:rsidRPr="00187D35" w:rsidRDefault="00DB6FD3" w:rsidP="00950FB7">
      <w:pPr>
        <w:jc w:val="both"/>
        <w:rPr>
          <w:bCs/>
          <w:lang w:val="sq-AL"/>
        </w:rPr>
      </w:pPr>
      <w:r w:rsidRPr="00187D35">
        <w:rPr>
          <w:bCs/>
          <w:lang w:val="sq-AL"/>
        </w:rPr>
        <w:t xml:space="preserve">                                          </w:t>
      </w:r>
    </w:p>
    <w:p w:rsidR="00F4732B" w:rsidRPr="00187D35" w:rsidRDefault="00F4732B" w:rsidP="00F4732B">
      <w:pPr>
        <w:jc w:val="both"/>
        <w:rPr>
          <w:lang w:val="sq-AL"/>
        </w:rPr>
      </w:pPr>
      <w:r w:rsidRPr="00187D35">
        <w:rPr>
          <w:spacing w:val="-1"/>
          <w:lang w:val="sq-AL"/>
        </w:rPr>
        <w:t xml:space="preserve">Tabela e </w:t>
      </w:r>
      <w:r w:rsidR="00950FB7" w:rsidRPr="00187D35">
        <w:rPr>
          <w:spacing w:val="-1"/>
          <w:lang w:val="sq-AL"/>
        </w:rPr>
        <w:t>mëposhtme</w:t>
      </w:r>
      <w:r w:rsidRPr="00187D35">
        <w:rPr>
          <w:spacing w:val="-1"/>
          <w:lang w:val="sq-AL"/>
        </w:rPr>
        <w:t xml:space="preserve"> jep nj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pasqyr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t</w:t>
      </w:r>
      <w:r w:rsidR="00410EEB" w:rsidRPr="00187D35">
        <w:rPr>
          <w:spacing w:val="-1"/>
          <w:lang w:val="sq-AL"/>
        </w:rPr>
        <w:t>ë</w:t>
      </w:r>
      <w:r w:rsidR="000A70D1" w:rsidRPr="00187D35">
        <w:rPr>
          <w:spacing w:val="-1"/>
          <w:lang w:val="sq-AL"/>
        </w:rPr>
        <w:t xml:space="preserve"> </w:t>
      </w:r>
      <w:r w:rsidR="00950FB7" w:rsidRPr="00187D35">
        <w:rPr>
          <w:spacing w:val="-1"/>
          <w:lang w:val="sq-AL"/>
        </w:rPr>
        <w:t>përdorimit</w:t>
      </w:r>
      <w:r w:rsidRPr="00187D35">
        <w:rPr>
          <w:spacing w:val="-1"/>
          <w:lang w:val="sq-AL"/>
        </w:rPr>
        <w:t xml:space="preserve"> t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</w:t>
      </w:r>
      <w:r w:rsidR="00950FB7" w:rsidRPr="00187D35">
        <w:rPr>
          <w:spacing w:val="-1"/>
          <w:lang w:val="sq-AL"/>
        </w:rPr>
        <w:t>këtij</w:t>
      </w:r>
      <w:r w:rsidRPr="00187D35">
        <w:rPr>
          <w:spacing w:val="-1"/>
          <w:lang w:val="sq-AL"/>
        </w:rPr>
        <w:t xml:space="preserve"> fondi, sipas institucioneve, deri n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</w:t>
      </w:r>
      <w:r w:rsidR="000A70D1" w:rsidRPr="00187D35">
        <w:rPr>
          <w:spacing w:val="-1"/>
          <w:lang w:val="sq-AL"/>
        </w:rPr>
        <w:t xml:space="preserve">fund </w:t>
      </w:r>
      <w:r w:rsidRPr="00187D35">
        <w:rPr>
          <w:spacing w:val="-1"/>
          <w:lang w:val="sq-AL"/>
        </w:rPr>
        <w:t xml:space="preserve"> t</w:t>
      </w:r>
      <w:r w:rsidR="00410EEB" w:rsidRPr="00187D35">
        <w:rPr>
          <w:spacing w:val="-1"/>
          <w:lang w:val="sq-AL"/>
        </w:rPr>
        <w:t>ë</w:t>
      </w:r>
      <w:r w:rsidRPr="00187D35">
        <w:rPr>
          <w:spacing w:val="-1"/>
          <w:lang w:val="sq-AL"/>
        </w:rPr>
        <w:t xml:space="preserve"> vitit 201</w:t>
      </w:r>
      <w:r w:rsidR="009D5575" w:rsidRPr="00187D35">
        <w:rPr>
          <w:spacing w:val="-1"/>
          <w:lang w:val="sq-AL"/>
        </w:rPr>
        <w:t>4</w:t>
      </w:r>
      <w:r w:rsidRPr="00187D35">
        <w:rPr>
          <w:spacing w:val="-1"/>
          <w:lang w:val="sq-AL"/>
        </w:rPr>
        <w:t>.</w:t>
      </w:r>
    </w:p>
    <w:p w:rsidR="00293682" w:rsidRPr="00187D35" w:rsidRDefault="00293682" w:rsidP="00581E55">
      <w:pPr>
        <w:ind w:left="-720"/>
        <w:jc w:val="both"/>
        <w:rPr>
          <w:rFonts w:ascii="Arial" w:hAnsi="Arial" w:cs="Arial"/>
          <w:b/>
          <w:bCs/>
          <w:sz w:val="20"/>
          <w:szCs w:val="20"/>
          <w:lang w:val="sq-AL"/>
        </w:rPr>
      </w:pPr>
    </w:p>
    <w:p w:rsidR="00293682" w:rsidRPr="00187D35" w:rsidRDefault="0020527A" w:rsidP="0020527A">
      <w:pPr>
        <w:ind w:left="-720"/>
        <w:rPr>
          <w:iCs/>
          <w:lang w:val="sq-AL"/>
        </w:rPr>
      </w:pPr>
      <w:r w:rsidRPr="00187D35">
        <w:rPr>
          <w:i/>
          <w:lang w:val="sq-AL"/>
        </w:rPr>
        <w:t xml:space="preserve">              Tabela </w:t>
      </w:r>
      <w:r w:rsidR="00D14E73" w:rsidRPr="00187D35">
        <w:rPr>
          <w:i/>
          <w:lang w:val="sq-AL"/>
        </w:rPr>
        <w:t>2</w:t>
      </w:r>
      <w:r w:rsidRPr="00187D35">
        <w:rPr>
          <w:i/>
          <w:lang w:val="sq-AL"/>
        </w:rPr>
        <w:t>: P</w:t>
      </w:r>
      <w:r w:rsidR="00846FAD" w:rsidRPr="00187D35">
        <w:rPr>
          <w:i/>
          <w:lang w:val="sq-AL"/>
        </w:rPr>
        <w:t>ë</w:t>
      </w:r>
      <w:r w:rsidRPr="00187D35">
        <w:rPr>
          <w:i/>
          <w:lang w:val="sq-AL"/>
        </w:rPr>
        <w:t>rdorimi i fondit</w:t>
      </w:r>
      <w:r w:rsidR="00D87F6B" w:rsidRPr="00187D35">
        <w:rPr>
          <w:i/>
          <w:lang w:val="sq-AL"/>
        </w:rPr>
        <w:t xml:space="preserve"> rezervë</w:t>
      </w:r>
      <w:r w:rsidRPr="00187D35">
        <w:rPr>
          <w:i/>
          <w:lang w:val="sq-AL"/>
        </w:rPr>
        <w:t xml:space="preserve"> sipas institucioneve</w:t>
      </w:r>
      <w:r w:rsidR="00D87F6B" w:rsidRPr="00187D35">
        <w:rPr>
          <w:b/>
          <w:i/>
          <w:lang w:val="sq-AL"/>
        </w:rPr>
        <w:t xml:space="preserve">                                               Në milion lekë</w:t>
      </w:r>
    </w:p>
    <w:tbl>
      <w:tblPr>
        <w:tblW w:w="9750" w:type="dxa"/>
        <w:jc w:val="center"/>
        <w:tblInd w:w="-1206" w:type="dxa"/>
        <w:tblLook w:val="04A0"/>
      </w:tblPr>
      <w:tblGrid>
        <w:gridCol w:w="748"/>
        <w:gridCol w:w="3603"/>
        <w:gridCol w:w="1350"/>
        <w:gridCol w:w="1483"/>
        <w:gridCol w:w="1453"/>
        <w:gridCol w:w="1165"/>
      </w:tblGrid>
      <w:tr w:rsidR="00293682" w:rsidRPr="00187D35" w:rsidTr="00172ED9">
        <w:trPr>
          <w:trHeight w:val="270"/>
          <w:jc w:val="center"/>
        </w:trPr>
        <w:tc>
          <w:tcPr>
            <w:tcW w:w="696" w:type="dxa"/>
            <w:vMerge w:val="restart"/>
            <w:shd w:val="clear" w:color="auto" w:fill="FBD4B4"/>
            <w:noWrap/>
            <w:vAlign w:val="center"/>
            <w:hideMark/>
          </w:tcPr>
          <w:p w:rsidR="00293682" w:rsidRPr="00187D35" w:rsidRDefault="00293682" w:rsidP="00293682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b/>
                <w:bCs/>
                <w:sz w:val="22"/>
                <w:szCs w:val="22"/>
                <w:lang w:val="sq-AL"/>
              </w:rPr>
              <w:t>Kodi instit</w:t>
            </w:r>
            <w:r w:rsidR="004C70C3">
              <w:rPr>
                <w:b/>
                <w:bCs/>
                <w:sz w:val="22"/>
                <w:szCs w:val="22"/>
                <w:lang w:val="sq-AL"/>
              </w:rPr>
              <w:t>.</w:t>
            </w:r>
          </w:p>
        </w:tc>
        <w:tc>
          <w:tcPr>
            <w:tcW w:w="3603" w:type="dxa"/>
            <w:vMerge w:val="restart"/>
            <w:shd w:val="clear" w:color="auto" w:fill="FBD4B4"/>
            <w:noWrap/>
            <w:vAlign w:val="center"/>
            <w:hideMark/>
          </w:tcPr>
          <w:p w:rsidR="00293682" w:rsidRPr="00187D35" w:rsidRDefault="00293682" w:rsidP="00293682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b/>
                <w:bCs/>
                <w:sz w:val="22"/>
                <w:szCs w:val="22"/>
                <w:lang w:val="sq-AL"/>
              </w:rPr>
              <w:t>Emërtimi i institucionit</w:t>
            </w:r>
          </w:p>
        </w:tc>
        <w:tc>
          <w:tcPr>
            <w:tcW w:w="1350" w:type="dxa"/>
            <w:vMerge w:val="restart"/>
            <w:shd w:val="clear" w:color="auto" w:fill="FBD4B4"/>
            <w:noWrap/>
            <w:vAlign w:val="center"/>
            <w:hideMark/>
          </w:tcPr>
          <w:p w:rsidR="00293682" w:rsidRPr="00187D35" w:rsidRDefault="00293682" w:rsidP="004C70C3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b/>
                <w:bCs/>
                <w:sz w:val="22"/>
                <w:szCs w:val="22"/>
                <w:lang w:val="sq-AL"/>
              </w:rPr>
              <w:t>Numri i VKM-ve t</w:t>
            </w:r>
            <w:r w:rsidR="004C70C3">
              <w:rPr>
                <w:b/>
                <w:bCs/>
                <w:sz w:val="22"/>
                <w:szCs w:val="22"/>
                <w:lang w:val="sq-AL"/>
              </w:rPr>
              <w:t>ë</w:t>
            </w:r>
            <w:r w:rsidRPr="00187D35">
              <w:rPr>
                <w:b/>
                <w:bCs/>
                <w:sz w:val="22"/>
                <w:szCs w:val="22"/>
                <w:lang w:val="sq-AL"/>
              </w:rPr>
              <w:t xml:space="preserve"> miratuara</w:t>
            </w:r>
          </w:p>
        </w:tc>
        <w:tc>
          <w:tcPr>
            <w:tcW w:w="2936" w:type="dxa"/>
            <w:gridSpan w:val="2"/>
            <w:shd w:val="clear" w:color="auto" w:fill="FBD4B4"/>
            <w:noWrap/>
            <w:vAlign w:val="center"/>
            <w:hideMark/>
          </w:tcPr>
          <w:p w:rsidR="00293682" w:rsidRPr="00187D35" w:rsidRDefault="00293682" w:rsidP="004C70C3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b/>
                <w:bCs/>
                <w:sz w:val="22"/>
                <w:szCs w:val="22"/>
                <w:lang w:val="sq-AL"/>
              </w:rPr>
              <w:t>N</w:t>
            </w:r>
            <w:r w:rsidR="004C70C3">
              <w:rPr>
                <w:b/>
                <w:bCs/>
                <w:sz w:val="22"/>
                <w:szCs w:val="22"/>
                <w:lang w:val="sq-AL"/>
              </w:rPr>
              <w:t>ë</w:t>
            </w:r>
            <w:r w:rsidRPr="00187D35">
              <w:rPr>
                <w:b/>
                <w:bCs/>
                <w:sz w:val="22"/>
                <w:szCs w:val="22"/>
                <w:lang w:val="sq-AL"/>
              </w:rPr>
              <w:t xml:space="preserve"> mij</w:t>
            </w:r>
            <w:r w:rsidR="004C70C3">
              <w:rPr>
                <w:b/>
                <w:bCs/>
                <w:sz w:val="22"/>
                <w:szCs w:val="22"/>
                <w:lang w:val="sq-AL"/>
              </w:rPr>
              <w:t>ë</w:t>
            </w:r>
            <w:r w:rsidRPr="00187D35">
              <w:rPr>
                <w:b/>
                <w:bCs/>
                <w:sz w:val="22"/>
                <w:szCs w:val="22"/>
                <w:lang w:val="sq-AL"/>
              </w:rPr>
              <w:t xml:space="preserve"> lek</w:t>
            </w:r>
            <w:r w:rsidR="004C70C3">
              <w:rPr>
                <w:b/>
                <w:bCs/>
                <w:sz w:val="22"/>
                <w:szCs w:val="22"/>
                <w:lang w:val="sq-AL"/>
              </w:rPr>
              <w:t>ë</w:t>
            </w:r>
          </w:p>
        </w:tc>
        <w:tc>
          <w:tcPr>
            <w:tcW w:w="1165" w:type="dxa"/>
            <w:vMerge w:val="restart"/>
            <w:shd w:val="clear" w:color="auto" w:fill="FBD4B4"/>
            <w:noWrap/>
            <w:vAlign w:val="center"/>
            <w:hideMark/>
          </w:tcPr>
          <w:p w:rsidR="00293682" w:rsidRPr="00187D35" w:rsidRDefault="00293682" w:rsidP="004C70C3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b/>
                <w:bCs/>
                <w:sz w:val="22"/>
                <w:szCs w:val="22"/>
                <w:lang w:val="sq-AL"/>
              </w:rPr>
              <w:t>N</w:t>
            </w:r>
            <w:r w:rsidR="004C70C3">
              <w:rPr>
                <w:b/>
                <w:bCs/>
                <w:sz w:val="22"/>
                <w:szCs w:val="22"/>
                <w:lang w:val="sq-AL"/>
              </w:rPr>
              <w:t>ë</w:t>
            </w:r>
            <w:r w:rsidRPr="00187D35">
              <w:rPr>
                <w:b/>
                <w:bCs/>
                <w:sz w:val="22"/>
                <w:szCs w:val="22"/>
                <w:lang w:val="sq-AL"/>
              </w:rPr>
              <w:t xml:space="preserve"> përqindje ndaj totalit</w:t>
            </w:r>
          </w:p>
        </w:tc>
      </w:tr>
      <w:tr w:rsidR="00293682" w:rsidRPr="00187D35" w:rsidTr="00172ED9">
        <w:trPr>
          <w:trHeight w:val="270"/>
          <w:jc w:val="center"/>
        </w:trPr>
        <w:tc>
          <w:tcPr>
            <w:tcW w:w="696" w:type="dxa"/>
            <w:vMerge/>
            <w:shd w:val="clear" w:color="auto" w:fill="auto"/>
            <w:noWrap/>
            <w:vAlign w:val="bottom"/>
            <w:hideMark/>
          </w:tcPr>
          <w:p w:rsidR="00293682" w:rsidRPr="00187D35" w:rsidRDefault="00293682" w:rsidP="00C74077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3603" w:type="dxa"/>
            <w:vMerge/>
            <w:shd w:val="clear" w:color="auto" w:fill="auto"/>
            <w:noWrap/>
            <w:vAlign w:val="bottom"/>
            <w:hideMark/>
          </w:tcPr>
          <w:p w:rsidR="00293682" w:rsidRPr="00187D35" w:rsidRDefault="00293682" w:rsidP="00C74077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1350" w:type="dxa"/>
            <w:vMerge/>
            <w:shd w:val="clear" w:color="auto" w:fill="auto"/>
            <w:noWrap/>
            <w:vAlign w:val="bottom"/>
            <w:hideMark/>
          </w:tcPr>
          <w:p w:rsidR="00293682" w:rsidRPr="00187D35" w:rsidRDefault="00293682" w:rsidP="00C74077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1483" w:type="dxa"/>
            <w:shd w:val="clear" w:color="auto" w:fill="FBD4B4"/>
            <w:noWrap/>
            <w:vAlign w:val="bottom"/>
            <w:hideMark/>
          </w:tcPr>
          <w:p w:rsidR="00293682" w:rsidRPr="00187D35" w:rsidRDefault="00293682" w:rsidP="008A10FF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b/>
                <w:bCs/>
                <w:sz w:val="22"/>
                <w:szCs w:val="22"/>
                <w:lang w:val="sq-AL"/>
              </w:rPr>
              <w:t xml:space="preserve">Fondi </w:t>
            </w:r>
            <w:r w:rsidR="008A10FF" w:rsidRPr="00187D35">
              <w:rPr>
                <w:b/>
                <w:bCs/>
                <w:sz w:val="22"/>
                <w:szCs w:val="22"/>
                <w:lang w:val="sq-AL"/>
              </w:rPr>
              <w:t>i</w:t>
            </w:r>
            <w:r w:rsidRPr="00187D35">
              <w:rPr>
                <w:b/>
                <w:bCs/>
                <w:sz w:val="22"/>
                <w:szCs w:val="22"/>
                <w:lang w:val="sq-AL"/>
              </w:rPr>
              <w:t xml:space="preserve"> miratuar</w:t>
            </w:r>
          </w:p>
        </w:tc>
        <w:tc>
          <w:tcPr>
            <w:tcW w:w="1453" w:type="dxa"/>
            <w:shd w:val="clear" w:color="auto" w:fill="FBD4B4"/>
            <w:noWrap/>
            <w:vAlign w:val="bottom"/>
            <w:hideMark/>
          </w:tcPr>
          <w:p w:rsidR="00293682" w:rsidRPr="00187D35" w:rsidRDefault="00293682" w:rsidP="008A10FF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b/>
                <w:bCs/>
                <w:sz w:val="22"/>
                <w:szCs w:val="22"/>
                <w:lang w:val="sq-AL"/>
              </w:rPr>
              <w:t xml:space="preserve">Fondi </w:t>
            </w:r>
            <w:r w:rsidR="008A10FF" w:rsidRPr="00187D35">
              <w:rPr>
                <w:b/>
                <w:bCs/>
                <w:sz w:val="22"/>
                <w:szCs w:val="22"/>
                <w:lang w:val="sq-AL"/>
              </w:rPr>
              <w:t>i</w:t>
            </w:r>
            <w:r w:rsidRPr="00187D35">
              <w:rPr>
                <w:b/>
                <w:bCs/>
                <w:sz w:val="22"/>
                <w:szCs w:val="22"/>
                <w:lang w:val="sq-AL"/>
              </w:rPr>
              <w:t xml:space="preserve"> përdorur</w:t>
            </w:r>
          </w:p>
        </w:tc>
        <w:tc>
          <w:tcPr>
            <w:tcW w:w="1165" w:type="dxa"/>
            <w:vMerge/>
            <w:shd w:val="clear" w:color="auto" w:fill="auto"/>
            <w:noWrap/>
            <w:vAlign w:val="bottom"/>
            <w:hideMark/>
          </w:tcPr>
          <w:p w:rsidR="00293682" w:rsidRPr="00187D35" w:rsidRDefault="00293682" w:rsidP="00C74077">
            <w:pPr>
              <w:jc w:val="right"/>
              <w:rPr>
                <w:sz w:val="22"/>
                <w:szCs w:val="22"/>
                <w:lang w:val="sq-AL"/>
              </w:rPr>
            </w:pPr>
          </w:p>
        </w:tc>
      </w:tr>
      <w:tr w:rsidR="00C74077" w:rsidRPr="00187D35" w:rsidTr="00172ED9">
        <w:trPr>
          <w:trHeight w:val="270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C74077" w:rsidRPr="00187D35" w:rsidRDefault="006964CA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05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:rsidR="00C74077" w:rsidRPr="00187D35" w:rsidRDefault="006964CA" w:rsidP="004C70C3">
            <w:pPr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Ministria e Bujq</w:t>
            </w:r>
            <w:r w:rsidR="003D2980" w:rsidRPr="00187D35">
              <w:rPr>
                <w:sz w:val="22"/>
                <w:szCs w:val="22"/>
                <w:lang w:val="sq-AL"/>
              </w:rPr>
              <w:t>ë</w:t>
            </w:r>
            <w:r w:rsidRPr="00187D35">
              <w:rPr>
                <w:sz w:val="22"/>
                <w:szCs w:val="22"/>
                <w:lang w:val="sq-AL"/>
              </w:rPr>
              <w:t>sis</w:t>
            </w:r>
            <w:r w:rsidR="003D2980" w:rsidRPr="00187D35">
              <w:rPr>
                <w:sz w:val="22"/>
                <w:szCs w:val="22"/>
                <w:lang w:val="sq-AL"/>
              </w:rPr>
              <w:t>ë</w:t>
            </w:r>
            <w:r w:rsidRPr="00187D35">
              <w:rPr>
                <w:sz w:val="22"/>
                <w:szCs w:val="22"/>
                <w:lang w:val="sq-AL"/>
              </w:rPr>
              <w:t>, Zhvillimit Rural dhe Administrimit t</w:t>
            </w:r>
            <w:r w:rsidR="003D2980" w:rsidRPr="00187D35">
              <w:rPr>
                <w:sz w:val="22"/>
                <w:szCs w:val="22"/>
                <w:lang w:val="sq-AL"/>
              </w:rPr>
              <w:t>ë</w:t>
            </w:r>
            <w:r w:rsidRPr="00187D35">
              <w:rPr>
                <w:sz w:val="22"/>
                <w:szCs w:val="22"/>
                <w:lang w:val="sq-AL"/>
              </w:rPr>
              <w:t xml:space="preserve"> </w:t>
            </w:r>
            <w:r w:rsidR="004C70C3">
              <w:rPr>
                <w:sz w:val="22"/>
                <w:szCs w:val="22"/>
                <w:lang w:val="sq-AL"/>
              </w:rPr>
              <w:t>U</w:t>
            </w:r>
            <w:r w:rsidRPr="00187D35">
              <w:rPr>
                <w:sz w:val="22"/>
                <w:szCs w:val="22"/>
                <w:lang w:val="sq-AL"/>
              </w:rPr>
              <w:t>j</w:t>
            </w:r>
            <w:r w:rsidR="003D2980" w:rsidRPr="00187D35">
              <w:rPr>
                <w:sz w:val="22"/>
                <w:szCs w:val="22"/>
                <w:lang w:val="sq-AL"/>
              </w:rPr>
              <w:t>ë</w:t>
            </w:r>
            <w:r w:rsidRPr="00187D35">
              <w:rPr>
                <w:sz w:val="22"/>
                <w:szCs w:val="22"/>
                <w:lang w:val="sq-AL"/>
              </w:rPr>
              <w:t>rave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74077" w:rsidRPr="00187D35" w:rsidRDefault="006964CA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74077" w:rsidRPr="00187D35" w:rsidRDefault="006964CA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8 000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C74077" w:rsidRPr="00187D35" w:rsidRDefault="006964CA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8 000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74077" w:rsidRPr="00187D35" w:rsidRDefault="006964CA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0.5</w:t>
            </w:r>
          </w:p>
        </w:tc>
      </w:tr>
      <w:tr w:rsidR="00C74077" w:rsidRPr="00187D35" w:rsidTr="00172ED9">
        <w:trPr>
          <w:trHeight w:val="25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Ministria e Financave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74077" w:rsidRPr="00187D35" w:rsidRDefault="004D476F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74077" w:rsidRPr="00187D35" w:rsidRDefault="004D476F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656 436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4D476F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6</w:t>
            </w:r>
            <w:r w:rsidR="004D476F" w:rsidRPr="00187D35">
              <w:rPr>
                <w:sz w:val="22"/>
                <w:szCs w:val="22"/>
                <w:lang w:val="sq-AL"/>
              </w:rPr>
              <w:t>56 436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D83AC5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44</w:t>
            </w:r>
          </w:p>
        </w:tc>
      </w:tr>
      <w:tr w:rsidR="00C74077" w:rsidRPr="00187D35" w:rsidTr="00172ED9">
        <w:trPr>
          <w:trHeight w:val="25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11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Ministria e Arsimit dhe Sportit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614 000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614 000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41.1</w:t>
            </w:r>
          </w:p>
        </w:tc>
      </w:tr>
      <w:tr w:rsidR="00C74077" w:rsidRPr="00187D35" w:rsidTr="00172ED9">
        <w:trPr>
          <w:trHeight w:val="25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12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Ministria e Kultur</w:t>
            </w:r>
            <w:r w:rsidR="003D2980" w:rsidRPr="00187D35">
              <w:rPr>
                <w:sz w:val="22"/>
                <w:szCs w:val="22"/>
                <w:lang w:val="sq-AL"/>
              </w:rPr>
              <w:t>ë</w:t>
            </w:r>
            <w:r w:rsidRPr="00187D35">
              <w:rPr>
                <w:sz w:val="22"/>
                <w:szCs w:val="22"/>
                <w:lang w:val="sq-AL"/>
              </w:rPr>
              <w:t>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EC379E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7 741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7 741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0.5</w:t>
            </w:r>
          </w:p>
        </w:tc>
      </w:tr>
      <w:tr w:rsidR="00C74077" w:rsidRPr="00187D35" w:rsidTr="00172ED9">
        <w:trPr>
          <w:trHeight w:val="25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13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Ministria e Sh</w:t>
            </w:r>
            <w:r w:rsidR="003D2980" w:rsidRPr="00187D35">
              <w:rPr>
                <w:sz w:val="22"/>
                <w:szCs w:val="22"/>
                <w:lang w:val="sq-AL"/>
              </w:rPr>
              <w:t>ë</w:t>
            </w:r>
            <w:r w:rsidRPr="00187D35">
              <w:rPr>
                <w:sz w:val="22"/>
                <w:szCs w:val="22"/>
                <w:lang w:val="sq-AL"/>
              </w:rPr>
              <w:t>ndet</w:t>
            </w:r>
            <w:r w:rsidR="003D2980" w:rsidRPr="00187D35">
              <w:rPr>
                <w:sz w:val="22"/>
                <w:szCs w:val="22"/>
                <w:lang w:val="sq-AL"/>
              </w:rPr>
              <w:t>ë</w:t>
            </w:r>
            <w:r w:rsidRPr="00187D35">
              <w:rPr>
                <w:sz w:val="22"/>
                <w:szCs w:val="22"/>
                <w:lang w:val="sq-AL"/>
              </w:rPr>
              <w:t>sis</w:t>
            </w:r>
            <w:r w:rsidR="003D2980" w:rsidRPr="00187D35">
              <w:rPr>
                <w:sz w:val="22"/>
                <w:szCs w:val="22"/>
                <w:lang w:val="sq-AL"/>
              </w:rPr>
              <w:t>ë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7 200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EC379E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-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0</w:t>
            </w:r>
          </w:p>
        </w:tc>
      </w:tr>
      <w:tr w:rsidR="00C74077" w:rsidRPr="00187D35" w:rsidTr="00172ED9">
        <w:trPr>
          <w:trHeight w:val="25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14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:rsidR="00C74077" w:rsidRPr="00187D35" w:rsidRDefault="00EC379E" w:rsidP="00C74077">
            <w:pPr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 xml:space="preserve">Ministria e </w:t>
            </w:r>
            <w:r w:rsidR="006948F6" w:rsidRPr="00187D35">
              <w:rPr>
                <w:sz w:val="22"/>
                <w:szCs w:val="22"/>
                <w:lang w:val="sq-AL"/>
              </w:rPr>
              <w:t>Drejt</w:t>
            </w:r>
            <w:r w:rsidR="003D2980" w:rsidRPr="00187D35">
              <w:rPr>
                <w:sz w:val="22"/>
                <w:szCs w:val="22"/>
                <w:lang w:val="sq-AL"/>
              </w:rPr>
              <w:t>ë</w:t>
            </w:r>
            <w:r w:rsidR="006948F6" w:rsidRPr="00187D35">
              <w:rPr>
                <w:sz w:val="22"/>
                <w:szCs w:val="22"/>
                <w:lang w:val="sq-AL"/>
              </w:rPr>
              <w:t>sis</w:t>
            </w:r>
            <w:r w:rsidR="003D2980" w:rsidRPr="00187D35">
              <w:rPr>
                <w:sz w:val="22"/>
                <w:szCs w:val="22"/>
                <w:lang w:val="sq-AL"/>
              </w:rPr>
              <w:t>ë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74077" w:rsidRPr="00187D35" w:rsidRDefault="004D476F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74077" w:rsidRPr="00187D35" w:rsidRDefault="004D476F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27 811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C74077" w:rsidRPr="00187D35" w:rsidRDefault="004D476F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27 811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74077" w:rsidRPr="00187D35" w:rsidRDefault="006948F6" w:rsidP="00D83AC5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1.</w:t>
            </w:r>
            <w:r w:rsidR="00D83AC5" w:rsidRPr="00187D35">
              <w:rPr>
                <w:sz w:val="22"/>
                <w:szCs w:val="22"/>
                <w:lang w:val="sq-AL"/>
              </w:rPr>
              <w:t>9</w:t>
            </w:r>
          </w:p>
        </w:tc>
      </w:tr>
      <w:tr w:rsidR="00C74077" w:rsidRPr="00187D35" w:rsidTr="00172ED9">
        <w:trPr>
          <w:trHeight w:val="25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C74077" w:rsidRPr="00187D35" w:rsidRDefault="006948F6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16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:rsidR="00C74077" w:rsidRPr="00187D35" w:rsidRDefault="006948F6" w:rsidP="00C74077">
            <w:pPr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Ministria e Brendshme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74077" w:rsidRPr="00187D35" w:rsidRDefault="006948F6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74077" w:rsidRPr="00187D35" w:rsidRDefault="006948F6" w:rsidP="006948F6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165 429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C74077" w:rsidRPr="00187D35" w:rsidRDefault="006948F6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165 429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74077" w:rsidRPr="00187D35" w:rsidRDefault="006948F6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11.1</w:t>
            </w:r>
          </w:p>
        </w:tc>
      </w:tr>
      <w:tr w:rsidR="00C74077" w:rsidRPr="00187D35" w:rsidTr="00172ED9">
        <w:trPr>
          <w:trHeight w:val="25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C74077" w:rsidRPr="00187D35" w:rsidRDefault="006948F6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30</w:t>
            </w: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:rsidR="00C74077" w:rsidRPr="00187D35" w:rsidRDefault="006948F6" w:rsidP="004C70C3">
            <w:pPr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 xml:space="preserve">Gjykata </w:t>
            </w:r>
            <w:r w:rsidR="004C70C3">
              <w:rPr>
                <w:sz w:val="22"/>
                <w:szCs w:val="22"/>
                <w:lang w:val="sq-AL"/>
              </w:rPr>
              <w:t>K</w:t>
            </w:r>
            <w:r w:rsidRPr="00187D35">
              <w:rPr>
                <w:sz w:val="22"/>
                <w:szCs w:val="22"/>
                <w:lang w:val="sq-AL"/>
              </w:rPr>
              <w:t>ushtetuese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74077" w:rsidRPr="00187D35" w:rsidRDefault="006948F6" w:rsidP="00C74077">
            <w:pPr>
              <w:jc w:val="center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74077" w:rsidRPr="00187D35" w:rsidRDefault="006948F6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 xml:space="preserve">13 000 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C74077" w:rsidRPr="00187D35" w:rsidRDefault="006948F6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13 000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74077" w:rsidRPr="00187D35" w:rsidRDefault="006948F6" w:rsidP="00C74077">
            <w:pPr>
              <w:jc w:val="right"/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0.9</w:t>
            </w:r>
          </w:p>
        </w:tc>
      </w:tr>
      <w:tr w:rsidR="00C74077" w:rsidRPr="00187D35" w:rsidTr="00172ED9">
        <w:trPr>
          <w:trHeight w:val="25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C74077" w:rsidRPr="00187D35" w:rsidRDefault="00C74077" w:rsidP="00C74077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:rsidR="00C74077" w:rsidRPr="00187D35" w:rsidRDefault="00C74077" w:rsidP="00C74077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74077" w:rsidRPr="00187D35" w:rsidRDefault="00C74077" w:rsidP="00C74077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74077" w:rsidRPr="00187D35" w:rsidRDefault="00C74077" w:rsidP="00C74077">
            <w:pPr>
              <w:jc w:val="right"/>
              <w:rPr>
                <w:sz w:val="22"/>
                <w:szCs w:val="22"/>
                <w:lang w:val="sq-AL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C74077" w:rsidRPr="00187D35" w:rsidRDefault="00C74077" w:rsidP="00C74077">
            <w:pPr>
              <w:jc w:val="right"/>
              <w:rPr>
                <w:sz w:val="22"/>
                <w:szCs w:val="22"/>
                <w:lang w:val="sq-AL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74077" w:rsidRPr="00187D35" w:rsidRDefault="00C74077" w:rsidP="00C74077">
            <w:pPr>
              <w:jc w:val="right"/>
              <w:rPr>
                <w:sz w:val="22"/>
                <w:szCs w:val="22"/>
                <w:lang w:val="sq-AL"/>
              </w:rPr>
            </w:pPr>
          </w:p>
        </w:tc>
      </w:tr>
      <w:tr w:rsidR="00C74077" w:rsidRPr="00187D35" w:rsidTr="00172ED9">
        <w:trPr>
          <w:trHeight w:val="270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C74077" w:rsidRPr="00187D35" w:rsidRDefault="00C74077" w:rsidP="00C74077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3603" w:type="dxa"/>
            <w:shd w:val="clear" w:color="auto" w:fill="auto"/>
            <w:noWrap/>
            <w:vAlign w:val="bottom"/>
            <w:hideMark/>
          </w:tcPr>
          <w:p w:rsidR="00C74077" w:rsidRPr="00187D35" w:rsidRDefault="00C74077" w:rsidP="00C74077">
            <w:pPr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C74077" w:rsidRPr="00187D35" w:rsidRDefault="00C74077" w:rsidP="00C74077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74077" w:rsidRPr="00187D35" w:rsidRDefault="00C74077" w:rsidP="00C74077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C74077" w:rsidRPr="00187D35" w:rsidRDefault="00C74077" w:rsidP="00C74077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74077" w:rsidRPr="00187D35" w:rsidRDefault="00C74077" w:rsidP="00C74077">
            <w:pPr>
              <w:rPr>
                <w:sz w:val="22"/>
                <w:szCs w:val="22"/>
                <w:lang w:val="sq-AL"/>
              </w:rPr>
            </w:pPr>
          </w:p>
        </w:tc>
      </w:tr>
      <w:tr w:rsidR="00C74077" w:rsidRPr="00187D35" w:rsidTr="00172ED9">
        <w:trPr>
          <w:trHeight w:val="285"/>
          <w:jc w:val="center"/>
        </w:trPr>
        <w:tc>
          <w:tcPr>
            <w:tcW w:w="696" w:type="dxa"/>
            <w:shd w:val="clear" w:color="auto" w:fill="FBD4B4"/>
            <w:noWrap/>
            <w:vAlign w:val="bottom"/>
            <w:hideMark/>
          </w:tcPr>
          <w:p w:rsidR="00C74077" w:rsidRPr="00187D35" w:rsidRDefault="00C74077" w:rsidP="00C74077">
            <w:pPr>
              <w:rPr>
                <w:sz w:val="22"/>
                <w:szCs w:val="22"/>
                <w:lang w:val="sq-AL"/>
              </w:rPr>
            </w:pPr>
            <w:r w:rsidRPr="00187D35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3603" w:type="dxa"/>
            <w:shd w:val="clear" w:color="auto" w:fill="FBD4B4"/>
            <w:noWrap/>
            <w:vAlign w:val="bottom"/>
            <w:hideMark/>
          </w:tcPr>
          <w:p w:rsidR="00C74077" w:rsidRPr="00187D35" w:rsidRDefault="00C74077" w:rsidP="00C74077">
            <w:pPr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187D35">
              <w:rPr>
                <w:b/>
                <w:bCs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1350" w:type="dxa"/>
            <w:shd w:val="clear" w:color="auto" w:fill="FBD4B4"/>
            <w:noWrap/>
            <w:vAlign w:val="bottom"/>
            <w:hideMark/>
          </w:tcPr>
          <w:p w:rsidR="00C74077" w:rsidRPr="00187D35" w:rsidRDefault="006948F6" w:rsidP="00C74077">
            <w:pPr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187D35">
              <w:rPr>
                <w:b/>
                <w:bCs/>
                <w:sz w:val="22"/>
                <w:szCs w:val="22"/>
                <w:lang w:val="sq-AL"/>
              </w:rPr>
              <w:t>16</w:t>
            </w:r>
          </w:p>
        </w:tc>
        <w:tc>
          <w:tcPr>
            <w:tcW w:w="1483" w:type="dxa"/>
            <w:shd w:val="clear" w:color="auto" w:fill="FBD4B4"/>
            <w:noWrap/>
            <w:vAlign w:val="bottom"/>
            <w:hideMark/>
          </w:tcPr>
          <w:p w:rsidR="00C74077" w:rsidRPr="00187D35" w:rsidRDefault="006948F6" w:rsidP="00C74077">
            <w:pPr>
              <w:jc w:val="right"/>
              <w:rPr>
                <w:b/>
                <w:bCs/>
                <w:sz w:val="22"/>
                <w:szCs w:val="22"/>
                <w:lang w:val="sq-AL"/>
              </w:rPr>
            </w:pPr>
            <w:r w:rsidRPr="00187D35">
              <w:rPr>
                <w:b/>
                <w:bCs/>
                <w:sz w:val="22"/>
                <w:szCs w:val="22"/>
                <w:lang w:val="sq-AL"/>
              </w:rPr>
              <w:t>1 499 617</w:t>
            </w:r>
          </w:p>
        </w:tc>
        <w:tc>
          <w:tcPr>
            <w:tcW w:w="1453" w:type="dxa"/>
            <w:shd w:val="clear" w:color="auto" w:fill="FBD4B4"/>
            <w:noWrap/>
            <w:vAlign w:val="bottom"/>
            <w:hideMark/>
          </w:tcPr>
          <w:p w:rsidR="00C74077" w:rsidRPr="00187D35" w:rsidRDefault="006948F6" w:rsidP="00C74077">
            <w:pPr>
              <w:jc w:val="right"/>
              <w:rPr>
                <w:b/>
                <w:bCs/>
                <w:sz w:val="22"/>
                <w:szCs w:val="22"/>
                <w:lang w:val="sq-AL"/>
              </w:rPr>
            </w:pPr>
            <w:r w:rsidRPr="00187D35">
              <w:rPr>
                <w:b/>
                <w:bCs/>
                <w:sz w:val="22"/>
                <w:szCs w:val="22"/>
                <w:lang w:val="sq-AL"/>
              </w:rPr>
              <w:t>1 492 417</w:t>
            </w:r>
          </w:p>
        </w:tc>
        <w:tc>
          <w:tcPr>
            <w:tcW w:w="1165" w:type="dxa"/>
            <w:shd w:val="clear" w:color="auto" w:fill="FBD4B4"/>
            <w:noWrap/>
            <w:vAlign w:val="bottom"/>
            <w:hideMark/>
          </w:tcPr>
          <w:p w:rsidR="00C74077" w:rsidRPr="00187D35" w:rsidRDefault="006948F6" w:rsidP="00C74077">
            <w:pPr>
              <w:jc w:val="right"/>
              <w:rPr>
                <w:b/>
                <w:bCs/>
                <w:sz w:val="22"/>
                <w:szCs w:val="22"/>
                <w:lang w:val="sq-AL"/>
              </w:rPr>
            </w:pPr>
            <w:r w:rsidRPr="00187D35">
              <w:rPr>
                <w:b/>
                <w:bCs/>
                <w:sz w:val="22"/>
                <w:szCs w:val="22"/>
                <w:lang w:val="sq-AL"/>
              </w:rPr>
              <w:t>100</w:t>
            </w:r>
          </w:p>
        </w:tc>
      </w:tr>
    </w:tbl>
    <w:p w:rsidR="005D2849" w:rsidRPr="00187D35" w:rsidRDefault="005D2849" w:rsidP="005D2849">
      <w:pPr>
        <w:spacing w:line="276" w:lineRule="auto"/>
        <w:rPr>
          <w:i/>
          <w:noProof/>
          <w:lang w:val="sq-AL"/>
        </w:rPr>
      </w:pPr>
      <w:r w:rsidRPr="00187D35">
        <w:rPr>
          <w:i/>
          <w:noProof/>
          <w:lang w:val="sq-AL"/>
        </w:rPr>
        <w:t>Burimi:Ministria e Financave (2015)</w:t>
      </w:r>
      <w:r w:rsidRPr="00187D35">
        <w:rPr>
          <w:i/>
          <w:noProof/>
          <w:lang w:val="sq-AL"/>
        </w:rPr>
        <w:tab/>
      </w:r>
    </w:p>
    <w:p w:rsidR="00F4732B" w:rsidRPr="00187D35" w:rsidRDefault="00F4732B" w:rsidP="00550A02">
      <w:pPr>
        <w:jc w:val="both"/>
        <w:rPr>
          <w:iCs/>
          <w:lang w:val="sq-AL"/>
        </w:rPr>
      </w:pPr>
    </w:p>
    <w:p w:rsidR="0010787D" w:rsidRDefault="0010787D" w:rsidP="00550A02">
      <w:pPr>
        <w:jc w:val="both"/>
        <w:rPr>
          <w:iCs/>
          <w:lang w:val="sq-AL"/>
        </w:rPr>
      </w:pPr>
      <w:r w:rsidRPr="00187D35">
        <w:rPr>
          <w:iCs/>
          <w:lang w:val="sq-AL"/>
        </w:rPr>
        <w:t>N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 xml:space="preserve"> m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>nyr</w:t>
      </w:r>
      <w:r w:rsidR="004C70C3">
        <w:rPr>
          <w:iCs/>
          <w:lang w:val="sq-AL"/>
        </w:rPr>
        <w:t>ë</w:t>
      </w:r>
      <w:r w:rsidRPr="00187D35">
        <w:rPr>
          <w:iCs/>
          <w:lang w:val="sq-AL"/>
        </w:rPr>
        <w:t xml:space="preserve"> analitike rezulton se:</w:t>
      </w:r>
    </w:p>
    <w:p w:rsidR="00677C17" w:rsidRPr="00187D35" w:rsidRDefault="00677C17" w:rsidP="00550A02">
      <w:pPr>
        <w:jc w:val="both"/>
        <w:rPr>
          <w:iCs/>
          <w:lang w:val="sq-AL"/>
        </w:rPr>
      </w:pPr>
    </w:p>
    <w:p w:rsidR="0010787D" w:rsidRPr="00187D35" w:rsidRDefault="0010787D" w:rsidP="00846FAD">
      <w:pPr>
        <w:numPr>
          <w:ilvl w:val="0"/>
          <w:numId w:val="27"/>
        </w:numPr>
        <w:jc w:val="both"/>
        <w:rPr>
          <w:iCs/>
          <w:lang w:val="sq-AL"/>
        </w:rPr>
      </w:pPr>
      <w:r w:rsidRPr="00187D35">
        <w:rPr>
          <w:iCs/>
          <w:lang w:val="sq-AL"/>
        </w:rPr>
        <w:t xml:space="preserve">Rreth </w:t>
      </w:r>
      <w:r w:rsidR="00FF4F4A" w:rsidRPr="00187D35">
        <w:rPr>
          <w:iCs/>
          <w:lang w:val="sq-AL"/>
        </w:rPr>
        <w:t>8</w:t>
      </w:r>
      <w:r w:rsidRPr="00187D35">
        <w:rPr>
          <w:iCs/>
          <w:lang w:val="sq-AL"/>
        </w:rPr>
        <w:t xml:space="preserve"> </w:t>
      </w:r>
      <w:r w:rsidR="00950FB7" w:rsidRPr="00187D35">
        <w:rPr>
          <w:iCs/>
          <w:lang w:val="sq-AL"/>
        </w:rPr>
        <w:t>milionë</w:t>
      </w:r>
      <w:r w:rsidRPr="00187D35">
        <w:rPr>
          <w:iCs/>
          <w:lang w:val="sq-AL"/>
        </w:rPr>
        <w:t xml:space="preserve"> lek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 xml:space="preserve"> ose rreth 0.</w:t>
      </w:r>
      <w:r w:rsidR="00FF4F4A" w:rsidRPr="00187D35">
        <w:rPr>
          <w:iCs/>
          <w:lang w:val="sq-AL"/>
        </w:rPr>
        <w:t xml:space="preserve">5 </w:t>
      </w:r>
      <w:r w:rsidRPr="00187D35">
        <w:rPr>
          <w:iCs/>
          <w:lang w:val="sq-AL"/>
        </w:rPr>
        <w:t>p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>r</w:t>
      </w:r>
      <w:r w:rsidR="004C70C3">
        <w:rPr>
          <w:iCs/>
          <w:lang w:val="sq-AL"/>
        </w:rPr>
        <w:t xml:space="preserve"> </w:t>
      </w:r>
      <w:r w:rsidRPr="00187D35">
        <w:rPr>
          <w:iCs/>
          <w:lang w:val="sq-AL"/>
        </w:rPr>
        <w:t>qind e fondit rezerv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 xml:space="preserve"> t</w:t>
      </w:r>
      <w:r w:rsidR="00410EEB" w:rsidRPr="00187D35">
        <w:rPr>
          <w:iCs/>
          <w:lang w:val="sq-AL"/>
        </w:rPr>
        <w:t>ë</w:t>
      </w:r>
      <w:r w:rsidR="000A70D1" w:rsidRPr="00187D35">
        <w:rPr>
          <w:iCs/>
          <w:lang w:val="sq-AL"/>
        </w:rPr>
        <w:t xml:space="preserve"> </w:t>
      </w:r>
      <w:r w:rsidRPr="00187D35">
        <w:rPr>
          <w:iCs/>
          <w:lang w:val="sq-AL"/>
        </w:rPr>
        <w:t>p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 xml:space="preserve">rdorur </w:t>
      </w:r>
      <w:r w:rsidR="00FF4F4A" w:rsidRPr="00187D35">
        <w:rPr>
          <w:iCs/>
          <w:lang w:val="sq-AL"/>
        </w:rPr>
        <w:t>gjat</w:t>
      </w:r>
      <w:r w:rsidR="004C70C3">
        <w:rPr>
          <w:iCs/>
          <w:lang w:val="sq-AL"/>
        </w:rPr>
        <w:t>ë</w:t>
      </w:r>
      <w:r w:rsidR="00FF4F4A" w:rsidRPr="00187D35">
        <w:rPr>
          <w:iCs/>
          <w:lang w:val="sq-AL"/>
        </w:rPr>
        <w:t xml:space="preserve"> </w:t>
      </w:r>
      <w:r w:rsidRPr="00187D35">
        <w:rPr>
          <w:iCs/>
          <w:lang w:val="sq-AL"/>
        </w:rPr>
        <w:t>vitit 201</w:t>
      </w:r>
      <w:r w:rsidR="00FF4F4A" w:rsidRPr="00187D35">
        <w:rPr>
          <w:iCs/>
          <w:lang w:val="sq-AL"/>
        </w:rPr>
        <w:t>4</w:t>
      </w:r>
      <w:r w:rsidRPr="00187D35">
        <w:rPr>
          <w:iCs/>
          <w:lang w:val="sq-AL"/>
        </w:rPr>
        <w:t xml:space="preserve">, i </w:t>
      </w:r>
      <w:r w:rsidR="00950FB7" w:rsidRPr="00187D35">
        <w:rPr>
          <w:iCs/>
          <w:lang w:val="sq-AL"/>
        </w:rPr>
        <w:t>është</w:t>
      </w:r>
      <w:r w:rsidRPr="00187D35">
        <w:rPr>
          <w:iCs/>
          <w:lang w:val="sq-AL"/>
        </w:rPr>
        <w:t xml:space="preserve"> dh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>n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 xml:space="preserve"> </w:t>
      </w:r>
      <w:r w:rsidR="00FF4F4A" w:rsidRPr="00187D35">
        <w:rPr>
          <w:b/>
          <w:iCs/>
          <w:lang w:val="sq-AL"/>
        </w:rPr>
        <w:t>Ministris</w:t>
      </w:r>
      <w:r w:rsidR="009B1780" w:rsidRPr="00187D35">
        <w:rPr>
          <w:b/>
          <w:iCs/>
          <w:lang w:val="sq-AL"/>
        </w:rPr>
        <w:t>ë</w:t>
      </w:r>
      <w:r w:rsidR="00FF4F4A" w:rsidRPr="00187D35">
        <w:rPr>
          <w:b/>
          <w:iCs/>
          <w:lang w:val="sq-AL"/>
        </w:rPr>
        <w:t xml:space="preserve"> s</w:t>
      </w:r>
      <w:r w:rsidR="009B1780" w:rsidRPr="00187D35">
        <w:rPr>
          <w:b/>
          <w:iCs/>
          <w:lang w:val="sq-AL"/>
        </w:rPr>
        <w:t>ë</w:t>
      </w:r>
      <w:r w:rsidR="00FF4F4A" w:rsidRPr="00187D35">
        <w:rPr>
          <w:b/>
          <w:iCs/>
          <w:lang w:val="sq-AL"/>
        </w:rPr>
        <w:t xml:space="preserve"> Bujq</w:t>
      </w:r>
      <w:r w:rsidR="009B1780" w:rsidRPr="00187D35">
        <w:rPr>
          <w:b/>
          <w:iCs/>
          <w:lang w:val="sq-AL"/>
        </w:rPr>
        <w:t>ë</w:t>
      </w:r>
      <w:r w:rsidR="00FF4F4A" w:rsidRPr="00187D35">
        <w:rPr>
          <w:b/>
          <w:iCs/>
          <w:lang w:val="sq-AL"/>
        </w:rPr>
        <w:t>sis</w:t>
      </w:r>
      <w:r w:rsidR="009B1780" w:rsidRPr="00187D35">
        <w:rPr>
          <w:b/>
          <w:iCs/>
          <w:lang w:val="sq-AL"/>
        </w:rPr>
        <w:t>ë</w:t>
      </w:r>
      <w:r w:rsidR="00FF4F4A" w:rsidRPr="00187D35">
        <w:rPr>
          <w:b/>
          <w:iCs/>
          <w:lang w:val="sq-AL"/>
        </w:rPr>
        <w:t>,</w:t>
      </w:r>
      <w:r w:rsidR="0020527A" w:rsidRPr="00187D35">
        <w:rPr>
          <w:b/>
          <w:iCs/>
          <w:lang w:val="sq-AL"/>
        </w:rPr>
        <w:t xml:space="preserve"> </w:t>
      </w:r>
      <w:r w:rsidR="00FF4F4A" w:rsidRPr="00187D35">
        <w:rPr>
          <w:b/>
          <w:iCs/>
          <w:lang w:val="sq-AL"/>
        </w:rPr>
        <w:t>Zhvillimit Rural dhe Administrimit t</w:t>
      </w:r>
      <w:r w:rsidR="009B1780" w:rsidRPr="00187D35">
        <w:rPr>
          <w:b/>
          <w:iCs/>
          <w:lang w:val="sq-AL"/>
        </w:rPr>
        <w:t>ë</w:t>
      </w:r>
      <w:r w:rsidR="00FF4F4A" w:rsidRPr="00187D35">
        <w:rPr>
          <w:b/>
          <w:iCs/>
          <w:lang w:val="sq-AL"/>
        </w:rPr>
        <w:t xml:space="preserve"> Uj</w:t>
      </w:r>
      <w:r w:rsidR="009B1780" w:rsidRPr="00187D35">
        <w:rPr>
          <w:b/>
          <w:iCs/>
          <w:lang w:val="sq-AL"/>
        </w:rPr>
        <w:t>ë</w:t>
      </w:r>
      <w:r w:rsidR="00FF4F4A" w:rsidRPr="00187D35">
        <w:rPr>
          <w:b/>
          <w:iCs/>
          <w:lang w:val="sq-AL"/>
        </w:rPr>
        <w:t>rave</w:t>
      </w:r>
      <w:r w:rsidR="0020527A" w:rsidRPr="00187D35">
        <w:rPr>
          <w:b/>
          <w:iCs/>
          <w:lang w:val="sq-AL"/>
        </w:rPr>
        <w:t xml:space="preserve"> </w:t>
      </w:r>
      <w:r w:rsidRPr="00187D35">
        <w:rPr>
          <w:iCs/>
          <w:lang w:val="sq-AL"/>
        </w:rPr>
        <w:t>n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>p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>rmjet nj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 xml:space="preserve"> vendimi p</w:t>
      </w:r>
      <w:r w:rsidR="00410EEB" w:rsidRPr="00187D35">
        <w:rPr>
          <w:iCs/>
          <w:lang w:val="sq-AL"/>
        </w:rPr>
        <w:t>ë</w:t>
      </w:r>
      <w:r w:rsidR="00FE670B" w:rsidRPr="00187D35">
        <w:rPr>
          <w:iCs/>
          <w:lang w:val="sq-AL"/>
        </w:rPr>
        <w:t>r shpenzime operative, p</w:t>
      </w:r>
      <w:r w:rsidR="009B1780" w:rsidRPr="00187D35">
        <w:rPr>
          <w:iCs/>
          <w:lang w:val="sq-AL"/>
        </w:rPr>
        <w:t>ë</w:t>
      </w:r>
      <w:r w:rsidR="00FE670B" w:rsidRPr="00187D35">
        <w:rPr>
          <w:iCs/>
          <w:lang w:val="sq-AL"/>
        </w:rPr>
        <w:t>r luftimin e karkalecit.</w:t>
      </w:r>
    </w:p>
    <w:p w:rsidR="0010787D" w:rsidRPr="00187D35" w:rsidRDefault="0010787D" w:rsidP="00550A02">
      <w:pPr>
        <w:jc w:val="both"/>
        <w:rPr>
          <w:iCs/>
          <w:lang w:val="sq-AL"/>
        </w:rPr>
      </w:pPr>
    </w:p>
    <w:p w:rsidR="0051528F" w:rsidRPr="00187D35" w:rsidRDefault="0051528F" w:rsidP="00550A02">
      <w:pPr>
        <w:jc w:val="both"/>
        <w:rPr>
          <w:iCs/>
          <w:lang w:val="sq-AL"/>
        </w:rPr>
      </w:pPr>
    </w:p>
    <w:p w:rsidR="00A50DD9" w:rsidRPr="00187D35" w:rsidRDefault="0051528F" w:rsidP="00846FAD">
      <w:pPr>
        <w:numPr>
          <w:ilvl w:val="0"/>
          <w:numId w:val="27"/>
        </w:numPr>
        <w:jc w:val="both"/>
        <w:rPr>
          <w:lang w:val="sq-AL"/>
        </w:rPr>
      </w:pPr>
      <w:r w:rsidRPr="00187D35">
        <w:rPr>
          <w:lang w:val="sq-AL"/>
        </w:rPr>
        <w:lastRenderedPageBreak/>
        <w:t xml:space="preserve">Rreth </w:t>
      </w:r>
      <w:r w:rsidR="00A50DD9" w:rsidRPr="00187D35">
        <w:rPr>
          <w:lang w:val="sq-AL"/>
        </w:rPr>
        <w:t>656.4</w:t>
      </w:r>
      <w:r w:rsidR="00FA032D" w:rsidRPr="00187D35">
        <w:rPr>
          <w:lang w:val="sq-AL"/>
        </w:rPr>
        <w:t xml:space="preserve"> </w:t>
      </w:r>
      <w:r w:rsidRPr="00187D35">
        <w:rPr>
          <w:lang w:val="sq-AL"/>
        </w:rPr>
        <w:t>milion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 lek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 ose rreth </w:t>
      </w:r>
      <w:r w:rsidR="00A50DD9" w:rsidRPr="00187D35">
        <w:rPr>
          <w:lang w:val="sq-AL"/>
        </w:rPr>
        <w:t>44</w:t>
      </w:r>
      <w:r w:rsidRPr="00187D35">
        <w:rPr>
          <w:lang w:val="sq-AL"/>
        </w:rPr>
        <w:t xml:space="preserve"> p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>r</w:t>
      </w:r>
      <w:r w:rsidR="004C70C3">
        <w:rPr>
          <w:lang w:val="sq-AL"/>
        </w:rPr>
        <w:t xml:space="preserve"> </w:t>
      </w:r>
      <w:r w:rsidRPr="00187D35">
        <w:rPr>
          <w:lang w:val="sq-AL"/>
        </w:rPr>
        <w:t>qind e fondit rezerv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 i 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>sht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 dh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>n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 </w:t>
      </w:r>
      <w:r w:rsidRPr="00187D35">
        <w:rPr>
          <w:b/>
          <w:lang w:val="sq-AL"/>
        </w:rPr>
        <w:t>Ministris</w:t>
      </w:r>
      <w:r w:rsidR="00410EEB" w:rsidRPr="00187D35">
        <w:rPr>
          <w:b/>
          <w:lang w:val="sq-AL"/>
        </w:rPr>
        <w:t>ë</w:t>
      </w:r>
      <w:r w:rsidRPr="00187D35">
        <w:rPr>
          <w:b/>
          <w:lang w:val="sq-AL"/>
        </w:rPr>
        <w:t xml:space="preserve"> s</w:t>
      </w:r>
      <w:r w:rsidR="00410EEB" w:rsidRPr="00187D35">
        <w:rPr>
          <w:b/>
          <w:lang w:val="sq-AL"/>
        </w:rPr>
        <w:t>ë</w:t>
      </w:r>
      <w:r w:rsidRPr="00187D35">
        <w:rPr>
          <w:b/>
          <w:lang w:val="sq-AL"/>
        </w:rPr>
        <w:t xml:space="preserve"> </w:t>
      </w:r>
      <w:r w:rsidR="000A7999" w:rsidRPr="00187D35">
        <w:rPr>
          <w:b/>
          <w:lang w:val="sq-AL"/>
        </w:rPr>
        <w:t>Financave</w:t>
      </w:r>
      <w:r w:rsidRPr="00187D35">
        <w:rPr>
          <w:lang w:val="sq-AL"/>
        </w:rPr>
        <w:t xml:space="preserve"> n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>p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rmjet </w:t>
      </w:r>
      <w:r w:rsidR="00A50DD9" w:rsidRPr="00187D35">
        <w:rPr>
          <w:lang w:val="sq-AL"/>
        </w:rPr>
        <w:t>shtat</w:t>
      </w:r>
      <w:r w:rsidR="009B1780" w:rsidRPr="00187D35">
        <w:rPr>
          <w:lang w:val="sq-AL"/>
        </w:rPr>
        <w:t>ë</w:t>
      </w:r>
      <w:r w:rsidR="00A50DD9" w:rsidRPr="00187D35">
        <w:rPr>
          <w:lang w:val="sq-AL"/>
        </w:rPr>
        <w:t xml:space="preserve"> vendimeve</w:t>
      </w:r>
      <w:r w:rsidRPr="00187D35">
        <w:rPr>
          <w:lang w:val="sq-AL"/>
        </w:rPr>
        <w:t xml:space="preserve">, </w:t>
      </w:r>
      <w:r w:rsidR="00612FBF" w:rsidRPr="00187D35">
        <w:rPr>
          <w:lang w:val="sq-AL"/>
        </w:rPr>
        <w:t>t</w:t>
      </w:r>
      <w:r w:rsidR="00410EEB" w:rsidRPr="00187D35">
        <w:rPr>
          <w:lang w:val="sq-AL"/>
        </w:rPr>
        <w:t>ë</w:t>
      </w:r>
      <w:r w:rsidR="00612FBF" w:rsidRPr="00187D35">
        <w:rPr>
          <w:lang w:val="sq-AL"/>
        </w:rPr>
        <w:t xml:space="preserve"> cilat jan</w:t>
      </w:r>
      <w:r w:rsidR="00410EEB" w:rsidRPr="00187D35">
        <w:rPr>
          <w:lang w:val="sq-AL"/>
        </w:rPr>
        <w:t>ë</w:t>
      </w:r>
      <w:r w:rsidR="00A50DD9" w:rsidRPr="00187D35">
        <w:rPr>
          <w:lang w:val="sq-AL"/>
        </w:rPr>
        <w:t xml:space="preserve"> </w:t>
      </w:r>
      <w:r w:rsidRPr="00187D35">
        <w:rPr>
          <w:lang w:val="sq-AL"/>
        </w:rPr>
        <w:t>p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>r</w:t>
      </w:r>
      <w:r w:rsidR="00292756" w:rsidRPr="00187D35">
        <w:rPr>
          <w:lang w:val="sq-AL"/>
        </w:rPr>
        <w:t xml:space="preserve"> ekzekutimin e </w:t>
      </w:r>
      <w:r w:rsidR="004C70C3">
        <w:rPr>
          <w:lang w:val="sq-AL"/>
        </w:rPr>
        <w:t>v</w:t>
      </w:r>
      <w:r w:rsidR="00292756" w:rsidRPr="00187D35">
        <w:rPr>
          <w:lang w:val="sq-AL"/>
        </w:rPr>
        <w:t>endimeve t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 xml:space="preserve"> </w:t>
      </w:r>
      <w:r w:rsidR="003C428A" w:rsidRPr="00187D35">
        <w:rPr>
          <w:lang w:val="sq-AL"/>
        </w:rPr>
        <w:t>G</w:t>
      </w:r>
      <w:r w:rsidR="00292756" w:rsidRPr="00187D35">
        <w:rPr>
          <w:lang w:val="sq-AL"/>
        </w:rPr>
        <w:t>jykat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 xml:space="preserve">s </w:t>
      </w:r>
      <w:r w:rsidR="00950FB7" w:rsidRPr="00187D35">
        <w:rPr>
          <w:lang w:val="sq-AL"/>
        </w:rPr>
        <w:t>Evropiane</w:t>
      </w:r>
      <w:r w:rsidR="00292756" w:rsidRPr="00187D35">
        <w:rPr>
          <w:lang w:val="sq-AL"/>
        </w:rPr>
        <w:t xml:space="preserve"> p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>r t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 xml:space="preserve"> </w:t>
      </w:r>
      <w:r w:rsidR="003C428A" w:rsidRPr="00187D35">
        <w:rPr>
          <w:lang w:val="sq-AL"/>
        </w:rPr>
        <w:t>D</w:t>
      </w:r>
      <w:r w:rsidR="00292756" w:rsidRPr="00187D35">
        <w:rPr>
          <w:lang w:val="sq-AL"/>
        </w:rPr>
        <w:t xml:space="preserve">rejtat e </w:t>
      </w:r>
      <w:r w:rsidR="003C428A" w:rsidRPr="00187D35">
        <w:rPr>
          <w:lang w:val="sq-AL"/>
        </w:rPr>
        <w:t>N</w:t>
      </w:r>
      <w:r w:rsidR="00A50DD9" w:rsidRPr="00187D35">
        <w:rPr>
          <w:lang w:val="sq-AL"/>
        </w:rPr>
        <w:t>jeriut:</w:t>
      </w:r>
    </w:p>
    <w:p w:rsidR="004C70C3" w:rsidRDefault="00A50DD9" w:rsidP="002C2BC2">
      <w:pPr>
        <w:ind w:firstLine="720"/>
        <w:jc w:val="both"/>
        <w:rPr>
          <w:lang w:val="sq-AL"/>
        </w:rPr>
      </w:pPr>
      <w:r w:rsidRPr="00187D35">
        <w:rPr>
          <w:lang w:val="sq-AL"/>
        </w:rPr>
        <w:t xml:space="preserve">- </w:t>
      </w:r>
      <w:r w:rsidR="004C70C3">
        <w:rPr>
          <w:lang w:val="sq-AL"/>
        </w:rPr>
        <w:t>P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 xml:space="preserve">r </w:t>
      </w:r>
      <w:r w:rsidR="00950FB7" w:rsidRPr="00187D35">
        <w:rPr>
          <w:lang w:val="sq-AL"/>
        </w:rPr>
        <w:t>çështjen</w:t>
      </w:r>
      <w:r w:rsidR="00292756" w:rsidRPr="00187D35">
        <w:rPr>
          <w:lang w:val="sq-AL"/>
        </w:rPr>
        <w:t xml:space="preserve"> “ </w:t>
      </w:r>
      <w:r w:rsidRPr="00187D35">
        <w:rPr>
          <w:lang w:val="sq-AL"/>
        </w:rPr>
        <w:t>Manushaqe Puto dhe t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tjer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kund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r Shqip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ris</w:t>
      </w:r>
      <w:r w:rsidR="009B1780" w:rsidRPr="00187D35">
        <w:rPr>
          <w:lang w:val="sq-AL"/>
        </w:rPr>
        <w:t>ë</w:t>
      </w:r>
      <w:r w:rsidR="00292756" w:rsidRPr="00187D35">
        <w:rPr>
          <w:lang w:val="sq-AL"/>
        </w:rPr>
        <w:t>” n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 xml:space="preserve"> shum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 xml:space="preserve">n prej </w:t>
      </w:r>
      <w:r w:rsidRPr="00187D35">
        <w:rPr>
          <w:lang w:val="sq-AL"/>
        </w:rPr>
        <w:t>338.7</w:t>
      </w:r>
      <w:r w:rsidR="00292756" w:rsidRPr="00187D35">
        <w:rPr>
          <w:lang w:val="sq-AL"/>
        </w:rPr>
        <w:t xml:space="preserve"> </w:t>
      </w:r>
      <w:r w:rsidRPr="00187D35">
        <w:rPr>
          <w:lang w:val="sq-AL"/>
        </w:rPr>
        <w:t>milion</w:t>
      </w:r>
      <w:r w:rsidR="004C70C3">
        <w:rPr>
          <w:lang w:val="sq-AL"/>
        </w:rPr>
        <w:t>ë</w:t>
      </w:r>
      <w:r w:rsidR="00292756" w:rsidRPr="00187D35">
        <w:rPr>
          <w:lang w:val="sq-AL"/>
        </w:rPr>
        <w:t xml:space="preserve"> </w:t>
      </w:r>
    </w:p>
    <w:p w:rsidR="00A50DD9" w:rsidRPr="00187D35" w:rsidRDefault="004C70C3" w:rsidP="004C70C3">
      <w:pPr>
        <w:ind w:left="720"/>
        <w:jc w:val="both"/>
        <w:rPr>
          <w:lang w:val="sq-AL"/>
        </w:rPr>
      </w:pPr>
      <w:r>
        <w:rPr>
          <w:lang w:val="sq-AL"/>
        </w:rPr>
        <w:t xml:space="preserve">  </w:t>
      </w:r>
      <w:r w:rsidR="00292756" w:rsidRPr="00187D35">
        <w:rPr>
          <w:lang w:val="sq-AL"/>
        </w:rPr>
        <w:t>lek</w:t>
      </w:r>
      <w:r w:rsidR="00410EEB" w:rsidRPr="00187D35">
        <w:rPr>
          <w:lang w:val="sq-AL"/>
        </w:rPr>
        <w:t>ë</w:t>
      </w:r>
      <w:r>
        <w:rPr>
          <w:lang w:val="sq-AL"/>
        </w:rPr>
        <w:t>sh</w:t>
      </w:r>
      <w:r w:rsidR="00292756" w:rsidRPr="00187D35">
        <w:rPr>
          <w:lang w:val="sq-AL"/>
        </w:rPr>
        <w:t xml:space="preserve">, </w:t>
      </w:r>
    </w:p>
    <w:p w:rsidR="00A50DD9" w:rsidRPr="00187D35" w:rsidRDefault="00A50DD9" w:rsidP="002C2BC2">
      <w:pPr>
        <w:ind w:firstLine="720"/>
        <w:jc w:val="both"/>
        <w:rPr>
          <w:lang w:val="sq-AL"/>
        </w:rPr>
      </w:pPr>
      <w:r w:rsidRPr="00187D35">
        <w:rPr>
          <w:lang w:val="sq-AL"/>
        </w:rPr>
        <w:t xml:space="preserve">- </w:t>
      </w:r>
      <w:r w:rsidR="004C70C3">
        <w:rPr>
          <w:lang w:val="sq-AL"/>
        </w:rPr>
        <w:t>P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r ç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shtjen </w:t>
      </w:r>
      <w:r w:rsidR="004C70C3">
        <w:rPr>
          <w:lang w:val="sq-AL"/>
        </w:rPr>
        <w:t>“</w:t>
      </w:r>
      <w:r w:rsidRPr="00187D35">
        <w:rPr>
          <w:lang w:val="sq-AL"/>
        </w:rPr>
        <w:t>Theme</w:t>
      </w:r>
      <w:r w:rsidR="00A512D3" w:rsidRPr="00187D35">
        <w:rPr>
          <w:lang w:val="sq-AL"/>
        </w:rPr>
        <w:t>l</w:t>
      </w:r>
      <w:r w:rsidRPr="00187D35">
        <w:rPr>
          <w:lang w:val="sq-AL"/>
        </w:rPr>
        <w:t>i kun</w:t>
      </w:r>
      <w:r w:rsidR="00292756" w:rsidRPr="00187D35">
        <w:rPr>
          <w:lang w:val="sq-AL"/>
        </w:rPr>
        <w:t>d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 xml:space="preserve">r </w:t>
      </w:r>
      <w:r w:rsidR="00950FB7" w:rsidRPr="00187D35">
        <w:rPr>
          <w:lang w:val="sq-AL"/>
        </w:rPr>
        <w:t>Shqipërisë</w:t>
      </w:r>
      <w:r w:rsidR="004C70C3">
        <w:rPr>
          <w:lang w:val="sq-AL"/>
        </w:rPr>
        <w:t>”</w:t>
      </w:r>
      <w:r w:rsidR="00292756" w:rsidRPr="00187D35">
        <w:rPr>
          <w:lang w:val="sq-AL"/>
        </w:rPr>
        <w:t>, n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 xml:space="preserve"> shum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 xml:space="preserve">n prej </w:t>
      </w:r>
      <w:r w:rsidRPr="00187D35">
        <w:rPr>
          <w:lang w:val="sq-AL"/>
        </w:rPr>
        <w:t>588.6</w:t>
      </w:r>
      <w:r w:rsidR="00292756" w:rsidRPr="00187D35">
        <w:rPr>
          <w:lang w:val="sq-AL"/>
        </w:rPr>
        <w:t xml:space="preserve"> mij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 xml:space="preserve"> lek</w:t>
      </w:r>
      <w:r w:rsidR="00410EEB" w:rsidRPr="00187D35">
        <w:rPr>
          <w:lang w:val="sq-AL"/>
        </w:rPr>
        <w:t>ë</w:t>
      </w:r>
      <w:r w:rsidR="004C70C3">
        <w:rPr>
          <w:lang w:val="sq-AL"/>
        </w:rPr>
        <w:t>sh;</w:t>
      </w:r>
      <w:r w:rsidR="00292756" w:rsidRPr="00187D35">
        <w:rPr>
          <w:lang w:val="sq-AL"/>
        </w:rPr>
        <w:t xml:space="preserve"> </w:t>
      </w:r>
    </w:p>
    <w:p w:rsidR="00A50DD9" w:rsidRPr="00187D35" w:rsidRDefault="00A50DD9" w:rsidP="002C2BC2">
      <w:pPr>
        <w:ind w:firstLine="720"/>
        <w:jc w:val="both"/>
        <w:rPr>
          <w:lang w:val="sq-AL"/>
        </w:rPr>
      </w:pPr>
      <w:r w:rsidRPr="00187D35">
        <w:rPr>
          <w:lang w:val="sq-AL"/>
        </w:rPr>
        <w:t xml:space="preserve">- </w:t>
      </w:r>
      <w:r w:rsidR="004C70C3">
        <w:rPr>
          <w:lang w:val="sq-AL"/>
        </w:rPr>
        <w:t>P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r ç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shtjen </w:t>
      </w:r>
      <w:r w:rsidR="004C70C3">
        <w:rPr>
          <w:lang w:val="sq-AL"/>
        </w:rPr>
        <w:t>“</w:t>
      </w:r>
      <w:r w:rsidRPr="00187D35">
        <w:rPr>
          <w:lang w:val="sq-AL"/>
        </w:rPr>
        <w:t>Tushaj</w:t>
      </w:r>
      <w:r w:rsidR="00292756" w:rsidRPr="00187D35">
        <w:rPr>
          <w:lang w:val="sq-AL"/>
        </w:rPr>
        <w:t xml:space="preserve"> kund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>r Shqip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>ris</w:t>
      </w:r>
      <w:r w:rsidR="00410EEB" w:rsidRPr="00187D35">
        <w:rPr>
          <w:lang w:val="sq-AL"/>
        </w:rPr>
        <w:t>ë</w:t>
      </w:r>
      <w:r w:rsidR="004C70C3">
        <w:rPr>
          <w:lang w:val="sq-AL"/>
        </w:rPr>
        <w:t>”</w:t>
      </w:r>
      <w:r w:rsidR="00292756" w:rsidRPr="00187D35">
        <w:rPr>
          <w:lang w:val="sq-AL"/>
        </w:rPr>
        <w:t>, n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 xml:space="preserve"> shum</w:t>
      </w:r>
      <w:r w:rsidR="00410EEB" w:rsidRPr="00187D35">
        <w:rPr>
          <w:lang w:val="sq-AL"/>
        </w:rPr>
        <w:t>ë</w:t>
      </w:r>
      <w:r w:rsidR="00292756" w:rsidRPr="00187D35">
        <w:rPr>
          <w:lang w:val="sq-AL"/>
        </w:rPr>
        <w:t xml:space="preserve">n prej rreth </w:t>
      </w:r>
      <w:r w:rsidRPr="00187D35">
        <w:rPr>
          <w:lang w:val="sq-AL"/>
        </w:rPr>
        <w:t>271.1</w:t>
      </w:r>
      <w:r w:rsidR="004C70C3">
        <w:rPr>
          <w:lang w:val="sq-AL"/>
        </w:rPr>
        <w:t xml:space="preserve"> </w:t>
      </w:r>
      <w:r w:rsidRPr="00187D35">
        <w:rPr>
          <w:lang w:val="sq-AL"/>
        </w:rPr>
        <w:t>mij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lek</w:t>
      </w:r>
      <w:r w:rsidR="009B1780" w:rsidRPr="00187D35">
        <w:rPr>
          <w:lang w:val="sq-AL"/>
        </w:rPr>
        <w:t>ë</w:t>
      </w:r>
      <w:r w:rsidR="004C70C3">
        <w:rPr>
          <w:lang w:val="sq-AL"/>
        </w:rPr>
        <w:t>sh;</w:t>
      </w:r>
      <w:r w:rsidR="009B06E4" w:rsidRPr="00187D35">
        <w:rPr>
          <w:lang w:val="sq-AL"/>
        </w:rPr>
        <w:t xml:space="preserve"> </w:t>
      </w:r>
    </w:p>
    <w:p w:rsidR="00A50DD9" w:rsidRPr="00187D35" w:rsidRDefault="00A50DD9" w:rsidP="002C2BC2">
      <w:pPr>
        <w:ind w:firstLine="720"/>
        <w:jc w:val="both"/>
        <w:rPr>
          <w:lang w:val="sq-AL"/>
        </w:rPr>
      </w:pPr>
      <w:r w:rsidRPr="00187D35">
        <w:rPr>
          <w:lang w:val="sq-AL"/>
        </w:rPr>
        <w:t xml:space="preserve">- </w:t>
      </w:r>
      <w:r w:rsidR="004C70C3">
        <w:rPr>
          <w:lang w:val="sq-AL"/>
        </w:rPr>
        <w:t>P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r ç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shtjen “Vogli </w:t>
      </w:r>
      <w:r w:rsidR="009B06E4" w:rsidRPr="00187D35">
        <w:rPr>
          <w:lang w:val="sq-AL"/>
        </w:rPr>
        <w:t>kund</w:t>
      </w:r>
      <w:r w:rsidR="00410EEB" w:rsidRPr="00187D35">
        <w:rPr>
          <w:lang w:val="sq-AL"/>
        </w:rPr>
        <w:t>ë</w:t>
      </w:r>
      <w:r w:rsidR="009B06E4" w:rsidRPr="00187D35">
        <w:rPr>
          <w:lang w:val="sq-AL"/>
        </w:rPr>
        <w:t>r Shqip</w:t>
      </w:r>
      <w:r w:rsidR="00410EEB" w:rsidRPr="00187D35">
        <w:rPr>
          <w:lang w:val="sq-AL"/>
        </w:rPr>
        <w:t>ë</w:t>
      </w:r>
      <w:r w:rsidR="009B06E4" w:rsidRPr="00187D35">
        <w:rPr>
          <w:lang w:val="sq-AL"/>
        </w:rPr>
        <w:t>ris</w:t>
      </w:r>
      <w:r w:rsidR="00410EEB" w:rsidRPr="00187D35">
        <w:rPr>
          <w:lang w:val="sq-AL"/>
        </w:rPr>
        <w:t>ë</w:t>
      </w:r>
      <w:r w:rsidR="009B06E4" w:rsidRPr="00187D35">
        <w:rPr>
          <w:lang w:val="sq-AL"/>
        </w:rPr>
        <w:t>” n</w:t>
      </w:r>
      <w:r w:rsidR="00410EEB" w:rsidRPr="00187D35">
        <w:rPr>
          <w:lang w:val="sq-AL"/>
        </w:rPr>
        <w:t>ë</w:t>
      </w:r>
      <w:r w:rsidR="000A70D1" w:rsidRPr="00187D35">
        <w:rPr>
          <w:lang w:val="sq-AL"/>
        </w:rPr>
        <w:t xml:space="preserve"> </w:t>
      </w:r>
      <w:r w:rsidR="009B06E4" w:rsidRPr="00187D35">
        <w:rPr>
          <w:lang w:val="sq-AL"/>
        </w:rPr>
        <w:t>shum</w:t>
      </w:r>
      <w:r w:rsidR="00410EEB" w:rsidRPr="00187D35">
        <w:rPr>
          <w:lang w:val="sq-AL"/>
        </w:rPr>
        <w:t>ë</w:t>
      </w:r>
      <w:r w:rsidR="009B06E4" w:rsidRPr="00187D35">
        <w:rPr>
          <w:lang w:val="sq-AL"/>
        </w:rPr>
        <w:t xml:space="preserve">n prej rreth </w:t>
      </w:r>
      <w:r w:rsidRPr="00187D35">
        <w:rPr>
          <w:lang w:val="sq-AL"/>
        </w:rPr>
        <w:t>1.15</w:t>
      </w:r>
      <w:r w:rsidR="009B06E4" w:rsidRPr="00187D35">
        <w:rPr>
          <w:lang w:val="sq-AL"/>
        </w:rPr>
        <w:t xml:space="preserve"> milion</w:t>
      </w:r>
      <w:r w:rsidR="00410EEB" w:rsidRPr="00187D35">
        <w:rPr>
          <w:lang w:val="sq-AL"/>
        </w:rPr>
        <w:t>ë</w:t>
      </w:r>
      <w:r w:rsidR="009B06E4" w:rsidRPr="00187D35">
        <w:rPr>
          <w:lang w:val="sq-AL"/>
        </w:rPr>
        <w:t xml:space="preserve"> lek</w:t>
      </w:r>
      <w:r w:rsidR="00410EEB" w:rsidRPr="00187D35">
        <w:rPr>
          <w:lang w:val="sq-AL"/>
        </w:rPr>
        <w:t>ë</w:t>
      </w:r>
      <w:r w:rsidR="004C70C3">
        <w:rPr>
          <w:lang w:val="sq-AL"/>
        </w:rPr>
        <w:t>sh</w:t>
      </w:r>
      <w:r w:rsidR="00612FBF" w:rsidRPr="00187D35">
        <w:rPr>
          <w:lang w:val="sq-AL"/>
        </w:rPr>
        <w:t>,</w:t>
      </w:r>
    </w:p>
    <w:p w:rsidR="00A50DD9" w:rsidRPr="00187D35" w:rsidRDefault="00A50DD9" w:rsidP="002C2BC2">
      <w:pPr>
        <w:ind w:firstLine="720"/>
        <w:jc w:val="both"/>
        <w:rPr>
          <w:lang w:val="sq-AL"/>
        </w:rPr>
      </w:pPr>
      <w:r w:rsidRPr="00187D35">
        <w:rPr>
          <w:lang w:val="sq-AL"/>
        </w:rPr>
        <w:t xml:space="preserve">- </w:t>
      </w:r>
      <w:r w:rsidR="004C70C3">
        <w:rPr>
          <w:lang w:val="sq-AL"/>
        </w:rPr>
        <w:t>P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r ç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shtjen “Izet Haxhia kundër Shqipërisë”</w:t>
      </w:r>
      <w:r w:rsidR="00612FBF" w:rsidRPr="00187D35">
        <w:rPr>
          <w:lang w:val="sq-AL"/>
        </w:rPr>
        <w:t xml:space="preserve"> </w:t>
      </w:r>
      <w:r w:rsidRPr="00187D35">
        <w:rPr>
          <w:lang w:val="sq-AL"/>
        </w:rPr>
        <w:t>p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r shum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n 215.7 mij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lek</w:t>
      </w:r>
      <w:r w:rsidR="009B1780" w:rsidRPr="00187D35">
        <w:rPr>
          <w:lang w:val="sq-AL"/>
        </w:rPr>
        <w:t>ë</w:t>
      </w:r>
      <w:r w:rsidR="004C70C3">
        <w:rPr>
          <w:lang w:val="sq-AL"/>
        </w:rPr>
        <w:t>;</w:t>
      </w:r>
    </w:p>
    <w:p w:rsidR="00A512D3" w:rsidRPr="00187D35" w:rsidRDefault="00A50DD9" w:rsidP="00A512D3">
      <w:pPr>
        <w:ind w:firstLine="720"/>
        <w:jc w:val="both"/>
        <w:rPr>
          <w:lang w:val="sq-AL"/>
        </w:rPr>
      </w:pPr>
      <w:r w:rsidRPr="00187D35">
        <w:rPr>
          <w:lang w:val="sq-AL"/>
        </w:rPr>
        <w:t xml:space="preserve">- </w:t>
      </w:r>
      <w:r w:rsidR="004C70C3">
        <w:rPr>
          <w:lang w:val="sq-AL"/>
        </w:rPr>
        <w:t>P</w:t>
      </w:r>
      <w:r w:rsidR="009B1780" w:rsidRPr="00187D35">
        <w:rPr>
          <w:lang w:val="sq-AL"/>
        </w:rPr>
        <w:t>ë</w:t>
      </w:r>
      <w:r w:rsidR="00A512D3" w:rsidRPr="00187D35">
        <w:rPr>
          <w:lang w:val="sq-AL"/>
        </w:rPr>
        <w:t>r ç</w:t>
      </w:r>
      <w:r w:rsidR="009B1780" w:rsidRPr="00187D35">
        <w:rPr>
          <w:lang w:val="sq-AL"/>
        </w:rPr>
        <w:t>ë</w:t>
      </w:r>
      <w:r w:rsidR="00A512D3" w:rsidRPr="00187D35">
        <w:rPr>
          <w:lang w:val="sq-AL"/>
        </w:rPr>
        <w:t>shtjen “Delvina kundër Shqipërisë” p</w:t>
      </w:r>
      <w:r w:rsidR="009B1780" w:rsidRPr="00187D35">
        <w:rPr>
          <w:lang w:val="sq-AL"/>
        </w:rPr>
        <w:t>ë</w:t>
      </w:r>
      <w:r w:rsidR="00A512D3" w:rsidRPr="00187D35">
        <w:rPr>
          <w:lang w:val="sq-AL"/>
        </w:rPr>
        <w:t>r shum</w:t>
      </w:r>
      <w:r w:rsidR="009B1780" w:rsidRPr="00187D35">
        <w:rPr>
          <w:lang w:val="sq-AL"/>
        </w:rPr>
        <w:t>ë</w:t>
      </w:r>
      <w:r w:rsidR="00A512D3" w:rsidRPr="00187D35">
        <w:rPr>
          <w:lang w:val="sq-AL"/>
        </w:rPr>
        <w:t>n 313 milion</w:t>
      </w:r>
      <w:r w:rsidR="004C70C3">
        <w:rPr>
          <w:lang w:val="sq-AL"/>
        </w:rPr>
        <w:t>ë</w:t>
      </w:r>
      <w:r w:rsidR="00A512D3" w:rsidRPr="00187D35">
        <w:rPr>
          <w:lang w:val="sq-AL"/>
        </w:rPr>
        <w:t xml:space="preserve"> lek</w:t>
      </w:r>
      <w:r w:rsidR="009B1780" w:rsidRPr="00187D35">
        <w:rPr>
          <w:lang w:val="sq-AL"/>
        </w:rPr>
        <w:t>ë</w:t>
      </w:r>
      <w:r w:rsidR="004C70C3">
        <w:rPr>
          <w:lang w:val="sq-AL"/>
        </w:rPr>
        <w:t>;</w:t>
      </w:r>
    </w:p>
    <w:p w:rsidR="00310932" w:rsidRDefault="00A50DD9" w:rsidP="008B51CB">
      <w:pPr>
        <w:ind w:firstLine="720"/>
        <w:jc w:val="both"/>
        <w:rPr>
          <w:lang w:val="sq-AL"/>
        </w:rPr>
      </w:pPr>
      <w:r w:rsidRPr="00187D35">
        <w:rPr>
          <w:lang w:val="sq-AL"/>
        </w:rPr>
        <w:t>- dhe p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r ç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shtjen  “Kaçiu dhe Kotorri kundër Shqipërisë” p</w:t>
      </w:r>
      <w:r w:rsidR="009B1780" w:rsidRPr="00187D35">
        <w:rPr>
          <w:lang w:val="sq-AL"/>
        </w:rPr>
        <w:t>ë</w:t>
      </w:r>
      <w:r w:rsidR="00187D35">
        <w:rPr>
          <w:lang w:val="sq-AL"/>
        </w:rPr>
        <w:t>r</w:t>
      </w:r>
      <w:r w:rsidRPr="00187D35">
        <w:rPr>
          <w:lang w:val="sq-AL"/>
        </w:rPr>
        <w:t xml:space="preserve"> shum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n 2.4 milion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lek</w:t>
      </w:r>
      <w:r w:rsidR="009B1780" w:rsidRPr="00187D35">
        <w:rPr>
          <w:lang w:val="sq-AL"/>
        </w:rPr>
        <w:t>ë</w:t>
      </w:r>
      <w:r w:rsidR="00A512D3" w:rsidRPr="00187D35">
        <w:rPr>
          <w:lang w:val="sq-AL"/>
        </w:rPr>
        <w:t>.</w:t>
      </w:r>
      <w:r w:rsidRPr="00187D35">
        <w:rPr>
          <w:lang w:val="sq-AL"/>
        </w:rPr>
        <w:t xml:space="preserve"> </w:t>
      </w:r>
    </w:p>
    <w:p w:rsidR="00677C17" w:rsidRPr="00187D35" w:rsidRDefault="00677C17" w:rsidP="00677C17">
      <w:pPr>
        <w:jc w:val="both"/>
        <w:rPr>
          <w:lang w:val="sq-AL"/>
        </w:rPr>
      </w:pPr>
    </w:p>
    <w:p w:rsidR="009D0080" w:rsidRPr="00187D35" w:rsidRDefault="009D0080" w:rsidP="00846FAD">
      <w:pPr>
        <w:numPr>
          <w:ilvl w:val="0"/>
          <w:numId w:val="27"/>
        </w:numPr>
        <w:jc w:val="both"/>
        <w:rPr>
          <w:lang w:val="sq-AL"/>
        </w:rPr>
      </w:pPr>
      <w:r w:rsidRPr="00187D35">
        <w:rPr>
          <w:lang w:val="sq-AL"/>
        </w:rPr>
        <w:t>614 milion</w:t>
      </w:r>
      <w:r w:rsidR="00713152">
        <w:rPr>
          <w:lang w:val="sq-AL"/>
        </w:rPr>
        <w:t>ë</w:t>
      </w:r>
      <w:r w:rsidRPr="00187D35">
        <w:rPr>
          <w:lang w:val="sq-AL"/>
        </w:rPr>
        <w:t xml:space="preserve"> </w:t>
      </w:r>
      <w:r w:rsidR="00187D35" w:rsidRPr="00187D35">
        <w:rPr>
          <w:lang w:val="sq-AL"/>
        </w:rPr>
        <w:t>lekë</w:t>
      </w:r>
      <w:r w:rsidRPr="00187D35">
        <w:rPr>
          <w:lang w:val="sq-AL"/>
        </w:rPr>
        <w:t xml:space="preserve"> ose 41.1% t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fondit rezerv</w:t>
      </w:r>
      <w:r w:rsidR="00713152">
        <w:rPr>
          <w:lang w:val="sq-AL"/>
        </w:rPr>
        <w:t>ë</w:t>
      </w:r>
      <w:r w:rsidRPr="00187D35">
        <w:rPr>
          <w:lang w:val="sq-AL"/>
        </w:rPr>
        <w:t xml:space="preserve"> i 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sht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akorduar </w:t>
      </w:r>
      <w:r w:rsidRPr="00187D35">
        <w:rPr>
          <w:b/>
          <w:lang w:val="sq-AL"/>
        </w:rPr>
        <w:t>Ministris</w:t>
      </w:r>
      <w:r w:rsidR="009B1780" w:rsidRPr="00187D35">
        <w:rPr>
          <w:b/>
          <w:lang w:val="sq-AL"/>
        </w:rPr>
        <w:t>ë</w:t>
      </w:r>
      <w:r w:rsidRPr="00187D35">
        <w:rPr>
          <w:b/>
          <w:lang w:val="sq-AL"/>
        </w:rPr>
        <w:t xml:space="preserve"> s</w:t>
      </w:r>
      <w:r w:rsidR="009B1780" w:rsidRPr="00187D35">
        <w:rPr>
          <w:b/>
          <w:lang w:val="sq-AL"/>
        </w:rPr>
        <w:t>ë</w:t>
      </w:r>
      <w:r w:rsidRPr="00187D35">
        <w:rPr>
          <w:b/>
          <w:lang w:val="sq-AL"/>
        </w:rPr>
        <w:t xml:space="preserve"> Arsimit dhe Sportit </w:t>
      </w:r>
      <w:r w:rsidRPr="00187D35">
        <w:rPr>
          <w:lang w:val="sq-AL"/>
        </w:rPr>
        <w:t>n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p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rmjet dy vendimeve dhe konkretisht:</w:t>
      </w:r>
    </w:p>
    <w:p w:rsidR="009D0080" w:rsidRPr="00187D35" w:rsidRDefault="009D0080" w:rsidP="009D0080">
      <w:pPr>
        <w:numPr>
          <w:ilvl w:val="0"/>
          <w:numId w:val="25"/>
        </w:numPr>
        <w:jc w:val="both"/>
        <w:rPr>
          <w:lang w:val="sq-AL"/>
        </w:rPr>
      </w:pPr>
      <w:r w:rsidRPr="00187D35">
        <w:rPr>
          <w:lang w:val="sq-AL"/>
        </w:rPr>
        <w:t>600 milion</w:t>
      </w:r>
      <w:r w:rsidR="00713152">
        <w:rPr>
          <w:lang w:val="sq-AL"/>
        </w:rPr>
        <w:t>ë</w:t>
      </w:r>
      <w:r w:rsidRPr="00187D35">
        <w:rPr>
          <w:lang w:val="sq-AL"/>
        </w:rPr>
        <w:t xml:space="preserve"> lek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jan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akorduar p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r bashk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financimin e stadiumit “Ruzhdi Bizhuta”, Elbasan dhe projektit t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nd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rtimit t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Parkut Olimpik t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Tiran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s.</w:t>
      </w:r>
    </w:p>
    <w:p w:rsidR="009D0080" w:rsidRDefault="009D0080" w:rsidP="008B51CB">
      <w:pPr>
        <w:numPr>
          <w:ilvl w:val="0"/>
          <w:numId w:val="25"/>
        </w:numPr>
        <w:jc w:val="both"/>
        <w:rPr>
          <w:lang w:val="sq-AL"/>
        </w:rPr>
      </w:pPr>
      <w:r w:rsidRPr="00187D35">
        <w:rPr>
          <w:lang w:val="sq-AL"/>
        </w:rPr>
        <w:t>14 milion</w:t>
      </w:r>
      <w:r w:rsidR="00713152">
        <w:rPr>
          <w:lang w:val="sq-AL"/>
        </w:rPr>
        <w:t>ë</w:t>
      </w:r>
      <w:r w:rsidRPr="00187D35">
        <w:rPr>
          <w:lang w:val="sq-AL"/>
        </w:rPr>
        <w:t xml:space="preserve"> lek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</w:t>
      </w:r>
      <w:r w:rsidR="00713152">
        <w:rPr>
          <w:lang w:val="sq-AL"/>
        </w:rPr>
        <w:t xml:space="preserve">i </w:t>
      </w:r>
      <w:r w:rsidRPr="00187D35">
        <w:rPr>
          <w:lang w:val="sq-AL"/>
        </w:rPr>
        <w:t>jan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akorduar </w:t>
      </w:r>
      <w:r w:rsidR="00713152">
        <w:rPr>
          <w:lang w:val="sq-AL"/>
        </w:rPr>
        <w:t>F</w:t>
      </w:r>
      <w:r w:rsidRPr="00187D35">
        <w:rPr>
          <w:lang w:val="sq-AL"/>
        </w:rPr>
        <w:t>ederat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s</w:t>
      </w:r>
      <w:r w:rsidR="00AB5CA2" w:rsidRPr="00187D35">
        <w:rPr>
          <w:lang w:val="sq-AL"/>
        </w:rPr>
        <w:t xml:space="preserve"> </w:t>
      </w:r>
      <w:r w:rsidR="00713152">
        <w:rPr>
          <w:lang w:val="sq-AL"/>
        </w:rPr>
        <w:t>S</w:t>
      </w:r>
      <w:r w:rsidR="00AB5CA2" w:rsidRPr="00187D35">
        <w:rPr>
          <w:lang w:val="sq-AL"/>
        </w:rPr>
        <w:t>hqiptare t</w:t>
      </w:r>
      <w:r w:rsidR="009B1780" w:rsidRPr="00187D35">
        <w:rPr>
          <w:lang w:val="sq-AL"/>
        </w:rPr>
        <w:t>ë</w:t>
      </w:r>
      <w:r w:rsidR="00AB5CA2" w:rsidRPr="00187D35">
        <w:rPr>
          <w:lang w:val="sq-AL"/>
        </w:rPr>
        <w:t xml:space="preserve"> </w:t>
      </w:r>
      <w:r w:rsidR="00713152">
        <w:rPr>
          <w:lang w:val="sq-AL"/>
        </w:rPr>
        <w:t>P</w:t>
      </w:r>
      <w:r w:rsidR="00AB5CA2" w:rsidRPr="00187D35">
        <w:rPr>
          <w:lang w:val="sq-AL"/>
        </w:rPr>
        <w:t>esh</w:t>
      </w:r>
      <w:r w:rsidR="009B1780" w:rsidRPr="00187D35">
        <w:rPr>
          <w:lang w:val="sq-AL"/>
        </w:rPr>
        <w:t>ë</w:t>
      </w:r>
      <w:r w:rsidR="00AB5CA2" w:rsidRPr="00187D35">
        <w:rPr>
          <w:lang w:val="sq-AL"/>
        </w:rPr>
        <w:t>ngritjes</w:t>
      </w:r>
      <w:r w:rsidR="00C95CA5" w:rsidRPr="00187D35">
        <w:rPr>
          <w:lang w:val="sq-AL"/>
        </w:rPr>
        <w:t>.</w:t>
      </w:r>
      <w:r w:rsidRPr="00187D35">
        <w:rPr>
          <w:lang w:val="sq-AL"/>
        </w:rPr>
        <w:t xml:space="preserve"> </w:t>
      </w:r>
    </w:p>
    <w:p w:rsidR="00677C17" w:rsidRPr="008B51CB" w:rsidRDefault="00677C17" w:rsidP="00677C17">
      <w:pPr>
        <w:ind w:left="1080"/>
        <w:jc w:val="both"/>
        <w:rPr>
          <w:lang w:val="sq-AL"/>
        </w:rPr>
      </w:pPr>
    </w:p>
    <w:p w:rsidR="00BA256E" w:rsidRPr="00677C17" w:rsidRDefault="00477929" w:rsidP="005A73BD">
      <w:pPr>
        <w:numPr>
          <w:ilvl w:val="0"/>
          <w:numId w:val="27"/>
        </w:numPr>
        <w:jc w:val="both"/>
        <w:rPr>
          <w:lang w:val="sq-AL"/>
        </w:rPr>
      </w:pPr>
      <w:r w:rsidRPr="00310932">
        <w:rPr>
          <w:lang w:val="sq-AL"/>
        </w:rPr>
        <w:t>P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r 7.7</w:t>
      </w:r>
      <w:r w:rsidR="00B362CA" w:rsidRPr="00310932">
        <w:rPr>
          <w:lang w:val="sq-AL"/>
        </w:rPr>
        <w:t xml:space="preserve"> </w:t>
      </w:r>
      <w:r w:rsidR="00950FB7" w:rsidRPr="00310932">
        <w:rPr>
          <w:lang w:val="sq-AL"/>
        </w:rPr>
        <w:t>milionë</w:t>
      </w:r>
      <w:r w:rsidR="0020527A" w:rsidRPr="00310932">
        <w:rPr>
          <w:lang w:val="sq-AL"/>
        </w:rPr>
        <w:t xml:space="preserve"> lek</w:t>
      </w:r>
      <w:r w:rsidR="00846FAD" w:rsidRPr="00310932">
        <w:rPr>
          <w:lang w:val="sq-AL"/>
        </w:rPr>
        <w:t>ë</w:t>
      </w:r>
      <w:r w:rsidR="00B362CA" w:rsidRPr="00310932">
        <w:rPr>
          <w:lang w:val="sq-AL"/>
        </w:rPr>
        <w:t xml:space="preserve"> </w:t>
      </w:r>
      <w:r w:rsidR="007858AA" w:rsidRPr="00310932">
        <w:rPr>
          <w:lang w:val="sq-AL"/>
        </w:rPr>
        <w:t xml:space="preserve">ose 0.5% </w:t>
      </w:r>
      <w:r w:rsidR="002D6D9C" w:rsidRPr="00310932">
        <w:rPr>
          <w:lang w:val="sq-AL"/>
        </w:rPr>
        <w:t xml:space="preserve">e fondit </w:t>
      </w:r>
      <w:r w:rsidR="002D6D9C" w:rsidRPr="00310932">
        <w:rPr>
          <w:iCs/>
          <w:lang w:val="sq-AL"/>
        </w:rPr>
        <w:t xml:space="preserve">rezervë, </w:t>
      </w:r>
      <w:r w:rsidR="00950FB7" w:rsidRPr="00310932">
        <w:rPr>
          <w:lang w:val="sq-AL"/>
        </w:rPr>
        <w:t>është</w:t>
      </w:r>
      <w:r w:rsidR="00BA256E" w:rsidRPr="00310932">
        <w:rPr>
          <w:lang w:val="sq-AL"/>
        </w:rPr>
        <w:t xml:space="preserve"> miratuar fond</w:t>
      </w:r>
      <w:r w:rsidR="00B362CA" w:rsidRPr="00310932">
        <w:rPr>
          <w:lang w:val="sq-AL"/>
        </w:rPr>
        <w:t xml:space="preserve"> </w:t>
      </w:r>
      <w:r w:rsidR="00950FB7" w:rsidRPr="00310932">
        <w:rPr>
          <w:lang w:val="sq-AL"/>
        </w:rPr>
        <w:t>për</w:t>
      </w:r>
      <w:r w:rsidR="00B362CA" w:rsidRPr="00310932">
        <w:rPr>
          <w:lang w:val="sq-AL"/>
        </w:rPr>
        <w:t xml:space="preserve"> </w:t>
      </w:r>
      <w:r w:rsidR="00950FB7" w:rsidRPr="00310932">
        <w:rPr>
          <w:b/>
          <w:lang w:val="sq-AL"/>
        </w:rPr>
        <w:t>Ministri</w:t>
      </w:r>
      <w:r w:rsidRPr="00310932">
        <w:rPr>
          <w:b/>
          <w:lang w:val="sq-AL"/>
        </w:rPr>
        <w:t>n</w:t>
      </w:r>
      <w:r w:rsidR="00950FB7" w:rsidRPr="00310932">
        <w:rPr>
          <w:b/>
          <w:lang w:val="sq-AL"/>
        </w:rPr>
        <w:t>ë</w:t>
      </w:r>
      <w:r w:rsidR="00B362CA" w:rsidRPr="00310932">
        <w:rPr>
          <w:b/>
          <w:lang w:val="sq-AL"/>
        </w:rPr>
        <w:t xml:space="preserve"> e </w:t>
      </w:r>
      <w:r w:rsidR="00950FB7" w:rsidRPr="00310932">
        <w:rPr>
          <w:b/>
          <w:lang w:val="sq-AL"/>
        </w:rPr>
        <w:t>Kulturës</w:t>
      </w:r>
      <w:r w:rsidRPr="00310932">
        <w:rPr>
          <w:b/>
          <w:lang w:val="sq-AL"/>
        </w:rPr>
        <w:t xml:space="preserve"> </w:t>
      </w:r>
      <w:r w:rsidRPr="00310932">
        <w:rPr>
          <w:lang w:val="sq-AL"/>
        </w:rPr>
        <w:t>n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p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rmjet nj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</w:t>
      </w:r>
      <w:r w:rsidR="00187D35" w:rsidRPr="00310932">
        <w:rPr>
          <w:lang w:val="sq-AL"/>
        </w:rPr>
        <w:t>vendimi</w:t>
      </w:r>
      <w:r w:rsidRPr="00310932">
        <w:rPr>
          <w:lang w:val="sq-AL"/>
        </w:rPr>
        <w:t xml:space="preserve"> p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r t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financuar pjes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marrjen e Shqip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ris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n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Bienalen e Arkitektur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s n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Venecia, Itali</w:t>
      </w:r>
      <w:r w:rsidRPr="00310932">
        <w:rPr>
          <w:b/>
          <w:lang w:val="sq-AL"/>
        </w:rPr>
        <w:t>.</w:t>
      </w:r>
      <w:r w:rsidR="00B362CA" w:rsidRPr="00310932">
        <w:rPr>
          <w:b/>
          <w:lang w:val="sq-AL"/>
        </w:rPr>
        <w:t xml:space="preserve"> </w:t>
      </w:r>
    </w:p>
    <w:p w:rsidR="00677C17" w:rsidRPr="008B51CB" w:rsidRDefault="00677C17" w:rsidP="00677C17">
      <w:pPr>
        <w:ind w:left="720"/>
        <w:jc w:val="both"/>
        <w:rPr>
          <w:lang w:val="sq-AL"/>
        </w:rPr>
      </w:pPr>
    </w:p>
    <w:p w:rsidR="00846FAD" w:rsidRDefault="00915BFA" w:rsidP="00846FAD">
      <w:pPr>
        <w:numPr>
          <w:ilvl w:val="0"/>
          <w:numId w:val="27"/>
        </w:numPr>
        <w:jc w:val="both"/>
        <w:rPr>
          <w:iCs/>
          <w:lang w:val="sq-AL"/>
        </w:rPr>
      </w:pPr>
      <w:r w:rsidRPr="00187D35">
        <w:rPr>
          <w:iCs/>
          <w:lang w:val="sq-AL"/>
        </w:rPr>
        <w:t xml:space="preserve">Rreth </w:t>
      </w:r>
      <w:r w:rsidR="00477929" w:rsidRPr="00187D35">
        <w:rPr>
          <w:iCs/>
          <w:lang w:val="sq-AL"/>
        </w:rPr>
        <w:t>27.8</w:t>
      </w:r>
      <w:r w:rsidR="006B4508" w:rsidRPr="00187D35">
        <w:rPr>
          <w:iCs/>
          <w:lang w:val="sq-AL"/>
        </w:rPr>
        <w:t xml:space="preserve"> </w:t>
      </w:r>
      <w:r w:rsidR="00950FB7" w:rsidRPr="00187D35">
        <w:rPr>
          <w:iCs/>
          <w:lang w:val="sq-AL"/>
        </w:rPr>
        <w:t>milionë</w:t>
      </w:r>
      <w:r w:rsidRPr="00187D35">
        <w:rPr>
          <w:iCs/>
          <w:lang w:val="sq-AL"/>
        </w:rPr>
        <w:t xml:space="preserve"> lek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 xml:space="preserve"> ose rreth </w:t>
      </w:r>
      <w:r w:rsidR="00477929" w:rsidRPr="00187D35">
        <w:rPr>
          <w:iCs/>
          <w:lang w:val="sq-AL"/>
        </w:rPr>
        <w:t>1.9</w:t>
      </w:r>
      <w:r w:rsidR="00097441" w:rsidRPr="00187D35">
        <w:rPr>
          <w:iCs/>
          <w:lang w:val="sq-AL"/>
        </w:rPr>
        <w:t xml:space="preserve"> </w:t>
      </w:r>
      <w:r w:rsidRPr="00187D35">
        <w:rPr>
          <w:iCs/>
          <w:lang w:val="sq-AL"/>
        </w:rPr>
        <w:t>p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>r</w:t>
      </w:r>
      <w:r w:rsidR="00713152">
        <w:rPr>
          <w:iCs/>
          <w:lang w:val="sq-AL"/>
        </w:rPr>
        <w:t xml:space="preserve"> </w:t>
      </w:r>
      <w:r w:rsidRPr="00187D35">
        <w:rPr>
          <w:iCs/>
          <w:lang w:val="sq-AL"/>
        </w:rPr>
        <w:t>qind e fondit rezerv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>, i jan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 xml:space="preserve"> dh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>n</w:t>
      </w:r>
      <w:r w:rsidR="00410EEB" w:rsidRPr="00187D35">
        <w:rPr>
          <w:iCs/>
          <w:lang w:val="sq-AL"/>
        </w:rPr>
        <w:t>ë</w:t>
      </w:r>
      <w:r w:rsidRPr="00187D35">
        <w:rPr>
          <w:iCs/>
          <w:lang w:val="sq-AL"/>
        </w:rPr>
        <w:t xml:space="preserve"> </w:t>
      </w:r>
      <w:r w:rsidRPr="00187D35">
        <w:rPr>
          <w:b/>
          <w:iCs/>
          <w:lang w:val="sq-AL"/>
        </w:rPr>
        <w:t>Ministris</w:t>
      </w:r>
      <w:r w:rsidR="00410EEB" w:rsidRPr="00187D35">
        <w:rPr>
          <w:b/>
          <w:iCs/>
          <w:lang w:val="sq-AL"/>
        </w:rPr>
        <w:t>ë</w:t>
      </w:r>
      <w:r w:rsidRPr="00187D35">
        <w:rPr>
          <w:b/>
          <w:iCs/>
          <w:lang w:val="sq-AL"/>
        </w:rPr>
        <w:t xml:space="preserve"> s</w:t>
      </w:r>
      <w:r w:rsidR="00410EEB" w:rsidRPr="00187D35">
        <w:rPr>
          <w:b/>
          <w:iCs/>
          <w:lang w:val="sq-AL"/>
        </w:rPr>
        <w:t>ë</w:t>
      </w:r>
      <w:r w:rsidRPr="00187D35">
        <w:rPr>
          <w:b/>
          <w:iCs/>
          <w:lang w:val="sq-AL"/>
        </w:rPr>
        <w:t xml:space="preserve"> Drejt</w:t>
      </w:r>
      <w:r w:rsidR="00410EEB" w:rsidRPr="00187D35">
        <w:rPr>
          <w:b/>
          <w:iCs/>
          <w:lang w:val="sq-AL"/>
        </w:rPr>
        <w:t>ë</w:t>
      </w:r>
      <w:r w:rsidRPr="00187D35">
        <w:rPr>
          <w:b/>
          <w:iCs/>
          <w:lang w:val="sq-AL"/>
        </w:rPr>
        <w:t>sis</w:t>
      </w:r>
      <w:r w:rsidR="00410EEB" w:rsidRPr="00187D35">
        <w:rPr>
          <w:b/>
          <w:iCs/>
          <w:lang w:val="sq-AL"/>
        </w:rPr>
        <w:t>ë</w:t>
      </w:r>
      <w:r w:rsidR="005A73BD" w:rsidRPr="00187D35">
        <w:rPr>
          <w:b/>
          <w:iCs/>
          <w:lang w:val="sq-AL"/>
        </w:rPr>
        <w:t xml:space="preserve"> </w:t>
      </w:r>
      <w:r w:rsidR="005A73BD" w:rsidRPr="00187D35">
        <w:rPr>
          <w:iCs/>
          <w:lang w:val="sq-AL"/>
        </w:rPr>
        <w:t>n</w:t>
      </w:r>
      <w:r w:rsidR="00410EEB" w:rsidRPr="00187D35">
        <w:rPr>
          <w:iCs/>
          <w:lang w:val="sq-AL"/>
        </w:rPr>
        <w:t>ë</w:t>
      </w:r>
      <w:r w:rsidR="005A73BD" w:rsidRPr="00187D35">
        <w:rPr>
          <w:iCs/>
          <w:lang w:val="sq-AL"/>
        </w:rPr>
        <w:t>p</w:t>
      </w:r>
      <w:r w:rsidR="00410EEB" w:rsidRPr="00187D35">
        <w:rPr>
          <w:iCs/>
          <w:lang w:val="sq-AL"/>
        </w:rPr>
        <w:t>ë</w:t>
      </w:r>
      <w:r w:rsidR="005A73BD" w:rsidRPr="00187D35">
        <w:rPr>
          <w:iCs/>
          <w:lang w:val="sq-AL"/>
        </w:rPr>
        <w:t xml:space="preserve">rmjet </w:t>
      </w:r>
      <w:r w:rsidR="00477929" w:rsidRPr="00187D35">
        <w:rPr>
          <w:iCs/>
          <w:lang w:val="sq-AL"/>
        </w:rPr>
        <w:t>2</w:t>
      </w:r>
      <w:r w:rsidR="005A73BD" w:rsidRPr="00187D35">
        <w:rPr>
          <w:iCs/>
          <w:lang w:val="sq-AL"/>
        </w:rPr>
        <w:t xml:space="preserve"> vendim</w:t>
      </w:r>
      <w:r w:rsidR="006B4508" w:rsidRPr="00187D35">
        <w:rPr>
          <w:iCs/>
          <w:lang w:val="sq-AL"/>
        </w:rPr>
        <w:t>eve, e konkretisht</w:t>
      </w:r>
      <w:r w:rsidR="00094787" w:rsidRPr="00187D35">
        <w:rPr>
          <w:iCs/>
          <w:lang w:val="sq-AL"/>
        </w:rPr>
        <w:t>,</w:t>
      </w:r>
      <w:r w:rsidR="006B4508" w:rsidRPr="00187D35">
        <w:rPr>
          <w:iCs/>
          <w:lang w:val="sq-AL"/>
        </w:rPr>
        <w:t xml:space="preserve"> </w:t>
      </w:r>
      <w:r w:rsidR="00094787" w:rsidRPr="00187D35">
        <w:rPr>
          <w:iCs/>
          <w:lang w:val="sq-AL"/>
        </w:rPr>
        <w:t>vendim</w:t>
      </w:r>
      <w:r w:rsidR="00A94C93" w:rsidRPr="00187D35">
        <w:rPr>
          <w:iCs/>
          <w:lang w:val="sq-AL"/>
        </w:rPr>
        <w:t>e</w:t>
      </w:r>
      <w:r w:rsidR="00477929" w:rsidRPr="00187D35">
        <w:rPr>
          <w:iCs/>
          <w:lang w:val="sq-AL"/>
        </w:rPr>
        <w:t>ve</w:t>
      </w:r>
      <w:r w:rsidR="00094787" w:rsidRPr="00187D35">
        <w:rPr>
          <w:iCs/>
          <w:lang w:val="sq-AL"/>
        </w:rPr>
        <w:t xml:space="preserve"> </w:t>
      </w:r>
      <w:r w:rsidR="00385D65">
        <w:rPr>
          <w:iCs/>
          <w:lang w:val="sq-AL"/>
        </w:rPr>
        <w:t>p</w:t>
      </w:r>
      <w:r w:rsidR="00410EEB" w:rsidRPr="00187D35">
        <w:rPr>
          <w:iCs/>
          <w:lang w:val="sq-AL"/>
        </w:rPr>
        <w:t>ë</w:t>
      </w:r>
      <w:r w:rsidR="00094787" w:rsidRPr="00187D35">
        <w:rPr>
          <w:iCs/>
          <w:lang w:val="sq-AL"/>
        </w:rPr>
        <w:t>r pages</w:t>
      </w:r>
      <w:r w:rsidR="00410EEB" w:rsidRPr="00187D35">
        <w:rPr>
          <w:iCs/>
          <w:lang w:val="sq-AL"/>
        </w:rPr>
        <w:t>ë</w:t>
      </w:r>
      <w:r w:rsidR="00094787" w:rsidRPr="00187D35">
        <w:rPr>
          <w:iCs/>
          <w:lang w:val="sq-AL"/>
        </w:rPr>
        <w:t xml:space="preserve">n  </w:t>
      </w:r>
      <w:r w:rsidR="00477929" w:rsidRPr="00187D35">
        <w:rPr>
          <w:iCs/>
          <w:lang w:val="sq-AL"/>
        </w:rPr>
        <w:t>e</w:t>
      </w:r>
      <w:r w:rsidR="00A94C93" w:rsidRPr="00187D35">
        <w:rPr>
          <w:iCs/>
          <w:lang w:val="sq-AL"/>
        </w:rPr>
        <w:t xml:space="preserve"> </w:t>
      </w:r>
      <w:r w:rsidR="00094787" w:rsidRPr="00187D35">
        <w:rPr>
          <w:iCs/>
          <w:lang w:val="sq-AL"/>
        </w:rPr>
        <w:t>sh</w:t>
      </w:r>
      <w:r w:rsidR="00410EEB" w:rsidRPr="00187D35">
        <w:rPr>
          <w:iCs/>
          <w:lang w:val="sq-AL"/>
        </w:rPr>
        <w:t>ë</w:t>
      </w:r>
      <w:r w:rsidR="00094787" w:rsidRPr="00187D35">
        <w:rPr>
          <w:iCs/>
          <w:lang w:val="sq-AL"/>
        </w:rPr>
        <w:t>rbimeve juridike, p</w:t>
      </w:r>
      <w:r w:rsidR="00410EEB" w:rsidRPr="00187D35">
        <w:rPr>
          <w:iCs/>
          <w:lang w:val="sq-AL"/>
        </w:rPr>
        <w:t>ë</w:t>
      </w:r>
      <w:r w:rsidR="00094787" w:rsidRPr="00187D35">
        <w:rPr>
          <w:iCs/>
          <w:lang w:val="sq-AL"/>
        </w:rPr>
        <w:t>r p</w:t>
      </w:r>
      <w:r w:rsidR="00410EEB" w:rsidRPr="00187D35">
        <w:rPr>
          <w:iCs/>
          <w:lang w:val="sq-AL"/>
        </w:rPr>
        <w:t>ë</w:t>
      </w:r>
      <w:r w:rsidR="00094787" w:rsidRPr="00187D35">
        <w:rPr>
          <w:iCs/>
          <w:lang w:val="sq-AL"/>
        </w:rPr>
        <w:t>rfaq</w:t>
      </w:r>
      <w:r w:rsidR="00410EEB" w:rsidRPr="00187D35">
        <w:rPr>
          <w:iCs/>
          <w:lang w:val="sq-AL"/>
        </w:rPr>
        <w:t>ë</w:t>
      </w:r>
      <w:r w:rsidR="00094787" w:rsidRPr="00187D35">
        <w:rPr>
          <w:iCs/>
          <w:lang w:val="sq-AL"/>
        </w:rPr>
        <w:t>simin dhe mbrojtjen n</w:t>
      </w:r>
      <w:r w:rsidR="00410EEB" w:rsidRPr="00187D35">
        <w:rPr>
          <w:iCs/>
          <w:lang w:val="sq-AL"/>
        </w:rPr>
        <w:t>ë</w:t>
      </w:r>
      <w:r w:rsidR="00094787" w:rsidRPr="00187D35">
        <w:rPr>
          <w:iCs/>
          <w:lang w:val="sq-AL"/>
        </w:rPr>
        <w:t xml:space="preserve"> </w:t>
      </w:r>
      <w:r w:rsidR="00950FB7" w:rsidRPr="00187D35">
        <w:rPr>
          <w:iCs/>
          <w:lang w:val="sq-AL"/>
        </w:rPr>
        <w:t>çështjen</w:t>
      </w:r>
      <w:r w:rsidR="00094787" w:rsidRPr="00187D35">
        <w:rPr>
          <w:iCs/>
          <w:lang w:val="sq-AL"/>
        </w:rPr>
        <w:t xml:space="preserve"> e arbitrazhit nd</w:t>
      </w:r>
      <w:r w:rsidR="00410EEB" w:rsidRPr="00187D35">
        <w:rPr>
          <w:iCs/>
          <w:lang w:val="sq-AL"/>
        </w:rPr>
        <w:t>ë</w:t>
      </w:r>
      <w:r w:rsidR="00094787" w:rsidRPr="00187D35">
        <w:rPr>
          <w:iCs/>
          <w:lang w:val="sq-AL"/>
        </w:rPr>
        <w:t>rkomb</w:t>
      </w:r>
      <w:r w:rsidR="00410EEB" w:rsidRPr="00187D35">
        <w:rPr>
          <w:iCs/>
          <w:lang w:val="sq-AL"/>
        </w:rPr>
        <w:t>ë</w:t>
      </w:r>
      <w:r w:rsidR="00094787" w:rsidRPr="00187D35">
        <w:rPr>
          <w:iCs/>
          <w:lang w:val="sq-AL"/>
        </w:rPr>
        <w:t>tar Nr.</w:t>
      </w:r>
      <w:r w:rsidR="0020527A" w:rsidRPr="00187D35">
        <w:rPr>
          <w:iCs/>
          <w:lang w:val="sq-AL"/>
        </w:rPr>
        <w:t xml:space="preserve"> </w:t>
      </w:r>
      <w:r w:rsidR="00385D65">
        <w:rPr>
          <w:iCs/>
          <w:lang w:val="sq-AL"/>
        </w:rPr>
        <w:t>ARB/11/24 “</w:t>
      </w:r>
      <w:r w:rsidR="00094787" w:rsidRPr="00187D35">
        <w:rPr>
          <w:iCs/>
          <w:lang w:val="sq-AL"/>
        </w:rPr>
        <w:t>Mamido</w:t>
      </w:r>
      <w:r w:rsidR="00A94C93" w:rsidRPr="00187D35">
        <w:rPr>
          <w:iCs/>
          <w:lang w:val="sq-AL"/>
        </w:rPr>
        <w:t>i</w:t>
      </w:r>
      <w:r w:rsidR="00094787" w:rsidRPr="00187D35">
        <w:rPr>
          <w:iCs/>
          <w:lang w:val="sq-AL"/>
        </w:rPr>
        <w:t>l jetoil greek Petroleum products societe anonyme S.A.</w:t>
      </w:r>
      <w:r w:rsidR="00846FAD" w:rsidRPr="00187D35">
        <w:rPr>
          <w:iCs/>
          <w:lang w:val="sq-AL"/>
        </w:rPr>
        <w:t xml:space="preserve"> </w:t>
      </w:r>
      <w:r w:rsidR="00094787" w:rsidRPr="00187D35">
        <w:rPr>
          <w:iCs/>
          <w:lang w:val="sq-AL"/>
        </w:rPr>
        <w:t>kund</w:t>
      </w:r>
      <w:r w:rsidR="00410EEB" w:rsidRPr="00187D35">
        <w:rPr>
          <w:iCs/>
          <w:lang w:val="sq-AL"/>
        </w:rPr>
        <w:t>ë</w:t>
      </w:r>
      <w:r w:rsidR="00094787" w:rsidRPr="00187D35">
        <w:rPr>
          <w:iCs/>
          <w:lang w:val="sq-AL"/>
        </w:rPr>
        <w:t>r Republik</w:t>
      </w:r>
      <w:r w:rsidR="00410EEB" w:rsidRPr="00187D35">
        <w:rPr>
          <w:iCs/>
          <w:lang w:val="sq-AL"/>
        </w:rPr>
        <w:t>ë</w:t>
      </w:r>
      <w:r w:rsidR="00094787" w:rsidRPr="00187D35">
        <w:rPr>
          <w:iCs/>
          <w:lang w:val="sq-AL"/>
        </w:rPr>
        <w:t>s s</w:t>
      </w:r>
      <w:r w:rsidR="00410EEB" w:rsidRPr="00187D35">
        <w:rPr>
          <w:iCs/>
          <w:lang w:val="sq-AL"/>
        </w:rPr>
        <w:t>ë</w:t>
      </w:r>
      <w:r w:rsidR="00094787" w:rsidRPr="00187D35">
        <w:rPr>
          <w:iCs/>
          <w:lang w:val="sq-AL"/>
        </w:rPr>
        <w:t xml:space="preserve"> Shqip</w:t>
      </w:r>
      <w:r w:rsidR="00410EEB" w:rsidRPr="00187D35">
        <w:rPr>
          <w:iCs/>
          <w:lang w:val="sq-AL"/>
        </w:rPr>
        <w:t>ë</w:t>
      </w:r>
      <w:r w:rsidR="00094787" w:rsidRPr="00187D35">
        <w:rPr>
          <w:iCs/>
          <w:lang w:val="sq-AL"/>
        </w:rPr>
        <w:t>ris</w:t>
      </w:r>
      <w:r w:rsidR="00410EEB" w:rsidRPr="00187D35">
        <w:rPr>
          <w:iCs/>
          <w:lang w:val="sq-AL"/>
        </w:rPr>
        <w:t>ë</w:t>
      </w:r>
      <w:r w:rsidR="00385D65">
        <w:rPr>
          <w:iCs/>
          <w:lang w:val="sq-AL"/>
        </w:rPr>
        <w:t>”</w:t>
      </w:r>
      <w:r w:rsidR="00477929" w:rsidRPr="00187D35">
        <w:rPr>
          <w:iCs/>
          <w:lang w:val="sq-AL"/>
        </w:rPr>
        <w:t>.</w:t>
      </w:r>
      <w:r w:rsidR="00094787" w:rsidRPr="00187D35">
        <w:rPr>
          <w:iCs/>
          <w:lang w:val="sq-AL"/>
        </w:rPr>
        <w:t xml:space="preserve"> </w:t>
      </w:r>
    </w:p>
    <w:p w:rsidR="00677C17" w:rsidRPr="008B51CB" w:rsidRDefault="00677C17" w:rsidP="00677C17">
      <w:pPr>
        <w:jc w:val="both"/>
        <w:rPr>
          <w:iCs/>
          <w:lang w:val="sq-AL"/>
        </w:rPr>
      </w:pPr>
    </w:p>
    <w:p w:rsidR="00926217" w:rsidRDefault="00FF5230" w:rsidP="00550A02">
      <w:pPr>
        <w:numPr>
          <w:ilvl w:val="0"/>
          <w:numId w:val="27"/>
        </w:numPr>
        <w:jc w:val="both"/>
        <w:rPr>
          <w:lang w:val="sq-AL"/>
        </w:rPr>
      </w:pPr>
      <w:r w:rsidRPr="00187D35">
        <w:rPr>
          <w:lang w:val="sq-AL"/>
        </w:rPr>
        <w:t xml:space="preserve">Rreth </w:t>
      </w:r>
      <w:r w:rsidR="00926217" w:rsidRPr="00187D35">
        <w:rPr>
          <w:lang w:val="sq-AL"/>
        </w:rPr>
        <w:t>105.6</w:t>
      </w:r>
      <w:r w:rsidRPr="00187D35">
        <w:rPr>
          <w:lang w:val="sq-AL"/>
        </w:rPr>
        <w:t xml:space="preserve"> milion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 lek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 ose rreth </w:t>
      </w:r>
      <w:r w:rsidR="009D18D9" w:rsidRPr="00187D35">
        <w:rPr>
          <w:lang w:val="sq-AL"/>
        </w:rPr>
        <w:t>5.39</w:t>
      </w:r>
      <w:r w:rsidRPr="00187D35">
        <w:rPr>
          <w:lang w:val="sq-AL"/>
        </w:rPr>
        <w:t xml:space="preserve"> p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>r</w:t>
      </w:r>
      <w:r w:rsidR="00385D65">
        <w:rPr>
          <w:lang w:val="sq-AL"/>
        </w:rPr>
        <w:t xml:space="preserve"> </w:t>
      </w:r>
      <w:r w:rsidRPr="00187D35">
        <w:rPr>
          <w:lang w:val="sq-AL"/>
        </w:rPr>
        <w:t xml:space="preserve">qind e </w:t>
      </w:r>
      <w:r w:rsidR="00950FB7" w:rsidRPr="00187D35">
        <w:rPr>
          <w:lang w:val="sq-AL"/>
        </w:rPr>
        <w:t>këtij</w:t>
      </w:r>
      <w:r w:rsidRPr="00187D35">
        <w:rPr>
          <w:lang w:val="sq-AL"/>
        </w:rPr>
        <w:t xml:space="preserve"> fondi i </w:t>
      </w:r>
      <w:r w:rsidR="00950FB7" w:rsidRPr="00187D35">
        <w:rPr>
          <w:lang w:val="sq-AL"/>
        </w:rPr>
        <w:t>është</w:t>
      </w:r>
      <w:r w:rsidRPr="00187D35">
        <w:rPr>
          <w:lang w:val="sq-AL"/>
        </w:rPr>
        <w:t xml:space="preserve"> dh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>n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 </w:t>
      </w:r>
      <w:r w:rsidRPr="00187D35">
        <w:rPr>
          <w:b/>
          <w:lang w:val="sq-AL"/>
        </w:rPr>
        <w:t>Ministris</w:t>
      </w:r>
      <w:r w:rsidR="00410EEB" w:rsidRPr="00187D35">
        <w:rPr>
          <w:b/>
          <w:lang w:val="sq-AL"/>
        </w:rPr>
        <w:t>ë</w:t>
      </w:r>
      <w:r w:rsidRPr="00187D35">
        <w:rPr>
          <w:b/>
          <w:lang w:val="sq-AL"/>
        </w:rPr>
        <w:t xml:space="preserve"> s</w:t>
      </w:r>
      <w:r w:rsidR="00410EEB" w:rsidRPr="00187D35">
        <w:rPr>
          <w:b/>
          <w:lang w:val="sq-AL"/>
        </w:rPr>
        <w:t>ë</w:t>
      </w:r>
      <w:r w:rsidRPr="00187D35">
        <w:rPr>
          <w:b/>
          <w:lang w:val="sq-AL"/>
        </w:rPr>
        <w:t xml:space="preserve"> Pun</w:t>
      </w:r>
      <w:r w:rsidR="00410EEB" w:rsidRPr="00187D35">
        <w:rPr>
          <w:b/>
          <w:lang w:val="sq-AL"/>
        </w:rPr>
        <w:t>ë</w:t>
      </w:r>
      <w:r w:rsidRPr="00187D35">
        <w:rPr>
          <w:b/>
          <w:lang w:val="sq-AL"/>
        </w:rPr>
        <w:t>ve t</w:t>
      </w:r>
      <w:r w:rsidR="00410EEB" w:rsidRPr="00187D35">
        <w:rPr>
          <w:b/>
          <w:lang w:val="sq-AL"/>
        </w:rPr>
        <w:t>ë</w:t>
      </w:r>
      <w:r w:rsidRPr="00187D35">
        <w:rPr>
          <w:b/>
          <w:lang w:val="sq-AL"/>
        </w:rPr>
        <w:t xml:space="preserve"> Jashtme</w:t>
      </w:r>
      <w:r w:rsidR="005A73BD" w:rsidRPr="00187D35">
        <w:rPr>
          <w:b/>
          <w:lang w:val="sq-AL"/>
        </w:rPr>
        <w:t xml:space="preserve">, </w:t>
      </w:r>
      <w:r w:rsidR="005A73BD" w:rsidRPr="00187D35">
        <w:rPr>
          <w:lang w:val="sq-AL"/>
        </w:rPr>
        <w:t>n</w:t>
      </w:r>
      <w:r w:rsidR="00410EEB" w:rsidRPr="00187D35">
        <w:rPr>
          <w:lang w:val="sq-AL"/>
        </w:rPr>
        <w:t>ë</w:t>
      </w:r>
      <w:r w:rsidR="005A73BD" w:rsidRPr="00187D35">
        <w:rPr>
          <w:lang w:val="sq-AL"/>
        </w:rPr>
        <w:t>p</w:t>
      </w:r>
      <w:r w:rsidR="00410EEB" w:rsidRPr="00187D35">
        <w:rPr>
          <w:lang w:val="sq-AL"/>
        </w:rPr>
        <w:t>ë</w:t>
      </w:r>
      <w:r w:rsidR="005A73BD" w:rsidRPr="00187D35">
        <w:rPr>
          <w:lang w:val="sq-AL"/>
        </w:rPr>
        <w:t xml:space="preserve">rmjet </w:t>
      </w:r>
      <w:r w:rsidR="00926217" w:rsidRPr="00187D35">
        <w:rPr>
          <w:lang w:val="sq-AL"/>
        </w:rPr>
        <w:t>tre</w:t>
      </w:r>
      <w:r w:rsidR="005A73BD" w:rsidRPr="00187D35">
        <w:rPr>
          <w:lang w:val="sq-AL"/>
        </w:rPr>
        <w:t xml:space="preserve"> </w:t>
      </w:r>
      <w:r w:rsidR="00385D65">
        <w:rPr>
          <w:lang w:val="sq-AL"/>
        </w:rPr>
        <w:t>V</w:t>
      </w:r>
      <w:r w:rsidR="005A73BD" w:rsidRPr="00187D35">
        <w:rPr>
          <w:lang w:val="sq-AL"/>
        </w:rPr>
        <w:t>endimeve t</w:t>
      </w:r>
      <w:r w:rsidR="00385D65">
        <w:rPr>
          <w:lang w:val="sq-AL"/>
        </w:rPr>
        <w:t>ë</w:t>
      </w:r>
      <w:r w:rsidR="005A73BD" w:rsidRPr="00187D35">
        <w:rPr>
          <w:lang w:val="sq-AL"/>
        </w:rPr>
        <w:t xml:space="preserve"> K</w:t>
      </w:r>
      <w:r w:rsidR="00410EEB" w:rsidRPr="00187D35">
        <w:rPr>
          <w:lang w:val="sq-AL"/>
        </w:rPr>
        <w:t>ë</w:t>
      </w:r>
      <w:r w:rsidR="005A73BD" w:rsidRPr="00187D35">
        <w:rPr>
          <w:lang w:val="sq-AL"/>
        </w:rPr>
        <w:t>shillit t</w:t>
      </w:r>
      <w:r w:rsidR="00410EEB" w:rsidRPr="00187D35">
        <w:rPr>
          <w:lang w:val="sq-AL"/>
        </w:rPr>
        <w:t>ë</w:t>
      </w:r>
      <w:r w:rsidR="005A73BD" w:rsidRPr="00187D35">
        <w:rPr>
          <w:lang w:val="sq-AL"/>
        </w:rPr>
        <w:t xml:space="preserve"> Ministrave e konkretisht, p</w:t>
      </w:r>
      <w:r w:rsidR="00410EEB" w:rsidRPr="00187D35">
        <w:rPr>
          <w:lang w:val="sq-AL"/>
        </w:rPr>
        <w:t>ë</w:t>
      </w:r>
      <w:r w:rsidR="005A73BD" w:rsidRPr="00187D35">
        <w:rPr>
          <w:lang w:val="sq-AL"/>
        </w:rPr>
        <w:t>r pages</w:t>
      </w:r>
      <w:r w:rsidR="00410EEB" w:rsidRPr="00187D35">
        <w:rPr>
          <w:lang w:val="sq-AL"/>
        </w:rPr>
        <w:t>ë</w:t>
      </w:r>
      <w:r w:rsidR="005A73BD" w:rsidRPr="00187D35">
        <w:rPr>
          <w:lang w:val="sq-AL"/>
        </w:rPr>
        <w:t>n e kontributeve financiare t</w:t>
      </w:r>
      <w:r w:rsidR="00410EEB" w:rsidRPr="00187D35">
        <w:rPr>
          <w:lang w:val="sq-AL"/>
        </w:rPr>
        <w:t>ë</w:t>
      </w:r>
      <w:r w:rsidR="005A73BD" w:rsidRPr="00187D35">
        <w:rPr>
          <w:lang w:val="sq-AL"/>
        </w:rPr>
        <w:t xml:space="preserve"> NATO-s, </w:t>
      </w:r>
      <w:r w:rsidR="00950FB7" w:rsidRPr="00187D35">
        <w:rPr>
          <w:lang w:val="sq-AL"/>
        </w:rPr>
        <w:t>për</w:t>
      </w:r>
      <w:r w:rsidR="005A73BD" w:rsidRPr="00187D35">
        <w:rPr>
          <w:lang w:val="sq-AL"/>
        </w:rPr>
        <w:t xml:space="preserve"> </w:t>
      </w:r>
      <w:r w:rsidR="00950FB7" w:rsidRPr="00187D35">
        <w:rPr>
          <w:lang w:val="sq-AL"/>
        </w:rPr>
        <w:t>selinë</w:t>
      </w:r>
      <w:r w:rsidR="005A73BD" w:rsidRPr="00187D35">
        <w:rPr>
          <w:lang w:val="sq-AL"/>
        </w:rPr>
        <w:t xml:space="preserve"> e re</w:t>
      </w:r>
      <w:r w:rsidR="00CD0664" w:rsidRPr="00187D35">
        <w:rPr>
          <w:lang w:val="sq-AL"/>
        </w:rPr>
        <w:t>,</w:t>
      </w:r>
      <w:r w:rsidR="005A73BD" w:rsidRPr="00187D35">
        <w:rPr>
          <w:lang w:val="sq-AL"/>
        </w:rPr>
        <w:t xml:space="preserve"> p</w:t>
      </w:r>
      <w:r w:rsidR="00410EEB" w:rsidRPr="00187D35">
        <w:rPr>
          <w:lang w:val="sq-AL"/>
        </w:rPr>
        <w:t>ë</w:t>
      </w:r>
      <w:r w:rsidR="005A73BD" w:rsidRPr="00187D35">
        <w:rPr>
          <w:lang w:val="sq-AL"/>
        </w:rPr>
        <w:t>r vitin 2012</w:t>
      </w:r>
      <w:r w:rsidR="00385D65">
        <w:rPr>
          <w:lang w:val="sq-AL"/>
        </w:rPr>
        <w:t>,</w:t>
      </w:r>
      <w:r w:rsidR="00CD0664" w:rsidRPr="00187D35">
        <w:rPr>
          <w:lang w:val="sq-AL"/>
        </w:rPr>
        <w:t xml:space="preserve"> n</w:t>
      </w:r>
      <w:r w:rsidR="00410EEB" w:rsidRPr="00187D35">
        <w:rPr>
          <w:lang w:val="sq-AL"/>
        </w:rPr>
        <w:t>ë</w:t>
      </w:r>
      <w:r w:rsidR="00CD0664" w:rsidRPr="00187D35">
        <w:rPr>
          <w:lang w:val="sq-AL"/>
        </w:rPr>
        <w:t xml:space="preserve"> shum</w:t>
      </w:r>
      <w:r w:rsidR="00410EEB" w:rsidRPr="00187D35">
        <w:rPr>
          <w:lang w:val="sq-AL"/>
        </w:rPr>
        <w:t>ë</w:t>
      </w:r>
      <w:r w:rsidR="00CD0664" w:rsidRPr="00187D35">
        <w:rPr>
          <w:lang w:val="sq-AL"/>
        </w:rPr>
        <w:t>n prej rreth 74.3 milion</w:t>
      </w:r>
      <w:r w:rsidR="00410EEB" w:rsidRPr="00187D35">
        <w:rPr>
          <w:lang w:val="sq-AL"/>
        </w:rPr>
        <w:t>ë</w:t>
      </w:r>
      <w:r w:rsidR="00CD0664" w:rsidRPr="00187D35">
        <w:rPr>
          <w:lang w:val="sq-AL"/>
        </w:rPr>
        <w:t xml:space="preserve"> lek</w:t>
      </w:r>
      <w:r w:rsidR="00410EEB" w:rsidRPr="00187D35">
        <w:rPr>
          <w:lang w:val="sq-AL"/>
        </w:rPr>
        <w:t>ë</w:t>
      </w:r>
      <w:r w:rsidR="00926217" w:rsidRPr="00187D35">
        <w:rPr>
          <w:lang w:val="sq-AL"/>
        </w:rPr>
        <w:t>;</w:t>
      </w:r>
      <w:r w:rsidR="00CD0664" w:rsidRPr="00187D35">
        <w:rPr>
          <w:lang w:val="sq-AL"/>
        </w:rPr>
        <w:t xml:space="preserve"> p</w:t>
      </w:r>
      <w:r w:rsidR="00410EEB" w:rsidRPr="00187D35">
        <w:rPr>
          <w:lang w:val="sq-AL"/>
        </w:rPr>
        <w:t>ë</w:t>
      </w:r>
      <w:r w:rsidR="00CD0664" w:rsidRPr="00187D35">
        <w:rPr>
          <w:lang w:val="sq-AL"/>
        </w:rPr>
        <w:t xml:space="preserve">r </w:t>
      </w:r>
      <w:r w:rsidR="00950FB7" w:rsidRPr="00187D35">
        <w:rPr>
          <w:lang w:val="sq-AL"/>
        </w:rPr>
        <w:t>dhënien</w:t>
      </w:r>
      <w:r w:rsidR="00CD0664" w:rsidRPr="00187D35">
        <w:rPr>
          <w:lang w:val="sq-AL"/>
        </w:rPr>
        <w:t xml:space="preserve"> e ndihm</w:t>
      </w:r>
      <w:r w:rsidR="00410EEB" w:rsidRPr="00187D35">
        <w:rPr>
          <w:lang w:val="sq-AL"/>
        </w:rPr>
        <w:t>ë</w:t>
      </w:r>
      <w:r w:rsidR="00CD0664" w:rsidRPr="00187D35">
        <w:rPr>
          <w:lang w:val="sq-AL"/>
        </w:rPr>
        <w:t>s financiare qeveris</w:t>
      </w:r>
      <w:r w:rsidR="00410EEB" w:rsidRPr="00187D35">
        <w:rPr>
          <w:lang w:val="sq-AL"/>
        </w:rPr>
        <w:t>ë</w:t>
      </w:r>
      <w:r w:rsidR="00CD0664" w:rsidRPr="00187D35">
        <w:rPr>
          <w:lang w:val="sq-AL"/>
        </w:rPr>
        <w:t xml:space="preserve"> turke, p</w:t>
      </w:r>
      <w:r w:rsidR="00410EEB" w:rsidRPr="00187D35">
        <w:rPr>
          <w:lang w:val="sq-AL"/>
        </w:rPr>
        <w:t>ë</w:t>
      </w:r>
      <w:r w:rsidR="00CD0664" w:rsidRPr="00187D35">
        <w:rPr>
          <w:lang w:val="sq-AL"/>
        </w:rPr>
        <w:t>r emigrant</w:t>
      </w:r>
      <w:r w:rsidR="00410EEB" w:rsidRPr="00187D35">
        <w:rPr>
          <w:lang w:val="sq-AL"/>
        </w:rPr>
        <w:t>ë</w:t>
      </w:r>
      <w:r w:rsidR="00CD0664" w:rsidRPr="00187D35">
        <w:rPr>
          <w:lang w:val="sq-AL"/>
        </w:rPr>
        <w:t>t sirian</w:t>
      </w:r>
      <w:r w:rsidR="00410EEB" w:rsidRPr="00187D35">
        <w:rPr>
          <w:lang w:val="sq-AL"/>
        </w:rPr>
        <w:t>ë</w:t>
      </w:r>
      <w:r w:rsidR="00CD0664" w:rsidRPr="00187D35">
        <w:rPr>
          <w:lang w:val="sq-AL"/>
        </w:rPr>
        <w:t xml:space="preserve"> n</w:t>
      </w:r>
      <w:r w:rsidR="00410EEB" w:rsidRPr="00187D35">
        <w:rPr>
          <w:lang w:val="sq-AL"/>
        </w:rPr>
        <w:t>ë</w:t>
      </w:r>
      <w:r w:rsidR="00CD0664" w:rsidRPr="00187D35">
        <w:rPr>
          <w:lang w:val="sq-AL"/>
        </w:rPr>
        <w:t xml:space="preserve"> shum</w:t>
      </w:r>
      <w:r w:rsidR="00410EEB" w:rsidRPr="00187D35">
        <w:rPr>
          <w:lang w:val="sq-AL"/>
        </w:rPr>
        <w:t>ë</w:t>
      </w:r>
      <w:r w:rsidR="00CD0664" w:rsidRPr="00187D35">
        <w:rPr>
          <w:lang w:val="sq-AL"/>
        </w:rPr>
        <w:t>n prej rreth 11.0 milion</w:t>
      </w:r>
      <w:r w:rsidR="00410EEB" w:rsidRPr="00187D35">
        <w:rPr>
          <w:lang w:val="sq-AL"/>
        </w:rPr>
        <w:t>ë</w:t>
      </w:r>
      <w:r w:rsidR="00CD0664" w:rsidRPr="00187D35">
        <w:rPr>
          <w:lang w:val="sq-AL"/>
        </w:rPr>
        <w:t xml:space="preserve"> lek</w:t>
      </w:r>
      <w:r w:rsidR="00410EEB" w:rsidRPr="00187D35">
        <w:rPr>
          <w:lang w:val="sq-AL"/>
        </w:rPr>
        <w:t>ë</w:t>
      </w:r>
      <w:r w:rsidR="00385D65">
        <w:rPr>
          <w:lang w:val="sq-AL"/>
        </w:rPr>
        <w:t>sh; si</w:t>
      </w:r>
      <w:r w:rsidR="00926217" w:rsidRPr="00187D35">
        <w:rPr>
          <w:lang w:val="sq-AL"/>
        </w:rPr>
        <w:t xml:space="preserve"> dhe p</w:t>
      </w:r>
      <w:r w:rsidR="00410EEB" w:rsidRPr="00187D35">
        <w:rPr>
          <w:lang w:val="sq-AL"/>
        </w:rPr>
        <w:t>ë</w:t>
      </w:r>
      <w:r w:rsidR="00926217" w:rsidRPr="00187D35">
        <w:rPr>
          <w:lang w:val="sq-AL"/>
        </w:rPr>
        <w:t>r shlyerjen e detyrimeve t</w:t>
      </w:r>
      <w:r w:rsidR="00410EEB" w:rsidRPr="00187D35">
        <w:rPr>
          <w:lang w:val="sq-AL"/>
        </w:rPr>
        <w:t>ë</w:t>
      </w:r>
      <w:r w:rsidR="00926217" w:rsidRPr="00187D35">
        <w:rPr>
          <w:lang w:val="sq-AL"/>
        </w:rPr>
        <w:t xml:space="preserve"> prapambetura t</w:t>
      </w:r>
      <w:r w:rsidR="00410EEB" w:rsidRPr="00187D35">
        <w:rPr>
          <w:lang w:val="sq-AL"/>
        </w:rPr>
        <w:t>ë</w:t>
      </w:r>
      <w:r w:rsidR="00926217" w:rsidRPr="00187D35">
        <w:rPr>
          <w:lang w:val="sq-AL"/>
        </w:rPr>
        <w:t xml:space="preserve"> festimeve t</w:t>
      </w:r>
      <w:r w:rsidR="00410EEB" w:rsidRPr="00187D35">
        <w:rPr>
          <w:lang w:val="sq-AL"/>
        </w:rPr>
        <w:t>ë</w:t>
      </w:r>
      <w:r w:rsidR="00846FAD" w:rsidRPr="00187D35">
        <w:rPr>
          <w:lang w:val="sq-AL"/>
        </w:rPr>
        <w:t xml:space="preserve"> 100-vjetorit të</w:t>
      </w:r>
      <w:r w:rsidR="00926217" w:rsidRPr="00187D35">
        <w:rPr>
          <w:lang w:val="sq-AL"/>
        </w:rPr>
        <w:t xml:space="preserve"> </w:t>
      </w:r>
      <w:r w:rsidR="00950FB7" w:rsidRPr="00187D35">
        <w:rPr>
          <w:lang w:val="sq-AL"/>
        </w:rPr>
        <w:t>pavarësisë</w:t>
      </w:r>
      <w:r w:rsidR="00926217" w:rsidRPr="00187D35">
        <w:rPr>
          <w:lang w:val="sq-AL"/>
        </w:rPr>
        <w:t>, n</w:t>
      </w:r>
      <w:r w:rsidR="00410EEB" w:rsidRPr="00187D35">
        <w:rPr>
          <w:lang w:val="sq-AL"/>
        </w:rPr>
        <w:t>ë</w:t>
      </w:r>
      <w:r w:rsidR="00846FAD" w:rsidRPr="00187D35">
        <w:rPr>
          <w:lang w:val="sq-AL"/>
        </w:rPr>
        <w:t xml:space="preserve"> s</w:t>
      </w:r>
      <w:r w:rsidR="00926217" w:rsidRPr="00187D35">
        <w:rPr>
          <w:lang w:val="sq-AL"/>
        </w:rPr>
        <w:t>hum</w:t>
      </w:r>
      <w:r w:rsidR="00410EEB" w:rsidRPr="00187D35">
        <w:rPr>
          <w:lang w:val="sq-AL"/>
        </w:rPr>
        <w:t>ë</w:t>
      </w:r>
      <w:r w:rsidR="00926217" w:rsidRPr="00187D35">
        <w:rPr>
          <w:lang w:val="sq-AL"/>
        </w:rPr>
        <w:t>n prej rreth 20.3 milion</w:t>
      </w:r>
      <w:r w:rsidR="00410EEB" w:rsidRPr="00187D35">
        <w:rPr>
          <w:lang w:val="sq-AL"/>
        </w:rPr>
        <w:t>ë</w:t>
      </w:r>
      <w:r w:rsidR="00926217" w:rsidRPr="00187D35">
        <w:rPr>
          <w:lang w:val="sq-AL"/>
        </w:rPr>
        <w:t xml:space="preserve"> lek</w:t>
      </w:r>
      <w:r w:rsidR="00410EEB" w:rsidRPr="00187D35">
        <w:rPr>
          <w:lang w:val="sq-AL"/>
        </w:rPr>
        <w:t>ë</w:t>
      </w:r>
      <w:r w:rsidR="00926217" w:rsidRPr="00187D35">
        <w:rPr>
          <w:lang w:val="sq-AL"/>
        </w:rPr>
        <w:t>.</w:t>
      </w:r>
    </w:p>
    <w:p w:rsidR="00677C17" w:rsidRPr="008B51CB" w:rsidRDefault="00677C17" w:rsidP="00677C17">
      <w:pPr>
        <w:jc w:val="both"/>
        <w:rPr>
          <w:lang w:val="sq-AL"/>
        </w:rPr>
      </w:pPr>
    </w:p>
    <w:p w:rsidR="00E61CAF" w:rsidRDefault="00361944" w:rsidP="00361944">
      <w:pPr>
        <w:numPr>
          <w:ilvl w:val="0"/>
          <w:numId w:val="27"/>
        </w:numPr>
        <w:jc w:val="both"/>
        <w:rPr>
          <w:lang w:val="sq-AL"/>
        </w:rPr>
      </w:pPr>
      <w:r w:rsidRPr="00187D35">
        <w:rPr>
          <w:lang w:val="sq-AL"/>
        </w:rPr>
        <w:t xml:space="preserve">Rreth </w:t>
      </w:r>
      <w:r w:rsidR="00A94C93" w:rsidRPr="00187D35">
        <w:rPr>
          <w:lang w:val="sq-AL"/>
        </w:rPr>
        <w:t>165.4</w:t>
      </w:r>
      <w:r w:rsidRPr="00187D35">
        <w:rPr>
          <w:lang w:val="sq-AL"/>
        </w:rPr>
        <w:t xml:space="preserve"> milion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 lek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 ose rreth </w:t>
      </w:r>
      <w:r w:rsidR="00A94C93" w:rsidRPr="00187D35">
        <w:rPr>
          <w:lang w:val="sq-AL"/>
        </w:rPr>
        <w:t>11.1</w:t>
      </w:r>
      <w:r w:rsidRPr="00187D35">
        <w:rPr>
          <w:lang w:val="sq-AL"/>
        </w:rPr>
        <w:t xml:space="preserve"> p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>r</w:t>
      </w:r>
      <w:r w:rsidR="00385D65">
        <w:rPr>
          <w:lang w:val="sq-AL"/>
        </w:rPr>
        <w:t xml:space="preserve"> </w:t>
      </w:r>
      <w:r w:rsidRPr="00187D35">
        <w:rPr>
          <w:lang w:val="sq-AL"/>
        </w:rPr>
        <w:t>qind e k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tij fondi i 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>sht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 dh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>n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 </w:t>
      </w:r>
      <w:r w:rsidRPr="00187D35">
        <w:rPr>
          <w:b/>
          <w:lang w:val="sq-AL"/>
        </w:rPr>
        <w:t>Ministris</w:t>
      </w:r>
      <w:r w:rsidR="00410EEB" w:rsidRPr="00187D35">
        <w:rPr>
          <w:b/>
          <w:lang w:val="sq-AL"/>
        </w:rPr>
        <w:t>ë</w:t>
      </w:r>
      <w:r w:rsidRPr="00187D35">
        <w:rPr>
          <w:b/>
          <w:lang w:val="sq-AL"/>
        </w:rPr>
        <w:t xml:space="preserve"> s</w:t>
      </w:r>
      <w:r w:rsidR="00385D65">
        <w:rPr>
          <w:b/>
          <w:lang w:val="sq-AL"/>
        </w:rPr>
        <w:t>ë</w:t>
      </w:r>
      <w:r w:rsidRPr="00187D35">
        <w:rPr>
          <w:b/>
          <w:lang w:val="sq-AL"/>
        </w:rPr>
        <w:t xml:space="preserve"> </w:t>
      </w:r>
      <w:r w:rsidR="00950FB7" w:rsidRPr="00187D35">
        <w:rPr>
          <w:b/>
          <w:lang w:val="sq-AL"/>
        </w:rPr>
        <w:t>Brendshme</w:t>
      </w:r>
      <w:r w:rsidRPr="00187D35">
        <w:rPr>
          <w:lang w:val="sq-AL"/>
        </w:rPr>
        <w:t xml:space="preserve"> </w:t>
      </w:r>
      <w:r w:rsidR="00943901" w:rsidRPr="00187D35">
        <w:rPr>
          <w:lang w:val="sq-AL"/>
        </w:rPr>
        <w:t>n</w:t>
      </w:r>
      <w:r w:rsidR="00410EEB" w:rsidRPr="00187D35">
        <w:rPr>
          <w:lang w:val="sq-AL"/>
        </w:rPr>
        <w:t>ë</w:t>
      </w:r>
      <w:r w:rsidR="00943901" w:rsidRPr="00187D35">
        <w:rPr>
          <w:lang w:val="sq-AL"/>
        </w:rPr>
        <w:t>p</w:t>
      </w:r>
      <w:r w:rsidR="00410EEB" w:rsidRPr="00187D35">
        <w:rPr>
          <w:lang w:val="sq-AL"/>
        </w:rPr>
        <w:t>ë</w:t>
      </w:r>
      <w:r w:rsidR="00943901" w:rsidRPr="00187D35">
        <w:rPr>
          <w:lang w:val="sq-AL"/>
        </w:rPr>
        <w:t>rmjet vendim</w:t>
      </w:r>
      <w:r w:rsidR="00A94C93" w:rsidRPr="00187D35">
        <w:rPr>
          <w:lang w:val="sq-AL"/>
        </w:rPr>
        <w:t>it p</w:t>
      </w:r>
      <w:r w:rsidR="009B1780" w:rsidRPr="00187D35">
        <w:rPr>
          <w:lang w:val="sq-AL"/>
        </w:rPr>
        <w:t>ë</w:t>
      </w:r>
      <w:r w:rsidR="00A94C93" w:rsidRPr="00187D35">
        <w:rPr>
          <w:lang w:val="sq-AL"/>
        </w:rPr>
        <w:t>r financimin e mbulimin e shpenzimeve t</w:t>
      </w:r>
      <w:r w:rsidR="009B1780" w:rsidRPr="00187D35">
        <w:rPr>
          <w:lang w:val="sq-AL"/>
        </w:rPr>
        <w:t>ë</w:t>
      </w:r>
      <w:r w:rsidR="00A94C93" w:rsidRPr="00187D35">
        <w:rPr>
          <w:lang w:val="sq-AL"/>
        </w:rPr>
        <w:t xml:space="preserve"> kryera gjat</w:t>
      </w:r>
      <w:r w:rsidR="009B1780" w:rsidRPr="00187D35">
        <w:rPr>
          <w:lang w:val="sq-AL"/>
        </w:rPr>
        <w:t>ë</w:t>
      </w:r>
      <w:r w:rsidR="00A94C93" w:rsidRPr="00187D35">
        <w:rPr>
          <w:lang w:val="sq-AL"/>
        </w:rPr>
        <w:t xml:space="preserve"> operacionit policor n</w:t>
      </w:r>
      <w:r w:rsidR="009B1780" w:rsidRPr="00187D35">
        <w:rPr>
          <w:lang w:val="sq-AL"/>
        </w:rPr>
        <w:t>ë</w:t>
      </w:r>
      <w:r w:rsidR="00A94C93" w:rsidRPr="00187D35">
        <w:rPr>
          <w:lang w:val="sq-AL"/>
        </w:rPr>
        <w:t xml:space="preserve"> Lazarat</w:t>
      </w:r>
      <w:r w:rsidR="00385D65">
        <w:rPr>
          <w:lang w:val="sq-AL"/>
        </w:rPr>
        <w:t>.</w:t>
      </w:r>
    </w:p>
    <w:p w:rsidR="00677C17" w:rsidRPr="008B51CB" w:rsidRDefault="00677C17" w:rsidP="00677C17">
      <w:pPr>
        <w:jc w:val="both"/>
        <w:rPr>
          <w:lang w:val="sq-AL"/>
        </w:rPr>
      </w:pPr>
    </w:p>
    <w:p w:rsidR="003E46DE" w:rsidRPr="00310932" w:rsidRDefault="00943AC5" w:rsidP="00846FAD">
      <w:pPr>
        <w:numPr>
          <w:ilvl w:val="0"/>
          <w:numId w:val="27"/>
        </w:numPr>
        <w:jc w:val="both"/>
        <w:rPr>
          <w:lang w:val="sq-AL"/>
        </w:rPr>
      </w:pPr>
      <w:r w:rsidRPr="00310932">
        <w:rPr>
          <w:lang w:val="sq-AL"/>
        </w:rPr>
        <w:t xml:space="preserve">Rreth </w:t>
      </w:r>
      <w:r w:rsidR="00A94C93" w:rsidRPr="00310932">
        <w:rPr>
          <w:lang w:val="sq-AL"/>
        </w:rPr>
        <w:t>13</w:t>
      </w:r>
      <w:r w:rsidRPr="00310932">
        <w:rPr>
          <w:lang w:val="sq-AL"/>
        </w:rPr>
        <w:t xml:space="preserve"> milion</w:t>
      </w:r>
      <w:r w:rsidR="00410EEB" w:rsidRPr="00310932">
        <w:rPr>
          <w:lang w:val="sq-AL"/>
        </w:rPr>
        <w:t>ë</w:t>
      </w:r>
      <w:r w:rsidR="00FB47AF" w:rsidRPr="00310932">
        <w:rPr>
          <w:lang w:val="sq-AL"/>
        </w:rPr>
        <w:t xml:space="preserve"> </w:t>
      </w:r>
      <w:r w:rsidRPr="00310932">
        <w:rPr>
          <w:lang w:val="sq-AL"/>
        </w:rPr>
        <w:t>lek</w:t>
      </w:r>
      <w:r w:rsidR="00410EEB" w:rsidRPr="00310932">
        <w:rPr>
          <w:lang w:val="sq-AL"/>
        </w:rPr>
        <w:t>ë</w:t>
      </w:r>
      <w:r w:rsidRPr="00310932">
        <w:rPr>
          <w:lang w:val="sq-AL"/>
        </w:rPr>
        <w:t xml:space="preserve"> ose rreth </w:t>
      </w:r>
      <w:r w:rsidR="00A94C93" w:rsidRPr="00310932">
        <w:rPr>
          <w:lang w:val="sq-AL"/>
        </w:rPr>
        <w:t>0.9</w:t>
      </w:r>
      <w:r w:rsidRPr="00310932">
        <w:rPr>
          <w:lang w:val="sq-AL"/>
        </w:rPr>
        <w:t xml:space="preserve"> p</w:t>
      </w:r>
      <w:r w:rsidR="00410EEB" w:rsidRPr="00310932">
        <w:rPr>
          <w:lang w:val="sq-AL"/>
        </w:rPr>
        <w:t>ë</w:t>
      </w:r>
      <w:r w:rsidRPr="00310932">
        <w:rPr>
          <w:lang w:val="sq-AL"/>
        </w:rPr>
        <w:t>r</w:t>
      </w:r>
      <w:r w:rsidR="00385D65" w:rsidRPr="00310932">
        <w:rPr>
          <w:lang w:val="sq-AL"/>
        </w:rPr>
        <w:t xml:space="preserve"> </w:t>
      </w:r>
      <w:r w:rsidRPr="00310932">
        <w:rPr>
          <w:lang w:val="sq-AL"/>
        </w:rPr>
        <w:t>qind e fondit rezerv</w:t>
      </w:r>
      <w:r w:rsidR="00410EEB" w:rsidRPr="00310932">
        <w:rPr>
          <w:lang w:val="sq-AL"/>
        </w:rPr>
        <w:t>ë</w:t>
      </w:r>
      <w:r w:rsidRPr="00310932">
        <w:rPr>
          <w:lang w:val="sq-AL"/>
        </w:rPr>
        <w:t xml:space="preserve"> t</w:t>
      </w:r>
      <w:r w:rsidR="00410EEB" w:rsidRPr="00310932">
        <w:rPr>
          <w:lang w:val="sq-AL"/>
        </w:rPr>
        <w:t>ë</w:t>
      </w:r>
      <w:r w:rsidRPr="00310932">
        <w:rPr>
          <w:lang w:val="sq-AL"/>
        </w:rPr>
        <w:t xml:space="preserve"> buxhetit t</w:t>
      </w:r>
      <w:r w:rsidR="00410EEB" w:rsidRPr="00310932">
        <w:rPr>
          <w:lang w:val="sq-AL"/>
        </w:rPr>
        <w:t>ë</w:t>
      </w:r>
      <w:r w:rsidRPr="00310932">
        <w:rPr>
          <w:lang w:val="sq-AL"/>
        </w:rPr>
        <w:t xml:space="preserve"> shtetit </w:t>
      </w:r>
      <w:r w:rsidR="00410EEB" w:rsidRPr="00310932">
        <w:rPr>
          <w:lang w:val="sq-AL"/>
        </w:rPr>
        <w:t>ë</w:t>
      </w:r>
      <w:r w:rsidRPr="00310932">
        <w:rPr>
          <w:lang w:val="sq-AL"/>
        </w:rPr>
        <w:t>sht</w:t>
      </w:r>
      <w:r w:rsidR="00410EEB" w:rsidRPr="00310932">
        <w:rPr>
          <w:lang w:val="sq-AL"/>
        </w:rPr>
        <w:t>ë</w:t>
      </w:r>
      <w:r w:rsidRPr="00310932">
        <w:rPr>
          <w:lang w:val="sq-AL"/>
        </w:rPr>
        <w:t xml:space="preserve"> p</w:t>
      </w:r>
      <w:r w:rsidR="00410EEB" w:rsidRPr="00310932">
        <w:rPr>
          <w:lang w:val="sq-AL"/>
        </w:rPr>
        <w:t>ë</w:t>
      </w:r>
      <w:r w:rsidRPr="00310932">
        <w:rPr>
          <w:lang w:val="sq-AL"/>
        </w:rPr>
        <w:t>rdorur n</w:t>
      </w:r>
      <w:r w:rsidR="00410EEB" w:rsidRPr="00310932">
        <w:rPr>
          <w:lang w:val="sq-AL"/>
        </w:rPr>
        <w:t>ë</w:t>
      </w:r>
      <w:r w:rsidRPr="00310932">
        <w:rPr>
          <w:lang w:val="sq-AL"/>
        </w:rPr>
        <w:t>p</w:t>
      </w:r>
      <w:r w:rsidR="00410EEB" w:rsidRPr="00310932">
        <w:rPr>
          <w:lang w:val="sq-AL"/>
        </w:rPr>
        <w:t>ë</w:t>
      </w:r>
      <w:r w:rsidRPr="00310932">
        <w:rPr>
          <w:lang w:val="sq-AL"/>
        </w:rPr>
        <w:t>rmjet nj</w:t>
      </w:r>
      <w:r w:rsidR="00410EEB" w:rsidRPr="00310932">
        <w:rPr>
          <w:lang w:val="sq-AL"/>
        </w:rPr>
        <w:t>ë</w:t>
      </w:r>
      <w:r w:rsidRPr="00310932">
        <w:rPr>
          <w:lang w:val="sq-AL"/>
        </w:rPr>
        <w:t xml:space="preserve"> vendimi </w:t>
      </w:r>
      <w:r w:rsidR="002D6D9C" w:rsidRPr="00310932">
        <w:rPr>
          <w:lang w:val="sq-AL"/>
        </w:rPr>
        <w:t xml:space="preserve">nga </w:t>
      </w:r>
      <w:r w:rsidR="00A94C93" w:rsidRPr="00310932">
        <w:rPr>
          <w:b/>
          <w:lang w:val="sq-AL"/>
        </w:rPr>
        <w:t>Gjykat</w:t>
      </w:r>
      <w:r w:rsidR="002D6D9C" w:rsidRPr="00310932">
        <w:rPr>
          <w:b/>
          <w:lang w:val="sq-AL"/>
        </w:rPr>
        <w:t>a</w:t>
      </w:r>
      <w:r w:rsidR="00A94C93" w:rsidRPr="00310932">
        <w:rPr>
          <w:b/>
          <w:lang w:val="sq-AL"/>
        </w:rPr>
        <w:t xml:space="preserve"> Kushtetuese </w:t>
      </w:r>
      <w:r w:rsidR="00A94C93" w:rsidRPr="00310932">
        <w:rPr>
          <w:lang w:val="sq-AL"/>
        </w:rPr>
        <w:t>p</w:t>
      </w:r>
      <w:r w:rsidR="009B1780" w:rsidRPr="00310932">
        <w:rPr>
          <w:lang w:val="sq-AL"/>
        </w:rPr>
        <w:t>ë</w:t>
      </w:r>
      <w:r w:rsidR="00A94C93" w:rsidRPr="00310932">
        <w:rPr>
          <w:lang w:val="sq-AL"/>
        </w:rPr>
        <w:t>r shpenzime kapitale, p</w:t>
      </w:r>
      <w:r w:rsidR="009B1780" w:rsidRPr="00310932">
        <w:rPr>
          <w:lang w:val="sq-AL"/>
        </w:rPr>
        <w:t>ë</w:t>
      </w:r>
      <w:r w:rsidR="00A94C93" w:rsidRPr="00310932">
        <w:rPr>
          <w:lang w:val="sq-AL"/>
        </w:rPr>
        <w:t>r blerjen e nj</w:t>
      </w:r>
      <w:r w:rsidR="009B1780" w:rsidRPr="00310932">
        <w:rPr>
          <w:lang w:val="sq-AL"/>
        </w:rPr>
        <w:t>ë</w:t>
      </w:r>
      <w:r w:rsidR="00A94C93" w:rsidRPr="00310932">
        <w:rPr>
          <w:lang w:val="sq-AL"/>
        </w:rPr>
        <w:t xml:space="preserve"> automjeti.</w:t>
      </w:r>
      <w:r w:rsidR="00846FAD" w:rsidRPr="00310932">
        <w:rPr>
          <w:lang w:val="sq-AL"/>
        </w:rPr>
        <w:t xml:space="preserve"> </w:t>
      </w:r>
    </w:p>
    <w:p w:rsidR="00007669" w:rsidRPr="00187D35" w:rsidRDefault="00007669" w:rsidP="003752BC">
      <w:pPr>
        <w:jc w:val="both"/>
        <w:rPr>
          <w:bCs/>
          <w:highlight w:val="yellow"/>
          <w:lang w:val="sq-AL"/>
        </w:rPr>
      </w:pPr>
    </w:p>
    <w:p w:rsidR="008C20CE" w:rsidRPr="00187D35" w:rsidRDefault="008C20CE" w:rsidP="003F43D7">
      <w:pPr>
        <w:jc w:val="both"/>
        <w:rPr>
          <w:lang w:val="sq-AL"/>
        </w:rPr>
      </w:pPr>
      <w:r w:rsidRPr="00187D35">
        <w:rPr>
          <w:lang w:val="sq-AL"/>
        </w:rPr>
        <w:t>Mb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>shtetur n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 sa m</w:t>
      </w:r>
      <w:r w:rsidR="00385D65">
        <w:rPr>
          <w:lang w:val="sq-AL"/>
        </w:rPr>
        <w:t>ë</w:t>
      </w:r>
      <w:r w:rsidRPr="00187D35">
        <w:rPr>
          <w:lang w:val="sq-AL"/>
        </w:rPr>
        <w:t xml:space="preserve"> sip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r rezulton se: </w:t>
      </w:r>
    </w:p>
    <w:p w:rsidR="008C20CE" w:rsidRPr="00187D35" w:rsidRDefault="008C20CE" w:rsidP="003F43D7">
      <w:pPr>
        <w:jc w:val="both"/>
        <w:rPr>
          <w:b/>
          <w:u w:val="single"/>
          <w:lang w:val="sq-AL"/>
        </w:rPr>
      </w:pPr>
    </w:p>
    <w:p w:rsidR="008C20CE" w:rsidRPr="00187D35" w:rsidRDefault="00950FB7" w:rsidP="003F43D7">
      <w:pPr>
        <w:jc w:val="both"/>
        <w:rPr>
          <w:lang w:val="sq-AL"/>
        </w:rPr>
      </w:pPr>
      <w:r w:rsidRPr="00187D35">
        <w:rPr>
          <w:lang w:val="sq-AL"/>
        </w:rPr>
        <w:t>Gjendja</w:t>
      </w:r>
      <w:r w:rsidR="008C20CE" w:rsidRPr="00187D35">
        <w:rPr>
          <w:lang w:val="sq-AL"/>
        </w:rPr>
        <w:t xml:space="preserve"> e </w:t>
      </w:r>
      <w:r w:rsidR="003F43D7" w:rsidRPr="00187D35">
        <w:rPr>
          <w:lang w:val="sq-AL"/>
        </w:rPr>
        <w:t>fondi</w:t>
      </w:r>
      <w:r w:rsidR="008C20CE" w:rsidRPr="00187D35">
        <w:rPr>
          <w:lang w:val="sq-AL"/>
        </w:rPr>
        <w:t>t</w:t>
      </w:r>
      <w:r w:rsidR="003F43D7" w:rsidRPr="00187D35">
        <w:rPr>
          <w:lang w:val="sq-AL"/>
        </w:rPr>
        <w:t xml:space="preserve"> rezerv</w:t>
      </w:r>
      <w:r w:rsidR="00410EEB" w:rsidRPr="00187D35">
        <w:rPr>
          <w:lang w:val="sq-AL"/>
        </w:rPr>
        <w:t>ë</w:t>
      </w:r>
      <w:r w:rsidR="003F43D7" w:rsidRPr="00187D35">
        <w:rPr>
          <w:lang w:val="sq-AL"/>
        </w:rPr>
        <w:t xml:space="preserve"> </w:t>
      </w:r>
      <w:r w:rsidR="008C20CE" w:rsidRPr="00187D35">
        <w:rPr>
          <w:lang w:val="sq-AL"/>
        </w:rPr>
        <w:t>t</w:t>
      </w:r>
      <w:r w:rsidR="00410EEB" w:rsidRPr="00187D35">
        <w:rPr>
          <w:lang w:val="sq-AL"/>
        </w:rPr>
        <w:t>ë</w:t>
      </w:r>
      <w:r w:rsidR="008C20CE" w:rsidRPr="00187D35">
        <w:rPr>
          <w:lang w:val="sq-AL"/>
        </w:rPr>
        <w:t xml:space="preserve"> buxhetit t</w:t>
      </w:r>
      <w:r w:rsidR="00410EEB" w:rsidRPr="00187D35">
        <w:rPr>
          <w:lang w:val="sq-AL"/>
        </w:rPr>
        <w:t>ë</w:t>
      </w:r>
      <w:r w:rsidR="008C20CE" w:rsidRPr="00187D35">
        <w:rPr>
          <w:lang w:val="sq-AL"/>
        </w:rPr>
        <w:t xml:space="preserve"> shtetit, </w:t>
      </w:r>
      <w:r w:rsidR="008C20CE" w:rsidRPr="00187D35">
        <w:rPr>
          <w:u w:val="single"/>
          <w:lang w:val="sq-AL"/>
        </w:rPr>
        <w:t xml:space="preserve">e </w:t>
      </w:r>
      <w:r w:rsidR="007641BB" w:rsidRPr="00187D35">
        <w:rPr>
          <w:u w:val="single"/>
          <w:lang w:val="sq-AL"/>
        </w:rPr>
        <w:t>pap</w:t>
      </w:r>
      <w:r w:rsidR="00410EEB" w:rsidRPr="00187D35">
        <w:rPr>
          <w:u w:val="single"/>
          <w:lang w:val="sq-AL"/>
        </w:rPr>
        <w:t>ë</w:t>
      </w:r>
      <w:r w:rsidR="007641BB" w:rsidRPr="00187D35">
        <w:rPr>
          <w:u w:val="single"/>
          <w:lang w:val="sq-AL"/>
        </w:rPr>
        <w:t>rdorur</w:t>
      </w:r>
      <w:r w:rsidR="007641BB" w:rsidRPr="00187D35">
        <w:rPr>
          <w:lang w:val="sq-AL"/>
        </w:rPr>
        <w:t xml:space="preserve">, </w:t>
      </w:r>
      <w:r w:rsidR="003E46DE" w:rsidRPr="00187D35">
        <w:rPr>
          <w:lang w:val="sq-AL"/>
        </w:rPr>
        <w:t>m</w:t>
      </w:r>
      <w:r w:rsidR="00410EEB" w:rsidRPr="00187D35">
        <w:rPr>
          <w:lang w:val="sq-AL"/>
        </w:rPr>
        <w:t>ë</w:t>
      </w:r>
      <w:r w:rsidR="003E46DE" w:rsidRPr="00187D35">
        <w:rPr>
          <w:lang w:val="sq-AL"/>
        </w:rPr>
        <w:t xml:space="preserve"> </w:t>
      </w:r>
      <w:r w:rsidR="008C20CE" w:rsidRPr="00187D35">
        <w:rPr>
          <w:lang w:val="sq-AL"/>
        </w:rPr>
        <w:t>dat</w:t>
      </w:r>
      <w:r w:rsidR="00410EEB" w:rsidRPr="00187D35">
        <w:rPr>
          <w:lang w:val="sq-AL"/>
        </w:rPr>
        <w:t>ë</w:t>
      </w:r>
      <w:r w:rsidR="008C20CE" w:rsidRPr="00187D35">
        <w:rPr>
          <w:lang w:val="sq-AL"/>
        </w:rPr>
        <w:t xml:space="preserve"> </w:t>
      </w:r>
      <w:r w:rsidR="003E46DE" w:rsidRPr="00187D35">
        <w:rPr>
          <w:lang w:val="sq-AL"/>
        </w:rPr>
        <w:t>31 dhjetor</w:t>
      </w:r>
      <w:r w:rsidR="008C20CE" w:rsidRPr="00187D35">
        <w:rPr>
          <w:lang w:val="sq-AL"/>
        </w:rPr>
        <w:t xml:space="preserve"> 2013 </w:t>
      </w:r>
      <w:r w:rsidR="00410EEB" w:rsidRPr="00187D35">
        <w:rPr>
          <w:lang w:val="sq-AL"/>
        </w:rPr>
        <w:t>ë</w:t>
      </w:r>
      <w:r w:rsidR="008C20CE" w:rsidRPr="00187D35">
        <w:rPr>
          <w:lang w:val="sq-AL"/>
        </w:rPr>
        <w:t>sht</w:t>
      </w:r>
      <w:r w:rsidR="00410EEB" w:rsidRPr="00187D35">
        <w:rPr>
          <w:lang w:val="sq-AL"/>
        </w:rPr>
        <w:t>ë</w:t>
      </w:r>
      <w:r w:rsidR="008C20CE" w:rsidRPr="00187D35">
        <w:rPr>
          <w:lang w:val="sq-AL"/>
        </w:rPr>
        <w:t xml:space="preserve"> </w:t>
      </w:r>
      <w:r w:rsidR="00C2524C" w:rsidRPr="00187D35">
        <w:rPr>
          <w:u w:val="single"/>
          <w:lang w:val="sq-AL"/>
        </w:rPr>
        <w:t>7.58 milion</w:t>
      </w:r>
      <w:r w:rsidR="00385D65">
        <w:rPr>
          <w:u w:val="single"/>
          <w:lang w:val="sq-AL"/>
        </w:rPr>
        <w:t>ë</w:t>
      </w:r>
      <w:r w:rsidR="00C2524C" w:rsidRPr="00187D35">
        <w:rPr>
          <w:u w:val="single"/>
          <w:lang w:val="sq-AL"/>
        </w:rPr>
        <w:t xml:space="preserve"> </w:t>
      </w:r>
      <w:r w:rsidR="006B71EE" w:rsidRPr="00187D35">
        <w:rPr>
          <w:u w:val="single"/>
          <w:lang w:val="sq-AL"/>
        </w:rPr>
        <w:t>lek</w:t>
      </w:r>
      <w:r w:rsidR="00410EEB" w:rsidRPr="00187D35">
        <w:rPr>
          <w:u w:val="single"/>
          <w:lang w:val="sq-AL"/>
        </w:rPr>
        <w:t>ë</w:t>
      </w:r>
      <w:r w:rsidR="006B71EE" w:rsidRPr="00187D35">
        <w:rPr>
          <w:lang w:val="sq-AL"/>
        </w:rPr>
        <w:t>.</w:t>
      </w:r>
    </w:p>
    <w:p w:rsidR="008C20CE" w:rsidRPr="00187D35" w:rsidRDefault="003E46DE" w:rsidP="008C20CE">
      <w:pPr>
        <w:jc w:val="both"/>
        <w:rPr>
          <w:u w:val="single"/>
          <w:lang w:val="sq-AL"/>
        </w:rPr>
      </w:pPr>
      <w:r w:rsidRPr="00187D35">
        <w:rPr>
          <w:lang w:val="sq-AL"/>
        </w:rPr>
        <w:t>Fondet e miratuara p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>r t</w:t>
      </w:r>
      <w:r w:rsidR="00385D65">
        <w:rPr>
          <w:lang w:val="sq-AL"/>
        </w:rPr>
        <w:t>’</w:t>
      </w:r>
      <w:r w:rsidRPr="00187D35">
        <w:rPr>
          <w:lang w:val="sq-AL"/>
        </w:rPr>
        <w:t xml:space="preserve">u </w:t>
      </w:r>
      <w:r w:rsidR="00950FB7" w:rsidRPr="00187D35">
        <w:rPr>
          <w:lang w:val="sq-AL"/>
        </w:rPr>
        <w:t>përdorur</w:t>
      </w:r>
      <w:r w:rsidRPr="00187D35">
        <w:rPr>
          <w:lang w:val="sq-AL"/>
        </w:rPr>
        <w:t xml:space="preserve"> nga </w:t>
      </w:r>
      <w:r w:rsidR="008C20CE" w:rsidRPr="00187D35">
        <w:rPr>
          <w:lang w:val="sq-AL"/>
        </w:rPr>
        <w:t>fondi rezerv</w:t>
      </w:r>
      <w:r w:rsidR="00410EEB" w:rsidRPr="00187D35">
        <w:rPr>
          <w:lang w:val="sq-AL"/>
        </w:rPr>
        <w:t>ë</w:t>
      </w:r>
      <w:r w:rsidR="008C20CE" w:rsidRPr="00187D35">
        <w:rPr>
          <w:lang w:val="sq-AL"/>
        </w:rPr>
        <w:t xml:space="preserve"> </w:t>
      </w:r>
      <w:r w:rsidRPr="00187D35">
        <w:rPr>
          <w:lang w:val="sq-AL"/>
        </w:rPr>
        <w:t>i</w:t>
      </w:r>
      <w:r w:rsidR="008C20CE" w:rsidRPr="00187D35">
        <w:rPr>
          <w:lang w:val="sq-AL"/>
        </w:rPr>
        <w:t xml:space="preserve"> buxhetit t</w:t>
      </w:r>
      <w:r w:rsidR="00410EEB" w:rsidRPr="00187D35">
        <w:rPr>
          <w:lang w:val="sq-AL"/>
        </w:rPr>
        <w:t>ë</w:t>
      </w:r>
      <w:r w:rsidR="008C20CE" w:rsidRPr="00187D35">
        <w:rPr>
          <w:lang w:val="sq-AL"/>
        </w:rPr>
        <w:t xml:space="preserve"> shtetit,</w:t>
      </w:r>
      <w:r w:rsidRPr="00187D35">
        <w:rPr>
          <w:lang w:val="sq-AL"/>
        </w:rPr>
        <w:t xml:space="preserve"> por t</w:t>
      </w:r>
      <w:r w:rsidR="00410EEB" w:rsidRPr="00187D35">
        <w:rPr>
          <w:lang w:val="sq-AL"/>
        </w:rPr>
        <w:t>ë</w:t>
      </w:r>
      <w:r w:rsidR="008C20CE" w:rsidRPr="00187D35">
        <w:rPr>
          <w:lang w:val="sq-AL"/>
        </w:rPr>
        <w:t xml:space="preserve"> </w:t>
      </w:r>
      <w:r w:rsidR="008C20CE" w:rsidRPr="00187D35">
        <w:rPr>
          <w:u w:val="single"/>
          <w:lang w:val="sq-AL"/>
        </w:rPr>
        <w:t>pa ekzekutuar</w:t>
      </w:r>
      <w:r w:rsidRPr="00187D35">
        <w:rPr>
          <w:u w:val="single"/>
          <w:lang w:val="sq-AL"/>
        </w:rPr>
        <w:t>a</w:t>
      </w:r>
      <w:r w:rsidR="008C20CE" w:rsidRPr="00187D35">
        <w:rPr>
          <w:lang w:val="sq-AL"/>
        </w:rPr>
        <w:t xml:space="preserve">, </w:t>
      </w:r>
      <w:r w:rsidRPr="00187D35">
        <w:rPr>
          <w:lang w:val="sq-AL"/>
        </w:rPr>
        <w:t>m</w:t>
      </w:r>
      <w:r w:rsidR="00385D65">
        <w:rPr>
          <w:lang w:val="sq-AL"/>
        </w:rPr>
        <w:t xml:space="preserve">ë </w:t>
      </w:r>
      <w:r w:rsidRPr="00187D35">
        <w:rPr>
          <w:lang w:val="sq-AL"/>
        </w:rPr>
        <w:t>31 dhjetor 2013 jan</w:t>
      </w:r>
      <w:r w:rsidR="00410EEB" w:rsidRPr="00187D35">
        <w:rPr>
          <w:lang w:val="sq-AL"/>
        </w:rPr>
        <w:t>ë</w:t>
      </w:r>
      <w:r w:rsidRPr="00187D35">
        <w:rPr>
          <w:lang w:val="sq-AL"/>
        </w:rPr>
        <w:t xml:space="preserve"> </w:t>
      </w:r>
      <w:r w:rsidR="00C2524C" w:rsidRPr="00187D35">
        <w:rPr>
          <w:u w:val="single"/>
          <w:lang w:val="sq-AL"/>
        </w:rPr>
        <w:t>7.2</w:t>
      </w:r>
      <w:r w:rsidRPr="00187D35">
        <w:rPr>
          <w:u w:val="single"/>
          <w:lang w:val="sq-AL"/>
        </w:rPr>
        <w:t xml:space="preserve"> milion</w:t>
      </w:r>
      <w:r w:rsidR="00385D65">
        <w:rPr>
          <w:u w:val="single"/>
          <w:lang w:val="sq-AL"/>
        </w:rPr>
        <w:t>ë</w:t>
      </w:r>
      <w:r w:rsidRPr="00187D35">
        <w:rPr>
          <w:u w:val="single"/>
          <w:lang w:val="sq-AL"/>
        </w:rPr>
        <w:t xml:space="preserve"> lek</w:t>
      </w:r>
      <w:r w:rsidR="00410EEB" w:rsidRPr="00187D35">
        <w:rPr>
          <w:u w:val="single"/>
          <w:lang w:val="sq-AL"/>
        </w:rPr>
        <w:t>ë</w:t>
      </w:r>
      <w:r w:rsidRPr="00187D35">
        <w:rPr>
          <w:u w:val="single"/>
          <w:lang w:val="sq-AL"/>
        </w:rPr>
        <w:t>.</w:t>
      </w:r>
    </w:p>
    <w:p w:rsidR="004265EB" w:rsidRPr="00187D35" w:rsidRDefault="004265EB" w:rsidP="008C20CE">
      <w:pPr>
        <w:jc w:val="both"/>
        <w:rPr>
          <w:u w:val="single"/>
          <w:lang w:val="sq-AL"/>
        </w:rPr>
      </w:pPr>
    </w:p>
    <w:p w:rsidR="00501B62" w:rsidRPr="00187D35" w:rsidRDefault="008B3E5E" w:rsidP="003752BC">
      <w:pPr>
        <w:numPr>
          <w:ilvl w:val="0"/>
          <w:numId w:val="22"/>
        </w:numPr>
        <w:spacing w:line="360" w:lineRule="auto"/>
        <w:jc w:val="both"/>
        <w:rPr>
          <w:b/>
          <w:sz w:val="26"/>
          <w:szCs w:val="26"/>
          <w:lang w:val="sq-AL"/>
        </w:rPr>
      </w:pPr>
      <w:r w:rsidRPr="00187D35">
        <w:rPr>
          <w:b/>
          <w:sz w:val="26"/>
          <w:szCs w:val="26"/>
          <w:lang w:val="sq-AL"/>
        </w:rPr>
        <w:lastRenderedPageBreak/>
        <w:t xml:space="preserve">Fondi </w:t>
      </w:r>
      <w:r w:rsidR="00385D65">
        <w:rPr>
          <w:b/>
          <w:sz w:val="26"/>
          <w:szCs w:val="26"/>
          <w:lang w:val="sq-AL"/>
        </w:rPr>
        <w:t xml:space="preserve">i </w:t>
      </w:r>
      <w:proofErr w:type="spellStart"/>
      <w:r w:rsidRPr="00187D35">
        <w:rPr>
          <w:b/>
          <w:sz w:val="26"/>
          <w:szCs w:val="26"/>
          <w:lang w:val="sq-AL"/>
        </w:rPr>
        <w:t>Kontigjenc</w:t>
      </w:r>
      <w:r w:rsidR="009B1780" w:rsidRPr="00187D35">
        <w:rPr>
          <w:b/>
          <w:sz w:val="26"/>
          <w:szCs w:val="26"/>
          <w:lang w:val="sq-AL"/>
        </w:rPr>
        <w:t>ë</w:t>
      </w:r>
      <w:r w:rsidRPr="00187D35">
        <w:rPr>
          <w:b/>
          <w:sz w:val="26"/>
          <w:szCs w:val="26"/>
          <w:lang w:val="sq-AL"/>
        </w:rPr>
        <w:t>s</w:t>
      </w:r>
      <w:proofErr w:type="spellEnd"/>
    </w:p>
    <w:p w:rsidR="00677C17" w:rsidRDefault="00677C17" w:rsidP="008B51CB">
      <w:pPr>
        <w:rPr>
          <w:lang w:val="sq-AL"/>
        </w:rPr>
      </w:pPr>
    </w:p>
    <w:p w:rsidR="008B3E5E" w:rsidRPr="00187D35" w:rsidRDefault="00310932" w:rsidP="008B51CB">
      <w:pPr>
        <w:rPr>
          <w:lang w:val="sq-AL"/>
        </w:rPr>
      </w:pPr>
      <w:r>
        <w:rPr>
          <w:lang w:val="sq-AL"/>
        </w:rPr>
        <w:t xml:space="preserve"> </w:t>
      </w:r>
      <w:r w:rsidR="00635EA5" w:rsidRPr="00187D35">
        <w:rPr>
          <w:spacing w:val="-1"/>
          <w:lang w:val="sq-AL"/>
        </w:rPr>
        <w:t xml:space="preserve">Në mbështetje të nenit 5 të </w:t>
      </w:r>
      <w:r w:rsidR="00385D65">
        <w:rPr>
          <w:spacing w:val="-1"/>
          <w:lang w:val="sq-AL"/>
        </w:rPr>
        <w:t>l</w:t>
      </w:r>
      <w:r w:rsidR="00635EA5" w:rsidRPr="00187D35">
        <w:rPr>
          <w:spacing w:val="-1"/>
          <w:lang w:val="sq-AL"/>
        </w:rPr>
        <w:t>igjit nr. 9936</w:t>
      </w:r>
      <w:r w:rsidR="00F84F56">
        <w:rPr>
          <w:spacing w:val="-1"/>
          <w:lang w:val="sq-AL"/>
        </w:rPr>
        <w:t>,</w:t>
      </w:r>
      <w:r w:rsidR="00635EA5" w:rsidRPr="00187D35">
        <w:rPr>
          <w:spacing w:val="-1"/>
          <w:lang w:val="sq-AL"/>
        </w:rPr>
        <w:t xml:space="preserve"> datë 26.6.2008, “Për menaxhimin e sistemit buxhetor në Republikën e Shqipërisë”, buxheti i shtetit përfshin edhe </w:t>
      </w:r>
      <w:r w:rsidR="00635EA5" w:rsidRPr="00187D35">
        <w:rPr>
          <w:lang w:val="sq-AL"/>
        </w:rPr>
        <w:t>Fondin e Kontingjencës</w:t>
      </w:r>
      <w:r w:rsidR="00F84F56">
        <w:rPr>
          <w:lang w:val="sq-AL"/>
        </w:rPr>
        <w:t>,</w:t>
      </w:r>
      <w:r w:rsidR="00635EA5" w:rsidRPr="00187D35">
        <w:rPr>
          <w:lang w:val="sq-AL"/>
        </w:rPr>
        <w:t xml:space="preserve"> i cili përdoret sipas përcaktimit në ligjin e buxhetit vjetor, për të përballuar efektet e mosrealizimit të të ardhurave, nevojën e kryerjes së financimeve të reja dhe shtimin e financimeve mbi fondet e miratuara të programeve ekzistuese. </w:t>
      </w:r>
    </w:p>
    <w:p w:rsidR="00677C17" w:rsidRDefault="00677C17" w:rsidP="00F84F56">
      <w:pPr>
        <w:widowControl w:val="0"/>
        <w:autoSpaceDE w:val="0"/>
        <w:autoSpaceDN w:val="0"/>
        <w:adjustRightInd w:val="0"/>
        <w:rPr>
          <w:lang w:val="sq-AL"/>
        </w:rPr>
      </w:pPr>
    </w:p>
    <w:p w:rsidR="00635EA5" w:rsidRDefault="00635EA5" w:rsidP="00F84F56">
      <w:pPr>
        <w:widowControl w:val="0"/>
        <w:autoSpaceDE w:val="0"/>
        <w:autoSpaceDN w:val="0"/>
        <w:adjustRightInd w:val="0"/>
        <w:rPr>
          <w:lang w:val="sq-AL"/>
        </w:rPr>
      </w:pPr>
      <w:r w:rsidRPr="00187D35">
        <w:rPr>
          <w:lang w:val="sq-AL"/>
        </w:rPr>
        <w:t xml:space="preserve">Në ligjin </w:t>
      </w:r>
      <w:r w:rsidR="00F84F56">
        <w:rPr>
          <w:lang w:val="sq-AL"/>
        </w:rPr>
        <w:t>n</w:t>
      </w:r>
      <w:r w:rsidR="00E84B38" w:rsidRPr="00187D35">
        <w:rPr>
          <w:spacing w:val="-1"/>
          <w:lang w:val="sq-AL"/>
        </w:rPr>
        <w:t>r. 185</w:t>
      </w:r>
      <w:r w:rsidR="007904B5">
        <w:rPr>
          <w:spacing w:val="-1"/>
          <w:lang w:val="sq-AL"/>
        </w:rPr>
        <w:t>,</w:t>
      </w:r>
      <w:r w:rsidR="00E84B38" w:rsidRPr="00187D35">
        <w:rPr>
          <w:spacing w:val="-1"/>
          <w:lang w:val="sq-AL"/>
        </w:rPr>
        <w:t xml:space="preserve"> datë 2.12.201</w:t>
      </w:r>
      <w:r w:rsidR="00846FAD" w:rsidRPr="00187D35">
        <w:rPr>
          <w:spacing w:val="-1"/>
          <w:lang w:val="sq-AL"/>
        </w:rPr>
        <w:t>3</w:t>
      </w:r>
      <w:r w:rsidR="007904B5">
        <w:rPr>
          <w:spacing w:val="-1"/>
          <w:lang w:val="sq-AL"/>
        </w:rPr>
        <w:t xml:space="preserve"> “</w:t>
      </w:r>
      <w:r w:rsidR="00E84B38" w:rsidRPr="00187D35">
        <w:rPr>
          <w:spacing w:val="-1"/>
          <w:lang w:val="sq-AL"/>
        </w:rPr>
        <w:t>Për buxhetin e vitit 2014</w:t>
      </w:r>
      <w:r w:rsidR="007904B5">
        <w:rPr>
          <w:spacing w:val="-1"/>
          <w:lang w:val="sq-AL"/>
        </w:rPr>
        <w:t>”</w:t>
      </w:r>
      <w:r w:rsidR="00E84B38" w:rsidRPr="00187D35">
        <w:rPr>
          <w:spacing w:val="-1"/>
          <w:lang w:val="sq-AL"/>
        </w:rPr>
        <w:t>, të ndryshuar</w:t>
      </w:r>
      <w:r w:rsidRPr="00187D35">
        <w:rPr>
          <w:lang w:val="sq-AL"/>
        </w:rPr>
        <w:t xml:space="preserve">, është përcaktuar që Fondi i Kontingjencës prej </w:t>
      </w:r>
      <w:r w:rsidR="00E84B38" w:rsidRPr="00187D35">
        <w:rPr>
          <w:lang w:val="sq-AL"/>
        </w:rPr>
        <w:t xml:space="preserve">1 550 </w:t>
      </w:r>
      <w:r w:rsidRPr="00187D35">
        <w:rPr>
          <w:lang w:val="sq-AL"/>
        </w:rPr>
        <w:t xml:space="preserve">milionë lekësh përdoret me </w:t>
      </w:r>
      <w:r w:rsidR="007904B5">
        <w:rPr>
          <w:lang w:val="sq-AL"/>
        </w:rPr>
        <w:t>V</w:t>
      </w:r>
      <w:r w:rsidRPr="00187D35">
        <w:rPr>
          <w:lang w:val="sq-AL"/>
        </w:rPr>
        <w:t xml:space="preserve">endime të Këshillit të Ministrave. Fondi për rritjen e pagave e të pensioneve prej </w:t>
      </w:r>
      <w:r w:rsidR="00E84B38" w:rsidRPr="00187D35">
        <w:rPr>
          <w:lang w:val="sq-AL"/>
        </w:rPr>
        <w:t>2 000</w:t>
      </w:r>
      <w:r w:rsidRPr="00187D35">
        <w:rPr>
          <w:lang w:val="sq-AL"/>
        </w:rPr>
        <w:t xml:space="preserve"> milionë lekësh shpërndahet nga </w:t>
      </w:r>
      <w:r w:rsidR="007904B5">
        <w:rPr>
          <w:lang w:val="sq-AL"/>
        </w:rPr>
        <w:t>m</w:t>
      </w:r>
      <w:r w:rsidRPr="00187D35">
        <w:rPr>
          <w:lang w:val="sq-AL"/>
        </w:rPr>
        <w:t xml:space="preserve">inistri i Financave, sipas </w:t>
      </w:r>
      <w:r w:rsidR="007904B5">
        <w:rPr>
          <w:lang w:val="sq-AL"/>
        </w:rPr>
        <w:t>V</w:t>
      </w:r>
      <w:r w:rsidRPr="00187D35">
        <w:rPr>
          <w:lang w:val="sq-AL"/>
        </w:rPr>
        <w:t>endimeve të Këshillit të Ministrave.</w:t>
      </w:r>
    </w:p>
    <w:p w:rsidR="00677C17" w:rsidRPr="00187D35" w:rsidRDefault="00677C17" w:rsidP="00F84F56">
      <w:pPr>
        <w:widowControl w:val="0"/>
        <w:autoSpaceDE w:val="0"/>
        <w:autoSpaceDN w:val="0"/>
        <w:adjustRightInd w:val="0"/>
        <w:rPr>
          <w:lang w:val="sq-AL"/>
        </w:rPr>
      </w:pPr>
    </w:p>
    <w:p w:rsidR="00635EA5" w:rsidRPr="00187D35" w:rsidRDefault="00635EA5" w:rsidP="00635EA5">
      <w:pPr>
        <w:rPr>
          <w:lang w:val="sq-AL"/>
        </w:rPr>
      </w:pPr>
      <w:r w:rsidRPr="00187D35">
        <w:rPr>
          <w:lang w:val="sq-AL"/>
        </w:rPr>
        <w:t xml:space="preserve">Fondet e </w:t>
      </w:r>
      <w:proofErr w:type="spellStart"/>
      <w:r w:rsidRPr="00187D35">
        <w:rPr>
          <w:lang w:val="sq-AL"/>
        </w:rPr>
        <w:t>Kontigjencës</w:t>
      </w:r>
      <w:proofErr w:type="spellEnd"/>
      <w:r w:rsidRPr="00187D35">
        <w:rPr>
          <w:lang w:val="sq-AL"/>
        </w:rPr>
        <w:t xml:space="preserve"> të miratuara,  gjatë vitit 201</w:t>
      </w:r>
      <w:r w:rsidR="00E32C4B" w:rsidRPr="00187D35">
        <w:rPr>
          <w:lang w:val="sq-AL"/>
        </w:rPr>
        <w:t>4</w:t>
      </w:r>
      <w:r w:rsidRPr="00187D35">
        <w:rPr>
          <w:lang w:val="sq-AL"/>
        </w:rPr>
        <w:t xml:space="preserve"> janë përdorur si më poshtë:</w:t>
      </w:r>
    </w:p>
    <w:p w:rsidR="00846FAD" w:rsidRPr="00187D35" w:rsidRDefault="00635EA5" w:rsidP="00846FAD">
      <w:pPr>
        <w:pStyle w:val="ListParagraph"/>
        <w:spacing w:before="0" w:after="0"/>
        <w:ind w:left="0"/>
        <w:rPr>
          <w:rFonts w:ascii="Times New Roman" w:hAnsi="Times New Roman"/>
          <w:sz w:val="24"/>
          <w:lang w:val="sq-AL"/>
        </w:rPr>
      </w:pPr>
      <w:r w:rsidRPr="00187D35">
        <w:rPr>
          <w:rFonts w:ascii="Times New Roman" w:hAnsi="Times New Roman"/>
          <w:sz w:val="24"/>
          <w:lang w:val="sq-AL"/>
        </w:rPr>
        <w:t xml:space="preserve">Fondi i </w:t>
      </w:r>
      <w:r w:rsidR="007904B5">
        <w:rPr>
          <w:rFonts w:ascii="Times New Roman" w:hAnsi="Times New Roman"/>
          <w:sz w:val="24"/>
          <w:lang w:val="sq-AL"/>
        </w:rPr>
        <w:t>K</w:t>
      </w:r>
      <w:r w:rsidRPr="00187D35">
        <w:rPr>
          <w:rFonts w:ascii="Times New Roman" w:hAnsi="Times New Roman"/>
          <w:sz w:val="24"/>
          <w:lang w:val="sq-AL"/>
        </w:rPr>
        <w:t>ontigjencës për ruajtjen e defi</w:t>
      </w:r>
      <w:r w:rsidR="00986169">
        <w:rPr>
          <w:rFonts w:ascii="Times New Roman" w:hAnsi="Times New Roman"/>
          <w:sz w:val="24"/>
          <w:lang w:val="sq-AL"/>
        </w:rPr>
        <w:t>c</w:t>
      </w:r>
      <w:r w:rsidRPr="00187D35">
        <w:rPr>
          <w:rFonts w:ascii="Times New Roman" w:hAnsi="Times New Roman"/>
          <w:sz w:val="24"/>
          <w:lang w:val="sq-AL"/>
        </w:rPr>
        <w:t>iti</w:t>
      </w:r>
      <w:r w:rsidR="004265EB" w:rsidRPr="00187D35">
        <w:rPr>
          <w:rFonts w:ascii="Times New Roman" w:hAnsi="Times New Roman"/>
          <w:sz w:val="24"/>
          <w:lang w:val="sq-AL"/>
        </w:rPr>
        <w:t>t, i planifikuar për vitin 201</w:t>
      </w:r>
      <w:r w:rsidR="006D0011" w:rsidRPr="00187D35">
        <w:rPr>
          <w:rFonts w:ascii="Times New Roman" w:hAnsi="Times New Roman"/>
          <w:sz w:val="24"/>
          <w:lang w:val="sq-AL"/>
        </w:rPr>
        <w:t>4</w:t>
      </w:r>
      <w:r w:rsidR="004265EB" w:rsidRPr="00187D35">
        <w:rPr>
          <w:rFonts w:ascii="Times New Roman" w:hAnsi="Times New Roman"/>
          <w:sz w:val="24"/>
          <w:lang w:val="sq-AL"/>
        </w:rPr>
        <w:t>, prej</w:t>
      </w:r>
      <w:r w:rsidRPr="00187D35">
        <w:rPr>
          <w:rFonts w:ascii="Times New Roman" w:hAnsi="Times New Roman"/>
          <w:sz w:val="24"/>
          <w:lang w:val="sq-AL"/>
        </w:rPr>
        <w:t xml:space="preserve"> </w:t>
      </w:r>
      <w:r w:rsidR="00E32C4B" w:rsidRPr="00187D35">
        <w:rPr>
          <w:rFonts w:ascii="Times New Roman" w:hAnsi="Times New Roman"/>
          <w:sz w:val="24"/>
          <w:lang w:val="sq-AL"/>
        </w:rPr>
        <w:t xml:space="preserve">1 550 </w:t>
      </w:r>
      <w:r w:rsidRPr="00187D35">
        <w:rPr>
          <w:rFonts w:ascii="Times New Roman" w:hAnsi="Times New Roman"/>
          <w:sz w:val="24"/>
          <w:lang w:val="sq-AL"/>
        </w:rPr>
        <w:t>milionë lekë</w:t>
      </w:r>
      <w:r w:rsidR="00986169">
        <w:rPr>
          <w:rFonts w:ascii="Times New Roman" w:hAnsi="Times New Roman"/>
          <w:sz w:val="24"/>
          <w:lang w:val="sq-AL"/>
        </w:rPr>
        <w:t>sh</w:t>
      </w:r>
      <w:r w:rsidRPr="00187D35">
        <w:rPr>
          <w:rFonts w:ascii="Times New Roman" w:hAnsi="Times New Roman"/>
          <w:sz w:val="24"/>
          <w:lang w:val="sq-AL"/>
        </w:rPr>
        <w:t>, deri në fund të vitit 201</w:t>
      </w:r>
      <w:r w:rsidR="00E32C4B" w:rsidRPr="00187D35">
        <w:rPr>
          <w:rFonts w:ascii="Times New Roman" w:hAnsi="Times New Roman"/>
          <w:sz w:val="24"/>
          <w:lang w:val="sq-AL"/>
        </w:rPr>
        <w:t>4</w:t>
      </w:r>
      <w:r w:rsidRPr="00187D35">
        <w:rPr>
          <w:rFonts w:ascii="Times New Roman" w:hAnsi="Times New Roman"/>
          <w:sz w:val="24"/>
          <w:lang w:val="sq-AL"/>
        </w:rPr>
        <w:t xml:space="preserve">, është përdorur me </w:t>
      </w:r>
      <w:r w:rsidR="00AA334A" w:rsidRPr="00187D35">
        <w:rPr>
          <w:rFonts w:ascii="Times New Roman" w:hAnsi="Times New Roman"/>
          <w:sz w:val="24"/>
          <w:lang w:val="sq-AL"/>
        </w:rPr>
        <w:t>18</w:t>
      </w:r>
      <w:r w:rsidRPr="00187D35">
        <w:rPr>
          <w:rFonts w:ascii="Times New Roman" w:hAnsi="Times New Roman"/>
          <w:sz w:val="24"/>
          <w:lang w:val="sq-AL"/>
        </w:rPr>
        <w:t xml:space="preserve"> Vendime të Këshillit të Ministrave në vlerën </w:t>
      </w:r>
      <w:r w:rsidR="00AA334A" w:rsidRPr="00187D35">
        <w:rPr>
          <w:rFonts w:ascii="Times New Roman" w:hAnsi="Times New Roman"/>
          <w:sz w:val="24"/>
          <w:lang w:val="sq-AL"/>
        </w:rPr>
        <w:t xml:space="preserve">1 500 milionë lekë. Fondet e akorduara </w:t>
      </w:r>
      <w:r w:rsidR="00187D35" w:rsidRPr="00187D35">
        <w:rPr>
          <w:rFonts w:ascii="Times New Roman" w:hAnsi="Times New Roman"/>
          <w:sz w:val="24"/>
          <w:lang w:val="sq-AL"/>
        </w:rPr>
        <w:t>janë</w:t>
      </w:r>
      <w:r w:rsidR="00AA334A" w:rsidRPr="00187D35">
        <w:rPr>
          <w:rFonts w:ascii="Times New Roman" w:hAnsi="Times New Roman"/>
          <w:sz w:val="24"/>
          <w:lang w:val="sq-AL"/>
        </w:rPr>
        <w:t xml:space="preserve"> </w:t>
      </w:r>
      <w:r w:rsidR="00187D35" w:rsidRPr="00187D35">
        <w:rPr>
          <w:rFonts w:ascii="Times New Roman" w:hAnsi="Times New Roman"/>
          <w:sz w:val="24"/>
          <w:lang w:val="sq-AL"/>
        </w:rPr>
        <w:t>ekzekutuar</w:t>
      </w:r>
      <w:r w:rsidR="00AA334A" w:rsidRPr="00187D35">
        <w:rPr>
          <w:rFonts w:ascii="Times New Roman" w:hAnsi="Times New Roman"/>
          <w:sz w:val="24"/>
          <w:lang w:val="sq-AL"/>
        </w:rPr>
        <w:t xml:space="preserve"> me shkresat </w:t>
      </w:r>
      <w:r w:rsidR="00187D35" w:rsidRPr="00187D35">
        <w:rPr>
          <w:rFonts w:ascii="Times New Roman" w:hAnsi="Times New Roman"/>
          <w:sz w:val="24"/>
          <w:lang w:val="sq-AL"/>
        </w:rPr>
        <w:t>përkatëse</w:t>
      </w:r>
      <w:r w:rsidR="00AA334A" w:rsidRPr="00187D35">
        <w:rPr>
          <w:rFonts w:ascii="Times New Roman" w:hAnsi="Times New Roman"/>
          <w:sz w:val="24"/>
          <w:lang w:val="sq-AL"/>
        </w:rPr>
        <w:t xml:space="preserve"> 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AA334A" w:rsidRPr="00187D35">
        <w:rPr>
          <w:rFonts w:ascii="Times New Roman" w:hAnsi="Times New Roman"/>
          <w:sz w:val="24"/>
          <w:lang w:val="sq-AL"/>
        </w:rPr>
        <w:t>r shum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AA334A" w:rsidRPr="00187D35">
        <w:rPr>
          <w:rFonts w:ascii="Times New Roman" w:hAnsi="Times New Roman"/>
          <w:sz w:val="24"/>
          <w:lang w:val="sq-AL"/>
        </w:rPr>
        <w:t>n 1 488 milion</w:t>
      </w:r>
      <w:r w:rsidR="00986169">
        <w:rPr>
          <w:rFonts w:ascii="Times New Roman" w:hAnsi="Times New Roman"/>
          <w:sz w:val="24"/>
          <w:lang w:val="sq-AL"/>
        </w:rPr>
        <w:t>ë</w:t>
      </w:r>
      <w:r w:rsidR="00AA334A" w:rsidRPr="00187D35">
        <w:rPr>
          <w:rFonts w:ascii="Times New Roman" w:hAnsi="Times New Roman"/>
          <w:sz w:val="24"/>
          <w:lang w:val="sq-AL"/>
        </w:rPr>
        <w:t xml:space="preserve"> lek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AA334A" w:rsidRPr="00187D35">
        <w:rPr>
          <w:rFonts w:ascii="Times New Roman" w:hAnsi="Times New Roman"/>
          <w:sz w:val="24"/>
          <w:lang w:val="sq-AL"/>
        </w:rPr>
        <w:t>,</w:t>
      </w:r>
      <w:r w:rsidRPr="00187D35">
        <w:rPr>
          <w:rFonts w:ascii="Times New Roman" w:hAnsi="Times New Roman"/>
          <w:sz w:val="24"/>
          <w:lang w:val="sq-AL"/>
        </w:rPr>
        <w:t xml:space="preserve"> nga të cilat </w:t>
      </w:r>
      <w:r w:rsidR="00AA334A" w:rsidRPr="00187D35">
        <w:rPr>
          <w:rFonts w:ascii="Times New Roman" w:hAnsi="Times New Roman"/>
          <w:sz w:val="24"/>
          <w:lang w:val="sq-AL"/>
        </w:rPr>
        <w:t xml:space="preserve">1 056.3 </w:t>
      </w:r>
      <w:r w:rsidRPr="00187D35">
        <w:rPr>
          <w:rFonts w:ascii="Times New Roman" w:hAnsi="Times New Roman"/>
          <w:sz w:val="24"/>
          <w:lang w:val="sq-AL"/>
        </w:rPr>
        <w:t xml:space="preserve">milionë lekë për shpenzime korente dhe </w:t>
      </w:r>
      <w:r w:rsidR="00AA334A" w:rsidRPr="00187D35">
        <w:rPr>
          <w:rFonts w:ascii="Times New Roman" w:hAnsi="Times New Roman"/>
          <w:sz w:val="24"/>
          <w:lang w:val="sq-AL"/>
        </w:rPr>
        <w:t>431.68</w:t>
      </w:r>
      <w:r w:rsidRPr="00187D35">
        <w:rPr>
          <w:rFonts w:ascii="Times New Roman" w:hAnsi="Times New Roman"/>
          <w:sz w:val="24"/>
          <w:lang w:val="sq-AL"/>
        </w:rPr>
        <w:t xml:space="preserve"> milionë lekë për investime. </w:t>
      </w:r>
    </w:p>
    <w:p w:rsidR="00846FAD" w:rsidRPr="00187D35" w:rsidRDefault="004F4D10" w:rsidP="00846FAD">
      <w:pPr>
        <w:pStyle w:val="ListParagraph"/>
        <w:spacing w:before="0" w:after="0"/>
        <w:ind w:left="0"/>
        <w:rPr>
          <w:rFonts w:ascii="Times New Roman" w:hAnsi="Times New Roman"/>
          <w:sz w:val="24"/>
          <w:lang w:val="sq-AL"/>
        </w:rPr>
      </w:pPr>
      <w:r w:rsidRPr="00187D35">
        <w:rPr>
          <w:rFonts w:ascii="Times New Roman" w:hAnsi="Times New Roman"/>
          <w:sz w:val="24"/>
          <w:lang w:val="sq-AL"/>
        </w:rPr>
        <w:t xml:space="preserve">Sipas </w:t>
      </w:r>
      <w:r w:rsidR="00CF1FAE">
        <w:rPr>
          <w:rFonts w:ascii="Times New Roman" w:hAnsi="Times New Roman"/>
          <w:sz w:val="24"/>
          <w:lang w:val="sq-AL"/>
        </w:rPr>
        <w:t xml:space="preserve">VKM-ve, </w:t>
      </w:r>
      <w:r w:rsidRPr="00187D35">
        <w:rPr>
          <w:rFonts w:ascii="Times New Roman" w:hAnsi="Times New Roman"/>
          <w:sz w:val="24"/>
          <w:lang w:val="sq-AL"/>
        </w:rPr>
        <w:t xml:space="preserve">ministrive dhe institucioneve </w:t>
      </w:r>
      <w:r w:rsidR="00CF1FAE">
        <w:rPr>
          <w:rFonts w:ascii="Times New Roman" w:hAnsi="Times New Roman"/>
          <w:sz w:val="24"/>
          <w:lang w:val="sq-AL"/>
        </w:rPr>
        <w:t xml:space="preserve">i </w:t>
      </w:r>
      <w:r w:rsidRPr="00187D35">
        <w:rPr>
          <w:rFonts w:ascii="Times New Roman" w:hAnsi="Times New Roman"/>
          <w:sz w:val="24"/>
          <w:lang w:val="sq-AL"/>
        </w:rPr>
        <w:t>jan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Pr="00187D35">
        <w:rPr>
          <w:rFonts w:ascii="Times New Roman" w:hAnsi="Times New Roman"/>
          <w:sz w:val="24"/>
          <w:lang w:val="sq-AL"/>
        </w:rPr>
        <w:t xml:space="preserve"> akorduar </w:t>
      </w:r>
      <w:r w:rsidR="00CF1FAE">
        <w:rPr>
          <w:rFonts w:ascii="Times New Roman" w:hAnsi="Times New Roman"/>
          <w:sz w:val="24"/>
          <w:lang w:val="sq-AL"/>
        </w:rPr>
        <w:t xml:space="preserve">fondet </w:t>
      </w:r>
      <w:r w:rsidR="00AE240E" w:rsidRPr="00187D35">
        <w:rPr>
          <w:rFonts w:ascii="Times New Roman" w:hAnsi="Times New Roman"/>
          <w:sz w:val="24"/>
          <w:lang w:val="sq-AL"/>
        </w:rPr>
        <w:t>si m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AE240E" w:rsidRPr="00187D35">
        <w:rPr>
          <w:rFonts w:ascii="Times New Roman" w:hAnsi="Times New Roman"/>
          <w:sz w:val="24"/>
          <w:lang w:val="sq-AL"/>
        </w:rPr>
        <w:t xml:space="preserve"> posht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AE240E" w:rsidRPr="00187D35">
        <w:rPr>
          <w:rFonts w:ascii="Times New Roman" w:hAnsi="Times New Roman"/>
          <w:sz w:val="24"/>
          <w:lang w:val="sq-AL"/>
        </w:rPr>
        <w:t>:</w:t>
      </w:r>
    </w:p>
    <w:p w:rsidR="00AE240E" w:rsidRPr="00187D35" w:rsidRDefault="00CF1FAE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>
        <w:rPr>
          <w:rFonts w:ascii="Times New Roman" w:hAnsi="Times New Roman"/>
          <w:sz w:val="24"/>
          <w:lang w:val="sq-AL"/>
        </w:rPr>
        <w:t>Me VKM nr. 519, datë</w:t>
      </w:r>
      <w:r w:rsidR="00DB0EDD">
        <w:rPr>
          <w:rFonts w:ascii="Times New Roman" w:hAnsi="Times New Roman"/>
          <w:sz w:val="24"/>
          <w:lang w:val="sq-AL"/>
        </w:rPr>
        <w:t xml:space="preserve"> 6.08.2014</w:t>
      </w:r>
      <w:r>
        <w:rPr>
          <w:rFonts w:ascii="Times New Roman" w:hAnsi="Times New Roman"/>
          <w:sz w:val="24"/>
          <w:lang w:val="sq-AL"/>
        </w:rPr>
        <w:t xml:space="preserve"> 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991B1F" w:rsidRPr="00187D35">
        <w:rPr>
          <w:rFonts w:ascii="Times New Roman" w:hAnsi="Times New Roman"/>
          <w:sz w:val="24"/>
          <w:lang w:val="sq-AL"/>
        </w:rPr>
        <w:t>r Kryeministrin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991B1F" w:rsidRPr="00187D35">
        <w:rPr>
          <w:rFonts w:ascii="Times New Roman" w:hAnsi="Times New Roman"/>
          <w:sz w:val="24"/>
          <w:lang w:val="sq-AL"/>
        </w:rPr>
        <w:t xml:space="preserve"> 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sht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miratuar fondi </w:t>
      </w:r>
      <w:r w:rsidR="00991B1F" w:rsidRPr="00187D35">
        <w:rPr>
          <w:rFonts w:ascii="Times New Roman" w:hAnsi="Times New Roman"/>
          <w:sz w:val="24"/>
          <w:lang w:val="sq-AL"/>
        </w:rPr>
        <w:t xml:space="preserve">prej </w:t>
      </w:r>
      <w:r>
        <w:rPr>
          <w:rFonts w:ascii="Times New Roman" w:hAnsi="Times New Roman"/>
          <w:sz w:val="24"/>
          <w:lang w:val="sq-AL"/>
        </w:rPr>
        <w:t>20</w:t>
      </w:r>
      <w:r w:rsidR="00991B1F" w:rsidRPr="00187D35">
        <w:rPr>
          <w:rFonts w:ascii="Times New Roman" w:hAnsi="Times New Roman"/>
          <w:sz w:val="24"/>
          <w:lang w:val="sq-AL"/>
        </w:rPr>
        <w:t xml:space="preserve"> milion</w:t>
      </w:r>
      <w:r w:rsidR="00986169">
        <w:rPr>
          <w:rFonts w:ascii="Times New Roman" w:hAnsi="Times New Roman"/>
          <w:sz w:val="24"/>
          <w:lang w:val="sq-AL"/>
        </w:rPr>
        <w:t>ë</w:t>
      </w:r>
      <w:r w:rsidR="00991B1F" w:rsidRPr="00187D35">
        <w:rPr>
          <w:rFonts w:ascii="Times New Roman" w:hAnsi="Times New Roman"/>
          <w:sz w:val="24"/>
          <w:lang w:val="sq-AL"/>
        </w:rPr>
        <w:t xml:space="preserve"> lek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986169">
        <w:rPr>
          <w:rFonts w:ascii="Times New Roman" w:hAnsi="Times New Roman"/>
          <w:sz w:val="24"/>
          <w:lang w:val="sq-AL"/>
        </w:rPr>
        <w:t>sh</w:t>
      </w:r>
      <w:r w:rsidR="00991B1F" w:rsidRPr="00187D35">
        <w:rPr>
          <w:rFonts w:ascii="Times New Roman" w:hAnsi="Times New Roman"/>
          <w:sz w:val="24"/>
          <w:lang w:val="sq-AL"/>
        </w:rPr>
        <w:t xml:space="preserve"> </w:t>
      </w:r>
      <w:r w:rsidR="004F4D10" w:rsidRPr="00187D35">
        <w:rPr>
          <w:rFonts w:ascii="Times New Roman" w:hAnsi="Times New Roman"/>
          <w:sz w:val="24"/>
          <w:lang w:val="sq-AL"/>
        </w:rPr>
        <w:t>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4F4D10" w:rsidRPr="00187D35">
        <w:rPr>
          <w:rFonts w:ascii="Times New Roman" w:hAnsi="Times New Roman"/>
          <w:sz w:val="24"/>
          <w:lang w:val="sq-AL"/>
        </w:rPr>
        <w:t xml:space="preserve">r shpenzime korente, </w:t>
      </w:r>
      <w:r w:rsidR="00991B1F" w:rsidRPr="00187D35">
        <w:rPr>
          <w:rFonts w:ascii="Times New Roman" w:hAnsi="Times New Roman"/>
          <w:sz w:val="24"/>
          <w:lang w:val="sq-AL"/>
        </w:rPr>
        <w:t>p</w:t>
      </w:r>
      <w:r w:rsidR="00986169">
        <w:rPr>
          <w:rFonts w:ascii="Times New Roman" w:hAnsi="Times New Roman"/>
          <w:sz w:val="24"/>
          <w:lang w:val="sq-AL"/>
        </w:rPr>
        <w:t>ë</w:t>
      </w:r>
      <w:r w:rsidR="00991B1F" w:rsidRPr="00187D35">
        <w:rPr>
          <w:rFonts w:ascii="Times New Roman" w:hAnsi="Times New Roman"/>
          <w:sz w:val="24"/>
          <w:lang w:val="sq-AL"/>
        </w:rPr>
        <w:t>r financimin e funksionimit t</w:t>
      </w:r>
      <w:r w:rsidR="00986169">
        <w:rPr>
          <w:rFonts w:ascii="Times New Roman" w:hAnsi="Times New Roman"/>
          <w:sz w:val="24"/>
          <w:lang w:val="sq-AL"/>
        </w:rPr>
        <w:t>ë</w:t>
      </w:r>
      <w:r w:rsidR="00991B1F" w:rsidRPr="00187D35">
        <w:rPr>
          <w:rFonts w:ascii="Times New Roman" w:hAnsi="Times New Roman"/>
          <w:sz w:val="24"/>
          <w:lang w:val="sq-AL"/>
        </w:rPr>
        <w:t xml:space="preserve"> grupit Task-Forc</w:t>
      </w:r>
      <w:r w:rsidR="00986169">
        <w:rPr>
          <w:rFonts w:ascii="Times New Roman" w:hAnsi="Times New Roman"/>
          <w:sz w:val="24"/>
          <w:lang w:val="sq-AL"/>
        </w:rPr>
        <w:t>ë</w:t>
      </w:r>
      <w:r w:rsidR="00991B1F" w:rsidRPr="00187D35">
        <w:rPr>
          <w:rFonts w:ascii="Times New Roman" w:hAnsi="Times New Roman"/>
          <w:sz w:val="24"/>
          <w:lang w:val="sq-AL"/>
        </w:rPr>
        <w:t xml:space="preserve">. Ky vendim 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991B1F" w:rsidRPr="00187D35">
        <w:rPr>
          <w:rFonts w:ascii="Times New Roman" w:hAnsi="Times New Roman"/>
          <w:sz w:val="24"/>
          <w:lang w:val="sq-AL"/>
        </w:rPr>
        <w:t>sht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991B1F" w:rsidRPr="00187D35">
        <w:rPr>
          <w:rFonts w:ascii="Times New Roman" w:hAnsi="Times New Roman"/>
          <w:sz w:val="24"/>
          <w:lang w:val="sq-AL"/>
        </w:rPr>
        <w:t xml:space="preserve"> miratuar 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991B1F" w:rsidRPr="00187D35">
        <w:rPr>
          <w:rFonts w:ascii="Times New Roman" w:hAnsi="Times New Roman"/>
          <w:sz w:val="24"/>
          <w:lang w:val="sq-AL"/>
        </w:rPr>
        <w:t>r 20 milion</w:t>
      </w:r>
      <w:r w:rsidR="00986169">
        <w:rPr>
          <w:rFonts w:ascii="Times New Roman" w:hAnsi="Times New Roman"/>
          <w:sz w:val="24"/>
          <w:lang w:val="sq-AL"/>
        </w:rPr>
        <w:t>ë</w:t>
      </w:r>
      <w:r w:rsidR="00991B1F" w:rsidRPr="00187D35">
        <w:rPr>
          <w:rFonts w:ascii="Times New Roman" w:hAnsi="Times New Roman"/>
          <w:sz w:val="24"/>
          <w:lang w:val="sq-AL"/>
        </w:rPr>
        <w:t xml:space="preserve"> lek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986169">
        <w:rPr>
          <w:rFonts w:ascii="Times New Roman" w:hAnsi="Times New Roman"/>
          <w:sz w:val="24"/>
          <w:lang w:val="sq-AL"/>
        </w:rPr>
        <w:t>,</w:t>
      </w:r>
      <w:r w:rsidR="00991B1F" w:rsidRPr="00187D35">
        <w:rPr>
          <w:rFonts w:ascii="Times New Roman" w:hAnsi="Times New Roman"/>
          <w:sz w:val="24"/>
          <w:lang w:val="sq-AL"/>
        </w:rPr>
        <w:t xml:space="preserve"> por 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991B1F" w:rsidRPr="00187D35">
        <w:rPr>
          <w:rFonts w:ascii="Times New Roman" w:hAnsi="Times New Roman"/>
          <w:sz w:val="24"/>
          <w:lang w:val="sq-AL"/>
        </w:rPr>
        <w:t>sht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991B1F" w:rsidRPr="00187D35">
        <w:rPr>
          <w:rFonts w:ascii="Times New Roman" w:hAnsi="Times New Roman"/>
          <w:sz w:val="24"/>
          <w:lang w:val="sq-AL"/>
        </w:rPr>
        <w:t xml:space="preserve"> ekzekutuar 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991B1F" w:rsidRPr="00187D35">
        <w:rPr>
          <w:rFonts w:ascii="Times New Roman" w:hAnsi="Times New Roman"/>
          <w:sz w:val="24"/>
          <w:lang w:val="sq-AL"/>
        </w:rPr>
        <w:t>r 18 milion</w:t>
      </w:r>
      <w:r w:rsidR="00986169">
        <w:rPr>
          <w:rFonts w:ascii="Times New Roman" w:hAnsi="Times New Roman"/>
          <w:sz w:val="24"/>
          <w:lang w:val="sq-AL"/>
        </w:rPr>
        <w:t>ë</w:t>
      </w:r>
      <w:r w:rsidR="00991B1F" w:rsidRPr="00187D35">
        <w:rPr>
          <w:rFonts w:ascii="Times New Roman" w:hAnsi="Times New Roman"/>
          <w:sz w:val="24"/>
          <w:lang w:val="sq-AL"/>
        </w:rPr>
        <w:t xml:space="preserve"> lek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4F4D10" w:rsidRPr="00187D35">
        <w:rPr>
          <w:rFonts w:ascii="Times New Roman" w:hAnsi="Times New Roman"/>
          <w:sz w:val="24"/>
          <w:lang w:val="sq-AL"/>
        </w:rPr>
        <w:t>.</w:t>
      </w:r>
    </w:p>
    <w:p w:rsidR="004F4D10" w:rsidRPr="00310932" w:rsidRDefault="00CF1FAE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 w:rsidRPr="00310932">
        <w:rPr>
          <w:rFonts w:ascii="Times New Roman" w:hAnsi="Times New Roman"/>
          <w:sz w:val="24"/>
          <w:lang w:val="sq-AL"/>
        </w:rPr>
        <w:t xml:space="preserve">Me VKM nr. </w:t>
      </w:r>
      <w:r w:rsidR="00DB0EDD" w:rsidRPr="00310932">
        <w:rPr>
          <w:rFonts w:ascii="Times New Roman" w:hAnsi="Times New Roman"/>
          <w:sz w:val="24"/>
          <w:lang w:val="sq-AL"/>
        </w:rPr>
        <w:t>534, dat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="00DB0EDD" w:rsidRPr="00310932">
        <w:rPr>
          <w:rFonts w:ascii="Times New Roman" w:hAnsi="Times New Roman"/>
          <w:sz w:val="24"/>
          <w:lang w:val="sq-AL"/>
        </w:rPr>
        <w:t xml:space="preserve"> 30.07.2014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4F4D10" w:rsidRPr="00310932">
        <w:rPr>
          <w:rFonts w:ascii="Times New Roman" w:hAnsi="Times New Roman"/>
          <w:sz w:val="24"/>
          <w:lang w:val="sq-AL"/>
        </w:rPr>
        <w:t xml:space="preserve">r </w:t>
      </w:r>
      <w:r w:rsidR="00187D35" w:rsidRPr="00310932">
        <w:rPr>
          <w:rFonts w:ascii="Times New Roman" w:hAnsi="Times New Roman"/>
          <w:sz w:val="24"/>
          <w:lang w:val="sq-AL"/>
        </w:rPr>
        <w:t>Ministrinë</w:t>
      </w:r>
      <w:r w:rsidR="004F4D10" w:rsidRPr="00310932">
        <w:rPr>
          <w:rFonts w:ascii="Times New Roman" w:hAnsi="Times New Roman"/>
          <w:sz w:val="24"/>
          <w:lang w:val="sq-AL"/>
        </w:rPr>
        <w:t xml:space="preserve"> e Kultur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4F4D10" w:rsidRPr="00310932">
        <w:rPr>
          <w:rFonts w:ascii="Times New Roman" w:hAnsi="Times New Roman"/>
          <w:sz w:val="24"/>
          <w:lang w:val="sq-AL"/>
        </w:rPr>
        <w:t xml:space="preserve">s dhe QKK, 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="00DB0EDD" w:rsidRPr="00310932">
        <w:rPr>
          <w:rFonts w:ascii="Times New Roman" w:hAnsi="Times New Roman"/>
          <w:sz w:val="24"/>
          <w:lang w:val="sq-AL"/>
        </w:rPr>
        <w:t>sht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="00DB0EDD" w:rsidRPr="00310932">
        <w:rPr>
          <w:rFonts w:ascii="Times New Roman" w:hAnsi="Times New Roman"/>
          <w:sz w:val="24"/>
          <w:lang w:val="sq-AL"/>
        </w:rPr>
        <w:t xml:space="preserve"> miratuar fondi prej </w:t>
      </w:r>
      <w:r w:rsidR="004F4D10" w:rsidRPr="00310932">
        <w:rPr>
          <w:rFonts w:ascii="Times New Roman" w:hAnsi="Times New Roman"/>
          <w:sz w:val="24"/>
          <w:lang w:val="sq-AL"/>
        </w:rPr>
        <w:t>7.3 milion</w:t>
      </w:r>
      <w:r w:rsidR="00986169" w:rsidRPr="00310932">
        <w:rPr>
          <w:rFonts w:ascii="Times New Roman" w:hAnsi="Times New Roman"/>
          <w:sz w:val="24"/>
          <w:lang w:val="sq-AL"/>
        </w:rPr>
        <w:t>ë</w:t>
      </w:r>
      <w:r w:rsidR="004F4D10" w:rsidRPr="00310932">
        <w:rPr>
          <w:rFonts w:ascii="Times New Roman" w:hAnsi="Times New Roman"/>
          <w:sz w:val="24"/>
          <w:lang w:val="sq-AL"/>
        </w:rPr>
        <w:t xml:space="preserve"> lek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4F4D10" w:rsidRPr="00310932">
        <w:rPr>
          <w:rFonts w:ascii="Times New Roman" w:hAnsi="Times New Roman"/>
          <w:sz w:val="24"/>
          <w:lang w:val="sq-AL"/>
        </w:rPr>
        <w:t>sh</w:t>
      </w:r>
      <w:r w:rsidR="00FB344F" w:rsidRPr="00310932">
        <w:rPr>
          <w:rFonts w:ascii="Times New Roman" w:hAnsi="Times New Roman"/>
          <w:sz w:val="24"/>
          <w:lang w:val="sq-AL"/>
        </w:rPr>
        <w:t xml:space="preserve"> </w:t>
      </w:r>
      <w:r w:rsidR="00DB0EDD" w:rsidRPr="00310932">
        <w:rPr>
          <w:rFonts w:ascii="Times New Roman" w:hAnsi="Times New Roman"/>
          <w:sz w:val="24"/>
          <w:lang w:val="sq-AL"/>
        </w:rPr>
        <w:t>p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="00DB0EDD" w:rsidRPr="00310932">
        <w:rPr>
          <w:rFonts w:ascii="Times New Roman" w:hAnsi="Times New Roman"/>
          <w:sz w:val="24"/>
          <w:lang w:val="sq-AL"/>
        </w:rPr>
        <w:t xml:space="preserve">r </w:t>
      </w:r>
      <w:r w:rsidR="00FB344F" w:rsidRPr="00310932">
        <w:rPr>
          <w:rFonts w:ascii="Times New Roman" w:hAnsi="Times New Roman"/>
          <w:sz w:val="24"/>
          <w:lang w:val="sq-AL"/>
        </w:rPr>
        <w:t>sh</w:t>
      </w:r>
      <w:r w:rsidR="004F4D10" w:rsidRPr="00310932">
        <w:rPr>
          <w:rFonts w:ascii="Times New Roman" w:hAnsi="Times New Roman"/>
          <w:sz w:val="24"/>
          <w:lang w:val="sq-AL"/>
        </w:rPr>
        <w:t>penzime korente dhe 133.7 milion</w:t>
      </w:r>
      <w:r w:rsidR="00986169" w:rsidRPr="00310932">
        <w:rPr>
          <w:rFonts w:ascii="Times New Roman" w:hAnsi="Times New Roman"/>
          <w:sz w:val="24"/>
          <w:lang w:val="sq-AL"/>
        </w:rPr>
        <w:t>ë</w:t>
      </w:r>
      <w:r w:rsidR="004F4D10" w:rsidRPr="00310932">
        <w:rPr>
          <w:rFonts w:ascii="Times New Roman" w:hAnsi="Times New Roman"/>
          <w:sz w:val="24"/>
          <w:lang w:val="sq-AL"/>
        </w:rPr>
        <w:t xml:space="preserve"> </w:t>
      </w:r>
      <w:r w:rsidR="00187D35" w:rsidRPr="00310932">
        <w:rPr>
          <w:rFonts w:ascii="Times New Roman" w:hAnsi="Times New Roman"/>
          <w:sz w:val="24"/>
          <w:lang w:val="sq-AL"/>
        </w:rPr>
        <w:t>lekë</w:t>
      </w:r>
      <w:r w:rsidR="004F4D10" w:rsidRPr="00310932">
        <w:rPr>
          <w:rFonts w:ascii="Times New Roman" w:hAnsi="Times New Roman"/>
          <w:sz w:val="24"/>
          <w:lang w:val="sq-AL"/>
        </w:rPr>
        <w:t xml:space="preserve"> shpenzime kapitale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4F4D10" w:rsidRPr="00310932">
        <w:rPr>
          <w:rFonts w:ascii="Times New Roman" w:hAnsi="Times New Roman"/>
          <w:sz w:val="24"/>
          <w:lang w:val="sq-AL"/>
        </w:rPr>
        <w:t>r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4F4D10" w:rsidRPr="00310932">
        <w:rPr>
          <w:rFonts w:ascii="Times New Roman" w:hAnsi="Times New Roman"/>
          <w:sz w:val="24"/>
          <w:lang w:val="sq-AL"/>
        </w:rPr>
        <w:t>rballimin e shpenzimeve m</w:t>
      </w:r>
      <w:r w:rsidR="00522F56" w:rsidRPr="00310932">
        <w:rPr>
          <w:rFonts w:ascii="Times New Roman" w:hAnsi="Times New Roman"/>
          <w:sz w:val="24"/>
          <w:lang w:val="sq-AL"/>
        </w:rPr>
        <w:t xml:space="preserve">e </w:t>
      </w:r>
      <w:r w:rsidR="004F4D10" w:rsidRPr="00310932">
        <w:rPr>
          <w:rFonts w:ascii="Times New Roman" w:hAnsi="Times New Roman"/>
          <w:sz w:val="24"/>
          <w:lang w:val="sq-AL"/>
        </w:rPr>
        <w:t>rastin e ardhjes s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4F4D10" w:rsidRPr="00310932">
        <w:rPr>
          <w:rFonts w:ascii="Times New Roman" w:hAnsi="Times New Roman"/>
          <w:sz w:val="24"/>
          <w:lang w:val="sq-AL"/>
        </w:rPr>
        <w:t xml:space="preserve"> Papa Fran</w:t>
      </w:r>
      <w:r w:rsidR="00986169" w:rsidRPr="00310932">
        <w:rPr>
          <w:rFonts w:ascii="Times New Roman" w:hAnsi="Times New Roman"/>
          <w:sz w:val="24"/>
          <w:lang w:val="sq-AL"/>
        </w:rPr>
        <w:t>ç</w:t>
      </w:r>
      <w:r w:rsidR="004F4D10" w:rsidRPr="00310932">
        <w:rPr>
          <w:rFonts w:ascii="Times New Roman" w:hAnsi="Times New Roman"/>
          <w:sz w:val="24"/>
          <w:lang w:val="sq-AL"/>
        </w:rPr>
        <w:t>eskut.</w:t>
      </w:r>
    </w:p>
    <w:p w:rsidR="002F24A7" w:rsidRPr="00310932" w:rsidRDefault="00DB0EDD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 w:rsidRPr="00310932">
        <w:rPr>
          <w:rFonts w:ascii="Times New Roman" w:hAnsi="Times New Roman"/>
          <w:sz w:val="24"/>
          <w:lang w:val="sq-AL"/>
        </w:rPr>
        <w:t>Me VKM nr. 535, dat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 xml:space="preserve"> 6.08.2014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2F24A7" w:rsidRPr="00310932">
        <w:rPr>
          <w:rFonts w:ascii="Times New Roman" w:hAnsi="Times New Roman"/>
          <w:sz w:val="24"/>
          <w:lang w:val="sq-AL"/>
        </w:rPr>
        <w:t>r Ministrin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2F24A7" w:rsidRPr="00310932">
        <w:rPr>
          <w:rFonts w:ascii="Times New Roman" w:hAnsi="Times New Roman"/>
          <w:sz w:val="24"/>
          <w:lang w:val="sq-AL"/>
        </w:rPr>
        <w:t xml:space="preserve"> e Financave 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>sht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 xml:space="preserve"> akorduar fondi </w:t>
      </w:r>
      <w:r w:rsidR="002F24A7" w:rsidRPr="00310932">
        <w:rPr>
          <w:rFonts w:ascii="Times New Roman" w:hAnsi="Times New Roman"/>
          <w:sz w:val="24"/>
          <w:lang w:val="sq-AL"/>
        </w:rPr>
        <w:t>prej 198 milion</w:t>
      </w:r>
      <w:r w:rsidR="00986169" w:rsidRPr="00310932">
        <w:rPr>
          <w:rFonts w:ascii="Times New Roman" w:hAnsi="Times New Roman"/>
          <w:sz w:val="24"/>
          <w:lang w:val="sq-AL"/>
        </w:rPr>
        <w:t>ë</w:t>
      </w:r>
      <w:r w:rsidR="002F24A7" w:rsidRPr="00310932">
        <w:rPr>
          <w:rFonts w:ascii="Times New Roman" w:hAnsi="Times New Roman"/>
          <w:sz w:val="24"/>
          <w:lang w:val="sq-AL"/>
        </w:rPr>
        <w:t xml:space="preserve"> lek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986169" w:rsidRPr="00310932">
        <w:rPr>
          <w:rFonts w:ascii="Times New Roman" w:hAnsi="Times New Roman"/>
          <w:sz w:val="24"/>
          <w:lang w:val="sq-AL"/>
        </w:rPr>
        <w:t>sh</w:t>
      </w:r>
      <w:r w:rsidR="002F24A7" w:rsidRPr="00310932">
        <w:rPr>
          <w:rFonts w:ascii="Times New Roman" w:hAnsi="Times New Roman"/>
          <w:sz w:val="24"/>
          <w:lang w:val="sq-AL"/>
        </w:rPr>
        <w:t xml:space="preserve">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2F24A7" w:rsidRPr="00310932">
        <w:rPr>
          <w:rFonts w:ascii="Times New Roman" w:hAnsi="Times New Roman"/>
          <w:sz w:val="24"/>
          <w:lang w:val="sq-AL"/>
        </w:rPr>
        <w:t>r shpenzime kapitale.</w:t>
      </w:r>
    </w:p>
    <w:p w:rsidR="00527F1F" w:rsidRPr="00310932" w:rsidRDefault="00DB0EDD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 w:rsidRPr="00310932">
        <w:rPr>
          <w:rFonts w:ascii="Times New Roman" w:hAnsi="Times New Roman"/>
          <w:sz w:val="24"/>
          <w:lang w:val="sq-AL"/>
        </w:rPr>
        <w:t>Me VKM nr. 538, dat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 xml:space="preserve"> 6.08.2014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2F24A7" w:rsidRPr="00310932">
        <w:rPr>
          <w:rFonts w:ascii="Times New Roman" w:hAnsi="Times New Roman"/>
          <w:sz w:val="24"/>
          <w:lang w:val="sq-AL"/>
        </w:rPr>
        <w:t xml:space="preserve">r </w:t>
      </w:r>
      <w:r w:rsidR="00187D35" w:rsidRPr="00310932">
        <w:rPr>
          <w:rFonts w:ascii="Times New Roman" w:hAnsi="Times New Roman"/>
          <w:sz w:val="24"/>
          <w:lang w:val="sq-AL"/>
        </w:rPr>
        <w:t>Ministrinë</w:t>
      </w:r>
      <w:r w:rsidR="00FB344F" w:rsidRPr="00310932">
        <w:rPr>
          <w:rFonts w:ascii="Times New Roman" w:hAnsi="Times New Roman"/>
          <w:sz w:val="24"/>
          <w:lang w:val="sq-AL"/>
        </w:rPr>
        <w:t xml:space="preserve"> e Transportit dhe Infrastruktur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FB344F" w:rsidRPr="00310932">
        <w:rPr>
          <w:rFonts w:ascii="Times New Roman" w:hAnsi="Times New Roman"/>
          <w:sz w:val="24"/>
          <w:lang w:val="sq-AL"/>
        </w:rPr>
        <w:t>s</w:t>
      </w:r>
      <w:r w:rsidRPr="00310932">
        <w:rPr>
          <w:rFonts w:ascii="Times New Roman" w:hAnsi="Times New Roman"/>
          <w:sz w:val="24"/>
          <w:lang w:val="sq-AL"/>
        </w:rPr>
        <w:t xml:space="preserve"> 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>sht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 xml:space="preserve"> akorduar fondi </w:t>
      </w:r>
      <w:r w:rsidR="00FB344F" w:rsidRPr="00310932">
        <w:rPr>
          <w:rFonts w:ascii="Times New Roman" w:hAnsi="Times New Roman"/>
          <w:sz w:val="24"/>
          <w:lang w:val="sq-AL"/>
        </w:rPr>
        <w:t>22.7 milion</w:t>
      </w:r>
      <w:r w:rsidR="00986169" w:rsidRPr="00310932">
        <w:rPr>
          <w:rFonts w:ascii="Times New Roman" w:hAnsi="Times New Roman"/>
          <w:sz w:val="24"/>
          <w:lang w:val="sq-AL"/>
        </w:rPr>
        <w:t>ë</w:t>
      </w:r>
      <w:r w:rsidR="00FB344F" w:rsidRPr="00310932">
        <w:rPr>
          <w:rFonts w:ascii="Times New Roman" w:hAnsi="Times New Roman"/>
          <w:sz w:val="24"/>
          <w:lang w:val="sq-AL"/>
        </w:rPr>
        <w:t xml:space="preserve"> lek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FB344F" w:rsidRPr="00310932">
        <w:rPr>
          <w:rFonts w:ascii="Times New Roman" w:hAnsi="Times New Roman"/>
          <w:sz w:val="24"/>
          <w:lang w:val="sq-AL"/>
        </w:rPr>
        <w:t xml:space="preserve">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FB344F" w:rsidRPr="00310932">
        <w:rPr>
          <w:rFonts w:ascii="Times New Roman" w:hAnsi="Times New Roman"/>
          <w:sz w:val="24"/>
          <w:lang w:val="sq-AL"/>
        </w:rPr>
        <w:t xml:space="preserve">r investime dhe </w:t>
      </w:r>
      <w:r w:rsidRPr="00310932">
        <w:rPr>
          <w:rFonts w:ascii="Times New Roman" w:hAnsi="Times New Roman"/>
          <w:sz w:val="24"/>
          <w:lang w:val="sq-AL"/>
        </w:rPr>
        <w:t>p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 xml:space="preserve">r </w:t>
      </w:r>
      <w:r w:rsidR="00986169" w:rsidRPr="00310932">
        <w:rPr>
          <w:rFonts w:ascii="Times New Roman" w:hAnsi="Times New Roman"/>
          <w:sz w:val="24"/>
          <w:lang w:val="sq-AL"/>
        </w:rPr>
        <w:t>M</w:t>
      </w:r>
      <w:r w:rsidR="00FB344F" w:rsidRPr="00310932">
        <w:rPr>
          <w:rFonts w:ascii="Times New Roman" w:hAnsi="Times New Roman"/>
          <w:sz w:val="24"/>
          <w:lang w:val="sq-AL"/>
        </w:rPr>
        <w:t>inistrin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FB344F" w:rsidRPr="00310932">
        <w:rPr>
          <w:rFonts w:ascii="Times New Roman" w:hAnsi="Times New Roman"/>
          <w:sz w:val="24"/>
          <w:lang w:val="sq-AL"/>
        </w:rPr>
        <w:t xml:space="preserve"> e Kultur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FB344F" w:rsidRPr="00310932">
        <w:rPr>
          <w:rFonts w:ascii="Times New Roman" w:hAnsi="Times New Roman"/>
          <w:sz w:val="24"/>
          <w:lang w:val="sq-AL"/>
        </w:rPr>
        <w:t xml:space="preserve">s </w:t>
      </w:r>
      <w:r w:rsidRPr="00310932">
        <w:rPr>
          <w:rFonts w:ascii="Times New Roman" w:hAnsi="Times New Roman"/>
          <w:sz w:val="24"/>
          <w:lang w:val="sq-AL"/>
        </w:rPr>
        <w:t xml:space="preserve">fondi prej </w:t>
      </w:r>
      <w:r w:rsidR="00FB344F" w:rsidRPr="00310932">
        <w:rPr>
          <w:rFonts w:ascii="Times New Roman" w:hAnsi="Times New Roman"/>
          <w:sz w:val="24"/>
          <w:lang w:val="sq-AL"/>
        </w:rPr>
        <w:t>39.5 milion</w:t>
      </w:r>
      <w:r w:rsidR="00986169" w:rsidRPr="00310932">
        <w:rPr>
          <w:rFonts w:ascii="Times New Roman" w:hAnsi="Times New Roman"/>
          <w:sz w:val="24"/>
          <w:lang w:val="sq-AL"/>
        </w:rPr>
        <w:t>ë</w:t>
      </w:r>
      <w:r w:rsidR="00FB344F" w:rsidRPr="00310932">
        <w:rPr>
          <w:rFonts w:ascii="Times New Roman" w:hAnsi="Times New Roman"/>
          <w:sz w:val="24"/>
          <w:lang w:val="sq-AL"/>
        </w:rPr>
        <w:t xml:space="preserve"> lek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FB344F" w:rsidRPr="00310932">
        <w:rPr>
          <w:rFonts w:ascii="Times New Roman" w:hAnsi="Times New Roman"/>
          <w:sz w:val="24"/>
          <w:lang w:val="sq-AL"/>
        </w:rPr>
        <w:t xml:space="preserve">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986169" w:rsidRPr="00310932">
        <w:rPr>
          <w:rFonts w:ascii="Times New Roman" w:hAnsi="Times New Roman"/>
          <w:sz w:val="24"/>
          <w:lang w:val="sq-AL"/>
        </w:rPr>
        <w:t>r shpenzime kor</w:t>
      </w:r>
      <w:r w:rsidR="00FB344F" w:rsidRPr="00310932">
        <w:rPr>
          <w:rFonts w:ascii="Times New Roman" w:hAnsi="Times New Roman"/>
          <w:sz w:val="24"/>
          <w:lang w:val="sq-AL"/>
        </w:rPr>
        <w:t>ente,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FB344F" w:rsidRPr="00310932">
        <w:rPr>
          <w:rFonts w:ascii="Times New Roman" w:hAnsi="Times New Roman"/>
          <w:sz w:val="24"/>
          <w:lang w:val="sq-AL"/>
        </w:rPr>
        <w:t>r mbulimin e shpenzimeve me rastin e ardhjes s</w:t>
      </w:r>
      <w:r w:rsidR="00986169" w:rsidRPr="00310932">
        <w:rPr>
          <w:rFonts w:ascii="Times New Roman" w:hAnsi="Times New Roman"/>
          <w:sz w:val="24"/>
          <w:lang w:val="sq-AL"/>
        </w:rPr>
        <w:t>ë</w:t>
      </w:r>
      <w:r w:rsidR="00FB344F" w:rsidRPr="00310932">
        <w:rPr>
          <w:rFonts w:ascii="Times New Roman" w:hAnsi="Times New Roman"/>
          <w:sz w:val="24"/>
          <w:lang w:val="sq-AL"/>
        </w:rPr>
        <w:t xml:space="preserve"> Papa Françeskut.</w:t>
      </w:r>
    </w:p>
    <w:p w:rsidR="006674DE" w:rsidRPr="00310932" w:rsidRDefault="00DB0EDD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 w:rsidRPr="00310932">
        <w:rPr>
          <w:rFonts w:ascii="Times New Roman" w:hAnsi="Times New Roman"/>
          <w:sz w:val="24"/>
          <w:lang w:val="sq-AL"/>
        </w:rPr>
        <w:t xml:space="preserve">Me VKM nr. </w:t>
      </w:r>
      <w:r w:rsidR="00713C8B" w:rsidRPr="00310932">
        <w:rPr>
          <w:rFonts w:ascii="Times New Roman" w:hAnsi="Times New Roman"/>
          <w:sz w:val="24"/>
          <w:lang w:val="sq-AL"/>
        </w:rPr>
        <w:t>541, dat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="00713C8B" w:rsidRPr="00310932">
        <w:rPr>
          <w:rFonts w:ascii="Times New Roman" w:hAnsi="Times New Roman"/>
          <w:sz w:val="24"/>
          <w:lang w:val="sq-AL"/>
        </w:rPr>
        <w:t xml:space="preserve"> 7.08.2014 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="00713C8B" w:rsidRPr="00310932">
        <w:rPr>
          <w:rFonts w:ascii="Times New Roman" w:hAnsi="Times New Roman"/>
          <w:sz w:val="24"/>
          <w:lang w:val="sq-AL"/>
        </w:rPr>
        <w:t>sht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="00713C8B" w:rsidRPr="00310932">
        <w:rPr>
          <w:rFonts w:ascii="Times New Roman" w:hAnsi="Times New Roman"/>
          <w:sz w:val="24"/>
          <w:lang w:val="sq-AL"/>
        </w:rPr>
        <w:t xml:space="preserve"> akorduar fondi prej 23.4 milionë lekësh për shpenzime korente p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="00713C8B" w:rsidRPr="00310932">
        <w:rPr>
          <w:rFonts w:ascii="Times New Roman" w:hAnsi="Times New Roman"/>
          <w:sz w:val="24"/>
          <w:lang w:val="sq-AL"/>
        </w:rPr>
        <w:t>r për përballimin e shpenzimeve për festimet e 70-vjetorit të Çlirimit të</w:t>
      </w:r>
      <w:r w:rsidR="004340B6" w:rsidRPr="00310932">
        <w:rPr>
          <w:rFonts w:ascii="Times New Roman" w:hAnsi="Times New Roman"/>
          <w:sz w:val="24"/>
          <w:lang w:val="sq-AL"/>
        </w:rPr>
        <w:t xml:space="preserve"> vendit </w:t>
      </w:r>
      <w:r w:rsidR="00713C8B" w:rsidRPr="00310932">
        <w:rPr>
          <w:rFonts w:ascii="Times New Roman" w:hAnsi="Times New Roman"/>
          <w:sz w:val="24"/>
          <w:lang w:val="sq-AL"/>
        </w:rPr>
        <w:t>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674DE" w:rsidRPr="00310932">
        <w:rPr>
          <w:rFonts w:ascii="Times New Roman" w:hAnsi="Times New Roman"/>
          <w:sz w:val="24"/>
          <w:lang w:val="sq-AL"/>
        </w:rPr>
        <w:t>r disa ministri dhe institucione</w:t>
      </w:r>
      <w:r w:rsidR="00713C8B" w:rsidRPr="00310932">
        <w:rPr>
          <w:rFonts w:ascii="Times New Roman" w:hAnsi="Times New Roman"/>
          <w:sz w:val="24"/>
          <w:lang w:val="sq-AL"/>
        </w:rPr>
        <w:t xml:space="preserve">: </w:t>
      </w:r>
      <w:r w:rsidR="006755A4" w:rsidRPr="00310932">
        <w:rPr>
          <w:rFonts w:ascii="Times New Roman" w:hAnsi="Times New Roman"/>
          <w:sz w:val="24"/>
          <w:lang w:val="sq-AL"/>
        </w:rPr>
        <w:t>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>r Ministrin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 xml:space="preserve"> e Kultur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>s, Drejtorin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 xml:space="preserve"> e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>rgjithshme t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 xml:space="preserve"> Arkivave, Ministrin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 xml:space="preserve"> e Mir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>qenies Sociale dhe Rinis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>, Ministrin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 xml:space="preserve"> e Mbrojtjes, Ministrin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 xml:space="preserve"> e Pun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>ve t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 xml:space="preserve"> </w:t>
      </w:r>
      <w:r w:rsidR="00187D35" w:rsidRPr="00310932">
        <w:rPr>
          <w:rFonts w:ascii="Times New Roman" w:hAnsi="Times New Roman"/>
          <w:sz w:val="24"/>
          <w:lang w:val="sq-AL"/>
        </w:rPr>
        <w:t>Brendshme</w:t>
      </w:r>
      <w:r w:rsidR="006755A4" w:rsidRPr="00310932">
        <w:rPr>
          <w:rFonts w:ascii="Times New Roman" w:hAnsi="Times New Roman"/>
          <w:sz w:val="24"/>
          <w:lang w:val="sq-AL"/>
        </w:rPr>
        <w:t xml:space="preserve">, </w:t>
      </w:r>
    </w:p>
    <w:p w:rsidR="006755A4" w:rsidRPr="00310932" w:rsidRDefault="005C4ED2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 w:rsidRPr="00310932">
        <w:rPr>
          <w:rFonts w:ascii="Times New Roman" w:hAnsi="Times New Roman"/>
          <w:sz w:val="24"/>
          <w:lang w:val="sq-AL"/>
        </w:rPr>
        <w:t>Me VKM nr. 570, dat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 xml:space="preserve"> 3.09.2014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>r Ministrin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 xml:space="preserve"> e Pun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>ve t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 xml:space="preserve"> </w:t>
      </w:r>
      <w:r w:rsidR="00187D35" w:rsidRPr="00310932">
        <w:rPr>
          <w:rFonts w:ascii="Times New Roman" w:hAnsi="Times New Roman"/>
          <w:sz w:val="24"/>
          <w:lang w:val="sq-AL"/>
        </w:rPr>
        <w:t>Brendshme</w:t>
      </w:r>
      <w:r w:rsidR="006755A4" w:rsidRPr="00310932">
        <w:rPr>
          <w:rFonts w:ascii="Times New Roman" w:hAnsi="Times New Roman"/>
          <w:sz w:val="24"/>
          <w:lang w:val="sq-AL"/>
        </w:rPr>
        <w:t xml:space="preserve"> 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>sht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 xml:space="preserve"> akorduar fondi prej </w:t>
      </w:r>
      <w:r w:rsidR="006755A4" w:rsidRPr="00310932">
        <w:rPr>
          <w:rFonts w:ascii="Times New Roman" w:hAnsi="Times New Roman"/>
          <w:sz w:val="24"/>
          <w:lang w:val="sq-AL"/>
        </w:rPr>
        <w:t>7 milion</w:t>
      </w:r>
      <w:r w:rsidR="00986169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 xml:space="preserve"> lek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986169" w:rsidRPr="00310932">
        <w:rPr>
          <w:rFonts w:ascii="Times New Roman" w:hAnsi="Times New Roman"/>
          <w:sz w:val="24"/>
          <w:lang w:val="sq-AL"/>
        </w:rPr>
        <w:t xml:space="preserve"> </w:t>
      </w:r>
      <w:r w:rsidRPr="00310932">
        <w:rPr>
          <w:rFonts w:ascii="Times New Roman" w:hAnsi="Times New Roman"/>
          <w:sz w:val="24"/>
          <w:lang w:val="sq-AL"/>
        </w:rPr>
        <w:t>p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 xml:space="preserve">r </w:t>
      </w:r>
      <w:r w:rsidR="00986169" w:rsidRPr="00310932">
        <w:rPr>
          <w:rFonts w:ascii="Times New Roman" w:hAnsi="Times New Roman"/>
          <w:sz w:val="24"/>
          <w:lang w:val="sq-AL"/>
        </w:rPr>
        <w:t>shpenzime kor</w:t>
      </w:r>
      <w:r w:rsidR="006755A4" w:rsidRPr="00310932">
        <w:rPr>
          <w:rFonts w:ascii="Times New Roman" w:hAnsi="Times New Roman"/>
          <w:sz w:val="24"/>
          <w:lang w:val="sq-AL"/>
        </w:rPr>
        <w:t>ente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 xml:space="preserve">r </w:t>
      </w:r>
      <w:r w:rsidR="00986169" w:rsidRPr="00310932">
        <w:rPr>
          <w:rFonts w:ascii="Times New Roman" w:hAnsi="Times New Roman"/>
          <w:sz w:val="24"/>
          <w:lang w:val="sq-AL"/>
        </w:rPr>
        <w:t>S</w:t>
      </w:r>
      <w:r w:rsidR="006755A4" w:rsidRPr="00310932">
        <w:rPr>
          <w:rFonts w:ascii="Times New Roman" w:hAnsi="Times New Roman"/>
          <w:sz w:val="24"/>
          <w:lang w:val="sq-AL"/>
        </w:rPr>
        <w:t>h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6755A4" w:rsidRPr="00310932">
        <w:rPr>
          <w:rFonts w:ascii="Times New Roman" w:hAnsi="Times New Roman"/>
          <w:sz w:val="24"/>
          <w:lang w:val="sq-AL"/>
        </w:rPr>
        <w:t xml:space="preserve">rbimin e </w:t>
      </w:r>
      <w:r w:rsidR="00187D35" w:rsidRPr="00310932">
        <w:rPr>
          <w:rFonts w:ascii="Times New Roman" w:hAnsi="Times New Roman"/>
          <w:sz w:val="24"/>
          <w:lang w:val="sq-AL"/>
        </w:rPr>
        <w:t>Gjendjes</w:t>
      </w:r>
      <w:r w:rsidR="006755A4" w:rsidRPr="00310932">
        <w:rPr>
          <w:rFonts w:ascii="Times New Roman" w:hAnsi="Times New Roman"/>
          <w:sz w:val="24"/>
          <w:lang w:val="sq-AL"/>
        </w:rPr>
        <w:t xml:space="preserve"> Civile.</w:t>
      </w:r>
    </w:p>
    <w:p w:rsidR="00BD7E0F" w:rsidRPr="00310932" w:rsidRDefault="005C4ED2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 w:rsidRPr="00310932">
        <w:rPr>
          <w:rFonts w:ascii="Times New Roman" w:hAnsi="Times New Roman"/>
          <w:sz w:val="24"/>
          <w:lang w:val="sq-AL"/>
        </w:rPr>
        <w:t>Me VKM nr.596</w:t>
      </w:r>
      <w:r w:rsidR="004340B6" w:rsidRPr="00310932">
        <w:rPr>
          <w:rFonts w:ascii="Times New Roman" w:hAnsi="Times New Roman"/>
          <w:sz w:val="24"/>
          <w:lang w:val="sq-AL"/>
        </w:rPr>
        <w:t>,</w:t>
      </w:r>
      <w:r w:rsidRPr="00310932">
        <w:rPr>
          <w:rFonts w:ascii="Times New Roman" w:hAnsi="Times New Roman"/>
          <w:sz w:val="24"/>
          <w:lang w:val="sq-AL"/>
        </w:rPr>
        <w:t xml:space="preserve"> dat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 xml:space="preserve"> 10.09.2014, 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>sht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 xml:space="preserve"> akorduar fondi prej 77.5 milionë lekësh për shpenzime korente dhe 6.5 milionë lekë për shpenzime kapitale, për përballimin e shpenzimeve për festimet e 70-vjetorit të Çlirimit të vendit p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>r disa ministri dhe institucione dhe konkretisht: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>r Ministrin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 xml:space="preserve"> e Arsimit dhe Sportit, Ministrin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 xml:space="preserve"> e Pun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>ve t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 xml:space="preserve"> </w:t>
      </w:r>
      <w:r w:rsidR="00187D35" w:rsidRPr="00310932">
        <w:rPr>
          <w:rFonts w:ascii="Times New Roman" w:hAnsi="Times New Roman"/>
          <w:sz w:val="24"/>
          <w:lang w:val="sq-AL"/>
        </w:rPr>
        <w:t>Brendshme</w:t>
      </w:r>
      <w:r w:rsidR="00BD7E0F" w:rsidRPr="00310932">
        <w:rPr>
          <w:rFonts w:ascii="Times New Roman" w:hAnsi="Times New Roman"/>
          <w:sz w:val="24"/>
          <w:lang w:val="sq-AL"/>
        </w:rPr>
        <w:t>, Drejtorin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 xml:space="preserve"> e Sh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>rbimeve Qeveritare, Ministrin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 xml:space="preserve"> e Mbrojtjes, Ministrin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 xml:space="preserve"> e Kultur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>s</w:t>
      </w:r>
      <w:r w:rsidRPr="00310932">
        <w:rPr>
          <w:rFonts w:ascii="Times New Roman" w:hAnsi="Times New Roman"/>
          <w:sz w:val="24"/>
          <w:lang w:val="sq-AL"/>
        </w:rPr>
        <w:t>.</w:t>
      </w:r>
      <w:r w:rsidR="00BD7E0F" w:rsidRPr="00310932">
        <w:rPr>
          <w:rFonts w:ascii="Times New Roman" w:hAnsi="Times New Roman"/>
          <w:sz w:val="24"/>
          <w:lang w:val="sq-AL"/>
        </w:rPr>
        <w:t xml:space="preserve"> </w:t>
      </w:r>
    </w:p>
    <w:p w:rsidR="006755A4" w:rsidRPr="00310932" w:rsidRDefault="005C4ED2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 w:rsidRPr="00310932">
        <w:rPr>
          <w:rFonts w:ascii="Times New Roman" w:hAnsi="Times New Roman"/>
          <w:sz w:val="24"/>
          <w:lang w:val="sq-AL"/>
        </w:rPr>
        <w:t>Me VKM nr. 596, dat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 xml:space="preserve"> 10.09.2014 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>sht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 xml:space="preserve"> akorduar fondi prej 20.6 milionë lek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 xml:space="preserve"> p</w:t>
      </w:r>
      <w:r w:rsidR="004340B6" w:rsidRPr="00310932">
        <w:rPr>
          <w:rFonts w:ascii="Times New Roman" w:hAnsi="Times New Roman"/>
          <w:sz w:val="24"/>
          <w:lang w:val="sq-AL"/>
        </w:rPr>
        <w:t>ë</w:t>
      </w:r>
      <w:r w:rsidRPr="00310932">
        <w:rPr>
          <w:rFonts w:ascii="Times New Roman" w:hAnsi="Times New Roman"/>
          <w:sz w:val="24"/>
          <w:lang w:val="sq-AL"/>
        </w:rPr>
        <w:t>r shpenzime korrente dhe 8.7 milionë lekë për shpenzime kapitale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>r Ministrin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 xml:space="preserve"> e Kultur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>s, p</w:t>
      </w:r>
      <w:r w:rsidR="009B1780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>r mbulimin e shpenzimeve me rastin e ardhjes s</w:t>
      </w:r>
      <w:r w:rsidR="0068434A" w:rsidRPr="00310932">
        <w:rPr>
          <w:rFonts w:ascii="Times New Roman" w:hAnsi="Times New Roman"/>
          <w:sz w:val="24"/>
          <w:lang w:val="sq-AL"/>
        </w:rPr>
        <w:t>ë</w:t>
      </w:r>
      <w:r w:rsidR="00BD7E0F" w:rsidRPr="00310932">
        <w:rPr>
          <w:rFonts w:ascii="Times New Roman" w:hAnsi="Times New Roman"/>
          <w:sz w:val="24"/>
          <w:lang w:val="sq-AL"/>
        </w:rPr>
        <w:t xml:space="preserve"> Papa Françeskut.</w:t>
      </w:r>
    </w:p>
    <w:p w:rsidR="006755A4" w:rsidRPr="00187D35" w:rsidRDefault="00F8497E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>
        <w:rPr>
          <w:rFonts w:ascii="Times New Roman" w:hAnsi="Times New Roman"/>
          <w:sz w:val="24"/>
          <w:lang w:val="sq-AL"/>
        </w:rPr>
        <w:lastRenderedPageBreak/>
        <w:t>Me VKM nr. 598, dat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10.09.2014 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sht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akorduar fondi </w:t>
      </w:r>
      <w:r w:rsidRPr="00187D35">
        <w:rPr>
          <w:rFonts w:ascii="Times New Roman" w:hAnsi="Times New Roman"/>
          <w:sz w:val="24"/>
          <w:lang w:val="sq-AL"/>
        </w:rPr>
        <w:t>prej 17.9 milion</w:t>
      </w:r>
      <w:r>
        <w:rPr>
          <w:rFonts w:ascii="Times New Roman" w:hAnsi="Times New Roman"/>
          <w:sz w:val="24"/>
          <w:lang w:val="sq-AL"/>
        </w:rPr>
        <w:t>ë</w:t>
      </w:r>
      <w:r w:rsidRPr="00187D35">
        <w:rPr>
          <w:rFonts w:ascii="Times New Roman" w:hAnsi="Times New Roman"/>
          <w:sz w:val="24"/>
          <w:lang w:val="sq-AL"/>
        </w:rPr>
        <w:t xml:space="preserve"> lekë</w:t>
      </w:r>
      <w:r>
        <w:rPr>
          <w:rFonts w:ascii="Times New Roman" w:hAnsi="Times New Roman"/>
          <w:sz w:val="24"/>
          <w:lang w:val="sq-AL"/>
        </w:rPr>
        <w:t>sh</w:t>
      </w:r>
      <w:r w:rsidRPr="00187D35">
        <w:rPr>
          <w:rFonts w:ascii="Times New Roman" w:hAnsi="Times New Roman"/>
          <w:sz w:val="24"/>
          <w:lang w:val="sq-AL"/>
        </w:rPr>
        <w:t xml:space="preserve"> për shpenzime ko</w:t>
      </w:r>
      <w:r>
        <w:rPr>
          <w:rFonts w:ascii="Times New Roman" w:hAnsi="Times New Roman"/>
          <w:sz w:val="24"/>
          <w:lang w:val="sq-AL"/>
        </w:rPr>
        <w:t>r</w:t>
      </w:r>
      <w:r w:rsidRPr="00187D35">
        <w:rPr>
          <w:rFonts w:ascii="Times New Roman" w:hAnsi="Times New Roman"/>
          <w:sz w:val="24"/>
          <w:lang w:val="sq-AL"/>
        </w:rPr>
        <w:t>ente dhe shuma</w:t>
      </w:r>
      <w:r>
        <w:rPr>
          <w:rFonts w:ascii="Times New Roman" w:hAnsi="Times New Roman"/>
          <w:sz w:val="24"/>
          <w:lang w:val="sq-AL"/>
        </w:rPr>
        <w:t xml:space="preserve"> prej</w:t>
      </w:r>
      <w:r w:rsidRPr="00187D35">
        <w:rPr>
          <w:rFonts w:ascii="Times New Roman" w:hAnsi="Times New Roman"/>
          <w:sz w:val="24"/>
          <w:lang w:val="sq-AL"/>
        </w:rPr>
        <w:t xml:space="preserve"> 3.5 milion</w:t>
      </w:r>
      <w:r>
        <w:rPr>
          <w:rFonts w:ascii="Times New Roman" w:hAnsi="Times New Roman"/>
          <w:sz w:val="24"/>
          <w:lang w:val="sq-AL"/>
        </w:rPr>
        <w:t>ë</w:t>
      </w:r>
      <w:r w:rsidRPr="00187D35">
        <w:rPr>
          <w:rFonts w:ascii="Times New Roman" w:hAnsi="Times New Roman"/>
          <w:sz w:val="24"/>
          <w:lang w:val="sq-AL"/>
        </w:rPr>
        <w:t xml:space="preserve"> lekë</w:t>
      </w:r>
      <w:r>
        <w:rPr>
          <w:rFonts w:ascii="Times New Roman" w:hAnsi="Times New Roman"/>
          <w:sz w:val="24"/>
          <w:lang w:val="sq-AL"/>
        </w:rPr>
        <w:t>sh</w:t>
      </w:r>
      <w:r w:rsidRPr="00187D35">
        <w:rPr>
          <w:rFonts w:ascii="Times New Roman" w:hAnsi="Times New Roman"/>
          <w:sz w:val="24"/>
          <w:lang w:val="sq-AL"/>
        </w:rPr>
        <w:t xml:space="preserve"> shpenzime kapitale </w:t>
      </w:r>
      <w:r>
        <w:rPr>
          <w:rFonts w:ascii="Times New Roman" w:hAnsi="Times New Roman"/>
          <w:sz w:val="24"/>
          <w:lang w:val="sq-AL"/>
        </w:rPr>
        <w:t>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8A2111" w:rsidRPr="00187D35">
        <w:rPr>
          <w:rFonts w:ascii="Times New Roman" w:hAnsi="Times New Roman"/>
          <w:sz w:val="24"/>
          <w:lang w:val="sq-AL"/>
        </w:rPr>
        <w:t xml:space="preserve">r </w:t>
      </w:r>
      <w:r w:rsidR="0068434A">
        <w:rPr>
          <w:rFonts w:ascii="Times New Roman" w:hAnsi="Times New Roman"/>
          <w:sz w:val="24"/>
          <w:lang w:val="sq-AL"/>
        </w:rPr>
        <w:t>M</w:t>
      </w:r>
      <w:r w:rsidR="008A2111" w:rsidRPr="00187D35">
        <w:rPr>
          <w:rFonts w:ascii="Times New Roman" w:hAnsi="Times New Roman"/>
          <w:sz w:val="24"/>
          <w:lang w:val="sq-AL"/>
        </w:rPr>
        <w:t>inistrin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8A2111" w:rsidRPr="00187D35">
        <w:rPr>
          <w:rFonts w:ascii="Times New Roman" w:hAnsi="Times New Roman"/>
          <w:sz w:val="24"/>
          <w:lang w:val="sq-AL"/>
        </w:rPr>
        <w:t xml:space="preserve"> e </w:t>
      </w:r>
      <w:r w:rsidR="00187D35" w:rsidRPr="00187D35">
        <w:rPr>
          <w:rFonts w:ascii="Times New Roman" w:hAnsi="Times New Roman"/>
          <w:sz w:val="24"/>
          <w:lang w:val="sq-AL"/>
        </w:rPr>
        <w:t>Kulturës</w:t>
      </w:r>
      <w:r>
        <w:rPr>
          <w:rFonts w:ascii="Times New Roman" w:hAnsi="Times New Roman"/>
          <w:sz w:val="24"/>
          <w:lang w:val="sq-AL"/>
        </w:rPr>
        <w:t xml:space="preserve">, </w:t>
      </w:r>
      <w:r w:rsidR="00846FAD" w:rsidRPr="00187D35">
        <w:rPr>
          <w:rFonts w:ascii="Times New Roman" w:hAnsi="Times New Roman"/>
          <w:sz w:val="24"/>
          <w:lang w:val="sq-AL"/>
        </w:rPr>
        <w:t xml:space="preserve">për mbulimin e shpenzimeve në kuadrin e </w:t>
      </w:r>
      <w:r w:rsidR="00187D35" w:rsidRPr="00187D35">
        <w:rPr>
          <w:rFonts w:ascii="Times New Roman" w:hAnsi="Times New Roman"/>
          <w:sz w:val="24"/>
          <w:lang w:val="sq-AL"/>
        </w:rPr>
        <w:t>vizitës</w:t>
      </w:r>
      <w:r w:rsidR="00846FAD" w:rsidRPr="00187D35">
        <w:rPr>
          <w:rFonts w:ascii="Times New Roman" w:hAnsi="Times New Roman"/>
          <w:sz w:val="24"/>
          <w:lang w:val="sq-AL"/>
        </w:rPr>
        <w:t xml:space="preserve"> së</w:t>
      </w:r>
      <w:r w:rsidR="008A2111" w:rsidRPr="00187D35">
        <w:rPr>
          <w:rFonts w:ascii="Times New Roman" w:hAnsi="Times New Roman"/>
          <w:sz w:val="24"/>
          <w:lang w:val="sq-AL"/>
        </w:rPr>
        <w:t xml:space="preserve"> Papa Fran</w:t>
      </w:r>
      <w:r w:rsidR="0068434A">
        <w:rPr>
          <w:rFonts w:ascii="Times New Roman" w:hAnsi="Times New Roman"/>
          <w:sz w:val="24"/>
          <w:lang w:val="sq-AL"/>
        </w:rPr>
        <w:t>ç</w:t>
      </w:r>
      <w:r w:rsidR="008A2111" w:rsidRPr="00187D35">
        <w:rPr>
          <w:rFonts w:ascii="Times New Roman" w:hAnsi="Times New Roman"/>
          <w:sz w:val="24"/>
          <w:lang w:val="sq-AL"/>
        </w:rPr>
        <w:t>eskut.</w:t>
      </w:r>
    </w:p>
    <w:p w:rsidR="00F7503C" w:rsidRPr="00187D35" w:rsidRDefault="00F8497E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>
        <w:rPr>
          <w:rFonts w:ascii="Times New Roman" w:hAnsi="Times New Roman"/>
          <w:sz w:val="24"/>
          <w:lang w:val="sq-AL"/>
        </w:rPr>
        <w:t>Me VKM nr. 620, dat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10.09.2014 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sht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akorduar fondi prej</w:t>
      </w:r>
      <w:r w:rsidRPr="00187D35">
        <w:rPr>
          <w:rFonts w:ascii="Times New Roman" w:hAnsi="Times New Roman"/>
          <w:sz w:val="24"/>
          <w:lang w:val="sq-AL"/>
        </w:rPr>
        <w:t xml:space="preserve"> 44 milion</w:t>
      </w:r>
      <w:r>
        <w:rPr>
          <w:rFonts w:ascii="Times New Roman" w:hAnsi="Times New Roman"/>
          <w:sz w:val="24"/>
          <w:lang w:val="sq-AL"/>
        </w:rPr>
        <w:t>ë</w:t>
      </w:r>
      <w:r w:rsidRPr="00187D35">
        <w:rPr>
          <w:rFonts w:ascii="Times New Roman" w:hAnsi="Times New Roman"/>
          <w:sz w:val="24"/>
          <w:lang w:val="sq-AL"/>
        </w:rPr>
        <w:t xml:space="preserve"> lekë</w:t>
      </w:r>
      <w:r>
        <w:rPr>
          <w:rFonts w:ascii="Times New Roman" w:hAnsi="Times New Roman"/>
          <w:sz w:val="24"/>
          <w:lang w:val="sq-AL"/>
        </w:rPr>
        <w:t>sh</w:t>
      </w:r>
      <w:r w:rsidRPr="00187D35">
        <w:rPr>
          <w:rFonts w:ascii="Times New Roman" w:hAnsi="Times New Roman"/>
          <w:sz w:val="24"/>
          <w:lang w:val="sq-AL"/>
        </w:rPr>
        <w:t xml:space="preserve"> për shpenzime korente </w:t>
      </w:r>
      <w:r>
        <w:rPr>
          <w:rFonts w:ascii="Times New Roman" w:hAnsi="Times New Roman"/>
          <w:sz w:val="24"/>
          <w:lang w:val="sq-AL"/>
        </w:rPr>
        <w:t>p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r </w:t>
      </w:r>
      <w:r w:rsidR="008A2111" w:rsidRPr="00187D35">
        <w:rPr>
          <w:rFonts w:ascii="Times New Roman" w:hAnsi="Times New Roman"/>
          <w:sz w:val="24"/>
          <w:lang w:val="sq-AL"/>
        </w:rPr>
        <w:t>Ministri</w:t>
      </w:r>
      <w:r>
        <w:rPr>
          <w:rFonts w:ascii="Times New Roman" w:hAnsi="Times New Roman"/>
          <w:sz w:val="24"/>
          <w:lang w:val="sq-AL"/>
        </w:rPr>
        <w:t>n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8A2111" w:rsidRPr="00187D35">
        <w:rPr>
          <w:rFonts w:ascii="Times New Roman" w:hAnsi="Times New Roman"/>
          <w:sz w:val="24"/>
          <w:lang w:val="sq-AL"/>
        </w:rPr>
        <w:t xml:space="preserve"> </w:t>
      </w:r>
      <w:r>
        <w:rPr>
          <w:rFonts w:ascii="Times New Roman" w:hAnsi="Times New Roman"/>
          <w:sz w:val="24"/>
          <w:lang w:val="sq-AL"/>
        </w:rPr>
        <w:t>e</w:t>
      </w:r>
      <w:r w:rsidR="008A2111" w:rsidRPr="00187D35">
        <w:rPr>
          <w:rFonts w:ascii="Times New Roman" w:hAnsi="Times New Roman"/>
          <w:sz w:val="24"/>
          <w:lang w:val="sq-AL"/>
        </w:rPr>
        <w:t xml:space="preserve"> Arsimit </w:t>
      </w:r>
      <w:r w:rsidR="00846FAD" w:rsidRPr="00187D35">
        <w:rPr>
          <w:rFonts w:ascii="Times New Roman" w:hAnsi="Times New Roman"/>
          <w:sz w:val="24"/>
          <w:lang w:val="sq-AL"/>
        </w:rPr>
        <w:t>dhe Sportit</w:t>
      </w:r>
      <w:r>
        <w:rPr>
          <w:rFonts w:ascii="Times New Roman" w:hAnsi="Times New Roman"/>
          <w:sz w:val="24"/>
          <w:lang w:val="sq-AL"/>
        </w:rPr>
        <w:t>,</w:t>
      </w:r>
      <w:r w:rsidR="00846FAD" w:rsidRPr="00187D35">
        <w:rPr>
          <w:rFonts w:ascii="Times New Roman" w:hAnsi="Times New Roman"/>
          <w:sz w:val="24"/>
          <w:lang w:val="sq-AL"/>
        </w:rPr>
        <w:t xml:space="preserve"> </w:t>
      </w:r>
      <w:r>
        <w:rPr>
          <w:rFonts w:ascii="Times New Roman" w:hAnsi="Times New Roman"/>
          <w:sz w:val="24"/>
          <w:lang w:val="sq-AL"/>
        </w:rPr>
        <w:t>p</w:t>
      </w:r>
      <w:r w:rsidR="00846FAD" w:rsidRPr="00187D35">
        <w:rPr>
          <w:rFonts w:ascii="Times New Roman" w:hAnsi="Times New Roman"/>
          <w:sz w:val="24"/>
          <w:lang w:val="sq-AL"/>
        </w:rPr>
        <w:t xml:space="preserve">ër financimin e Stadiumit </w:t>
      </w:r>
      <w:r w:rsidR="0068434A">
        <w:rPr>
          <w:rFonts w:ascii="Times New Roman" w:hAnsi="Times New Roman"/>
          <w:sz w:val="24"/>
          <w:lang w:val="sq-AL"/>
        </w:rPr>
        <w:t>“Elbasan Arena”</w:t>
      </w:r>
      <w:r w:rsidR="008A2111" w:rsidRPr="00187D35">
        <w:rPr>
          <w:rFonts w:ascii="Times New Roman" w:hAnsi="Times New Roman"/>
          <w:sz w:val="24"/>
          <w:lang w:val="sq-AL"/>
        </w:rPr>
        <w:t>.</w:t>
      </w:r>
    </w:p>
    <w:p w:rsidR="005C31D7" w:rsidRPr="00187D35" w:rsidRDefault="009A4017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>
        <w:rPr>
          <w:rFonts w:ascii="Times New Roman" w:hAnsi="Times New Roman"/>
          <w:sz w:val="24"/>
          <w:lang w:val="sq-AL"/>
        </w:rPr>
        <w:t>Me VKM nr.631 dat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1.10.2014 </w:t>
      </w:r>
      <w:r w:rsidR="008046DA" w:rsidRPr="00187D35">
        <w:rPr>
          <w:rFonts w:ascii="Times New Roman" w:hAnsi="Times New Roman"/>
          <w:sz w:val="24"/>
          <w:lang w:val="sq-AL"/>
        </w:rPr>
        <w:t>Ministris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8046DA" w:rsidRPr="00187D35">
        <w:rPr>
          <w:rFonts w:ascii="Times New Roman" w:hAnsi="Times New Roman"/>
          <w:sz w:val="24"/>
          <w:lang w:val="sq-AL"/>
        </w:rPr>
        <w:t xml:space="preserve"> s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8046DA" w:rsidRPr="00187D35">
        <w:rPr>
          <w:rFonts w:ascii="Times New Roman" w:hAnsi="Times New Roman"/>
          <w:sz w:val="24"/>
          <w:lang w:val="sq-AL"/>
        </w:rPr>
        <w:t xml:space="preserve"> Pun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8046DA" w:rsidRPr="00187D35">
        <w:rPr>
          <w:rFonts w:ascii="Times New Roman" w:hAnsi="Times New Roman"/>
          <w:sz w:val="24"/>
          <w:lang w:val="sq-AL"/>
        </w:rPr>
        <w:t>ve t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8046DA" w:rsidRPr="00187D35">
        <w:rPr>
          <w:rFonts w:ascii="Times New Roman" w:hAnsi="Times New Roman"/>
          <w:sz w:val="24"/>
          <w:lang w:val="sq-AL"/>
        </w:rPr>
        <w:t xml:space="preserve"> J</w:t>
      </w:r>
      <w:r w:rsidR="00846FAD" w:rsidRPr="00187D35">
        <w:rPr>
          <w:rFonts w:ascii="Times New Roman" w:hAnsi="Times New Roman"/>
          <w:sz w:val="24"/>
          <w:lang w:val="sq-AL"/>
        </w:rPr>
        <w:t xml:space="preserve">ashtme </w:t>
      </w:r>
      <w:r>
        <w:rPr>
          <w:rFonts w:ascii="Times New Roman" w:hAnsi="Times New Roman"/>
          <w:sz w:val="24"/>
          <w:lang w:val="sq-AL"/>
        </w:rPr>
        <w:t xml:space="preserve">i 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sht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akorduar fondi </w:t>
      </w:r>
      <w:r w:rsidR="00846FAD" w:rsidRPr="00187D35">
        <w:rPr>
          <w:rFonts w:ascii="Times New Roman" w:hAnsi="Times New Roman"/>
          <w:sz w:val="24"/>
          <w:lang w:val="sq-AL"/>
        </w:rPr>
        <w:t>prej 28 milion</w:t>
      </w:r>
      <w:r w:rsidR="00DC369A">
        <w:rPr>
          <w:rFonts w:ascii="Times New Roman" w:hAnsi="Times New Roman"/>
          <w:sz w:val="24"/>
          <w:lang w:val="sq-AL"/>
        </w:rPr>
        <w:t>ë</w:t>
      </w:r>
      <w:r w:rsidR="00846FAD" w:rsidRPr="00187D35">
        <w:rPr>
          <w:rFonts w:ascii="Times New Roman" w:hAnsi="Times New Roman"/>
          <w:sz w:val="24"/>
          <w:lang w:val="sq-AL"/>
        </w:rPr>
        <w:t xml:space="preserve"> lekë</w:t>
      </w:r>
      <w:r w:rsidR="008046DA" w:rsidRPr="00187D35">
        <w:rPr>
          <w:rFonts w:ascii="Times New Roman" w:hAnsi="Times New Roman"/>
          <w:sz w:val="24"/>
          <w:lang w:val="sq-AL"/>
        </w:rPr>
        <w:t>sh 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8046DA" w:rsidRPr="00187D35">
        <w:rPr>
          <w:rFonts w:ascii="Times New Roman" w:hAnsi="Times New Roman"/>
          <w:sz w:val="24"/>
          <w:lang w:val="sq-AL"/>
        </w:rPr>
        <w:t>r</w:t>
      </w:r>
      <w:r w:rsidR="00846FAD" w:rsidRPr="00187D35">
        <w:rPr>
          <w:rFonts w:ascii="Times New Roman" w:hAnsi="Times New Roman"/>
          <w:sz w:val="24"/>
          <w:lang w:val="sq-AL"/>
        </w:rPr>
        <w:t xml:space="preserve"> shpenzime korente, për dhënie ndihme financiare </w:t>
      </w:r>
      <w:r w:rsidR="00187D35" w:rsidRPr="00187D35">
        <w:rPr>
          <w:rFonts w:ascii="Times New Roman" w:hAnsi="Times New Roman"/>
          <w:sz w:val="24"/>
          <w:lang w:val="sq-AL"/>
        </w:rPr>
        <w:t>qeverisë</w:t>
      </w:r>
      <w:r w:rsidR="00846FAD" w:rsidRPr="00187D35">
        <w:rPr>
          <w:rFonts w:ascii="Times New Roman" w:hAnsi="Times New Roman"/>
          <w:sz w:val="24"/>
          <w:lang w:val="sq-AL"/>
        </w:rPr>
        <w:t xml:space="preserve"> s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846FAD" w:rsidRPr="00187D35">
        <w:rPr>
          <w:rFonts w:ascii="Times New Roman" w:hAnsi="Times New Roman"/>
          <w:sz w:val="24"/>
          <w:lang w:val="sq-AL"/>
        </w:rPr>
        <w:t xml:space="preserve"> Bosnje</w:t>
      </w:r>
      <w:r w:rsidR="00DC369A">
        <w:rPr>
          <w:rFonts w:ascii="Times New Roman" w:hAnsi="Times New Roman"/>
          <w:sz w:val="24"/>
          <w:lang w:val="sq-AL"/>
        </w:rPr>
        <w:t>-</w:t>
      </w:r>
      <w:r w:rsidR="00187D35" w:rsidRPr="00187D35">
        <w:rPr>
          <w:rFonts w:ascii="Times New Roman" w:hAnsi="Times New Roman"/>
          <w:sz w:val="24"/>
          <w:lang w:val="sq-AL"/>
        </w:rPr>
        <w:t>Hercegovinës</w:t>
      </w:r>
      <w:r w:rsidR="00846FAD" w:rsidRPr="00187D35">
        <w:rPr>
          <w:rFonts w:ascii="Times New Roman" w:hAnsi="Times New Roman"/>
          <w:sz w:val="24"/>
          <w:lang w:val="sq-AL"/>
        </w:rPr>
        <w:t xml:space="preserve"> dhe Serbisë</w:t>
      </w:r>
      <w:r w:rsidR="008046DA" w:rsidRPr="00187D35">
        <w:rPr>
          <w:rFonts w:ascii="Times New Roman" w:hAnsi="Times New Roman"/>
          <w:sz w:val="24"/>
          <w:lang w:val="sq-AL"/>
        </w:rPr>
        <w:t xml:space="preserve">, </w:t>
      </w:r>
      <w:r w:rsidR="005C31D7" w:rsidRPr="00187D35">
        <w:rPr>
          <w:rFonts w:ascii="Times New Roman" w:hAnsi="Times New Roman"/>
          <w:sz w:val="24"/>
          <w:lang w:val="sq-AL"/>
        </w:rPr>
        <w:t>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C31D7" w:rsidRPr="00187D35">
        <w:rPr>
          <w:rFonts w:ascii="Times New Roman" w:hAnsi="Times New Roman"/>
          <w:sz w:val="24"/>
          <w:lang w:val="sq-AL"/>
        </w:rPr>
        <w:t>r d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C31D7" w:rsidRPr="00187D35">
        <w:rPr>
          <w:rFonts w:ascii="Times New Roman" w:hAnsi="Times New Roman"/>
          <w:sz w:val="24"/>
          <w:lang w:val="sq-AL"/>
        </w:rPr>
        <w:t>met e shkaktuara nga 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C31D7" w:rsidRPr="00187D35">
        <w:rPr>
          <w:rFonts w:ascii="Times New Roman" w:hAnsi="Times New Roman"/>
          <w:sz w:val="24"/>
          <w:lang w:val="sq-AL"/>
        </w:rPr>
        <w:t>rmbytj</w:t>
      </w:r>
      <w:r w:rsidR="00DC369A">
        <w:rPr>
          <w:rFonts w:ascii="Times New Roman" w:hAnsi="Times New Roman"/>
          <w:sz w:val="24"/>
          <w:lang w:val="sq-AL"/>
        </w:rPr>
        <w:t>et</w:t>
      </w:r>
      <w:r w:rsidR="005C31D7" w:rsidRPr="00187D35">
        <w:rPr>
          <w:rFonts w:ascii="Times New Roman" w:hAnsi="Times New Roman"/>
          <w:sz w:val="24"/>
          <w:lang w:val="sq-AL"/>
        </w:rPr>
        <w:t>, maj 2014.</w:t>
      </w:r>
    </w:p>
    <w:p w:rsidR="005C31D7" w:rsidRDefault="009A4017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>
        <w:rPr>
          <w:rFonts w:ascii="Times New Roman" w:hAnsi="Times New Roman"/>
          <w:sz w:val="24"/>
          <w:lang w:val="sq-AL"/>
        </w:rPr>
        <w:t>Me VKM nr. 686, dat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22.10.2014 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sht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akorduar fondi prej </w:t>
      </w:r>
      <w:r w:rsidRPr="00187D35">
        <w:rPr>
          <w:rFonts w:ascii="Times New Roman" w:hAnsi="Times New Roman"/>
          <w:sz w:val="24"/>
          <w:lang w:val="sq-AL"/>
        </w:rPr>
        <w:t>70 milion</w:t>
      </w:r>
      <w:r>
        <w:rPr>
          <w:rFonts w:ascii="Times New Roman" w:hAnsi="Times New Roman"/>
          <w:sz w:val="24"/>
          <w:lang w:val="sq-AL"/>
        </w:rPr>
        <w:t>ë</w:t>
      </w:r>
      <w:r w:rsidRPr="00187D35">
        <w:rPr>
          <w:rFonts w:ascii="Times New Roman" w:hAnsi="Times New Roman"/>
          <w:sz w:val="24"/>
          <w:lang w:val="sq-AL"/>
        </w:rPr>
        <w:t xml:space="preserve"> lekë pë</w:t>
      </w:r>
      <w:r>
        <w:rPr>
          <w:rFonts w:ascii="Times New Roman" w:hAnsi="Times New Roman"/>
          <w:sz w:val="24"/>
          <w:lang w:val="sq-AL"/>
        </w:rPr>
        <w:t>r shpenzime kor</w:t>
      </w:r>
      <w:r w:rsidRPr="00187D35">
        <w:rPr>
          <w:rFonts w:ascii="Times New Roman" w:hAnsi="Times New Roman"/>
          <w:sz w:val="24"/>
          <w:lang w:val="sq-AL"/>
        </w:rPr>
        <w:t xml:space="preserve">ente </w:t>
      </w:r>
      <w:r>
        <w:rPr>
          <w:rFonts w:ascii="Times New Roman" w:hAnsi="Times New Roman"/>
          <w:sz w:val="24"/>
          <w:lang w:val="sq-AL"/>
        </w:rPr>
        <w:t>p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r </w:t>
      </w:r>
      <w:r w:rsidR="005C31D7" w:rsidRPr="00187D35">
        <w:rPr>
          <w:rFonts w:ascii="Times New Roman" w:hAnsi="Times New Roman"/>
          <w:sz w:val="24"/>
          <w:lang w:val="sq-AL"/>
        </w:rPr>
        <w:t>Ministri</w:t>
      </w:r>
      <w:r>
        <w:rPr>
          <w:rFonts w:ascii="Times New Roman" w:hAnsi="Times New Roman"/>
          <w:sz w:val="24"/>
          <w:lang w:val="sq-AL"/>
        </w:rPr>
        <w:t>n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C31D7" w:rsidRPr="00187D35">
        <w:rPr>
          <w:rFonts w:ascii="Times New Roman" w:hAnsi="Times New Roman"/>
          <w:sz w:val="24"/>
          <w:lang w:val="sq-AL"/>
        </w:rPr>
        <w:t xml:space="preserve"> </w:t>
      </w:r>
      <w:r>
        <w:rPr>
          <w:rFonts w:ascii="Times New Roman" w:hAnsi="Times New Roman"/>
          <w:sz w:val="24"/>
          <w:lang w:val="sq-AL"/>
        </w:rPr>
        <w:t>e</w:t>
      </w:r>
      <w:r w:rsidR="005C31D7" w:rsidRPr="00187D35">
        <w:rPr>
          <w:rFonts w:ascii="Times New Roman" w:hAnsi="Times New Roman"/>
          <w:sz w:val="24"/>
          <w:lang w:val="sq-AL"/>
        </w:rPr>
        <w:t xml:space="preserve"> Zhvillimit Urban dhe Turizmit 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C31D7" w:rsidRPr="00187D35">
        <w:rPr>
          <w:rFonts w:ascii="Times New Roman" w:hAnsi="Times New Roman"/>
          <w:sz w:val="24"/>
          <w:lang w:val="sq-AL"/>
        </w:rPr>
        <w:t>r realizimin e platform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C31D7" w:rsidRPr="00187D35">
        <w:rPr>
          <w:rFonts w:ascii="Times New Roman" w:hAnsi="Times New Roman"/>
          <w:sz w:val="24"/>
          <w:lang w:val="sq-AL"/>
        </w:rPr>
        <w:t>s multimediatike “Branding Albania”.</w:t>
      </w:r>
    </w:p>
    <w:p w:rsidR="00E619E2" w:rsidRDefault="00E619E2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>
        <w:rPr>
          <w:rFonts w:ascii="Times New Roman" w:hAnsi="Times New Roman"/>
          <w:sz w:val="24"/>
          <w:lang w:val="sq-AL"/>
        </w:rPr>
        <w:t>Me VKM nr. 756, dat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12.11.2014 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sht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akorduar fondi prej 4.1 milion lek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p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r Ministrin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e Integrimit, p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r shpenzime p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r investime.</w:t>
      </w:r>
    </w:p>
    <w:p w:rsidR="00E619E2" w:rsidRPr="00187D35" w:rsidRDefault="00E619E2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>
        <w:rPr>
          <w:rFonts w:ascii="Times New Roman" w:hAnsi="Times New Roman"/>
          <w:sz w:val="24"/>
          <w:lang w:val="sq-AL"/>
        </w:rPr>
        <w:t>Me VKM nr. 756, dat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12.11.2014 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sht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akorduar fondi prej 2 milion lek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p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r Gjykat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n Kushtetuese, p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r shpenzime p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r investime.  </w:t>
      </w:r>
    </w:p>
    <w:p w:rsidR="00541F93" w:rsidRPr="00187D35" w:rsidRDefault="00133359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>
        <w:rPr>
          <w:rFonts w:ascii="Times New Roman" w:hAnsi="Times New Roman"/>
          <w:sz w:val="24"/>
          <w:lang w:val="sq-AL"/>
        </w:rPr>
        <w:t>Me VKM nr. 771</w:t>
      </w:r>
      <w:r w:rsidR="00E619E2">
        <w:rPr>
          <w:rFonts w:ascii="Times New Roman" w:hAnsi="Times New Roman"/>
          <w:sz w:val="24"/>
          <w:lang w:val="sq-AL"/>
        </w:rPr>
        <w:t>,</w:t>
      </w:r>
      <w:r>
        <w:rPr>
          <w:rFonts w:ascii="Times New Roman" w:hAnsi="Times New Roman"/>
          <w:sz w:val="24"/>
          <w:lang w:val="sq-AL"/>
        </w:rPr>
        <w:t xml:space="preserve"> dat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12.11.2014 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sht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akorduar fondi </w:t>
      </w:r>
      <w:r w:rsidR="00E619E2">
        <w:rPr>
          <w:rFonts w:ascii="Times New Roman" w:hAnsi="Times New Roman"/>
          <w:sz w:val="24"/>
          <w:lang w:val="sq-AL"/>
        </w:rPr>
        <w:t xml:space="preserve">prej </w:t>
      </w:r>
      <w:r w:rsidRPr="00187D35">
        <w:rPr>
          <w:rFonts w:ascii="Times New Roman" w:hAnsi="Times New Roman"/>
          <w:sz w:val="24"/>
          <w:lang w:val="sq-AL"/>
        </w:rPr>
        <w:t>51 milion</w:t>
      </w:r>
      <w:r>
        <w:rPr>
          <w:rFonts w:ascii="Times New Roman" w:hAnsi="Times New Roman"/>
          <w:sz w:val="24"/>
          <w:lang w:val="sq-AL"/>
        </w:rPr>
        <w:t>ë</w:t>
      </w:r>
      <w:r w:rsidRPr="00187D35">
        <w:rPr>
          <w:rFonts w:ascii="Times New Roman" w:hAnsi="Times New Roman"/>
          <w:sz w:val="24"/>
          <w:lang w:val="sq-AL"/>
        </w:rPr>
        <w:t xml:space="preserve"> lekë</w:t>
      </w:r>
      <w:r>
        <w:rPr>
          <w:rFonts w:ascii="Times New Roman" w:hAnsi="Times New Roman"/>
          <w:sz w:val="24"/>
          <w:lang w:val="sq-AL"/>
        </w:rPr>
        <w:t>sh</w:t>
      </w:r>
      <w:r w:rsidRPr="00187D35">
        <w:rPr>
          <w:rFonts w:ascii="Times New Roman" w:hAnsi="Times New Roman"/>
          <w:sz w:val="24"/>
          <w:lang w:val="sq-AL"/>
        </w:rPr>
        <w:t xml:space="preserve"> për investime</w:t>
      </w:r>
      <w:r>
        <w:rPr>
          <w:rFonts w:ascii="Times New Roman" w:hAnsi="Times New Roman"/>
          <w:sz w:val="24"/>
          <w:lang w:val="sq-AL"/>
        </w:rPr>
        <w:t xml:space="preserve"> p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r </w:t>
      </w:r>
      <w:r w:rsidR="007F1BCE" w:rsidRPr="00187D35">
        <w:rPr>
          <w:rFonts w:ascii="Times New Roman" w:hAnsi="Times New Roman"/>
          <w:sz w:val="24"/>
          <w:lang w:val="sq-AL"/>
        </w:rPr>
        <w:t>Ministri</w:t>
      </w:r>
      <w:r>
        <w:rPr>
          <w:rFonts w:ascii="Times New Roman" w:hAnsi="Times New Roman"/>
          <w:sz w:val="24"/>
          <w:lang w:val="sq-AL"/>
        </w:rPr>
        <w:t>n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7F1BCE" w:rsidRPr="00187D35">
        <w:rPr>
          <w:rFonts w:ascii="Times New Roman" w:hAnsi="Times New Roman"/>
          <w:sz w:val="24"/>
          <w:lang w:val="sq-AL"/>
        </w:rPr>
        <w:t xml:space="preserve"> </w:t>
      </w:r>
      <w:r>
        <w:rPr>
          <w:rFonts w:ascii="Times New Roman" w:hAnsi="Times New Roman"/>
          <w:sz w:val="24"/>
          <w:lang w:val="sq-AL"/>
        </w:rPr>
        <w:t>e</w:t>
      </w:r>
      <w:r w:rsidR="007F1BCE" w:rsidRPr="00187D35">
        <w:rPr>
          <w:rFonts w:ascii="Times New Roman" w:hAnsi="Times New Roman"/>
          <w:sz w:val="24"/>
          <w:lang w:val="sq-AL"/>
        </w:rPr>
        <w:t xml:space="preserve"> </w:t>
      </w:r>
      <w:r w:rsidR="00187D35" w:rsidRPr="00187D35">
        <w:rPr>
          <w:rFonts w:ascii="Times New Roman" w:hAnsi="Times New Roman"/>
          <w:sz w:val="24"/>
          <w:lang w:val="sq-AL"/>
        </w:rPr>
        <w:t>Shëndetësisë</w:t>
      </w:r>
      <w:r w:rsidR="007F1BCE" w:rsidRPr="00187D35">
        <w:rPr>
          <w:rFonts w:ascii="Times New Roman" w:hAnsi="Times New Roman"/>
          <w:sz w:val="24"/>
          <w:lang w:val="sq-AL"/>
        </w:rPr>
        <w:t>, 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7F1BCE" w:rsidRPr="00187D35">
        <w:rPr>
          <w:rFonts w:ascii="Times New Roman" w:hAnsi="Times New Roman"/>
          <w:sz w:val="24"/>
          <w:lang w:val="sq-AL"/>
        </w:rPr>
        <w:t>r blerje pajisjesh mjek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7F1BCE" w:rsidRPr="00187D35">
        <w:rPr>
          <w:rFonts w:ascii="Times New Roman" w:hAnsi="Times New Roman"/>
          <w:sz w:val="24"/>
          <w:lang w:val="sq-AL"/>
        </w:rPr>
        <w:t>sore 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7F1BCE" w:rsidRPr="00187D35">
        <w:rPr>
          <w:rFonts w:ascii="Times New Roman" w:hAnsi="Times New Roman"/>
          <w:sz w:val="24"/>
          <w:lang w:val="sq-AL"/>
        </w:rPr>
        <w:t xml:space="preserve">r </w:t>
      </w:r>
      <w:r w:rsidR="00187D35" w:rsidRPr="00187D35">
        <w:rPr>
          <w:rFonts w:ascii="Times New Roman" w:hAnsi="Times New Roman"/>
          <w:sz w:val="24"/>
          <w:lang w:val="sq-AL"/>
        </w:rPr>
        <w:t>gatishmërinë</w:t>
      </w:r>
      <w:r w:rsidR="007F1BCE" w:rsidRPr="00187D35">
        <w:rPr>
          <w:rFonts w:ascii="Times New Roman" w:hAnsi="Times New Roman"/>
          <w:sz w:val="24"/>
          <w:lang w:val="sq-AL"/>
        </w:rPr>
        <w:t xml:space="preserve"> dhe 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7F1BCE" w:rsidRPr="00187D35">
        <w:rPr>
          <w:rFonts w:ascii="Times New Roman" w:hAnsi="Times New Roman"/>
          <w:sz w:val="24"/>
          <w:lang w:val="sq-AL"/>
        </w:rPr>
        <w:t>rballimin e rrezikut nga virusi Ebola.</w:t>
      </w:r>
    </w:p>
    <w:p w:rsidR="00541F93" w:rsidRPr="00187D35" w:rsidRDefault="00E619E2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>
        <w:rPr>
          <w:rFonts w:ascii="Times New Roman" w:hAnsi="Times New Roman"/>
          <w:sz w:val="24"/>
          <w:lang w:val="sq-AL"/>
        </w:rPr>
        <w:t xml:space="preserve">Me </w:t>
      </w:r>
      <w:r w:rsidR="00133359">
        <w:rPr>
          <w:rFonts w:ascii="Times New Roman" w:hAnsi="Times New Roman"/>
          <w:sz w:val="24"/>
          <w:lang w:val="sq-AL"/>
        </w:rPr>
        <w:t>VKM nr.778</w:t>
      </w:r>
      <w:r>
        <w:rPr>
          <w:rFonts w:ascii="Times New Roman" w:hAnsi="Times New Roman"/>
          <w:sz w:val="24"/>
          <w:lang w:val="sq-AL"/>
        </w:rPr>
        <w:t>,</w:t>
      </w:r>
      <w:r w:rsidR="00133359">
        <w:rPr>
          <w:rFonts w:ascii="Times New Roman" w:hAnsi="Times New Roman"/>
          <w:sz w:val="24"/>
          <w:lang w:val="sq-AL"/>
        </w:rPr>
        <w:t xml:space="preserve"> dat</w:t>
      </w:r>
      <w:r w:rsidR="004340B6">
        <w:rPr>
          <w:rFonts w:ascii="Times New Roman" w:hAnsi="Times New Roman"/>
          <w:sz w:val="24"/>
          <w:lang w:val="sq-AL"/>
        </w:rPr>
        <w:t>ë</w:t>
      </w:r>
      <w:r w:rsidR="00133359">
        <w:rPr>
          <w:rFonts w:ascii="Times New Roman" w:hAnsi="Times New Roman"/>
          <w:sz w:val="24"/>
          <w:lang w:val="sq-AL"/>
        </w:rPr>
        <w:t xml:space="preserve"> 12.11.2014 </w:t>
      </w:r>
      <w:r w:rsidR="00541F93" w:rsidRPr="00187D35">
        <w:rPr>
          <w:rFonts w:ascii="Times New Roman" w:hAnsi="Times New Roman"/>
          <w:sz w:val="24"/>
          <w:lang w:val="sq-AL"/>
        </w:rPr>
        <w:t>Agjencis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41F93" w:rsidRPr="00187D35">
        <w:rPr>
          <w:rFonts w:ascii="Times New Roman" w:hAnsi="Times New Roman"/>
          <w:sz w:val="24"/>
          <w:lang w:val="sq-AL"/>
        </w:rPr>
        <w:t xml:space="preserve"> 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846FAD" w:rsidRPr="00187D35">
        <w:rPr>
          <w:rFonts w:ascii="Times New Roman" w:hAnsi="Times New Roman"/>
          <w:sz w:val="24"/>
          <w:lang w:val="sq-AL"/>
        </w:rPr>
        <w:t xml:space="preserve">r </w:t>
      </w:r>
      <w:r w:rsidR="00187D35" w:rsidRPr="00187D35">
        <w:rPr>
          <w:rFonts w:ascii="Times New Roman" w:hAnsi="Times New Roman"/>
          <w:sz w:val="24"/>
          <w:lang w:val="sq-AL"/>
        </w:rPr>
        <w:t>Mbështetje</w:t>
      </w:r>
      <w:r w:rsidR="00DC369A">
        <w:rPr>
          <w:rFonts w:ascii="Times New Roman" w:hAnsi="Times New Roman"/>
          <w:sz w:val="24"/>
          <w:lang w:val="sq-AL"/>
        </w:rPr>
        <w:t xml:space="preserve"> Civile </w:t>
      </w:r>
      <w:r w:rsidR="00133359">
        <w:rPr>
          <w:rFonts w:ascii="Times New Roman" w:hAnsi="Times New Roman"/>
          <w:sz w:val="24"/>
          <w:lang w:val="sq-AL"/>
        </w:rPr>
        <w:t xml:space="preserve">i </w:t>
      </w:r>
      <w:r w:rsidR="004340B6">
        <w:rPr>
          <w:rFonts w:ascii="Times New Roman" w:hAnsi="Times New Roman"/>
          <w:sz w:val="24"/>
          <w:lang w:val="sq-AL"/>
        </w:rPr>
        <w:t>ë</w:t>
      </w:r>
      <w:r w:rsidR="00133359">
        <w:rPr>
          <w:rFonts w:ascii="Times New Roman" w:hAnsi="Times New Roman"/>
          <w:sz w:val="24"/>
          <w:lang w:val="sq-AL"/>
        </w:rPr>
        <w:t>sht</w:t>
      </w:r>
      <w:r w:rsidR="004340B6">
        <w:rPr>
          <w:rFonts w:ascii="Times New Roman" w:hAnsi="Times New Roman"/>
          <w:sz w:val="24"/>
          <w:lang w:val="sq-AL"/>
        </w:rPr>
        <w:t>ë</w:t>
      </w:r>
      <w:r w:rsidR="00133359">
        <w:rPr>
          <w:rFonts w:ascii="Times New Roman" w:hAnsi="Times New Roman"/>
          <w:sz w:val="24"/>
          <w:lang w:val="sq-AL"/>
        </w:rPr>
        <w:t xml:space="preserve"> akorduar fondi </w:t>
      </w:r>
      <w:r w:rsidR="00DC369A">
        <w:rPr>
          <w:rFonts w:ascii="Times New Roman" w:hAnsi="Times New Roman"/>
          <w:sz w:val="24"/>
          <w:lang w:val="sq-AL"/>
        </w:rPr>
        <w:t>p</w:t>
      </w:r>
      <w:r w:rsidR="00541F93" w:rsidRPr="00187D35">
        <w:rPr>
          <w:rFonts w:ascii="Times New Roman" w:hAnsi="Times New Roman"/>
          <w:sz w:val="24"/>
          <w:lang w:val="sq-AL"/>
        </w:rPr>
        <w:t>r</w:t>
      </w:r>
      <w:r w:rsidR="00DC369A">
        <w:rPr>
          <w:rFonts w:ascii="Times New Roman" w:hAnsi="Times New Roman"/>
          <w:sz w:val="24"/>
          <w:lang w:val="sq-AL"/>
        </w:rPr>
        <w:t>ej</w:t>
      </w:r>
      <w:r w:rsidR="00541F93" w:rsidRPr="00187D35">
        <w:rPr>
          <w:rFonts w:ascii="Times New Roman" w:hAnsi="Times New Roman"/>
          <w:sz w:val="24"/>
          <w:lang w:val="sq-AL"/>
        </w:rPr>
        <w:t xml:space="preserve"> 1.3 milion</w:t>
      </w:r>
      <w:r w:rsidR="00DC369A">
        <w:rPr>
          <w:rFonts w:ascii="Times New Roman" w:hAnsi="Times New Roman"/>
          <w:sz w:val="24"/>
          <w:lang w:val="sq-AL"/>
        </w:rPr>
        <w:t>ë</w:t>
      </w:r>
      <w:r w:rsidR="00541F93" w:rsidRPr="00187D35">
        <w:rPr>
          <w:rFonts w:ascii="Times New Roman" w:hAnsi="Times New Roman"/>
          <w:sz w:val="24"/>
          <w:lang w:val="sq-AL"/>
        </w:rPr>
        <w:t xml:space="preserve"> lek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DC369A">
        <w:rPr>
          <w:rFonts w:ascii="Times New Roman" w:hAnsi="Times New Roman"/>
          <w:sz w:val="24"/>
          <w:lang w:val="sq-AL"/>
        </w:rPr>
        <w:t>sh</w:t>
      </w:r>
      <w:r w:rsidR="00541F93" w:rsidRPr="00187D35">
        <w:rPr>
          <w:rFonts w:ascii="Times New Roman" w:hAnsi="Times New Roman"/>
          <w:sz w:val="24"/>
          <w:lang w:val="sq-AL"/>
        </w:rPr>
        <w:t xml:space="preserve"> 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41F93" w:rsidRPr="00187D35">
        <w:rPr>
          <w:rFonts w:ascii="Times New Roman" w:hAnsi="Times New Roman"/>
          <w:sz w:val="24"/>
          <w:lang w:val="sq-AL"/>
        </w:rPr>
        <w:t xml:space="preserve">r rikonstruksionin e </w:t>
      </w:r>
      <w:r w:rsidR="00187D35" w:rsidRPr="00187D35">
        <w:rPr>
          <w:rFonts w:ascii="Times New Roman" w:hAnsi="Times New Roman"/>
          <w:sz w:val="24"/>
          <w:lang w:val="sq-AL"/>
        </w:rPr>
        <w:t>ambienteve</w:t>
      </w:r>
      <w:r w:rsidR="00541F93" w:rsidRPr="00187D35">
        <w:rPr>
          <w:rFonts w:ascii="Times New Roman" w:hAnsi="Times New Roman"/>
          <w:sz w:val="24"/>
          <w:lang w:val="sq-AL"/>
        </w:rPr>
        <w:t xml:space="preserve"> t</w:t>
      </w:r>
      <w:r w:rsidR="00DC369A">
        <w:rPr>
          <w:rFonts w:ascii="Times New Roman" w:hAnsi="Times New Roman"/>
          <w:sz w:val="24"/>
          <w:lang w:val="sq-AL"/>
        </w:rPr>
        <w:t>ë</w:t>
      </w:r>
      <w:r w:rsidR="00541F93" w:rsidRPr="00187D35">
        <w:rPr>
          <w:rFonts w:ascii="Times New Roman" w:hAnsi="Times New Roman"/>
          <w:sz w:val="24"/>
          <w:lang w:val="sq-AL"/>
        </w:rPr>
        <w:t xml:space="preserve"> </w:t>
      </w:r>
      <w:r w:rsidR="00DC369A">
        <w:rPr>
          <w:rFonts w:ascii="Times New Roman" w:hAnsi="Times New Roman"/>
          <w:sz w:val="24"/>
          <w:lang w:val="sq-AL"/>
        </w:rPr>
        <w:t>b</w:t>
      </w:r>
      <w:r w:rsidR="00541F93" w:rsidRPr="00187D35">
        <w:rPr>
          <w:rFonts w:ascii="Times New Roman" w:hAnsi="Times New Roman"/>
          <w:sz w:val="24"/>
          <w:lang w:val="sq-AL"/>
        </w:rPr>
        <w:t>rendshme t</w:t>
      </w:r>
      <w:r w:rsidR="00DC369A">
        <w:rPr>
          <w:rFonts w:ascii="Times New Roman" w:hAnsi="Times New Roman"/>
          <w:sz w:val="24"/>
          <w:lang w:val="sq-AL"/>
        </w:rPr>
        <w:t>ë</w:t>
      </w:r>
      <w:r w:rsidR="00541F93" w:rsidRPr="00187D35">
        <w:rPr>
          <w:rFonts w:ascii="Times New Roman" w:hAnsi="Times New Roman"/>
          <w:sz w:val="24"/>
          <w:lang w:val="sq-AL"/>
        </w:rPr>
        <w:t xml:space="preserve"> AMSHC-s</w:t>
      </w:r>
      <w:r w:rsidR="00DC369A">
        <w:rPr>
          <w:rFonts w:ascii="Times New Roman" w:hAnsi="Times New Roman"/>
          <w:sz w:val="24"/>
          <w:lang w:val="sq-AL"/>
        </w:rPr>
        <w:t>ë</w:t>
      </w:r>
      <w:r w:rsidR="00541F93" w:rsidRPr="00187D35">
        <w:rPr>
          <w:rFonts w:ascii="Times New Roman" w:hAnsi="Times New Roman"/>
          <w:sz w:val="24"/>
          <w:lang w:val="sq-AL"/>
        </w:rPr>
        <w:t>.</w:t>
      </w:r>
    </w:p>
    <w:p w:rsidR="00541F93" w:rsidRPr="00187D35" w:rsidRDefault="00E619E2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>
        <w:rPr>
          <w:rFonts w:ascii="Times New Roman" w:hAnsi="Times New Roman"/>
          <w:sz w:val="24"/>
          <w:lang w:val="sq-AL"/>
        </w:rPr>
        <w:t>Me VKM nr.808, dat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26.11.2014 </w:t>
      </w:r>
      <w:r w:rsidR="00DC369A">
        <w:rPr>
          <w:rFonts w:ascii="Times New Roman" w:hAnsi="Times New Roman"/>
          <w:sz w:val="24"/>
          <w:lang w:val="sq-AL"/>
        </w:rPr>
        <w:t>P</w:t>
      </w:r>
      <w:r w:rsidR="00541F93" w:rsidRPr="00187D35">
        <w:rPr>
          <w:rFonts w:ascii="Times New Roman" w:hAnsi="Times New Roman"/>
          <w:sz w:val="24"/>
          <w:lang w:val="sq-AL"/>
        </w:rPr>
        <w:t>residenc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s i 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sht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akorduar fondi</w:t>
      </w:r>
      <w:r w:rsidR="00846FAD" w:rsidRPr="00187D35">
        <w:rPr>
          <w:rFonts w:ascii="Times New Roman" w:hAnsi="Times New Roman"/>
          <w:sz w:val="24"/>
          <w:lang w:val="sq-AL"/>
        </w:rPr>
        <w:t xml:space="preserve"> prej 3 milion</w:t>
      </w:r>
      <w:r w:rsidR="00DC369A">
        <w:rPr>
          <w:rFonts w:ascii="Times New Roman" w:hAnsi="Times New Roman"/>
          <w:sz w:val="24"/>
          <w:lang w:val="sq-AL"/>
        </w:rPr>
        <w:t>ë</w:t>
      </w:r>
      <w:r w:rsidR="00846FAD" w:rsidRPr="00187D35">
        <w:rPr>
          <w:rFonts w:ascii="Times New Roman" w:hAnsi="Times New Roman"/>
          <w:sz w:val="24"/>
          <w:lang w:val="sq-AL"/>
        </w:rPr>
        <w:t xml:space="preserve"> lekë</w:t>
      </w:r>
      <w:r w:rsidR="00DC369A">
        <w:rPr>
          <w:rFonts w:ascii="Times New Roman" w:hAnsi="Times New Roman"/>
          <w:sz w:val="24"/>
          <w:lang w:val="sq-AL"/>
        </w:rPr>
        <w:t>sh</w:t>
      </w:r>
      <w:r w:rsidR="00846FAD" w:rsidRPr="00187D35">
        <w:rPr>
          <w:rFonts w:ascii="Times New Roman" w:hAnsi="Times New Roman"/>
          <w:sz w:val="24"/>
          <w:lang w:val="sq-AL"/>
        </w:rPr>
        <w:t xml:space="preserve"> pë</w:t>
      </w:r>
      <w:r w:rsidR="00541F93" w:rsidRPr="00187D35">
        <w:rPr>
          <w:rFonts w:ascii="Times New Roman" w:hAnsi="Times New Roman"/>
          <w:sz w:val="24"/>
          <w:lang w:val="sq-AL"/>
        </w:rPr>
        <w:t>r shpenzime korente.</w:t>
      </w:r>
    </w:p>
    <w:p w:rsidR="002F24A7" w:rsidRPr="00187D35" w:rsidRDefault="00E619E2" w:rsidP="00AE24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/>
          <w:sz w:val="24"/>
          <w:lang w:val="sq-AL"/>
        </w:rPr>
      </w:pPr>
      <w:r>
        <w:rPr>
          <w:rFonts w:ascii="Times New Roman" w:hAnsi="Times New Roman"/>
          <w:sz w:val="24"/>
          <w:lang w:val="sq-AL"/>
        </w:rPr>
        <w:t>Me VKM nr.861, dat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17.12.2014 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>sht</w:t>
      </w:r>
      <w:r w:rsidR="004340B6">
        <w:rPr>
          <w:rFonts w:ascii="Times New Roman" w:hAnsi="Times New Roman"/>
          <w:sz w:val="24"/>
          <w:lang w:val="sq-AL"/>
        </w:rPr>
        <w:t>ë</w:t>
      </w:r>
      <w:r>
        <w:rPr>
          <w:rFonts w:ascii="Times New Roman" w:hAnsi="Times New Roman"/>
          <w:sz w:val="24"/>
          <w:lang w:val="sq-AL"/>
        </w:rPr>
        <w:t xml:space="preserve"> akorduar fondi prej </w:t>
      </w:r>
      <w:r w:rsidRPr="00187D35">
        <w:rPr>
          <w:rFonts w:ascii="Times New Roman" w:hAnsi="Times New Roman"/>
          <w:sz w:val="24"/>
          <w:lang w:val="sq-AL"/>
        </w:rPr>
        <w:t xml:space="preserve">699.8 milion lekë </w:t>
      </w:r>
      <w:r>
        <w:rPr>
          <w:rFonts w:ascii="Times New Roman" w:hAnsi="Times New Roman"/>
          <w:sz w:val="24"/>
          <w:lang w:val="sq-AL"/>
        </w:rPr>
        <w:t>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41F93" w:rsidRPr="00187D35">
        <w:rPr>
          <w:rFonts w:ascii="Times New Roman" w:hAnsi="Times New Roman"/>
          <w:sz w:val="24"/>
          <w:lang w:val="sq-AL"/>
        </w:rPr>
        <w:t>r Ministrin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41F93" w:rsidRPr="00187D35">
        <w:rPr>
          <w:rFonts w:ascii="Times New Roman" w:hAnsi="Times New Roman"/>
          <w:sz w:val="24"/>
          <w:lang w:val="sq-AL"/>
        </w:rPr>
        <w:t xml:space="preserve"> e Pun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41F93" w:rsidRPr="00187D35">
        <w:rPr>
          <w:rFonts w:ascii="Times New Roman" w:hAnsi="Times New Roman"/>
          <w:sz w:val="24"/>
          <w:lang w:val="sq-AL"/>
        </w:rPr>
        <w:t>ve t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41F93" w:rsidRPr="00187D35">
        <w:rPr>
          <w:rFonts w:ascii="Times New Roman" w:hAnsi="Times New Roman"/>
          <w:sz w:val="24"/>
          <w:lang w:val="sq-AL"/>
        </w:rPr>
        <w:t xml:space="preserve"> </w:t>
      </w:r>
      <w:r w:rsidR="00187D35" w:rsidRPr="00187D35">
        <w:rPr>
          <w:rFonts w:ascii="Times New Roman" w:hAnsi="Times New Roman"/>
          <w:sz w:val="24"/>
          <w:lang w:val="sq-AL"/>
        </w:rPr>
        <w:t>Brendshme</w:t>
      </w:r>
      <w:r w:rsidR="00541F93" w:rsidRPr="00187D35">
        <w:rPr>
          <w:rFonts w:ascii="Times New Roman" w:hAnsi="Times New Roman"/>
          <w:sz w:val="24"/>
          <w:lang w:val="sq-AL"/>
        </w:rPr>
        <w:t>, Ministrin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41F93" w:rsidRPr="00187D35">
        <w:rPr>
          <w:rFonts w:ascii="Times New Roman" w:hAnsi="Times New Roman"/>
          <w:sz w:val="24"/>
          <w:lang w:val="sq-AL"/>
        </w:rPr>
        <w:t xml:space="preserve"> e Arsimit dhe Sportit, Ministrin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41F93" w:rsidRPr="00187D35">
        <w:rPr>
          <w:rFonts w:ascii="Times New Roman" w:hAnsi="Times New Roman"/>
          <w:sz w:val="24"/>
          <w:lang w:val="sq-AL"/>
        </w:rPr>
        <w:t xml:space="preserve"> e Mbrojtjes, Ministrin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41F93" w:rsidRPr="00187D35">
        <w:rPr>
          <w:rFonts w:ascii="Times New Roman" w:hAnsi="Times New Roman"/>
          <w:sz w:val="24"/>
          <w:lang w:val="sq-AL"/>
        </w:rPr>
        <w:t xml:space="preserve"> e </w:t>
      </w:r>
      <w:r w:rsidR="00187D35" w:rsidRPr="00187D35">
        <w:rPr>
          <w:rFonts w:ascii="Times New Roman" w:hAnsi="Times New Roman"/>
          <w:sz w:val="24"/>
          <w:lang w:val="sq-AL"/>
        </w:rPr>
        <w:t>Mirëqenies</w:t>
      </w:r>
      <w:r w:rsidR="00541F93" w:rsidRPr="00187D35">
        <w:rPr>
          <w:rFonts w:ascii="Times New Roman" w:hAnsi="Times New Roman"/>
          <w:sz w:val="24"/>
          <w:lang w:val="sq-AL"/>
        </w:rPr>
        <w:t xml:space="preserve"> Sociale dhe Rinis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541F93" w:rsidRPr="00187D35">
        <w:rPr>
          <w:rFonts w:ascii="Times New Roman" w:hAnsi="Times New Roman"/>
          <w:sz w:val="24"/>
          <w:lang w:val="sq-AL"/>
        </w:rPr>
        <w:t xml:space="preserve">, </w:t>
      </w:r>
      <w:r w:rsidR="007F367D" w:rsidRPr="00187D35">
        <w:rPr>
          <w:rFonts w:ascii="Times New Roman" w:hAnsi="Times New Roman"/>
          <w:sz w:val="24"/>
          <w:lang w:val="sq-AL"/>
        </w:rPr>
        <w:t>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7F367D" w:rsidRPr="00187D35">
        <w:rPr>
          <w:rFonts w:ascii="Times New Roman" w:hAnsi="Times New Roman"/>
          <w:sz w:val="24"/>
          <w:lang w:val="sq-AL"/>
        </w:rPr>
        <w:t>r shp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7F367D" w:rsidRPr="00187D35">
        <w:rPr>
          <w:rFonts w:ascii="Times New Roman" w:hAnsi="Times New Roman"/>
          <w:sz w:val="24"/>
          <w:lang w:val="sq-AL"/>
        </w:rPr>
        <w:t xml:space="preserve">rblimin dhe </w:t>
      </w:r>
      <w:r w:rsidR="00187D35" w:rsidRPr="00187D35">
        <w:rPr>
          <w:rFonts w:ascii="Times New Roman" w:hAnsi="Times New Roman"/>
          <w:sz w:val="24"/>
          <w:lang w:val="sq-AL"/>
        </w:rPr>
        <w:t>kompensimin</w:t>
      </w:r>
      <w:r w:rsidR="007F367D" w:rsidRPr="00187D35">
        <w:rPr>
          <w:rFonts w:ascii="Times New Roman" w:hAnsi="Times New Roman"/>
          <w:sz w:val="24"/>
          <w:lang w:val="sq-AL"/>
        </w:rPr>
        <w:t xml:space="preserve"> e disa kategorive t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7F367D" w:rsidRPr="00187D35">
        <w:rPr>
          <w:rFonts w:ascii="Times New Roman" w:hAnsi="Times New Roman"/>
          <w:sz w:val="24"/>
          <w:lang w:val="sq-AL"/>
        </w:rPr>
        <w:t xml:space="preserve"> </w:t>
      </w:r>
      <w:r w:rsidR="00187D35" w:rsidRPr="00187D35">
        <w:rPr>
          <w:rFonts w:ascii="Times New Roman" w:hAnsi="Times New Roman"/>
          <w:sz w:val="24"/>
          <w:lang w:val="sq-AL"/>
        </w:rPr>
        <w:t>veçanta</w:t>
      </w:r>
      <w:r w:rsidR="007F367D" w:rsidRPr="00187D35">
        <w:rPr>
          <w:rFonts w:ascii="Times New Roman" w:hAnsi="Times New Roman"/>
          <w:sz w:val="24"/>
          <w:lang w:val="sq-AL"/>
        </w:rPr>
        <w:t xml:space="preserve"> p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7F367D" w:rsidRPr="00187D35">
        <w:rPr>
          <w:rFonts w:ascii="Times New Roman" w:hAnsi="Times New Roman"/>
          <w:sz w:val="24"/>
          <w:lang w:val="sq-AL"/>
        </w:rPr>
        <w:t>r festat e fundvitit.</w:t>
      </w:r>
      <w:r w:rsidR="005C31D7" w:rsidRPr="00187D35">
        <w:rPr>
          <w:rFonts w:ascii="Times New Roman" w:hAnsi="Times New Roman"/>
          <w:sz w:val="24"/>
          <w:lang w:val="sq-AL"/>
        </w:rPr>
        <w:t xml:space="preserve">  </w:t>
      </w:r>
      <w:r w:rsidR="008046DA" w:rsidRPr="00187D35">
        <w:rPr>
          <w:rFonts w:ascii="Times New Roman" w:hAnsi="Times New Roman"/>
          <w:sz w:val="24"/>
          <w:lang w:val="sq-AL"/>
        </w:rPr>
        <w:t xml:space="preserve"> </w:t>
      </w:r>
      <w:r w:rsidR="00FB344F" w:rsidRPr="00187D35">
        <w:rPr>
          <w:rFonts w:ascii="Times New Roman" w:hAnsi="Times New Roman"/>
          <w:sz w:val="24"/>
          <w:lang w:val="sq-AL"/>
        </w:rPr>
        <w:t xml:space="preserve">  </w:t>
      </w:r>
    </w:p>
    <w:p w:rsidR="00BB6492" w:rsidRPr="00187D35" w:rsidRDefault="00BB6492" w:rsidP="00BB6492">
      <w:pPr>
        <w:jc w:val="both"/>
        <w:rPr>
          <w:lang w:val="sq-AL"/>
        </w:rPr>
      </w:pPr>
      <w:r w:rsidRPr="00187D35">
        <w:rPr>
          <w:lang w:val="sq-AL"/>
        </w:rPr>
        <w:t>Gjendja e Fondit t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Kontigjenc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s, </w:t>
      </w:r>
      <w:r w:rsidRPr="00187D35">
        <w:rPr>
          <w:u w:val="single"/>
          <w:lang w:val="sq-AL"/>
        </w:rPr>
        <w:t>e papërdorur</w:t>
      </w:r>
      <w:r w:rsidRPr="00187D35">
        <w:rPr>
          <w:lang w:val="sq-AL"/>
        </w:rPr>
        <w:t>, më datë 31 dhjetor 201</w:t>
      </w:r>
      <w:r w:rsidR="0026084B">
        <w:rPr>
          <w:lang w:val="sq-AL"/>
        </w:rPr>
        <w:t>4</w:t>
      </w:r>
      <w:r w:rsidRPr="00187D35">
        <w:rPr>
          <w:lang w:val="sq-AL"/>
        </w:rPr>
        <w:t xml:space="preserve"> është </w:t>
      </w:r>
      <w:r w:rsidRPr="00187D35">
        <w:rPr>
          <w:u w:val="single"/>
          <w:lang w:val="sq-AL"/>
        </w:rPr>
        <w:t>61.97 milion</w:t>
      </w:r>
      <w:r w:rsidR="00DC369A">
        <w:rPr>
          <w:u w:val="single"/>
          <w:lang w:val="sq-AL"/>
        </w:rPr>
        <w:t>ë</w:t>
      </w:r>
      <w:r w:rsidRPr="00187D35">
        <w:rPr>
          <w:u w:val="single"/>
          <w:lang w:val="sq-AL"/>
        </w:rPr>
        <w:t xml:space="preserve"> lekë</w:t>
      </w:r>
      <w:r w:rsidRPr="00187D35">
        <w:rPr>
          <w:lang w:val="sq-AL"/>
        </w:rPr>
        <w:t>.</w:t>
      </w:r>
    </w:p>
    <w:p w:rsidR="00BB6492" w:rsidRPr="00187D35" w:rsidRDefault="00BB6492" w:rsidP="00BB6492">
      <w:pPr>
        <w:jc w:val="both"/>
        <w:rPr>
          <w:lang w:val="sq-AL"/>
        </w:rPr>
      </w:pPr>
      <w:r w:rsidRPr="00187D35">
        <w:rPr>
          <w:lang w:val="sq-AL"/>
        </w:rPr>
        <w:t>Nga Fondet e miratuara me VKM p</w:t>
      </w:r>
      <w:r w:rsidR="00DC369A">
        <w:rPr>
          <w:lang w:val="sq-AL"/>
        </w:rPr>
        <w:t>ë</w:t>
      </w:r>
      <w:r w:rsidRPr="00187D35">
        <w:rPr>
          <w:lang w:val="sq-AL"/>
        </w:rPr>
        <w:t xml:space="preserve">r tu </w:t>
      </w:r>
      <w:r w:rsidR="00187D35" w:rsidRPr="00187D35">
        <w:rPr>
          <w:lang w:val="sq-AL"/>
        </w:rPr>
        <w:t>përdorur</w:t>
      </w:r>
      <w:r w:rsidRPr="00187D35">
        <w:rPr>
          <w:lang w:val="sq-AL"/>
        </w:rPr>
        <w:t xml:space="preserve"> nga Fondi i Kontigjenc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s, nuk </w:t>
      </w:r>
      <w:r w:rsidR="00187D35" w:rsidRPr="00187D35">
        <w:rPr>
          <w:lang w:val="sq-AL"/>
        </w:rPr>
        <w:t>janë</w:t>
      </w:r>
      <w:r w:rsidRPr="00187D35">
        <w:rPr>
          <w:lang w:val="sq-AL"/>
        </w:rPr>
        <w:t xml:space="preserve"> akorduar shumat si m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 xml:space="preserve"> posht</w:t>
      </w:r>
      <w:r w:rsidR="009B1780" w:rsidRPr="00187D35">
        <w:rPr>
          <w:lang w:val="sq-AL"/>
        </w:rPr>
        <w:t>ë</w:t>
      </w:r>
      <w:r w:rsidRPr="00187D35">
        <w:rPr>
          <w:lang w:val="sq-AL"/>
        </w:rPr>
        <w:t>:</w:t>
      </w:r>
    </w:p>
    <w:p w:rsidR="00BB6492" w:rsidRPr="00310932" w:rsidRDefault="00BB6492" w:rsidP="00BB6492">
      <w:pPr>
        <w:numPr>
          <w:ilvl w:val="0"/>
          <w:numId w:val="25"/>
        </w:numPr>
        <w:jc w:val="both"/>
        <w:rPr>
          <w:lang w:val="sq-AL"/>
        </w:rPr>
      </w:pPr>
      <w:r w:rsidRPr="00310932">
        <w:rPr>
          <w:lang w:val="sq-AL"/>
        </w:rPr>
        <w:t>P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r VKM-n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 nr. 519, dat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6.08.2014</w:t>
      </w:r>
      <w:r w:rsidR="00DC369A" w:rsidRPr="00310932">
        <w:rPr>
          <w:lang w:val="sq-AL"/>
        </w:rPr>
        <w:t>,</w:t>
      </w:r>
      <w:r w:rsidRPr="00310932">
        <w:rPr>
          <w:lang w:val="sq-AL"/>
        </w:rPr>
        <w:t xml:space="preserve"> fondi i miratuara 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sht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çelur 2 milion</w:t>
      </w:r>
      <w:r w:rsidR="00DC369A" w:rsidRPr="00310932">
        <w:rPr>
          <w:lang w:val="sq-AL"/>
        </w:rPr>
        <w:t>ë</w:t>
      </w:r>
      <w:r w:rsidRPr="00310932">
        <w:rPr>
          <w:lang w:val="sq-AL"/>
        </w:rPr>
        <w:t xml:space="preserve"> lek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m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pak</w:t>
      </w:r>
      <w:r w:rsidR="00DC369A" w:rsidRPr="00310932">
        <w:rPr>
          <w:lang w:val="sq-AL"/>
        </w:rPr>
        <w:t>;</w:t>
      </w:r>
    </w:p>
    <w:p w:rsidR="00BB6492" w:rsidRPr="00310932" w:rsidRDefault="00BB6492" w:rsidP="00BB6492">
      <w:pPr>
        <w:numPr>
          <w:ilvl w:val="0"/>
          <w:numId w:val="25"/>
        </w:numPr>
        <w:jc w:val="both"/>
        <w:rPr>
          <w:lang w:val="sq-AL"/>
        </w:rPr>
      </w:pPr>
      <w:r w:rsidRPr="00310932">
        <w:rPr>
          <w:lang w:val="sq-AL"/>
        </w:rPr>
        <w:t>P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r VKM-n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nr. 596</w:t>
      </w:r>
      <w:r w:rsidR="00DC369A" w:rsidRPr="00310932">
        <w:rPr>
          <w:lang w:val="sq-AL"/>
        </w:rPr>
        <w:t xml:space="preserve">, </w:t>
      </w:r>
      <w:r w:rsidRPr="00310932">
        <w:rPr>
          <w:lang w:val="sq-AL"/>
        </w:rPr>
        <w:t>dat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10.09.2014</w:t>
      </w:r>
      <w:r w:rsidR="00DC369A" w:rsidRPr="00310932">
        <w:rPr>
          <w:lang w:val="sq-AL"/>
        </w:rPr>
        <w:t>,</w:t>
      </w:r>
      <w:r w:rsidRPr="00310932">
        <w:rPr>
          <w:lang w:val="sq-AL"/>
        </w:rPr>
        <w:t xml:space="preserve"> fondi i miratuar 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sht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</w:t>
      </w:r>
      <w:r w:rsidR="00187D35" w:rsidRPr="00310932">
        <w:rPr>
          <w:lang w:val="sq-AL"/>
        </w:rPr>
        <w:t>çelur</w:t>
      </w:r>
      <w:r w:rsidRPr="00310932">
        <w:rPr>
          <w:lang w:val="sq-AL"/>
        </w:rPr>
        <w:t xml:space="preserve"> </w:t>
      </w:r>
      <w:r w:rsidR="004340B6" w:rsidRPr="00310932">
        <w:rPr>
          <w:lang w:val="sq-AL"/>
        </w:rPr>
        <w:t xml:space="preserve">për 10 milionë lekë </w:t>
      </w:r>
      <w:r w:rsidRPr="00310932">
        <w:rPr>
          <w:lang w:val="sq-AL"/>
        </w:rPr>
        <w:t>m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p</w:t>
      </w:r>
      <w:r w:rsidR="00187D35" w:rsidRPr="00310932">
        <w:rPr>
          <w:lang w:val="sq-AL"/>
        </w:rPr>
        <w:t>a</w:t>
      </w:r>
      <w:r w:rsidRPr="00310932">
        <w:rPr>
          <w:lang w:val="sq-AL"/>
        </w:rPr>
        <w:t>k</w:t>
      </w:r>
      <w:r w:rsidR="004340B6" w:rsidRPr="00310932">
        <w:rPr>
          <w:lang w:val="sq-AL"/>
        </w:rPr>
        <w:t xml:space="preserve">, sipas </w:t>
      </w:r>
      <w:r w:rsidRPr="00310932">
        <w:rPr>
          <w:lang w:val="sq-AL"/>
        </w:rPr>
        <w:t>k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rkes</w:t>
      </w:r>
      <w:r w:rsidR="004340B6" w:rsidRPr="00310932">
        <w:rPr>
          <w:lang w:val="sq-AL"/>
        </w:rPr>
        <w:t xml:space="preserve">ës së bërë </w:t>
      </w:r>
      <w:r w:rsidRPr="00310932">
        <w:rPr>
          <w:lang w:val="sq-AL"/>
        </w:rPr>
        <w:t xml:space="preserve">nga </w:t>
      </w:r>
      <w:r w:rsidR="00187D35" w:rsidRPr="00310932">
        <w:rPr>
          <w:lang w:val="sq-AL"/>
        </w:rPr>
        <w:t>institucioni</w:t>
      </w:r>
      <w:r w:rsidRPr="00310932">
        <w:rPr>
          <w:lang w:val="sq-AL"/>
        </w:rPr>
        <w:t xml:space="preserve"> p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rkat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s.</w:t>
      </w:r>
    </w:p>
    <w:p w:rsidR="00BB6492" w:rsidRPr="00310932" w:rsidRDefault="00BB6492" w:rsidP="00BB6492">
      <w:pPr>
        <w:numPr>
          <w:ilvl w:val="0"/>
          <w:numId w:val="25"/>
        </w:numPr>
        <w:jc w:val="both"/>
        <w:rPr>
          <w:lang w:val="sq-AL"/>
        </w:rPr>
      </w:pPr>
      <w:r w:rsidRPr="00310932">
        <w:rPr>
          <w:lang w:val="sq-AL"/>
        </w:rPr>
        <w:t>P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r VKM-n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nr. 861</w:t>
      </w:r>
      <w:r w:rsidR="00DC369A" w:rsidRPr="00310932">
        <w:rPr>
          <w:lang w:val="sq-AL"/>
        </w:rPr>
        <w:t>,</w:t>
      </w:r>
      <w:r w:rsidRPr="00310932">
        <w:rPr>
          <w:lang w:val="sq-AL"/>
        </w:rPr>
        <w:t xml:space="preserve"> dat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17.12.2014, fondi i miratuar 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sht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çelur</w:t>
      </w:r>
      <w:r w:rsidR="004340B6" w:rsidRPr="00310932">
        <w:rPr>
          <w:lang w:val="sq-AL"/>
        </w:rPr>
        <w:t xml:space="preserve"> për</w:t>
      </w:r>
      <w:r w:rsidRPr="00310932">
        <w:rPr>
          <w:lang w:val="sq-AL"/>
        </w:rPr>
        <w:t xml:space="preserve"> </w:t>
      </w:r>
      <w:r w:rsidR="004340B6" w:rsidRPr="00310932">
        <w:rPr>
          <w:lang w:val="sq-AL"/>
        </w:rPr>
        <w:t xml:space="preserve">165 mijë lekë </w:t>
      </w:r>
      <w:r w:rsidRPr="00310932">
        <w:rPr>
          <w:lang w:val="sq-AL"/>
        </w:rPr>
        <w:t>m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pak sipas k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rkes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s s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ministris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 xml:space="preserve"> p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rkat</w:t>
      </w:r>
      <w:r w:rsidR="009B1780" w:rsidRPr="00310932">
        <w:rPr>
          <w:lang w:val="sq-AL"/>
        </w:rPr>
        <w:t>ë</w:t>
      </w:r>
      <w:r w:rsidRPr="00310932">
        <w:rPr>
          <w:lang w:val="sq-AL"/>
        </w:rPr>
        <w:t>se.</w:t>
      </w:r>
    </w:p>
    <w:p w:rsidR="00635EA5" w:rsidRPr="00187D35" w:rsidRDefault="00635EA5" w:rsidP="00635EA5">
      <w:pPr>
        <w:pStyle w:val="ListParagraph"/>
        <w:spacing w:before="0" w:after="0"/>
        <w:ind w:left="1830"/>
        <w:rPr>
          <w:rFonts w:ascii="Times New Roman" w:hAnsi="Times New Roman"/>
          <w:sz w:val="24"/>
          <w:lang w:val="sq-AL"/>
        </w:rPr>
      </w:pPr>
    </w:p>
    <w:p w:rsidR="00635EA5" w:rsidRPr="00187D35" w:rsidRDefault="00635EA5" w:rsidP="004265EB">
      <w:pPr>
        <w:pStyle w:val="ListParagraph"/>
        <w:numPr>
          <w:ilvl w:val="0"/>
          <w:numId w:val="21"/>
        </w:numPr>
        <w:spacing w:before="0" w:after="0"/>
        <w:ind w:left="450" w:hanging="450"/>
        <w:rPr>
          <w:rFonts w:ascii="Times New Roman" w:hAnsi="Times New Roman"/>
          <w:sz w:val="24"/>
          <w:lang w:val="sq-AL"/>
        </w:rPr>
      </w:pPr>
      <w:r w:rsidRPr="00187D35">
        <w:rPr>
          <w:rFonts w:ascii="Times New Roman" w:hAnsi="Times New Roman"/>
          <w:sz w:val="24"/>
          <w:lang w:val="sq-AL"/>
        </w:rPr>
        <w:t xml:space="preserve">Fondi i Kontigjencës për rritjen e pagave i planifikuar për </w:t>
      </w:r>
      <w:r w:rsidR="00B75A9E" w:rsidRPr="00187D35">
        <w:rPr>
          <w:rFonts w:ascii="Times New Roman" w:hAnsi="Times New Roman"/>
          <w:sz w:val="24"/>
          <w:lang w:val="sq-AL"/>
        </w:rPr>
        <w:t>1 0</w:t>
      </w:r>
      <w:r w:rsidRPr="00187D35">
        <w:rPr>
          <w:rFonts w:ascii="Times New Roman" w:hAnsi="Times New Roman"/>
          <w:sz w:val="24"/>
          <w:lang w:val="sq-AL"/>
        </w:rPr>
        <w:t>00 milion</w:t>
      </w:r>
      <w:r w:rsidR="00DC369A">
        <w:rPr>
          <w:rFonts w:ascii="Times New Roman" w:hAnsi="Times New Roman"/>
          <w:sz w:val="24"/>
          <w:lang w:val="sq-AL"/>
        </w:rPr>
        <w:t>ë</w:t>
      </w:r>
      <w:r w:rsidRPr="00187D35">
        <w:rPr>
          <w:rFonts w:ascii="Times New Roman" w:hAnsi="Times New Roman"/>
          <w:sz w:val="24"/>
          <w:lang w:val="sq-AL"/>
        </w:rPr>
        <w:t xml:space="preserve"> lekë është përdorur </w:t>
      </w:r>
      <w:r w:rsidR="008D00C6" w:rsidRPr="00187D35">
        <w:rPr>
          <w:rFonts w:ascii="Times New Roman" w:hAnsi="Times New Roman"/>
          <w:sz w:val="24"/>
          <w:lang w:val="sq-AL"/>
        </w:rPr>
        <w:t>861</w:t>
      </w:r>
      <w:r w:rsidRPr="00187D35">
        <w:rPr>
          <w:rFonts w:ascii="Times New Roman" w:hAnsi="Times New Roman"/>
          <w:sz w:val="24"/>
          <w:lang w:val="sq-AL"/>
        </w:rPr>
        <w:t xml:space="preserve"> milion</w:t>
      </w:r>
      <w:r w:rsidR="00DC369A">
        <w:rPr>
          <w:rFonts w:ascii="Times New Roman" w:hAnsi="Times New Roman"/>
          <w:sz w:val="24"/>
          <w:lang w:val="sq-AL"/>
        </w:rPr>
        <w:t>ë</w:t>
      </w:r>
      <w:r w:rsidRPr="00187D35">
        <w:rPr>
          <w:rFonts w:ascii="Times New Roman" w:hAnsi="Times New Roman"/>
          <w:sz w:val="24"/>
          <w:lang w:val="sq-AL"/>
        </w:rPr>
        <w:t xml:space="preserve"> për paga dhe </w:t>
      </w:r>
      <w:r w:rsidR="008D00C6" w:rsidRPr="00187D35">
        <w:rPr>
          <w:rFonts w:ascii="Times New Roman" w:hAnsi="Times New Roman"/>
          <w:sz w:val="24"/>
          <w:lang w:val="sq-AL"/>
        </w:rPr>
        <w:t>138.9</w:t>
      </w:r>
      <w:r w:rsidRPr="00187D35">
        <w:rPr>
          <w:rFonts w:ascii="Times New Roman" w:hAnsi="Times New Roman"/>
          <w:sz w:val="24"/>
          <w:lang w:val="sq-AL"/>
        </w:rPr>
        <w:t xml:space="preserve"> milion</w:t>
      </w:r>
      <w:r w:rsidR="00DC369A">
        <w:rPr>
          <w:rFonts w:ascii="Times New Roman" w:hAnsi="Times New Roman"/>
          <w:sz w:val="24"/>
          <w:lang w:val="sq-AL"/>
        </w:rPr>
        <w:t>ë</w:t>
      </w:r>
      <w:r w:rsidRPr="00187D35">
        <w:rPr>
          <w:rFonts w:ascii="Times New Roman" w:hAnsi="Times New Roman"/>
          <w:sz w:val="24"/>
          <w:lang w:val="sq-AL"/>
        </w:rPr>
        <w:t xml:space="preserve"> lek</w:t>
      </w:r>
      <w:r w:rsidR="00DC369A">
        <w:rPr>
          <w:rFonts w:ascii="Times New Roman" w:hAnsi="Times New Roman"/>
          <w:sz w:val="24"/>
          <w:lang w:val="sq-AL"/>
        </w:rPr>
        <w:t>ë</w:t>
      </w:r>
      <w:r w:rsidRPr="00187D35">
        <w:rPr>
          <w:rFonts w:ascii="Times New Roman" w:hAnsi="Times New Roman"/>
          <w:sz w:val="24"/>
          <w:lang w:val="sq-AL"/>
        </w:rPr>
        <w:t xml:space="preserve"> për sigurime shoqërore.</w:t>
      </w:r>
      <w:r w:rsidR="008D00C6" w:rsidRPr="00187D35">
        <w:rPr>
          <w:rFonts w:ascii="Times New Roman" w:hAnsi="Times New Roman"/>
          <w:sz w:val="24"/>
          <w:lang w:val="sq-AL"/>
        </w:rPr>
        <w:t xml:space="preserve"> Ka mbetur pa </w:t>
      </w:r>
      <w:r w:rsidR="00187D35" w:rsidRPr="00187D35">
        <w:rPr>
          <w:rFonts w:ascii="Times New Roman" w:hAnsi="Times New Roman"/>
          <w:sz w:val="24"/>
          <w:lang w:val="sq-AL"/>
        </w:rPr>
        <w:t>përdorur</w:t>
      </w:r>
      <w:r w:rsidR="008D00C6" w:rsidRPr="00187D35">
        <w:rPr>
          <w:rFonts w:ascii="Times New Roman" w:hAnsi="Times New Roman"/>
          <w:sz w:val="24"/>
          <w:lang w:val="sq-AL"/>
        </w:rPr>
        <w:t xml:space="preserve"> 17 mij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187D35">
        <w:rPr>
          <w:rFonts w:ascii="Times New Roman" w:hAnsi="Times New Roman"/>
          <w:sz w:val="24"/>
          <w:lang w:val="sq-AL"/>
        </w:rPr>
        <w:t xml:space="preserve"> </w:t>
      </w:r>
      <w:r w:rsidR="008D00C6" w:rsidRPr="00187D35">
        <w:rPr>
          <w:rFonts w:ascii="Times New Roman" w:hAnsi="Times New Roman"/>
          <w:sz w:val="24"/>
          <w:lang w:val="sq-AL"/>
        </w:rPr>
        <w:t>lek</w:t>
      </w:r>
      <w:r w:rsidR="009B1780" w:rsidRPr="00187D35">
        <w:rPr>
          <w:rFonts w:ascii="Times New Roman" w:hAnsi="Times New Roman"/>
          <w:sz w:val="24"/>
          <w:lang w:val="sq-AL"/>
        </w:rPr>
        <w:t>ë</w:t>
      </w:r>
      <w:r w:rsidR="008D00C6" w:rsidRPr="00187D35">
        <w:rPr>
          <w:rFonts w:ascii="Times New Roman" w:hAnsi="Times New Roman"/>
          <w:sz w:val="24"/>
          <w:lang w:val="sq-AL"/>
        </w:rPr>
        <w:t>.</w:t>
      </w:r>
    </w:p>
    <w:p w:rsidR="004265EB" w:rsidRPr="00187D35" w:rsidRDefault="004265EB" w:rsidP="004265EB">
      <w:pPr>
        <w:pStyle w:val="ListParagraph"/>
        <w:spacing w:before="0" w:after="0"/>
        <w:ind w:left="450"/>
        <w:rPr>
          <w:rFonts w:ascii="Times New Roman" w:hAnsi="Times New Roman"/>
          <w:sz w:val="24"/>
          <w:lang w:val="sq-AL"/>
        </w:rPr>
      </w:pPr>
    </w:p>
    <w:p w:rsidR="00635EA5" w:rsidRPr="00187D35" w:rsidRDefault="00846FAD" w:rsidP="004265EB">
      <w:pPr>
        <w:numPr>
          <w:ilvl w:val="0"/>
          <w:numId w:val="21"/>
        </w:numPr>
        <w:ind w:left="450" w:hanging="450"/>
        <w:jc w:val="both"/>
        <w:rPr>
          <w:lang w:val="sq-AL"/>
        </w:rPr>
      </w:pPr>
      <w:r w:rsidRPr="00187D35">
        <w:rPr>
          <w:lang w:val="sq-AL"/>
        </w:rPr>
        <w:t>Fondi i Kontigjencë</w:t>
      </w:r>
      <w:r w:rsidR="00635EA5" w:rsidRPr="00187D35">
        <w:rPr>
          <w:lang w:val="sq-AL"/>
        </w:rPr>
        <w:t>s për rritjen e pensioneve i planif</w:t>
      </w:r>
      <w:r w:rsidR="008D00C6" w:rsidRPr="00187D35">
        <w:rPr>
          <w:lang w:val="sq-AL"/>
        </w:rPr>
        <w:t>ikuar prej 1</w:t>
      </w:r>
      <w:r w:rsidR="00635EA5" w:rsidRPr="00187D35">
        <w:rPr>
          <w:lang w:val="sq-AL"/>
        </w:rPr>
        <w:t xml:space="preserve"> miliard lekësh është përdorur për rritjen e pensioneve për </w:t>
      </w:r>
      <w:r w:rsidR="008D00C6" w:rsidRPr="00187D35">
        <w:rPr>
          <w:lang w:val="sq-AL"/>
        </w:rPr>
        <w:t>998</w:t>
      </w:r>
      <w:r w:rsidRPr="00187D35">
        <w:rPr>
          <w:lang w:val="sq-AL"/>
        </w:rPr>
        <w:t xml:space="preserve"> milion</w:t>
      </w:r>
      <w:r w:rsidR="00DC369A">
        <w:rPr>
          <w:lang w:val="sq-AL"/>
        </w:rPr>
        <w:t>ë</w:t>
      </w:r>
      <w:r w:rsidRPr="00187D35">
        <w:rPr>
          <w:lang w:val="sq-AL"/>
        </w:rPr>
        <w:t xml:space="preserve"> lekë</w:t>
      </w:r>
      <w:r w:rsidR="00635EA5" w:rsidRPr="00187D35">
        <w:rPr>
          <w:lang w:val="sq-AL"/>
        </w:rPr>
        <w:t>.</w:t>
      </w:r>
      <w:r w:rsidR="008D00C6" w:rsidRPr="00187D35">
        <w:rPr>
          <w:lang w:val="sq-AL"/>
        </w:rPr>
        <w:t xml:space="preserve"> Ka mbetur pa p</w:t>
      </w:r>
      <w:r w:rsidR="009B1780" w:rsidRPr="00187D35">
        <w:rPr>
          <w:lang w:val="sq-AL"/>
        </w:rPr>
        <w:t>ë</w:t>
      </w:r>
      <w:r w:rsidR="008D00C6" w:rsidRPr="00187D35">
        <w:rPr>
          <w:lang w:val="sq-AL"/>
        </w:rPr>
        <w:t xml:space="preserve">rdorur shuma </w:t>
      </w:r>
      <w:r w:rsidR="00DC369A">
        <w:rPr>
          <w:lang w:val="sq-AL"/>
        </w:rPr>
        <w:t xml:space="preserve">prej </w:t>
      </w:r>
      <w:r w:rsidR="008D00C6" w:rsidRPr="00187D35">
        <w:rPr>
          <w:lang w:val="sq-AL"/>
        </w:rPr>
        <w:t>2 milion</w:t>
      </w:r>
      <w:r w:rsidR="00DC369A">
        <w:rPr>
          <w:lang w:val="sq-AL"/>
        </w:rPr>
        <w:t>ë</w:t>
      </w:r>
      <w:r w:rsidR="008D00C6" w:rsidRPr="00187D35">
        <w:rPr>
          <w:lang w:val="sq-AL"/>
        </w:rPr>
        <w:t xml:space="preserve"> lek</w:t>
      </w:r>
      <w:r w:rsidR="009B1780" w:rsidRPr="00187D35">
        <w:rPr>
          <w:lang w:val="sq-AL"/>
        </w:rPr>
        <w:t>ë</w:t>
      </w:r>
      <w:r w:rsidR="00DC369A">
        <w:rPr>
          <w:lang w:val="sq-AL"/>
        </w:rPr>
        <w:t>sh</w:t>
      </w:r>
      <w:r w:rsidR="008D00C6" w:rsidRPr="00187D35">
        <w:rPr>
          <w:lang w:val="sq-AL"/>
        </w:rPr>
        <w:t>.</w:t>
      </w:r>
    </w:p>
    <w:p w:rsidR="00635EA5" w:rsidRPr="00187D35" w:rsidRDefault="00635EA5" w:rsidP="00635EA5">
      <w:pPr>
        <w:rPr>
          <w:lang w:val="sq-AL"/>
        </w:rPr>
      </w:pPr>
    </w:p>
    <w:p w:rsidR="00D87F6B" w:rsidRDefault="00D87F6B" w:rsidP="00635EA5">
      <w:pPr>
        <w:rPr>
          <w:lang w:val="sq-AL"/>
        </w:rPr>
      </w:pPr>
    </w:p>
    <w:p w:rsidR="008B51CB" w:rsidRPr="00187D35" w:rsidRDefault="008B51CB" w:rsidP="00635EA5">
      <w:pPr>
        <w:rPr>
          <w:lang w:val="sq-AL"/>
        </w:rPr>
      </w:pPr>
    </w:p>
    <w:p w:rsidR="00501B62" w:rsidRPr="00DC369A" w:rsidRDefault="00697995" w:rsidP="003752BC">
      <w:pPr>
        <w:jc w:val="both"/>
        <w:rPr>
          <w:b/>
          <w:bCs/>
          <w:lang w:val="sq-AL"/>
        </w:rPr>
      </w:pPr>
      <w:r w:rsidRPr="00DC369A">
        <w:rPr>
          <w:b/>
          <w:bCs/>
          <w:lang w:val="sq-AL"/>
        </w:rPr>
        <w:t xml:space="preserve">MINISTRI </w:t>
      </w:r>
      <w:r w:rsidR="00DC369A" w:rsidRPr="00DC369A">
        <w:rPr>
          <w:b/>
          <w:bCs/>
          <w:lang w:val="sq-AL"/>
        </w:rPr>
        <w:t>I</w:t>
      </w:r>
      <w:r w:rsidRPr="00DC369A">
        <w:rPr>
          <w:b/>
          <w:bCs/>
          <w:lang w:val="sq-AL"/>
        </w:rPr>
        <w:t xml:space="preserve"> FINANCAVE</w:t>
      </w:r>
    </w:p>
    <w:p w:rsidR="00501B62" w:rsidRDefault="00501B62" w:rsidP="003752BC">
      <w:pPr>
        <w:jc w:val="both"/>
        <w:rPr>
          <w:b/>
          <w:bCs/>
          <w:sz w:val="16"/>
          <w:szCs w:val="16"/>
          <w:lang w:val="sq-AL"/>
        </w:rPr>
      </w:pPr>
    </w:p>
    <w:p w:rsidR="008B51CB" w:rsidRPr="00DC369A" w:rsidRDefault="008B51CB" w:rsidP="003752BC">
      <w:pPr>
        <w:jc w:val="both"/>
        <w:rPr>
          <w:b/>
          <w:bCs/>
          <w:sz w:val="16"/>
          <w:szCs w:val="16"/>
          <w:lang w:val="sq-AL"/>
        </w:rPr>
      </w:pPr>
    </w:p>
    <w:p w:rsidR="00E149AB" w:rsidRDefault="00E149AB" w:rsidP="003752BC">
      <w:pPr>
        <w:jc w:val="both"/>
        <w:rPr>
          <w:rStyle w:val="Strong"/>
          <w:caps/>
        </w:rPr>
      </w:pPr>
    </w:p>
    <w:p w:rsidR="00501B62" w:rsidRPr="00DC369A" w:rsidRDefault="00E149AB" w:rsidP="003752BC">
      <w:pPr>
        <w:jc w:val="both"/>
        <w:rPr>
          <w:rStyle w:val="Strong"/>
          <w:caps/>
        </w:rPr>
      </w:pPr>
      <w:r>
        <w:rPr>
          <w:rStyle w:val="Strong"/>
          <w:caps/>
        </w:rPr>
        <w:t xml:space="preserve">       </w:t>
      </w:r>
      <w:r w:rsidR="00DC369A" w:rsidRPr="00DC369A">
        <w:rPr>
          <w:rStyle w:val="Strong"/>
          <w:caps/>
        </w:rPr>
        <w:t>SHKëLQIM CANI</w:t>
      </w:r>
    </w:p>
    <w:p w:rsidR="00697995" w:rsidRPr="00187D35" w:rsidRDefault="00697995" w:rsidP="00697995">
      <w:pPr>
        <w:rPr>
          <w:sz w:val="18"/>
          <w:szCs w:val="18"/>
          <w:lang w:val="sq-AL"/>
        </w:rPr>
      </w:pPr>
    </w:p>
    <w:sectPr w:rsidR="00697995" w:rsidRPr="00187D35" w:rsidSect="008B51CB">
      <w:footerReference w:type="default" r:id="rId9"/>
      <w:pgSz w:w="12240" w:h="15840"/>
      <w:pgMar w:top="720" w:right="108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5CF" w:rsidRDefault="00D125CF" w:rsidP="00833F74">
      <w:r>
        <w:separator/>
      </w:r>
    </w:p>
  </w:endnote>
  <w:endnote w:type="continuationSeparator" w:id="0">
    <w:p w:rsidR="00D125CF" w:rsidRDefault="00D125CF" w:rsidP="00833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F74" w:rsidRDefault="001753E5">
    <w:pPr>
      <w:pStyle w:val="Footer"/>
      <w:jc w:val="right"/>
    </w:pPr>
    <w:r>
      <w:fldChar w:fldCharType="begin"/>
    </w:r>
    <w:r w:rsidR="00833F74">
      <w:instrText xml:space="preserve"> PAGE   \* MERGEFORMAT </w:instrText>
    </w:r>
    <w:r>
      <w:fldChar w:fldCharType="separate"/>
    </w:r>
    <w:r w:rsidR="001263D8">
      <w:rPr>
        <w:noProof/>
      </w:rPr>
      <w:t>5</w:t>
    </w:r>
    <w:r>
      <w:fldChar w:fldCharType="end"/>
    </w:r>
  </w:p>
  <w:p w:rsidR="00833F74" w:rsidRDefault="00833F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5CF" w:rsidRDefault="00D125CF" w:rsidP="00833F74">
      <w:r>
        <w:separator/>
      </w:r>
    </w:p>
  </w:footnote>
  <w:footnote w:type="continuationSeparator" w:id="0">
    <w:p w:rsidR="00D125CF" w:rsidRDefault="00D125CF" w:rsidP="00833F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A7C"/>
    <w:multiLevelType w:val="hybridMultilevel"/>
    <w:tmpl w:val="16D69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016BCD"/>
    <w:multiLevelType w:val="hybridMultilevel"/>
    <w:tmpl w:val="C7BE7A78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7171D3"/>
    <w:multiLevelType w:val="hybridMultilevel"/>
    <w:tmpl w:val="C2B2C70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F294B"/>
    <w:multiLevelType w:val="hybridMultilevel"/>
    <w:tmpl w:val="BB369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8E5731"/>
    <w:multiLevelType w:val="hybridMultilevel"/>
    <w:tmpl w:val="35A69ACC"/>
    <w:lvl w:ilvl="0" w:tplc="14DCA47E">
      <w:numFmt w:val="bullet"/>
      <w:lvlText w:val="-"/>
      <w:lvlJc w:val="left"/>
      <w:pPr>
        <w:ind w:left="183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>
    <w:nsid w:val="247C6409"/>
    <w:multiLevelType w:val="hybridMultilevel"/>
    <w:tmpl w:val="CD2EF4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B01D78"/>
    <w:multiLevelType w:val="hybridMultilevel"/>
    <w:tmpl w:val="F8E2B178"/>
    <w:lvl w:ilvl="0" w:tplc="397C9DAA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>
    <w:nsid w:val="29235817"/>
    <w:multiLevelType w:val="hybridMultilevel"/>
    <w:tmpl w:val="33B89162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9717CCE"/>
    <w:multiLevelType w:val="hybridMultilevel"/>
    <w:tmpl w:val="8FE4C504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FD25608"/>
    <w:multiLevelType w:val="hybridMultilevel"/>
    <w:tmpl w:val="BD389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970E09"/>
    <w:multiLevelType w:val="hybridMultilevel"/>
    <w:tmpl w:val="7D42CA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D0CAE"/>
    <w:multiLevelType w:val="hybridMultilevel"/>
    <w:tmpl w:val="9E24761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3A517176"/>
    <w:multiLevelType w:val="hybridMultilevel"/>
    <w:tmpl w:val="C9FA20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C2D4DA3"/>
    <w:multiLevelType w:val="hybridMultilevel"/>
    <w:tmpl w:val="CDF6F9E2"/>
    <w:lvl w:ilvl="0" w:tplc="2CE46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049E6"/>
    <w:multiLevelType w:val="hybridMultilevel"/>
    <w:tmpl w:val="036CB1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F50D05"/>
    <w:multiLevelType w:val="hybridMultilevel"/>
    <w:tmpl w:val="05FAB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700721"/>
    <w:multiLevelType w:val="hybridMultilevel"/>
    <w:tmpl w:val="4D320B62"/>
    <w:lvl w:ilvl="0" w:tplc="CEB203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B7163"/>
    <w:multiLevelType w:val="hybridMultilevel"/>
    <w:tmpl w:val="C09477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5" w:tplc="0809000F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7376B4"/>
    <w:multiLevelType w:val="hybridMultilevel"/>
    <w:tmpl w:val="67849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3D1514"/>
    <w:multiLevelType w:val="hybridMultilevel"/>
    <w:tmpl w:val="C824A8D8"/>
    <w:lvl w:ilvl="0" w:tplc="2E42FE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658E38CA"/>
    <w:multiLevelType w:val="hybridMultilevel"/>
    <w:tmpl w:val="9FE6D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74244A"/>
    <w:multiLevelType w:val="hybridMultilevel"/>
    <w:tmpl w:val="B5EEE9F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B36F8"/>
    <w:multiLevelType w:val="hybridMultilevel"/>
    <w:tmpl w:val="B54E18E4"/>
    <w:lvl w:ilvl="0" w:tplc="CEB203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361D4E"/>
    <w:multiLevelType w:val="hybridMultilevel"/>
    <w:tmpl w:val="9A4CC108"/>
    <w:lvl w:ilvl="0" w:tplc="2D742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71734"/>
    <w:multiLevelType w:val="hybridMultilevel"/>
    <w:tmpl w:val="A120C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B225B8"/>
    <w:multiLevelType w:val="hybridMultilevel"/>
    <w:tmpl w:val="77FA2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2B105E"/>
    <w:multiLevelType w:val="hybridMultilevel"/>
    <w:tmpl w:val="26B40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C84930"/>
    <w:multiLevelType w:val="hybridMultilevel"/>
    <w:tmpl w:val="76BEB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DB7F66"/>
    <w:multiLevelType w:val="hybridMultilevel"/>
    <w:tmpl w:val="A3C66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5"/>
  </w:num>
  <w:num w:numId="5">
    <w:abstractNumId w:val="8"/>
  </w:num>
  <w:num w:numId="6">
    <w:abstractNumId w:val="17"/>
  </w:num>
  <w:num w:numId="7">
    <w:abstractNumId w:val="7"/>
  </w:num>
  <w:num w:numId="8">
    <w:abstractNumId w:val="6"/>
  </w:num>
  <w:num w:numId="9">
    <w:abstractNumId w:val="10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3"/>
  </w:num>
  <w:num w:numId="15">
    <w:abstractNumId w:val="0"/>
  </w:num>
  <w:num w:numId="16">
    <w:abstractNumId w:val="24"/>
  </w:num>
  <w:num w:numId="17">
    <w:abstractNumId w:val="20"/>
  </w:num>
  <w:num w:numId="18">
    <w:abstractNumId w:val="25"/>
  </w:num>
  <w:num w:numId="19">
    <w:abstractNumId w:val="11"/>
  </w:num>
  <w:num w:numId="20">
    <w:abstractNumId w:val="4"/>
  </w:num>
  <w:num w:numId="21">
    <w:abstractNumId w:val="19"/>
  </w:num>
  <w:num w:numId="22">
    <w:abstractNumId w:val="13"/>
  </w:num>
  <w:num w:numId="23">
    <w:abstractNumId w:val="23"/>
  </w:num>
  <w:num w:numId="24">
    <w:abstractNumId w:val="12"/>
  </w:num>
  <w:num w:numId="25">
    <w:abstractNumId w:val="22"/>
  </w:num>
  <w:num w:numId="26">
    <w:abstractNumId w:val="16"/>
  </w:num>
  <w:num w:numId="27">
    <w:abstractNumId w:val="2"/>
  </w:num>
  <w:num w:numId="28">
    <w:abstractNumId w:val="1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523"/>
    <w:rsid w:val="00000288"/>
    <w:rsid w:val="00007669"/>
    <w:rsid w:val="00011526"/>
    <w:rsid w:val="00027E70"/>
    <w:rsid w:val="0003036C"/>
    <w:rsid w:val="00040263"/>
    <w:rsid w:val="000407AF"/>
    <w:rsid w:val="00041981"/>
    <w:rsid w:val="000465F1"/>
    <w:rsid w:val="0004781F"/>
    <w:rsid w:val="00052884"/>
    <w:rsid w:val="00060555"/>
    <w:rsid w:val="00060800"/>
    <w:rsid w:val="00060989"/>
    <w:rsid w:val="00067C6A"/>
    <w:rsid w:val="00073760"/>
    <w:rsid w:val="000766DF"/>
    <w:rsid w:val="00076BB0"/>
    <w:rsid w:val="0008284C"/>
    <w:rsid w:val="00082AE5"/>
    <w:rsid w:val="0008653E"/>
    <w:rsid w:val="0009145F"/>
    <w:rsid w:val="00091C92"/>
    <w:rsid w:val="00094787"/>
    <w:rsid w:val="00097441"/>
    <w:rsid w:val="000A70D1"/>
    <w:rsid w:val="000A74F7"/>
    <w:rsid w:val="000A7999"/>
    <w:rsid w:val="000B14F2"/>
    <w:rsid w:val="000C0129"/>
    <w:rsid w:val="000C285E"/>
    <w:rsid w:val="000C60CC"/>
    <w:rsid w:val="000C6770"/>
    <w:rsid w:val="000D6940"/>
    <w:rsid w:val="000D7EB0"/>
    <w:rsid w:val="000E71B9"/>
    <w:rsid w:val="000F2C53"/>
    <w:rsid w:val="000F7DEF"/>
    <w:rsid w:val="001048E7"/>
    <w:rsid w:val="00105528"/>
    <w:rsid w:val="00106058"/>
    <w:rsid w:val="001061E1"/>
    <w:rsid w:val="0010787D"/>
    <w:rsid w:val="00110967"/>
    <w:rsid w:val="00113C69"/>
    <w:rsid w:val="0011548E"/>
    <w:rsid w:val="00120CE2"/>
    <w:rsid w:val="001212D8"/>
    <w:rsid w:val="00125EC6"/>
    <w:rsid w:val="001263D8"/>
    <w:rsid w:val="0013004F"/>
    <w:rsid w:val="00131FA4"/>
    <w:rsid w:val="00133359"/>
    <w:rsid w:val="00134F8B"/>
    <w:rsid w:val="00135494"/>
    <w:rsid w:val="001377EA"/>
    <w:rsid w:val="001401E6"/>
    <w:rsid w:val="00140D22"/>
    <w:rsid w:val="00144BD4"/>
    <w:rsid w:val="00145801"/>
    <w:rsid w:val="00145B9D"/>
    <w:rsid w:val="00147627"/>
    <w:rsid w:val="00154680"/>
    <w:rsid w:val="00160FC6"/>
    <w:rsid w:val="00170E5F"/>
    <w:rsid w:val="00171AFA"/>
    <w:rsid w:val="00172814"/>
    <w:rsid w:val="00172ED9"/>
    <w:rsid w:val="00175117"/>
    <w:rsid w:val="001752C9"/>
    <w:rsid w:val="001753E5"/>
    <w:rsid w:val="00175E34"/>
    <w:rsid w:val="00177A09"/>
    <w:rsid w:val="00185D87"/>
    <w:rsid w:val="00187D35"/>
    <w:rsid w:val="001915F1"/>
    <w:rsid w:val="00193B90"/>
    <w:rsid w:val="001A3865"/>
    <w:rsid w:val="001A598A"/>
    <w:rsid w:val="001A5D68"/>
    <w:rsid w:val="001A78DA"/>
    <w:rsid w:val="001A7E28"/>
    <w:rsid w:val="001C64BC"/>
    <w:rsid w:val="001D0A7B"/>
    <w:rsid w:val="001D6F3D"/>
    <w:rsid w:val="001E4520"/>
    <w:rsid w:val="001E6660"/>
    <w:rsid w:val="001F23AF"/>
    <w:rsid w:val="001F377D"/>
    <w:rsid w:val="001F5832"/>
    <w:rsid w:val="001F67B0"/>
    <w:rsid w:val="0020527A"/>
    <w:rsid w:val="002067CC"/>
    <w:rsid w:val="00214A45"/>
    <w:rsid w:val="00217391"/>
    <w:rsid w:val="00221386"/>
    <w:rsid w:val="00227824"/>
    <w:rsid w:val="00234238"/>
    <w:rsid w:val="00234DC6"/>
    <w:rsid w:val="0023519D"/>
    <w:rsid w:val="00235D92"/>
    <w:rsid w:val="002374D7"/>
    <w:rsid w:val="00252CA7"/>
    <w:rsid w:val="00254F58"/>
    <w:rsid w:val="002606F1"/>
    <w:rsid w:val="0026084B"/>
    <w:rsid w:val="00261B13"/>
    <w:rsid w:val="0026356F"/>
    <w:rsid w:val="00264B22"/>
    <w:rsid w:val="00264CE1"/>
    <w:rsid w:val="00265327"/>
    <w:rsid w:val="00266AB9"/>
    <w:rsid w:val="0027053C"/>
    <w:rsid w:val="0027102D"/>
    <w:rsid w:val="00271913"/>
    <w:rsid w:val="0027202D"/>
    <w:rsid w:val="00272B23"/>
    <w:rsid w:val="00277A8B"/>
    <w:rsid w:val="002856E3"/>
    <w:rsid w:val="00290034"/>
    <w:rsid w:val="00290621"/>
    <w:rsid w:val="0029103B"/>
    <w:rsid w:val="00292756"/>
    <w:rsid w:val="00293682"/>
    <w:rsid w:val="00297840"/>
    <w:rsid w:val="002A30E3"/>
    <w:rsid w:val="002B0A8D"/>
    <w:rsid w:val="002B172B"/>
    <w:rsid w:val="002B274E"/>
    <w:rsid w:val="002C28F3"/>
    <w:rsid w:val="002C2BC2"/>
    <w:rsid w:val="002D186F"/>
    <w:rsid w:val="002D2696"/>
    <w:rsid w:val="002D4CA0"/>
    <w:rsid w:val="002D61F4"/>
    <w:rsid w:val="002D6D9C"/>
    <w:rsid w:val="002D6F8D"/>
    <w:rsid w:val="002F24A7"/>
    <w:rsid w:val="002F59FB"/>
    <w:rsid w:val="0030201C"/>
    <w:rsid w:val="00303135"/>
    <w:rsid w:val="00310932"/>
    <w:rsid w:val="00311070"/>
    <w:rsid w:val="00313324"/>
    <w:rsid w:val="00320C6C"/>
    <w:rsid w:val="00322A5E"/>
    <w:rsid w:val="00333DBB"/>
    <w:rsid w:val="00343BE1"/>
    <w:rsid w:val="0034543D"/>
    <w:rsid w:val="00345A68"/>
    <w:rsid w:val="00356F1E"/>
    <w:rsid w:val="0035740D"/>
    <w:rsid w:val="003616A8"/>
    <w:rsid w:val="00361944"/>
    <w:rsid w:val="003740CE"/>
    <w:rsid w:val="003752BC"/>
    <w:rsid w:val="00375AD9"/>
    <w:rsid w:val="0038465B"/>
    <w:rsid w:val="00385773"/>
    <w:rsid w:val="00385D65"/>
    <w:rsid w:val="003A0EF1"/>
    <w:rsid w:val="003A5638"/>
    <w:rsid w:val="003A6A20"/>
    <w:rsid w:val="003B3CC2"/>
    <w:rsid w:val="003B5050"/>
    <w:rsid w:val="003B6558"/>
    <w:rsid w:val="003C29AB"/>
    <w:rsid w:val="003C428A"/>
    <w:rsid w:val="003C5077"/>
    <w:rsid w:val="003C5B51"/>
    <w:rsid w:val="003C6657"/>
    <w:rsid w:val="003D019E"/>
    <w:rsid w:val="003D2980"/>
    <w:rsid w:val="003D5C81"/>
    <w:rsid w:val="003D5D63"/>
    <w:rsid w:val="003D60D2"/>
    <w:rsid w:val="003E3BA5"/>
    <w:rsid w:val="003E46DE"/>
    <w:rsid w:val="003F2E02"/>
    <w:rsid w:val="003F43D7"/>
    <w:rsid w:val="003F49A9"/>
    <w:rsid w:val="00407299"/>
    <w:rsid w:val="00410611"/>
    <w:rsid w:val="00410EEB"/>
    <w:rsid w:val="004124AE"/>
    <w:rsid w:val="00414C0C"/>
    <w:rsid w:val="00425852"/>
    <w:rsid w:val="004265EB"/>
    <w:rsid w:val="004340B6"/>
    <w:rsid w:val="004367A7"/>
    <w:rsid w:val="00442D38"/>
    <w:rsid w:val="00444B2A"/>
    <w:rsid w:val="00445BC4"/>
    <w:rsid w:val="00456EBE"/>
    <w:rsid w:val="0046287F"/>
    <w:rsid w:val="00462E59"/>
    <w:rsid w:val="00464218"/>
    <w:rsid w:val="00476577"/>
    <w:rsid w:val="00477929"/>
    <w:rsid w:val="0048163C"/>
    <w:rsid w:val="004837E3"/>
    <w:rsid w:val="00493FE6"/>
    <w:rsid w:val="004945FC"/>
    <w:rsid w:val="004B0C66"/>
    <w:rsid w:val="004B69EB"/>
    <w:rsid w:val="004C1575"/>
    <w:rsid w:val="004C70C3"/>
    <w:rsid w:val="004D14D9"/>
    <w:rsid w:val="004D476F"/>
    <w:rsid w:val="004E5CE1"/>
    <w:rsid w:val="004E745D"/>
    <w:rsid w:val="004E78F5"/>
    <w:rsid w:val="004F4D10"/>
    <w:rsid w:val="00500CE9"/>
    <w:rsid w:val="00501B62"/>
    <w:rsid w:val="00502244"/>
    <w:rsid w:val="00502D53"/>
    <w:rsid w:val="00503166"/>
    <w:rsid w:val="005044A0"/>
    <w:rsid w:val="00511001"/>
    <w:rsid w:val="00511BED"/>
    <w:rsid w:val="0051528F"/>
    <w:rsid w:val="00516551"/>
    <w:rsid w:val="005171ED"/>
    <w:rsid w:val="005205D0"/>
    <w:rsid w:val="00522F56"/>
    <w:rsid w:val="005240FE"/>
    <w:rsid w:val="00527F1F"/>
    <w:rsid w:val="00541F93"/>
    <w:rsid w:val="00544A3D"/>
    <w:rsid w:val="00545652"/>
    <w:rsid w:val="00547DA9"/>
    <w:rsid w:val="00550A02"/>
    <w:rsid w:val="00552D4A"/>
    <w:rsid w:val="00556B5B"/>
    <w:rsid w:val="00560D7F"/>
    <w:rsid w:val="00563729"/>
    <w:rsid w:val="00567D22"/>
    <w:rsid w:val="00581E55"/>
    <w:rsid w:val="0058636F"/>
    <w:rsid w:val="0059394E"/>
    <w:rsid w:val="00597569"/>
    <w:rsid w:val="005A13A1"/>
    <w:rsid w:val="005A312A"/>
    <w:rsid w:val="005A73BD"/>
    <w:rsid w:val="005B3066"/>
    <w:rsid w:val="005B3776"/>
    <w:rsid w:val="005B3A6C"/>
    <w:rsid w:val="005B6249"/>
    <w:rsid w:val="005C15AB"/>
    <w:rsid w:val="005C31D7"/>
    <w:rsid w:val="005C4ED2"/>
    <w:rsid w:val="005C6B08"/>
    <w:rsid w:val="005C79F1"/>
    <w:rsid w:val="005D0B23"/>
    <w:rsid w:val="005D1859"/>
    <w:rsid w:val="005D2849"/>
    <w:rsid w:val="005D2EA0"/>
    <w:rsid w:val="005D4B01"/>
    <w:rsid w:val="005E4C49"/>
    <w:rsid w:val="005E74BC"/>
    <w:rsid w:val="005F099A"/>
    <w:rsid w:val="005F139C"/>
    <w:rsid w:val="005F3191"/>
    <w:rsid w:val="005F4DE2"/>
    <w:rsid w:val="005F4F82"/>
    <w:rsid w:val="00604C12"/>
    <w:rsid w:val="006060E3"/>
    <w:rsid w:val="00612FBF"/>
    <w:rsid w:val="00614513"/>
    <w:rsid w:val="00617EB9"/>
    <w:rsid w:val="006205C2"/>
    <w:rsid w:val="00620844"/>
    <w:rsid w:val="0062249C"/>
    <w:rsid w:val="0062332F"/>
    <w:rsid w:val="00625D1D"/>
    <w:rsid w:val="00632F00"/>
    <w:rsid w:val="00635EA5"/>
    <w:rsid w:val="006450FC"/>
    <w:rsid w:val="0064572F"/>
    <w:rsid w:val="0064678A"/>
    <w:rsid w:val="00651689"/>
    <w:rsid w:val="0065560B"/>
    <w:rsid w:val="00656B4E"/>
    <w:rsid w:val="00660E82"/>
    <w:rsid w:val="00662897"/>
    <w:rsid w:val="00664A6E"/>
    <w:rsid w:val="006674DE"/>
    <w:rsid w:val="006716DF"/>
    <w:rsid w:val="006755A4"/>
    <w:rsid w:val="00677C17"/>
    <w:rsid w:val="00682A12"/>
    <w:rsid w:val="0068434A"/>
    <w:rsid w:val="00690050"/>
    <w:rsid w:val="00691699"/>
    <w:rsid w:val="006916F8"/>
    <w:rsid w:val="006948F6"/>
    <w:rsid w:val="006964CA"/>
    <w:rsid w:val="00697995"/>
    <w:rsid w:val="006A6724"/>
    <w:rsid w:val="006A6EB1"/>
    <w:rsid w:val="006B4508"/>
    <w:rsid w:val="006B71EE"/>
    <w:rsid w:val="006B7A92"/>
    <w:rsid w:val="006C16FB"/>
    <w:rsid w:val="006C4266"/>
    <w:rsid w:val="006D0011"/>
    <w:rsid w:val="006D7517"/>
    <w:rsid w:val="006E66A8"/>
    <w:rsid w:val="006E722A"/>
    <w:rsid w:val="00701F8D"/>
    <w:rsid w:val="0070459C"/>
    <w:rsid w:val="007109ED"/>
    <w:rsid w:val="00713152"/>
    <w:rsid w:val="00713C8B"/>
    <w:rsid w:val="00717B95"/>
    <w:rsid w:val="0074077D"/>
    <w:rsid w:val="00745709"/>
    <w:rsid w:val="00746709"/>
    <w:rsid w:val="0074684C"/>
    <w:rsid w:val="00751B3F"/>
    <w:rsid w:val="0075238F"/>
    <w:rsid w:val="00761130"/>
    <w:rsid w:val="007641BB"/>
    <w:rsid w:val="00771D63"/>
    <w:rsid w:val="00780D71"/>
    <w:rsid w:val="007858AA"/>
    <w:rsid w:val="00786E50"/>
    <w:rsid w:val="007904B5"/>
    <w:rsid w:val="00791A87"/>
    <w:rsid w:val="00794D8C"/>
    <w:rsid w:val="00795D6A"/>
    <w:rsid w:val="007C577E"/>
    <w:rsid w:val="007C5A51"/>
    <w:rsid w:val="007D0125"/>
    <w:rsid w:val="007D01C5"/>
    <w:rsid w:val="007D1D17"/>
    <w:rsid w:val="007D3317"/>
    <w:rsid w:val="007D4B20"/>
    <w:rsid w:val="007D7AFD"/>
    <w:rsid w:val="007E6395"/>
    <w:rsid w:val="007E6FA3"/>
    <w:rsid w:val="007E720A"/>
    <w:rsid w:val="007F116B"/>
    <w:rsid w:val="007F1BCE"/>
    <w:rsid w:val="007F367D"/>
    <w:rsid w:val="007F50D9"/>
    <w:rsid w:val="00801320"/>
    <w:rsid w:val="008046DA"/>
    <w:rsid w:val="00815EC9"/>
    <w:rsid w:val="00821B55"/>
    <w:rsid w:val="00821CAC"/>
    <w:rsid w:val="00826FF1"/>
    <w:rsid w:val="00833E99"/>
    <w:rsid w:val="00833F74"/>
    <w:rsid w:val="008348CB"/>
    <w:rsid w:val="008357C2"/>
    <w:rsid w:val="008375AA"/>
    <w:rsid w:val="00840BB0"/>
    <w:rsid w:val="008421A4"/>
    <w:rsid w:val="00842515"/>
    <w:rsid w:val="008439E3"/>
    <w:rsid w:val="00846FAD"/>
    <w:rsid w:val="0085452B"/>
    <w:rsid w:val="008561EC"/>
    <w:rsid w:val="008565D9"/>
    <w:rsid w:val="00863EC6"/>
    <w:rsid w:val="0086615B"/>
    <w:rsid w:val="00867DA2"/>
    <w:rsid w:val="00873E24"/>
    <w:rsid w:val="0088147B"/>
    <w:rsid w:val="00886063"/>
    <w:rsid w:val="008931F7"/>
    <w:rsid w:val="008934BB"/>
    <w:rsid w:val="008A01A7"/>
    <w:rsid w:val="008A10FF"/>
    <w:rsid w:val="008A2111"/>
    <w:rsid w:val="008A21FD"/>
    <w:rsid w:val="008A5CF0"/>
    <w:rsid w:val="008A6D60"/>
    <w:rsid w:val="008B3E5E"/>
    <w:rsid w:val="008B3F49"/>
    <w:rsid w:val="008B51CB"/>
    <w:rsid w:val="008C20CE"/>
    <w:rsid w:val="008C27F6"/>
    <w:rsid w:val="008C37DB"/>
    <w:rsid w:val="008C4CAF"/>
    <w:rsid w:val="008D00C6"/>
    <w:rsid w:val="008D30F7"/>
    <w:rsid w:val="008D3E7C"/>
    <w:rsid w:val="008D49D9"/>
    <w:rsid w:val="008E2117"/>
    <w:rsid w:val="008E47DE"/>
    <w:rsid w:val="008E6FA4"/>
    <w:rsid w:val="008E73DB"/>
    <w:rsid w:val="00903A09"/>
    <w:rsid w:val="00905723"/>
    <w:rsid w:val="009070FD"/>
    <w:rsid w:val="00915BFA"/>
    <w:rsid w:val="0092071B"/>
    <w:rsid w:val="009218E5"/>
    <w:rsid w:val="009241AE"/>
    <w:rsid w:val="00926217"/>
    <w:rsid w:val="00926FC3"/>
    <w:rsid w:val="00936192"/>
    <w:rsid w:val="009410AD"/>
    <w:rsid w:val="00943901"/>
    <w:rsid w:val="00943AC5"/>
    <w:rsid w:val="00950FB7"/>
    <w:rsid w:val="00952A27"/>
    <w:rsid w:val="009563E1"/>
    <w:rsid w:val="00960FA6"/>
    <w:rsid w:val="0097073F"/>
    <w:rsid w:val="00971845"/>
    <w:rsid w:val="00972466"/>
    <w:rsid w:val="00972ED7"/>
    <w:rsid w:val="0097357E"/>
    <w:rsid w:val="0097476E"/>
    <w:rsid w:val="0097652D"/>
    <w:rsid w:val="0098355D"/>
    <w:rsid w:val="00984BA3"/>
    <w:rsid w:val="0098605E"/>
    <w:rsid w:val="00986169"/>
    <w:rsid w:val="009910CB"/>
    <w:rsid w:val="00991B1F"/>
    <w:rsid w:val="009931A9"/>
    <w:rsid w:val="00995FEB"/>
    <w:rsid w:val="009A1873"/>
    <w:rsid w:val="009A3976"/>
    <w:rsid w:val="009A4017"/>
    <w:rsid w:val="009B06E4"/>
    <w:rsid w:val="009B1780"/>
    <w:rsid w:val="009B2100"/>
    <w:rsid w:val="009B46D3"/>
    <w:rsid w:val="009B4EE3"/>
    <w:rsid w:val="009C6718"/>
    <w:rsid w:val="009D0080"/>
    <w:rsid w:val="009D18D9"/>
    <w:rsid w:val="009D5575"/>
    <w:rsid w:val="009D59CF"/>
    <w:rsid w:val="009F29E5"/>
    <w:rsid w:val="009F2C4A"/>
    <w:rsid w:val="00A027F6"/>
    <w:rsid w:val="00A032DA"/>
    <w:rsid w:val="00A04C44"/>
    <w:rsid w:val="00A05BE2"/>
    <w:rsid w:val="00A16160"/>
    <w:rsid w:val="00A20921"/>
    <w:rsid w:val="00A21D9E"/>
    <w:rsid w:val="00A243D8"/>
    <w:rsid w:val="00A269F1"/>
    <w:rsid w:val="00A31E55"/>
    <w:rsid w:val="00A329E3"/>
    <w:rsid w:val="00A369BE"/>
    <w:rsid w:val="00A427CD"/>
    <w:rsid w:val="00A46A3F"/>
    <w:rsid w:val="00A50DD9"/>
    <w:rsid w:val="00A512D3"/>
    <w:rsid w:val="00A5754F"/>
    <w:rsid w:val="00A630F1"/>
    <w:rsid w:val="00A64B09"/>
    <w:rsid w:val="00A70973"/>
    <w:rsid w:val="00A74250"/>
    <w:rsid w:val="00A75BFC"/>
    <w:rsid w:val="00A773B2"/>
    <w:rsid w:val="00A77E3E"/>
    <w:rsid w:val="00A80AC9"/>
    <w:rsid w:val="00A947AC"/>
    <w:rsid w:val="00A94C93"/>
    <w:rsid w:val="00A95B74"/>
    <w:rsid w:val="00AA0265"/>
    <w:rsid w:val="00AA334A"/>
    <w:rsid w:val="00AA7AED"/>
    <w:rsid w:val="00AB0005"/>
    <w:rsid w:val="00AB17BF"/>
    <w:rsid w:val="00AB21F4"/>
    <w:rsid w:val="00AB5CA2"/>
    <w:rsid w:val="00AC665A"/>
    <w:rsid w:val="00AD1B8C"/>
    <w:rsid w:val="00AD582C"/>
    <w:rsid w:val="00AD65A3"/>
    <w:rsid w:val="00AE240E"/>
    <w:rsid w:val="00AE6D62"/>
    <w:rsid w:val="00AF34D6"/>
    <w:rsid w:val="00AF4830"/>
    <w:rsid w:val="00B030CE"/>
    <w:rsid w:val="00B128A3"/>
    <w:rsid w:val="00B12B4A"/>
    <w:rsid w:val="00B14150"/>
    <w:rsid w:val="00B17073"/>
    <w:rsid w:val="00B221D6"/>
    <w:rsid w:val="00B236FF"/>
    <w:rsid w:val="00B26221"/>
    <w:rsid w:val="00B2772F"/>
    <w:rsid w:val="00B33CA7"/>
    <w:rsid w:val="00B35D08"/>
    <w:rsid w:val="00B362CA"/>
    <w:rsid w:val="00B44527"/>
    <w:rsid w:val="00B50996"/>
    <w:rsid w:val="00B553B6"/>
    <w:rsid w:val="00B55AAE"/>
    <w:rsid w:val="00B6138F"/>
    <w:rsid w:val="00B642BB"/>
    <w:rsid w:val="00B658C6"/>
    <w:rsid w:val="00B70775"/>
    <w:rsid w:val="00B75A9E"/>
    <w:rsid w:val="00B75E39"/>
    <w:rsid w:val="00B77982"/>
    <w:rsid w:val="00B80A11"/>
    <w:rsid w:val="00B80AC5"/>
    <w:rsid w:val="00B9098A"/>
    <w:rsid w:val="00B953AE"/>
    <w:rsid w:val="00B969D9"/>
    <w:rsid w:val="00BA24AB"/>
    <w:rsid w:val="00BA256E"/>
    <w:rsid w:val="00BA4F42"/>
    <w:rsid w:val="00BB427B"/>
    <w:rsid w:val="00BB6492"/>
    <w:rsid w:val="00BC0617"/>
    <w:rsid w:val="00BC72B2"/>
    <w:rsid w:val="00BD6891"/>
    <w:rsid w:val="00BD7E0F"/>
    <w:rsid w:val="00BE1310"/>
    <w:rsid w:val="00BE63A5"/>
    <w:rsid w:val="00BF2E22"/>
    <w:rsid w:val="00C054CB"/>
    <w:rsid w:val="00C07BD3"/>
    <w:rsid w:val="00C11CF5"/>
    <w:rsid w:val="00C158C4"/>
    <w:rsid w:val="00C21D2B"/>
    <w:rsid w:val="00C24C77"/>
    <w:rsid w:val="00C2524C"/>
    <w:rsid w:val="00C3023D"/>
    <w:rsid w:val="00C321E1"/>
    <w:rsid w:val="00C36EB5"/>
    <w:rsid w:val="00C40356"/>
    <w:rsid w:val="00C55B96"/>
    <w:rsid w:val="00C57AC9"/>
    <w:rsid w:val="00C65696"/>
    <w:rsid w:val="00C74077"/>
    <w:rsid w:val="00C74B67"/>
    <w:rsid w:val="00C81786"/>
    <w:rsid w:val="00C83A16"/>
    <w:rsid w:val="00C95CA5"/>
    <w:rsid w:val="00CA0303"/>
    <w:rsid w:val="00CA2488"/>
    <w:rsid w:val="00CA55A8"/>
    <w:rsid w:val="00CA6A69"/>
    <w:rsid w:val="00CA76D6"/>
    <w:rsid w:val="00CB349B"/>
    <w:rsid w:val="00CB4A91"/>
    <w:rsid w:val="00CB5523"/>
    <w:rsid w:val="00CC2F90"/>
    <w:rsid w:val="00CC3C1D"/>
    <w:rsid w:val="00CD0664"/>
    <w:rsid w:val="00CD44B7"/>
    <w:rsid w:val="00CD6E7E"/>
    <w:rsid w:val="00CE0763"/>
    <w:rsid w:val="00CE3FFC"/>
    <w:rsid w:val="00CF0496"/>
    <w:rsid w:val="00CF1FAE"/>
    <w:rsid w:val="00CF266C"/>
    <w:rsid w:val="00CF293F"/>
    <w:rsid w:val="00D0041B"/>
    <w:rsid w:val="00D04599"/>
    <w:rsid w:val="00D04D7E"/>
    <w:rsid w:val="00D11869"/>
    <w:rsid w:val="00D125CF"/>
    <w:rsid w:val="00D133B4"/>
    <w:rsid w:val="00D14957"/>
    <w:rsid w:val="00D14E73"/>
    <w:rsid w:val="00D15B81"/>
    <w:rsid w:val="00D233D4"/>
    <w:rsid w:val="00D24AAC"/>
    <w:rsid w:val="00D271D6"/>
    <w:rsid w:val="00D27C76"/>
    <w:rsid w:val="00D40A9E"/>
    <w:rsid w:val="00D45E24"/>
    <w:rsid w:val="00D46456"/>
    <w:rsid w:val="00D47BD6"/>
    <w:rsid w:val="00D5159E"/>
    <w:rsid w:val="00D56724"/>
    <w:rsid w:val="00D64C0F"/>
    <w:rsid w:val="00D655D1"/>
    <w:rsid w:val="00D673BB"/>
    <w:rsid w:val="00D70BFB"/>
    <w:rsid w:val="00D742F8"/>
    <w:rsid w:val="00D74DAA"/>
    <w:rsid w:val="00D755B1"/>
    <w:rsid w:val="00D81AA2"/>
    <w:rsid w:val="00D83A1B"/>
    <w:rsid w:val="00D83AC5"/>
    <w:rsid w:val="00D87F6B"/>
    <w:rsid w:val="00D9014E"/>
    <w:rsid w:val="00D92CA1"/>
    <w:rsid w:val="00D92CAB"/>
    <w:rsid w:val="00D96C79"/>
    <w:rsid w:val="00DA2DA9"/>
    <w:rsid w:val="00DA480B"/>
    <w:rsid w:val="00DB0EDD"/>
    <w:rsid w:val="00DB3CF5"/>
    <w:rsid w:val="00DB6404"/>
    <w:rsid w:val="00DB6FD3"/>
    <w:rsid w:val="00DC09FD"/>
    <w:rsid w:val="00DC369A"/>
    <w:rsid w:val="00DC7B0A"/>
    <w:rsid w:val="00DF14DD"/>
    <w:rsid w:val="00DF3AFD"/>
    <w:rsid w:val="00DF71EC"/>
    <w:rsid w:val="00E000ED"/>
    <w:rsid w:val="00E018E1"/>
    <w:rsid w:val="00E06B72"/>
    <w:rsid w:val="00E103F6"/>
    <w:rsid w:val="00E115A1"/>
    <w:rsid w:val="00E149AB"/>
    <w:rsid w:val="00E2007C"/>
    <w:rsid w:val="00E25F71"/>
    <w:rsid w:val="00E277CE"/>
    <w:rsid w:val="00E32C4B"/>
    <w:rsid w:val="00E343DD"/>
    <w:rsid w:val="00E36138"/>
    <w:rsid w:val="00E37172"/>
    <w:rsid w:val="00E44453"/>
    <w:rsid w:val="00E44E38"/>
    <w:rsid w:val="00E50383"/>
    <w:rsid w:val="00E54F47"/>
    <w:rsid w:val="00E55E58"/>
    <w:rsid w:val="00E609CA"/>
    <w:rsid w:val="00E619E2"/>
    <w:rsid w:val="00E61CAF"/>
    <w:rsid w:val="00E64445"/>
    <w:rsid w:val="00E64BE5"/>
    <w:rsid w:val="00E67501"/>
    <w:rsid w:val="00E71025"/>
    <w:rsid w:val="00E72744"/>
    <w:rsid w:val="00E763B3"/>
    <w:rsid w:val="00E8142E"/>
    <w:rsid w:val="00E82052"/>
    <w:rsid w:val="00E82CCF"/>
    <w:rsid w:val="00E84B38"/>
    <w:rsid w:val="00E8651D"/>
    <w:rsid w:val="00E869C3"/>
    <w:rsid w:val="00E917E9"/>
    <w:rsid w:val="00E92DF3"/>
    <w:rsid w:val="00E93C00"/>
    <w:rsid w:val="00E97F28"/>
    <w:rsid w:val="00EA0235"/>
    <w:rsid w:val="00EA5D56"/>
    <w:rsid w:val="00EA7821"/>
    <w:rsid w:val="00EA7C39"/>
    <w:rsid w:val="00EA7F3A"/>
    <w:rsid w:val="00EB5370"/>
    <w:rsid w:val="00EB7473"/>
    <w:rsid w:val="00EC379E"/>
    <w:rsid w:val="00EF1466"/>
    <w:rsid w:val="00EF295E"/>
    <w:rsid w:val="00EF3186"/>
    <w:rsid w:val="00F03D3C"/>
    <w:rsid w:val="00F060F5"/>
    <w:rsid w:val="00F065AD"/>
    <w:rsid w:val="00F14398"/>
    <w:rsid w:val="00F20B1C"/>
    <w:rsid w:val="00F26B63"/>
    <w:rsid w:val="00F308B5"/>
    <w:rsid w:val="00F35CFF"/>
    <w:rsid w:val="00F37225"/>
    <w:rsid w:val="00F4328B"/>
    <w:rsid w:val="00F4732B"/>
    <w:rsid w:val="00F51C72"/>
    <w:rsid w:val="00F51CDD"/>
    <w:rsid w:val="00F52D17"/>
    <w:rsid w:val="00F54015"/>
    <w:rsid w:val="00F56C6D"/>
    <w:rsid w:val="00F73C7F"/>
    <w:rsid w:val="00F7503C"/>
    <w:rsid w:val="00F80DD4"/>
    <w:rsid w:val="00F8497E"/>
    <w:rsid w:val="00F84F56"/>
    <w:rsid w:val="00F85B56"/>
    <w:rsid w:val="00F8764D"/>
    <w:rsid w:val="00FA032D"/>
    <w:rsid w:val="00FA405C"/>
    <w:rsid w:val="00FA4363"/>
    <w:rsid w:val="00FB047F"/>
    <w:rsid w:val="00FB0DBC"/>
    <w:rsid w:val="00FB2EBF"/>
    <w:rsid w:val="00FB344F"/>
    <w:rsid w:val="00FB47AF"/>
    <w:rsid w:val="00FB698D"/>
    <w:rsid w:val="00FC6AC9"/>
    <w:rsid w:val="00FD3DD0"/>
    <w:rsid w:val="00FD427E"/>
    <w:rsid w:val="00FD6687"/>
    <w:rsid w:val="00FD7D18"/>
    <w:rsid w:val="00FE670B"/>
    <w:rsid w:val="00FF4F4A"/>
    <w:rsid w:val="00FF5230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5523"/>
    <w:rPr>
      <w:sz w:val="24"/>
      <w:szCs w:val="24"/>
    </w:rPr>
  </w:style>
  <w:style w:type="paragraph" w:styleId="Heading1">
    <w:name w:val="heading 1"/>
    <w:basedOn w:val="Normal"/>
    <w:next w:val="Normal"/>
    <w:qFormat/>
    <w:rsid w:val="00CB5523"/>
    <w:pPr>
      <w:keepNext/>
      <w:tabs>
        <w:tab w:val="center" w:pos="5954"/>
      </w:tabs>
      <w:ind w:right="-1"/>
      <w:jc w:val="right"/>
      <w:outlineLvl w:val="0"/>
    </w:pPr>
    <w:rPr>
      <w:b/>
      <w:caps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sid w:val="00CB5523"/>
    <w:rPr>
      <w:rFonts w:ascii="Arial Black" w:hAnsi="Arial Black"/>
      <w:spacing w:val="-10"/>
      <w:sz w:val="18"/>
    </w:rPr>
  </w:style>
  <w:style w:type="paragraph" w:styleId="Subtitle">
    <w:name w:val="Subtitle"/>
    <w:basedOn w:val="Normal"/>
    <w:qFormat/>
    <w:rsid w:val="00CB5523"/>
    <w:pPr>
      <w:jc w:val="center"/>
    </w:pPr>
    <w:rPr>
      <w:b/>
      <w:bCs/>
      <w:lang w:val="it-IT"/>
    </w:rPr>
  </w:style>
  <w:style w:type="character" w:styleId="FollowedHyperlink">
    <w:name w:val="FollowedHyperlink"/>
    <w:rsid w:val="00CB5523"/>
    <w:rPr>
      <w:color w:val="800080"/>
      <w:u w:val="single"/>
    </w:rPr>
  </w:style>
  <w:style w:type="table" w:styleId="TableGrid">
    <w:name w:val="Table Grid"/>
    <w:basedOn w:val="TableNormal"/>
    <w:rsid w:val="007F1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EA5"/>
    <w:pPr>
      <w:spacing w:before="120" w:after="120"/>
      <w:ind w:left="720"/>
      <w:contextualSpacing/>
      <w:jc w:val="both"/>
    </w:pPr>
    <w:rPr>
      <w:rFonts w:ascii="Calibri" w:eastAsia="MS Mincho" w:hAnsi="Calibri"/>
      <w:sz w:val="22"/>
    </w:rPr>
  </w:style>
  <w:style w:type="paragraph" w:styleId="Header">
    <w:name w:val="header"/>
    <w:basedOn w:val="Normal"/>
    <w:link w:val="HeaderChar"/>
    <w:rsid w:val="00833F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3F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3F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3F74"/>
    <w:rPr>
      <w:sz w:val="24"/>
      <w:szCs w:val="24"/>
    </w:rPr>
  </w:style>
  <w:style w:type="paragraph" w:styleId="BalloonText">
    <w:name w:val="Balloon Text"/>
    <w:basedOn w:val="Normal"/>
    <w:link w:val="BalloonTextChar"/>
    <w:rsid w:val="004C7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0C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C36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5523"/>
    <w:rPr>
      <w:sz w:val="24"/>
      <w:szCs w:val="24"/>
    </w:rPr>
  </w:style>
  <w:style w:type="paragraph" w:styleId="Heading1">
    <w:name w:val="heading 1"/>
    <w:basedOn w:val="Normal"/>
    <w:next w:val="Normal"/>
    <w:qFormat/>
    <w:rsid w:val="00CB5523"/>
    <w:pPr>
      <w:keepNext/>
      <w:tabs>
        <w:tab w:val="center" w:pos="5954"/>
      </w:tabs>
      <w:ind w:right="-1"/>
      <w:jc w:val="right"/>
      <w:outlineLvl w:val="0"/>
    </w:pPr>
    <w:rPr>
      <w:b/>
      <w:caps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sid w:val="00CB5523"/>
    <w:rPr>
      <w:rFonts w:ascii="Arial Black" w:hAnsi="Arial Black"/>
      <w:spacing w:val="-10"/>
      <w:sz w:val="18"/>
    </w:rPr>
  </w:style>
  <w:style w:type="paragraph" w:styleId="Subtitle">
    <w:name w:val="Subtitle"/>
    <w:basedOn w:val="Normal"/>
    <w:qFormat/>
    <w:rsid w:val="00CB5523"/>
    <w:pPr>
      <w:jc w:val="center"/>
    </w:pPr>
    <w:rPr>
      <w:b/>
      <w:bCs/>
      <w:lang w:val="it-IT"/>
    </w:rPr>
  </w:style>
  <w:style w:type="character" w:styleId="FollowedHyperlink">
    <w:name w:val="FollowedHyperlink"/>
    <w:rsid w:val="00CB5523"/>
    <w:rPr>
      <w:color w:val="800080"/>
      <w:u w:val="single"/>
    </w:rPr>
  </w:style>
  <w:style w:type="table" w:styleId="TableGrid">
    <w:name w:val="Table Grid"/>
    <w:basedOn w:val="TableNormal"/>
    <w:rsid w:val="007F1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EA5"/>
    <w:pPr>
      <w:spacing w:before="120" w:after="120"/>
      <w:ind w:left="720"/>
      <w:contextualSpacing/>
      <w:jc w:val="both"/>
    </w:pPr>
    <w:rPr>
      <w:rFonts w:ascii="Calibri" w:eastAsia="MS Mincho" w:hAnsi="Calibri"/>
      <w:sz w:val="22"/>
    </w:rPr>
  </w:style>
  <w:style w:type="paragraph" w:styleId="Header">
    <w:name w:val="header"/>
    <w:basedOn w:val="Normal"/>
    <w:link w:val="HeaderChar"/>
    <w:rsid w:val="00833F7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833F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3F7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33F74"/>
    <w:rPr>
      <w:sz w:val="24"/>
      <w:szCs w:val="24"/>
    </w:rPr>
  </w:style>
  <w:style w:type="paragraph" w:styleId="BalloonText">
    <w:name w:val="Balloon Text"/>
    <w:basedOn w:val="Normal"/>
    <w:link w:val="BalloonTextChar"/>
    <w:rsid w:val="004C7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0C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C36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1111111111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Perdorime t</a:t>
            </a:r>
            <a:r>
              <a:rPr lang="sq-AL"/>
              <a:t>ë</a:t>
            </a:r>
            <a:r>
              <a:rPr lang="en-US"/>
              <a:t> fondit Rezerv</a:t>
            </a:r>
            <a:r>
              <a:rPr lang="sq-AL"/>
              <a:t>ë</a:t>
            </a:r>
            <a:endParaRPr lang="en-US"/>
          </a:p>
        </c:rich>
      </c:tx>
      <c:layout>
        <c:manualLayout>
          <c:xMode val="edge"/>
          <c:yMode val="edge"/>
          <c:x val="0.20476779802952896"/>
          <c:y val="6.7547774293256424E-2"/>
        </c:manualLayout>
      </c:layout>
    </c:title>
    <c:view3D>
      <c:rotX val="30"/>
      <c:rotY val="3"/>
      <c:perspective val="30"/>
    </c:view3D>
    <c:plotArea>
      <c:layout>
        <c:manualLayout>
          <c:layoutTarget val="inner"/>
          <c:xMode val="edge"/>
          <c:yMode val="edge"/>
          <c:x val="0.12245189675031615"/>
          <c:y val="0.27101696044339635"/>
          <c:w val="0.74790196189505076"/>
          <c:h val="0.57998960789799769"/>
        </c:manualLayout>
      </c:layout>
      <c:pie3DChart>
        <c:varyColors val="1"/>
        <c:ser>
          <c:idx val="0"/>
          <c:order val="0"/>
          <c:tx>
            <c:strRef>
              <c:f>analitike!$G$33</c:f>
              <c:strCache>
                <c:ptCount val="1"/>
                <c:pt idx="0">
                  <c:v>Perdorime te fondit Rezerve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2.1105823310547719E-2"/>
                  <c:y val="-4.6104236970375383E-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sq-AL"/>
                      <a:t>100,000;</a:t>
                    </a:r>
                    <a:r>
                      <a:rPr lang="sq-AL" baseline="0"/>
                      <a:t> </a:t>
                    </a:r>
                    <a:r>
                      <a:rPr lang="en-US"/>
                      <a:t>7%</a:t>
                    </a:r>
                  </a:p>
                </c:rich>
              </c:tx>
              <c:spPr/>
              <c:dLblPos val="bestFit"/>
            </c:dLbl>
            <c:dLbl>
              <c:idx val="1"/>
              <c:layout>
                <c:manualLayout>
                  <c:x val="-6.1032947804601584E-2"/>
                  <c:y val="0.1106156730408701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bestFit"/>
              <c:showPercent val="1"/>
            </c:dLbl>
            <c:dLbl>
              <c:idx val="2"/>
              <c:layout>
                <c:manualLayout>
                  <c:x val="-6.2146462461423094E-2"/>
                  <c:y val="-0.23878995125609345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sq-AL"/>
                      <a:t>1,179,416; </a:t>
                    </a:r>
                    <a:r>
                      <a:rPr lang="en-US"/>
                      <a:t>79%</a:t>
                    </a:r>
                  </a:p>
                </c:rich>
              </c:tx>
              <c:spPr/>
              <c:dLblPos val="bestFit"/>
            </c:dLbl>
            <c:dLbl>
              <c:idx val="3"/>
              <c:layout>
                <c:manualLayout>
                  <c:x val="5.6298347321969366E-2"/>
                  <c:y val="5.688728908886390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bestFit"/>
              <c:showPercent val="1"/>
            </c:dLbl>
            <c:dLbl>
              <c:idx val="4"/>
              <c:layout>
                <c:manualLayout>
                  <c:x val="3.7550690779037214E-2"/>
                  <c:y val="-1.601859767529059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sq-AL"/>
                      <a:t>213,000; </a:t>
                    </a:r>
                    <a:r>
                      <a:rPr lang="en-US"/>
                      <a:t>14%</a:t>
                    </a:r>
                  </a:p>
                </c:rich>
              </c:tx>
              <c:spPr/>
              <c:dLblPos val="bestFit"/>
            </c:dLbl>
            <c:dLblPos val="inEnd"/>
            <c:showPercent val="1"/>
            <c:showLeaderLines val="1"/>
          </c:dLbls>
          <c:cat>
            <c:strRef>
              <c:f>analitike!$H$32:$M$32</c:f>
              <c:strCache>
                <c:ptCount val="5"/>
                <c:pt idx="0">
                  <c:v>Shpenzime personeli</c:v>
                </c:pt>
                <c:pt idx="2">
                  <c:v>Shpenzime te tjera korrente</c:v>
                </c:pt>
                <c:pt idx="4">
                  <c:v>Investime</c:v>
                </c:pt>
              </c:strCache>
            </c:strRef>
          </c:cat>
          <c:val>
            <c:numRef>
              <c:f>analitike!$H$33:$M$33</c:f>
              <c:numCache>
                <c:formatCode>General</c:formatCode>
                <c:ptCount val="5"/>
                <c:pt idx="0" formatCode="#,##0">
                  <c:v>100000</c:v>
                </c:pt>
                <c:pt idx="2" formatCode="#,##0">
                  <c:v>1179416</c:v>
                </c:pt>
                <c:pt idx="4" formatCode="#,##0">
                  <c:v>213000</c:v>
                </c:pt>
              </c:numCache>
            </c:numRef>
          </c:val>
        </c:ser>
        <c:ser>
          <c:idx val="1"/>
          <c:order val="1"/>
          <c:tx>
            <c:strRef>
              <c:f>analitike!$G$34</c:f>
              <c:strCache>
                <c:ptCount val="1"/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analitike!$H$32:$M$32</c:f>
              <c:strCache>
                <c:ptCount val="5"/>
                <c:pt idx="0">
                  <c:v>Shpenzime personeli</c:v>
                </c:pt>
                <c:pt idx="2">
                  <c:v>Shpenzime te tjera korrente</c:v>
                </c:pt>
                <c:pt idx="4">
                  <c:v>Investime</c:v>
                </c:pt>
              </c:strCache>
            </c:strRef>
          </c:cat>
          <c:val>
            <c:numRef>
              <c:f>analitike!$H$34:$M$34</c:f>
              <c:numCache>
                <c:formatCode>General</c:formatCode>
                <c:ptCount val="5"/>
                <c:pt idx="0" formatCode="0.0%">
                  <c:v>6.7005446202667393E-2</c:v>
                </c:pt>
                <c:pt idx="2" formatCode="0.0%">
                  <c:v>0.79027295338565118</c:v>
                </c:pt>
                <c:pt idx="4" formatCode="0.0%">
                  <c:v>0.14272160041168147</c:v>
                </c:pt>
              </c:numCache>
            </c:numRef>
          </c:val>
        </c:ser>
      </c:pie3DChart>
      <c:spPr>
        <a:noFill/>
        <a:ln w="25352">
          <a:noFill/>
        </a:ln>
      </c:spPr>
    </c:plotArea>
    <c:legend>
      <c:legendPos val="t"/>
      <c:layout>
        <c:manualLayout>
          <c:xMode val="edge"/>
          <c:yMode val="edge"/>
          <c:x val="8.7687422369848611E-2"/>
          <c:y val="0.91362106957260714"/>
          <c:w val="0.89999988759435312"/>
          <c:h val="6.7160315562273878E-2"/>
        </c:manualLayout>
      </c:layout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03C85-CEE7-4F62-8E64-0039EB7A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fran.brahimi</cp:lastModifiedBy>
  <cp:revision>11</cp:revision>
  <cp:lastPrinted>2014-06-03T13:39:00Z</cp:lastPrinted>
  <dcterms:created xsi:type="dcterms:W3CDTF">2015-05-27T10:38:00Z</dcterms:created>
  <dcterms:modified xsi:type="dcterms:W3CDTF">2015-11-20T14:46:00Z</dcterms:modified>
</cp:coreProperties>
</file>