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21D" w:rsidRPr="00D73F43" w:rsidRDefault="00B0121D" w:rsidP="003C5B4B">
      <w:pPr>
        <w:spacing w:line="276" w:lineRule="auto"/>
        <w:rPr>
          <w:lang w:val="sq-AL"/>
        </w:rPr>
      </w:pPr>
    </w:p>
    <w:p w:rsidR="00B0121D" w:rsidRPr="00D73F43" w:rsidRDefault="00B0121D" w:rsidP="003C5B4B">
      <w:pPr>
        <w:autoSpaceDE w:val="0"/>
        <w:autoSpaceDN w:val="0"/>
        <w:adjustRightInd w:val="0"/>
        <w:spacing w:line="276" w:lineRule="auto"/>
        <w:jc w:val="center"/>
        <w:rPr>
          <w:b/>
          <w:bCs/>
          <w:sz w:val="70"/>
          <w:szCs w:val="48"/>
          <w:lang w:val="sq-AL"/>
        </w:rPr>
      </w:pPr>
    </w:p>
    <w:p w:rsidR="00B0121D" w:rsidRPr="00D73F43" w:rsidRDefault="00B0121D" w:rsidP="003C5B4B">
      <w:pPr>
        <w:autoSpaceDE w:val="0"/>
        <w:autoSpaceDN w:val="0"/>
        <w:adjustRightInd w:val="0"/>
        <w:spacing w:line="276" w:lineRule="auto"/>
        <w:jc w:val="center"/>
        <w:rPr>
          <w:b/>
          <w:bCs/>
          <w:sz w:val="70"/>
          <w:szCs w:val="48"/>
          <w:lang w:val="sq-AL"/>
        </w:rPr>
      </w:pPr>
    </w:p>
    <w:p w:rsidR="00B0121D" w:rsidRPr="00D73F43" w:rsidRDefault="00B0121D" w:rsidP="003C5B4B">
      <w:pPr>
        <w:autoSpaceDE w:val="0"/>
        <w:autoSpaceDN w:val="0"/>
        <w:adjustRightInd w:val="0"/>
        <w:spacing w:line="276" w:lineRule="auto"/>
        <w:jc w:val="center"/>
        <w:rPr>
          <w:b/>
          <w:bCs/>
          <w:sz w:val="70"/>
          <w:szCs w:val="48"/>
          <w:lang w:val="sq-AL"/>
        </w:rPr>
      </w:pPr>
    </w:p>
    <w:p w:rsidR="00B0121D" w:rsidRPr="00D73F43" w:rsidRDefault="00B0121D" w:rsidP="003C5B4B">
      <w:pPr>
        <w:autoSpaceDE w:val="0"/>
        <w:autoSpaceDN w:val="0"/>
        <w:adjustRightInd w:val="0"/>
        <w:spacing w:line="276" w:lineRule="auto"/>
        <w:jc w:val="center"/>
        <w:rPr>
          <w:b/>
          <w:bCs/>
          <w:sz w:val="70"/>
          <w:szCs w:val="48"/>
          <w:lang w:val="sq-AL"/>
        </w:rPr>
      </w:pPr>
    </w:p>
    <w:p w:rsidR="00B0121D" w:rsidRPr="00D94792" w:rsidRDefault="00B0121D" w:rsidP="003C5B4B">
      <w:pPr>
        <w:autoSpaceDE w:val="0"/>
        <w:autoSpaceDN w:val="0"/>
        <w:adjustRightInd w:val="0"/>
        <w:spacing w:line="276" w:lineRule="auto"/>
        <w:jc w:val="center"/>
        <w:rPr>
          <w:b/>
          <w:bCs/>
          <w:sz w:val="70"/>
          <w:szCs w:val="48"/>
          <w:lang w:val="sq-AL"/>
        </w:rPr>
      </w:pPr>
      <w:r w:rsidRPr="00D94792">
        <w:rPr>
          <w:b/>
          <w:bCs/>
          <w:sz w:val="70"/>
          <w:szCs w:val="48"/>
          <w:lang w:val="sq-AL"/>
        </w:rPr>
        <w:t xml:space="preserve">R E L A C I O N </w:t>
      </w:r>
    </w:p>
    <w:p w:rsidR="00B0121D" w:rsidRPr="00D94792" w:rsidRDefault="00B0121D" w:rsidP="003C5B4B">
      <w:pPr>
        <w:autoSpaceDE w:val="0"/>
        <w:autoSpaceDN w:val="0"/>
        <w:adjustRightInd w:val="0"/>
        <w:spacing w:line="276" w:lineRule="auto"/>
        <w:jc w:val="center"/>
        <w:rPr>
          <w:b/>
          <w:bCs/>
          <w:sz w:val="70"/>
          <w:szCs w:val="48"/>
          <w:lang w:val="sq-AL"/>
        </w:rPr>
      </w:pPr>
    </w:p>
    <w:p w:rsidR="00B0121D" w:rsidRPr="00D94792" w:rsidRDefault="00B0121D" w:rsidP="003C5B4B">
      <w:pPr>
        <w:autoSpaceDE w:val="0"/>
        <w:autoSpaceDN w:val="0"/>
        <w:adjustRightInd w:val="0"/>
        <w:spacing w:line="276" w:lineRule="auto"/>
        <w:jc w:val="center"/>
        <w:rPr>
          <w:b/>
          <w:bCs/>
          <w:sz w:val="52"/>
          <w:szCs w:val="52"/>
          <w:lang w:val="sq-AL"/>
        </w:rPr>
      </w:pPr>
      <w:r w:rsidRPr="00D94792">
        <w:rPr>
          <w:b/>
          <w:bCs/>
          <w:sz w:val="52"/>
          <w:szCs w:val="52"/>
          <w:lang w:val="sq-AL"/>
        </w:rPr>
        <w:t>mbi</w:t>
      </w:r>
    </w:p>
    <w:p w:rsidR="00B0121D" w:rsidRPr="00D94792" w:rsidRDefault="00B0121D" w:rsidP="003C5B4B">
      <w:pPr>
        <w:autoSpaceDE w:val="0"/>
        <w:autoSpaceDN w:val="0"/>
        <w:adjustRightInd w:val="0"/>
        <w:spacing w:line="276" w:lineRule="auto"/>
        <w:jc w:val="center"/>
        <w:rPr>
          <w:b/>
          <w:bCs/>
          <w:sz w:val="52"/>
          <w:szCs w:val="52"/>
          <w:lang w:val="sq-AL"/>
        </w:rPr>
      </w:pPr>
    </w:p>
    <w:p w:rsidR="00B0121D" w:rsidRPr="00D94792" w:rsidRDefault="00B0121D" w:rsidP="003C5B4B">
      <w:pPr>
        <w:autoSpaceDE w:val="0"/>
        <w:autoSpaceDN w:val="0"/>
        <w:adjustRightInd w:val="0"/>
        <w:spacing w:line="276" w:lineRule="auto"/>
        <w:jc w:val="center"/>
        <w:rPr>
          <w:b/>
          <w:bCs/>
          <w:sz w:val="52"/>
          <w:szCs w:val="52"/>
          <w:lang w:val="sq-AL"/>
        </w:rPr>
      </w:pPr>
      <w:r w:rsidRPr="00D94792">
        <w:rPr>
          <w:b/>
          <w:bCs/>
          <w:sz w:val="52"/>
          <w:szCs w:val="52"/>
          <w:lang w:val="sq-AL"/>
        </w:rPr>
        <w:t>PROJEKTLIGJIN</w:t>
      </w:r>
    </w:p>
    <w:p w:rsidR="00B0121D" w:rsidRPr="00D94792" w:rsidRDefault="00B0121D" w:rsidP="003C5B4B">
      <w:pPr>
        <w:autoSpaceDE w:val="0"/>
        <w:autoSpaceDN w:val="0"/>
        <w:adjustRightInd w:val="0"/>
        <w:spacing w:line="276" w:lineRule="auto"/>
        <w:jc w:val="center"/>
        <w:rPr>
          <w:b/>
          <w:bCs/>
          <w:sz w:val="52"/>
          <w:szCs w:val="52"/>
          <w:lang w:val="sq-AL"/>
        </w:rPr>
      </w:pPr>
      <w:r w:rsidRPr="00D94792">
        <w:rPr>
          <w:b/>
          <w:bCs/>
          <w:sz w:val="52"/>
          <w:szCs w:val="52"/>
          <w:lang w:val="sq-AL"/>
        </w:rPr>
        <w:t xml:space="preserve"> </w:t>
      </w:r>
    </w:p>
    <w:p w:rsidR="00B0121D" w:rsidRPr="00D94792" w:rsidRDefault="00B0121D" w:rsidP="003C5B4B">
      <w:pPr>
        <w:autoSpaceDE w:val="0"/>
        <w:autoSpaceDN w:val="0"/>
        <w:adjustRightInd w:val="0"/>
        <w:spacing w:line="276" w:lineRule="auto"/>
        <w:jc w:val="center"/>
        <w:rPr>
          <w:b/>
          <w:bCs/>
          <w:sz w:val="52"/>
          <w:szCs w:val="52"/>
          <w:lang w:val="sq-AL"/>
        </w:rPr>
      </w:pPr>
      <w:r w:rsidRPr="00D94792">
        <w:rPr>
          <w:b/>
          <w:bCs/>
          <w:sz w:val="52"/>
          <w:szCs w:val="52"/>
          <w:lang w:val="sq-AL"/>
        </w:rPr>
        <w:t>“PËR BUXHETIN E VITIT 201</w:t>
      </w:r>
      <w:r w:rsidR="009A68B1" w:rsidRPr="00D94792">
        <w:rPr>
          <w:b/>
          <w:bCs/>
          <w:sz w:val="52"/>
          <w:szCs w:val="52"/>
          <w:lang w:val="sq-AL"/>
        </w:rPr>
        <w:t>8</w:t>
      </w:r>
      <w:r w:rsidRPr="00D94792">
        <w:rPr>
          <w:b/>
          <w:bCs/>
          <w:sz w:val="52"/>
          <w:szCs w:val="52"/>
          <w:lang w:val="sq-AL"/>
        </w:rPr>
        <w:t>”</w:t>
      </w:r>
      <w:bookmarkStart w:id="0" w:name="_Toc368565532"/>
    </w:p>
    <w:p w:rsidR="00B0121D" w:rsidRPr="00D94792" w:rsidRDefault="00B0121D" w:rsidP="003C5B4B">
      <w:pPr>
        <w:autoSpaceDE w:val="0"/>
        <w:autoSpaceDN w:val="0"/>
        <w:adjustRightInd w:val="0"/>
        <w:spacing w:line="276" w:lineRule="auto"/>
        <w:jc w:val="center"/>
        <w:rPr>
          <w:b/>
          <w:bCs/>
          <w:sz w:val="52"/>
          <w:szCs w:val="52"/>
          <w:lang w:val="sq-AL"/>
        </w:rPr>
      </w:pPr>
    </w:p>
    <w:p w:rsidR="00B0121D" w:rsidRPr="00D94792" w:rsidRDefault="00B0121D" w:rsidP="003C5B4B">
      <w:pPr>
        <w:pStyle w:val="Heading1"/>
        <w:spacing w:line="276" w:lineRule="auto"/>
        <w:jc w:val="left"/>
        <w:rPr>
          <w:bCs/>
          <w:iCs/>
          <w:caps w:val="0"/>
          <w:lang w:val="sq-AL"/>
        </w:rPr>
      </w:pPr>
    </w:p>
    <w:p w:rsidR="00B0121D" w:rsidRPr="00D94792" w:rsidRDefault="00B0121D" w:rsidP="003C5B4B">
      <w:pPr>
        <w:pStyle w:val="Heading1"/>
        <w:spacing w:line="276" w:lineRule="auto"/>
        <w:jc w:val="left"/>
        <w:rPr>
          <w:bCs/>
          <w:iCs/>
          <w:caps w:val="0"/>
          <w:lang w:val="sq-AL"/>
        </w:rPr>
      </w:pPr>
    </w:p>
    <w:p w:rsidR="00B0121D" w:rsidRPr="00D94792" w:rsidRDefault="00B0121D" w:rsidP="003C5B4B">
      <w:pPr>
        <w:pStyle w:val="Heading1"/>
        <w:spacing w:line="276" w:lineRule="auto"/>
        <w:jc w:val="left"/>
        <w:rPr>
          <w:bCs/>
          <w:iCs/>
          <w:caps w:val="0"/>
          <w:lang w:val="sq-AL"/>
        </w:rPr>
      </w:pPr>
    </w:p>
    <w:p w:rsidR="00B0121D" w:rsidRPr="00D94792" w:rsidRDefault="00B0121D" w:rsidP="003C5B4B">
      <w:pPr>
        <w:spacing w:line="276" w:lineRule="auto"/>
        <w:rPr>
          <w:lang w:val="sq-AL"/>
        </w:rPr>
      </w:pPr>
    </w:p>
    <w:p w:rsidR="00B0121D" w:rsidRPr="00D94792" w:rsidRDefault="00B0121D" w:rsidP="003C5B4B">
      <w:pPr>
        <w:spacing w:line="276" w:lineRule="auto"/>
        <w:rPr>
          <w:lang w:val="sq-AL"/>
        </w:rPr>
      </w:pPr>
    </w:p>
    <w:p w:rsidR="00B0121D" w:rsidRPr="00D94792" w:rsidRDefault="00B0121D" w:rsidP="003C5B4B">
      <w:pPr>
        <w:spacing w:line="276" w:lineRule="auto"/>
        <w:rPr>
          <w:lang w:val="sq-AL"/>
        </w:rPr>
      </w:pPr>
    </w:p>
    <w:p w:rsidR="00B0121D" w:rsidRPr="00D94792" w:rsidRDefault="00B0121D" w:rsidP="003C5B4B">
      <w:pPr>
        <w:spacing w:line="276" w:lineRule="auto"/>
        <w:rPr>
          <w:lang w:val="sq-AL"/>
        </w:rPr>
      </w:pPr>
    </w:p>
    <w:p w:rsidR="00B0121D" w:rsidRPr="00D94792" w:rsidRDefault="00B0121D" w:rsidP="003C5B4B">
      <w:pPr>
        <w:spacing w:line="276" w:lineRule="auto"/>
        <w:rPr>
          <w:lang w:val="sq-AL"/>
        </w:rPr>
      </w:pPr>
    </w:p>
    <w:p w:rsidR="00B0121D" w:rsidRPr="00D94792" w:rsidRDefault="00B0121D" w:rsidP="003C5B4B">
      <w:pPr>
        <w:pStyle w:val="Heading1"/>
        <w:spacing w:line="276" w:lineRule="auto"/>
        <w:jc w:val="left"/>
        <w:rPr>
          <w:bCs/>
          <w:iCs/>
          <w:caps w:val="0"/>
          <w:lang w:val="sq-AL"/>
        </w:rPr>
      </w:pPr>
    </w:p>
    <w:p w:rsidR="00B0121D" w:rsidRPr="00D94792" w:rsidRDefault="00B0121D" w:rsidP="003C5B4B">
      <w:pPr>
        <w:pStyle w:val="Heading1"/>
        <w:spacing w:line="276" w:lineRule="auto"/>
        <w:jc w:val="left"/>
        <w:rPr>
          <w:bCs/>
          <w:iCs/>
          <w:caps w:val="0"/>
          <w:lang w:val="sq-AL"/>
        </w:rPr>
      </w:pPr>
    </w:p>
    <w:p w:rsidR="00B0121D" w:rsidRPr="00D94792" w:rsidRDefault="00B0121D" w:rsidP="003C5B4B">
      <w:pPr>
        <w:pStyle w:val="Heading1"/>
        <w:spacing w:line="276" w:lineRule="auto"/>
        <w:jc w:val="center"/>
        <w:rPr>
          <w:bCs/>
          <w:iCs/>
          <w:caps w:val="0"/>
          <w:lang w:val="sq-AL"/>
        </w:rPr>
      </w:pPr>
    </w:p>
    <w:p w:rsidR="00B0121D" w:rsidRPr="00D94792" w:rsidRDefault="00B0121D" w:rsidP="003C5B4B">
      <w:pPr>
        <w:spacing w:line="276" w:lineRule="auto"/>
        <w:rPr>
          <w:lang w:val="sq-AL"/>
        </w:rPr>
      </w:pPr>
    </w:p>
    <w:p w:rsidR="00B0121D" w:rsidRPr="00D94792" w:rsidRDefault="00B0121D" w:rsidP="003C5B4B">
      <w:pPr>
        <w:spacing w:line="276" w:lineRule="auto"/>
        <w:rPr>
          <w:lang w:val="sq-AL"/>
        </w:rPr>
      </w:pPr>
    </w:p>
    <w:p w:rsidR="00B0121D" w:rsidRPr="00D94792" w:rsidRDefault="00B0121D" w:rsidP="003C5B4B">
      <w:pPr>
        <w:spacing w:line="276" w:lineRule="auto"/>
        <w:rPr>
          <w:lang w:val="sq-AL"/>
        </w:rPr>
      </w:pPr>
    </w:p>
    <w:p w:rsidR="00B0121D" w:rsidRPr="00D94792" w:rsidRDefault="00D94792" w:rsidP="003C5B4B">
      <w:pPr>
        <w:autoSpaceDE w:val="0"/>
        <w:autoSpaceDN w:val="0"/>
        <w:adjustRightInd w:val="0"/>
        <w:spacing w:line="276" w:lineRule="auto"/>
        <w:jc w:val="center"/>
        <w:rPr>
          <w:b/>
          <w:bCs/>
          <w:sz w:val="68"/>
          <w:szCs w:val="36"/>
          <w:lang w:val="sq-AL"/>
        </w:rPr>
      </w:pPr>
      <w:r>
        <w:rPr>
          <w:noProof/>
        </w:rPr>
        <w:lastRenderedPageBreak/>
        <w:drawing>
          <wp:inline distT="0" distB="0" distL="0" distR="0" wp14:anchorId="0B7944A3" wp14:editId="464AC914">
            <wp:extent cx="2066925" cy="1476375"/>
            <wp:effectExtent l="0" t="0" r="9525" b="9525"/>
            <wp:docPr id="39" name="Picture 2" descr="cid:image001.png@01D3339C.700225A0"/>
            <wp:cNvGraphicFramePr/>
            <a:graphic xmlns:a="http://schemas.openxmlformats.org/drawingml/2006/main">
              <a:graphicData uri="http://schemas.openxmlformats.org/drawingml/2006/picture">
                <pic:pic xmlns:pic="http://schemas.openxmlformats.org/drawingml/2006/picture">
                  <pic:nvPicPr>
                    <pic:cNvPr id="1" name="Picture 2" descr="cid:image001.png@01D3339C.700225A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476375"/>
                    </a:xfrm>
                    <a:prstGeom prst="rect">
                      <a:avLst/>
                    </a:prstGeom>
                    <a:noFill/>
                    <a:ln>
                      <a:noFill/>
                    </a:ln>
                  </pic:spPr>
                </pic:pic>
              </a:graphicData>
            </a:graphic>
          </wp:inline>
        </w:drawing>
      </w:r>
    </w:p>
    <w:p w:rsidR="00D94792" w:rsidRDefault="00D94792" w:rsidP="003C5B4B">
      <w:pPr>
        <w:autoSpaceDE w:val="0"/>
        <w:autoSpaceDN w:val="0"/>
        <w:adjustRightInd w:val="0"/>
        <w:spacing w:line="276" w:lineRule="auto"/>
        <w:jc w:val="center"/>
        <w:rPr>
          <w:b/>
          <w:bCs/>
          <w:sz w:val="56"/>
          <w:szCs w:val="36"/>
          <w:lang w:val="sq-AL"/>
        </w:rPr>
      </w:pPr>
    </w:p>
    <w:p w:rsidR="00D94792" w:rsidRDefault="00D94792" w:rsidP="003C5B4B">
      <w:pPr>
        <w:autoSpaceDE w:val="0"/>
        <w:autoSpaceDN w:val="0"/>
        <w:adjustRightInd w:val="0"/>
        <w:spacing w:line="276" w:lineRule="auto"/>
        <w:jc w:val="center"/>
        <w:rPr>
          <w:b/>
          <w:bCs/>
          <w:sz w:val="56"/>
          <w:szCs w:val="36"/>
          <w:lang w:val="sq-AL"/>
        </w:rPr>
      </w:pPr>
    </w:p>
    <w:p w:rsidR="00D94792" w:rsidRDefault="00D94792" w:rsidP="003C5B4B">
      <w:pPr>
        <w:autoSpaceDE w:val="0"/>
        <w:autoSpaceDN w:val="0"/>
        <w:adjustRightInd w:val="0"/>
        <w:spacing w:line="276" w:lineRule="auto"/>
        <w:jc w:val="center"/>
        <w:rPr>
          <w:b/>
          <w:bCs/>
          <w:sz w:val="56"/>
          <w:szCs w:val="36"/>
          <w:lang w:val="sq-AL"/>
        </w:rPr>
      </w:pPr>
    </w:p>
    <w:p w:rsidR="00D94792" w:rsidRDefault="00D94792" w:rsidP="003C5B4B">
      <w:pPr>
        <w:autoSpaceDE w:val="0"/>
        <w:autoSpaceDN w:val="0"/>
        <w:adjustRightInd w:val="0"/>
        <w:spacing w:line="276" w:lineRule="auto"/>
        <w:jc w:val="center"/>
        <w:rPr>
          <w:b/>
          <w:bCs/>
          <w:sz w:val="56"/>
          <w:szCs w:val="36"/>
          <w:lang w:val="sq-AL"/>
        </w:rPr>
      </w:pPr>
    </w:p>
    <w:p w:rsidR="00D94792" w:rsidRDefault="00D94792" w:rsidP="003C5B4B">
      <w:pPr>
        <w:autoSpaceDE w:val="0"/>
        <w:autoSpaceDN w:val="0"/>
        <w:adjustRightInd w:val="0"/>
        <w:spacing w:line="276" w:lineRule="auto"/>
        <w:jc w:val="center"/>
        <w:rPr>
          <w:b/>
          <w:bCs/>
          <w:sz w:val="56"/>
          <w:szCs w:val="36"/>
          <w:lang w:val="sq-AL"/>
        </w:rPr>
      </w:pPr>
    </w:p>
    <w:p w:rsidR="00B0121D" w:rsidRPr="00D94792" w:rsidRDefault="002168F6" w:rsidP="003C5B4B">
      <w:pPr>
        <w:autoSpaceDE w:val="0"/>
        <w:autoSpaceDN w:val="0"/>
        <w:adjustRightInd w:val="0"/>
        <w:spacing w:line="276" w:lineRule="auto"/>
        <w:jc w:val="center"/>
        <w:rPr>
          <w:b/>
          <w:bCs/>
          <w:sz w:val="56"/>
          <w:szCs w:val="36"/>
          <w:lang w:val="sq-AL"/>
        </w:rPr>
      </w:pPr>
      <w:r w:rsidRPr="00D94792">
        <w:rPr>
          <w:b/>
          <w:bCs/>
          <w:sz w:val="56"/>
          <w:szCs w:val="36"/>
          <w:lang w:val="sq-AL"/>
        </w:rPr>
        <w:t>PROJEKT</w:t>
      </w:r>
      <w:r w:rsidR="00B0121D" w:rsidRPr="00D94792">
        <w:rPr>
          <w:b/>
          <w:bCs/>
          <w:sz w:val="56"/>
          <w:szCs w:val="36"/>
          <w:lang w:val="sq-AL"/>
        </w:rPr>
        <w:t>BUXHETI 201</w:t>
      </w:r>
      <w:r w:rsidR="009A68B1" w:rsidRPr="00D94792">
        <w:rPr>
          <w:b/>
          <w:bCs/>
          <w:sz w:val="56"/>
          <w:szCs w:val="36"/>
          <w:lang w:val="sq-AL"/>
        </w:rPr>
        <w:t>8</w:t>
      </w:r>
    </w:p>
    <w:p w:rsidR="00B0121D" w:rsidRPr="00D94792" w:rsidRDefault="00B0121D" w:rsidP="003C5B4B">
      <w:pPr>
        <w:autoSpaceDE w:val="0"/>
        <w:autoSpaceDN w:val="0"/>
        <w:adjustRightInd w:val="0"/>
        <w:spacing w:line="276" w:lineRule="auto"/>
        <w:jc w:val="center"/>
        <w:rPr>
          <w:b/>
          <w:bCs/>
          <w:sz w:val="48"/>
          <w:szCs w:val="48"/>
          <w:lang w:val="sq-AL"/>
        </w:rPr>
      </w:pPr>
    </w:p>
    <w:p w:rsidR="00B0121D" w:rsidRPr="00D94792" w:rsidRDefault="00B0121D" w:rsidP="003C5B4B">
      <w:pPr>
        <w:autoSpaceDE w:val="0"/>
        <w:autoSpaceDN w:val="0"/>
        <w:adjustRightInd w:val="0"/>
        <w:spacing w:line="276" w:lineRule="auto"/>
        <w:jc w:val="center"/>
        <w:rPr>
          <w:b/>
          <w:bCs/>
          <w:sz w:val="48"/>
          <w:szCs w:val="48"/>
          <w:lang w:val="sq-AL"/>
        </w:rPr>
      </w:pPr>
    </w:p>
    <w:p w:rsidR="00B0121D" w:rsidRPr="00D94792" w:rsidRDefault="00B0121D" w:rsidP="003C5B4B">
      <w:pPr>
        <w:autoSpaceDE w:val="0"/>
        <w:autoSpaceDN w:val="0"/>
        <w:adjustRightInd w:val="0"/>
        <w:spacing w:line="276" w:lineRule="auto"/>
        <w:jc w:val="center"/>
        <w:rPr>
          <w:b/>
          <w:bCs/>
          <w:i/>
          <w:sz w:val="48"/>
          <w:szCs w:val="48"/>
          <w:lang w:val="sq-AL"/>
        </w:rPr>
      </w:pPr>
      <w:r w:rsidRPr="00D94792">
        <w:rPr>
          <w:b/>
          <w:bCs/>
          <w:sz w:val="48"/>
          <w:szCs w:val="48"/>
          <w:lang w:val="sq-AL"/>
        </w:rPr>
        <w:t>“</w:t>
      </w:r>
      <w:r w:rsidRPr="00D94792">
        <w:rPr>
          <w:b/>
          <w:bCs/>
          <w:i/>
          <w:sz w:val="48"/>
          <w:szCs w:val="48"/>
          <w:lang w:val="sq-AL"/>
        </w:rPr>
        <w:t xml:space="preserve">BUXHETI I </w:t>
      </w:r>
      <w:r w:rsidR="003A5832" w:rsidRPr="00D94792">
        <w:rPr>
          <w:b/>
          <w:bCs/>
          <w:i/>
          <w:sz w:val="48"/>
          <w:szCs w:val="48"/>
          <w:lang w:val="sq-AL"/>
        </w:rPr>
        <w:t>QYTETARIT, P</w:t>
      </w:r>
      <w:r w:rsidR="00DB7941">
        <w:rPr>
          <w:b/>
          <w:bCs/>
          <w:i/>
          <w:sz w:val="48"/>
          <w:szCs w:val="48"/>
          <w:lang w:val="sq-AL"/>
        </w:rPr>
        <w:t>Ë</w:t>
      </w:r>
      <w:r w:rsidR="003A5832" w:rsidRPr="00D94792">
        <w:rPr>
          <w:b/>
          <w:bCs/>
          <w:i/>
          <w:sz w:val="48"/>
          <w:szCs w:val="48"/>
          <w:lang w:val="sq-AL"/>
        </w:rPr>
        <w:t>R QYTETARIN</w:t>
      </w:r>
      <w:r w:rsidRPr="00D94792">
        <w:rPr>
          <w:b/>
          <w:bCs/>
          <w:i/>
          <w:sz w:val="48"/>
          <w:szCs w:val="48"/>
          <w:lang w:val="sq-AL"/>
        </w:rPr>
        <w:t>”</w:t>
      </w:r>
    </w:p>
    <w:p w:rsidR="00B0121D" w:rsidRPr="00D94792" w:rsidRDefault="00B0121D" w:rsidP="003C5B4B">
      <w:pPr>
        <w:spacing w:line="276" w:lineRule="auto"/>
        <w:jc w:val="center"/>
        <w:rPr>
          <w:b/>
          <w:bCs/>
          <w:sz w:val="48"/>
          <w:szCs w:val="48"/>
          <w:lang w:val="sq-AL"/>
        </w:rPr>
      </w:pPr>
    </w:p>
    <w:p w:rsidR="00B0121D" w:rsidRPr="00D94792" w:rsidRDefault="00B0121D" w:rsidP="003C5B4B">
      <w:pPr>
        <w:spacing w:line="276" w:lineRule="auto"/>
        <w:jc w:val="center"/>
        <w:rPr>
          <w:b/>
          <w:bCs/>
          <w:sz w:val="48"/>
          <w:szCs w:val="48"/>
          <w:lang w:val="sq-AL"/>
        </w:rPr>
      </w:pPr>
    </w:p>
    <w:p w:rsidR="00B0121D" w:rsidRPr="00D94792" w:rsidRDefault="00B0121D" w:rsidP="003C5B4B">
      <w:pPr>
        <w:spacing w:line="276" w:lineRule="auto"/>
        <w:jc w:val="center"/>
        <w:rPr>
          <w:b/>
          <w:bCs/>
          <w:sz w:val="48"/>
          <w:szCs w:val="48"/>
          <w:lang w:val="sq-AL"/>
        </w:rPr>
      </w:pPr>
    </w:p>
    <w:p w:rsidR="00B0121D" w:rsidRPr="00D94792" w:rsidRDefault="00B0121D" w:rsidP="003C5B4B">
      <w:pPr>
        <w:spacing w:line="276" w:lineRule="auto"/>
        <w:jc w:val="center"/>
        <w:rPr>
          <w:b/>
          <w:bCs/>
          <w:sz w:val="48"/>
          <w:szCs w:val="48"/>
          <w:lang w:val="sq-AL"/>
        </w:rPr>
      </w:pPr>
    </w:p>
    <w:p w:rsidR="00B0121D" w:rsidRPr="00D94792" w:rsidRDefault="00B0121D" w:rsidP="003C5B4B">
      <w:pPr>
        <w:spacing w:line="276" w:lineRule="auto"/>
        <w:rPr>
          <w:b/>
          <w:bCs/>
          <w:sz w:val="48"/>
          <w:szCs w:val="48"/>
          <w:lang w:val="sq-AL"/>
        </w:rPr>
      </w:pPr>
    </w:p>
    <w:p w:rsidR="00B0121D" w:rsidRPr="00D94792" w:rsidRDefault="00B0121D" w:rsidP="003C5B4B">
      <w:pPr>
        <w:spacing w:line="276" w:lineRule="auto"/>
        <w:jc w:val="center"/>
        <w:rPr>
          <w:sz w:val="48"/>
          <w:szCs w:val="48"/>
          <w:lang w:val="sq-AL"/>
        </w:rPr>
      </w:pPr>
      <w:r w:rsidRPr="00D94792">
        <w:rPr>
          <w:b/>
          <w:bCs/>
          <w:sz w:val="48"/>
          <w:szCs w:val="48"/>
          <w:lang w:val="sq-AL"/>
        </w:rPr>
        <w:t xml:space="preserve">Tiranë, </w:t>
      </w:r>
      <w:r w:rsidR="009A68B1" w:rsidRPr="00D94792">
        <w:rPr>
          <w:b/>
          <w:bCs/>
          <w:sz w:val="48"/>
          <w:szCs w:val="48"/>
          <w:lang w:val="sq-AL"/>
        </w:rPr>
        <w:t>Tetor</w:t>
      </w:r>
      <w:r w:rsidRPr="00D94792">
        <w:rPr>
          <w:b/>
          <w:bCs/>
          <w:sz w:val="48"/>
          <w:szCs w:val="48"/>
          <w:lang w:val="sq-AL"/>
        </w:rPr>
        <w:t xml:space="preserve"> </w:t>
      </w:r>
      <w:r w:rsidR="009A68B1" w:rsidRPr="00D94792">
        <w:rPr>
          <w:b/>
          <w:bCs/>
          <w:sz w:val="48"/>
          <w:szCs w:val="48"/>
          <w:lang w:val="sq-AL"/>
        </w:rPr>
        <w:t>2017</w:t>
      </w:r>
    </w:p>
    <w:p w:rsidR="00B0121D" w:rsidRPr="00D94792" w:rsidRDefault="00B0121D" w:rsidP="003C5B4B">
      <w:pPr>
        <w:spacing w:line="276" w:lineRule="auto"/>
        <w:rPr>
          <w:lang w:val="sq-AL"/>
        </w:rPr>
      </w:pPr>
    </w:p>
    <w:p w:rsidR="00B0121D" w:rsidRPr="00D94792" w:rsidRDefault="00B0121D" w:rsidP="003C5B4B">
      <w:pPr>
        <w:autoSpaceDE w:val="0"/>
        <w:autoSpaceDN w:val="0"/>
        <w:adjustRightInd w:val="0"/>
        <w:spacing w:line="276" w:lineRule="auto"/>
        <w:rPr>
          <w:b/>
          <w:sz w:val="20"/>
          <w:szCs w:val="22"/>
          <w:lang w:val="sq-AL"/>
        </w:rPr>
      </w:pPr>
    </w:p>
    <w:p w:rsidR="00B0121D" w:rsidRPr="00D94792" w:rsidRDefault="00B0121D" w:rsidP="003C5B4B">
      <w:pPr>
        <w:autoSpaceDE w:val="0"/>
        <w:autoSpaceDN w:val="0"/>
        <w:adjustRightInd w:val="0"/>
        <w:spacing w:line="276" w:lineRule="auto"/>
        <w:rPr>
          <w:b/>
          <w:sz w:val="20"/>
          <w:szCs w:val="22"/>
          <w:lang w:val="sq-AL"/>
        </w:rPr>
      </w:pPr>
    </w:p>
    <w:p w:rsidR="003A5832" w:rsidRPr="00D94792" w:rsidRDefault="003A5832" w:rsidP="003C5B4B">
      <w:pPr>
        <w:tabs>
          <w:tab w:val="left" w:pos="8340"/>
        </w:tabs>
        <w:spacing w:line="276" w:lineRule="auto"/>
        <w:rPr>
          <w:b/>
          <w:sz w:val="56"/>
          <w:szCs w:val="52"/>
          <w:lang w:val="sq-AL"/>
        </w:rPr>
      </w:pPr>
    </w:p>
    <w:p w:rsidR="00B0121D" w:rsidRPr="00D94792" w:rsidRDefault="00B0121D" w:rsidP="003C5B4B">
      <w:pPr>
        <w:spacing w:line="276" w:lineRule="auto"/>
        <w:jc w:val="center"/>
        <w:rPr>
          <w:b/>
          <w:sz w:val="56"/>
          <w:szCs w:val="52"/>
          <w:lang w:val="sq-AL"/>
        </w:rPr>
      </w:pPr>
      <w:r w:rsidRPr="00D94792">
        <w:rPr>
          <w:b/>
          <w:sz w:val="56"/>
          <w:szCs w:val="52"/>
          <w:lang w:val="sq-AL"/>
        </w:rPr>
        <w:lastRenderedPageBreak/>
        <w:t>PËRMBAJTJA</w:t>
      </w:r>
    </w:p>
    <w:sdt>
      <w:sdtPr>
        <w:rPr>
          <w:rFonts w:ascii="Times New Roman" w:eastAsia="SimSun" w:hAnsi="Times New Roman"/>
          <w:b w:val="0"/>
          <w:bCs w:val="0"/>
          <w:color w:val="auto"/>
          <w:sz w:val="24"/>
          <w:szCs w:val="24"/>
        </w:rPr>
        <w:id w:val="1215169298"/>
        <w:docPartObj>
          <w:docPartGallery w:val="Table of Contents"/>
          <w:docPartUnique/>
        </w:docPartObj>
      </w:sdtPr>
      <w:sdtEndPr>
        <w:rPr>
          <w:rStyle w:val="Hyperlink"/>
          <w:caps/>
          <w:color w:val="0000FF"/>
          <w:szCs w:val="20"/>
          <w:u w:val="single"/>
          <w:lang w:val="sq-AL"/>
        </w:rPr>
      </w:sdtEndPr>
      <w:sdtContent>
        <w:p w:rsidR="00E2188E" w:rsidRDefault="00E2188E">
          <w:pPr>
            <w:pStyle w:val="TOCHeading"/>
          </w:pPr>
        </w:p>
        <w:p w:rsidR="00194910" w:rsidRDefault="00E2188E">
          <w:pPr>
            <w:pStyle w:val="TOC1"/>
            <w:rPr>
              <w:rFonts w:asciiTheme="minorHAnsi" w:eastAsiaTheme="minorEastAsia" w:hAnsiTheme="minorHAnsi" w:cstheme="minorBidi"/>
              <w:b w:val="0"/>
              <w:bCs w:val="0"/>
              <w:caps w:val="0"/>
              <w:noProof/>
              <w:sz w:val="22"/>
              <w:szCs w:val="22"/>
            </w:rPr>
          </w:pPr>
          <w:r w:rsidRPr="00017AD6">
            <w:rPr>
              <w:rStyle w:val="Hyperlink"/>
              <w:noProof/>
              <w:lang w:val="sq-AL"/>
            </w:rPr>
            <w:fldChar w:fldCharType="begin"/>
          </w:r>
          <w:r w:rsidRPr="00017AD6">
            <w:rPr>
              <w:rStyle w:val="Hyperlink"/>
              <w:noProof/>
              <w:lang w:val="sq-AL"/>
            </w:rPr>
            <w:instrText xml:space="preserve"> TOC \o "1-3" \h \z \u </w:instrText>
          </w:r>
          <w:r w:rsidRPr="00017AD6">
            <w:rPr>
              <w:rStyle w:val="Hyperlink"/>
              <w:noProof/>
              <w:lang w:val="sq-AL"/>
            </w:rPr>
            <w:fldChar w:fldCharType="separate"/>
          </w:r>
          <w:hyperlink w:anchor="_Toc496520377" w:history="1">
            <w:r w:rsidR="00194910" w:rsidRPr="00DA4C13">
              <w:rPr>
                <w:rStyle w:val="Hyperlink"/>
                <w:iCs/>
                <w:noProof/>
                <w:lang w:val="sq-AL"/>
              </w:rPr>
              <w:t>1.</w:t>
            </w:r>
            <w:r w:rsidR="00194910">
              <w:rPr>
                <w:rFonts w:asciiTheme="minorHAnsi" w:eastAsiaTheme="minorEastAsia" w:hAnsiTheme="minorHAnsi" w:cstheme="minorBidi"/>
                <w:b w:val="0"/>
                <w:bCs w:val="0"/>
                <w:caps w:val="0"/>
                <w:noProof/>
                <w:sz w:val="22"/>
                <w:szCs w:val="22"/>
              </w:rPr>
              <w:tab/>
            </w:r>
            <w:r w:rsidR="00194910" w:rsidRPr="00DA4C13">
              <w:rPr>
                <w:rStyle w:val="Hyperlink"/>
                <w:iCs/>
                <w:noProof/>
                <w:lang w:val="sq-AL"/>
              </w:rPr>
              <w:t>HYRJE</w:t>
            </w:r>
            <w:r w:rsidR="00194910">
              <w:rPr>
                <w:noProof/>
                <w:webHidden/>
              </w:rPr>
              <w:tab/>
            </w:r>
            <w:r w:rsidR="00194910">
              <w:rPr>
                <w:noProof/>
                <w:webHidden/>
              </w:rPr>
              <w:fldChar w:fldCharType="begin"/>
            </w:r>
            <w:r w:rsidR="00194910">
              <w:rPr>
                <w:noProof/>
                <w:webHidden/>
              </w:rPr>
              <w:instrText xml:space="preserve"> PAGEREF _Toc496520377 \h </w:instrText>
            </w:r>
            <w:r w:rsidR="00194910">
              <w:rPr>
                <w:noProof/>
                <w:webHidden/>
              </w:rPr>
            </w:r>
            <w:r w:rsidR="00194910">
              <w:rPr>
                <w:noProof/>
                <w:webHidden/>
              </w:rPr>
              <w:fldChar w:fldCharType="separate"/>
            </w:r>
            <w:r w:rsidR="00194910">
              <w:rPr>
                <w:noProof/>
                <w:webHidden/>
              </w:rPr>
              <w:t>4</w:t>
            </w:r>
            <w:r w:rsidR="00194910">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78" w:history="1">
            <w:r w:rsidRPr="00DA4C13">
              <w:rPr>
                <w:rStyle w:val="Hyperlink"/>
                <w:iCs/>
                <w:noProof/>
                <w:lang w:val="sq-AL"/>
              </w:rPr>
              <w:t>2.</w:t>
            </w:r>
            <w:r>
              <w:rPr>
                <w:rFonts w:asciiTheme="minorHAnsi" w:eastAsiaTheme="minorEastAsia" w:hAnsiTheme="minorHAnsi" w:cstheme="minorBidi"/>
                <w:b w:val="0"/>
                <w:bCs w:val="0"/>
                <w:caps w:val="0"/>
                <w:noProof/>
                <w:sz w:val="22"/>
                <w:szCs w:val="22"/>
              </w:rPr>
              <w:tab/>
            </w:r>
            <w:r w:rsidRPr="00DA4C13">
              <w:rPr>
                <w:rStyle w:val="Hyperlink"/>
                <w:iCs/>
                <w:noProof/>
                <w:lang w:val="sq-AL"/>
              </w:rPr>
              <w:t>SITUATA EKONOMIKE</w:t>
            </w:r>
            <w:r>
              <w:rPr>
                <w:noProof/>
                <w:webHidden/>
              </w:rPr>
              <w:tab/>
            </w:r>
            <w:r>
              <w:rPr>
                <w:noProof/>
                <w:webHidden/>
              </w:rPr>
              <w:fldChar w:fldCharType="begin"/>
            </w:r>
            <w:r>
              <w:rPr>
                <w:noProof/>
                <w:webHidden/>
              </w:rPr>
              <w:instrText xml:space="preserve"> PAGEREF _Toc496520378 \h </w:instrText>
            </w:r>
            <w:r>
              <w:rPr>
                <w:noProof/>
                <w:webHidden/>
              </w:rPr>
            </w:r>
            <w:r>
              <w:rPr>
                <w:noProof/>
                <w:webHidden/>
              </w:rPr>
              <w:fldChar w:fldCharType="separate"/>
            </w:r>
            <w:r>
              <w:rPr>
                <w:noProof/>
                <w:webHidden/>
              </w:rPr>
              <w:t>6</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79" w:history="1">
            <w:r w:rsidRPr="00DA4C13">
              <w:rPr>
                <w:rStyle w:val="Hyperlink"/>
                <w:iCs/>
                <w:noProof/>
                <w:lang w:val="sq-AL"/>
              </w:rPr>
              <w:t>2.1.</w:t>
            </w:r>
            <w:r>
              <w:rPr>
                <w:rFonts w:asciiTheme="minorHAnsi" w:eastAsiaTheme="minorEastAsia" w:hAnsiTheme="minorHAnsi" w:cstheme="minorBidi"/>
                <w:b w:val="0"/>
                <w:bCs w:val="0"/>
                <w:caps w:val="0"/>
                <w:noProof/>
                <w:sz w:val="22"/>
                <w:szCs w:val="22"/>
              </w:rPr>
              <w:tab/>
            </w:r>
            <w:r w:rsidRPr="00DA4C13">
              <w:rPr>
                <w:rStyle w:val="Hyperlink"/>
                <w:iCs/>
                <w:noProof/>
                <w:lang w:val="sq-AL"/>
              </w:rPr>
              <w:t>ZHVILLIMET KRYESORE MAKROEKONOMIKE GJATË VITIT 2017</w:t>
            </w:r>
            <w:r>
              <w:rPr>
                <w:noProof/>
                <w:webHidden/>
              </w:rPr>
              <w:tab/>
            </w:r>
            <w:r>
              <w:rPr>
                <w:noProof/>
                <w:webHidden/>
              </w:rPr>
              <w:fldChar w:fldCharType="begin"/>
            </w:r>
            <w:r>
              <w:rPr>
                <w:noProof/>
                <w:webHidden/>
              </w:rPr>
              <w:instrText xml:space="preserve"> PAGEREF _Toc496520379 \h </w:instrText>
            </w:r>
            <w:r>
              <w:rPr>
                <w:noProof/>
                <w:webHidden/>
              </w:rPr>
            </w:r>
            <w:r>
              <w:rPr>
                <w:noProof/>
                <w:webHidden/>
              </w:rPr>
              <w:fldChar w:fldCharType="separate"/>
            </w:r>
            <w:r>
              <w:rPr>
                <w:noProof/>
                <w:webHidden/>
              </w:rPr>
              <w:t>6</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0" w:history="1">
            <w:r w:rsidRPr="00DA4C13">
              <w:rPr>
                <w:rStyle w:val="Hyperlink"/>
                <w:iCs/>
                <w:noProof/>
                <w:lang w:val="sq-AL"/>
              </w:rPr>
              <w:t>2.2.</w:t>
            </w:r>
            <w:r>
              <w:rPr>
                <w:rFonts w:asciiTheme="minorHAnsi" w:eastAsiaTheme="minorEastAsia" w:hAnsiTheme="minorHAnsi" w:cstheme="minorBidi"/>
                <w:b w:val="0"/>
                <w:bCs w:val="0"/>
                <w:caps w:val="0"/>
                <w:noProof/>
                <w:sz w:val="22"/>
                <w:szCs w:val="22"/>
              </w:rPr>
              <w:tab/>
            </w:r>
            <w:r w:rsidRPr="00DA4C13">
              <w:rPr>
                <w:rStyle w:val="Hyperlink"/>
                <w:iCs/>
                <w:noProof/>
                <w:lang w:val="sq-AL"/>
              </w:rPr>
              <w:t>PERSPEKTIVA AFATMESME 2018-2020</w:t>
            </w:r>
            <w:r>
              <w:rPr>
                <w:noProof/>
                <w:webHidden/>
              </w:rPr>
              <w:tab/>
            </w:r>
            <w:r>
              <w:rPr>
                <w:noProof/>
                <w:webHidden/>
              </w:rPr>
              <w:fldChar w:fldCharType="begin"/>
            </w:r>
            <w:r>
              <w:rPr>
                <w:noProof/>
                <w:webHidden/>
              </w:rPr>
              <w:instrText xml:space="preserve"> PAGEREF _Toc496520380 \h </w:instrText>
            </w:r>
            <w:r>
              <w:rPr>
                <w:noProof/>
                <w:webHidden/>
              </w:rPr>
            </w:r>
            <w:r>
              <w:rPr>
                <w:noProof/>
                <w:webHidden/>
              </w:rPr>
              <w:fldChar w:fldCharType="separate"/>
            </w:r>
            <w:r>
              <w:rPr>
                <w:noProof/>
                <w:webHidden/>
              </w:rPr>
              <w:t>8</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1" w:history="1">
            <w:r w:rsidRPr="00DA4C13">
              <w:rPr>
                <w:rStyle w:val="Hyperlink"/>
                <w:iCs/>
                <w:noProof/>
                <w:lang w:val="sq-AL"/>
              </w:rPr>
              <w:t>3.</w:t>
            </w:r>
            <w:r>
              <w:rPr>
                <w:rFonts w:asciiTheme="minorHAnsi" w:eastAsiaTheme="minorEastAsia" w:hAnsiTheme="minorHAnsi" w:cstheme="minorBidi"/>
                <w:b w:val="0"/>
                <w:bCs w:val="0"/>
                <w:caps w:val="0"/>
                <w:noProof/>
                <w:sz w:val="22"/>
                <w:szCs w:val="22"/>
              </w:rPr>
              <w:tab/>
            </w:r>
            <w:r w:rsidRPr="00DA4C13">
              <w:rPr>
                <w:rStyle w:val="Hyperlink"/>
                <w:iCs/>
                <w:noProof/>
                <w:lang w:val="sq-AL"/>
              </w:rPr>
              <w:t>TREGUESIT KRYESORË TË BUXHETIT PËR VITIN 2018</w:t>
            </w:r>
            <w:r>
              <w:rPr>
                <w:noProof/>
                <w:webHidden/>
              </w:rPr>
              <w:tab/>
            </w:r>
            <w:r>
              <w:rPr>
                <w:noProof/>
                <w:webHidden/>
              </w:rPr>
              <w:fldChar w:fldCharType="begin"/>
            </w:r>
            <w:r>
              <w:rPr>
                <w:noProof/>
                <w:webHidden/>
              </w:rPr>
              <w:instrText xml:space="preserve"> PAGEREF _Toc496520381 \h </w:instrText>
            </w:r>
            <w:r>
              <w:rPr>
                <w:noProof/>
                <w:webHidden/>
              </w:rPr>
            </w:r>
            <w:r>
              <w:rPr>
                <w:noProof/>
                <w:webHidden/>
              </w:rPr>
              <w:fldChar w:fldCharType="separate"/>
            </w:r>
            <w:r>
              <w:rPr>
                <w:noProof/>
                <w:webHidden/>
              </w:rPr>
              <w:t>9</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2" w:history="1">
            <w:r w:rsidRPr="00DA4C13">
              <w:rPr>
                <w:rStyle w:val="Hyperlink"/>
                <w:iCs/>
                <w:noProof/>
                <w:lang w:val="sq-AL"/>
              </w:rPr>
              <w:t>3.1 TË ARDHURAT E PRITSHME PËR VITIN 2017</w:t>
            </w:r>
            <w:r>
              <w:rPr>
                <w:noProof/>
                <w:webHidden/>
              </w:rPr>
              <w:tab/>
            </w:r>
            <w:r>
              <w:rPr>
                <w:noProof/>
                <w:webHidden/>
              </w:rPr>
              <w:fldChar w:fldCharType="begin"/>
            </w:r>
            <w:r>
              <w:rPr>
                <w:noProof/>
                <w:webHidden/>
              </w:rPr>
              <w:instrText xml:space="preserve"> PAGEREF _Toc496520382 \h </w:instrText>
            </w:r>
            <w:r>
              <w:rPr>
                <w:noProof/>
                <w:webHidden/>
              </w:rPr>
            </w:r>
            <w:r>
              <w:rPr>
                <w:noProof/>
                <w:webHidden/>
              </w:rPr>
              <w:fldChar w:fldCharType="separate"/>
            </w:r>
            <w:r>
              <w:rPr>
                <w:noProof/>
                <w:webHidden/>
              </w:rPr>
              <w:t>9</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3" w:history="1">
            <w:r w:rsidRPr="00DA4C13">
              <w:rPr>
                <w:rStyle w:val="Hyperlink"/>
                <w:rFonts w:eastAsia="Times New Roman"/>
                <w:noProof/>
                <w:kern w:val="36"/>
              </w:rPr>
              <w:t>3.2 PARASHIKIMI I TË ARDHURAVE PËR VITIN 2018</w:t>
            </w:r>
            <w:r>
              <w:rPr>
                <w:noProof/>
                <w:webHidden/>
              </w:rPr>
              <w:tab/>
            </w:r>
            <w:r>
              <w:rPr>
                <w:noProof/>
                <w:webHidden/>
              </w:rPr>
              <w:fldChar w:fldCharType="begin"/>
            </w:r>
            <w:r>
              <w:rPr>
                <w:noProof/>
                <w:webHidden/>
              </w:rPr>
              <w:instrText xml:space="preserve"> PAGEREF _Toc496520383 \h </w:instrText>
            </w:r>
            <w:r>
              <w:rPr>
                <w:noProof/>
                <w:webHidden/>
              </w:rPr>
            </w:r>
            <w:r>
              <w:rPr>
                <w:noProof/>
                <w:webHidden/>
              </w:rPr>
              <w:fldChar w:fldCharType="separate"/>
            </w:r>
            <w:r>
              <w:rPr>
                <w:noProof/>
                <w:webHidden/>
              </w:rPr>
              <w:t>12</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4" w:history="1">
            <w:r w:rsidRPr="00DA4C13">
              <w:rPr>
                <w:rStyle w:val="Hyperlink"/>
                <w:iCs/>
                <w:noProof/>
                <w:lang w:val="sq-AL"/>
              </w:rPr>
              <w:t>3.3</w:t>
            </w:r>
            <w:r>
              <w:rPr>
                <w:rFonts w:asciiTheme="minorHAnsi" w:eastAsiaTheme="minorEastAsia" w:hAnsiTheme="minorHAnsi" w:cstheme="minorBidi"/>
                <w:b w:val="0"/>
                <w:bCs w:val="0"/>
                <w:caps w:val="0"/>
                <w:noProof/>
                <w:sz w:val="22"/>
                <w:szCs w:val="22"/>
              </w:rPr>
              <w:tab/>
            </w:r>
            <w:r w:rsidRPr="00DA4C13">
              <w:rPr>
                <w:rStyle w:val="Hyperlink"/>
                <w:iCs/>
                <w:noProof/>
                <w:lang w:val="sq-AL"/>
              </w:rPr>
              <w:t>SHPENZIMET PUBLIKE</w:t>
            </w:r>
            <w:r>
              <w:rPr>
                <w:noProof/>
                <w:webHidden/>
              </w:rPr>
              <w:tab/>
            </w:r>
            <w:r>
              <w:rPr>
                <w:noProof/>
                <w:webHidden/>
              </w:rPr>
              <w:fldChar w:fldCharType="begin"/>
            </w:r>
            <w:r>
              <w:rPr>
                <w:noProof/>
                <w:webHidden/>
              </w:rPr>
              <w:instrText xml:space="preserve"> PAGEREF _Toc496520384 \h </w:instrText>
            </w:r>
            <w:r>
              <w:rPr>
                <w:noProof/>
                <w:webHidden/>
              </w:rPr>
            </w:r>
            <w:r>
              <w:rPr>
                <w:noProof/>
                <w:webHidden/>
              </w:rPr>
              <w:fldChar w:fldCharType="separate"/>
            </w:r>
            <w:r>
              <w:rPr>
                <w:noProof/>
                <w:webHidden/>
              </w:rPr>
              <w:t>15</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5" w:history="1">
            <w:r w:rsidRPr="00DA4C13">
              <w:rPr>
                <w:rStyle w:val="Hyperlink"/>
                <w:noProof/>
                <w:lang w:val="sq-AL"/>
              </w:rPr>
              <w:t>3.4 DEFIÇITI BUXHETOR</w:t>
            </w:r>
            <w:r>
              <w:rPr>
                <w:noProof/>
                <w:webHidden/>
              </w:rPr>
              <w:tab/>
            </w:r>
            <w:r>
              <w:rPr>
                <w:noProof/>
                <w:webHidden/>
              </w:rPr>
              <w:fldChar w:fldCharType="begin"/>
            </w:r>
            <w:r>
              <w:rPr>
                <w:noProof/>
                <w:webHidden/>
              </w:rPr>
              <w:instrText xml:space="preserve"> PAGEREF _Toc496520385 \h </w:instrText>
            </w:r>
            <w:r>
              <w:rPr>
                <w:noProof/>
                <w:webHidden/>
              </w:rPr>
            </w:r>
            <w:r>
              <w:rPr>
                <w:noProof/>
                <w:webHidden/>
              </w:rPr>
              <w:fldChar w:fldCharType="separate"/>
            </w:r>
            <w:r>
              <w:rPr>
                <w:noProof/>
                <w:webHidden/>
              </w:rPr>
              <w:t>16</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6" w:history="1">
            <w:r w:rsidRPr="00DA4C13">
              <w:rPr>
                <w:rStyle w:val="Hyperlink"/>
                <w:noProof/>
                <w:lang w:val="sq-AL"/>
              </w:rPr>
              <w:t>3.5 VEPRIMTARITË POTHUAJSE FISKALE</w:t>
            </w:r>
            <w:r>
              <w:rPr>
                <w:noProof/>
                <w:webHidden/>
              </w:rPr>
              <w:tab/>
            </w:r>
            <w:r>
              <w:rPr>
                <w:noProof/>
                <w:webHidden/>
              </w:rPr>
              <w:fldChar w:fldCharType="begin"/>
            </w:r>
            <w:r>
              <w:rPr>
                <w:noProof/>
                <w:webHidden/>
              </w:rPr>
              <w:instrText xml:space="preserve"> PAGEREF _Toc496520386 \h </w:instrText>
            </w:r>
            <w:r>
              <w:rPr>
                <w:noProof/>
                <w:webHidden/>
              </w:rPr>
            </w:r>
            <w:r>
              <w:rPr>
                <w:noProof/>
                <w:webHidden/>
              </w:rPr>
              <w:fldChar w:fldCharType="separate"/>
            </w:r>
            <w:r>
              <w:rPr>
                <w:noProof/>
                <w:webHidden/>
              </w:rPr>
              <w:t>18</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7" w:history="1">
            <w:r w:rsidRPr="00DA4C13">
              <w:rPr>
                <w:rStyle w:val="Hyperlink"/>
                <w:noProof/>
                <w:lang w:val="sq-AL"/>
              </w:rPr>
              <w:t>3.6</w:t>
            </w:r>
            <w:r>
              <w:rPr>
                <w:rFonts w:asciiTheme="minorHAnsi" w:eastAsiaTheme="minorEastAsia" w:hAnsiTheme="minorHAnsi" w:cstheme="minorBidi"/>
                <w:b w:val="0"/>
                <w:bCs w:val="0"/>
                <w:caps w:val="0"/>
                <w:noProof/>
                <w:sz w:val="22"/>
                <w:szCs w:val="22"/>
              </w:rPr>
              <w:tab/>
            </w:r>
            <w:r w:rsidRPr="00DA4C13">
              <w:rPr>
                <w:rStyle w:val="Hyperlink"/>
                <w:noProof/>
                <w:lang w:val="sq-AL"/>
              </w:rPr>
              <w:t>MINIMIZIMI I RISKUT PËR VEPRIMET EKSTRA-BUXHETORE</w:t>
            </w:r>
            <w:r>
              <w:rPr>
                <w:noProof/>
                <w:webHidden/>
              </w:rPr>
              <w:tab/>
            </w:r>
            <w:r>
              <w:rPr>
                <w:noProof/>
                <w:webHidden/>
              </w:rPr>
              <w:fldChar w:fldCharType="begin"/>
            </w:r>
            <w:r>
              <w:rPr>
                <w:noProof/>
                <w:webHidden/>
              </w:rPr>
              <w:instrText xml:space="preserve"> PAGEREF _Toc496520387 \h </w:instrText>
            </w:r>
            <w:r>
              <w:rPr>
                <w:noProof/>
                <w:webHidden/>
              </w:rPr>
            </w:r>
            <w:r>
              <w:rPr>
                <w:noProof/>
                <w:webHidden/>
              </w:rPr>
              <w:fldChar w:fldCharType="separate"/>
            </w:r>
            <w:r>
              <w:rPr>
                <w:noProof/>
                <w:webHidden/>
              </w:rPr>
              <w:t>20</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8" w:history="1">
            <w:r w:rsidRPr="00DA4C13">
              <w:rPr>
                <w:rStyle w:val="Hyperlink"/>
                <w:noProof/>
                <w:lang w:val="sq-AL"/>
              </w:rPr>
              <w:t>3.7 BUXHETI VENDOR 2018</w:t>
            </w:r>
            <w:r>
              <w:rPr>
                <w:noProof/>
                <w:webHidden/>
              </w:rPr>
              <w:tab/>
            </w:r>
            <w:r>
              <w:rPr>
                <w:noProof/>
                <w:webHidden/>
              </w:rPr>
              <w:fldChar w:fldCharType="begin"/>
            </w:r>
            <w:r>
              <w:rPr>
                <w:noProof/>
                <w:webHidden/>
              </w:rPr>
              <w:instrText xml:space="preserve"> PAGEREF _Toc496520388 \h </w:instrText>
            </w:r>
            <w:r>
              <w:rPr>
                <w:noProof/>
                <w:webHidden/>
              </w:rPr>
            </w:r>
            <w:r>
              <w:rPr>
                <w:noProof/>
                <w:webHidden/>
              </w:rPr>
              <w:fldChar w:fldCharType="separate"/>
            </w:r>
            <w:r>
              <w:rPr>
                <w:noProof/>
                <w:webHidden/>
              </w:rPr>
              <w:t>21</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89" w:history="1">
            <w:r w:rsidRPr="00DA4C13">
              <w:rPr>
                <w:rStyle w:val="Hyperlink"/>
                <w:noProof/>
                <w:lang w:val="sq-AL"/>
              </w:rPr>
              <w:t>4. POLITIKAT SEKTORIALE DHE PËRFITIMET PËR QYTETARIN</w:t>
            </w:r>
            <w:r>
              <w:rPr>
                <w:noProof/>
                <w:webHidden/>
              </w:rPr>
              <w:tab/>
            </w:r>
            <w:r>
              <w:rPr>
                <w:noProof/>
                <w:webHidden/>
              </w:rPr>
              <w:fldChar w:fldCharType="begin"/>
            </w:r>
            <w:r>
              <w:rPr>
                <w:noProof/>
                <w:webHidden/>
              </w:rPr>
              <w:instrText xml:space="preserve"> PAGEREF _Toc496520389 \h </w:instrText>
            </w:r>
            <w:r>
              <w:rPr>
                <w:noProof/>
                <w:webHidden/>
              </w:rPr>
            </w:r>
            <w:r>
              <w:rPr>
                <w:noProof/>
                <w:webHidden/>
              </w:rPr>
              <w:fldChar w:fldCharType="separate"/>
            </w:r>
            <w:r>
              <w:rPr>
                <w:noProof/>
                <w:webHidden/>
              </w:rPr>
              <w:t>29</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0" w:history="1">
            <w:r w:rsidRPr="00DA4C13">
              <w:rPr>
                <w:rStyle w:val="Hyperlink"/>
                <w:iCs/>
                <w:noProof/>
                <w:lang w:val="sq-AL"/>
              </w:rPr>
              <w:t>5.</w:t>
            </w:r>
            <w:r>
              <w:rPr>
                <w:rFonts w:asciiTheme="minorHAnsi" w:eastAsiaTheme="minorEastAsia" w:hAnsiTheme="minorHAnsi" w:cstheme="minorBidi"/>
                <w:b w:val="0"/>
                <w:bCs w:val="0"/>
                <w:caps w:val="0"/>
                <w:noProof/>
                <w:sz w:val="22"/>
                <w:szCs w:val="22"/>
              </w:rPr>
              <w:tab/>
            </w:r>
            <w:r w:rsidRPr="00DA4C13">
              <w:rPr>
                <w:rStyle w:val="Hyperlink"/>
                <w:iCs/>
                <w:noProof/>
                <w:lang w:val="sq-AL"/>
              </w:rPr>
              <w:t>REFORMAT NË BUXHETIN 2018</w:t>
            </w:r>
            <w:r>
              <w:rPr>
                <w:noProof/>
                <w:webHidden/>
              </w:rPr>
              <w:tab/>
            </w:r>
            <w:r>
              <w:rPr>
                <w:noProof/>
                <w:webHidden/>
              </w:rPr>
              <w:fldChar w:fldCharType="begin"/>
            </w:r>
            <w:r>
              <w:rPr>
                <w:noProof/>
                <w:webHidden/>
              </w:rPr>
              <w:instrText xml:space="preserve"> PAGEREF _Toc496520390 \h </w:instrText>
            </w:r>
            <w:r>
              <w:rPr>
                <w:noProof/>
                <w:webHidden/>
              </w:rPr>
            </w:r>
            <w:r>
              <w:rPr>
                <w:noProof/>
                <w:webHidden/>
              </w:rPr>
              <w:fldChar w:fldCharType="separate"/>
            </w:r>
            <w:r>
              <w:rPr>
                <w:noProof/>
                <w:webHidden/>
              </w:rPr>
              <w:t>52</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1" w:history="1">
            <w:r w:rsidRPr="00DA4C13">
              <w:rPr>
                <w:rStyle w:val="Hyperlink"/>
                <w:iCs/>
                <w:noProof/>
                <w:lang w:val="sq-AL"/>
              </w:rPr>
              <w:t>6.</w:t>
            </w:r>
            <w:r>
              <w:rPr>
                <w:rFonts w:asciiTheme="minorHAnsi" w:eastAsiaTheme="minorEastAsia" w:hAnsiTheme="minorHAnsi" w:cstheme="minorBidi"/>
                <w:b w:val="0"/>
                <w:bCs w:val="0"/>
                <w:caps w:val="0"/>
                <w:noProof/>
                <w:sz w:val="22"/>
                <w:szCs w:val="22"/>
              </w:rPr>
              <w:tab/>
            </w:r>
            <w:r w:rsidRPr="00DA4C13">
              <w:rPr>
                <w:rStyle w:val="Hyperlink"/>
                <w:iCs/>
                <w:noProof/>
                <w:lang w:val="sq-AL"/>
              </w:rPr>
              <w:t>POLITIKAT E TAKSAVE PËR VITIN 2018</w:t>
            </w:r>
            <w:r>
              <w:rPr>
                <w:noProof/>
                <w:webHidden/>
              </w:rPr>
              <w:tab/>
            </w:r>
            <w:r>
              <w:rPr>
                <w:noProof/>
                <w:webHidden/>
              </w:rPr>
              <w:fldChar w:fldCharType="begin"/>
            </w:r>
            <w:r>
              <w:rPr>
                <w:noProof/>
                <w:webHidden/>
              </w:rPr>
              <w:instrText xml:space="preserve"> PAGEREF _Toc496520391 \h </w:instrText>
            </w:r>
            <w:r>
              <w:rPr>
                <w:noProof/>
                <w:webHidden/>
              </w:rPr>
            </w:r>
            <w:r>
              <w:rPr>
                <w:noProof/>
                <w:webHidden/>
              </w:rPr>
              <w:fldChar w:fldCharType="separate"/>
            </w:r>
            <w:r>
              <w:rPr>
                <w:noProof/>
                <w:webHidden/>
              </w:rPr>
              <w:t>64</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2" w:history="1">
            <w:r w:rsidRPr="00DA4C13">
              <w:rPr>
                <w:rStyle w:val="Hyperlink"/>
                <w:rFonts w:eastAsia="Times New Roman"/>
                <w:noProof/>
                <w:kern w:val="36"/>
              </w:rPr>
              <w:t>6.1 PAKETA E RE FISKALE</w:t>
            </w:r>
            <w:r>
              <w:rPr>
                <w:noProof/>
                <w:webHidden/>
              </w:rPr>
              <w:tab/>
            </w:r>
            <w:r>
              <w:rPr>
                <w:noProof/>
                <w:webHidden/>
              </w:rPr>
              <w:fldChar w:fldCharType="begin"/>
            </w:r>
            <w:r>
              <w:rPr>
                <w:noProof/>
                <w:webHidden/>
              </w:rPr>
              <w:instrText xml:space="preserve"> PAGEREF _Toc496520392 \h </w:instrText>
            </w:r>
            <w:r>
              <w:rPr>
                <w:noProof/>
                <w:webHidden/>
              </w:rPr>
            </w:r>
            <w:r>
              <w:rPr>
                <w:noProof/>
                <w:webHidden/>
              </w:rPr>
              <w:fldChar w:fldCharType="separate"/>
            </w:r>
            <w:r>
              <w:rPr>
                <w:noProof/>
                <w:webHidden/>
              </w:rPr>
              <w:t>64</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4" w:history="1">
            <w:r w:rsidRPr="00DA4C13">
              <w:rPr>
                <w:rStyle w:val="Hyperlink"/>
                <w:noProof/>
                <w:lang w:val="sq-AL"/>
              </w:rPr>
              <w:t>7. MONITORIMI I DETYRIMEVE TE REJA TË PRAPAMBETURA</w:t>
            </w:r>
            <w:r>
              <w:rPr>
                <w:noProof/>
                <w:webHidden/>
              </w:rPr>
              <w:tab/>
            </w:r>
            <w:r>
              <w:rPr>
                <w:noProof/>
                <w:webHidden/>
              </w:rPr>
              <w:fldChar w:fldCharType="begin"/>
            </w:r>
            <w:r>
              <w:rPr>
                <w:noProof/>
                <w:webHidden/>
              </w:rPr>
              <w:instrText xml:space="preserve"> PAGEREF _Toc496520394 \h </w:instrText>
            </w:r>
            <w:r>
              <w:rPr>
                <w:noProof/>
                <w:webHidden/>
              </w:rPr>
            </w:r>
            <w:r>
              <w:rPr>
                <w:noProof/>
                <w:webHidden/>
              </w:rPr>
              <w:fldChar w:fldCharType="separate"/>
            </w:r>
            <w:r>
              <w:rPr>
                <w:noProof/>
                <w:webHidden/>
              </w:rPr>
              <w:t>69</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5" w:history="1">
            <w:r w:rsidRPr="00DA4C13">
              <w:rPr>
                <w:rStyle w:val="Hyperlink"/>
                <w:noProof/>
                <w:lang w:val="sq-AL"/>
              </w:rPr>
              <w:t>7.1.</w:t>
            </w:r>
            <w:r>
              <w:rPr>
                <w:rFonts w:asciiTheme="minorHAnsi" w:eastAsiaTheme="minorEastAsia" w:hAnsiTheme="minorHAnsi" w:cstheme="minorBidi"/>
                <w:b w:val="0"/>
                <w:bCs w:val="0"/>
                <w:caps w:val="0"/>
                <w:noProof/>
                <w:sz w:val="22"/>
                <w:szCs w:val="22"/>
              </w:rPr>
              <w:tab/>
            </w:r>
            <w:r w:rsidRPr="00DA4C13">
              <w:rPr>
                <w:rStyle w:val="Hyperlink"/>
                <w:noProof/>
                <w:lang w:val="sq-AL"/>
              </w:rPr>
              <w:t>MOSREALIZIMI NË KOHË I INVESTIMEVE PUBLIKE</w:t>
            </w:r>
            <w:r>
              <w:rPr>
                <w:noProof/>
                <w:webHidden/>
              </w:rPr>
              <w:tab/>
            </w:r>
            <w:r>
              <w:rPr>
                <w:noProof/>
                <w:webHidden/>
              </w:rPr>
              <w:fldChar w:fldCharType="begin"/>
            </w:r>
            <w:r>
              <w:rPr>
                <w:noProof/>
                <w:webHidden/>
              </w:rPr>
              <w:instrText xml:space="preserve"> PAGEREF _Toc496520395 \h </w:instrText>
            </w:r>
            <w:r>
              <w:rPr>
                <w:noProof/>
                <w:webHidden/>
              </w:rPr>
            </w:r>
            <w:r>
              <w:rPr>
                <w:noProof/>
                <w:webHidden/>
              </w:rPr>
              <w:fldChar w:fldCharType="separate"/>
            </w:r>
            <w:r>
              <w:rPr>
                <w:noProof/>
                <w:webHidden/>
              </w:rPr>
              <w:t>69</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6" w:history="1">
            <w:r w:rsidRPr="00DA4C13">
              <w:rPr>
                <w:rStyle w:val="Hyperlink"/>
                <w:noProof/>
                <w:lang w:val="sq-AL"/>
              </w:rPr>
              <w:t>7.2.</w:t>
            </w:r>
            <w:r>
              <w:rPr>
                <w:rFonts w:asciiTheme="minorHAnsi" w:eastAsiaTheme="minorEastAsia" w:hAnsiTheme="minorHAnsi" w:cstheme="minorBidi"/>
                <w:b w:val="0"/>
                <w:bCs w:val="0"/>
                <w:caps w:val="0"/>
                <w:noProof/>
                <w:sz w:val="22"/>
                <w:szCs w:val="22"/>
              </w:rPr>
              <w:tab/>
            </w:r>
            <w:r w:rsidRPr="00DA4C13">
              <w:rPr>
                <w:rStyle w:val="Hyperlink"/>
                <w:noProof/>
                <w:lang w:val="sq-AL"/>
              </w:rPr>
              <w:t>MENAXHIMI I BORXHIT PUBLIK</w:t>
            </w:r>
            <w:r>
              <w:rPr>
                <w:noProof/>
                <w:webHidden/>
              </w:rPr>
              <w:tab/>
            </w:r>
            <w:r>
              <w:rPr>
                <w:noProof/>
                <w:webHidden/>
              </w:rPr>
              <w:fldChar w:fldCharType="begin"/>
            </w:r>
            <w:r>
              <w:rPr>
                <w:noProof/>
                <w:webHidden/>
              </w:rPr>
              <w:instrText xml:space="preserve"> PAGEREF _Toc496520396 \h </w:instrText>
            </w:r>
            <w:r>
              <w:rPr>
                <w:noProof/>
                <w:webHidden/>
              </w:rPr>
            </w:r>
            <w:r>
              <w:rPr>
                <w:noProof/>
                <w:webHidden/>
              </w:rPr>
              <w:fldChar w:fldCharType="separate"/>
            </w:r>
            <w:r>
              <w:rPr>
                <w:noProof/>
                <w:webHidden/>
              </w:rPr>
              <w:t>70</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7" w:history="1">
            <w:r w:rsidRPr="00DA4C13">
              <w:rPr>
                <w:rStyle w:val="Hyperlink"/>
                <w:iCs/>
                <w:noProof/>
                <w:lang w:val="sq-AL"/>
              </w:rPr>
              <w:t>8.</w:t>
            </w:r>
            <w:r>
              <w:rPr>
                <w:rFonts w:asciiTheme="minorHAnsi" w:eastAsiaTheme="minorEastAsia" w:hAnsiTheme="minorHAnsi" w:cstheme="minorBidi"/>
                <w:b w:val="0"/>
                <w:bCs w:val="0"/>
                <w:caps w:val="0"/>
                <w:noProof/>
                <w:sz w:val="22"/>
                <w:szCs w:val="22"/>
              </w:rPr>
              <w:tab/>
            </w:r>
            <w:r w:rsidRPr="00DA4C13">
              <w:rPr>
                <w:rStyle w:val="Hyperlink"/>
                <w:iCs/>
                <w:noProof/>
                <w:lang w:val="sq-AL"/>
              </w:rPr>
              <w:t>SHTOJCA ILUSTRUESE</w:t>
            </w:r>
            <w:r>
              <w:rPr>
                <w:noProof/>
                <w:webHidden/>
              </w:rPr>
              <w:tab/>
            </w:r>
            <w:r>
              <w:rPr>
                <w:noProof/>
                <w:webHidden/>
              </w:rPr>
              <w:fldChar w:fldCharType="begin"/>
            </w:r>
            <w:r>
              <w:rPr>
                <w:noProof/>
                <w:webHidden/>
              </w:rPr>
              <w:instrText xml:space="preserve"> PAGEREF _Toc496520397 \h </w:instrText>
            </w:r>
            <w:r>
              <w:rPr>
                <w:noProof/>
                <w:webHidden/>
              </w:rPr>
            </w:r>
            <w:r>
              <w:rPr>
                <w:noProof/>
                <w:webHidden/>
              </w:rPr>
              <w:fldChar w:fldCharType="separate"/>
            </w:r>
            <w:r>
              <w:rPr>
                <w:noProof/>
                <w:webHidden/>
              </w:rPr>
              <w:t>73</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8" w:history="1">
            <w:r w:rsidRPr="00DA4C13">
              <w:rPr>
                <w:rStyle w:val="Hyperlink"/>
                <w:noProof/>
                <w:lang w:val="sq-AL"/>
              </w:rPr>
              <w:t>8.1 TREGUESIT E PËRZGJEDHUR MAKROEKONOMIKË DHE FISKALË</w:t>
            </w:r>
            <w:r>
              <w:rPr>
                <w:noProof/>
                <w:webHidden/>
              </w:rPr>
              <w:tab/>
            </w:r>
            <w:r>
              <w:rPr>
                <w:noProof/>
                <w:webHidden/>
              </w:rPr>
              <w:fldChar w:fldCharType="begin"/>
            </w:r>
            <w:r>
              <w:rPr>
                <w:noProof/>
                <w:webHidden/>
              </w:rPr>
              <w:instrText xml:space="preserve"> PAGEREF _Toc496520398 \h </w:instrText>
            </w:r>
            <w:r>
              <w:rPr>
                <w:noProof/>
                <w:webHidden/>
              </w:rPr>
            </w:r>
            <w:r>
              <w:rPr>
                <w:noProof/>
                <w:webHidden/>
              </w:rPr>
              <w:fldChar w:fldCharType="separate"/>
            </w:r>
            <w:r>
              <w:rPr>
                <w:noProof/>
                <w:webHidden/>
              </w:rPr>
              <w:t>73</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399" w:history="1">
            <w:r w:rsidRPr="00DA4C13">
              <w:rPr>
                <w:rStyle w:val="Hyperlink"/>
                <w:noProof/>
                <w:lang w:val="sq-AL"/>
              </w:rPr>
              <w:t>8</w:t>
            </w:r>
            <w:r w:rsidRPr="00DA4C13">
              <w:rPr>
                <w:rStyle w:val="Hyperlink"/>
                <w:rFonts w:eastAsia="Times New Roman"/>
                <w:smallCaps/>
                <w:noProof/>
                <w:kern w:val="36"/>
              </w:rPr>
              <w:t>.2  Zhvillimet fiskale gjatë 9-mujorit 2017</w:t>
            </w:r>
            <w:r>
              <w:rPr>
                <w:noProof/>
                <w:webHidden/>
              </w:rPr>
              <w:tab/>
            </w:r>
            <w:r>
              <w:rPr>
                <w:noProof/>
                <w:webHidden/>
              </w:rPr>
              <w:fldChar w:fldCharType="begin"/>
            </w:r>
            <w:r>
              <w:rPr>
                <w:noProof/>
                <w:webHidden/>
              </w:rPr>
              <w:instrText xml:space="preserve"> PAGEREF _Toc496520399 \h </w:instrText>
            </w:r>
            <w:r>
              <w:rPr>
                <w:noProof/>
                <w:webHidden/>
              </w:rPr>
            </w:r>
            <w:r>
              <w:rPr>
                <w:noProof/>
                <w:webHidden/>
              </w:rPr>
              <w:fldChar w:fldCharType="separate"/>
            </w:r>
            <w:r>
              <w:rPr>
                <w:noProof/>
                <w:webHidden/>
              </w:rPr>
              <w:t>75</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400" w:history="1">
            <w:r w:rsidRPr="00DA4C13">
              <w:rPr>
                <w:rStyle w:val="Hyperlink"/>
                <w:noProof/>
                <w:lang w:val="sq-AL"/>
              </w:rPr>
              <w:t>8.3 SHPENZIMEVE BUXHETORE PËR 9-Mujorin 2017</w:t>
            </w:r>
            <w:r>
              <w:rPr>
                <w:noProof/>
                <w:webHidden/>
              </w:rPr>
              <w:tab/>
            </w:r>
            <w:r>
              <w:rPr>
                <w:noProof/>
                <w:webHidden/>
              </w:rPr>
              <w:fldChar w:fldCharType="begin"/>
            </w:r>
            <w:r>
              <w:rPr>
                <w:noProof/>
                <w:webHidden/>
              </w:rPr>
              <w:instrText xml:space="preserve"> PAGEREF _Toc496520400 \h </w:instrText>
            </w:r>
            <w:r>
              <w:rPr>
                <w:noProof/>
                <w:webHidden/>
              </w:rPr>
            </w:r>
            <w:r>
              <w:rPr>
                <w:noProof/>
                <w:webHidden/>
              </w:rPr>
              <w:fldChar w:fldCharType="separate"/>
            </w:r>
            <w:r>
              <w:rPr>
                <w:noProof/>
                <w:webHidden/>
              </w:rPr>
              <w:t>79</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401" w:history="1">
            <w:r w:rsidRPr="00DA4C13">
              <w:rPr>
                <w:rStyle w:val="Hyperlink"/>
                <w:noProof/>
                <w:lang w:val="sq-AL"/>
              </w:rPr>
              <w:t>8.4 ECURIA E BORXHIT PUBLIK PËR 9-MUJORIN 2017</w:t>
            </w:r>
            <w:r>
              <w:rPr>
                <w:noProof/>
                <w:webHidden/>
              </w:rPr>
              <w:tab/>
            </w:r>
            <w:r>
              <w:rPr>
                <w:noProof/>
                <w:webHidden/>
              </w:rPr>
              <w:fldChar w:fldCharType="begin"/>
            </w:r>
            <w:r>
              <w:rPr>
                <w:noProof/>
                <w:webHidden/>
              </w:rPr>
              <w:instrText xml:space="preserve"> PAGEREF _Toc496520401 \h </w:instrText>
            </w:r>
            <w:r>
              <w:rPr>
                <w:noProof/>
                <w:webHidden/>
              </w:rPr>
            </w:r>
            <w:r>
              <w:rPr>
                <w:noProof/>
                <w:webHidden/>
              </w:rPr>
              <w:fldChar w:fldCharType="separate"/>
            </w:r>
            <w:r>
              <w:rPr>
                <w:noProof/>
                <w:webHidden/>
              </w:rPr>
              <w:t>93</w:t>
            </w:r>
            <w:r>
              <w:rPr>
                <w:noProof/>
                <w:webHidden/>
              </w:rPr>
              <w:fldChar w:fldCharType="end"/>
            </w:r>
          </w:hyperlink>
        </w:p>
        <w:p w:rsidR="00194910" w:rsidRDefault="00194910">
          <w:pPr>
            <w:pStyle w:val="TOC1"/>
            <w:rPr>
              <w:rFonts w:asciiTheme="minorHAnsi" w:eastAsiaTheme="minorEastAsia" w:hAnsiTheme="minorHAnsi" w:cstheme="minorBidi"/>
              <w:b w:val="0"/>
              <w:bCs w:val="0"/>
              <w:caps w:val="0"/>
              <w:noProof/>
              <w:sz w:val="22"/>
              <w:szCs w:val="22"/>
            </w:rPr>
          </w:pPr>
          <w:hyperlink w:anchor="_Toc496520402" w:history="1">
            <w:r w:rsidRPr="00DA4C13">
              <w:rPr>
                <w:rStyle w:val="Hyperlink"/>
                <w:noProof/>
              </w:rPr>
              <w:t>8.5 LISTA E KONCESIONEVE/PPP</w:t>
            </w:r>
            <w:r>
              <w:rPr>
                <w:noProof/>
                <w:webHidden/>
              </w:rPr>
              <w:tab/>
            </w:r>
            <w:r>
              <w:rPr>
                <w:noProof/>
                <w:webHidden/>
              </w:rPr>
              <w:fldChar w:fldCharType="begin"/>
            </w:r>
            <w:r>
              <w:rPr>
                <w:noProof/>
                <w:webHidden/>
              </w:rPr>
              <w:instrText xml:space="preserve"> PAGEREF _Toc496520402 \h </w:instrText>
            </w:r>
            <w:r>
              <w:rPr>
                <w:noProof/>
                <w:webHidden/>
              </w:rPr>
            </w:r>
            <w:r>
              <w:rPr>
                <w:noProof/>
                <w:webHidden/>
              </w:rPr>
              <w:fldChar w:fldCharType="separate"/>
            </w:r>
            <w:r>
              <w:rPr>
                <w:noProof/>
                <w:webHidden/>
              </w:rPr>
              <w:t>100</w:t>
            </w:r>
            <w:r>
              <w:rPr>
                <w:noProof/>
                <w:webHidden/>
              </w:rPr>
              <w:fldChar w:fldCharType="end"/>
            </w:r>
          </w:hyperlink>
        </w:p>
        <w:p w:rsidR="00E2188E" w:rsidRPr="00017AD6" w:rsidRDefault="00E2188E">
          <w:pPr>
            <w:rPr>
              <w:rStyle w:val="Hyperlink"/>
              <w:b/>
              <w:bCs/>
              <w:caps/>
              <w:noProof/>
              <w:szCs w:val="20"/>
              <w:lang w:val="sq-AL"/>
            </w:rPr>
          </w:pPr>
          <w:r w:rsidRPr="00017AD6">
            <w:rPr>
              <w:rStyle w:val="Hyperlink"/>
              <w:caps/>
              <w:szCs w:val="20"/>
              <w:lang w:val="sq-AL"/>
            </w:rPr>
            <w:fldChar w:fldCharType="end"/>
          </w:r>
        </w:p>
      </w:sdtContent>
    </w:sdt>
    <w:p w:rsidR="00D94792" w:rsidRDefault="00B0121D" w:rsidP="003C5B4B">
      <w:pPr>
        <w:pStyle w:val="TOC1"/>
        <w:rPr>
          <w:rFonts w:asciiTheme="minorHAnsi" w:eastAsiaTheme="minorEastAsia" w:hAnsiTheme="minorHAnsi" w:cstheme="minorBidi"/>
          <w:b w:val="0"/>
          <w:bCs w:val="0"/>
          <w:caps w:val="0"/>
          <w:noProof/>
          <w:sz w:val="22"/>
          <w:szCs w:val="22"/>
        </w:rPr>
      </w:pPr>
      <w:r w:rsidRPr="00D94792">
        <w:rPr>
          <w:lang w:val="sq-AL"/>
        </w:rPr>
        <w:fldChar w:fldCharType="begin"/>
      </w:r>
      <w:r w:rsidRPr="00D94792">
        <w:rPr>
          <w:lang w:val="sq-AL"/>
        </w:rPr>
        <w:instrText xml:space="preserve"> TOC \o "1-3" \h \z \u </w:instrText>
      </w:r>
      <w:r w:rsidRPr="00D94792">
        <w:rPr>
          <w:lang w:val="sq-AL"/>
        </w:rPr>
        <w:fldChar w:fldCharType="separate"/>
      </w:r>
    </w:p>
    <w:p w:rsidR="00B0121D" w:rsidRPr="00D94792" w:rsidRDefault="00B0121D" w:rsidP="003C5B4B">
      <w:pPr>
        <w:spacing w:line="276" w:lineRule="auto"/>
        <w:jc w:val="both"/>
        <w:rPr>
          <w:sz w:val="22"/>
          <w:lang w:val="sq-AL"/>
        </w:rPr>
      </w:pPr>
      <w:r w:rsidRPr="00D94792">
        <w:rPr>
          <w:sz w:val="22"/>
          <w:lang w:val="sq-AL"/>
        </w:rPr>
        <w:fldChar w:fldCharType="end"/>
      </w:r>
    </w:p>
    <w:p w:rsidR="00057989" w:rsidRPr="00D94792" w:rsidRDefault="00057989" w:rsidP="003C5B4B">
      <w:pPr>
        <w:spacing w:after="200" w:line="276" w:lineRule="auto"/>
        <w:rPr>
          <w:sz w:val="22"/>
          <w:lang w:val="sq-AL"/>
        </w:rPr>
      </w:pPr>
      <w:r w:rsidRPr="00D94792">
        <w:rPr>
          <w:sz w:val="22"/>
          <w:lang w:val="sq-AL"/>
        </w:rPr>
        <w:br w:type="page"/>
      </w:r>
      <w:bookmarkStart w:id="1" w:name="_GoBack"/>
      <w:bookmarkEnd w:id="1"/>
    </w:p>
    <w:p w:rsidR="00B0121D" w:rsidRPr="00D94792" w:rsidRDefault="00B0121D" w:rsidP="003C5B4B">
      <w:pPr>
        <w:spacing w:line="276" w:lineRule="auto"/>
        <w:jc w:val="both"/>
        <w:rPr>
          <w:sz w:val="22"/>
          <w:lang w:val="sq-AL"/>
        </w:rPr>
      </w:pPr>
    </w:p>
    <w:p w:rsidR="00B0121D" w:rsidRPr="00D94792" w:rsidRDefault="00B0121D" w:rsidP="003C5B4B">
      <w:pPr>
        <w:keepNext/>
        <w:numPr>
          <w:ilvl w:val="0"/>
          <w:numId w:val="2"/>
        </w:numPr>
        <w:tabs>
          <w:tab w:val="center" w:pos="709"/>
        </w:tabs>
        <w:spacing w:line="276" w:lineRule="auto"/>
        <w:ind w:right="-1"/>
        <w:jc w:val="both"/>
        <w:outlineLvl w:val="0"/>
        <w:rPr>
          <w:b/>
          <w:bCs/>
          <w:iCs/>
          <w:caps/>
          <w:sz w:val="28"/>
          <w:lang w:val="sq-AL"/>
        </w:rPr>
      </w:pPr>
      <w:bookmarkStart w:id="2" w:name="_Toc495672706"/>
      <w:bookmarkStart w:id="3" w:name="_Toc465509155"/>
      <w:bookmarkStart w:id="4" w:name="_Toc496520377"/>
      <w:r w:rsidRPr="00D94792">
        <w:rPr>
          <w:b/>
          <w:bCs/>
          <w:iCs/>
          <w:caps/>
          <w:sz w:val="28"/>
          <w:lang w:val="sq-AL"/>
        </w:rPr>
        <w:t>HYRJE</w:t>
      </w:r>
      <w:bookmarkEnd w:id="2"/>
      <w:bookmarkEnd w:id="4"/>
      <w:r w:rsidRPr="00D94792">
        <w:rPr>
          <w:b/>
          <w:caps/>
          <w:noProof/>
          <w:lang w:val="sq-AL"/>
        </w:rPr>
        <w:tab/>
      </w:r>
    </w:p>
    <w:p w:rsidR="00B0121D" w:rsidRPr="00D94792" w:rsidRDefault="00B0121D" w:rsidP="003C5B4B">
      <w:pPr>
        <w:spacing w:line="276" w:lineRule="auto"/>
        <w:jc w:val="both"/>
        <w:rPr>
          <w:bCs/>
          <w:iCs/>
          <w:lang w:val="sq-AL"/>
        </w:rPr>
      </w:pPr>
    </w:p>
    <w:p w:rsidR="00D63B53" w:rsidRPr="007D2633" w:rsidRDefault="00642C87" w:rsidP="00D63B53">
      <w:pPr>
        <w:spacing w:line="276" w:lineRule="auto"/>
        <w:jc w:val="both"/>
        <w:rPr>
          <w:lang w:val="sq-AL"/>
        </w:rPr>
      </w:pPr>
      <w:r w:rsidRPr="00642C87">
        <w:rPr>
          <w:lang w:val="sq-AL"/>
        </w:rPr>
        <w:t>Projektbuxheti 2018 starton një fazë të re të thellimit të reformave të ndërmarra gjatë katër viteve të kaluara duke u fokusuar në rritjen e ritmit të rritjes ekonomike dhe sjelljen më afër të shërbimeve publike te qytetari.</w:t>
      </w:r>
      <w:r w:rsidR="007D2633">
        <w:rPr>
          <w:lang w:val="sq-AL"/>
        </w:rPr>
        <w:t xml:space="preserve"> </w:t>
      </w:r>
      <w:proofErr w:type="gramStart"/>
      <w:r w:rsidR="007D2633">
        <w:t>Ky</w:t>
      </w:r>
      <w:proofErr w:type="gramEnd"/>
      <w:r w:rsidR="007D2633">
        <w:t xml:space="preserve"> projektbuxhet</w:t>
      </w:r>
      <w:r w:rsidRPr="00642C87">
        <w:t xml:space="preserve"> dhe ai afatmesëm bazohet në një kuadër Makroekonomik të kujdesshëm dhe realist. Konkretisht, parashikimet e rritjes e</w:t>
      </w:r>
      <w:r w:rsidR="007D2633">
        <w:t xml:space="preserve">konomike kapin vlera përtej 4% </w:t>
      </w:r>
      <w:r w:rsidRPr="00642C87">
        <w:t>baz</w:t>
      </w:r>
      <w:r w:rsidR="007D2633">
        <w:t>uar</w:t>
      </w:r>
      <w:r w:rsidRPr="00642C87">
        <w:t xml:space="preserve"> në një rritje të balancuar si sektoriale ashtu dhe të kërkesës së brendshme dhe të huaj.</w:t>
      </w:r>
    </w:p>
    <w:p w:rsidR="001F1FBB" w:rsidRDefault="001F1FBB" w:rsidP="00D63B53">
      <w:pPr>
        <w:spacing w:line="276" w:lineRule="auto"/>
        <w:jc w:val="both"/>
      </w:pPr>
    </w:p>
    <w:p w:rsidR="009A6792" w:rsidRDefault="001F1FBB" w:rsidP="009A6792">
      <w:pPr>
        <w:spacing w:line="276" w:lineRule="auto"/>
        <w:jc w:val="both"/>
        <w:rPr>
          <w:lang w:val="sq-AL"/>
        </w:rPr>
      </w:pPr>
      <w:r w:rsidRPr="00B60357">
        <w:rPr>
          <w:b/>
          <w:lang w:val="sq-AL"/>
        </w:rPr>
        <w:t>Defi</w:t>
      </w:r>
      <w:r w:rsidR="00453B2E" w:rsidRPr="00B60357">
        <w:rPr>
          <w:b/>
          <w:lang w:val="sq-AL"/>
        </w:rPr>
        <w:t>ç</w:t>
      </w:r>
      <w:r w:rsidRPr="00B60357">
        <w:rPr>
          <w:b/>
          <w:lang w:val="sq-AL"/>
        </w:rPr>
        <w:t>iti buxhetor për vitin 2018</w:t>
      </w:r>
      <w:r w:rsidRPr="00B60357">
        <w:rPr>
          <w:lang w:val="sq-AL"/>
        </w:rPr>
        <w:t xml:space="preserve"> planifikohet të jetë në nivelin 2.0% të PBB. Për të tretin vit rradhazi balanca primare parashikohet të jetë pozitive në nivelin 0.6% duke synuar</w:t>
      </w:r>
      <w:r w:rsidRPr="001F1FBB">
        <w:rPr>
          <w:lang w:val="sq-AL"/>
        </w:rPr>
        <w:t xml:space="preserve"> mbajtjen e borxhit në trajektoren rënëse për të dytin vit radhazi. Rrjedhimisht, niveli i borxhit publik të targetuar, do të ulet me </w:t>
      </w:r>
      <w:r w:rsidRPr="00B60357">
        <w:rPr>
          <w:lang w:val="sq-AL"/>
        </w:rPr>
        <w:t>rreth 2.5 pikë përqindje</w:t>
      </w:r>
      <w:r w:rsidR="00FB0FD2" w:rsidRPr="00B60357">
        <w:rPr>
          <w:lang w:val="sq-AL"/>
        </w:rPr>
        <w:t>, duke arritur n</w:t>
      </w:r>
      <w:r w:rsidR="00DB7941" w:rsidRPr="00B60357">
        <w:rPr>
          <w:lang w:val="sq-AL"/>
        </w:rPr>
        <w:t>ë</w:t>
      </w:r>
      <w:r w:rsidR="00FB0FD2" w:rsidRPr="00B60357">
        <w:rPr>
          <w:lang w:val="sq-AL"/>
        </w:rPr>
        <w:t xml:space="preserve"> nivelin 68.6% t</w:t>
      </w:r>
      <w:r w:rsidR="00DB7941" w:rsidRPr="00B60357">
        <w:rPr>
          <w:lang w:val="sq-AL"/>
        </w:rPr>
        <w:t>ë</w:t>
      </w:r>
      <w:r w:rsidR="00FB0FD2" w:rsidRPr="00B60357">
        <w:rPr>
          <w:lang w:val="sq-AL"/>
        </w:rPr>
        <w:t xml:space="preserve"> PBB</w:t>
      </w:r>
      <w:r w:rsidRPr="00B60357">
        <w:rPr>
          <w:lang w:val="sq-AL"/>
        </w:rPr>
        <w:t xml:space="preserve"> dhe do të vijojë këtë trend rënës në periudhën afatmesme</w:t>
      </w:r>
      <w:r w:rsidRPr="001F1FBB">
        <w:rPr>
          <w:lang w:val="sq-AL"/>
        </w:rPr>
        <w:t xml:space="preserve"> dhe afatgjatë.</w:t>
      </w:r>
      <w:r w:rsidR="009A6792">
        <w:rPr>
          <w:lang w:val="sq-AL"/>
        </w:rPr>
        <w:t xml:space="preserve"> </w:t>
      </w:r>
      <w:r w:rsidR="009A6792" w:rsidRPr="009A6792">
        <w:rPr>
          <w:lang w:val="sq-AL"/>
        </w:rPr>
        <w:t>Financimi i defi</w:t>
      </w:r>
      <w:r w:rsidR="009A6792">
        <w:rPr>
          <w:lang w:val="sq-AL"/>
        </w:rPr>
        <w:t>ç</w:t>
      </w:r>
      <w:r w:rsidR="009A6792" w:rsidRPr="009A6792">
        <w:rPr>
          <w:lang w:val="sq-AL"/>
        </w:rPr>
        <w:t>itit do të realizohet nëpërmjet huamarrjes së brendshme dhe asaj të huaj</w:t>
      </w:r>
      <w:r w:rsidR="009A6792">
        <w:rPr>
          <w:lang w:val="sq-AL"/>
        </w:rPr>
        <w:t>,</w:t>
      </w:r>
      <w:r w:rsidR="009A6792" w:rsidRPr="009A6792">
        <w:rPr>
          <w:lang w:val="sq-AL"/>
        </w:rPr>
        <w:t xml:space="preserve"> e cila do të bazohet</w:t>
      </w:r>
      <w:r w:rsidR="00642C87">
        <w:rPr>
          <w:lang w:val="sq-AL"/>
        </w:rPr>
        <w:t xml:space="preserve"> tek </w:t>
      </w:r>
      <w:r w:rsidR="009A6792" w:rsidRPr="009A6792">
        <w:rPr>
          <w:lang w:val="sq-AL"/>
        </w:rPr>
        <w:t>huatë me terma pjesërisht të favorshme në kuadër të financimit të projekteve prioritare të Qeverisë, huatë me terma të favorshme në kuadër të mbështetjes së politikave zhvillimore të ndërmarra nga Qeveria dhe huamarrja me terma tregtare</w:t>
      </w:r>
      <w:r w:rsidR="00642C87">
        <w:rPr>
          <w:lang w:val="sq-AL"/>
        </w:rPr>
        <w:t>,</w:t>
      </w:r>
      <w:r w:rsidR="009A6792" w:rsidRPr="009A6792">
        <w:rPr>
          <w:lang w:val="sq-AL"/>
        </w:rPr>
        <w:t xml:space="preserve"> në rast se kushtet e tregjeve financiare do të jenë optimale.</w:t>
      </w:r>
      <w:r w:rsidR="009A6792" w:rsidRPr="00C576E4">
        <w:rPr>
          <w:lang w:val="sq-AL"/>
        </w:rPr>
        <w:t xml:space="preserve">  </w:t>
      </w:r>
    </w:p>
    <w:p w:rsidR="00D63B53" w:rsidRDefault="00D63B53" w:rsidP="00D63B53">
      <w:pPr>
        <w:spacing w:line="276" w:lineRule="auto"/>
        <w:jc w:val="both"/>
        <w:rPr>
          <w:b/>
        </w:rPr>
      </w:pPr>
    </w:p>
    <w:p w:rsidR="00515426" w:rsidRDefault="00642C87" w:rsidP="00D63B53">
      <w:pPr>
        <w:spacing w:line="276" w:lineRule="auto"/>
        <w:jc w:val="both"/>
        <w:rPr>
          <w:b/>
          <w:lang w:val="sq-AL"/>
        </w:rPr>
      </w:pPr>
      <w:r w:rsidRPr="00515426">
        <w:rPr>
          <w:b/>
        </w:rPr>
        <w:t>Projektbuxheti 2018 do të ketë më shumë burime në dispozicion si rezultat i politikave fiskale</w:t>
      </w:r>
      <w:r>
        <w:t xml:space="preserve"> të cilat do të vazhdojnë të bazohen në taksimin e ndershëm dhe uljen e informalitetit në të njëjtën kohë që synon nxitjen e investimeve private strategjike në sektorët prioritarë. Thellimit dhe zgjerimit të luftës kundër informalitetit, do të synojë</w:t>
      </w:r>
      <w:r w:rsidRPr="000B75B0">
        <w:t xml:space="preserve"> formalizimin e</w:t>
      </w:r>
      <w:r>
        <w:t xml:space="preserve"> mëtejshëm të</w:t>
      </w:r>
      <w:r w:rsidRPr="000B75B0">
        <w:t xml:space="preserve"> tregut</w:t>
      </w:r>
      <w:r>
        <w:t xml:space="preserve"> si</w:t>
      </w:r>
      <w:r w:rsidRPr="000B75B0">
        <w:t xml:space="preserve"> dhe r</w:t>
      </w:r>
      <w:r>
        <w:t xml:space="preserve">ritjen e të hyrave të buxhetit </w:t>
      </w:r>
      <w:r w:rsidRPr="000B75B0">
        <w:t>q</w:t>
      </w:r>
      <w:r>
        <w:t>ë</w:t>
      </w:r>
      <w:r w:rsidRPr="000B75B0">
        <w:t xml:space="preserve"> do gjenerohen nga </w:t>
      </w:r>
      <w:proofErr w:type="gramStart"/>
      <w:r w:rsidRPr="000B75B0">
        <w:t>respektimi  dhe</w:t>
      </w:r>
      <w:proofErr w:type="gramEnd"/>
      <w:r w:rsidRPr="000B75B0">
        <w:t xml:space="preserve"> zbatimi i sistemit tatimor ne fuqi.</w:t>
      </w:r>
      <w:r>
        <w:t xml:space="preserve"> Fokus të veçantë do të ketë </w:t>
      </w:r>
      <w:r>
        <w:rPr>
          <w:lang w:val="sq-AL"/>
        </w:rPr>
        <w:t>t</w:t>
      </w:r>
      <w:r w:rsidRPr="000B75B0">
        <w:rPr>
          <w:lang w:val="sq-AL"/>
        </w:rPr>
        <w:t>aksa mbi pasurit</w:t>
      </w:r>
      <w:r>
        <w:rPr>
          <w:lang w:val="sq-AL"/>
        </w:rPr>
        <w:t>ë</w:t>
      </w:r>
      <w:r w:rsidRPr="000B75B0">
        <w:rPr>
          <w:lang w:val="sq-AL"/>
        </w:rPr>
        <w:t xml:space="preserve"> e paluajtshme </w:t>
      </w:r>
      <w:r>
        <w:rPr>
          <w:lang w:val="sq-AL"/>
        </w:rPr>
        <w:t xml:space="preserve">ku Shqipëria mbetet mbrapa vendeve të rajonit </w:t>
      </w:r>
      <w:r w:rsidRPr="000B75B0">
        <w:rPr>
          <w:lang w:val="sq-AL"/>
        </w:rPr>
        <w:t xml:space="preserve">dhe vendeve </w:t>
      </w:r>
      <w:r>
        <w:rPr>
          <w:lang w:val="sq-AL"/>
        </w:rPr>
        <w:t>të BE si një burim i rëndësishëm i të ardhurave të qeverive vendore dhe rregullator i tregut.</w:t>
      </w:r>
    </w:p>
    <w:p w:rsidR="00642C87" w:rsidRDefault="00642C87" w:rsidP="00D63B53">
      <w:pPr>
        <w:spacing w:line="276" w:lineRule="auto"/>
        <w:jc w:val="both"/>
        <w:rPr>
          <w:b/>
          <w:lang w:val="sq-AL"/>
        </w:rPr>
      </w:pPr>
    </w:p>
    <w:p w:rsidR="00D63B53" w:rsidRDefault="00245DA6" w:rsidP="00D63B53">
      <w:pPr>
        <w:spacing w:line="276" w:lineRule="auto"/>
        <w:jc w:val="both"/>
        <w:rPr>
          <w:lang w:val="sq-AL"/>
        </w:rPr>
      </w:pPr>
      <w:r w:rsidRPr="00515426">
        <w:rPr>
          <w:b/>
          <w:lang w:val="sq-AL"/>
        </w:rPr>
        <w:t>S</w:t>
      </w:r>
      <w:r w:rsidR="00D63B53" w:rsidRPr="00515426">
        <w:rPr>
          <w:b/>
          <w:lang w:val="sq-AL"/>
        </w:rPr>
        <w:t>hpenzimet Buxhetore për periudhën 2018-202</w:t>
      </w:r>
      <w:r w:rsidR="00642C87">
        <w:rPr>
          <w:b/>
          <w:lang w:val="sq-AL"/>
        </w:rPr>
        <w:t>0</w:t>
      </w:r>
      <w:r w:rsidR="00D63B53" w:rsidRPr="00515426">
        <w:rPr>
          <w:lang w:val="sq-AL"/>
        </w:rPr>
        <w:t>,</w:t>
      </w:r>
      <w:r w:rsidR="00D63B53">
        <w:rPr>
          <w:lang w:val="sq-AL"/>
        </w:rPr>
        <w:t xml:space="preserve"> p</w:t>
      </w:r>
      <w:r w:rsidR="00D63B53" w:rsidRPr="00B07E0E">
        <w:rPr>
          <w:lang w:val="sq-AL"/>
        </w:rPr>
        <w:t>avarësisht konsolidimit fiskal i cili mbetet një angazhim serioz i Qeverisë për mandatin e saj qeverisës 2017-2021, do t</w:t>
      </w:r>
      <w:r w:rsidR="00D63B53">
        <w:rPr>
          <w:lang w:val="sq-AL"/>
        </w:rPr>
        <w:t>ë</w:t>
      </w:r>
      <w:r w:rsidR="00D63B53" w:rsidRPr="00B07E0E">
        <w:rPr>
          <w:lang w:val="sq-AL"/>
        </w:rPr>
        <w:t xml:space="preserve"> vijojnë të mbështesin një nivel të lartë investimesh publike në nivelin mesatar </w:t>
      </w:r>
      <w:r w:rsidR="00D63B53" w:rsidRPr="00021554">
        <w:rPr>
          <w:lang w:val="sq-AL"/>
        </w:rPr>
        <w:t>prej 5% të PBB,</w:t>
      </w:r>
      <w:r w:rsidR="00D63B53" w:rsidRPr="00B07E0E">
        <w:rPr>
          <w:lang w:val="sq-AL"/>
        </w:rPr>
        <w:t xml:space="preserve"> duke e orientuar atë drejt financimit të projekteve të rëndësishme strategjike të rrugëve nacionale, ujit të pijshëm, shëndetësi, arsim dhe bujqësi. </w:t>
      </w:r>
      <w:r w:rsidR="00642C87">
        <w:rPr>
          <w:lang w:val="sq-AL"/>
        </w:rPr>
        <w:t>Kjo do të arrihet p</w:t>
      </w:r>
      <w:r w:rsidR="00642C87" w:rsidRPr="00B07E0E">
        <w:rPr>
          <w:lang w:val="sq-AL"/>
        </w:rPr>
        <w:t>avarësisht konsolidimit fiskal i cili mbetet një angazhim serioz i Qeverisë për mandatin e saj qeverisës 2017-2021</w:t>
      </w:r>
      <w:r w:rsidR="00642C87">
        <w:rPr>
          <w:lang w:val="sq-AL"/>
        </w:rPr>
        <w:t xml:space="preserve">. </w:t>
      </w:r>
      <w:r>
        <w:rPr>
          <w:lang w:val="sq-AL"/>
        </w:rPr>
        <w:t>Rijet</w:t>
      </w:r>
      <w:r w:rsidR="00DB7941">
        <w:rPr>
          <w:lang w:val="sq-AL"/>
        </w:rPr>
        <w:t>ë</w:t>
      </w:r>
      <w:r>
        <w:rPr>
          <w:lang w:val="sq-AL"/>
        </w:rPr>
        <w:t>zimi rural do t</w:t>
      </w:r>
      <w:r w:rsidR="00DB7941">
        <w:rPr>
          <w:lang w:val="sq-AL"/>
        </w:rPr>
        <w:t>ë</w:t>
      </w:r>
      <w:r>
        <w:rPr>
          <w:lang w:val="sq-AL"/>
        </w:rPr>
        <w:t xml:space="preserve"> jet</w:t>
      </w:r>
      <w:r w:rsidR="00DB7941">
        <w:rPr>
          <w:lang w:val="sq-AL"/>
        </w:rPr>
        <w:t>ë</w:t>
      </w:r>
      <w:r>
        <w:rPr>
          <w:lang w:val="sq-AL"/>
        </w:rPr>
        <w:t xml:space="preserve"> fokusi kryesor i mb</w:t>
      </w:r>
      <w:r w:rsidR="00DB7941">
        <w:rPr>
          <w:lang w:val="sq-AL"/>
        </w:rPr>
        <w:t>ë</w:t>
      </w:r>
      <w:r>
        <w:rPr>
          <w:lang w:val="sq-AL"/>
        </w:rPr>
        <w:t>shtetjes s</w:t>
      </w:r>
      <w:r w:rsidR="00DB7941">
        <w:rPr>
          <w:lang w:val="sq-AL"/>
        </w:rPr>
        <w:t>ë</w:t>
      </w:r>
      <w:r>
        <w:rPr>
          <w:lang w:val="sq-AL"/>
        </w:rPr>
        <w:t xml:space="preserve"> qeveris</w:t>
      </w:r>
      <w:r w:rsidR="00DB7941">
        <w:rPr>
          <w:lang w:val="sq-AL"/>
        </w:rPr>
        <w:t>ë</w:t>
      </w:r>
      <w:r>
        <w:rPr>
          <w:lang w:val="sq-AL"/>
        </w:rPr>
        <w:t xml:space="preserve"> p</w:t>
      </w:r>
      <w:r w:rsidR="00DB7941">
        <w:rPr>
          <w:lang w:val="sq-AL"/>
        </w:rPr>
        <w:t>ë</w:t>
      </w:r>
      <w:r>
        <w:rPr>
          <w:lang w:val="sq-AL"/>
        </w:rPr>
        <w:t>r zhvillimin rajonal n</w:t>
      </w:r>
      <w:r w:rsidR="00DB7941">
        <w:rPr>
          <w:lang w:val="sq-AL"/>
        </w:rPr>
        <w:t>ë</w:t>
      </w:r>
      <w:r>
        <w:rPr>
          <w:lang w:val="sq-AL"/>
        </w:rPr>
        <w:t xml:space="preserve"> k</w:t>
      </w:r>
      <w:r w:rsidR="00DB7941">
        <w:rPr>
          <w:lang w:val="sq-AL"/>
        </w:rPr>
        <w:t>ë</w:t>
      </w:r>
      <w:r>
        <w:rPr>
          <w:lang w:val="sq-AL"/>
        </w:rPr>
        <w:t>t</w:t>
      </w:r>
      <w:r w:rsidR="00DB7941">
        <w:rPr>
          <w:lang w:val="sq-AL"/>
        </w:rPr>
        <w:t>ë</w:t>
      </w:r>
      <w:r>
        <w:rPr>
          <w:lang w:val="sq-AL"/>
        </w:rPr>
        <w:t xml:space="preserve"> mandat kat</w:t>
      </w:r>
      <w:r w:rsidR="00DB7941">
        <w:rPr>
          <w:lang w:val="sq-AL"/>
        </w:rPr>
        <w:t>ë</w:t>
      </w:r>
      <w:r>
        <w:rPr>
          <w:lang w:val="sq-AL"/>
        </w:rPr>
        <w:t xml:space="preserve">rvjeçar. </w:t>
      </w:r>
      <w:r w:rsidR="00515426">
        <w:rPr>
          <w:lang w:val="sq-AL"/>
        </w:rPr>
        <w:t>P</w:t>
      </w:r>
      <w:r w:rsidR="00DB7941">
        <w:rPr>
          <w:lang w:val="sq-AL"/>
        </w:rPr>
        <w:t>ë</w:t>
      </w:r>
      <w:r w:rsidR="00515426">
        <w:rPr>
          <w:lang w:val="sq-AL"/>
        </w:rPr>
        <w:t>r k</w:t>
      </w:r>
      <w:r w:rsidR="00DB7941">
        <w:rPr>
          <w:lang w:val="sq-AL"/>
        </w:rPr>
        <w:t>ë</w:t>
      </w:r>
      <w:r w:rsidR="00515426">
        <w:rPr>
          <w:lang w:val="sq-AL"/>
        </w:rPr>
        <w:t>t</w:t>
      </w:r>
      <w:r w:rsidR="00DB7941">
        <w:rPr>
          <w:lang w:val="sq-AL"/>
        </w:rPr>
        <w:t>ë</w:t>
      </w:r>
      <w:r w:rsidR="00515426">
        <w:rPr>
          <w:lang w:val="sq-AL"/>
        </w:rPr>
        <w:t xml:space="preserve"> q</w:t>
      </w:r>
      <w:r w:rsidR="00DB7941">
        <w:rPr>
          <w:lang w:val="sq-AL"/>
        </w:rPr>
        <w:t>ë</w:t>
      </w:r>
      <w:r w:rsidR="00515426">
        <w:rPr>
          <w:lang w:val="sq-AL"/>
        </w:rPr>
        <w:t>llim, synohet p</w:t>
      </w:r>
      <w:r w:rsidR="00DB7941">
        <w:rPr>
          <w:lang w:val="sq-AL"/>
        </w:rPr>
        <w:t>ë</w:t>
      </w:r>
      <w:r w:rsidR="00515426">
        <w:rPr>
          <w:lang w:val="sq-AL"/>
        </w:rPr>
        <w:t>rfshirja aktive e nj</w:t>
      </w:r>
      <w:r w:rsidR="00DB7941">
        <w:rPr>
          <w:lang w:val="sq-AL"/>
        </w:rPr>
        <w:t>ë</w:t>
      </w:r>
      <w:r w:rsidR="00515426">
        <w:rPr>
          <w:lang w:val="sq-AL"/>
        </w:rPr>
        <w:t>sive t</w:t>
      </w:r>
      <w:r w:rsidR="00DB7941">
        <w:rPr>
          <w:lang w:val="sq-AL"/>
        </w:rPr>
        <w:t>ë</w:t>
      </w:r>
      <w:r w:rsidR="00515426">
        <w:rPr>
          <w:lang w:val="sq-AL"/>
        </w:rPr>
        <w:t xml:space="preserve"> qeverisjes vendore n</w:t>
      </w:r>
      <w:r w:rsidR="00DB7941">
        <w:rPr>
          <w:lang w:val="sq-AL"/>
        </w:rPr>
        <w:t>ë</w:t>
      </w:r>
      <w:r w:rsidR="00515426">
        <w:rPr>
          <w:lang w:val="sq-AL"/>
        </w:rPr>
        <w:t>p</w:t>
      </w:r>
      <w:r w:rsidR="00DB7941">
        <w:rPr>
          <w:lang w:val="sq-AL"/>
        </w:rPr>
        <w:t>ë</w:t>
      </w:r>
      <w:r w:rsidR="00515426">
        <w:rPr>
          <w:lang w:val="sq-AL"/>
        </w:rPr>
        <w:t>rmjet mekanizmit t</w:t>
      </w:r>
      <w:r w:rsidR="00DB7941">
        <w:rPr>
          <w:lang w:val="sq-AL"/>
        </w:rPr>
        <w:t>ë</w:t>
      </w:r>
      <w:r w:rsidR="00515426">
        <w:rPr>
          <w:lang w:val="sq-AL"/>
        </w:rPr>
        <w:t xml:space="preserve"> bashk</w:t>
      </w:r>
      <w:r w:rsidR="00DB7941">
        <w:rPr>
          <w:lang w:val="sq-AL"/>
        </w:rPr>
        <w:t>ë</w:t>
      </w:r>
      <w:r w:rsidR="00515426">
        <w:rPr>
          <w:lang w:val="sq-AL"/>
        </w:rPr>
        <w:t>financimit i cili jo vet</w:t>
      </w:r>
      <w:r w:rsidR="00DB7941">
        <w:rPr>
          <w:lang w:val="sq-AL"/>
        </w:rPr>
        <w:t>ë</w:t>
      </w:r>
      <w:r w:rsidR="00515426">
        <w:rPr>
          <w:lang w:val="sq-AL"/>
        </w:rPr>
        <w:t>m rrit nivelin e financimit t</w:t>
      </w:r>
      <w:r w:rsidR="00DB7941">
        <w:rPr>
          <w:lang w:val="sq-AL"/>
        </w:rPr>
        <w:t>ë</w:t>
      </w:r>
      <w:r w:rsidR="00515426">
        <w:rPr>
          <w:lang w:val="sq-AL"/>
        </w:rPr>
        <w:t xml:space="preserve"> projekteve n</w:t>
      </w:r>
      <w:r w:rsidR="00DB7941">
        <w:rPr>
          <w:lang w:val="sq-AL"/>
        </w:rPr>
        <w:t>ë</w:t>
      </w:r>
      <w:r w:rsidR="00515426">
        <w:rPr>
          <w:lang w:val="sq-AL"/>
        </w:rPr>
        <w:t xml:space="preserve"> sh</w:t>
      </w:r>
      <w:r w:rsidR="00DB7941">
        <w:rPr>
          <w:lang w:val="sq-AL"/>
        </w:rPr>
        <w:t>ë</w:t>
      </w:r>
      <w:r w:rsidR="00515426">
        <w:rPr>
          <w:lang w:val="sq-AL"/>
        </w:rPr>
        <w:t>rbim t</w:t>
      </w:r>
      <w:r w:rsidR="00DB7941">
        <w:rPr>
          <w:lang w:val="sq-AL"/>
        </w:rPr>
        <w:t>ë</w:t>
      </w:r>
      <w:r w:rsidR="00515426">
        <w:rPr>
          <w:lang w:val="sq-AL"/>
        </w:rPr>
        <w:t xml:space="preserve"> komunitetit por edhe nivelin e angazhimit t</w:t>
      </w:r>
      <w:r w:rsidR="00DB7941">
        <w:rPr>
          <w:lang w:val="sq-AL"/>
        </w:rPr>
        <w:t>ë</w:t>
      </w:r>
      <w:r w:rsidR="00515426">
        <w:rPr>
          <w:lang w:val="sq-AL"/>
        </w:rPr>
        <w:t xml:space="preserve"> vet</w:t>
      </w:r>
      <w:r w:rsidR="00DB7941">
        <w:rPr>
          <w:lang w:val="sq-AL"/>
        </w:rPr>
        <w:t>ë</w:t>
      </w:r>
      <w:r w:rsidR="00515426">
        <w:rPr>
          <w:lang w:val="sq-AL"/>
        </w:rPr>
        <w:t xml:space="preserve"> nj</w:t>
      </w:r>
      <w:r w:rsidR="00DB7941">
        <w:rPr>
          <w:lang w:val="sq-AL"/>
        </w:rPr>
        <w:t>ë</w:t>
      </w:r>
      <w:r w:rsidR="00515426">
        <w:rPr>
          <w:lang w:val="sq-AL"/>
        </w:rPr>
        <w:t>sive t</w:t>
      </w:r>
      <w:r w:rsidR="00DB7941">
        <w:rPr>
          <w:lang w:val="sq-AL"/>
        </w:rPr>
        <w:t>ë</w:t>
      </w:r>
      <w:r w:rsidR="00515426">
        <w:rPr>
          <w:lang w:val="sq-AL"/>
        </w:rPr>
        <w:t xml:space="preserve"> vet</w:t>
      </w:r>
      <w:r w:rsidR="00DB7941">
        <w:rPr>
          <w:lang w:val="sq-AL"/>
        </w:rPr>
        <w:t>ë</w:t>
      </w:r>
      <w:r w:rsidR="00515426">
        <w:rPr>
          <w:lang w:val="sq-AL"/>
        </w:rPr>
        <w:t>qeverisjes vendore p</w:t>
      </w:r>
      <w:r w:rsidR="00DB7941">
        <w:rPr>
          <w:lang w:val="sq-AL"/>
        </w:rPr>
        <w:t>ë</w:t>
      </w:r>
      <w:r w:rsidR="00515426">
        <w:rPr>
          <w:lang w:val="sq-AL"/>
        </w:rPr>
        <w:t>r t</w:t>
      </w:r>
      <w:r w:rsidR="00DB7941">
        <w:rPr>
          <w:lang w:val="sq-AL"/>
        </w:rPr>
        <w:t>ë</w:t>
      </w:r>
      <w:r w:rsidR="00515426">
        <w:rPr>
          <w:lang w:val="sq-AL"/>
        </w:rPr>
        <w:t xml:space="preserve"> zgjeruar m</w:t>
      </w:r>
      <w:r w:rsidR="00DB7941">
        <w:rPr>
          <w:lang w:val="sq-AL"/>
        </w:rPr>
        <w:t>ë</w:t>
      </w:r>
      <w:r w:rsidR="00515426">
        <w:rPr>
          <w:lang w:val="sq-AL"/>
        </w:rPr>
        <w:t xml:space="preserve"> tej dhe p</w:t>
      </w:r>
      <w:r w:rsidR="00DB7941">
        <w:rPr>
          <w:lang w:val="sq-AL"/>
        </w:rPr>
        <w:t>ë</w:t>
      </w:r>
      <w:r w:rsidR="00515426">
        <w:rPr>
          <w:lang w:val="sq-AL"/>
        </w:rPr>
        <w:t>r t</w:t>
      </w:r>
      <w:r w:rsidR="00DB7941">
        <w:rPr>
          <w:lang w:val="sq-AL"/>
        </w:rPr>
        <w:t>ë</w:t>
      </w:r>
      <w:r w:rsidR="00515426">
        <w:rPr>
          <w:lang w:val="sq-AL"/>
        </w:rPr>
        <w:t xml:space="preserve"> mir</w:t>
      </w:r>
      <w:r w:rsidR="00DB7941">
        <w:rPr>
          <w:lang w:val="sq-AL"/>
        </w:rPr>
        <w:t>ë</w:t>
      </w:r>
      <w:r w:rsidR="00515426">
        <w:rPr>
          <w:lang w:val="sq-AL"/>
        </w:rPr>
        <w:t>mbajtur asetet e p</w:t>
      </w:r>
      <w:r w:rsidR="00DB7941">
        <w:rPr>
          <w:lang w:val="sq-AL"/>
        </w:rPr>
        <w:t>ë</w:t>
      </w:r>
      <w:r w:rsidR="00515426">
        <w:rPr>
          <w:lang w:val="sq-AL"/>
        </w:rPr>
        <w:t>rftuara nga k</w:t>
      </w:r>
      <w:r w:rsidR="00DB7941">
        <w:rPr>
          <w:lang w:val="sq-AL"/>
        </w:rPr>
        <w:t>ë</w:t>
      </w:r>
      <w:r w:rsidR="00515426">
        <w:rPr>
          <w:lang w:val="sq-AL"/>
        </w:rPr>
        <w:t xml:space="preserve">to projekte. </w:t>
      </w:r>
      <w:r>
        <w:rPr>
          <w:lang w:val="sq-AL"/>
        </w:rPr>
        <w:t xml:space="preserve">  </w:t>
      </w:r>
    </w:p>
    <w:p w:rsidR="00515426" w:rsidRDefault="00515426" w:rsidP="00D63B53">
      <w:pPr>
        <w:spacing w:line="276" w:lineRule="auto"/>
        <w:jc w:val="both"/>
        <w:rPr>
          <w:b/>
          <w:lang w:val="sq-AL"/>
        </w:rPr>
      </w:pPr>
    </w:p>
    <w:p w:rsidR="00642C87" w:rsidRPr="00D94792" w:rsidRDefault="00642C87" w:rsidP="00642C87">
      <w:pPr>
        <w:spacing w:line="276" w:lineRule="auto"/>
        <w:jc w:val="both"/>
        <w:rPr>
          <w:highlight w:val="yellow"/>
          <w:lang w:val="sq-AL"/>
        </w:rPr>
      </w:pPr>
      <w:r w:rsidRPr="007D2633">
        <w:rPr>
          <w:b/>
          <w:lang w:val="sq-AL"/>
        </w:rPr>
        <w:t xml:space="preserve">Projektbuxheti 2018 garanton vazhdimin e mbështetjes financiare për zbatimin e </w:t>
      </w:r>
      <w:r w:rsidR="007D2633" w:rsidRPr="007D2633">
        <w:rPr>
          <w:b/>
          <w:lang w:val="sq-AL"/>
        </w:rPr>
        <w:t>pesë</w:t>
      </w:r>
      <w:r w:rsidRPr="007D2633">
        <w:rPr>
          <w:b/>
          <w:lang w:val="sq-AL"/>
        </w:rPr>
        <w:t xml:space="preserve"> reformave </w:t>
      </w:r>
      <w:r w:rsidRPr="009A6792">
        <w:rPr>
          <w:lang w:val="sq-AL"/>
        </w:rPr>
        <w:t>në sektorë kyç të ekonomisë: reforma e ujit, reforma në drejtësi, reforma në administratën publike</w:t>
      </w:r>
      <w:r>
        <w:rPr>
          <w:lang w:val="sq-AL"/>
        </w:rPr>
        <w:t xml:space="preserve">, </w:t>
      </w:r>
      <w:r w:rsidRPr="009A6792">
        <w:rPr>
          <w:lang w:val="sq-AL"/>
        </w:rPr>
        <w:t>reforma e menaxhimit t</w:t>
      </w:r>
      <w:r>
        <w:rPr>
          <w:lang w:val="sq-AL"/>
        </w:rPr>
        <w:t>ë</w:t>
      </w:r>
      <w:r w:rsidRPr="009A6792">
        <w:rPr>
          <w:lang w:val="sq-AL"/>
        </w:rPr>
        <w:t xml:space="preserve"> financave publike</w:t>
      </w:r>
      <w:r>
        <w:rPr>
          <w:lang w:val="sq-AL"/>
        </w:rPr>
        <w:t xml:space="preserve"> dhe reforma administrative-territoriale</w:t>
      </w:r>
      <w:r w:rsidRPr="009A6792">
        <w:rPr>
          <w:lang w:val="sq-AL"/>
        </w:rPr>
        <w:t xml:space="preserve"> të cilat, së bashku me reformat </w:t>
      </w:r>
      <w:r w:rsidR="007D2633">
        <w:rPr>
          <w:lang w:val="sq-AL"/>
        </w:rPr>
        <w:t>e tjera të ndërmarra</w:t>
      </w:r>
      <w:r w:rsidRPr="009A6792">
        <w:rPr>
          <w:lang w:val="sq-AL"/>
        </w:rPr>
        <w:t xml:space="preserve">, do të jenë instrumente të rëndësishëm të realizimit të prioriteve të programit të Qeverisë në përputhje me interesat e qytetarëve për përmirësimin e nivelit të jetesës së tyre. </w:t>
      </w:r>
    </w:p>
    <w:p w:rsidR="00642C87" w:rsidRDefault="00642C87" w:rsidP="00D63B53">
      <w:pPr>
        <w:spacing w:line="276" w:lineRule="auto"/>
        <w:jc w:val="both"/>
        <w:rPr>
          <w:b/>
          <w:lang w:val="sq-AL"/>
        </w:rPr>
      </w:pPr>
    </w:p>
    <w:p w:rsidR="00642C87" w:rsidRPr="00642C87" w:rsidRDefault="00642C87" w:rsidP="00642C87">
      <w:pPr>
        <w:spacing w:line="276" w:lineRule="auto"/>
        <w:jc w:val="both"/>
        <w:rPr>
          <w:lang w:val="sq-AL"/>
        </w:rPr>
      </w:pPr>
      <w:r w:rsidRPr="00642C87">
        <w:rPr>
          <w:b/>
          <w:lang w:val="sq-AL"/>
        </w:rPr>
        <w:t>Buxheti Vendor</w:t>
      </w:r>
      <w:r w:rsidRPr="00642C87">
        <w:rPr>
          <w:lang w:val="sq-AL"/>
        </w:rPr>
        <w:t>, për herë të parë</w:t>
      </w:r>
      <w:r w:rsidR="00A620B2">
        <w:rPr>
          <w:lang w:val="sq-AL"/>
        </w:rPr>
        <w:t>,</w:t>
      </w:r>
      <w:r w:rsidRPr="00642C87">
        <w:rPr>
          <w:lang w:val="sq-AL"/>
        </w:rPr>
        <w:t xml:space="preserve"> si rezultat i zbatimit të ligjit të ri “Për financat e vetëqeverisjes vendore” i miratuar në prill të këtij viti, do të transferohet në nivel vendor 2 për qind e tatimit mbi të ardhurat personale. Gjithashtu, transferta e pakushtëzuar për njësitë e vetëqeverisjes vendore vetëm sipas këtij ligj </w:t>
      </w:r>
      <w:r w:rsidRPr="00642C87">
        <w:rPr>
          <w:lang w:val="sq-AL"/>
        </w:rPr>
        <w:lastRenderedPageBreak/>
        <w:t>do të jetë jo më pak se 1% e Produktit të Brendshëm Bruto, e cila në vlerë nominale përbën një rritje me rreth 3 miliardë lekë. Të ardhurat e njësive të vetëqeverisjes vendore për vitin 2018 pritet të jenë 9% më të larta se ato të vitit 2017 kryesisht bazuar në përmirësimin e taksës mbi pronën.  Pritshmëria është që kjo rritje e të ardhurave të shkojë e tëra në rritjen e investimeve publike të bashkive.</w:t>
      </w:r>
    </w:p>
    <w:p w:rsidR="00B0121D" w:rsidRPr="00D94792" w:rsidRDefault="00B0121D" w:rsidP="003C5B4B">
      <w:pPr>
        <w:spacing w:line="276" w:lineRule="auto"/>
        <w:jc w:val="both"/>
        <w:rPr>
          <w:highlight w:val="yellow"/>
          <w:lang w:val="sq-AL"/>
        </w:rPr>
      </w:pPr>
    </w:p>
    <w:p w:rsidR="00B0121D" w:rsidRPr="00D94792" w:rsidRDefault="00B0121D" w:rsidP="003C5B4B">
      <w:pPr>
        <w:spacing w:line="276" w:lineRule="auto"/>
        <w:jc w:val="both"/>
        <w:rPr>
          <w:highlight w:val="yellow"/>
          <w:lang w:val="sq-AL"/>
        </w:rPr>
      </w:pPr>
    </w:p>
    <w:p w:rsidR="00B0121D" w:rsidRPr="00D94792" w:rsidRDefault="00B0121D" w:rsidP="003C5B4B">
      <w:pPr>
        <w:spacing w:line="276" w:lineRule="auto"/>
        <w:jc w:val="both"/>
        <w:rPr>
          <w:highlight w:val="yellow"/>
          <w:lang w:val="sq-AL"/>
        </w:rPr>
      </w:pPr>
    </w:p>
    <w:p w:rsidR="00CB395B" w:rsidRPr="00D94792" w:rsidRDefault="00CB395B" w:rsidP="003C5B4B">
      <w:pPr>
        <w:spacing w:line="276" w:lineRule="auto"/>
        <w:jc w:val="both"/>
        <w:rPr>
          <w:highlight w:val="yellow"/>
          <w:lang w:val="sq-AL"/>
        </w:rPr>
      </w:pPr>
    </w:p>
    <w:p w:rsidR="00057989" w:rsidRPr="00D94792" w:rsidRDefault="00057989" w:rsidP="003C5B4B">
      <w:pPr>
        <w:spacing w:after="200" w:line="276" w:lineRule="auto"/>
        <w:rPr>
          <w:lang w:val="sq-AL"/>
        </w:rPr>
      </w:pPr>
      <w:r w:rsidRPr="00D94792">
        <w:rPr>
          <w:lang w:val="sq-AL"/>
        </w:rPr>
        <w:br w:type="page"/>
      </w:r>
    </w:p>
    <w:p w:rsidR="00B0121D" w:rsidRPr="00D94792" w:rsidRDefault="00B0121D" w:rsidP="003C5B4B">
      <w:pPr>
        <w:pStyle w:val="Heading1"/>
        <w:numPr>
          <w:ilvl w:val="0"/>
          <w:numId w:val="2"/>
        </w:numPr>
        <w:tabs>
          <w:tab w:val="clear" w:pos="5954"/>
          <w:tab w:val="center" w:pos="709"/>
        </w:tabs>
        <w:spacing w:line="276" w:lineRule="auto"/>
        <w:jc w:val="both"/>
        <w:rPr>
          <w:bCs/>
          <w:iCs/>
          <w:caps w:val="0"/>
          <w:sz w:val="28"/>
          <w:lang w:val="sq-AL"/>
        </w:rPr>
      </w:pPr>
      <w:bookmarkStart w:id="5" w:name="_Toc400699613"/>
      <w:bookmarkStart w:id="6" w:name="_Toc400699691"/>
      <w:bookmarkStart w:id="7" w:name="_Toc495672707"/>
      <w:bookmarkStart w:id="8" w:name="_Toc368565533"/>
      <w:bookmarkStart w:id="9" w:name="_Toc374018867"/>
      <w:bookmarkStart w:id="10" w:name="_Toc496520378"/>
      <w:bookmarkEnd w:id="0"/>
      <w:bookmarkEnd w:id="3"/>
      <w:r w:rsidRPr="00D94792">
        <w:rPr>
          <w:bCs/>
          <w:iCs/>
          <w:caps w:val="0"/>
          <w:sz w:val="28"/>
          <w:lang w:val="sq-AL"/>
        </w:rPr>
        <w:lastRenderedPageBreak/>
        <w:t>SITUATA EKONOMIKE</w:t>
      </w:r>
      <w:bookmarkEnd w:id="5"/>
      <w:bookmarkEnd w:id="6"/>
      <w:bookmarkEnd w:id="7"/>
      <w:bookmarkEnd w:id="10"/>
      <w:r w:rsidRPr="00D94792">
        <w:rPr>
          <w:bCs/>
          <w:iCs/>
          <w:caps w:val="0"/>
          <w:sz w:val="28"/>
          <w:lang w:val="sq-AL"/>
        </w:rPr>
        <w:t xml:space="preserve">    </w:t>
      </w:r>
    </w:p>
    <w:p w:rsidR="00B0121D" w:rsidRPr="00D94792" w:rsidRDefault="00B0121D" w:rsidP="003C5B4B">
      <w:pPr>
        <w:spacing w:line="276" w:lineRule="auto"/>
        <w:rPr>
          <w:lang w:val="sq-AL"/>
        </w:rPr>
      </w:pPr>
    </w:p>
    <w:p w:rsidR="00F53634" w:rsidRPr="00D94792" w:rsidRDefault="00F53634" w:rsidP="003C5B4B">
      <w:pPr>
        <w:pStyle w:val="Heading1"/>
        <w:numPr>
          <w:ilvl w:val="1"/>
          <w:numId w:val="2"/>
        </w:numPr>
        <w:tabs>
          <w:tab w:val="clear" w:pos="5954"/>
          <w:tab w:val="center" w:pos="709"/>
        </w:tabs>
        <w:spacing w:line="276" w:lineRule="auto"/>
        <w:jc w:val="both"/>
        <w:rPr>
          <w:bCs/>
          <w:iCs/>
          <w:caps w:val="0"/>
          <w:sz w:val="28"/>
          <w:lang w:val="sq-AL"/>
        </w:rPr>
      </w:pPr>
      <w:bookmarkStart w:id="11" w:name="_Toc495672708"/>
      <w:bookmarkStart w:id="12" w:name="_Toc496520379"/>
      <w:r w:rsidRPr="00D94792">
        <w:rPr>
          <w:bCs/>
          <w:iCs/>
          <w:caps w:val="0"/>
          <w:noProof/>
          <w:sz w:val="26"/>
          <w:szCs w:val="26"/>
          <w:lang w:val="sq-AL"/>
        </w:rPr>
        <w:t>ZHVILLIMET KRYESORE MAKROEKONOMIKE GJATË VITIT 2017</w:t>
      </w:r>
      <w:bookmarkEnd w:id="11"/>
      <w:bookmarkEnd w:id="12"/>
    </w:p>
    <w:p w:rsidR="00F53634" w:rsidRPr="00D94792" w:rsidRDefault="00F53634" w:rsidP="003C5B4B">
      <w:pPr>
        <w:spacing w:before="120" w:after="120" w:line="276" w:lineRule="auto"/>
        <w:jc w:val="both"/>
        <w:rPr>
          <w:lang w:val="sq-AL"/>
        </w:rPr>
      </w:pPr>
      <w:bookmarkStart w:id="13" w:name="_Toc465089720"/>
      <w:bookmarkStart w:id="14" w:name="_Toc465507364"/>
      <w:bookmarkStart w:id="15" w:name="_Toc465509158"/>
      <w:bookmarkStart w:id="16" w:name="_Toc401685482"/>
      <w:bookmarkEnd w:id="13"/>
      <w:bookmarkEnd w:id="14"/>
      <w:bookmarkEnd w:id="15"/>
      <w:r w:rsidRPr="00D94792">
        <w:rPr>
          <w:lang w:val="sq-AL"/>
        </w:rPr>
        <w:t xml:space="preserve">Nga tërësia e statistikave dhe informacioneve të disponueshme, duket se ekonomia vijon tashmë një trajektore përshpejtuese të rritjes. Referuar statistikave të llogarive kombëtare tremujore, rezulton një përshpejtim i rritjes ekonomike për gjashtëmujorin e parë të vitit 2017 në nivelin 4.0% nga 3.14% në po të njëjtën periudhë të 2016-ës, apo nga 3.4% të 2016-ës në tërësi.  Edhe midis tremujorëve të parë e të dytë të vitit 2017 rezulton një përshpejtim i rritjes ekonomike me norma rritje përkatësisht 3.94% dhe 4.06%. </w:t>
      </w:r>
    </w:p>
    <w:p w:rsidR="00F53634" w:rsidRPr="00D94792" w:rsidRDefault="00F53634" w:rsidP="003C5B4B">
      <w:pPr>
        <w:spacing w:before="120" w:after="120" w:line="276" w:lineRule="auto"/>
        <w:jc w:val="both"/>
        <w:rPr>
          <w:lang w:val="sq-AL"/>
        </w:rPr>
      </w:pPr>
      <w:r w:rsidRPr="00D94792">
        <w:rPr>
          <w:lang w:val="sq-AL"/>
        </w:rPr>
        <w:t xml:space="preserve">Nga </w:t>
      </w:r>
      <w:r w:rsidR="00A620B2">
        <w:rPr>
          <w:lang w:val="sq-AL"/>
        </w:rPr>
        <w:t>ana</w:t>
      </w:r>
      <w:r w:rsidRPr="00D94792">
        <w:rPr>
          <w:lang w:val="sq-AL"/>
        </w:rPr>
        <w:t xml:space="preserve"> e kërkesës, rritja në gjysmën e parë të vitit 2017 është gjeneruar kryesisht nga kërkesa e brendshme. Në gjysmën e parë të vitit 2017 konsumi regjistroi një rritje reale prej 2.1% duke vijuar të njëjtin trend të vitit 2016 me një rrit</w:t>
      </w:r>
      <w:r w:rsidR="00C61801">
        <w:rPr>
          <w:lang w:val="sq-AL"/>
        </w:rPr>
        <w:t>j</w:t>
      </w:r>
      <w:r w:rsidRPr="00D94792">
        <w:rPr>
          <w:lang w:val="sq-AL"/>
        </w:rPr>
        <w:t>e reale mesatare prej 2.8%. Gjithashtu edhe investimet kanë vijuar të regjistrojnë ritme relativisht të larta, të vëna re që prej tremujorit të tretë</w:t>
      </w:r>
      <w:r w:rsidR="00C61801">
        <w:rPr>
          <w:lang w:val="sq-AL"/>
        </w:rPr>
        <w:t xml:space="preserve"> </w:t>
      </w:r>
      <w:r w:rsidRPr="00D94792">
        <w:rPr>
          <w:lang w:val="sq-AL"/>
        </w:rPr>
        <w:t>të vitit 2015, ndonëse në gjysmën e parë të 2016, këto ritme të rritjes u ngadalësuan disi, përgjithësisht rrjedhojë e uljes së investimeve në industrinë nxjerrëse e lidhur kjo me konjukturat e çmimeve të karburanteve. Investimet për gjysmën e parë të 2017 u rritën me 12.6% në terma realë nga një rritje prej 6.18% të regjistruar në vitin 2016 në tërësi.</w:t>
      </w:r>
    </w:p>
    <w:p w:rsidR="00F53634" w:rsidRPr="00D94792" w:rsidRDefault="00F53634" w:rsidP="003C5B4B">
      <w:pPr>
        <w:spacing w:before="120" w:after="120" w:line="276" w:lineRule="auto"/>
        <w:jc w:val="both"/>
        <w:rPr>
          <w:lang w:val="sq-AL"/>
        </w:rPr>
      </w:pPr>
      <w:r w:rsidRPr="00D94792">
        <w:rPr>
          <w:lang w:val="sq-AL"/>
        </w:rPr>
        <w:t xml:space="preserve">Ndërkohë, kërkesa e huaj u rrit në terma real me 14.8% për gjysmën e parë të vitit 2017, e mundësuar nga një rritje e fortë e eksportit të mallrave në tremujorin e parë dhe një rritje e eksportit të shërbimeve në tremujorin e dytë.   </w:t>
      </w:r>
    </w:p>
    <w:p w:rsidR="00F53634" w:rsidRPr="00D94792" w:rsidRDefault="00F53634" w:rsidP="003C5B4B">
      <w:pPr>
        <w:spacing w:before="120" w:after="120" w:line="276" w:lineRule="auto"/>
        <w:jc w:val="both"/>
        <w:rPr>
          <w:lang w:val="sq-AL"/>
        </w:rPr>
      </w:pPr>
      <w:r w:rsidRPr="00D94792">
        <w:rPr>
          <w:lang w:val="sq-AL"/>
        </w:rPr>
        <w:t xml:space="preserve">Nga </w:t>
      </w:r>
      <w:r w:rsidR="00A620B2">
        <w:rPr>
          <w:lang w:val="sq-AL"/>
        </w:rPr>
        <w:t>ana</w:t>
      </w:r>
      <w:r w:rsidRPr="00D94792">
        <w:rPr>
          <w:lang w:val="sq-AL"/>
        </w:rPr>
        <w:t xml:space="preserve"> e ofertës, kontributin kryesor në rritjen e gjysmës së parë të vitit 2017 e dhanë degët: Ndërtimi me rritje reale 19.1% dhe kontribut 1.52 pikë përqindje; Aktivitete financiare dhe të sigurimit me rritje 13.16% dhe kontribut 0.4 pikë përqindje; Industria me rritje 5.1% dhe kontribut 0.6 pikë përqindje; si dhe </w:t>
      </w:r>
      <w:r w:rsidR="009A04D9">
        <w:rPr>
          <w:lang w:val="sq-AL"/>
        </w:rPr>
        <w:t>a</w:t>
      </w:r>
      <w:r w:rsidRPr="00D94792">
        <w:rPr>
          <w:lang w:val="sq-AL"/>
        </w:rPr>
        <w:t xml:space="preserve">dministrata publike dhe mbrojtja, arsimi dhe shëndetësia me rritje 4.1% dhe kontribut 0.5 pikë përqindje. Ndërkohë, rritje dhe kontribut negativ për gjysmën e parë të 2017 kishte dega Arte, argëtim dhe çlodhje. </w:t>
      </w:r>
    </w:p>
    <w:p w:rsidR="00F53634" w:rsidRPr="00D94792" w:rsidRDefault="00F53634" w:rsidP="003C5B4B">
      <w:pPr>
        <w:spacing w:before="120" w:after="120" w:line="276" w:lineRule="auto"/>
        <w:jc w:val="both"/>
        <w:rPr>
          <w:lang w:val="sq-AL"/>
        </w:rPr>
      </w:pPr>
      <w:r w:rsidRPr="00D94792">
        <w:rPr>
          <w:lang w:val="sq-AL"/>
        </w:rPr>
        <w:t xml:space="preserve">Përgjithësisht në linjë me përshpejtimin e vënë re në aktivitetin ekonomik rezulton edhe dinamika në tregun e punës. Sipas Anketës së Forcave të Punës, punësimi në gjysmën e parë të vitit 2017 u rrit me rreth 3.15%, kundrejt gjysmës së parë të vitit 2016, ndërkohë shkalla e papunësisë ka vijuar trendin e saj rënës që prej T1-2014 ku shënoi pikun prej 18.0%, duke zbritur gradualisht në rreth 14.3% në T2-2017 për popullsinë e moshës 15-64 vjeç. Në harkun kohor të një viti, pra krahasuar me tremujorin e dytë të vitit 2016 ku shkalla e papunësisë regjistronte nivelin 15.9%, rezulton një reduktim prej 1.6 pikë përqindje, i cili përbën gjithashtu një sinjal të rëndësishëm pozitiv sa i takon situatës ekonomike dhe pritshmërive në vijimësi. </w:t>
      </w:r>
    </w:p>
    <w:p w:rsidR="00F53634" w:rsidRPr="00D94792" w:rsidRDefault="00F53634" w:rsidP="003C5B4B">
      <w:pPr>
        <w:pStyle w:val="ListParagraph"/>
        <w:spacing w:before="120" w:after="120" w:line="276" w:lineRule="auto"/>
        <w:ind w:left="0"/>
        <w:jc w:val="both"/>
        <w:rPr>
          <w:rStyle w:val="MessageHeaderLabel"/>
          <w:lang w:val="sq-AL" w:eastAsia="ja-JP"/>
        </w:rPr>
      </w:pPr>
      <w:r w:rsidRPr="00D94792">
        <w:rPr>
          <w:lang w:val="sq-AL"/>
        </w:rPr>
        <w:t xml:space="preserve">Edhe treguesit e tjerë indirekt, në tërësi sinjalizojnë për një trend përshpejtues të ekonomisë. Ndër më kryesorët e treguesve indirekt, të cilët kanë njohur përmirësim konstant përfshirë edhe tremujorin e tretë të këtij viti, vlen të përmenden: </w:t>
      </w:r>
    </w:p>
    <w:p w:rsidR="00F53634" w:rsidRPr="00D94792" w:rsidRDefault="00F53634" w:rsidP="002C5B1B">
      <w:pPr>
        <w:pStyle w:val="Default"/>
        <w:numPr>
          <w:ilvl w:val="0"/>
          <w:numId w:val="31"/>
        </w:numPr>
        <w:adjustRightInd w:val="0"/>
        <w:spacing w:line="276" w:lineRule="auto"/>
        <w:jc w:val="both"/>
        <w:rPr>
          <w:lang w:eastAsia="ja-JP"/>
        </w:rPr>
      </w:pPr>
      <w:r w:rsidRPr="00D94792">
        <w:rPr>
          <w:i/>
        </w:rPr>
        <w:t>Treguesi i ndjesisë ekonomike (TNE)</w:t>
      </w:r>
      <w:r w:rsidRPr="00D94792">
        <w:t xml:space="preserve"> shënoi nivelin 113.8 në T3-2017 duke pësuar një rritje prej 1.8 pikësh nga tremujori i kaluar, ndërsa në krahasim me T3-2016 ka pësuar një përmirësim prej 8.4 pikë përqindje. Niveli aktual i TNE-së qëndron 13.8 pikë mbi mesataren afatgjatë</w:t>
      </w:r>
      <w:r w:rsidRPr="00D94792">
        <w:rPr>
          <w:rStyle w:val="FootnoteReference"/>
        </w:rPr>
        <w:footnoteReference w:id="1"/>
      </w:r>
      <w:r w:rsidRPr="00D94792">
        <w:t xml:space="preserve"> (në nivelin 100), dhe rreth 17.1 pikë përqindje mbi mesataren e 6 viteve të fundit (2011- T3_2017). Rritja e TNE-së reflektoi përmirësimin e besimit të bizneseve të tregtisë e ndërtimit, dhe besimit të konsumatorëve. Ndërkohë, nivelet e treguesve të besimit në shërbime dhe në industri rezultuan lehtësisht më të ulëta krahasuar me tremujorin e mëparshëm.</w:t>
      </w:r>
    </w:p>
    <w:p w:rsidR="00F53634" w:rsidRPr="00D94792" w:rsidRDefault="00F53634" w:rsidP="002C5B1B">
      <w:pPr>
        <w:pStyle w:val="ListParagraph"/>
        <w:numPr>
          <w:ilvl w:val="0"/>
          <w:numId w:val="31"/>
        </w:numPr>
        <w:spacing w:before="120" w:after="120" w:line="276" w:lineRule="auto"/>
        <w:jc w:val="both"/>
        <w:rPr>
          <w:lang w:val="sq-AL" w:eastAsia="ja-JP"/>
        </w:rPr>
      </w:pPr>
      <w:r w:rsidRPr="00D94792">
        <w:rPr>
          <w:lang w:val="sq-AL" w:eastAsia="ja-JP"/>
        </w:rPr>
        <w:lastRenderedPageBreak/>
        <w:t xml:space="preserve">Rezultatet e Vrojtimit të Aktivitetit Kreditues për tremujorin e dytë të vitit 2017 tregojnë se standardet e kredisë për bizneset mbetën pothuajse të pandryshuara nga tremujori i kaluar, ndërsa standardet e kredisë për individë janë lehtësuar. Sipas madhësisë së biznesit vihet re se standardet e kreditimit për ndërmarrjet e vogla dhe të mesme janë lehtësuar disi, ndërsa në segmentin e ndërmarrjeve të mëdha kushtet kanë mbetur të pandryshuara. Për individët, standardet e kreditimit janë lehtësuar vetëm për kredinë konsumatore, ndërkohë që për kredinë për blerje banese kushtet mbetën të pandryshuara. Përqindja neto e bankave që raportuan për një lehtësim të standardeve për kredinë dhënë bizneseve gjatë tremujorit të dytë të 2017 regjistroi nivelin 1.2%, pas një vlerë prej -11.9% në tremujorin e parë të vitit 2017. Përqindja neto e bankave që raportojnë lehtësim për kredinë drejt individëve gjatë tremujorit të dytë të vitit 2017 është 10.6%, nga vlera prej 18.3% e një tremujori më parë. </w:t>
      </w:r>
    </w:p>
    <w:p w:rsidR="00F53634" w:rsidRPr="00D94792" w:rsidRDefault="00F53634" w:rsidP="002C5B1B">
      <w:pPr>
        <w:pStyle w:val="ListParagraph"/>
        <w:numPr>
          <w:ilvl w:val="0"/>
          <w:numId w:val="31"/>
        </w:numPr>
        <w:spacing w:line="276" w:lineRule="auto"/>
        <w:jc w:val="both"/>
        <w:rPr>
          <w:rFonts w:eastAsiaTheme="minorHAnsi"/>
          <w:sz w:val="22"/>
          <w:szCs w:val="22"/>
          <w:lang w:val="sq-AL"/>
        </w:rPr>
      </w:pPr>
      <w:r w:rsidRPr="00D94792">
        <w:rPr>
          <w:lang w:val="sq-AL"/>
        </w:rPr>
        <w:t>Inflacioni gjatë 9-mujorit të parë të 2017-ës shënoi një mesatare prej 2.1%, pas një periudhe të inflacionit të ulët mesatar prej 1.3% përgjatë vitit të mëparshëm .</w:t>
      </w:r>
    </w:p>
    <w:p w:rsidR="00F53634" w:rsidRPr="00D94792" w:rsidRDefault="00F53634" w:rsidP="003C5B4B">
      <w:pPr>
        <w:pStyle w:val="ListParagraph"/>
        <w:spacing w:before="120" w:after="120" w:line="276" w:lineRule="auto"/>
        <w:ind w:left="0"/>
        <w:jc w:val="both"/>
        <w:rPr>
          <w:lang w:val="sq-AL"/>
        </w:rPr>
      </w:pPr>
      <w:r w:rsidRPr="00D94792">
        <w:rPr>
          <w:lang w:val="sq-AL"/>
        </w:rPr>
        <w:t xml:space="preserve">Një sinjal domethënës sa i takon trendit të aktivitetit ekonomik vjen edhe nga performanca e zërave kryesorë të të ardhurave fiskale.  Gjatë 8-mujorit 2017 (Janar-Gusht) të ardhurat nga tatimet e doganat kanë njohur një rritje prej rreth 6.7% kundrejt një viti më parë, ndërsa të ardhurat nga kontributet e Sigurimeve shoqërore janë rritur me rreth 10% kundrejt një viti më parë, duke reflektuar kryesisht përshpejtimin e aktivitetit ekonomik në vend dhe së dyti, përmirësimin e administrimit në mbledhjen e e të ardhurave. </w:t>
      </w:r>
    </w:p>
    <w:p w:rsidR="00F53634" w:rsidRPr="00D94792" w:rsidRDefault="00F53634" w:rsidP="003C5B4B">
      <w:pPr>
        <w:pStyle w:val="ListParagraph"/>
        <w:spacing w:before="120" w:after="120" w:line="276" w:lineRule="auto"/>
        <w:ind w:left="0"/>
        <w:jc w:val="both"/>
        <w:rPr>
          <w:lang w:val="sq-AL"/>
        </w:rPr>
      </w:pPr>
      <w:r w:rsidRPr="00D94792">
        <w:rPr>
          <w:lang w:val="sq-AL"/>
        </w:rPr>
        <w:t>Të njëjtën ecuri pozitive paraqesin edhe statistikat e sektorit të jashtëm të ekonomisë. Sipas statistikave të tregtisë së jashtme, eksportet e mallrave gjatë 8-mujorit 2017, rezultojnë me një rritje prej rreth 12.8%. Në të njëjtën kohë importet totale të mallrave kanë rezultuar me një rritje prej 6.3% gjatë tetë muajve të parë të vitit, ku ndikimi më i madh vjen nga importi i produkteve minerale, lëndë djegëse dhe energji elektrike me 16.6%</w:t>
      </w:r>
    </w:p>
    <w:p w:rsidR="00F53634" w:rsidRPr="00D94792" w:rsidRDefault="00F53634" w:rsidP="003C5B4B">
      <w:pPr>
        <w:pStyle w:val="ListParagraph"/>
        <w:spacing w:before="120" w:after="120" w:line="276" w:lineRule="auto"/>
        <w:ind w:left="0"/>
        <w:jc w:val="both"/>
        <w:rPr>
          <w:lang w:val="sq-AL"/>
        </w:rPr>
      </w:pPr>
      <w:r w:rsidRPr="00D94792">
        <w:rPr>
          <w:lang w:val="sq-AL"/>
        </w:rPr>
        <w:t>Referuar statistikave të bilancit të pagesave, balanca tregtare gjatë gjysmës së parë të vitit, njohu një thellim të deficitit, por në të njëjtën kohë kjo u kompensua në një masë të konsiderueshme nga përmirësimi i balancës së shërbimeve, si rrjedhojë e rritjes së eksportit të shërbimeve. Kategoria me kontributin kryesor ishin shërbimet e lidhura përgjithësisht me sektorin e turizmit, të cilat gjatë gjysmës së parë të 2017 (pra pa përfshirë ende tremujorin e tretë, i cili shënon pikun e sezonit turistik) u rritën me rreth 12.8% kundrejt gjysmës së parë të 2016.  Në të njëjtën kohë, rreth 99% e deficitit të llogarisë korente gjatë gjysmës së parë të 2017 u financua nga flukset hyrëse të investimeve të huaja direkte, të cilat janë flukse jo borxh-krijuese për ekonominë. Në tremujorin e parë të vitit, flukset hyrëse të IHD ishin më shumë</w:t>
      </w:r>
      <w:r w:rsidR="00C61801">
        <w:rPr>
          <w:lang w:val="sq-AL"/>
        </w:rPr>
        <w:t xml:space="preserve"> </w:t>
      </w:r>
      <w:r w:rsidRPr="00D94792">
        <w:rPr>
          <w:lang w:val="sq-AL"/>
        </w:rPr>
        <w:t>se tremujori i parë i 2016, ashtu si dhe në</w:t>
      </w:r>
      <w:r w:rsidR="00C61801">
        <w:rPr>
          <w:lang w:val="sq-AL"/>
        </w:rPr>
        <w:t xml:space="preserve"> </w:t>
      </w:r>
      <w:r w:rsidRPr="00D94792">
        <w:rPr>
          <w:lang w:val="sq-AL"/>
        </w:rPr>
        <w:t>tremujorin</w:t>
      </w:r>
      <w:r w:rsidR="00C61801">
        <w:rPr>
          <w:lang w:val="sq-AL"/>
        </w:rPr>
        <w:t xml:space="preserve"> </w:t>
      </w:r>
      <w:r w:rsidRPr="00D94792">
        <w:rPr>
          <w:lang w:val="sq-AL"/>
        </w:rPr>
        <w:t>e dytë të vitit ku IHD shënuan një rritje prej 18% kundrejt të njëjtit tremujor të 2016. Në tërësi Bilanci i Pagesave për gjysmën e parë të vitit ishte thuajse në balancë (me një deficit prej rreth 67</w:t>
      </w:r>
      <w:r w:rsidR="00C61801">
        <w:rPr>
          <w:lang w:val="sq-AL"/>
        </w:rPr>
        <w:t xml:space="preserve"> </w:t>
      </w:r>
      <w:r w:rsidRPr="00D94792">
        <w:rPr>
          <w:lang w:val="sq-AL"/>
        </w:rPr>
        <w:t xml:space="preserve">milionë Euro) duke mbajtur thuajse të pandryshuar stokun e rezervave valutore të vendit. </w:t>
      </w:r>
    </w:p>
    <w:p w:rsidR="00F53634" w:rsidRDefault="00F53634" w:rsidP="003C5B4B">
      <w:pPr>
        <w:pStyle w:val="ListParagraph"/>
        <w:spacing w:before="120" w:after="120" w:line="276" w:lineRule="auto"/>
        <w:ind w:left="0"/>
        <w:jc w:val="both"/>
        <w:rPr>
          <w:lang w:val="sq-AL"/>
        </w:rPr>
      </w:pPr>
      <w:r w:rsidRPr="00D94792">
        <w:rPr>
          <w:lang w:val="sq-AL"/>
        </w:rPr>
        <w:t xml:space="preserve">Zhvillimet e fundit makroekonomike dhe analizat tona sinjalizojnë se rritja reale për këtë vit do të jetë në linjë me parashikimet tona fillestare, por lehtësisht mbi parashikimin fillestar. Rritja reale për vitin 2017 në tërësi parashikohet të jetë 3.9%, nga 3.8% që ishte parashikimi fillestar i kryer një vit më parë. </w:t>
      </w:r>
    </w:p>
    <w:p w:rsidR="00D94792" w:rsidRPr="00D94792" w:rsidRDefault="00D94792" w:rsidP="003C5B4B">
      <w:pPr>
        <w:pStyle w:val="ListParagraph"/>
        <w:spacing w:before="120" w:after="120" w:line="276" w:lineRule="auto"/>
        <w:ind w:left="0"/>
        <w:jc w:val="both"/>
        <w:rPr>
          <w:lang w:val="sq-AL"/>
        </w:rPr>
      </w:pPr>
    </w:p>
    <w:p w:rsidR="00F53634" w:rsidRPr="00D94792" w:rsidRDefault="00F53634" w:rsidP="003C5B4B">
      <w:pPr>
        <w:spacing w:line="276" w:lineRule="auto"/>
        <w:jc w:val="both"/>
        <w:rPr>
          <w:noProof/>
          <w:lang w:val="sq-AL"/>
        </w:rPr>
      </w:pPr>
    </w:p>
    <w:p w:rsidR="00F53634" w:rsidRDefault="00F53634" w:rsidP="003C5B4B">
      <w:pPr>
        <w:spacing w:line="276" w:lineRule="auto"/>
        <w:jc w:val="both"/>
        <w:rPr>
          <w:noProof/>
          <w:lang w:val="sq-AL"/>
        </w:rPr>
      </w:pPr>
    </w:p>
    <w:p w:rsidR="00A620B2" w:rsidRDefault="00A620B2" w:rsidP="003C5B4B">
      <w:pPr>
        <w:spacing w:line="276" w:lineRule="auto"/>
        <w:jc w:val="both"/>
        <w:rPr>
          <w:noProof/>
          <w:lang w:val="sq-AL"/>
        </w:rPr>
      </w:pPr>
    </w:p>
    <w:p w:rsidR="00A620B2" w:rsidRPr="00D94792" w:rsidRDefault="00A620B2" w:rsidP="003C5B4B">
      <w:pPr>
        <w:spacing w:line="276" w:lineRule="auto"/>
        <w:jc w:val="both"/>
        <w:rPr>
          <w:noProof/>
          <w:lang w:val="sq-AL"/>
        </w:rPr>
      </w:pPr>
    </w:p>
    <w:p w:rsidR="00F53634" w:rsidRPr="00D94792" w:rsidRDefault="00F53634" w:rsidP="00A620B2">
      <w:pPr>
        <w:pStyle w:val="Heading1"/>
        <w:numPr>
          <w:ilvl w:val="1"/>
          <w:numId w:val="2"/>
        </w:numPr>
        <w:tabs>
          <w:tab w:val="clear" w:pos="5954"/>
          <w:tab w:val="center" w:pos="709"/>
        </w:tabs>
        <w:spacing w:line="276" w:lineRule="auto"/>
        <w:jc w:val="both"/>
        <w:rPr>
          <w:bCs/>
          <w:iCs/>
          <w:caps w:val="0"/>
          <w:noProof/>
          <w:sz w:val="26"/>
          <w:szCs w:val="26"/>
          <w:lang w:val="sq-AL"/>
        </w:rPr>
      </w:pPr>
      <w:bookmarkStart w:id="17" w:name="_Toc462665199"/>
      <w:bookmarkStart w:id="18" w:name="_Toc495672710"/>
      <w:bookmarkStart w:id="19" w:name="_Toc496520380"/>
      <w:r w:rsidRPr="00D94792">
        <w:rPr>
          <w:bCs/>
          <w:iCs/>
          <w:caps w:val="0"/>
          <w:noProof/>
          <w:sz w:val="26"/>
          <w:szCs w:val="26"/>
          <w:lang w:val="sq-AL"/>
        </w:rPr>
        <w:lastRenderedPageBreak/>
        <w:t>PERSPEKTIVA AFATMESME</w:t>
      </w:r>
      <w:bookmarkEnd w:id="16"/>
      <w:r w:rsidRPr="00D94792">
        <w:rPr>
          <w:bCs/>
          <w:iCs/>
          <w:caps w:val="0"/>
          <w:noProof/>
          <w:sz w:val="26"/>
          <w:szCs w:val="26"/>
          <w:lang w:val="sq-AL"/>
        </w:rPr>
        <w:t xml:space="preserve"> 2018-2020</w:t>
      </w:r>
      <w:bookmarkEnd w:id="17"/>
      <w:bookmarkEnd w:id="18"/>
      <w:bookmarkEnd w:id="19"/>
    </w:p>
    <w:p w:rsidR="00A620B2" w:rsidRDefault="00A620B2" w:rsidP="003C5B4B">
      <w:pPr>
        <w:spacing w:line="276" w:lineRule="auto"/>
        <w:jc w:val="both"/>
        <w:rPr>
          <w:noProof/>
          <w:lang w:val="sq-AL"/>
        </w:rPr>
      </w:pPr>
    </w:p>
    <w:p w:rsidR="00F53634" w:rsidRPr="00D94792" w:rsidRDefault="00F53634" w:rsidP="003C5B4B">
      <w:pPr>
        <w:spacing w:line="276" w:lineRule="auto"/>
        <w:jc w:val="both"/>
        <w:rPr>
          <w:noProof/>
          <w:lang w:val="sq-AL"/>
        </w:rPr>
      </w:pPr>
      <w:r w:rsidRPr="00D94792">
        <w:rPr>
          <w:noProof/>
          <w:lang w:val="sq-AL"/>
        </w:rPr>
        <w:t xml:space="preserve">Perspektiva ekonomike pritet të përmirësohet në periudhën afatmesme. </w:t>
      </w:r>
      <w:r w:rsidR="00C61801">
        <w:rPr>
          <w:noProof/>
          <w:lang w:val="sq-AL"/>
        </w:rPr>
        <w:t xml:space="preserve">Rritja ekonomike pritet </w:t>
      </w:r>
      <w:r w:rsidRPr="00D94792">
        <w:rPr>
          <w:noProof/>
          <w:lang w:val="sq-AL"/>
        </w:rPr>
        <w:t>të përshpejtohet në mënyrë të qëndrueshme duke arritur 4.</w:t>
      </w:r>
      <w:r w:rsidR="00A620B2">
        <w:rPr>
          <w:noProof/>
          <w:lang w:val="sq-AL"/>
        </w:rPr>
        <w:t>4</w:t>
      </w:r>
      <w:r w:rsidRPr="00D94792">
        <w:rPr>
          <w:noProof/>
          <w:lang w:val="sq-AL"/>
        </w:rPr>
        <w:t>% në vitin 202</w:t>
      </w:r>
      <w:r w:rsidR="00A620B2">
        <w:rPr>
          <w:noProof/>
          <w:lang w:val="sq-AL"/>
        </w:rPr>
        <w:t>0</w:t>
      </w:r>
      <w:r w:rsidRPr="00D94792">
        <w:rPr>
          <w:noProof/>
          <w:lang w:val="sq-AL"/>
        </w:rPr>
        <w:t xml:space="preserve">. Përkatësisht për </w:t>
      </w:r>
      <w:r w:rsidR="00C61801">
        <w:rPr>
          <w:noProof/>
          <w:lang w:val="sq-AL"/>
        </w:rPr>
        <w:t>ç</w:t>
      </w:r>
      <w:r w:rsidRPr="00D94792">
        <w:rPr>
          <w:noProof/>
          <w:lang w:val="sq-AL"/>
        </w:rPr>
        <w:t xml:space="preserve">do vit rritja parashikohet në 4.2% për vitin 2018; 4.3% në 2019; 4.4% në 2020. </w:t>
      </w:r>
    </w:p>
    <w:p w:rsidR="00F53634" w:rsidRPr="00D94792" w:rsidRDefault="00F53634" w:rsidP="003C5B4B">
      <w:pPr>
        <w:spacing w:line="276" w:lineRule="auto"/>
        <w:jc w:val="both"/>
        <w:rPr>
          <w:noProof/>
          <w:lang w:val="sq-AL"/>
        </w:rPr>
      </w:pPr>
    </w:p>
    <w:p w:rsidR="00F53634" w:rsidRPr="00D94792" w:rsidRDefault="00F53634" w:rsidP="003C5B4B">
      <w:pPr>
        <w:spacing w:line="276" w:lineRule="auto"/>
        <w:jc w:val="both"/>
        <w:rPr>
          <w:noProof/>
          <w:lang w:val="sq-AL"/>
        </w:rPr>
      </w:pPr>
      <w:r w:rsidRPr="00D94792">
        <w:rPr>
          <w:noProof/>
          <w:lang w:val="sq-AL"/>
        </w:rPr>
        <w:t>Investimet, veçanërisht ato të Huaja Direkte dhe konsumi, pritet të jenë gjeneratorët kryesorë të rritjes. Eksporti i shërbimeve, veçanërisht shërbimet turistike, pritet të kenë një performancë të mirë në afat të mesëm, duke u rritur me një normë vjetore prej 8.9% gjatë vitit 2018. Kërkesa e huaj neto në tërësi pritet të japë kontribut pozitiv përgjatë vitit 2018 dhe gjithashtu kontributi i kërkesës së huaj neto parashikohet të vazhdojnë terren pozitiv edhe përgjatë viteve të tjera 2019-202</w:t>
      </w:r>
      <w:r w:rsidR="00A620B2">
        <w:rPr>
          <w:noProof/>
          <w:lang w:val="sq-AL"/>
        </w:rPr>
        <w:t>0</w:t>
      </w:r>
      <w:r w:rsidRPr="00D94792">
        <w:rPr>
          <w:noProof/>
          <w:lang w:val="sq-AL"/>
        </w:rPr>
        <w:t xml:space="preserve">. </w:t>
      </w:r>
    </w:p>
    <w:p w:rsidR="00F53634" w:rsidRPr="00D94792" w:rsidRDefault="00F53634" w:rsidP="003C5B4B">
      <w:pPr>
        <w:spacing w:line="276" w:lineRule="auto"/>
        <w:jc w:val="both"/>
        <w:rPr>
          <w:noProof/>
          <w:lang w:val="sq-AL"/>
        </w:rPr>
      </w:pPr>
    </w:p>
    <w:p w:rsidR="00F53634" w:rsidRPr="00D94792" w:rsidRDefault="00A620B2" w:rsidP="003C5B4B">
      <w:pPr>
        <w:spacing w:line="276" w:lineRule="auto"/>
        <w:jc w:val="both"/>
        <w:rPr>
          <w:noProof/>
          <w:lang w:val="sq-AL"/>
        </w:rPr>
      </w:pPr>
      <w:r>
        <w:rPr>
          <w:noProof/>
          <w:lang w:val="sq-AL"/>
        </w:rPr>
        <w:t>P</w:t>
      </w:r>
      <w:r w:rsidRPr="00D94792">
        <w:rPr>
          <w:noProof/>
          <w:lang w:val="sq-AL"/>
        </w:rPr>
        <w:t xml:space="preserve">olitika fiskale do të vazhdojë të orientohet drejt </w:t>
      </w:r>
      <w:r>
        <w:rPr>
          <w:noProof/>
          <w:lang w:val="sq-AL"/>
        </w:rPr>
        <w:t>uljes të borxhit publik</w:t>
      </w:r>
      <w:r w:rsidRPr="00D94792">
        <w:rPr>
          <w:noProof/>
          <w:lang w:val="sq-AL"/>
        </w:rPr>
        <w:t xml:space="preserve"> në </w:t>
      </w:r>
      <w:r>
        <w:rPr>
          <w:noProof/>
          <w:lang w:val="sq-AL"/>
        </w:rPr>
        <w:t>periudhën</w:t>
      </w:r>
      <w:r w:rsidRPr="00D94792">
        <w:rPr>
          <w:noProof/>
          <w:lang w:val="sq-AL"/>
        </w:rPr>
        <w:t xml:space="preserve"> afatmesm</w:t>
      </w:r>
      <w:r>
        <w:rPr>
          <w:noProof/>
          <w:lang w:val="sq-AL"/>
        </w:rPr>
        <w:t>e</w:t>
      </w:r>
      <w:r w:rsidRPr="00D94792">
        <w:rPr>
          <w:noProof/>
          <w:lang w:val="sq-AL"/>
        </w:rPr>
        <w:t xml:space="preserve">, </w:t>
      </w:r>
      <w:r>
        <w:rPr>
          <w:noProof/>
          <w:lang w:val="sq-AL"/>
        </w:rPr>
        <w:t>synuar</w:t>
      </w:r>
      <w:r w:rsidRPr="00D94792">
        <w:rPr>
          <w:noProof/>
          <w:lang w:val="sq-AL"/>
        </w:rPr>
        <w:t xml:space="preserve"> një nivel të investimeve publike prej 5% të PBB-së për vitet 2018-202</w:t>
      </w:r>
      <w:r>
        <w:rPr>
          <w:noProof/>
          <w:lang w:val="sq-AL"/>
        </w:rPr>
        <w:t>0. Kjo</w:t>
      </w:r>
      <w:r w:rsidRPr="00D94792">
        <w:rPr>
          <w:noProof/>
          <w:lang w:val="sq-AL"/>
        </w:rPr>
        <w:t xml:space="preserve"> do të  mbështesë krijimin e kapitalit fiks bruto në ekonomi, e cila është e rëndësishme për të mbajtur nivele relativisht të larta rritjeje, </w:t>
      </w:r>
      <w:r w:rsidR="00F53634" w:rsidRPr="00D94792">
        <w:rPr>
          <w:noProof/>
          <w:lang w:val="sq-AL"/>
        </w:rPr>
        <w:t>si në afatin e shkurtër, ashtu edhe në afatin e gjatë. Rritja e konsumit privat pritet të vazhdojë të jetë me vlera përshpejtuese pozitive, duke reflektuar besimin e përmirësuar të konsumatorëve. Në të njëjtën kohë, referuar raporteve të politikës monetare të Bankës së Shqipërisë, qëndrimi akomodues i parashikuar i politikës monetare për periudhën afatmesme, për sa ko</w:t>
      </w:r>
      <w:r w:rsidR="009A3F79" w:rsidRPr="00D94792">
        <w:rPr>
          <w:noProof/>
          <w:lang w:val="sq-AL"/>
        </w:rPr>
        <w:t xml:space="preserve">hë që presionet  inflacioniste </w:t>
      </w:r>
      <w:r w:rsidR="00F53634" w:rsidRPr="00D94792">
        <w:rPr>
          <w:noProof/>
          <w:lang w:val="sq-AL"/>
        </w:rPr>
        <w:t>të mbeten në kahun e poshtëm, do të mbështesë gjithashtu konsumin privat dhe investimet dhe do të përbëjë një miks optimal të politikës fiskale konsoliduese nga njëra anë dhe politikës monetare akomoduese nga ana tjetër.</w:t>
      </w:r>
    </w:p>
    <w:p w:rsidR="00F53634" w:rsidRPr="00D94792" w:rsidRDefault="00F53634" w:rsidP="003C5B4B">
      <w:pPr>
        <w:spacing w:line="276" w:lineRule="auto"/>
        <w:jc w:val="both"/>
        <w:rPr>
          <w:noProof/>
          <w:lang w:val="sq-AL"/>
        </w:rPr>
      </w:pPr>
    </w:p>
    <w:p w:rsidR="00F53634" w:rsidRPr="00D94792" w:rsidRDefault="00F53634" w:rsidP="003C5B4B">
      <w:pPr>
        <w:spacing w:line="276" w:lineRule="auto"/>
        <w:jc w:val="both"/>
        <w:rPr>
          <w:noProof/>
          <w:lang w:val="sq-AL"/>
        </w:rPr>
      </w:pPr>
      <w:r w:rsidRPr="00D94792">
        <w:rPr>
          <w:noProof/>
          <w:lang w:val="sq-AL"/>
        </w:rPr>
        <w:t>Rritja e konsumit privat përgjatë horizontit të parashikuar pritet të mbështetet edhe nga përmirësimet në tregun e punës, si rrjedhojë e rritjes së q</w:t>
      </w:r>
      <w:r w:rsidR="00C61801">
        <w:rPr>
          <w:noProof/>
          <w:lang w:val="sq-AL"/>
        </w:rPr>
        <w:t>ë</w:t>
      </w:r>
      <w:r w:rsidRPr="00D94792">
        <w:rPr>
          <w:noProof/>
          <w:lang w:val="sq-AL"/>
        </w:rPr>
        <w:t xml:space="preserve">ndrueshme të punësimit dhe politikës së rritjes së pagave. Kjo do të stimulojë rritjen reale të të ardhurave të individëve. Në të njëjtën kohë, edhe rritja e huadhënies për konsum parashikohet në rritje, duke reflektuar si përmirësimin e financave të individëve, ashtu edhe lehtësimin e standardeve të kredidhënies nga sistemi bankar. </w:t>
      </w:r>
    </w:p>
    <w:p w:rsidR="00F53634" w:rsidRPr="00D94792" w:rsidRDefault="00F53634" w:rsidP="003C5B4B">
      <w:pPr>
        <w:spacing w:line="276" w:lineRule="auto"/>
        <w:jc w:val="both"/>
        <w:rPr>
          <w:noProof/>
          <w:lang w:val="sq-AL"/>
        </w:rPr>
      </w:pPr>
    </w:p>
    <w:p w:rsidR="00F53634" w:rsidRPr="00D94792" w:rsidRDefault="00F53634" w:rsidP="003C5B4B">
      <w:pPr>
        <w:spacing w:line="276" w:lineRule="auto"/>
        <w:jc w:val="both"/>
        <w:rPr>
          <w:noProof/>
          <w:lang w:val="sq-AL"/>
        </w:rPr>
      </w:pPr>
      <w:r w:rsidRPr="00D94792">
        <w:rPr>
          <w:noProof/>
          <w:lang w:val="sq-AL"/>
        </w:rPr>
        <w:t xml:space="preserve">Kërkesa e vijueshme për investime pritet të mbështetet nga përmirësimi i normave të shfrytëzimit të kapaciteteve dhe nga vazhdimi i rimëkëmbjes ekonomike gjatë periudhës së projektuar, si në Shqipëri, ashtu edhe në mjedisin e jashtëm. </w:t>
      </w:r>
    </w:p>
    <w:p w:rsidR="00F53634" w:rsidRPr="00D94792" w:rsidRDefault="00F53634" w:rsidP="003C5B4B">
      <w:pPr>
        <w:spacing w:line="276" w:lineRule="auto"/>
        <w:jc w:val="both"/>
        <w:rPr>
          <w:noProof/>
          <w:lang w:val="sq-AL"/>
        </w:rPr>
      </w:pPr>
    </w:p>
    <w:p w:rsidR="00F53634" w:rsidRPr="00D94792" w:rsidRDefault="00F53634" w:rsidP="003C5B4B">
      <w:pPr>
        <w:spacing w:line="276" w:lineRule="auto"/>
        <w:jc w:val="both"/>
        <w:rPr>
          <w:noProof/>
          <w:lang w:val="sq-AL"/>
        </w:rPr>
      </w:pPr>
      <w:r w:rsidRPr="00D94792">
        <w:rPr>
          <w:noProof/>
          <w:lang w:val="sq-AL"/>
        </w:rPr>
        <w:t xml:space="preserve">Kërkesa totale e sektorit publik do të vijojë të jetë disi e kufizuar si rezultat i konsolidimit fiskal. Sidoqoftë, konsolidimi fiskal do të reduktojë ndjeshëm primet e risqeve në periudhën afatmesme dhe do të  krijojë më shumë hapësira për  zgjerimin dhe përforcimin e sektorit privat. </w:t>
      </w:r>
    </w:p>
    <w:p w:rsidR="00F53634" w:rsidRPr="00D94792" w:rsidRDefault="00F53634" w:rsidP="003C5B4B">
      <w:pPr>
        <w:spacing w:line="276" w:lineRule="auto"/>
        <w:jc w:val="both"/>
        <w:rPr>
          <w:noProof/>
          <w:lang w:val="sq-AL"/>
        </w:rPr>
      </w:pPr>
    </w:p>
    <w:p w:rsidR="00F53634" w:rsidRPr="00D94792" w:rsidRDefault="00F53634" w:rsidP="003C5B4B">
      <w:pPr>
        <w:spacing w:line="276" w:lineRule="auto"/>
        <w:jc w:val="both"/>
        <w:rPr>
          <w:noProof/>
          <w:lang w:val="sq-AL"/>
        </w:rPr>
      </w:pPr>
      <w:r w:rsidRPr="00D94792">
        <w:rPr>
          <w:noProof/>
          <w:lang w:val="sq-AL"/>
        </w:rPr>
        <w:t xml:space="preserve">Në të njëjtën kohë, përbërja e politikave buxhetore të planifikuara në mbështetje të rritjes, pritet të mënjanojnë në një masë të caktuar efektet shtrënguese të konsolidimit fiskal. Më konkretisht, investimet publike afatshkurtër dhe afatmesëm janë ruajtur në nivelin  5% të PBB-së, të cilat kanë një shumëfishim relativisht të lartë në drejtim të kërkesës agregate afatshkurtër dhe janë të rëndësishme për rritjen potenciale në afatmesëm dhe afatgjatë. </w:t>
      </w:r>
    </w:p>
    <w:p w:rsidR="00F53634" w:rsidRPr="00D94792" w:rsidRDefault="00F53634" w:rsidP="003C5B4B">
      <w:pPr>
        <w:spacing w:line="276" w:lineRule="auto"/>
        <w:jc w:val="both"/>
        <w:rPr>
          <w:noProof/>
          <w:lang w:val="sq-AL"/>
        </w:rPr>
      </w:pPr>
    </w:p>
    <w:p w:rsidR="00F53634" w:rsidRPr="00D94792" w:rsidRDefault="00F53634" w:rsidP="007D2633">
      <w:pPr>
        <w:spacing w:line="276" w:lineRule="auto"/>
        <w:jc w:val="both"/>
        <w:rPr>
          <w:noProof/>
          <w:lang w:val="sq-AL"/>
        </w:rPr>
      </w:pPr>
      <w:r w:rsidRPr="00D94792">
        <w:rPr>
          <w:noProof/>
          <w:lang w:val="sq-AL"/>
        </w:rPr>
        <w:t>Rritja në periudhën afatmesme në vijim do të jetë e orientuar drejt krijimit të vendeve të punës krahasuar me historikun, pasi sektorët e prodhimit më intensiv të forcës së punës pritet të performojnë më mirë se të tjerët. Për këtë arsye, rritja e punësimit total pritet të përshpejtohet gjatë viteve 2018-202</w:t>
      </w:r>
      <w:r w:rsidR="00A620B2">
        <w:rPr>
          <w:noProof/>
          <w:lang w:val="sq-AL"/>
        </w:rPr>
        <w:t>0</w:t>
      </w:r>
      <w:r w:rsidRPr="00D94792">
        <w:rPr>
          <w:noProof/>
          <w:lang w:val="sq-AL"/>
        </w:rPr>
        <w:t xml:space="preserve">, ndërsa shkalla e papunësisë parashikohet të zbresë në nivel një shifror  në vitin 2021. </w:t>
      </w:r>
    </w:p>
    <w:p w:rsidR="00B0121D" w:rsidRPr="00D94792" w:rsidRDefault="00B0121D" w:rsidP="003C5B4B">
      <w:pPr>
        <w:tabs>
          <w:tab w:val="left" w:pos="709"/>
        </w:tabs>
        <w:spacing w:line="276" w:lineRule="auto"/>
        <w:jc w:val="both"/>
        <w:rPr>
          <w:noProof/>
          <w:lang w:val="sq-AL"/>
        </w:rPr>
      </w:pPr>
    </w:p>
    <w:p w:rsidR="00B0121D" w:rsidRPr="00D94792" w:rsidRDefault="00B0121D" w:rsidP="003C5B4B">
      <w:pPr>
        <w:pStyle w:val="Heading1"/>
        <w:numPr>
          <w:ilvl w:val="0"/>
          <w:numId w:val="2"/>
        </w:numPr>
        <w:tabs>
          <w:tab w:val="clear" w:pos="5954"/>
          <w:tab w:val="center" w:pos="709"/>
        </w:tabs>
        <w:spacing w:line="276" w:lineRule="auto"/>
        <w:jc w:val="both"/>
        <w:rPr>
          <w:bCs/>
          <w:iCs/>
          <w:caps w:val="0"/>
          <w:sz w:val="28"/>
          <w:lang w:val="sq-AL"/>
        </w:rPr>
      </w:pPr>
      <w:bookmarkStart w:id="20" w:name="_Toc495672711"/>
      <w:bookmarkStart w:id="21" w:name="_Toc496520381"/>
      <w:r w:rsidRPr="00D94792">
        <w:rPr>
          <w:bCs/>
          <w:iCs/>
          <w:caps w:val="0"/>
          <w:sz w:val="28"/>
          <w:lang w:val="sq-AL"/>
        </w:rPr>
        <w:t>TREGUESIT KRYESORË TË BUXHETIT PËR VITIN 201</w:t>
      </w:r>
      <w:r w:rsidR="009A68B1" w:rsidRPr="00D94792">
        <w:rPr>
          <w:bCs/>
          <w:iCs/>
          <w:caps w:val="0"/>
          <w:sz w:val="28"/>
          <w:lang w:val="sq-AL"/>
        </w:rPr>
        <w:t>8</w:t>
      </w:r>
      <w:bookmarkEnd w:id="20"/>
      <w:bookmarkEnd w:id="21"/>
    </w:p>
    <w:p w:rsidR="00B0121D" w:rsidRPr="00D94792" w:rsidRDefault="00B0121D" w:rsidP="003C5B4B">
      <w:pPr>
        <w:pStyle w:val="Heading1"/>
        <w:tabs>
          <w:tab w:val="clear" w:pos="5954"/>
          <w:tab w:val="center" w:pos="709"/>
        </w:tabs>
        <w:spacing w:line="276" w:lineRule="auto"/>
        <w:ind w:left="450"/>
        <w:jc w:val="both"/>
        <w:rPr>
          <w:bCs/>
          <w:iCs/>
          <w:caps w:val="0"/>
          <w:sz w:val="28"/>
          <w:lang w:val="sq-AL"/>
        </w:rPr>
      </w:pPr>
    </w:p>
    <w:p w:rsidR="00616C21" w:rsidRPr="00D94792" w:rsidRDefault="00616C21" w:rsidP="00616C21">
      <w:pPr>
        <w:pStyle w:val="Heading1"/>
        <w:tabs>
          <w:tab w:val="clear" w:pos="5954"/>
          <w:tab w:val="center" w:pos="709"/>
        </w:tabs>
        <w:spacing w:line="276" w:lineRule="auto"/>
        <w:jc w:val="both"/>
        <w:rPr>
          <w:bCs/>
          <w:iCs/>
          <w:caps w:val="0"/>
          <w:lang w:val="sq-AL"/>
        </w:rPr>
      </w:pPr>
      <w:bookmarkStart w:id="22" w:name="_Toc495672712"/>
      <w:bookmarkStart w:id="23" w:name="_Toc496520382"/>
      <w:r w:rsidRPr="00D94792">
        <w:rPr>
          <w:bCs/>
          <w:iCs/>
          <w:sz w:val="28"/>
          <w:lang w:val="sq-AL"/>
        </w:rPr>
        <w:t xml:space="preserve">3.1 </w:t>
      </w:r>
      <w:r w:rsidRPr="00D94792">
        <w:rPr>
          <w:bCs/>
          <w:iCs/>
          <w:sz w:val="26"/>
          <w:szCs w:val="26"/>
          <w:lang w:val="sq-AL"/>
        </w:rPr>
        <w:t xml:space="preserve">TË ARDHURAT </w:t>
      </w:r>
      <w:bookmarkStart w:id="24" w:name="_Toc433976690"/>
      <w:r w:rsidRPr="00D94792">
        <w:rPr>
          <w:bCs/>
          <w:iCs/>
          <w:caps w:val="0"/>
          <w:lang w:val="sq-AL"/>
        </w:rPr>
        <w:t>E PRITSHME PËR VITIN 2017</w:t>
      </w:r>
      <w:bookmarkEnd w:id="22"/>
      <w:bookmarkEnd w:id="23"/>
    </w:p>
    <w:bookmarkEnd w:id="24"/>
    <w:p w:rsidR="00616C21" w:rsidRPr="00D94792" w:rsidRDefault="00616C21" w:rsidP="00616C21">
      <w:pPr>
        <w:spacing w:line="276" w:lineRule="auto"/>
        <w:jc w:val="both"/>
        <w:rPr>
          <w:b/>
          <w:lang w:val="sq-AL"/>
        </w:rPr>
      </w:pPr>
    </w:p>
    <w:p w:rsidR="00616C21" w:rsidRPr="009C5122" w:rsidRDefault="00616C21" w:rsidP="00616C21">
      <w:pPr>
        <w:spacing w:line="276" w:lineRule="auto"/>
        <w:jc w:val="both"/>
        <w:rPr>
          <w:rFonts w:eastAsia="Times New Roman"/>
        </w:rPr>
      </w:pPr>
      <w:r w:rsidRPr="009C5122">
        <w:rPr>
          <w:rFonts w:eastAsia="Times New Roman"/>
          <w:b/>
          <w:bCs/>
          <w:color w:val="000000"/>
        </w:rPr>
        <w:t>Të ardhurat e buxhetit të shtetit</w:t>
      </w:r>
      <w:r w:rsidRPr="009C5122">
        <w:rPr>
          <w:rFonts w:eastAsia="Times New Roman"/>
          <w:color w:val="000000"/>
        </w:rPr>
        <w:t xml:space="preserve"> në fund të vitit 2017, pritet të jenë 438.4 </w:t>
      </w:r>
      <w:r>
        <w:rPr>
          <w:rFonts w:eastAsia="Times New Roman"/>
          <w:color w:val="000000"/>
        </w:rPr>
        <w:t>miliard</w:t>
      </w:r>
      <w:r w:rsidRPr="009C5122">
        <w:rPr>
          <w:rFonts w:eastAsia="Times New Roman"/>
          <w:color w:val="000000"/>
        </w:rPr>
        <w:t xml:space="preserve"> lekë. Krahasuar me vitin 2016, parashikohet një rritje prej 7.7%, ose 31.3 </w:t>
      </w:r>
      <w:r>
        <w:rPr>
          <w:rFonts w:eastAsia="Times New Roman"/>
          <w:color w:val="000000"/>
        </w:rPr>
        <w:t>miliard</w:t>
      </w:r>
      <w:r w:rsidR="00A620B2">
        <w:rPr>
          <w:rFonts w:eastAsia="Times New Roman"/>
          <w:color w:val="000000"/>
        </w:rPr>
        <w:t xml:space="preserve"> lekë, duke arritur</w:t>
      </w:r>
      <w:r w:rsidRPr="009C5122">
        <w:rPr>
          <w:rFonts w:eastAsia="Times New Roman"/>
          <w:color w:val="000000"/>
        </w:rPr>
        <w:t xml:space="preserve"> 28.</w:t>
      </w:r>
      <w:r>
        <w:rPr>
          <w:rFonts w:eastAsia="Times New Roman"/>
          <w:color w:val="000000"/>
        </w:rPr>
        <w:t>1</w:t>
      </w:r>
      <w:r w:rsidRPr="009C5122">
        <w:rPr>
          <w:rFonts w:eastAsia="Times New Roman"/>
          <w:color w:val="000000"/>
        </w:rPr>
        <w:t xml:space="preserve">% të PBB-së nga 27.6% që ishin në vitin 2016. Rritja me 0.6% e kontributit të të ardhurave të buxhetit të shtetit në raport me Produktin e Brendshëm Bruto për vitin 2017, është tregues i rëndësishëm i përmirësimit të përformancës së mbledhjes së të ardhurave në kuadër të reformës së konsolidimit të financave publike. Kjo rritje vjen kryesisht nga impakti i rritjes ekonomike dhe nga përmirësimi në administrimin e taksave. </w:t>
      </w:r>
    </w:p>
    <w:p w:rsidR="00616C21" w:rsidRPr="009C5122" w:rsidRDefault="00616C21" w:rsidP="00616C21">
      <w:pPr>
        <w:spacing w:line="276" w:lineRule="auto"/>
        <w:jc w:val="both"/>
        <w:rPr>
          <w:rFonts w:eastAsia="Times New Roman"/>
        </w:rPr>
      </w:pPr>
    </w:p>
    <w:p w:rsidR="00616C21" w:rsidRPr="00616C21" w:rsidRDefault="00616C21" w:rsidP="00616C21">
      <w:pPr>
        <w:spacing w:line="276" w:lineRule="auto"/>
        <w:jc w:val="both"/>
        <w:rPr>
          <w:rFonts w:eastAsia="Times New Roman"/>
          <w:color w:val="000000"/>
        </w:rPr>
      </w:pPr>
      <w:r w:rsidRPr="009C5122">
        <w:rPr>
          <w:rFonts w:eastAsia="Times New Roman"/>
          <w:color w:val="000000"/>
        </w:rPr>
        <w:t xml:space="preserve">Të ardhurat që administrohen nga Drejtoria e Përgjithshme e Tatimeve (DPT) dhe Drejtoria e Përgjithshme e Doganave (DPD), përfshirë kontributet e sigurimeve shoqërore dhe shëndetësore, </w:t>
      </w:r>
      <w:r w:rsidR="00A620B2">
        <w:rPr>
          <w:rFonts w:eastAsia="Times New Roman"/>
          <w:color w:val="000000"/>
        </w:rPr>
        <w:t>pritet</w:t>
      </w:r>
      <w:r w:rsidRPr="009C5122">
        <w:rPr>
          <w:rFonts w:eastAsia="Times New Roman"/>
          <w:color w:val="000000"/>
        </w:rPr>
        <w:t xml:space="preserve"> të realizohen në nivelin 100%, duke shënuar një përmirësim të përformancës së të ardhurave krahasuar me periudhat e mëparshme</w:t>
      </w:r>
      <w:r>
        <w:rPr>
          <w:rFonts w:eastAsia="Times New Roman"/>
          <w:color w:val="000000"/>
        </w:rPr>
        <w:t xml:space="preserve">. </w:t>
      </w:r>
      <w:r w:rsidR="00517E38">
        <w:rPr>
          <w:rFonts w:eastAsia="Times New Roman"/>
          <w:color w:val="000000"/>
        </w:rPr>
        <w:t xml:space="preserve">Kjo vjen si rezultat i </w:t>
      </w:r>
      <w:r w:rsidRPr="009C5122">
        <w:rPr>
          <w:rFonts w:eastAsia="Times New Roman"/>
          <w:color w:val="000000"/>
        </w:rPr>
        <w:t>përpjekjeve intensive për uljen e informalitetit në ekonomi si edhe e rritjes së nivelit të pajtueshmërisë së tatimpaguesve me ligjin, për</w:t>
      </w:r>
      <w:r>
        <w:rPr>
          <w:rFonts w:eastAsia="Times New Roman"/>
          <w:color w:val="000000"/>
        </w:rPr>
        <w:t>mes parimit të vetëkorrigjimit.</w:t>
      </w:r>
      <w:r w:rsidRPr="009C5122">
        <w:rPr>
          <w:rFonts w:eastAsia="Times New Roman"/>
          <w:color w:val="000000"/>
        </w:rPr>
        <w:t>         </w:t>
      </w:r>
      <w:r>
        <w:rPr>
          <w:rFonts w:eastAsia="Times New Roman"/>
          <w:color w:val="000000"/>
        </w:rPr>
        <w:t>                             </w:t>
      </w:r>
      <w:r w:rsidRPr="009C5122">
        <w:rPr>
          <w:rFonts w:eastAsia="Times New Roman"/>
          <w:color w:val="000000"/>
        </w:rPr>
        <w:t xml:space="preserve">  </w:t>
      </w:r>
    </w:p>
    <w:p w:rsidR="00616C21" w:rsidRDefault="00616C21" w:rsidP="00616C21">
      <w:pPr>
        <w:spacing w:line="276" w:lineRule="auto"/>
        <w:ind w:left="7920"/>
        <w:jc w:val="both"/>
        <w:rPr>
          <w:rFonts w:eastAsia="Times New Roman"/>
          <w:i/>
          <w:iCs/>
          <w:color w:val="000000"/>
          <w:sz w:val="20"/>
          <w:szCs w:val="20"/>
        </w:rPr>
      </w:pPr>
    </w:p>
    <w:p w:rsidR="00616C21" w:rsidRPr="00304F33" w:rsidRDefault="00616C21" w:rsidP="00616C21">
      <w:pPr>
        <w:pStyle w:val="Caption"/>
        <w:keepNext/>
        <w:rPr>
          <w:bCs w:val="0"/>
          <w:noProof/>
          <w:color w:val="auto"/>
          <w:sz w:val="22"/>
          <w:szCs w:val="22"/>
          <w:lang w:val="sq-AL"/>
        </w:rPr>
      </w:pPr>
      <w:r>
        <w:rPr>
          <w:bCs w:val="0"/>
          <w:noProof/>
          <w:color w:val="auto"/>
          <w:sz w:val="22"/>
          <w:szCs w:val="22"/>
          <w:lang w:val="sq-AL"/>
        </w:rPr>
        <w:t>Tabela</w:t>
      </w:r>
      <w:r w:rsidRPr="00304F33">
        <w:rPr>
          <w:bCs w:val="0"/>
          <w:noProof/>
          <w:color w:val="auto"/>
          <w:sz w:val="22"/>
          <w:szCs w:val="22"/>
          <w:lang w:val="sq-AL"/>
        </w:rPr>
        <w:t xml:space="preserve"> </w:t>
      </w:r>
      <w:r>
        <w:rPr>
          <w:bCs w:val="0"/>
          <w:noProof/>
          <w:color w:val="auto"/>
          <w:sz w:val="22"/>
          <w:szCs w:val="22"/>
          <w:lang w:val="sq-AL"/>
        </w:rPr>
        <w:t xml:space="preserve">6: Të ardhurat nga Tatimet dhe Doganat </w:t>
      </w:r>
      <w:r>
        <w:rPr>
          <w:bCs w:val="0"/>
          <w:noProof/>
          <w:color w:val="auto"/>
          <w:sz w:val="22"/>
          <w:szCs w:val="22"/>
          <w:lang w:val="sq-AL"/>
        </w:rPr>
        <w:tab/>
      </w:r>
      <w:r>
        <w:rPr>
          <w:bCs w:val="0"/>
          <w:noProof/>
          <w:color w:val="auto"/>
          <w:sz w:val="22"/>
          <w:szCs w:val="22"/>
          <w:lang w:val="sq-AL"/>
        </w:rPr>
        <w:tab/>
      </w:r>
      <w:r>
        <w:rPr>
          <w:bCs w:val="0"/>
          <w:noProof/>
          <w:color w:val="auto"/>
          <w:sz w:val="22"/>
          <w:szCs w:val="22"/>
          <w:lang w:val="sq-AL"/>
        </w:rPr>
        <w:tab/>
      </w:r>
      <w:r>
        <w:rPr>
          <w:bCs w:val="0"/>
          <w:noProof/>
          <w:color w:val="auto"/>
          <w:sz w:val="22"/>
          <w:szCs w:val="22"/>
          <w:lang w:val="sq-AL"/>
        </w:rPr>
        <w:tab/>
      </w:r>
      <w:r>
        <w:rPr>
          <w:bCs w:val="0"/>
          <w:noProof/>
          <w:color w:val="auto"/>
          <w:sz w:val="22"/>
          <w:szCs w:val="22"/>
          <w:lang w:val="sq-AL"/>
        </w:rPr>
        <w:tab/>
      </w:r>
      <w:r>
        <w:rPr>
          <w:bCs w:val="0"/>
          <w:noProof/>
          <w:color w:val="auto"/>
          <w:sz w:val="22"/>
          <w:szCs w:val="22"/>
          <w:lang w:val="sq-AL"/>
        </w:rPr>
        <w:tab/>
      </w:r>
      <w:r w:rsidRPr="009C5122">
        <w:rPr>
          <w:rFonts w:eastAsia="Times New Roman"/>
          <w:i/>
          <w:iCs/>
          <w:color w:val="000000"/>
          <w:sz w:val="20"/>
          <w:szCs w:val="20"/>
        </w:rPr>
        <w:t>(në milion lekë)</w:t>
      </w:r>
    </w:p>
    <w:tbl>
      <w:tblPr>
        <w:tblW w:w="10097" w:type="dxa"/>
        <w:tblLook w:val="04A0" w:firstRow="1" w:lastRow="0" w:firstColumn="1" w:lastColumn="0" w:noHBand="0" w:noVBand="1"/>
      </w:tblPr>
      <w:tblGrid>
        <w:gridCol w:w="3503"/>
        <w:gridCol w:w="1669"/>
        <w:gridCol w:w="1861"/>
        <w:gridCol w:w="1532"/>
        <w:gridCol w:w="1532"/>
      </w:tblGrid>
      <w:tr w:rsidR="00616C21" w:rsidRPr="009F0D01" w:rsidTr="00A67D90">
        <w:trPr>
          <w:trHeight w:val="545"/>
        </w:trPr>
        <w:tc>
          <w:tcPr>
            <w:tcW w:w="3503" w:type="dxa"/>
            <w:tcBorders>
              <w:top w:val="single" w:sz="8" w:space="0" w:color="000000"/>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Tatime dhe Dogana</w:t>
            </w:r>
          </w:p>
        </w:tc>
        <w:tc>
          <w:tcPr>
            <w:tcW w:w="1669" w:type="dxa"/>
            <w:tcBorders>
              <w:top w:val="single" w:sz="8" w:space="0" w:color="000000"/>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Buxheti zyrtar 2017</w:t>
            </w:r>
          </w:p>
        </w:tc>
        <w:tc>
          <w:tcPr>
            <w:tcW w:w="1861" w:type="dxa"/>
            <w:tcBorders>
              <w:top w:val="single" w:sz="8" w:space="0" w:color="000000"/>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Vlerësim Buxheti 2017</w:t>
            </w:r>
          </w:p>
        </w:tc>
        <w:tc>
          <w:tcPr>
            <w:tcW w:w="1532" w:type="dxa"/>
            <w:tcBorders>
              <w:top w:val="single" w:sz="8" w:space="0" w:color="000000"/>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Pr>
                <w:rFonts w:eastAsia="Times New Roman"/>
                <w:b/>
                <w:bCs/>
                <w:color w:val="000000"/>
                <w:sz w:val="20"/>
                <w:szCs w:val="20"/>
              </w:rPr>
              <w:t>Diferenca</w:t>
            </w:r>
          </w:p>
        </w:tc>
        <w:tc>
          <w:tcPr>
            <w:tcW w:w="1532" w:type="dxa"/>
            <w:tcBorders>
              <w:top w:val="single" w:sz="8" w:space="0" w:color="000000"/>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Në %</w:t>
            </w:r>
          </w:p>
        </w:tc>
      </w:tr>
      <w:tr w:rsidR="00616C21" w:rsidRPr="009F0D01" w:rsidTr="00A67D90">
        <w:trPr>
          <w:trHeight w:val="209"/>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Tatimi mbi vlerën e shtuar</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141,200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139,317</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-1,883</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-1.3%</w:t>
            </w:r>
          </w:p>
        </w:tc>
      </w:tr>
      <w:tr w:rsidR="00616C21" w:rsidRPr="009F0D01" w:rsidTr="00A67D90">
        <w:trPr>
          <w:trHeight w:val="209"/>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Tatimi mbi fitimin</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29,200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31,700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2,500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8.6%</w:t>
            </w:r>
          </w:p>
        </w:tc>
      </w:tr>
      <w:tr w:rsidR="00616C21" w:rsidRPr="009F0D01" w:rsidTr="00A67D90">
        <w:trPr>
          <w:trHeight w:val="209"/>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Akciza</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46,700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46,000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-1.5%</w:t>
            </w:r>
          </w:p>
        </w:tc>
      </w:tr>
      <w:tr w:rsidR="00616C21" w:rsidRPr="009F0D01" w:rsidTr="00A67D90">
        <w:trPr>
          <w:trHeight w:val="356"/>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Tatimi mbi të ardhurat personale</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36,200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34,000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-2,200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-6.1%</w:t>
            </w:r>
          </w:p>
        </w:tc>
      </w:tr>
      <w:tr w:rsidR="00616C21" w:rsidRPr="009F0D01" w:rsidTr="00A67D90">
        <w:trPr>
          <w:trHeight w:val="209"/>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Taksa Nacionale dhe të tjera</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39,700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41,200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1,500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3.8%</w:t>
            </w:r>
          </w:p>
        </w:tc>
      </w:tr>
      <w:tr w:rsidR="00616C21" w:rsidRPr="009F0D01" w:rsidTr="00A67D90">
        <w:trPr>
          <w:trHeight w:val="209"/>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Taksa Doganore</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6,400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6,400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0</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0.0%</w:t>
            </w:r>
          </w:p>
        </w:tc>
      </w:tr>
      <w:tr w:rsidR="00616C21" w:rsidRPr="009F0D01" w:rsidTr="00A67D90">
        <w:trPr>
          <w:trHeight w:val="209"/>
        </w:trPr>
        <w:tc>
          <w:tcPr>
            <w:tcW w:w="3503"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Totali "Tatime dhe Dogana"</w:t>
            </w:r>
          </w:p>
        </w:tc>
        <w:tc>
          <w:tcPr>
            <w:tcW w:w="166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299,400</w:t>
            </w:r>
          </w:p>
        </w:tc>
        <w:tc>
          <w:tcPr>
            <w:tcW w:w="1861"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298,617</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-783</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Pr>
                <w:rFonts w:eastAsia="Times New Roman"/>
                <w:b/>
                <w:bCs/>
                <w:color w:val="000000"/>
                <w:sz w:val="20"/>
                <w:szCs w:val="20"/>
              </w:rPr>
              <w:t>-</w:t>
            </w:r>
            <w:r w:rsidRPr="009F0D01">
              <w:rPr>
                <w:rFonts w:eastAsia="Times New Roman"/>
                <w:b/>
                <w:bCs/>
                <w:color w:val="000000"/>
                <w:sz w:val="20"/>
                <w:szCs w:val="20"/>
              </w:rPr>
              <w:t>0</w:t>
            </w:r>
            <w:r>
              <w:rPr>
                <w:rFonts w:eastAsia="Times New Roman"/>
                <w:b/>
                <w:bCs/>
                <w:color w:val="000000"/>
                <w:sz w:val="20"/>
                <w:szCs w:val="20"/>
              </w:rPr>
              <w:t>.3</w:t>
            </w:r>
            <w:r w:rsidRPr="009F0D01">
              <w:rPr>
                <w:rFonts w:eastAsia="Times New Roman"/>
                <w:b/>
                <w:bCs/>
                <w:color w:val="000000"/>
                <w:sz w:val="20"/>
                <w:szCs w:val="20"/>
              </w:rPr>
              <w:t>%</w:t>
            </w:r>
          </w:p>
        </w:tc>
      </w:tr>
      <w:tr w:rsidR="00616C21" w:rsidRPr="009F0D01" w:rsidTr="00A67D90">
        <w:trPr>
          <w:trHeight w:val="220"/>
        </w:trPr>
        <w:tc>
          <w:tcPr>
            <w:tcW w:w="3503"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Kontribute nga DPT</w:t>
            </w:r>
          </w:p>
        </w:tc>
        <w:tc>
          <w:tcPr>
            <w:tcW w:w="1669"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78,250</w:t>
            </w:r>
          </w:p>
        </w:tc>
        <w:tc>
          <w:tcPr>
            <w:tcW w:w="1861"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79,033</w:t>
            </w:r>
          </w:p>
        </w:tc>
        <w:tc>
          <w:tcPr>
            <w:tcW w:w="1532"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783</w:t>
            </w:r>
          </w:p>
        </w:tc>
        <w:tc>
          <w:tcPr>
            <w:tcW w:w="153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1.0%</w:t>
            </w:r>
          </w:p>
        </w:tc>
      </w:tr>
      <w:tr w:rsidR="00616C21" w:rsidRPr="009F0D01" w:rsidTr="00A67D90">
        <w:trPr>
          <w:trHeight w:val="220"/>
        </w:trPr>
        <w:tc>
          <w:tcPr>
            <w:tcW w:w="3503" w:type="dxa"/>
            <w:tcBorders>
              <w:top w:val="nil"/>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Totali</w:t>
            </w:r>
          </w:p>
        </w:tc>
        <w:tc>
          <w:tcPr>
            <w:tcW w:w="1669" w:type="dxa"/>
            <w:tcBorders>
              <w:top w:val="nil"/>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377,650</w:t>
            </w:r>
          </w:p>
        </w:tc>
        <w:tc>
          <w:tcPr>
            <w:tcW w:w="1861" w:type="dxa"/>
            <w:tcBorders>
              <w:top w:val="nil"/>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377,650</w:t>
            </w:r>
          </w:p>
        </w:tc>
        <w:tc>
          <w:tcPr>
            <w:tcW w:w="1532" w:type="dxa"/>
            <w:tcBorders>
              <w:top w:val="nil"/>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0</w:t>
            </w:r>
          </w:p>
        </w:tc>
        <w:tc>
          <w:tcPr>
            <w:tcW w:w="1532" w:type="dxa"/>
            <w:tcBorders>
              <w:top w:val="single" w:sz="8" w:space="0" w:color="000000"/>
              <w:left w:val="nil"/>
              <w:bottom w:val="single" w:sz="8" w:space="0" w:color="000000"/>
              <w:right w:val="nil"/>
            </w:tcBorders>
            <w:shd w:val="clear" w:color="000000" w:fill="FFFFFF"/>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0%</w:t>
            </w:r>
          </w:p>
        </w:tc>
      </w:tr>
    </w:tbl>
    <w:p w:rsidR="00616C21" w:rsidRDefault="00616C21" w:rsidP="00616C21">
      <w:pPr>
        <w:spacing w:line="276" w:lineRule="auto"/>
        <w:ind w:left="7920"/>
        <w:jc w:val="both"/>
        <w:rPr>
          <w:rFonts w:eastAsia="Times New Roman"/>
          <w:i/>
          <w:iCs/>
          <w:color w:val="000000"/>
          <w:sz w:val="20"/>
          <w:szCs w:val="20"/>
        </w:rPr>
      </w:pPr>
    </w:p>
    <w:p w:rsidR="00616C21" w:rsidRPr="009C5122" w:rsidRDefault="00616C21" w:rsidP="00616C21">
      <w:pPr>
        <w:spacing w:line="276" w:lineRule="auto"/>
        <w:jc w:val="both"/>
        <w:rPr>
          <w:rFonts w:eastAsia="Times New Roman"/>
        </w:rPr>
      </w:pPr>
      <w:r w:rsidRPr="009C5122">
        <w:rPr>
          <w:rFonts w:eastAsia="Times New Roman"/>
          <w:b/>
          <w:bCs/>
          <w:color w:val="000000"/>
          <w:sz w:val="20"/>
          <w:szCs w:val="20"/>
        </w:rPr>
        <w:t>Burimi:</w:t>
      </w:r>
      <w:r w:rsidRPr="009C5122">
        <w:rPr>
          <w:rFonts w:eastAsia="Times New Roman"/>
          <w:b/>
          <w:bCs/>
          <w:i/>
          <w:iCs/>
          <w:color w:val="000000"/>
          <w:sz w:val="20"/>
          <w:szCs w:val="20"/>
        </w:rPr>
        <w:t xml:space="preserve"> </w:t>
      </w:r>
      <w:r>
        <w:rPr>
          <w:rFonts w:eastAsia="Times New Roman"/>
          <w:i/>
          <w:iCs/>
          <w:color w:val="000000"/>
          <w:sz w:val="20"/>
          <w:szCs w:val="20"/>
        </w:rPr>
        <w:t>Ministria e Financave dhe Ekono</w:t>
      </w:r>
      <w:r w:rsidRPr="009C5122">
        <w:rPr>
          <w:rFonts w:eastAsia="Times New Roman"/>
          <w:i/>
          <w:iCs/>
          <w:color w:val="000000"/>
          <w:sz w:val="20"/>
          <w:szCs w:val="20"/>
        </w:rPr>
        <w:t>misë (2017)</w:t>
      </w:r>
    </w:p>
    <w:p w:rsidR="0094405F" w:rsidRDefault="0094405F" w:rsidP="00616C21">
      <w:pPr>
        <w:spacing w:line="276" w:lineRule="auto"/>
        <w:jc w:val="both"/>
        <w:rPr>
          <w:rFonts w:eastAsia="Times New Roman"/>
          <w:b/>
          <w:bCs/>
          <w:color w:val="000000"/>
        </w:rPr>
      </w:pPr>
    </w:p>
    <w:p w:rsidR="00616C21" w:rsidRPr="009C5122" w:rsidRDefault="00616C21" w:rsidP="00616C21">
      <w:pPr>
        <w:spacing w:line="276" w:lineRule="auto"/>
        <w:jc w:val="both"/>
        <w:rPr>
          <w:rFonts w:eastAsia="Times New Roman"/>
        </w:rPr>
      </w:pPr>
      <w:r>
        <w:rPr>
          <w:rFonts w:eastAsia="Times New Roman"/>
          <w:b/>
          <w:bCs/>
          <w:color w:val="000000"/>
        </w:rPr>
        <w:t>P</w:t>
      </w:r>
      <w:r w:rsidRPr="009C5122">
        <w:rPr>
          <w:rFonts w:eastAsia="Times New Roman"/>
          <w:b/>
          <w:bCs/>
          <w:color w:val="000000"/>
        </w:rPr>
        <w:t>ritshmëria e të ardhurave nga Administrata Doganore</w:t>
      </w:r>
    </w:p>
    <w:p w:rsidR="00616C21" w:rsidRPr="009C5122" w:rsidRDefault="00616C21" w:rsidP="00616C21">
      <w:pPr>
        <w:spacing w:line="276" w:lineRule="auto"/>
        <w:jc w:val="both"/>
        <w:rPr>
          <w:rFonts w:eastAsia="Times New Roman"/>
        </w:rPr>
      </w:pPr>
      <w:r w:rsidRPr="009C5122">
        <w:rPr>
          <w:rFonts w:eastAsia="Times New Roman"/>
          <w:color w:val="000000"/>
        </w:rPr>
        <w:t>Të ardhurat e pritshme për vitin 2017, janë vlerësuar mbi bazën e përformancës së të ardhurave në periudhën Janar-</w:t>
      </w:r>
      <w:r>
        <w:rPr>
          <w:rFonts w:eastAsia="Times New Roman"/>
          <w:color w:val="000000"/>
        </w:rPr>
        <w:t>Shtator</w:t>
      </w:r>
      <w:r w:rsidRPr="009C5122">
        <w:rPr>
          <w:rFonts w:eastAsia="Times New Roman"/>
          <w:color w:val="000000"/>
        </w:rPr>
        <w:t xml:space="preserve"> 2017.</w:t>
      </w:r>
    </w:p>
    <w:p w:rsidR="00616C21" w:rsidRDefault="00616C21" w:rsidP="00616C21">
      <w:pPr>
        <w:spacing w:line="276" w:lineRule="auto"/>
        <w:ind w:left="7920"/>
        <w:jc w:val="both"/>
        <w:rPr>
          <w:rFonts w:eastAsia="Times New Roman"/>
          <w:i/>
          <w:iCs/>
          <w:color w:val="000000"/>
          <w:sz w:val="20"/>
          <w:szCs w:val="20"/>
        </w:rPr>
      </w:pPr>
    </w:p>
    <w:p w:rsidR="00616C21" w:rsidRPr="00304F33" w:rsidRDefault="00616C21" w:rsidP="00616C21">
      <w:pPr>
        <w:pStyle w:val="Caption"/>
        <w:keepNext/>
        <w:rPr>
          <w:bCs w:val="0"/>
          <w:noProof/>
          <w:color w:val="auto"/>
          <w:sz w:val="22"/>
          <w:szCs w:val="22"/>
          <w:lang w:val="sq-AL"/>
        </w:rPr>
      </w:pPr>
      <w:r>
        <w:rPr>
          <w:bCs w:val="0"/>
          <w:noProof/>
          <w:color w:val="auto"/>
          <w:sz w:val="22"/>
          <w:szCs w:val="22"/>
          <w:lang w:val="sq-AL"/>
        </w:rPr>
        <w:t xml:space="preserve">Tabela 7: Të ardhurat e pritshme nga Administrata Doganore                          </w:t>
      </w:r>
      <w:r w:rsidRPr="00304F33">
        <w:rPr>
          <w:b w:val="0"/>
          <w:bCs w:val="0"/>
          <w:i/>
          <w:noProof/>
          <w:color w:val="auto"/>
          <w:sz w:val="22"/>
          <w:szCs w:val="22"/>
          <w:lang w:val="sq-AL"/>
        </w:rPr>
        <w:t>(në milion lekë)</w:t>
      </w:r>
      <w:r>
        <w:rPr>
          <w:bCs w:val="0"/>
          <w:noProof/>
          <w:color w:val="auto"/>
          <w:sz w:val="22"/>
          <w:szCs w:val="22"/>
          <w:lang w:val="sq-AL"/>
        </w:rPr>
        <w:t xml:space="preserve">   </w:t>
      </w:r>
    </w:p>
    <w:tbl>
      <w:tblPr>
        <w:tblW w:w="9040" w:type="dxa"/>
        <w:tblLook w:val="04A0" w:firstRow="1" w:lastRow="0" w:firstColumn="1" w:lastColumn="0" w:noHBand="0" w:noVBand="1"/>
      </w:tblPr>
      <w:tblGrid>
        <w:gridCol w:w="3136"/>
        <w:gridCol w:w="1494"/>
        <w:gridCol w:w="1666"/>
        <w:gridCol w:w="1372"/>
        <w:gridCol w:w="1372"/>
      </w:tblGrid>
      <w:tr w:rsidR="00616C21" w:rsidRPr="009F0D01" w:rsidTr="00A67D90">
        <w:trPr>
          <w:trHeight w:val="12"/>
        </w:trPr>
        <w:tc>
          <w:tcPr>
            <w:tcW w:w="3136"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Administrata Doganore</w:t>
            </w:r>
          </w:p>
        </w:tc>
        <w:tc>
          <w:tcPr>
            <w:tcW w:w="1494"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Buxheti zyrtar 2017</w:t>
            </w:r>
          </w:p>
        </w:tc>
        <w:tc>
          <w:tcPr>
            <w:tcW w:w="1666"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Vlerësim Buxheti 2017</w:t>
            </w:r>
          </w:p>
        </w:tc>
        <w:tc>
          <w:tcPr>
            <w:tcW w:w="1372"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Diferenca</w:t>
            </w:r>
          </w:p>
        </w:tc>
        <w:tc>
          <w:tcPr>
            <w:tcW w:w="1372"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Në %</w:t>
            </w:r>
          </w:p>
        </w:tc>
      </w:tr>
      <w:tr w:rsidR="00616C21" w:rsidRPr="009F0D01" w:rsidTr="00A67D90">
        <w:trPr>
          <w:trHeight w:val="4"/>
        </w:trPr>
        <w:tc>
          <w:tcPr>
            <w:tcW w:w="3136"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Taksa doganore</w:t>
            </w:r>
          </w:p>
        </w:tc>
        <w:tc>
          <w:tcPr>
            <w:tcW w:w="149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6,400 </w:t>
            </w:r>
          </w:p>
        </w:tc>
        <w:tc>
          <w:tcPr>
            <w:tcW w:w="1666"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6,400 </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   </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0%</w:t>
            </w:r>
          </w:p>
        </w:tc>
      </w:tr>
      <w:tr w:rsidR="00616C21" w:rsidRPr="009F0D01" w:rsidTr="00A67D90">
        <w:trPr>
          <w:trHeight w:val="4"/>
        </w:trPr>
        <w:tc>
          <w:tcPr>
            <w:tcW w:w="3136"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Tatimi mbi vlerën e shtuar</w:t>
            </w:r>
          </w:p>
        </w:tc>
        <w:tc>
          <w:tcPr>
            <w:tcW w:w="149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101,877 </w:t>
            </w:r>
          </w:p>
        </w:tc>
        <w:tc>
          <w:tcPr>
            <w:tcW w:w="1666"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102,677 </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800 </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w:t>
            </w:r>
          </w:p>
        </w:tc>
      </w:tr>
      <w:tr w:rsidR="00616C21" w:rsidRPr="009F0D01" w:rsidTr="00A67D90">
        <w:trPr>
          <w:trHeight w:val="4"/>
        </w:trPr>
        <w:tc>
          <w:tcPr>
            <w:tcW w:w="3136"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Akciza</w:t>
            </w:r>
          </w:p>
        </w:tc>
        <w:tc>
          <w:tcPr>
            <w:tcW w:w="149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46,700 </w:t>
            </w:r>
          </w:p>
        </w:tc>
        <w:tc>
          <w:tcPr>
            <w:tcW w:w="1666"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46,000 </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(700)</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w:t>
            </w:r>
          </w:p>
        </w:tc>
      </w:tr>
      <w:tr w:rsidR="00616C21" w:rsidRPr="009F0D01" w:rsidTr="00A67D90">
        <w:trPr>
          <w:trHeight w:val="5"/>
        </w:trPr>
        <w:tc>
          <w:tcPr>
            <w:tcW w:w="3136"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Renta minerare</w:t>
            </w:r>
          </w:p>
        </w:tc>
        <w:tc>
          <w:tcPr>
            <w:tcW w:w="1494"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2,100 </w:t>
            </w:r>
          </w:p>
        </w:tc>
        <w:tc>
          <w:tcPr>
            <w:tcW w:w="1666"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2,000 </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 xml:space="preserve">              (100)</w:t>
            </w:r>
          </w:p>
        </w:tc>
        <w:tc>
          <w:tcPr>
            <w:tcW w:w="137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-5%</w:t>
            </w:r>
          </w:p>
        </w:tc>
      </w:tr>
      <w:tr w:rsidR="00616C21" w:rsidRPr="009F0D01" w:rsidTr="00A67D90">
        <w:trPr>
          <w:trHeight w:val="5"/>
        </w:trPr>
        <w:tc>
          <w:tcPr>
            <w:tcW w:w="3136"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Totali</w:t>
            </w:r>
          </w:p>
        </w:tc>
        <w:tc>
          <w:tcPr>
            <w:tcW w:w="1494"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 xml:space="preserve">         157,077 </w:t>
            </w:r>
          </w:p>
        </w:tc>
        <w:tc>
          <w:tcPr>
            <w:tcW w:w="1666"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 xml:space="preserve">            157,077 </w:t>
            </w:r>
          </w:p>
        </w:tc>
        <w:tc>
          <w:tcPr>
            <w:tcW w:w="1372"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 xml:space="preserve">                  -   </w:t>
            </w:r>
          </w:p>
        </w:tc>
        <w:tc>
          <w:tcPr>
            <w:tcW w:w="1372"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100%</w:t>
            </w:r>
          </w:p>
        </w:tc>
      </w:tr>
    </w:tbl>
    <w:p w:rsidR="00616C21" w:rsidRPr="009C5122" w:rsidRDefault="00616C21" w:rsidP="00616C21">
      <w:pPr>
        <w:spacing w:line="276" w:lineRule="auto"/>
        <w:jc w:val="both"/>
        <w:rPr>
          <w:rFonts w:eastAsia="Times New Roman"/>
        </w:rPr>
      </w:pPr>
      <w:r w:rsidRPr="009C5122">
        <w:rPr>
          <w:rFonts w:eastAsia="Times New Roman"/>
          <w:b/>
          <w:bCs/>
          <w:color w:val="000000"/>
          <w:sz w:val="20"/>
          <w:szCs w:val="20"/>
        </w:rPr>
        <w:t>Burimi:</w:t>
      </w:r>
      <w:r w:rsidRPr="009C5122">
        <w:rPr>
          <w:rFonts w:eastAsia="Times New Roman"/>
          <w:b/>
          <w:bCs/>
          <w:i/>
          <w:iCs/>
          <w:color w:val="000000"/>
          <w:sz w:val="20"/>
          <w:szCs w:val="20"/>
        </w:rPr>
        <w:t xml:space="preserve"> </w:t>
      </w:r>
      <w:r w:rsidRPr="009C5122">
        <w:rPr>
          <w:rFonts w:eastAsia="Times New Roman"/>
          <w:i/>
          <w:iCs/>
          <w:color w:val="000000"/>
          <w:sz w:val="20"/>
          <w:szCs w:val="20"/>
        </w:rPr>
        <w:t>Ministria e Financave dhe Ekon</w:t>
      </w:r>
      <w:r>
        <w:rPr>
          <w:rFonts w:eastAsia="Times New Roman"/>
          <w:i/>
          <w:iCs/>
          <w:color w:val="000000"/>
          <w:sz w:val="20"/>
          <w:szCs w:val="20"/>
        </w:rPr>
        <w:t>o</w:t>
      </w:r>
      <w:r w:rsidRPr="009C5122">
        <w:rPr>
          <w:rFonts w:eastAsia="Times New Roman"/>
          <w:i/>
          <w:iCs/>
          <w:color w:val="000000"/>
          <w:sz w:val="20"/>
          <w:szCs w:val="20"/>
        </w:rPr>
        <w:t>misë (2017)</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sidRPr="009C5122">
        <w:rPr>
          <w:rFonts w:eastAsia="Times New Roman"/>
          <w:b/>
          <w:bCs/>
          <w:i/>
          <w:iCs/>
          <w:color w:val="000000"/>
        </w:rPr>
        <w:lastRenderedPageBreak/>
        <w:t>Performanca e të ardhurave nga TVSH në import</w:t>
      </w:r>
      <w:r w:rsidRPr="009C5122">
        <w:rPr>
          <w:rFonts w:eastAsia="Times New Roman"/>
          <w:color w:val="000000"/>
        </w:rPr>
        <w:t xml:space="preserve"> është ndikuar në një masë të rëndësishme nga disa faktorë: </w:t>
      </w:r>
    </w:p>
    <w:p w:rsidR="00616C21" w:rsidRPr="009C5122" w:rsidRDefault="00616C21" w:rsidP="00616C21">
      <w:pPr>
        <w:spacing w:line="276" w:lineRule="auto"/>
        <w:jc w:val="both"/>
        <w:rPr>
          <w:rFonts w:eastAsia="Times New Roman"/>
        </w:rPr>
      </w:pPr>
    </w:p>
    <w:p w:rsidR="00616C21" w:rsidRPr="009C5122" w:rsidRDefault="00616C21" w:rsidP="002C5B1B">
      <w:pPr>
        <w:numPr>
          <w:ilvl w:val="0"/>
          <w:numId w:val="46"/>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Rritja e prodhimit </w:t>
      </w:r>
      <w:proofErr w:type="gramStart"/>
      <w:r w:rsidRPr="009C5122">
        <w:rPr>
          <w:rFonts w:eastAsia="Times New Roman"/>
          <w:color w:val="000000"/>
        </w:rPr>
        <w:t>vendas</w:t>
      </w:r>
      <w:proofErr w:type="gramEnd"/>
      <w:r w:rsidRPr="009C5122">
        <w:rPr>
          <w:rFonts w:eastAsia="Times New Roman"/>
          <w:color w:val="000000"/>
        </w:rPr>
        <w:t xml:space="preserve"> të karburantit ka ulur importin e këtij produkti dhe si rrjedhojë të ardhurat nga TVSH- ja në import. Karburanti prodhim </w:t>
      </w:r>
      <w:proofErr w:type="gramStart"/>
      <w:r w:rsidRPr="009C5122">
        <w:rPr>
          <w:rFonts w:eastAsia="Times New Roman"/>
          <w:color w:val="000000"/>
        </w:rPr>
        <w:t>vendas</w:t>
      </w:r>
      <w:proofErr w:type="gramEnd"/>
      <w:r w:rsidRPr="009C5122">
        <w:rPr>
          <w:rFonts w:eastAsia="Times New Roman"/>
          <w:color w:val="000000"/>
        </w:rPr>
        <w:t xml:space="preserve"> mbuloi rreth 30.</w:t>
      </w:r>
      <w:r>
        <w:rPr>
          <w:rFonts w:eastAsia="Times New Roman"/>
          <w:color w:val="000000"/>
        </w:rPr>
        <w:t>8</w:t>
      </w:r>
      <w:r w:rsidRPr="009C5122">
        <w:rPr>
          <w:rFonts w:eastAsia="Times New Roman"/>
          <w:color w:val="000000"/>
        </w:rPr>
        <w:t xml:space="preserve">% të konsumit gjatë </w:t>
      </w:r>
      <w:r>
        <w:rPr>
          <w:rFonts w:eastAsia="Times New Roman"/>
          <w:color w:val="000000"/>
        </w:rPr>
        <w:t>9</w:t>
      </w:r>
      <w:r w:rsidRPr="009C5122">
        <w:rPr>
          <w:rFonts w:eastAsia="Times New Roman"/>
          <w:color w:val="000000"/>
        </w:rPr>
        <w:t xml:space="preserve"> mujorit të vitit 2017 krahasuar me 1.5% që ishte ky tregues vitin e kaluar. Efekti negativ për shkak të sasisë, është zbutur nga </w:t>
      </w:r>
      <w:r>
        <w:rPr>
          <w:rFonts w:eastAsia="Times New Roman"/>
          <w:color w:val="000000"/>
        </w:rPr>
        <w:t xml:space="preserve">efekti i </w:t>
      </w:r>
      <w:r w:rsidRPr="009C5122">
        <w:rPr>
          <w:rFonts w:eastAsia="Times New Roman"/>
          <w:color w:val="000000"/>
        </w:rPr>
        <w:t>çmimeve ndërkombëtare të karburanteve</w:t>
      </w:r>
      <w:r>
        <w:rPr>
          <w:rFonts w:eastAsia="Times New Roman"/>
          <w:color w:val="000000"/>
        </w:rPr>
        <w:t>.</w:t>
      </w:r>
      <w:r w:rsidRPr="009C5122">
        <w:rPr>
          <w:rFonts w:eastAsia="Times New Roman"/>
          <w:color w:val="000000"/>
        </w:rPr>
        <w:t xml:space="preserve"> Ndërko</w:t>
      </w:r>
      <w:r w:rsidR="00D61B5E">
        <w:rPr>
          <w:rFonts w:eastAsia="Times New Roman"/>
          <w:color w:val="000000"/>
        </w:rPr>
        <w:t>hë rritja e çmimit të karburan</w:t>
      </w:r>
      <w:r w:rsidRPr="009C5122">
        <w:rPr>
          <w:rFonts w:eastAsia="Times New Roman"/>
          <w:color w:val="000000"/>
        </w:rPr>
        <w:t>tit në bursat ndërkombëtare ku kuotohen këto produkte, ka dhënë rezultat pozitiv.</w:t>
      </w:r>
    </w:p>
    <w:p w:rsidR="00616C21" w:rsidRPr="009C5122" w:rsidRDefault="00616C21" w:rsidP="002C5B1B">
      <w:pPr>
        <w:numPr>
          <w:ilvl w:val="0"/>
          <w:numId w:val="46"/>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Rritja e importit të energjisë elektrike si rezultat i rënies së prodhimit </w:t>
      </w:r>
      <w:proofErr w:type="gramStart"/>
      <w:r w:rsidRPr="009C5122">
        <w:rPr>
          <w:rFonts w:eastAsia="Times New Roman"/>
          <w:color w:val="000000"/>
        </w:rPr>
        <w:t>vendas</w:t>
      </w:r>
      <w:proofErr w:type="gramEnd"/>
      <w:r w:rsidRPr="009C5122">
        <w:rPr>
          <w:rFonts w:eastAsia="Times New Roman"/>
          <w:color w:val="000000"/>
        </w:rPr>
        <w:t xml:space="preserve"> dhe disiplinimit të konsumit.</w:t>
      </w:r>
    </w:p>
    <w:p w:rsidR="00616C21" w:rsidRPr="009C5122" w:rsidRDefault="00616C21" w:rsidP="00616C21">
      <w:pPr>
        <w:spacing w:line="276" w:lineRule="auto"/>
        <w:jc w:val="both"/>
        <w:rPr>
          <w:rFonts w:eastAsia="Times New Roman"/>
        </w:rPr>
      </w:pPr>
      <w:r>
        <w:rPr>
          <w:rFonts w:eastAsia="Times New Roman"/>
          <w:color w:val="000000"/>
          <w:sz w:val="20"/>
          <w:szCs w:val="20"/>
        </w:rPr>
        <w:t> </w:t>
      </w:r>
      <w:r w:rsidRPr="009C5122">
        <w:rPr>
          <w:rFonts w:eastAsia="Times New Roman"/>
          <w:b/>
          <w:bCs/>
          <w:i/>
          <w:iCs/>
          <w:color w:val="000000"/>
        </w:rPr>
        <w:t>Performanca e të ardhurave nga akciza</w:t>
      </w:r>
      <w:r w:rsidRPr="009C5122">
        <w:rPr>
          <w:rFonts w:eastAsia="Times New Roman"/>
          <w:color w:val="000000"/>
        </w:rPr>
        <w:t>, është ndikuar nga faktorët e mëposhtëm:</w:t>
      </w:r>
    </w:p>
    <w:p w:rsidR="00616C21" w:rsidRPr="009C5122" w:rsidRDefault="00616C21" w:rsidP="002C5B1B">
      <w:pPr>
        <w:numPr>
          <w:ilvl w:val="0"/>
          <w:numId w:val="47"/>
        </w:numPr>
        <w:spacing w:before="100" w:line="276" w:lineRule="auto"/>
        <w:jc w:val="both"/>
        <w:textAlignment w:val="baseline"/>
        <w:rPr>
          <w:rFonts w:ascii="Noto Sans Symbols" w:eastAsia="Times New Roman" w:hAnsi="Noto Sans Symbols"/>
          <w:color w:val="000000"/>
        </w:rPr>
      </w:pPr>
      <w:r w:rsidRPr="009C5122">
        <w:rPr>
          <w:rFonts w:eastAsia="Times New Roman"/>
          <w:color w:val="000000"/>
        </w:rPr>
        <w:t xml:space="preserve">rritja e importit dhe prodhimi vendas </w:t>
      </w:r>
      <w:r w:rsidR="00517E38">
        <w:rPr>
          <w:rFonts w:eastAsia="Times New Roman"/>
          <w:color w:val="000000"/>
        </w:rPr>
        <w:t>i</w:t>
      </w:r>
      <w:r w:rsidRPr="009C5122">
        <w:rPr>
          <w:rFonts w:eastAsia="Times New Roman"/>
          <w:color w:val="000000"/>
        </w:rPr>
        <w:t xml:space="preserve"> karburanteve, ku vetëm për periudhën janar-</w:t>
      </w:r>
      <w:r>
        <w:rPr>
          <w:rFonts w:eastAsia="Times New Roman"/>
          <w:color w:val="000000"/>
        </w:rPr>
        <w:t>shtator</w:t>
      </w:r>
      <w:r w:rsidRPr="009C5122">
        <w:rPr>
          <w:rFonts w:eastAsia="Times New Roman"/>
          <w:color w:val="000000"/>
        </w:rPr>
        <w:t xml:space="preserve"> 2017 </w:t>
      </w:r>
      <w:r w:rsidR="00517E38">
        <w:rPr>
          <w:rFonts w:eastAsia="Times New Roman"/>
          <w:color w:val="000000"/>
        </w:rPr>
        <w:t>janë +10.5</w:t>
      </w:r>
      <w:r w:rsidR="00EE6C6B">
        <w:rPr>
          <w:rFonts w:eastAsia="Times New Roman"/>
          <w:color w:val="000000"/>
        </w:rPr>
        <w:t xml:space="preserve">% </w:t>
      </w:r>
      <w:r>
        <w:rPr>
          <w:rFonts w:eastAsia="Times New Roman"/>
          <w:color w:val="000000"/>
        </w:rPr>
        <w:t>ose 40</w:t>
      </w:r>
      <w:r w:rsidRPr="009C5122">
        <w:rPr>
          <w:rFonts w:eastAsia="Times New Roman"/>
          <w:color w:val="000000"/>
        </w:rPr>
        <w:t>,</w:t>
      </w:r>
      <w:r>
        <w:rPr>
          <w:rFonts w:eastAsia="Times New Roman"/>
          <w:color w:val="000000"/>
        </w:rPr>
        <w:t>04</w:t>
      </w:r>
      <w:r w:rsidRPr="009C5122">
        <w:rPr>
          <w:rFonts w:eastAsia="Times New Roman"/>
          <w:color w:val="000000"/>
        </w:rPr>
        <w:t>0 ton</w:t>
      </w:r>
      <w:r>
        <w:rPr>
          <w:rFonts w:eastAsia="Times New Roman"/>
          <w:color w:val="000000"/>
        </w:rPr>
        <w:t xml:space="preserve"> më shumë</w:t>
      </w:r>
      <w:r w:rsidRPr="009C5122">
        <w:rPr>
          <w:rFonts w:eastAsia="Times New Roman"/>
          <w:color w:val="000000"/>
        </w:rPr>
        <w:t xml:space="preserve"> krahasuar me </w:t>
      </w:r>
      <w:r>
        <w:rPr>
          <w:rFonts w:eastAsia="Times New Roman"/>
          <w:color w:val="000000"/>
        </w:rPr>
        <w:t>9</w:t>
      </w:r>
      <w:r w:rsidRPr="009C5122">
        <w:rPr>
          <w:rFonts w:eastAsia="Times New Roman"/>
          <w:color w:val="000000"/>
        </w:rPr>
        <w:t xml:space="preserve"> mujorin e vitit 2016.</w:t>
      </w:r>
    </w:p>
    <w:p w:rsidR="00616C21" w:rsidRPr="009C5122" w:rsidRDefault="00616C21" w:rsidP="002C5B1B">
      <w:pPr>
        <w:numPr>
          <w:ilvl w:val="0"/>
          <w:numId w:val="47"/>
        </w:numPr>
        <w:spacing w:before="100" w:line="276" w:lineRule="auto"/>
        <w:jc w:val="both"/>
        <w:textAlignment w:val="baseline"/>
        <w:rPr>
          <w:rFonts w:ascii="Noto Sans Symbols" w:eastAsia="Times New Roman" w:hAnsi="Noto Sans Symbols"/>
          <w:b/>
          <w:bCs/>
          <w:i/>
          <w:iCs/>
          <w:color w:val="000000"/>
        </w:rPr>
      </w:pPr>
      <w:proofErr w:type="gramStart"/>
      <w:r w:rsidRPr="009C5122">
        <w:rPr>
          <w:rFonts w:eastAsia="Times New Roman"/>
          <w:color w:val="000000"/>
        </w:rPr>
        <w:t>rritja</w:t>
      </w:r>
      <w:proofErr w:type="gramEnd"/>
      <w:r w:rsidRPr="009C5122">
        <w:rPr>
          <w:rFonts w:eastAsia="Times New Roman"/>
          <w:color w:val="000000"/>
        </w:rPr>
        <w:t xml:space="preserve"> e importit të Gazit të Lëngët me </w:t>
      </w:r>
      <w:r w:rsidR="00517E38">
        <w:rPr>
          <w:rFonts w:eastAsia="Times New Roman"/>
          <w:color w:val="000000"/>
        </w:rPr>
        <w:t>24.1</w:t>
      </w:r>
      <w:r w:rsidRPr="009C5122">
        <w:rPr>
          <w:rFonts w:eastAsia="Times New Roman"/>
          <w:color w:val="000000"/>
        </w:rPr>
        <w:t>%,  importi</w:t>
      </w:r>
      <w:r>
        <w:rPr>
          <w:rFonts w:eastAsia="Times New Roman"/>
          <w:color w:val="000000"/>
        </w:rPr>
        <w:t>t</w:t>
      </w:r>
      <w:r w:rsidRPr="009C5122">
        <w:rPr>
          <w:rFonts w:eastAsia="Times New Roman"/>
          <w:color w:val="000000"/>
        </w:rPr>
        <w:t xml:space="preserve"> dhe prodhimi</w:t>
      </w:r>
      <w:r>
        <w:rPr>
          <w:rFonts w:eastAsia="Times New Roman"/>
          <w:color w:val="000000"/>
        </w:rPr>
        <w:t>t</w:t>
      </w:r>
      <w:r w:rsidRPr="009C5122">
        <w:rPr>
          <w:rFonts w:eastAsia="Times New Roman"/>
          <w:color w:val="000000"/>
        </w:rPr>
        <w:t xml:space="preserve"> </w:t>
      </w:r>
      <w:r>
        <w:rPr>
          <w:rFonts w:eastAsia="Times New Roman"/>
          <w:color w:val="000000"/>
        </w:rPr>
        <w:t>të</w:t>
      </w:r>
      <w:r w:rsidRPr="009C5122">
        <w:rPr>
          <w:rFonts w:eastAsia="Times New Roman"/>
          <w:color w:val="000000"/>
        </w:rPr>
        <w:t xml:space="preserve"> birrës me 1</w:t>
      </w:r>
      <w:r>
        <w:rPr>
          <w:rFonts w:eastAsia="Times New Roman"/>
          <w:color w:val="000000"/>
        </w:rPr>
        <w:t>3.7</w:t>
      </w:r>
      <w:r w:rsidRPr="009C5122">
        <w:rPr>
          <w:rFonts w:eastAsia="Times New Roman"/>
          <w:color w:val="000000"/>
        </w:rPr>
        <w:t>%, importi</w:t>
      </w:r>
      <w:r>
        <w:rPr>
          <w:rFonts w:eastAsia="Times New Roman"/>
          <w:color w:val="000000"/>
        </w:rPr>
        <w:t>t</w:t>
      </w:r>
      <w:r w:rsidRPr="009C5122">
        <w:rPr>
          <w:rFonts w:eastAsia="Times New Roman"/>
          <w:color w:val="000000"/>
        </w:rPr>
        <w:t xml:space="preserve"> </w:t>
      </w:r>
      <w:r>
        <w:rPr>
          <w:rFonts w:eastAsia="Times New Roman"/>
          <w:color w:val="000000"/>
        </w:rPr>
        <w:t>të</w:t>
      </w:r>
      <w:r w:rsidRPr="009C5122">
        <w:rPr>
          <w:rFonts w:eastAsia="Times New Roman"/>
          <w:color w:val="000000"/>
        </w:rPr>
        <w:t xml:space="preserve"> pijeve energjike me </w:t>
      </w:r>
      <w:r>
        <w:rPr>
          <w:rFonts w:eastAsia="Times New Roman"/>
          <w:color w:val="000000"/>
        </w:rPr>
        <w:t>15.5%, i</w:t>
      </w:r>
      <w:r w:rsidRPr="009C5122">
        <w:rPr>
          <w:rFonts w:eastAsia="Times New Roman"/>
          <w:color w:val="000000"/>
        </w:rPr>
        <w:t>mporti</w:t>
      </w:r>
      <w:r>
        <w:rPr>
          <w:rFonts w:eastAsia="Times New Roman"/>
          <w:color w:val="000000"/>
        </w:rPr>
        <w:t>t</w:t>
      </w:r>
      <w:r w:rsidRPr="009C5122">
        <w:rPr>
          <w:rFonts w:eastAsia="Times New Roman"/>
          <w:color w:val="000000"/>
        </w:rPr>
        <w:t xml:space="preserve"> dhe prodhimi</w:t>
      </w:r>
      <w:r>
        <w:rPr>
          <w:rFonts w:eastAsia="Times New Roman"/>
          <w:color w:val="000000"/>
        </w:rPr>
        <w:t>t të</w:t>
      </w:r>
      <w:r w:rsidR="00EE6C6B">
        <w:rPr>
          <w:rFonts w:eastAsia="Times New Roman"/>
          <w:color w:val="000000"/>
        </w:rPr>
        <w:t xml:space="preserve"> verës me </w:t>
      </w:r>
      <w:r>
        <w:rPr>
          <w:rFonts w:eastAsia="Times New Roman"/>
          <w:color w:val="000000"/>
        </w:rPr>
        <w:t>15.8</w:t>
      </w:r>
      <w:r w:rsidRPr="009C5122">
        <w:rPr>
          <w:rFonts w:eastAsia="Times New Roman"/>
          <w:color w:val="000000"/>
        </w:rPr>
        <w:t>% dhe importi</w:t>
      </w:r>
      <w:r>
        <w:rPr>
          <w:rFonts w:eastAsia="Times New Roman"/>
          <w:color w:val="000000"/>
        </w:rPr>
        <w:t>t</w:t>
      </w:r>
      <w:r w:rsidRPr="009C5122">
        <w:rPr>
          <w:rFonts w:eastAsia="Times New Roman"/>
          <w:color w:val="000000"/>
        </w:rPr>
        <w:t xml:space="preserve"> </w:t>
      </w:r>
      <w:r>
        <w:rPr>
          <w:rFonts w:eastAsia="Times New Roman"/>
          <w:color w:val="000000"/>
        </w:rPr>
        <w:t>të</w:t>
      </w:r>
      <w:r w:rsidRPr="009C5122">
        <w:rPr>
          <w:rFonts w:eastAsia="Times New Roman"/>
          <w:color w:val="000000"/>
        </w:rPr>
        <w:t xml:space="preserve"> cigareve me </w:t>
      </w:r>
      <w:r>
        <w:rPr>
          <w:rFonts w:eastAsia="Times New Roman"/>
          <w:color w:val="000000"/>
        </w:rPr>
        <w:t>3.7</w:t>
      </w:r>
      <w:r w:rsidRPr="009C5122">
        <w:rPr>
          <w:rFonts w:eastAsia="Times New Roman"/>
          <w:color w:val="000000"/>
        </w:rPr>
        <w:t xml:space="preserve">%. </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sidRPr="009C5122">
        <w:rPr>
          <w:rFonts w:eastAsia="Times New Roman"/>
          <w:b/>
          <w:bCs/>
          <w:i/>
          <w:iCs/>
          <w:color w:val="000000"/>
        </w:rPr>
        <w:t>Të ardhurat nga Renta Minerare</w:t>
      </w:r>
    </w:p>
    <w:p w:rsidR="00616C21" w:rsidRPr="009C5122" w:rsidRDefault="00616C21" w:rsidP="00616C21">
      <w:pPr>
        <w:spacing w:before="100" w:line="276" w:lineRule="auto"/>
        <w:jc w:val="both"/>
        <w:rPr>
          <w:rFonts w:eastAsia="Times New Roman"/>
        </w:rPr>
      </w:pPr>
      <w:r>
        <w:rPr>
          <w:rFonts w:eastAsia="Times New Roman"/>
          <w:color w:val="000000"/>
        </w:rPr>
        <w:t>R</w:t>
      </w:r>
      <w:r w:rsidRPr="009C5122">
        <w:rPr>
          <w:rFonts w:eastAsia="Times New Roman"/>
          <w:color w:val="000000"/>
        </w:rPr>
        <w:t xml:space="preserve">ealizimi i të ardhurave nga renta për 12- mujorin 2017 pritet të </w:t>
      </w:r>
      <w:r>
        <w:rPr>
          <w:rFonts w:eastAsia="Times New Roman"/>
          <w:color w:val="000000"/>
        </w:rPr>
        <w:t xml:space="preserve">jetë në </w:t>
      </w:r>
      <w:r w:rsidRPr="009C5122">
        <w:rPr>
          <w:rFonts w:eastAsia="Times New Roman"/>
          <w:color w:val="000000"/>
        </w:rPr>
        <w:t xml:space="preserve"> vlerën 2 </w:t>
      </w:r>
      <w:r>
        <w:rPr>
          <w:rFonts w:eastAsia="Times New Roman"/>
          <w:color w:val="000000"/>
        </w:rPr>
        <w:t>miliard</w:t>
      </w:r>
      <w:r w:rsidRPr="009C5122">
        <w:rPr>
          <w:rFonts w:eastAsia="Times New Roman"/>
          <w:color w:val="000000"/>
        </w:rPr>
        <w:t xml:space="preserve"> lekë, 0.1 </w:t>
      </w:r>
      <w:r>
        <w:rPr>
          <w:rFonts w:eastAsia="Times New Roman"/>
          <w:color w:val="000000"/>
        </w:rPr>
        <w:t>miliard</w:t>
      </w:r>
      <w:r w:rsidRPr="009C5122">
        <w:rPr>
          <w:rFonts w:eastAsia="Times New Roman"/>
          <w:color w:val="000000"/>
        </w:rPr>
        <w:t xml:space="preserve"> lekë më pak se plani. Të ardhurat nga renta minerare për naftën bruto </w:t>
      </w:r>
      <w:r>
        <w:rPr>
          <w:rFonts w:eastAsia="Times New Roman"/>
          <w:color w:val="000000"/>
        </w:rPr>
        <w:t xml:space="preserve">do të jenë më të ulta </w:t>
      </w:r>
      <w:r w:rsidRPr="009C5122">
        <w:rPr>
          <w:rFonts w:eastAsia="Times New Roman"/>
          <w:color w:val="000000"/>
        </w:rPr>
        <w:t xml:space="preserve">për shkak të rënies së sasisë së eksportuar, </w:t>
      </w:r>
      <w:r>
        <w:rPr>
          <w:rFonts w:eastAsia="Times New Roman"/>
          <w:color w:val="000000"/>
        </w:rPr>
        <w:t xml:space="preserve">pasi pjesa më e madhe e prodhimit ka </w:t>
      </w:r>
      <w:proofErr w:type="gramStart"/>
      <w:r>
        <w:rPr>
          <w:rFonts w:eastAsia="Times New Roman"/>
          <w:color w:val="000000"/>
        </w:rPr>
        <w:t xml:space="preserve">shkuar </w:t>
      </w:r>
      <w:r w:rsidRPr="009C5122">
        <w:rPr>
          <w:rFonts w:eastAsia="Times New Roman"/>
          <w:color w:val="000000"/>
        </w:rPr>
        <w:t xml:space="preserve"> për</w:t>
      </w:r>
      <w:proofErr w:type="gramEnd"/>
      <w:r w:rsidRPr="009C5122">
        <w:rPr>
          <w:rFonts w:eastAsia="Times New Roman"/>
          <w:color w:val="000000"/>
        </w:rPr>
        <w:t xml:space="preserve"> përpunim brenda vendit. </w:t>
      </w:r>
      <w:r>
        <w:rPr>
          <w:rFonts w:eastAsia="Times New Roman"/>
          <w:color w:val="000000"/>
        </w:rPr>
        <w:t xml:space="preserve">Për 9-mujorin, </w:t>
      </w:r>
      <w:r w:rsidRPr="009C5122">
        <w:rPr>
          <w:rFonts w:eastAsia="Times New Roman"/>
          <w:color w:val="000000"/>
        </w:rPr>
        <w:t>efekti negativ për shkak të sasisë</w:t>
      </w:r>
      <w:r>
        <w:rPr>
          <w:rFonts w:eastAsia="Times New Roman"/>
          <w:color w:val="000000"/>
        </w:rPr>
        <w:t xml:space="preserve"> (-777 milion lekë)</w:t>
      </w:r>
      <w:r w:rsidRPr="009C5122">
        <w:rPr>
          <w:rFonts w:eastAsia="Times New Roman"/>
          <w:color w:val="000000"/>
        </w:rPr>
        <w:t xml:space="preserve"> është zbutur nga rritja e çmimit të naftës bruto në tregjet ndërkombëtare</w:t>
      </w:r>
      <w:r>
        <w:rPr>
          <w:rFonts w:eastAsia="Times New Roman"/>
          <w:color w:val="000000"/>
        </w:rPr>
        <w:t xml:space="preserve"> (+281 milion lekë)</w:t>
      </w:r>
      <w:r w:rsidRPr="009C5122">
        <w:rPr>
          <w:rFonts w:eastAsia="Times New Roman"/>
          <w:color w:val="000000"/>
        </w:rPr>
        <w:t>. Gjithashtu, rritja e sasisë së minerale të eksportuara me afërsisht 2</w:t>
      </w:r>
      <w:r>
        <w:rPr>
          <w:rFonts w:eastAsia="Times New Roman"/>
          <w:color w:val="000000"/>
        </w:rPr>
        <w:t>2</w:t>
      </w:r>
      <w:r w:rsidRPr="009C5122">
        <w:rPr>
          <w:rFonts w:eastAsia="Times New Roman"/>
          <w:color w:val="000000"/>
        </w:rPr>
        <w:t xml:space="preserve">%, ka ndikuar pozitivisht. </w:t>
      </w:r>
    </w:p>
    <w:p w:rsidR="001916E1" w:rsidRDefault="001916E1" w:rsidP="00616C21">
      <w:pPr>
        <w:spacing w:line="276" w:lineRule="auto"/>
        <w:jc w:val="both"/>
        <w:rPr>
          <w:rFonts w:eastAsia="Times New Roman"/>
          <w:b/>
          <w:bCs/>
          <w:i/>
          <w:iCs/>
          <w:color w:val="000000"/>
        </w:rPr>
      </w:pPr>
    </w:p>
    <w:p w:rsidR="00616C21" w:rsidRPr="009C5122" w:rsidRDefault="00616C21" w:rsidP="00616C21">
      <w:pPr>
        <w:spacing w:line="276" w:lineRule="auto"/>
        <w:jc w:val="both"/>
        <w:rPr>
          <w:rFonts w:eastAsia="Times New Roman"/>
        </w:rPr>
      </w:pPr>
      <w:r w:rsidRPr="009C5122">
        <w:rPr>
          <w:rFonts w:eastAsia="Times New Roman"/>
          <w:b/>
          <w:bCs/>
          <w:i/>
          <w:iCs/>
          <w:color w:val="000000"/>
        </w:rPr>
        <w:t>Të ardhurat nga Taksa Doganore</w:t>
      </w:r>
    </w:p>
    <w:p w:rsidR="00616C21" w:rsidRPr="009C5122" w:rsidRDefault="00616C21" w:rsidP="00616C21">
      <w:pPr>
        <w:spacing w:before="100" w:line="276" w:lineRule="auto"/>
        <w:jc w:val="both"/>
        <w:rPr>
          <w:rFonts w:eastAsia="Times New Roman"/>
        </w:rPr>
      </w:pPr>
      <w:r w:rsidRPr="009C5122">
        <w:rPr>
          <w:rFonts w:eastAsia="Times New Roman"/>
          <w:color w:val="000000"/>
        </w:rPr>
        <w:t xml:space="preserve">Realizimi i të ardhurave nga taksa doganore parashikohet në masën 6.4 </w:t>
      </w:r>
      <w:r>
        <w:rPr>
          <w:rFonts w:eastAsia="Times New Roman"/>
          <w:color w:val="000000"/>
        </w:rPr>
        <w:t>miliard</w:t>
      </w:r>
      <w:r w:rsidRPr="009C5122">
        <w:rPr>
          <w:rFonts w:eastAsia="Times New Roman"/>
          <w:color w:val="000000"/>
        </w:rPr>
        <w:t xml:space="preserve"> lekë ose në masën 100% ndaj planit. Faktor kryesor në përmirësimin e performancës është rritja e import</w:t>
      </w:r>
      <w:r>
        <w:rPr>
          <w:rFonts w:eastAsia="Times New Roman"/>
          <w:color w:val="000000"/>
        </w:rPr>
        <w:t xml:space="preserve">eve </w:t>
      </w:r>
      <w:r w:rsidRPr="009C5122">
        <w:rPr>
          <w:rFonts w:eastAsia="Times New Roman"/>
          <w:color w:val="000000"/>
        </w:rPr>
        <w:t>të taksu</w:t>
      </w:r>
      <w:r>
        <w:rPr>
          <w:rFonts w:eastAsia="Times New Roman"/>
          <w:color w:val="000000"/>
        </w:rPr>
        <w:t>eshme</w:t>
      </w:r>
      <w:r w:rsidRPr="009C5122">
        <w:rPr>
          <w:rFonts w:eastAsia="Times New Roman"/>
          <w:color w:val="000000"/>
        </w:rPr>
        <w:t xml:space="preserve"> me mbi </w:t>
      </w:r>
      <w:r>
        <w:rPr>
          <w:rFonts w:eastAsia="Times New Roman"/>
          <w:color w:val="000000"/>
        </w:rPr>
        <w:t>5.2</w:t>
      </w:r>
      <w:r w:rsidRPr="009C5122">
        <w:rPr>
          <w:rFonts w:eastAsia="Times New Roman"/>
          <w:color w:val="000000"/>
        </w:rPr>
        <w:t>%</w:t>
      </w:r>
      <w:r>
        <w:rPr>
          <w:rFonts w:eastAsia="Times New Roman"/>
          <w:color w:val="000000"/>
        </w:rPr>
        <w:t>,</w:t>
      </w:r>
      <w:r w:rsidRPr="009C5122">
        <w:rPr>
          <w:rFonts w:eastAsia="Times New Roman"/>
          <w:color w:val="000000"/>
        </w:rPr>
        <w:t xml:space="preserve"> dhe përmirësimi i kontrollit doganor. </w:t>
      </w:r>
    </w:p>
    <w:p w:rsidR="001916E1" w:rsidRPr="00EE6C6B" w:rsidRDefault="001916E1" w:rsidP="00616C21">
      <w:pPr>
        <w:spacing w:line="276" w:lineRule="auto"/>
        <w:jc w:val="both"/>
        <w:rPr>
          <w:rFonts w:eastAsia="Times New Roman"/>
          <w:b/>
          <w:bCs/>
          <w:color w:val="000000"/>
          <w:sz w:val="16"/>
          <w:szCs w:val="16"/>
        </w:rPr>
      </w:pPr>
    </w:p>
    <w:p w:rsidR="00616C21" w:rsidRDefault="00616C21" w:rsidP="00616C21">
      <w:pPr>
        <w:spacing w:line="276" w:lineRule="auto"/>
        <w:jc w:val="both"/>
        <w:rPr>
          <w:rFonts w:eastAsia="Times New Roman"/>
          <w:b/>
          <w:bCs/>
          <w:color w:val="000000"/>
        </w:rPr>
      </w:pPr>
      <w:r w:rsidRPr="009C5122">
        <w:rPr>
          <w:rFonts w:eastAsia="Times New Roman"/>
          <w:b/>
          <w:bCs/>
          <w:color w:val="000000"/>
        </w:rPr>
        <w:t>Pritshmëria e të ardhurave nga Administrata Tatimore</w:t>
      </w:r>
    </w:p>
    <w:p w:rsidR="001916E1" w:rsidRPr="00EE6C6B" w:rsidRDefault="00616C21" w:rsidP="00EE6C6B">
      <w:pPr>
        <w:spacing w:after="120" w:line="276" w:lineRule="auto"/>
        <w:jc w:val="both"/>
        <w:rPr>
          <w:rFonts w:eastAsia="Times New Roman"/>
          <w:color w:val="000000"/>
          <w:sz w:val="20"/>
          <w:szCs w:val="20"/>
        </w:rPr>
      </w:pPr>
      <w:r w:rsidRPr="009C5122">
        <w:rPr>
          <w:rFonts w:eastAsia="Times New Roman"/>
          <w:color w:val="000000"/>
        </w:rPr>
        <w:t xml:space="preserve">Të ardhurat e pritshme për vitin 2017 janë vlerësuar mbi bazën e performancës gjatë </w:t>
      </w:r>
      <w:proofErr w:type="gramStart"/>
      <w:r w:rsidRPr="009C5122">
        <w:rPr>
          <w:rFonts w:eastAsia="Times New Roman"/>
          <w:color w:val="000000"/>
        </w:rPr>
        <w:t>periudhës  Janar</w:t>
      </w:r>
      <w:proofErr w:type="gramEnd"/>
      <w:r w:rsidRPr="009C5122">
        <w:rPr>
          <w:rFonts w:eastAsia="Times New Roman"/>
          <w:color w:val="000000"/>
        </w:rPr>
        <w:t>-</w:t>
      </w:r>
      <w:r>
        <w:rPr>
          <w:rFonts w:eastAsia="Times New Roman"/>
          <w:color w:val="000000"/>
        </w:rPr>
        <w:t>Shtator</w:t>
      </w:r>
      <w:r w:rsidRPr="009C5122">
        <w:rPr>
          <w:rFonts w:eastAsia="Times New Roman"/>
          <w:color w:val="000000"/>
        </w:rPr>
        <w:t xml:space="preserve"> 2017. </w:t>
      </w:r>
      <w:r w:rsidRPr="009C5122">
        <w:rPr>
          <w:rFonts w:eastAsia="Times New Roman"/>
          <w:color w:val="000000"/>
          <w:sz w:val="20"/>
          <w:szCs w:val="20"/>
        </w:rPr>
        <w:t> </w:t>
      </w:r>
    </w:p>
    <w:p w:rsidR="00616C21" w:rsidRPr="00304F33" w:rsidRDefault="00616C21" w:rsidP="00616C21">
      <w:pPr>
        <w:pStyle w:val="Caption"/>
        <w:keepNext/>
        <w:rPr>
          <w:bCs w:val="0"/>
          <w:noProof/>
          <w:color w:val="auto"/>
          <w:sz w:val="22"/>
          <w:szCs w:val="22"/>
          <w:lang w:val="sq-AL"/>
        </w:rPr>
      </w:pPr>
      <w:r>
        <w:rPr>
          <w:bCs w:val="0"/>
          <w:noProof/>
          <w:color w:val="auto"/>
          <w:sz w:val="22"/>
          <w:szCs w:val="22"/>
          <w:lang w:val="sq-AL"/>
        </w:rPr>
        <w:t xml:space="preserve">Tabela 8: Të ardhurat e pritshme nga Administrata Tatimore                                           </w:t>
      </w:r>
      <w:r w:rsidRPr="00304F33">
        <w:rPr>
          <w:b w:val="0"/>
          <w:bCs w:val="0"/>
          <w:i/>
          <w:noProof/>
          <w:color w:val="auto"/>
          <w:sz w:val="22"/>
          <w:szCs w:val="22"/>
          <w:lang w:val="sq-AL"/>
        </w:rPr>
        <w:t>(në milion lekë)</w:t>
      </w:r>
    </w:p>
    <w:tbl>
      <w:tblPr>
        <w:tblW w:w="9812" w:type="dxa"/>
        <w:tblLook w:val="04A0" w:firstRow="1" w:lastRow="0" w:firstColumn="1" w:lastColumn="0" w:noHBand="0" w:noVBand="1"/>
      </w:tblPr>
      <w:tblGrid>
        <w:gridCol w:w="3404"/>
        <w:gridCol w:w="1622"/>
        <w:gridCol w:w="1808"/>
        <w:gridCol w:w="1489"/>
        <w:gridCol w:w="1489"/>
      </w:tblGrid>
      <w:tr w:rsidR="00616C21" w:rsidRPr="009F0D01" w:rsidTr="00A67D90">
        <w:trPr>
          <w:trHeight w:val="457"/>
        </w:trPr>
        <w:tc>
          <w:tcPr>
            <w:tcW w:w="3404"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Administrata Tatimore</w:t>
            </w:r>
          </w:p>
        </w:tc>
        <w:tc>
          <w:tcPr>
            <w:tcW w:w="1622"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Buxheti zyrtar 2017</w:t>
            </w:r>
          </w:p>
        </w:tc>
        <w:tc>
          <w:tcPr>
            <w:tcW w:w="1808"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Vlerësim Buxheti 2017</w:t>
            </w:r>
          </w:p>
        </w:tc>
        <w:tc>
          <w:tcPr>
            <w:tcW w:w="1489"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Diferenca</w:t>
            </w:r>
          </w:p>
        </w:tc>
        <w:tc>
          <w:tcPr>
            <w:tcW w:w="1489"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Në %</w:t>
            </w:r>
          </w:p>
        </w:tc>
      </w:tr>
      <w:tr w:rsidR="00616C21" w:rsidRPr="009F0D01" w:rsidTr="00A67D90">
        <w:trPr>
          <w:trHeight w:val="261"/>
        </w:trPr>
        <w:tc>
          <w:tcPr>
            <w:tcW w:w="340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Tatimi mbi Vlerën e Shtuar</w:t>
            </w:r>
          </w:p>
        </w:tc>
        <w:tc>
          <w:tcPr>
            <w:tcW w:w="162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39,323</w:t>
            </w:r>
          </w:p>
        </w:tc>
        <w:tc>
          <w:tcPr>
            <w:tcW w:w="1808"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36,640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-2,683</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-6.8%</w:t>
            </w:r>
          </w:p>
        </w:tc>
      </w:tr>
      <w:tr w:rsidR="00616C21" w:rsidRPr="009F0D01" w:rsidTr="00A67D90">
        <w:trPr>
          <w:trHeight w:val="261"/>
        </w:trPr>
        <w:tc>
          <w:tcPr>
            <w:tcW w:w="340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 mbi Fitimin</w:t>
            </w:r>
          </w:p>
        </w:tc>
        <w:tc>
          <w:tcPr>
            <w:tcW w:w="162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29,200</w:t>
            </w:r>
          </w:p>
        </w:tc>
        <w:tc>
          <w:tcPr>
            <w:tcW w:w="1808"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31,700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2,500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8.6%</w:t>
            </w:r>
          </w:p>
        </w:tc>
      </w:tr>
      <w:tr w:rsidR="00616C21" w:rsidRPr="009F0D01" w:rsidTr="00A67D90">
        <w:trPr>
          <w:trHeight w:val="444"/>
        </w:trPr>
        <w:tc>
          <w:tcPr>
            <w:tcW w:w="340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Tatimi mbi të ardhurat personale</w:t>
            </w:r>
          </w:p>
        </w:tc>
        <w:tc>
          <w:tcPr>
            <w:tcW w:w="162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36,200</w:t>
            </w:r>
          </w:p>
        </w:tc>
        <w:tc>
          <w:tcPr>
            <w:tcW w:w="1808"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34,000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-2,200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-6.1%</w:t>
            </w:r>
          </w:p>
        </w:tc>
      </w:tr>
      <w:tr w:rsidR="00616C21" w:rsidRPr="009F0D01" w:rsidTr="00A67D90">
        <w:trPr>
          <w:trHeight w:val="261"/>
        </w:trPr>
        <w:tc>
          <w:tcPr>
            <w:tcW w:w="340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Taksa Nacionale dhe të tjera</w:t>
            </w:r>
          </w:p>
        </w:tc>
        <w:tc>
          <w:tcPr>
            <w:tcW w:w="162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37,600</w:t>
            </w:r>
          </w:p>
        </w:tc>
        <w:tc>
          <w:tcPr>
            <w:tcW w:w="1808"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39,200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1,600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4.3%</w:t>
            </w:r>
          </w:p>
        </w:tc>
      </w:tr>
      <w:tr w:rsidR="00616C21" w:rsidRPr="009F0D01" w:rsidTr="00A67D90">
        <w:trPr>
          <w:trHeight w:val="261"/>
        </w:trPr>
        <w:tc>
          <w:tcPr>
            <w:tcW w:w="3404"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Totali</w:t>
            </w:r>
          </w:p>
        </w:tc>
        <w:tc>
          <w:tcPr>
            <w:tcW w:w="1622"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142,323</w:t>
            </w:r>
          </w:p>
        </w:tc>
        <w:tc>
          <w:tcPr>
            <w:tcW w:w="1808"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141,540</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-783</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-0.6%</w:t>
            </w:r>
          </w:p>
        </w:tc>
      </w:tr>
      <w:tr w:rsidR="00616C21" w:rsidRPr="009F0D01" w:rsidTr="00A67D90">
        <w:trPr>
          <w:trHeight w:val="274"/>
        </w:trPr>
        <w:tc>
          <w:tcPr>
            <w:tcW w:w="3404"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Kontribute nga DPT</w:t>
            </w:r>
          </w:p>
        </w:tc>
        <w:tc>
          <w:tcPr>
            <w:tcW w:w="1622"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78,250</w:t>
            </w:r>
          </w:p>
        </w:tc>
        <w:tc>
          <w:tcPr>
            <w:tcW w:w="1808"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79,033</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783</w:t>
            </w:r>
          </w:p>
        </w:tc>
        <w:tc>
          <w:tcPr>
            <w:tcW w:w="1489" w:type="dxa"/>
            <w:tcBorders>
              <w:top w:val="nil"/>
              <w:left w:val="nil"/>
              <w:bottom w:val="nil"/>
              <w:right w:val="nil"/>
            </w:tcBorders>
            <w:shd w:val="clear" w:color="auto" w:fill="auto"/>
            <w:vAlign w:val="center"/>
            <w:hideMark/>
          </w:tcPr>
          <w:p w:rsidR="00616C21" w:rsidRPr="009F0D01" w:rsidRDefault="00616C21" w:rsidP="00A67D90">
            <w:pPr>
              <w:spacing w:line="276" w:lineRule="auto"/>
              <w:jc w:val="both"/>
              <w:rPr>
                <w:rFonts w:eastAsia="Times New Roman"/>
                <w:color w:val="000000"/>
                <w:sz w:val="20"/>
                <w:szCs w:val="20"/>
              </w:rPr>
            </w:pPr>
            <w:r w:rsidRPr="009F0D01">
              <w:rPr>
                <w:rFonts w:eastAsia="Times New Roman"/>
                <w:color w:val="000000"/>
                <w:sz w:val="20"/>
                <w:szCs w:val="20"/>
              </w:rPr>
              <w:t>1.0%</w:t>
            </w:r>
          </w:p>
        </w:tc>
      </w:tr>
      <w:tr w:rsidR="00616C21" w:rsidRPr="009F0D01" w:rsidTr="00A67D90">
        <w:trPr>
          <w:trHeight w:val="274"/>
        </w:trPr>
        <w:tc>
          <w:tcPr>
            <w:tcW w:w="3404"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 xml:space="preserve">Totali </w:t>
            </w:r>
          </w:p>
        </w:tc>
        <w:tc>
          <w:tcPr>
            <w:tcW w:w="1622"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220,573</w:t>
            </w:r>
          </w:p>
        </w:tc>
        <w:tc>
          <w:tcPr>
            <w:tcW w:w="1808" w:type="dxa"/>
            <w:tcBorders>
              <w:top w:val="nil"/>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220,573</w:t>
            </w:r>
          </w:p>
        </w:tc>
        <w:tc>
          <w:tcPr>
            <w:tcW w:w="1489"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0</w:t>
            </w:r>
          </w:p>
        </w:tc>
        <w:tc>
          <w:tcPr>
            <w:tcW w:w="1489" w:type="dxa"/>
            <w:tcBorders>
              <w:top w:val="single" w:sz="8" w:space="0" w:color="000000"/>
              <w:left w:val="nil"/>
              <w:bottom w:val="single" w:sz="8" w:space="0" w:color="000000"/>
              <w:right w:val="nil"/>
            </w:tcBorders>
            <w:shd w:val="clear" w:color="auto" w:fill="auto"/>
            <w:vAlign w:val="center"/>
            <w:hideMark/>
          </w:tcPr>
          <w:p w:rsidR="00616C21" w:rsidRPr="009F0D01" w:rsidRDefault="00616C21" w:rsidP="00A67D90">
            <w:pPr>
              <w:spacing w:line="276" w:lineRule="auto"/>
              <w:jc w:val="both"/>
              <w:rPr>
                <w:rFonts w:eastAsia="Times New Roman"/>
                <w:b/>
                <w:bCs/>
                <w:color w:val="000000"/>
                <w:sz w:val="20"/>
                <w:szCs w:val="20"/>
              </w:rPr>
            </w:pPr>
            <w:r w:rsidRPr="009F0D01">
              <w:rPr>
                <w:rFonts w:eastAsia="Times New Roman"/>
                <w:b/>
                <w:bCs/>
                <w:color w:val="000000"/>
                <w:sz w:val="20"/>
                <w:szCs w:val="20"/>
              </w:rPr>
              <w:t>100%</w:t>
            </w:r>
          </w:p>
        </w:tc>
      </w:tr>
    </w:tbl>
    <w:p w:rsidR="00616C21" w:rsidRPr="009F0D01" w:rsidRDefault="00616C21" w:rsidP="00616C21">
      <w:pPr>
        <w:spacing w:before="100" w:line="276" w:lineRule="auto"/>
        <w:jc w:val="both"/>
        <w:rPr>
          <w:rFonts w:eastAsia="Times New Roman"/>
          <w:i/>
          <w:iCs/>
          <w:color w:val="000000"/>
          <w:sz w:val="20"/>
          <w:szCs w:val="20"/>
        </w:rPr>
      </w:pPr>
      <w:r w:rsidRPr="009C5122">
        <w:rPr>
          <w:rFonts w:eastAsia="Times New Roman"/>
          <w:color w:val="000000"/>
          <w:sz w:val="20"/>
          <w:szCs w:val="20"/>
        </w:rPr>
        <w:t> </w:t>
      </w:r>
      <w:r w:rsidRPr="009C5122">
        <w:rPr>
          <w:rFonts w:eastAsia="Times New Roman"/>
          <w:b/>
          <w:bCs/>
          <w:color w:val="000000"/>
          <w:sz w:val="20"/>
          <w:szCs w:val="20"/>
        </w:rPr>
        <w:t>Burimi:</w:t>
      </w:r>
      <w:r w:rsidRPr="009C5122">
        <w:rPr>
          <w:rFonts w:eastAsia="Times New Roman"/>
          <w:b/>
          <w:bCs/>
          <w:i/>
          <w:iCs/>
          <w:color w:val="000000"/>
          <w:sz w:val="20"/>
          <w:szCs w:val="20"/>
        </w:rPr>
        <w:t xml:space="preserve"> </w:t>
      </w:r>
      <w:r>
        <w:rPr>
          <w:rFonts w:eastAsia="Times New Roman"/>
          <w:i/>
          <w:iCs/>
          <w:color w:val="000000"/>
          <w:sz w:val="20"/>
          <w:szCs w:val="20"/>
        </w:rPr>
        <w:t>Ministria e Financave dhe Ekono</w:t>
      </w:r>
      <w:r w:rsidRPr="009C5122">
        <w:rPr>
          <w:rFonts w:eastAsia="Times New Roman"/>
          <w:i/>
          <w:iCs/>
          <w:color w:val="000000"/>
          <w:sz w:val="20"/>
          <w:szCs w:val="20"/>
        </w:rPr>
        <w:t>misë (2017)</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Pr>
          <w:rFonts w:eastAsia="Times New Roman"/>
          <w:color w:val="000000"/>
        </w:rPr>
        <w:lastRenderedPageBreak/>
        <w:t>P</w:t>
      </w:r>
      <w:r w:rsidRPr="009C5122">
        <w:rPr>
          <w:rFonts w:eastAsia="Times New Roman"/>
          <w:color w:val="000000"/>
        </w:rPr>
        <w:t>ër peri</w:t>
      </w:r>
      <w:r>
        <w:rPr>
          <w:rFonts w:eastAsia="Times New Roman"/>
          <w:color w:val="000000"/>
        </w:rPr>
        <w:t>u</w:t>
      </w:r>
      <w:r w:rsidRPr="009C5122">
        <w:rPr>
          <w:rFonts w:eastAsia="Times New Roman"/>
          <w:color w:val="000000"/>
        </w:rPr>
        <w:t>dhën 12-mujore</w:t>
      </w:r>
      <w:r>
        <w:rPr>
          <w:rFonts w:eastAsia="Times New Roman"/>
          <w:color w:val="000000"/>
        </w:rPr>
        <w:t xml:space="preserve"> 2017</w:t>
      </w:r>
      <w:r w:rsidRPr="009C5122">
        <w:rPr>
          <w:rFonts w:eastAsia="Times New Roman"/>
          <w:color w:val="000000"/>
        </w:rPr>
        <w:t>, të ardhurat nga Administrata Tatimore përfshirë kontributet, pritet të realizohen në masën 22</w:t>
      </w:r>
      <w:r>
        <w:rPr>
          <w:rFonts w:eastAsia="Times New Roman"/>
          <w:color w:val="000000"/>
        </w:rPr>
        <w:t>0</w:t>
      </w:r>
      <w:r w:rsidRPr="009C5122">
        <w:rPr>
          <w:rFonts w:eastAsia="Times New Roman"/>
          <w:color w:val="000000"/>
        </w:rPr>
        <w:t>.</w:t>
      </w:r>
      <w:r>
        <w:rPr>
          <w:rFonts w:eastAsia="Times New Roman"/>
          <w:color w:val="000000"/>
        </w:rPr>
        <w:t>5</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w:t>
      </w:r>
      <w:r>
        <w:rPr>
          <w:rFonts w:eastAsia="Times New Roman"/>
          <w:color w:val="000000"/>
        </w:rPr>
        <w:t>, ose në nivelin e planifikuar</w:t>
      </w:r>
      <w:r w:rsidRPr="009C5122">
        <w:rPr>
          <w:rFonts w:eastAsia="Times New Roman"/>
          <w:color w:val="000000"/>
        </w:rPr>
        <w:t>.</w:t>
      </w:r>
    </w:p>
    <w:p w:rsidR="00616C21" w:rsidRPr="009C5122" w:rsidRDefault="00616C21" w:rsidP="00616C21">
      <w:pPr>
        <w:spacing w:before="100" w:line="276" w:lineRule="auto"/>
        <w:jc w:val="both"/>
        <w:rPr>
          <w:rFonts w:eastAsia="Times New Roman"/>
        </w:rPr>
      </w:pPr>
      <w:r w:rsidRPr="009C5122">
        <w:rPr>
          <w:rFonts w:eastAsia="Times New Roman"/>
          <w:b/>
          <w:bCs/>
          <w:i/>
          <w:iCs/>
          <w:color w:val="000000"/>
        </w:rPr>
        <w:t xml:space="preserve">Të ardhurat nga Tatimi mbi Vlerën e </w:t>
      </w:r>
      <w:r w:rsidR="00D61B5E">
        <w:rPr>
          <w:rFonts w:eastAsia="Times New Roman"/>
          <w:b/>
          <w:bCs/>
          <w:i/>
          <w:iCs/>
          <w:color w:val="000000"/>
        </w:rPr>
        <w:t>S</w:t>
      </w:r>
      <w:r w:rsidRPr="009C5122">
        <w:rPr>
          <w:rFonts w:eastAsia="Times New Roman"/>
          <w:b/>
          <w:bCs/>
          <w:i/>
          <w:iCs/>
          <w:color w:val="000000"/>
        </w:rPr>
        <w:t>htuar brenda vendit</w:t>
      </w:r>
      <w:r w:rsidRPr="009C5122">
        <w:rPr>
          <w:rFonts w:eastAsia="Times New Roman"/>
          <w:color w:val="000000"/>
        </w:rPr>
        <w:t xml:space="preserve"> pritet të realizohen në masën 3</w:t>
      </w:r>
      <w:r>
        <w:rPr>
          <w:rFonts w:eastAsia="Times New Roman"/>
          <w:color w:val="000000"/>
        </w:rPr>
        <w:t>6.6</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pra rreth 2.</w:t>
      </w:r>
      <w:r>
        <w:rPr>
          <w:rFonts w:eastAsia="Times New Roman"/>
          <w:color w:val="000000"/>
        </w:rPr>
        <w:t>7</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ose -6.8% më pak se plani.</w:t>
      </w:r>
      <w:r>
        <w:rPr>
          <w:rFonts w:eastAsia="Times New Roman"/>
          <w:color w:val="000000"/>
        </w:rPr>
        <w:t xml:space="preserve"> Kjo diferencë në planin neto të TVSH-së lidhet me rritjen e nivelit të rimbursimeve krahasuar me parashikimin vjetor.</w:t>
      </w:r>
      <w:r w:rsidRPr="009C5122">
        <w:rPr>
          <w:rFonts w:eastAsia="Times New Roman"/>
          <w:color w:val="000000"/>
        </w:rPr>
        <w:t xml:space="preserve"> Në periudhën Janar-</w:t>
      </w:r>
      <w:r>
        <w:rPr>
          <w:rFonts w:eastAsia="Times New Roman"/>
          <w:color w:val="000000"/>
        </w:rPr>
        <w:t>Shtator 2017, janë rimbursuar 9</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rreth 2.6 </w:t>
      </w:r>
      <w:r>
        <w:rPr>
          <w:rFonts w:eastAsia="Times New Roman"/>
          <w:color w:val="000000"/>
        </w:rPr>
        <w:t>miliard lekë ose 39.7% më shumë se 9</w:t>
      </w:r>
      <w:r w:rsidRPr="009C5122">
        <w:rPr>
          <w:rFonts w:eastAsia="Times New Roman"/>
          <w:color w:val="000000"/>
        </w:rPr>
        <w:t xml:space="preserve">-mujori i vitit 2016, për shkak të rritjes së intensitetit të punimeve dhe e kërkesave për rimbursim nga </w:t>
      </w:r>
      <w:r>
        <w:rPr>
          <w:rFonts w:eastAsia="Times New Roman"/>
          <w:color w:val="000000"/>
        </w:rPr>
        <w:t xml:space="preserve">investitorët e mëdhenj. Parashikohet që shuma që do të rimbursohet deri në fund të vitit 2017 të </w:t>
      </w:r>
      <w:proofErr w:type="gramStart"/>
      <w:r>
        <w:rPr>
          <w:rFonts w:eastAsia="Times New Roman"/>
          <w:color w:val="000000"/>
        </w:rPr>
        <w:t>jetë  mbi</w:t>
      </w:r>
      <w:proofErr w:type="gramEnd"/>
      <w:r>
        <w:rPr>
          <w:rFonts w:eastAsia="Times New Roman"/>
          <w:color w:val="000000"/>
        </w:rPr>
        <w:t xml:space="preserve"> 15 miliard lekë ose 5 miliard lekë më shumë se planifikimi fillestar.</w:t>
      </w:r>
    </w:p>
    <w:p w:rsidR="00EE6C6B" w:rsidRDefault="00EE6C6B" w:rsidP="00616C21">
      <w:pPr>
        <w:spacing w:line="276" w:lineRule="auto"/>
        <w:jc w:val="both"/>
        <w:rPr>
          <w:rFonts w:eastAsia="Times New Roman"/>
          <w:b/>
          <w:bCs/>
          <w:i/>
          <w:iCs/>
          <w:color w:val="000000"/>
        </w:rPr>
      </w:pPr>
    </w:p>
    <w:p w:rsidR="00616C21" w:rsidRPr="009C5122" w:rsidRDefault="00616C21" w:rsidP="00616C21">
      <w:pPr>
        <w:spacing w:line="276" w:lineRule="auto"/>
        <w:jc w:val="both"/>
        <w:rPr>
          <w:rFonts w:eastAsia="Times New Roman"/>
        </w:rPr>
      </w:pPr>
      <w:r w:rsidRPr="009C5122">
        <w:rPr>
          <w:rFonts w:eastAsia="Times New Roman"/>
          <w:b/>
          <w:bCs/>
          <w:i/>
          <w:iCs/>
          <w:color w:val="000000"/>
        </w:rPr>
        <w:t>Të ardhurat nga Tatimi mbi Fitimin</w:t>
      </w:r>
      <w:r w:rsidRPr="009C5122">
        <w:rPr>
          <w:rFonts w:eastAsia="Times New Roman"/>
          <w:color w:val="000000"/>
        </w:rPr>
        <w:t xml:space="preserve"> pritet të realizohen në masën 31.7 </w:t>
      </w:r>
      <w:r>
        <w:rPr>
          <w:rFonts w:eastAsia="Times New Roman"/>
          <w:color w:val="000000"/>
        </w:rPr>
        <w:t>miliard</w:t>
      </w:r>
      <w:r w:rsidRPr="009C5122">
        <w:rPr>
          <w:rFonts w:eastAsia="Times New Roman"/>
          <w:color w:val="000000"/>
        </w:rPr>
        <w:t xml:space="preserve"> lekë, pra rreth 2.5 </w:t>
      </w:r>
      <w:r>
        <w:rPr>
          <w:rFonts w:eastAsia="Times New Roman"/>
          <w:color w:val="000000"/>
        </w:rPr>
        <w:t>miliard</w:t>
      </w:r>
      <w:r w:rsidRPr="009C5122">
        <w:rPr>
          <w:rFonts w:eastAsia="Times New Roman"/>
          <w:color w:val="000000"/>
        </w:rPr>
        <w:t xml:space="preserve"> lekë ose 8.6% më shumë se plani.</w:t>
      </w:r>
      <w:r w:rsidRPr="009C5122">
        <w:rPr>
          <w:rFonts w:eastAsia="Times New Roman"/>
          <w:b/>
          <w:bCs/>
          <w:i/>
          <w:iCs/>
          <w:color w:val="000000"/>
        </w:rPr>
        <w:t xml:space="preserve"> </w:t>
      </w:r>
      <w:r w:rsidRPr="009C5122">
        <w:rPr>
          <w:rFonts w:eastAsia="Times New Roman"/>
          <w:color w:val="000000"/>
        </w:rPr>
        <w:t xml:space="preserve"> Ndikim kryesor në këtë rezultat ka patur, rritja e ndërgjegjësimit të taksapaguesve për deklarimin real të të ardhurave të realizuara, faza e dytë e betejës kundër informalitetit në ekonomi dhe intensifikimit të komunikimit të Administratës Tatimore me tatimpaguesit. </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sidRPr="009C5122">
        <w:rPr>
          <w:rFonts w:eastAsia="Times New Roman"/>
          <w:b/>
          <w:bCs/>
          <w:i/>
          <w:iCs/>
          <w:color w:val="000000"/>
        </w:rPr>
        <w:t xml:space="preserve">Tatimi mbi të Ardhurat Personale </w:t>
      </w:r>
      <w:r w:rsidRPr="009C5122">
        <w:rPr>
          <w:rFonts w:eastAsia="Times New Roman"/>
          <w:color w:val="000000"/>
        </w:rPr>
        <w:t xml:space="preserve">pritet të realizohen në masën 34 </w:t>
      </w:r>
      <w:r>
        <w:rPr>
          <w:rFonts w:eastAsia="Times New Roman"/>
          <w:color w:val="000000"/>
        </w:rPr>
        <w:t>miliard</w:t>
      </w:r>
      <w:r w:rsidRPr="009C5122">
        <w:rPr>
          <w:rFonts w:eastAsia="Times New Roman"/>
          <w:color w:val="000000"/>
        </w:rPr>
        <w:t xml:space="preserve"> lekë, </w:t>
      </w:r>
      <w:r>
        <w:rPr>
          <w:rFonts w:eastAsia="Times New Roman"/>
          <w:color w:val="000000"/>
        </w:rPr>
        <w:t xml:space="preserve">-6,1 %  </w:t>
      </w:r>
      <w:r w:rsidRPr="009C5122">
        <w:rPr>
          <w:rFonts w:eastAsia="Times New Roman"/>
          <w:color w:val="000000"/>
        </w:rPr>
        <w:t xml:space="preserve"> </w:t>
      </w:r>
      <w:r>
        <w:rPr>
          <w:rFonts w:eastAsia="Times New Roman"/>
          <w:color w:val="000000"/>
        </w:rPr>
        <w:t xml:space="preserve">ose </w:t>
      </w:r>
      <w:r w:rsidRPr="009C5122">
        <w:rPr>
          <w:rFonts w:eastAsia="Times New Roman"/>
          <w:color w:val="000000"/>
        </w:rPr>
        <w:t xml:space="preserve"> 2.2 </w:t>
      </w:r>
      <w:r>
        <w:rPr>
          <w:rFonts w:eastAsia="Times New Roman"/>
          <w:color w:val="000000"/>
        </w:rPr>
        <w:t>miliard</w:t>
      </w:r>
      <w:r w:rsidRPr="009C5122">
        <w:rPr>
          <w:rFonts w:eastAsia="Times New Roman"/>
          <w:color w:val="000000"/>
        </w:rPr>
        <w:t xml:space="preserve"> lekë më pak se </w:t>
      </w:r>
      <w:r>
        <w:rPr>
          <w:rFonts w:eastAsia="Times New Roman"/>
          <w:color w:val="000000"/>
        </w:rPr>
        <w:t>të ardhurat e planifikuara në fillim të vitit.</w:t>
      </w:r>
      <w:r w:rsidRPr="009C5122">
        <w:rPr>
          <w:rFonts w:eastAsia="Times New Roman"/>
          <w:color w:val="000000"/>
        </w:rPr>
        <w:t xml:space="preserve"> </w:t>
      </w:r>
      <w:r>
        <w:rPr>
          <w:rFonts w:eastAsia="Times New Roman"/>
          <w:color w:val="000000"/>
        </w:rPr>
        <w:t>Shkaku kryesor i këtij deficiti lidhet me zgjatjen e afatit të aplikimit të Ligjit të Rivlerësimit të Pasurisë së Paluajtshme me 3 muaj, deri në 31 Maj 2017. Për këtë periudhë 3 mujore, të ardhurat e realizuara nga rivlerësimi janë pasqyruar në zërin e taksave nacionale.</w:t>
      </w:r>
      <w:r w:rsidRPr="009C5122">
        <w:rPr>
          <w:rFonts w:eastAsia="Times New Roman"/>
          <w:color w:val="000000"/>
        </w:rPr>
        <w:t xml:space="preserve"> </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sidRPr="009C5122">
        <w:rPr>
          <w:rFonts w:eastAsia="Times New Roman"/>
          <w:b/>
          <w:bCs/>
          <w:i/>
          <w:iCs/>
          <w:color w:val="000000"/>
        </w:rPr>
        <w:t xml:space="preserve">Të ardhurat nga Taksa Nacionale dhe të tjera </w:t>
      </w:r>
      <w:r w:rsidRPr="009C5122">
        <w:rPr>
          <w:rFonts w:eastAsia="Times New Roman"/>
          <w:color w:val="000000"/>
        </w:rPr>
        <w:t xml:space="preserve">pritet të realizohen në masën 39.2 </w:t>
      </w:r>
      <w:r>
        <w:rPr>
          <w:rFonts w:eastAsia="Times New Roman"/>
          <w:color w:val="000000"/>
        </w:rPr>
        <w:t>miliard lekë</w:t>
      </w:r>
      <w:r w:rsidRPr="009C5122">
        <w:rPr>
          <w:rFonts w:eastAsia="Times New Roman"/>
          <w:color w:val="000000"/>
        </w:rPr>
        <w:t xml:space="preserve">, duke shënuar një rritje prej 1.6 </w:t>
      </w:r>
      <w:r>
        <w:rPr>
          <w:rFonts w:eastAsia="Times New Roman"/>
          <w:color w:val="000000"/>
        </w:rPr>
        <w:t>miliard</w:t>
      </w:r>
      <w:r w:rsidRPr="009C5122">
        <w:rPr>
          <w:rFonts w:eastAsia="Times New Roman"/>
          <w:color w:val="000000"/>
        </w:rPr>
        <w:t xml:space="preserve"> lekë ose 4.3% më shumë sesa parashikuar. Faktor kryesor me ndikim në këtë realizim kanë qenë të ardhurat nga rivlerësimi i pasurive të paluajtshme</w:t>
      </w:r>
      <w:r>
        <w:rPr>
          <w:rFonts w:eastAsia="Times New Roman"/>
          <w:color w:val="000000"/>
        </w:rPr>
        <w:t>.</w:t>
      </w:r>
    </w:p>
    <w:p w:rsidR="007057C8" w:rsidRDefault="00616C21" w:rsidP="007057C8">
      <w:pPr>
        <w:spacing w:before="100" w:line="276" w:lineRule="auto"/>
        <w:jc w:val="both"/>
        <w:rPr>
          <w:rFonts w:eastAsia="Times New Roman"/>
        </w:rPr>
      </w:pPr>
      <w:r w:rsidRPr="009C5122">
        <w:rPr>
          <w:rFonts w:eastAsia="Times New Roman"/>
          <w:b/>
          <w:bCs/>
          <w:i/>
          <w:iCs/>
          <w:color w:val="000000"/>
        </w:rPr>
        <w:t>Të ardhurat nga Kontributet e Sigurimeve Shoqërore dhe Shëndetësore</w:t>
      </w:r>
      <w:r w:rsidRPr="009C5122">
        <w:rPr>
          <w:rFonts w:eastAsia="Times New Roman"/>
          <w:color w:val="000000"/>
        </w:rPr>
        <w:t xml:space="preserve"> priten të realizohen në masën </w:t>
      </w:r>
      <w:r>
        <w:rPr>
          <w:rFonts w:eastAsia="Times New Roman"/>
          <w:color w:val="000000"/>
        </w:rPr>
        <w:t>79</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duke shënuar një rritje prej </w:t>
      </w:r>
      <w:r>
        <w:rPr>
          <w:rFonts w:eastAsia="Times New Roman"/>
          <w:color w:val="000000"/>
        </w:rPr>
        <w:t>0.8</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ose </w:t>
      </w:r>
      <w:r>
        <w:rPr>
          <w:rFonts w:eastAsia="Times New Roman"/>
          <w:color w:val="000000"/>
        </w:rPr>
        <w:t>1</w:t>
      </w:r>
      <w:r w:rsidRPr="009C5122">
        <w:rPr>
          <w:rFonts w:eastAsia="Times New Roman"/>
          <w:color w:val="000000"/>
        </w:rPr>
        <w:t xml:space="preserve">% më shumë sesa parashikuar. </w:t>
      </w:r>
      <w:r>
        <w:rPr>
          <w:rFonts w:eastAsia="Times New Roman"/>
          <w:color w:val="000000"/>
        </w:rPr>
        <w:t>Realizimi dhe tejkalimi i të ardhurave nga kontributet lidhet me luftën kundër informalitetit, ndërgjegjësimin e punëmarrësve dhe punëdhënësve si dhe me efektet e rritjes së nivelit të pagës.</w:t>
      </w:r>
      <w:r w:rsidRPr="009C5122">
        <w:rPr>
          <w:rFonts w:eastAsia="Times New Roman"/>
          <w:color w:val="000000"/>
        </w:rPr>
        <w:t xml:space="preserve"> </w:t>
      </w:r>
    </w:p>
    <w:p w:rsidR="007057C8" w:rsidRDefault="007057C8" w:rsidP="007057C8">
      <w:pPr>
        <w:spacing w:line="276" w:lineRule="auto"/>
        <w:jc w:val="both"/>
        <w:rPr>
          <w:rFonts w:eastAsia="Times New Roman"/>
          <w:b/>
          <w:bCs/>
          <w:color w:val="000000"/>
        </w:rPr>
      </w:pPr>
    </w:p>
    <w:p w:rsidR="00616C21" w:rsidRPr="007057C8" w:rsidRDefault="00616C21" w:rsidP="007057C8">
      <w:pPr>
        <w:spacing w:line="276" w:lineRule="auto"/>
        <w:jc w:val="both"/>
        <w:rPr>
          <w:rFonts w:eastAsia="Times New Roman"/>
          <w:b/>
          <w:bCs/>
          <w:color w:val="000000"/>
        </w:rPr>
      </w:pPr>
      <w:r w:rsidRPr="007057C8">
        <w:rPr>
          <w:rFonts w:eastAsia="Times New Roman"/>
          <w:b/>
          <w:bCs/>
          <w:color w:val="000000"/>
        </w:rPr>
        <w:t>Krahasimi me vitin 2016 për të Ardhurat Doganore dhe Tatimore</w:t>
      </w:r>
    </w:p>
    <w:p w:rsidR="00616C21" w:rsidRDefault="00616C21" w:rsidP="00616C21">
      <w:pPr>
        <w:spacing w:before="100" w:line="276" w:lineRule="auto"/>
        <w:jc w:val="both"/>
        <w:rPr>
          <w:rFonts w:eastAsia="Times New Roman"/>
          <w:color w:val="000000"/>
        </w:rPr>
      </w:pPr>
      <w:r w:rsidRPr="009C5122">
        <w:rPr>
          <w:rFonts w:eastAsia="Times New Roman"/>
          <w:color w:val="000000"/>
        </w:rPr>
        <w:t>Viti 2017 p</w:t>
      </w:r>
      <w:r>
        <w:rPr>
          <w:rFonts w:eastAsia="Times New Roman"/>
          <w:color w:val="000000"/>
        </w:rPr>
        <w:t xml:space="preserve">ritet të mbyllet me performancë pozitive në të ardhura, duke shënuar </w:t>
      </w:r>
      <w:r w:rsidRPr="009C5122">
        <w:rPr>
          <w:rFonts w:eastAsia="Times New Roman"/>
          <w:color w:val="000000"/>
        </w:rPr>
        <w:t>rritje me 2</w:t>
      </w:r>
      <w:r>
        <w:rPr>
          <w:rFonts w:eastAsia="Times New Roman"/>
          <w:color w:val="000000"/>
        </w:rPr>
        <w:t>7</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ose +</w:t>
      </w:r>
      <w:r>
        <w:rPr>
          <w:rFonts w:eastAsia="Times New Roman"/>
          <w:color w:val="000000"/>
        </w:rPr>
        <w:t>8</w:t>
      </w:r>
      <w:r w:rsidRPr="009C5122">
        <w:rPr>
          <w:rFonts w:eastAsia="Times New Roman"/>
          <w:color w:val="000000"/>
        </w:rPr>
        <w:t xml:space="preserve">% kundrejt vitit 2016. </w:t>
      </w:r>
      <w:proofErr w:type="gramStart"/>
      <w:r>
        <w:rPr>
          <w:rFonts w:eastAsia="Times New Roman"/>
          <w:color w:val="000000"/>
        </w:rPr>
        <w:t>Ky</w:t>
      </w:r>
      <w:proofErr w:type="gramEnd"/>
      <w:r>
        <w:rPr>
          <w:rFonts w:eastAsia="Times New Roman"/>
          <w:color w:val="000000"/>
        </w:rPr>
        <w:t xml:space="preserve"> është rezultat i rritjes ekonomike, përmirësimit në administrimin e të ardhurave, reformave strukturore të ndërmarra nga Qeveria dhe aksionit për reduktim</w:t>
      </w:r>
      <w:r w:rsidR="007057C8">
        <w:rPr>
          <w:rFonts w:eastAsia="Times New Roman"/>
          <w:color w:val="000000"/>
        </w:rPr>
        <w:t>in e informalitetit në ekonomi:</w:t>
      </w:r>
    </w:p>
    <w:p w:rsidR="00616C21" w:rsidRPr="009C5122" w:rsidRDefault="00616C21" w:rsidP="002C5B1B">
      <w:pPr>
        <w:numPr>
          <w:ilvl w:val="0"/>
          <w:numId w:val="48"/>
        </w:numPr>
        <w:spacing w:line="276" w:lineRule="auto"/>
        <w:jc w:val="both"/>
        <w:textAlignment w:val="baseline"/>
        <w:rPr>
          <w:rFonts w:ascii="Noto Sans Symbols" w:eastAsia="Times New Roman" w:hAnsi="Noto Sans Symbols"/>
          <w:color w:val="000000"/>
        </w:rPr>
      </w:pPr>
      <w:r w:rsidRPr="009C5122">
        <w:rPr>
          <w:rFonts w:eastAsia="Times New Roman"/>
          <w:color w:val="000000"/>
        </w:rPr>
        <w:t>Të ardhura nga TVSH-ja pritet</w:t>
      </w:r>
      <w:r>
        <w:rPr>
          <w:rFonts w:eastAsia="Times New Roman"/>
          <w:color w:val="000000"/>
        </w:rPr>
        <w:t xml:space="preserve"> të jenë +7.9</w:t>
      </w:r>
      <w:r w:rsidRPr="009C5122">
        <w:rPr>
          <w:rFonts w:eastAsia="Times New Roman"/>
          <w:color w:val="000000"/>
        </w:rPr>
        <w:t xml:space="preserve"> </w:t>
      </w:r>
      <w:r>
        <w:rPr>
          <w:rFonts w:eastAsia="Times New Roman"/>
          <w:color w:val="000000"/>
        </w:rPr>
        <w:t>miliard</w:t>
      </w:r>
      <w:r w:rsidRPr="009C5122">
        <w:rPr>
          <w:rFonts w:eastAsia="Times New Roman"/>
          <w:color w:val="000000"/>
        </w:rPr>
        <w:t xml:space="preserve"> lekë ose +</w:t>
      </w:r>
      <w:r>
        <w:rPr>
          <w:rFonts w:eastAsia="Times New Roman"/>
          <w:color w:val="000000"/>
        </w:rPr>
        <w:t>6</w:t>
      </w:r>
      <w:r w:rsidRPr="009C5122">
        <w:rPr>
          <w:rFonts w:eastAsia="Times New Roman"/>
          <w:color w:val="000000"/>
        </w:rPr>
        <w:t>% kundrejt vitit 201</w:t>
      </w:r>
      <w:r>
        <w:rPr>
          <w:rFonts w:eastAsia="Times New Roman"/>
          <w:color w:val="000000"/>
        </w:rPr>
        <w:t>6</w:t>
      </w:r>
      <w:r w:rsidRPr="009C5122">
        <w:rPr>
          <w:rFonts w:eastAsia="Times New Roman"/>
          <w:color w:val="000000"/>
        </w:rPr>
        <w:t xml:space="preserve">. </w:t>
      </w:r>
    </w:p>
    <w:p w:rsidR="00616C21" w:rsidRPr="00DA124D" w:rsidRDefault="00616C21" w:rsidP="002C5B1B">
      <w:pPr>
        <w:numPr>
          <w:ilvl w:val="0"/>
          <w:numId w:val="48"/>
        </w:numPr>
        <w:spacing w:before="100" w:line="276" w:lineRule="auto"/>
        <w:jc w:val="both"/>
        <w:textAlignment w:val="baseline"/>
        <w:rPr>
          <w:rFonts w:ascii="Noto Sans Symbols" w:eastAsia="Times New Roman" w:hAnsi="Noto Sans Symbols"/>
          <w:color w:val="000000"/>
        </w:rPr>
      </w:pPr>
      <w:r w:rsidRPr="009C5122">
        <w:rPr>
          <w:rFonts w:eastAsia="Times New Roman"/>
          <w:color w:val="000000"/>
        </w:rPr>
        <w:t xml:space="preserve">Të ardhurat nga tatimi mbi fitimin, pritet të jenë +2.5 </w:t>
      </w:r>
      <w:r>
        <w:rPr>
          <w:rFonts w:eastAsia="Times New Roman"/>
          <w:color w:val="000000"/>
        </w:rPr>
        <w:t>miliard</w:t>
      </w:r>
      <w:r w:rsidRPr="009C5122">
        <w:rPr>
          <w:rFonts w:eastAsia="Times New Roman"/>
          <w:color w:val="000000"/>
        </w:rPr>
        <w:t xml:space="preserve"> lekë, ose +8.7% kundrejt vitit 2016. </w:t>
      </w:r>
    </w:p>
    <w:p w:rsidR="00616C21" w:rsidRPr="009C5122" w:rsidRDefault="00616C21" w:rsidP="002C5B1B">
      <w:pPr>
        <w:numPr>
          <w:ilvl w:val="0"/>
          <w:numId w:val="48"/>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Të ardhurat nga akciza pritet të jenë +4.1 </w:t>
      </w:r>
      <w:r>
        <w:rPr>
          <w:rFonts w:eastAsia="Times New Roman"/>
          <w:color w:val="000000"/>
        </w:rPr>
        <w:t>miliard</w:t>
      </w:r>
      <w:r w:rsidRPr="009C5122">
        <w:rPr>
          <w:rFonts w:eastAsia="Times New Roman"/>
          <w:color w:val="000000"/>
        </w:rPr>
        <w:t xml:space="preserve"> lekë ose +9.8% kundrejt vitit 2016. </w:t>
      </w:r>
    </w:p>
    <w:p w:rsidR="00616C21" w:rsidRPr="009C5122" w:rsidRDefault="00616C21" w:rsidP="002C5B1B">
      <w:pPr>
        <w:numPr>
          <w:ilvl w:val="0"/>
          <w:numId w:val="48"/>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Të ardhurat nga tatimi mbi të ardhurat personale, pritet të jenë 2.6 </w:t>
      </w:r>
      <w:r>
        <w:rPr>
          <w:rFonts w:eastAsia="Times New Roman"/>
          <w:color w:val="000000"/>
        </w:rPr>
        <w:t>miliard</w:t>
      </w:r>
      <w:r w:rsidRPr="009C5122">
        <w:rPr>
          <w:rFonts w:eastAsia="Times New Roman"/>
          <w:color w:val="000000"/>
        </w:rPr>
        <w:t xml:space="preserve"> lekë, ose 8.2% më shumë sesa viti i kaluar. </w:t>
      </w:r>
    </w:p>
    <w:p w:rsidR="00616C21" w:rsidRPr="009C5122" w:rsidRDefault="00616C21" w:rsidP="002C5B1B">
      <w:pPr>
        <w:numPr>
          <w:ilvl w:val="0"/>
          <w:numId w:val="48"/>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Të ardhurat nga taksat nacionale pritet të jenë +15% kundrejt vitit 2016, kryesisht si rezultat i të ardhurave të mbledhura nga Rivlerësimi i Pasurive të Paluajtshme me një efekt +3.6 </w:t>
      </w:r>
      <w:r>
        <w:rPr>
          <w:rFonts w:eastAsia="Times New Roman"/>
          <w:color w:val="000000"/>
        </w:rPr>
        <w:t>miliard</w:t>
      </w:r>
      <w:r w:rsidRPr="009C5122">
        <w:rPr>
          <w:rFonts w:eastAsia="Times New Roman"/>
          <w:color w:val="000000"/>
        </w:rPr>
        <w:t xml:space="preserve"> lekë. </w:t>
      </w:r>
    </w:p>
    <w:p w:rsidR="00616C21" w:rsidRPr="00A857A6" w:rsidRDefault="00616C21" w:rsidP="002C5B1B">
      <w:pPr>
        <w:numPr>
          <w:ilvl w:val="0"/>
          <w:numId w:val="48"/>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Të ardhurat nga taksa doganore pritet të jenë +0.26 </w:t>
      </w:r>
      <w:r>
        <w:rPr>
          <w:rFonts w:eastAsia="Times New Roman"/>
          <w:color w:val="000000"/>
        </w:rPr>
        <w:t>miliard</w:t>
      </w:r>
      <w:r w:rsidRPr="009C5122">
        <w:rPr>
          <w:rFonts w:eastAsia="Times New Roman"/>
          <w:color w:val="000000"/>
        </w:rPr>
        <w:t xml:space="preserve"> lekë ose +4% kundrejt vitit 2016. </w:t>
      </w:r>
    </w:p>
    <w:p w:rsidR="00616C21" w:rsidRPr="009C5122" w:rsidRDefault="00616C21" w:rsidP="002C5B1B">
      <w:pPr>
        <w:numPr>
          <w:ilvl w:val="0"/>
          <w:numId w:val="48"/>
        </w:numPr>
        <w:spacing w:line="276" w:lineRule="auto"/>
        <w:jc w:val="both"/>
        <w:textAlignment w:val="baseline"/>
        <w:rPr>
          <w:rFonts w:ascii="Noto Sans Symbols" w:eastAsia="Times New Roman" w:hAnsi="Noto Sans Symbols"/>
          <w:color w:val="000000"/>
        </w:rPr>
      </w:pPr>
      <w:r>
        <w:rPr>
          <w:rFonts w:eastAsia="Times New Roman"/>
          <w:color w:val="000000"/>
        </w:rPr>
        <w:t>Të ardhurat nga kontributet që mblidhen nga DPT pritet të jenë +4 miliard lekë ose +5.5%</w:t>
      </w:r>
    </w:p>
    <w:p w:rsidR="007057C8" w:rsidRDefault="007057C8" w:rsidP="00616C21">
      <w:pPr>
        <w:pStyle w:val="Caption"/>
        <w:keepNext/>
        <w:rPr>
          <w:bCs w:val="0"/>
          <w:noProof/>
          <w:color w:val="auto"/>
          <w:sz w:val="22"/>
          <w:szCs w:val="22"/>
          <w:lang w:val="sq-AL"/>
        </w:rPr>
      </w:pPr>
    </w:p>
    <w:p w:rsidR="00616C21" w:rsidRPr="00074126" w:rsidRDefault="00616C21" w:rsidP="00616C21">
      <w:pPr>
        <w:pStyle w:val="Caption"/>
        <w:keepNext/>
        <w:rPr>
          <w:bCs w:val="0"/>
          <w:noProof/>
          <w:color w:val="auto"/>
          <w:sz w:val="22"/>
          <w:szCs w:val="22"/>
          <w:lang w:val="sq-AL"/>
        </w:rPr>
      </w:pPr>
      <w:r w:rsidRPr="007057C8">
        <w:rPr>
          <w:bCs w:val="0"/>
          <w:noProof/>
          <w:color w:val="auto"/>
          <w:sz w:val="24"/>
          <w:szCs w:val="24"/>
          <w:lang w:val="sq-AL"/>
        </w:rPr>
        <w:t xml:space="preserve">Tabela 9: </w:t>
      </w:r>
      <w:r w:rsidRPr="007057C8">
        <w:rPr>
          <w:b w:val="0"/>
          <w:bCs w:val="0"/>
          <w:noProof/>
          <w:color w:val="auto"/>
          <w:sz w:val="24"/>
          <w:szCs w:val="24"/>
          <w:lang w:val="sq-AL"/>
        </w:rPr>
        <w:t>Të ardhurat tatimore dhe doganore krahasuar me 2016</w:t>
      </w:r>
      <w:r>
        <w:rPr>
          <w:bCs w:val="0"/>
          <w:noProof/>
          <w:color w:val="auto"/>
          <w:sz w:val="22"/>
          <w:szCs w:val="22"/>
          <w:lang w:val="sq-AL"/>
        </w:rPr>
        <w:t xml:space="preserve">                                      </w:t>
      </w:r>
      <w:r w:rsidRPr="00074126">
        <w:rPr>
          <w:b w:val="0"/>
          <w:bCs w:val="0"/>
          <w:i/>
          <w:noProof/>
          <w:color w:val="auto"/>
          <w:sz w:val="22"/>
          <w:szCs w:val="22"/>
          <w:lang w:val="sq-AL"/>
        </w:rPr>
        <w:t>(në milion lekë)</w:t>
      </w:r>
    </w:p>
    <w:tbl>
      <w:tblPr>
        <w:tblW w:w="9948" w:type="dxa"/>
        <w:tblLook w:val="04A0" w:firstRow="1" w:lastRow="0" w:firstColumn="1" w:lastColumn="0" w:noHBand="0" w:noVBand="1"/>
      </w:tblPr>
      <w:tblGrid>
        <w:gridCol w:w="3100"/>
        <w:gridCol w:w="1561"/>
        <w:gridCol w:w="1833"/>
        <w:gridCol w:w="1510"/>
        <w:gridCol w:w="1944"/>
      </w:tblGrid>
      <w:tr w:rsidR="00616C21" w:rsidRPr="00DA124D" w:rsidTr="00A67D90">
        <w:trPr>
          <w:trHeight w:val="360"/>
        </w:trPr>
        <w:tc>
          <w:tcPr>
            <w:tcW w:w="3100" w:type="dxa"/>
            <w:vMerge w:val="restart"/>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Tatime dhe Dogana</w:t>
            </w:r>
          </w:p>
        </w:tc>
        <w:tc>
          <w:tcPr>
            <w:tcW w:w="1561" w:type="dxa"/>
            <w:vMerge w:val="restart"/>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Fakt 2016</w:t>
            </w:r>
          </w:p>
        </w:tc>
        <w:tc>
          <w:tcPr>
            <w:tcW w:w="1833" w:type="dxa"/>
            <w:vMerge w:val="restart"/>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Vlerësim Buxheti 2017</w:t>
            </w:r>
          </w:p>
        </w:tc>
        <w:tc>
          <w:tcPr>
            <w:tcW w:w="1510" w:type="dxa"/>
            <w:vMerge w:val="restart"/>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Vl Buxh 2017/Fakt 2016</w:t>
            </w:r>
          </w:p>
        </w:tc>
        <w:tc>
          <w:tcPr>
            <w:tcW w:w="1944" w:type="dxa"/>
            <w:vMerge w:val="restart"/>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 Vl. Buxh</w:t>
            </w:r>
            <w:r w:rsidRPr="00DA124D">
              <w:rPr>
                <w:rFonts w:eastAsia="Times New Roman"/>
                <w:color w:val="000000"/>
                <w:sz w:val="20"/>
                <w:szCs w:val="20"/>
              </w:rPr>
              <w:t> </w:t>
            </w:r>
            <w:r w:rsidRPr="00DA124D">
              <w:rPr>
                <w:rFonts w:eastAsia="Times New Roman"/>
                <w:b/>
                <w:bCs/>
                <w:color w:val="000000"/>
                <w:sz w:val="20"/>
                <w:szCs w:val="20"/>
              </w:rPr>
              <w:t>2017/Fakt 2016</w:t>
            </w:r>
          </w:p>
        </w:tc>
      </w:tr>
      <w:tr w:rsidR="00616C21" w:rsidRPr="00DA124D" w:rsidTr="00A67D90">
        <w:trPr>
          <w:trHeight w:val="280"/>
        </w:trPr>
        <w:tc>
          <w:tcPr>
            <w:tcW w:w="3100" w:type="dxa"/>
            <w:vMerge/>
            <w:tcBorders>
              <w:top w:val="single" w:sz="8" w:space="0" w:color="000000"/>
              <w:left w:val="nil"/>
              <w:bottom w:val="single" w:sz="8" w:space="0" w:color="000000"/>
              <w:right w:val="nil"/>
            </w:tcBorders>
            <w:vAlign w:val="center"/>
            <w:hideMark/>
          </w:tcPr>
          <w:p w:rsidR="00616C21" w:rsidRPr="00DA124D" w:rsidRDefault="00616C21" w:rsidP="00A67D90">
            <w:pPr>
              <w:spacing w:line="276" w:lineRule="auto"/>
              <w:jc w:val="both"/>
              <w:rPr>
                <w:rFonts w:eastAsia="Times New Roman"/>
                <w:b/>
                <w:bCs/>
                <w:color w:val="000000"/>
                <w:sz w:val="20"/>
                <w:szCs w:val="20"/>
              </w:rPr>
            </w:pPr>
          </w:p>
        </w:tc>
        <w:tc>
          <w:tcPr>
            <w:tcW w:w="1561" w:type="dxa"/>
            <w:vMerge/>
            <w:tcBorders>
              <w:top w:val="single" w:sz="8" w:space="0" w:color="000000"/>
              <w:left w:val="nil"/>
              <w:bottom w:val="single" w:sz="8" w:space="0" w:color="000000"/>
              <w:right w:val="nil"/>
            </w:tcBorders>
            <w:vAlign w:val="center"/>
            <w:hideMark/>
          </w:tcPr>
          <w:p w:rsidR="00616C21" w:rsidRPr="00DA124D" w:rsidRDefault="00616C21" w:rsidP="00A67D90">
            <w:pPr>
              <w:spacing w:line="276" w:lineRule="auto"/>
              <w:jc w:val="both"/>
              <w:rPr>
                <w:rFonts w:eastAsia="Times New Roman"/>
                <w:b/>
                <w:bCs/>
                <w:color w:val="000000"/>
                <w:sz w:val="20"/>
                <w:szCs w:val="20"/>
              </w:rPr>
            </w:pPr>
          </w:p>
        </w:tc>
        <w:tc>
          <w:tcPr>
            <w:tcW w:w="1833" w:type="dxa"/>
            <w:vMerge/>
            <w:tcBorders>
              <w:top w:val="single" w:sz="8" w:space="0" w:color="000000"/>
              <w:left w:val="nil"/>
              <w:bottom w:val="single" w:sz="8" w:space="0" w:color="000000"/>
              <w:right w:val="nil"/>
            </w:tcBorders>
            <w:vAlign w:val="center"/>
            <w:hideMark/>
          </w:tcPr>
          <w:p w:rsidR="00616C21" w:rsidRPr="00DA124D" w:rsidRDefault="00616C21" w:rsidP="00A67D90">
            <w:pPr>
              <w:spacing w:line="276" w:lineRule="auto"/>
              <w:jc w:val="both"/>
              <w:rPr>
                <w:rFonts w:eastAsia="Times New Roman"/>
                <w:b/>
                <w:bCs/>
                <w:color w:val="000000"/>
                <w:sz w:val="20"/>
                <w:szCs w:val="20"/>
              </w:rPr>
            </w:pPr>
          </w:p>
        </w:tc>
        <w:tc>
          <w:tcPr>
            <w:tcW w:w="1510" w:type="dxa"/>
            <w:vMerge/>
            <w:tcBorders>
              <w:top w:val="single" w:sz="8" w:space="0" w:color="000000"/>
              <w:left w:val="nil"/>
              <w:bottom w:val="single" w:sz="8" w:space="0" w:color="000000"/>
              <w:right w:val="nil"/>
            </w:tcBorders>
            <w:vAlign w:val="center"/>
            <w:hideMark/>
          </w:tcPr>
          <w:p w:rsidR="00616C21" w:rsidRPr="00DA124D" w:rsidRDefault="00616C21" w:rsidP="00A67D90">
            <w:pPr>
              <w:spacing w:line="276" w:lineRule="auto"/>
              <w:jc w:val="both"/>
              <w:rPr>
                <w:rFonts w:eastAsia="Times New Roman"/>
                <w:b/>
                <w:bCs/>
                <w:color w:val="000000"/>
                <w:sz w:val="20"/>
                <w:szCs w:val="20"/>
              </w:rPr>
            </w:pPr>
          </w:p>
        </w:tc>
        <w:tc>
          <w:tcPr>
            <w:tcW w:w="1944" w:type="dxa"/>
            <w:vMerge/>
            <w:tcBorders>
              <w:top w:val="single" w:sz="8" w:space="0" w:color="000000"/>
              <w:left w:val="nil"/>
              <w:bottom w:val="single" w:sz="8" w:space="0" w:color="000000"/>
              <w:right w:val="nil"/>
            </w:tcBorders>
            <w:vAlign w:val="center"/>
            <w:hideMark/>
          </w:tcPr>
          <w:p w:rsidR="00616C21" w:rsidRPr="00DA124D" w:rsidRDefault="00616C21" w:rsidP="00A67D90">
            <w:pPr>
              <w:spacing w:line="276" w:lineRule="auto"/>
              <w:jc w:val="both"/>
              <w:rPr>
                <w:rFonts w:eastAsia="Times New Roman"/>
                <w:b/>
                <w:bCs/>
                <w:color w:val="000000"/>
                <w:sz w:val="20"/>
                <w:szCs w:val="20"/>
              </w:rPr>
            </w:pPr>
          </w:p>
        </w:tc>
      </w:tr>
      <w:tr w:rsidR="00616C21" w:rsidRPr="00DA124D" w:rsidTr="00A67D90">
        <w:trPr>
          <w:trHeight w:val="267"/>
        </w:trPr>
        <w:tc>
          <w:tcPr>
            <w:tcW w:w="310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Tatimi mbi vlerën e shtuar</w:t>
            </w:r>
          </w:p>
        </w:tc>
        <w:tc>
          <w:tcPr>
            <w:tcW w:w="1561"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131,390</w:t>
            </w:r>
          </w:p>
        </w:tc>
        <w:tc>
          <w:tcPr>
            <w:tcW w:w="1833"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139,317</w:t>
            </w:r>
          </w:p>
        </w:tc>
        <w:tc>
          <w:tcPr>
            <w:tcW w:w="151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7,927</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6.0%</w:t>
            </w:r>
          </w:p>
        </w:tc>
      </w:tr>
      <w:tr w:rsidR="00616C21" w:rsidRPr="00DA124D" w:rsidTr="00A67D90">
        <w:trPr>
          <w:trHeight w:val="267"/>
        </w:trPr>
        <w:tc>
          <w:tcPr>
            <w:tcW w:w="310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Tatimi mbi fitimin</w:t>
            </w:r>
          </w:p>
        </w:tc>
        <w:tc>
          <w:tcPr>
            <w:tcW w:w="1561"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29,151</w:t>
            </w:r>
          </w:p>
        </w:tc>
        <w:tc>
          <w:tcPr>
            <w:tcW w:w="1833"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31,700</w:t>
            </w:r>
          </w:p>
        </w:tc>
        <w:tc>
          <w:tcPr>
            <w:tcW w:w="151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2,549</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8.7%</w:t>
            </w:r>
          </w:p>
        </w:tc>
      </w:tr>
      <w:tr w:rsidR="00616C21" w:rsidRPr="00DA124D" w:rsidTr="00A67D90">
        <w:trPr>
          <w:trHeight w:val="267"/>
        </w:trPr>
        <w:tc>
          <w:tcPr>
            <w:tcW w:w="310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Akciza</w:t>
            </w:r>
          </w:p>
        </w:tc>
        <w:tc>
          <w:tcPr>
            <w:tcW w:w="1561"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41,896</w:t>
            </w:r>
          </w:p>
        </w:tc>
        <w:tc>
          <w:tcPr>
            <w:tcW w:w="1833"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46,000</w:t>
            </w:r>
          </w:p>
        </w:tc>
        <w:tc>
          <w:tcPr>
            <w:tcW w:w="151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4,104</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9.8%</w:t>
            </w:r>
          </w:p>
        </w:tc>
      </w:tr>
      <w:tr w:rsidR="00616C21" w:rsidRPr="00DA124D" w:rsidTr="00A67D90">
        <w:trPr>
          <w:trHeight w:val="454"/>
        </w:trPr>
        <w:tc>
          <w:tcPr>
            <w:tcW w:w="310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Tatimi mbi të ardhurat personale</w:t>
            </w:r>
          </w:p>
        </w:tc>
        <w:tc>
          <w:tcPr>
            <w:tcW w:w="1561"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31,412</w:t>
            </w:r>
          </w:p>
        </w:tc>
        <w:tc>
          <w:tcPr>
            <w:tcW w:w="1833"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34,000</w:t>
            </w:r>
          </w:p>
        </w:tc>
        <w:tc>
          <w:tcPr>
            <w:tcW w:w="151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2,588</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8.2%</w:t>
            </w:r>
          </w:p>
        </w:tc>
      </w:tr>
      <w:tr w:rsidR="00616C21" w:rsidRPr="00DA124D" w:rsidTr="00A67D90">
        <w:trPr>
          <w:trHeight w:val="267"/>
        </w:trPr>
        <w:tc>
          <w:tcPr>
            <w:tcW w:w="310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Taksa nacionale dhe të tjera</w:t>
            </w:r>
          </w:p>
        </w:tc>
        <w:tc>
          <w:tcPr>
            <w:tcW w:w="1561"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35,794</w:t>
            </w:r>
          </w:p>
        </w:tc>
        <w:tc>
          <w:tcPr>
            <w:tcW w:w="1833"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41,200</w:t>
            </w:r>
          </w:p>
        </w:tc>
        <w:tc>
          <w:tcPr>
            <w:tcW w:w="151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5,406</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15.1%</w:t>
            </w:r>
          </w:p>
        </w:tc>
      </w:tr>
      <w:tr w:rsidR="00616C21" w:rsidRPr="00DA124D" w:rsidTr="00A67D90">
        <w:trPr>
          <w:trHeight w:val="280"/>
        </w:trPr>
        <w:tc>
          <w:tcPr>
            <w:tcW w:w="3100"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Taksa doganore</w:t>
            </w:r>
          </w:p>
        </w:tc>
        <w:tc>
          <w:tcPr>
            <w:tcW w:w="1561"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6,137</w:t>
            </w:r>
          </w:p>
        </w:tc>
        <w:tc>
          <w:tcPr>
            <w:tcW w:w="1833"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6,400</w:t>
            </w:r>
          </w:p>
        </w:tc>
        <w:tc>
          <w:tcPr>
            <w:tcW w:w="1510"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263</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4.3%</w:t>
            </w:r>
          </w:p>
        </w:tc>
      </w:tr>
      <w:tr w:rsidR="00616C21" w:rsidRPr="00DA124D" w:rsidTr="00A67D90">
        <w:trPr>
          <w:trHeight w:val="280"/>
        </w:trPr>
        <w:tc>
          <w:tcPr>
            <w:tcW w:w="3100"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Totali</w:t>
            </w:r>
          </w:p>
        </w:tc>
        <w:tc>
          <w:tcPr>
            <w:tcW w:w="1561"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275,780</w:t>
            </w:r>
          </w:p>
        </w:tc>
        <w:tc>
          <w:tcPr>
            <w:tcW w:w="1833"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298,617</w:t>
            </w:r>
          </w:p>
        </w:tc>
        <w:tc>
          <w:tcPr>
            <w:tcW w:w="1510" w:type="dxa"/>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22,837</w:t>
            </w:r>
          </w:p>
        </w:tc>
        <w:tc>
          <w:tcPr>
            <w:tcW w:w="1944" w:type="dxa"/>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8.3%</w:t>
            </w:r>
          </w:p>
        </w:tc>
      </w:tr>
      <w:tr w:rsidR="00616C21" w:rsidRPr="00DA124D" w:rsidTr="00A67D90">
        <w:trPr>
          <w:trHeight w:val="280"/>
        </w:trPr>
        <w:tc>
          <w:tcPr>
            <w:tcW w:w="3100"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Kontribute nga DPT</w:t>
            </w:r>
          </w:p>
        </w:tc>
        <w:tc>
          <w:tcPr>
            <w:tcW w:w="1561"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74,947</w:t>
            </w:r>
          </w:p>
        </w:tc>
        <w:tc>
          <w:tcPr>
            <w:tcW w:w="1833" w:type="dxa"/>
            <w:tcBorders>
              <w:top w:val="nil"/>
              <w:left w:val="nil"/>
              <w:bottom w:val="nil"/>
              <w:right w:val="nil"/>
            </w:tcBorders>
            <w:shd w:val="clear" w:color="auto" w:fill="auto"/>
            <w:noWrap/>
            <w:vAlign w:val="bottom"/>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79,033</w:t>
            </w:r>
          </w:p>
        </w:tc>
        <w:tc>
          <w:tcPr>
            <w:tcW w:w="1510" w:type="dxa"/>
            <w:tcBorders>
              <w:top w:val="nil"/>
              <w:left w:val="nil"/>
              <w:bottom w:val="nil"/>
              <w:right w:val="nil"/>
            </w:tcBorders>
            <w:shd w:val="clear" w:color="auto" w:fill="auto"/>
            <w:noWrap/>
            <w:vAlign w:val="bottom"/>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4,086</w:t>
            </w:r>
          </w:p>
        </w:tc>
        <w:tc>
          <w:tcPr>
            <w:tcW w:w="1944" w:type="dxa"/>
            <w:tcBorders>
              <w:top w:val="nil"/>
              <w:left w:val="nil"/>
              <w:bottom w:val="nil"/>
              <w:right w:val="nil"/>
            </w:tcBorders>
            <w:shd w:val="clear" w:color="auto" w:fill="auto"/>
            <w:vAlign w:val="center"/>
            <w:hideMark/>
          </w:tcPr>
          <w:p w:rsidR="00616C21" w:rsidRPr="00DA124D" w:rsidRDefault="00616C21" w:rsidP="00A67D90">
            <w:pPr>
              <w:spacing w:line="276" w:lineRule="auto"/>
              <w:jc w:val="both"/>
              <w:rPr>
                <w:rFonts w:eastAsia="Times New Roman"/>
                <w:color w:val="000000"/>
                <w:sz w:val="20"/>
                <w:szCs w:val="20"/>
              </w:rPr>
            </w:pPr>
            <w:r w:rsidRPr="00DA124D">
              <w:rPr>
                <w:rFonts w:eastAsia="Times New Roman"/>
                <w:color w:val="000000"/>
                <w:sz w:val="20"/>
                <w:szCs w:val="20"/>
              </w:rPr>
              <w:t>5.5%</w:t>
            </w:r>
          </w:p>
        </w:tc>
      </w:tr>
      <w:tr w:rsidR="00616C21" w:rsidRPr="00DA124D" w:rsidTr="00A67D90">
        <w:trPr>
          <w:trHeight w:val="280"/>
        </w:trPr>
        <w:tc>
          <w:tcPr>
            <w:tcW w:w="3100" w:type="dxa"/>
            <w:tcBorders>
              <w:top w:val="nil"/>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 xml:space="preserve">Totali </w:t>
            </w:r>
          </w:p>
        </w:tc>
        <w:tc>
          <w:tcPr>
            <w:tcW w:w="1561" w:type="dxa"/>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350,727</w:t>
            </w:r>
          </w:p>
        </w:tc>
        <w:tc>
          <w:tcPr>
            <w:tcW w:w="1833" w:type="dxa"/>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377,650</w:t>
            </w:r>
          </w:p>
        </w:tc>
        <w:tc>
          <w:tcPr>
            <w:tcW w:w="1510" w:type="dxa"/>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26,923</w:t>
            </w:r>
          </w:p>
        </w:tc>
        <w:tc>
          <w:tcPr>
            <w:tcW w:w="1944" w:type="dxa"/>
            <w:tcBorders>
              <w:top w:val="single" w:sz="8" w:space="0" w:color="000000"/>
              <w:left w:val="nil"/>
              <w:bottom w:val="single" w:sz="8" w:space="0" w:color="000000"/>
              <w:right w:val="nil"/>
            </w:tcBorders>
            <w:shd w:val="clear" w:color="auto" w:fill="auto"/>
            <w:vAlign w:val="center"/>
            <w:hideMark/>
          </w:tcPr>
          <w:p w:rsidR="00616C21" w:rsidRPr="00DA124D" w:rsidRDefault="00616C21" w:rsidP="00A67D90">
            <w:pPr>
              <w:spacing w:line="276" w:lineRule="auto"/>
              <w:jc w:val="both"/>
              <w:rPr>
                <w:rFonts w:eastAsia="Times New Roman"/>
                <w:b/>
                <w:bCs/>
                <w:color w:val="000000"/>
                <w:sz w:val="20"/>
                <w:szCs w:val="20"/>
              </w:rPr>
            </w:pPr>
            <w:r w:rsidRPr="00DA124D">
              <w:rPr>
                <w:rFonts w:eastAsia="Times New Roman"/>
                <w:b/>
                <w:bCs/>
                <w:color w:val="000000"/>
                <w:sz w:val="20"/>
                <w:szCs w:val="20"/>
              </w:rPr>
              <w:t>8%</w:t>
            </w:r>
          </w:p>
        </w:tc>
      </w:tr>
    </w:tbl>
    <w:p w:rsidR="00616C21" w:rsidRPr="009C5122" w:rsidRDefault="00616C21" w:rsidP="00616C21">
      <w:pPr>
        <w:spacing w:line="276" w:lineRule="auto"/>
        <w:jc w:val="both"/>
        <w:rPr>
          <w:rFonts w:eastAsia="Times New Roman"/>
        </w:rPr>
      </w:pPr>
      <w:r w:rsidRPr="009C5122">
        <w:rPr>
          <w:rFonts w:eastAsia="Times New Roman"/>
          <w:b/>
          <w:bCs/>
          <w:color w:val="000000"/>
          <w:sz w:val="20"/>
          <w:szCs w:val="20"/>
        </w:rPr>
        <w:t>Burimi:</w:t>
      </w:r>
      <w:r w:rsidRPr="009C5122">
        <w:rPr>
          <w:rFonts w:eastAsia="Times New Roman"/>
          <w:b/>
          <w:bCs/>
          <w:i/>
          <w:iCs/>
          <w:color w:val="000000"/>
          <w:sz w:val="20"/>
          <w:szCs w:val="20"/>
        </w:rPr>
        <w:t xml:space="preserve"> </w:t>
      </w:r>
      <w:r w:rsidRPr="009C5122">
        <w:rPr>
          <w:rFonts w:eastAsia="Times New Roman"/>
          <w:i/>
          <w:iCs/>
          <w:color w:val="000000"/>
          <w:sz w:val="20"/>
          <w:szCs w:val="20"/>
        </w:rPr>
        <w:t>Ministria e Financave dhe Ekonomisë (2017)</w:t>
      </w:r>
    </w:p>
    <w:p w:rsidR="00616C21"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outlineLvl w:val="0"/>
        <w:rPr>
          <w:rFonts w:eastAsia="Times New Roman"/>
          <w:b/>
          <w:bCs/>
          <w:kern w:val="36"/>
          <w:sz w:val="48"/>
          <w:szCs w:val="48"/>
        </w:rPr>
      </w:pPr>
      <w:bookmarkStart w:id="25" w:name="_Toc496520383"/>
      <w:r w:rsidRPr="009C5122">
        <w:rPr>
          <w:rFonts w:eastAsia="Times New Roman"/>
          <w:b/>
          <w:bCs/>
          <w:color w:val="000000"/>
          <w:kern w:val="36"/>
          <w:sz w:val="26"/>
          <w:szCs w:val="26"/>
        </w:rPr>
        <w:t>3.2 PARASHIKIMI I TË ARDHURAVE PËR VITIN 2018</w:t>
      </w:r>
      <w:bookmarkEnd w:id="25"/>
    </w:p>
    <w:p w:rsidR="00616C21" w:rsidRPr="009C5122" w:rsidRDefault="001916E1" w:rsidP="00616C21">
      <w:pPr>
        <w:spacing w:before="100" w:line="276" w:lineRule="auto"/>
        <w:jc w:val="both"/>
        <w:rPr>
          <w:rFonts w:eastAsia="Times New Roman"/>
        </w:rPr>
      </w:pPr>
      <w:r w:rsidRPr="009C5122">
        <w:rPr>
          <w:rFonts w:eastAsia="Times New Roman"/>
          <w:color w:val="000000"/>
        </w:rPr>
        <w:t xml:space="preserve">Në programimin e të ardhurave tatimore për vitin 2018, janë marrë në konsideratë efekti </w:t>
      </w:r>
      <w:r>
        <w:rPr>
          <w:rFonts w:eastAsia="Times New Roman"/>
          <w:color w:val="000000"/>
        </w:rPr>
        <w:t>i</w:t>
      </w:r>
      <w:r w:rsidRPr="009C5122">
        <w:rPr>
          <w:rFonts w:eastAsia="Times New Roman"/>
          <w:color w:val="000000"/>
        </w:rPr>
        <w:t xml:space="preserve"> rritjes ekonomike, politikat e kujdesshme fiskale si dhe efektet </w:t>
      </w:r>
      <w:r>
        <w:rPr>
          <w:rFonts w:eastAsia="Times New Roman"/>
          <w:color w:val="000000"/>
        </w:rPr>
        <w:t>për</w:t>
      </w:r>
      <w:r w:rsidRPr="009C5122">
        <w:rPr>
          <w:rFonts w:eastAsia="Times New Roman"/>
          <w:color w:val="000000"/>
        </w:rPr>
        <w:t xml:space="preserve"> rritjen e nivelit të pajtimit me ligjin nga tatimpaguesit.</w:t>
      </w:r>
    </w:p>
    <w:p w:rsidR="00616C21" w:rsidRPr="009C5122" w:rsidRDefault="00616C21" w:rsidP="00616C21">
      <w:pPr>
        <w:spacing w:line="276" w:lineRule="auto"/>
        <w:jc w:val="both"/>
        <w:rPr>
          <w:rFonts w:eastAsia="Times New Roman"/>
        </w:rPr>
      </w:pPr>
    </w:p>
    <w:p w:rsidR="00616C21" w:rsidRPr="009C5122" w:rsidRDefault="001916E1" w:rsidP="00616C21">
      <w:pPr>
        <w:spacing w:line="276" w:lineRule="auto"/>
        <w:jc w:val="both"/>
        <w:rPr>
          <w:rFonts w:eastAsia="Times New Roman"/>
        </w:rPr>
      </w:pPr>
      <w:r w:rsidRPr="001916E1">
        <w:rPr>
          <w:rFonts w:eastAsia="Times New Roman"/>
          <w:color w:val="000000"/>
        </w:rPr>
        <w:t>Metodologjia e programimit të të ardhurave është bazuar në modelet bashkëkohore të programimit dhe në analizën e detajuar të faktorëve që ndikojnë në secilën taksë.</w:t>
      </w:r>
    </w:p>
    <w:p w:rsidR="00616C21" w:rsidRDefault="00616C21" w:rsidP="00616C21">
      <w:pPr>
        <w:spacing w:line="276" w:lineRule="auto"/>
        <w:jc w:val="both"/>
        <w:rPr>
          <w:rFonts w:eastAsia="Times New Roman"/>
          <w:color w:val="000000"/>
        </w:rPr>
      </w:pPr>
    </w:p>
    <w:p w:rsidR="00616C21" w:rsidRPr="009C5122" w:rsidRDefault="001916E1" w:rsidP="00616C21">
      <w:pPr>
        <w:spacing w:line="276" w:lineRule="auto"/>
        <w:jc w:val="both"/>
        <w:rPr>
          <w:rFonts w:eastAsia="Times New Roman"/>
        </w:rPr>
      </w:pPr>
      <w:r>
        <w:rPr>
          <w:rFonts w:eastAsia="Times New Roman"/>
          <w:color w:val="000000"/>
        </w:rPr>
        <w:t>Në planifikim janë</w:t>
      </w:r>
      <w:r w:rsidRPr="009C5122">
        <w:rPr>
          <w:rFonts w:eastAsia="Times New Roman"/>
          <w:color w:val="000000"/>
        </w:rPr>
        <w:t xml:space="preserve"> </w:t>
      </w:r>
      <w:r>
        <w:rPr>
          <w:rFonts w:eastAsia="Times New Roman"/>
          <w:color w:val="000000"/>
        </w:rPr>
        <w:t>kombinuar</w:t>
      </w:r>
      <w:r w:rsidRPr="009C5122">
        <w:rPr>
          <w:rFonts w:eastAsia="Times New Roman"/>
          <w:color w:val="000000"/>
        </w:rPr>
        <w:t xml:space="preserve"> faktorët makroekonomikë, me treguesit kryesorë që ndikojnë në taksa specifike. </w:t>
      </w:r>
      <w:r>
        <w:rPr>
          <w:rFonts w:eastAsia="Times New Roman"/>
          <w:color w:val="000000"/>
        </w:rPr>
        <w:t>Janë vlerësuar</w:t>
      </w:r>
      <w:r w:rsidRPr="009C5122">
        <w:rPr>
          <w:rFonts w:eastAsia="Times New Roman"/>
          <w:color w:val="000000"/>
        </w:rPr>
        <w:t xml:space="preserve"> sasitë dhe çmimet e mallrave kryesorë të importit dhe prodhimit </w:t>
      </w:r>
      <w:proofErr w:type="gramStart"/>
      <w:r w:rsidRPr="009C5122">
        <w:rPr>
          <w:rFonts w:eastAsia="Times New Roman"/>
          <w:color w:val="000000"/>
        </w:rPr>
        <w:t>vendas</w:t>
      </w:r>
      <w:proofErr w:type="gramEnd"/>
      <w:r w:rsidRPr="009C5122">
        <w:rPr>
          <w:rFonts w:eastAsia="Times New Roman"/>
          <w:color w:val="000000"/>
        </w:rPr>
        <w:t xml:space="preserve"> që mbulojnë mbi 90% të vlerës së të ardhurave totale</w:t>
      </w:r>
      <w:r>
        <w:rPr>
          <w:rFonts w:eastAsia="Times New Roman"/>
          <w:color w:val="000000"/>
        </w:rPr>
        <w:t>. Në mënyrë të detajuar treguesit kryesore për vlerësimin e të ardhurave janë:</w:t>
      </w:r>
      <w:r w:rsidR="00616C21" w:rsidRPr="009C5122">
        <w:rPr>
          <w:rFonts w:eastAsia="Times New Roman"/>
          <w:color w:val="000000"/>
        </w:rPr>
        <w:t xml:space="preserve"> </w:t>
      </w:r>
    </w:p>
    <w:p w:rsidR="00616C21" w:rsidRPr="009C5122" w:rsidRDefault="00616C21" w:rsidP="002C5B1B">
      <w:pPr>
        <w:numPr>
          <w:ilvl w:val="0"/>
          <w:numId w:val="49"/>
        </w:numPr>
        <w:spacing w:after="60" w:line="276" w:lineRule="auto"/>
        <w:jc w:val="both"/>
        <w:textAlignment w:val="baseline"/>
        <w:rPr>
          <w:rFonts w:ascii="Calibri" w:eastAsia="Times New Roman" w:hAnsi="Calibri" w:cs="Calibri"/>
          <w:color w:val="000000"/>
        </w:rPr>
      </w:pPr>
      <w:r>
        <w:rPr>
          <w:rFonts w:eastAsia="Times New Roman"/>
          <w:color w:val="000000"/>
        </w:rPr>
        <w:t xml:space="preserve">Rritjen </w:t>
      </w:r>
      <w:r w:rsidRPr="009C5122">
        <w:rPr>
          <w:rFonts w:eastAsia="Times New Roman"/>
          <w:color w:val="000000"/>
        </w:rPr>
        <w:t>nominale të PBB-së</w:t>
      </w:r>
      <w:r>
        <w:rPr>
          <w:rFonts w:eastAsia="Times New Roman"/>
          <w:color w:val="000000"/>
        </w:rPr>
        <w:t>.</w:t>
      </w:r>
    </w:p>
    <w:p w:rsidR="00616C21" w:rsidRPr="009C5122" w:rsidRDefault="00616C21" w:rsidP="002C5B1B">
      <w:pPr>
        <w:numPr>
          <w:ilvl w:val="0"/>
          <w:numId w:val="49"/>
        </w:numPr>
        <w:spacing w:after="60" w:line="276" w:lineRule="auto"/>
        <w:jc w:val="both"/>
        <w:textAlignment w:val="baseline"/>
        <w:rPr>
          <w:rFonts w:ascii="Calibri" w:eastAsia="Times New Roman" w:hAnsi="Calibri" w:cs="Calibri"/>
          <w:color w:val="000000"/>
        </w:rPr>
      </w:pPr>
      <w:r w:rsidRPr="009C5122">
        <w:rPr>
          <w:rFonts w:eastAsia="Times New Roman"/>
          <w:color w:val="000000"/>
        </w:rPr>
        <w:t>Kursin</w:t>
      </w:r>
      <w:r>
        <w:rPr>
          <w:rFonts w:eastAsia="Times New Roman"/>
          <w:color w:val="000000"/>
        </w:rPr>
        <w:t xml:space="preserve"> e pritshëm të këmbimit të </w:t>
      </w:r>
      <w:proofErr w:type="gramStart"/>
      <w:r>
        <w:rPr>
          <w:rFonts w:eastAsia="Times New Roman"/>
          <w:color w:val="000000"/>
        </w:rPr>
        <w:t>dy</w:t>
      </w:r>
      <w:proofErr w:type="gramEnd"/>
      <w:r>
        <w:rPr>
          <w:rFonts w:eastAsia="Times New Roman"/>
          <w:color w:val="000000"/>
        </w:rPr>
        <w:t xml:space="preserve"> </w:t>
      </w:r>
      <w:r w:rsidRPr="009C5122">
        <w:rPr>
          <w:rFonts w:eastAsia="Times New Roman"/>
          <w:color w:val="000000"/>
        </w:rPr>
        <w:t xml:space="preserve">monedhave kryesore: USD dhe EURO me Lekun. </w:t>
      </w:r>
    </w:p>
    <w:p w:rsidR="00616C21" w:rsidRPr="009C5122" w:rsidRDefault="00616C21" w:rsidP="002C5B1B">
      <w:pPr>
        <w:numPr>
          <w:ilvl w:val="0"/>
          <w:numId w:val="49"/>
        </w:numPr>
        <w:spacing w:after="60" w:line="276" w:lineRule="auto"/>
        <w:jc w:val="both"/>
        <w:textAlignment w:val="baseline"/>
        <w:rPr>
          <w:rFonts w:ascii="Calibri" w:eastAsia="Times New Roman" w:hAnsi="Calibri" w:cs="Calibri"/>
          <w:color w:val="000000"/>
        </w:rPr>
      </w:pPr>
      <w:r>
        <w:rPr>
          <w:rFonts w:eastAsia="Times New Roman"/>
          <w:color w:val="000000"/>
        </w:rPr>
        <w:t xml:space="preserve">Çmimet </w:t>
      </w:r>
      <w:r w:rsidRPr="009C5122">
        <w:rPr>
          <w:rFonts w:eastAsia="Times New Roman"/>
          <w:color w:val="000000"/>
        </w:rPr>
        <w:t xml:space="preserve">në Bursë që ndikojnë në të ardhurat nga TVSH-ja dhe Renta minerare. </w:t>
      </w:r>
    </w:p>
    <w:p w:rsidR="00616C21" w:rsidRPr="009C5122" w:rsidRDefault="00616C21" w:rsidP="002C5B1B">
      <w:pPr>
        <w:numPr>
          <w:ilvl w:val="0"/>
          <w:numId w:val="49"/>
        </w:numPr>
        <w:spacing w:line="276" w:lineRule="auto"/>
        <w:jc w:val="both"/>
        <w:textAlignment w:val="baseline"/>
        <w:rPr>
          <w:rFonts w:ascii="Calibri" w:eastAsia="Times New Roman" w:hAnsi="Calibri" w:cs="Calibri"/>
          <w:color w:val="000000"/>
        </w:rPr>
      </w:pPr>
      <w:r>
        <w:rPr>
          <w:rFonts w:eastAsia="Times New Roman"/>
          <w:color w:val="000000"/>
        </w:rPr>
        <w:t>S</w:t>
      </w:r>
      <w:r w:rsidRPr="009C5122">
        <w:rPr>
          <w:rFonts w:eastAsia="Times New Roman"/>
          <w:color w:val="000000"/>
        </w:rPr>
        <w:t xml:space="preserve">asitë e pritshme të importit </w:t>
      </w:r>
      <w:r>
        <w:rPr>
          <w:rFonts w:eastAsia="Times New Roman"/>
          <w:color w:val="000000"/>
        </w:rPr>
        <w:t>te mallrave</w:t>
      </w:r>
    </w:p>
    <w:p w:rsidR="00616C21" w:rsidRPr="009C5122" w:rsidRDefault="00616C21" w:rsidP="002C5B1B">
      <w:pPr>
        <w:numPr>
          <w:ilvl w:val="0"/>
          <w:numId w:val="50"/>
        </w:numPr>
        <w:spacing w:line="276" w:lineRule="auto"/>
        <w:jc w:val="both"/>
        <w:textAlignment w:val="baseline"/>
        <w:rPr>
          <w:rFonts w:ascii="Calibri" w:eastAsia="Times New Roman" w:hAnsi="Calibri" w:cs="Calibri"/>
          <w:color w:val="000000"/>
        </w:rPr>
      </w:pPr>
      <w:r>
        <w:rPr>
          <w:rFonts w:eastAsia="Times New Roman"/>
          <w:color w:val="000000"/>
        </w:rPr>
        <w:t xml:space="preserve">Rritjen </w:t>
      </w:r>
      <w:r w:rsidRPr="009C5122">
        <w:rPr>
          <w:rFonts w:eastAsia="Times New Roman"/>
          <w:color w:val="000000"/>
        </w:rPr>
        <w:t>e të ardhurave nga akciza p</w:t>
      </w:r>
      <w:r w:rsidRPr="009C5122">
        <w:rPr>
          <w:rFonts w:ascii="Calibri" w:eastAsia="Times New Roman" w:hAnsi="Calibri" w:cs="Calibri"/>
          <w:color w:val="000000"/>
        </w:rPr>
        <w:t>ë</w:t>
      </w:r>
      <w:r w:rsidRPr="009C5122">
        <w:rPr>
          <w:rFonts w:eastAsia="Times New Roman"/>
          <w:color w:val="000000"/>
        </w:rPr>
        <w:t xml:space="preserve">r karburantet, cigaret, pijet etj, si rezultat i rritjes së pritshme në sasi të tyre, në përputhje me konsumin. </w:t>
      </w:r>
      <w:r>
        <w:rPr>
          <w:rFonts w:eastAsia="Times New Roman"/>
          <w:color w:val="000000"/>
        </w:rPr>
        <w:t>Janë programuar të zhdoganohen +</w:t>
      </w:r>
      <w:r w:rsidRPr="009C5122">
        <w:rPr>
          <w:rFonts w:eastAsia="Times New Roman"/>
          <w:color w:val="000000"/>
        </w:rPr>
        <w:t>200 ton ose 6.5% më shumë</w:t>
      </w:r>
      <w:r w:rsidRPr="009C5122">
        <w:rPr>
          <w:rFonts w:ascii="Calibri" w:eastAsia="Times New Roman" w:hAnsi="Calibri" w:cs="Calibri"/>
          <w:color w:val="000000"/>
        </w:rPr>
        <w:t xml:space="preserve"> </w:t>
      </w:r>
      <w:r w:rsidRPr="009C5122">
        <w:rPr>
          <w:rFonts w:eastAsia="Times New Roman"/>
          <w:color w:val="000000"/>
        </w:rPr>
        <w:t>cigare krahasuar me realizimin e pritshëm 2017</w:t>
      </w:r>
      <w:r>
        <w:rPr>
          <w:rFonts w:eastAsia="Times New Roman"/>
          <w:color w:val="000000"/>
        </w:rPr>
        <w:t>.</w:t>
      </w:r>
      <w:r w:rsidRPr="009C5122">
        <w:rPr>
          <w:rFonts w:eastAsia="Times New Roman"/>
          <w:color w:val="000000"/>
        </w:rPr>
        <w:t xml:space="preserve"> Po kështu është parashikuar rritja me 7% e importit të karburanteve bazuar në ecurinë e vitit 2017, konsumit të karburanteve në përputhje me rritjen ekonomike dhe nevojat e tregut</w:t>
      </w:r>
    </w:p>
    <w:p w:rsidR="00616C21" w:rsidRPr="009C5122" w:rsidRDefault="00616C21" w:rsidP="002C5B1B">
      <w:pPr>
        <w:numPr>
          <w:ilvl w:val="0"/>
          <w:numId w:val="50"/>
        </w:numPr>
        <w:spacing w:after="60" w:line="276" w:lineRule="auto"/>
        <w:jc w:val="both"/>
        <w:textAlignment w:val="baseline"/>
        <w:rPr>
          <w:rFonts w:ascii="Calibri" w:eastAsia="Times New Roman" w:hAnsi="Calibri" w:cs="Calibri"/>
          <w:color w:val="000000"/>
        </w:rPr>
      </w:pPr>
      <w:r>
        <w:rPr>
          <w:rFonts w:eastAsia="Times New Roman"/>
          <w:color w:val="000000"/>
        </w:rPr>
        <w:t>R</w:t>
      </w:r>
      <w:r w:rsidRPr="009C5122">
        <w:rPr>
          <w:rFonts w:eastAsia="Times New Roman"/>
          <w:color w:val="000000"/>
        </w:rPr>
        <w:t>ritjen e çmimit të karburanteve me rreth 18%, krahasuar me muajin Gusht 2017, sipas parashikimeve në tregun ndërkombëtar</w:t>
      </w:r>
    </w:p>
    <w:p w:rsidR="00616C21" w:rsidRPr="009C5122" w:rsidRDefault="00616C21" w:rsidP="002C5B1B">
      <w:pPr>
        <w:numPr>
          <w:ilvl w:val="0"/>
          <w:numId w:val="50"/>
        </w:numPr>
        <w:spacing w:after="60" w:line="276" w:lineRule="auto"/>
        <w:jc w:val="both"/>
        <w:textAlignment w:val="baseline"/>
        <w:rPr>
          <w:rFonts w:ascii="Calibri" w:eastAsia="Times New Roman" w:hAnsi="Calibri" w:cs="Calibri"/>
          <w:color w:val="000000"/>
        </w:rPr>
      </w:pPr>
      <w:r>
        <w:rPr>
          <w:rFonts w:eastAsia="Times New Roman"/>
          <w:color w:val="000000"/>
        </w:rPr>
        <w:t>R</w:t>
      </w:r>
      <w:r w:rsidRPr="009C5122">
        <w:rPr>
          <w:rFonts w:eastAsia="Times New Roman"/>
          <w:color w:val="000000"/>
        </w:rPr>
        <w:t>ritjen e të ardhurave nga TVSH-ja në import dhe TVSH-ja brenda vendit, e shoqëruar me programimin e fondeve të nevojshme për rimbursimin në kohë të tatimpaguesve</w:t>
      </w:r>
    </w:p>
    <w:p w:rsidR="00616C21" w:rsidRPr="009C5122" w:rsidRDefault="00616C21" w:rsidP="002C5B1B">
      <w:pPr>
        <w:numPr>
          <w:ilvl w:val="0"/>
          <w:numId w:val="50"/>
        </w:numPr>
        <w:spacing w:after="60" w:line="276" w:lineRule="auto"/>
        <w:jc w:val="both"/>
        <w:textAlignment w:val="baseline"/>
        <w:rPr>
          <w:rFonts w:ascii="Calibri" w:eastAsia="Times New Roman" w:hAnsi="Calibri" w:cs="Calibri"/>
          <w:color w:val="000000"/>
        </w:rPr>
      </w:pPr>
      <w:r>
        <w:rPr>
          <w:rFonts w:eastAsia="Times New Roman"/>
          <w:color w:val="000000"/>
        </w:rPr>
        <w:t>R</w:t>
      </w:r>
      <w:r w:rsidRPr="009C5122">
        <w:rPr>
          <w:rFonts w:eastAsia="Times New Roman"/>
          <w:color w:val="000000"/>
        </w:rPr>
        <w:t>ritjen e të ardhurave nga Tatimi mbi Fitimin, e cila reflekton rritjen e deklarimit dhe qarkullimit të realizuar të operatorëve ekonomikë</w:t>
      </w:r>
    </w:p>
    <w:p w:rsidR="00616C21" w:rsidRDefault="00616C21" w:rsidP="00616C21">
      <w:pPr>
        <w:spacing w:line="276" w:lineRule="auto"/>
        <w:jc w:val="both"/>
        <w:rPr>
          <w:rFonts w:eastAsia="Times New Roman"/>
          <w:color w:val="000000"/>
        </w:rPr>
      </w:pPr>
    </w:p>
    <w:p w:rsidR="00616C21" w:rsidRDefault="001916E1" w:rsidP="00616C21">
      <w:pPr>
        <w:spacing w:line="276" w:lineRule="auto"/>
        <w:jc w:val="both"/>
        <w:rPr>
          <w:rFonts w:eastAsia="Times New Roman"/>
          <w:color w:val="000000"/>
        </w:rPr>
      </w:pPr>
      <w:r>
        <w:rPr>
          <w:rFonts w:eastAsia="Times New Roman"/>
          <w:color w:val="000000"/>
        </w:rPr>
        <w:lastRenderedPageBreak/>
        <w:t xml:space="preserve">Një faktor i rëndësishem që do të mbështesë dhe garantojë realizimin e programit të të ardhurave të buxhetit për vitin 2018 do të jetë thellimi i Luftës Kundër Informalitetit, e cila do të shoqërohet me një fushatë të të gjerë sqaruese dhe edukuese për tatimpaguesit. </w:t>
      </w:r>
      <w:r w:rsidR="00616C21">
        <w:rPr>
          <w:rFonts w:eastAsia="Times New Roman"/>
          <w:color w:val="000000"/>
        </w:rPr>
        <w:t xml:space="preserve">Fokusi i </w:t>
      </w:r>
      <w:r>
        <w:rPr>
          <w:rFonts w:eastAsia="Times New Roman"/>
          <w:color w:val="000000"/>
        </w:rPr>
        <w:t>luftës Anti-I</w:t>
      </w:r>
      <w:r w:rsidR="00616C21">
        <w:rPr>
          <w:rFonts w:eastAsia="Times New Roman"/>
          <w:color w:val="000000"/>
        </w:rPr>
        <w:t xml:space="preserve">nformalitet do të jetë segment i bizneseve të mëdha, atje ku krijohet vlera e shtuar dhe ku kryhet volumi më i madh i transaksioneve. </w:t>
      </w:r>
    </w:p>
    <w:p w:rsidR="00616C21" w:rsidRDefault="00616C21" w:rsidP="00616C21">
      <w:pPr>
        <w:spacing w:line="276" w:lineRule="auto"/>
        <w:jc w:val="both"/>
        <w:rPr>
          <w:rFonts w:eastAsia="Times New Roman"/>
          <w:color w:val="000000"/>
        </w:rPr>
      </w:pPr>
    </w:p>
    <w:p w:rsidR="00616C21" w:rsidRDefault="00616C21" w:rsidP="00616C21">
      <w:pPr>
        <w:spacing w:line="276" w:lineRule="auto"/>
        <w:jc w:val="both"/>
        <w:rPr>
          <w:rFonts w:eastAsia="Times New Roman"/>
          <w:color w:val="000000"/>
        </w:rPr>
      </w:pPr>
      <w:r w:rsidRPr="009C5122">
        <w:rPr>
          <w:rFonts w:eastAsia="Times New Roman"/>
          <w:color w:val="000000"/>
        </w:rPr>
        <w:t xml:space="preserve">Parashikimi i të ardhurave për vitin 2018, synon konsolidimin e mëtejshëm fiskal, forcimin institucional dhe përmirësimin e administrimit fiskal në mbështetje të rritjes ekonomike të qëndrueshme, duke nxitur rritjen e prodhimit dhe eksportet. </w:t>
      </w:r>
    </w:p>
    <w:p w:rsidR="00616C21" w:rsidRDefault="00616C21" w:rsidP="00616C21">
      <w:pPr>
        <w:spacing w:line="276" w:lineRule="auto"/>
        <w:jc w:val="both"/>
        <w:rPr>
          <w:rFonts w:eastAsia="Times New Roman"/>
          <w:color w:val="000000"/>
        </w:rPr>
      </w:pPr>
    </w:p>
    <w:p w:rsidR="00616C21" w:rsidRPr="00AE1D35" w:rsidRDefault="00616C21" w:rsidP="00616C21">
      <w:pPr>
        <w:spacing w:line="276" w:lineRule="auto"/>
        <w:jc w:val="both"/>
        <w:rPr>
          <w:rFonts w:eastAsia="Times New Roman"/>
          <w:color w:val="000000"/>
        </w:rPr>
      </w:pPr>
      <w:r w:rsidRPr="00AE1D35">
        <w:rPr>
          <w:rFonts w:eastAsia="Times New Roman"/>
          <w:color w:val="000000"/>
        </w:rPr>
        <w:t xml:space="preserve">Të ardhurat Tatimore për vitin 2018, vlerësohen të </w:t>
      </w:r>
      <w:r w:rsidR="001916E1">
        <w:rPr>
          <w:rFonts w:eastAsia="Times New Roman"/>
          <w:color w:val="000000"/>
        </w:rPr>
        <w:t>arrijnë</w:t>
      </w:r>
      <w:r w:rsidRPr="00AE1D35">
        <w:rPr>
          <w:rFonts w:eastAsia="Times New Roman"/>
          <w:color w:val="000000"/>
        </w:rPr>
        <w:t xml:space="preserve"> 424 </w:t>
      </w:r>
      <w:r>
        <w:rPr>
          <w:rFonts w:eastAsia="Times New Roman"/>
          <w:color w:val="000000"/>
        </w:rPr>
        <w:t>miliard</w:t>
      </w:r>
      <w:r w:rsidRPr="00AE1D35">
        <w:rPr>
          <w:rFonts w:eastAsia="Times New Roman"/>
          <w:color w:val="000000"/>
        </w:rPr>
        <w:t xml:space="preserve"> lekë, </w:t>
      </w:r>
      <w:r w:rsidR="001916E1">
        <w:rPr>
          <w:rFonts w:eastAsia="Times New Roman"/>
          <w:color w:val="000000"/>
        </w:rPr>
        <w:t>me një shtesë prej</w:t>
      </w:r>
      <w:r w:rsidR="001916E1" w:rsidRPr="00AE1D35">
        <w:rPr>
          <w:rFonts w:eastAsia="Times New Roman"/>
          <w:color w:val="000000"/>
        </w:rPr>
        <w:t xml:space="preserve"> 23.8 </w:t>
      </w:r>
      <w:r w:rsidR="001916E1">
        <w:rPr>
          <w:rFonts w:eastAsia="Times New Roman"/>
          <w:color w:val="000000"/>
        </w:rPr>
        <w:t>miliard</w:t>
      </w:r>
      <w:r w:rsidR="001916E1" w:rsidRPr="00AE1D35">
        <w:rPr>
          <w:rFonts w:eastAsia="Times New Roman"/>
          <w:color w:val="000000"/>
        </w:rPr>
        <w:t xml:space="preserve"> lekë ose 6% më shumë se </w:t>
      </w:r>
      <w:r w:rsidR="001916E1">
        <w:rPr>
          <w:rFonts w:eastAsia="Times New Roman"/>
          <w:color w:val="000000"/>
        </w:rPr>
        <w:t>pritshmëria e</w:t>
      </w:r>
      <w:r w:rsidR="001916E1" w:rsidRPr="00AE1D35">
        <w:rPr>
          <w:rFonts w:eastAsia="Times New Roman"/>
          <w:color w:val="000000"/>
        </w:rPr>
        <w:t xml:space="preserve"> vitit 2017</w:t>
      </w:r>
      <w:r w:rsidRPr="00AE1D35">
        <w:rPr>
          <w:rFonts w:eastAsia="Times New Roman"/>
          <w:color w:val="000000"/>
        </w:rPr>
        <w:t xml:space="preserve">. </w:t>
      </w:r>
      <w:r w:rsidR="001916E1">
        <w:rPr>
          <w:rFonts w:eastAsia="Times New Roman"/>
          <w:color w:val="000000"/>
        </w:rPr>
        <w:t>T</w:t>
      </w:r>
      <w:r w:rsidR="001916E1" w:rsidRPr="00AE1D35">
        <w:rPr>
          <w:rFonts w:eastAsia="Times New Roman"/>
          <w:color w:val="000000"/>
        </w:rPr>
        <w:t xml:space="preserve">ë ardhurat nga DPT dhe DPD (pa përfshirë kontributet) parashikohet të jenë 317 </w:t>
      </w:r>
      <w:r w:rsidR="001916E1">
        <w:rPr>
          <w:rFonts w:eastAsia="Times New Roman"/>
          <w:color w:val="000000"/>
        </w:rPr>
        <w:t>miliard</w:t>
      </w:r>
      <w:r w:rsidR="001916E1" w:rsidRPr="00AE1D35">
        <w:rPr>
          <w:rFonts w:eastAsia="Times New Roman"/>
          <w:color w:val="000000"/>
        </w:rPr>
        <w:t xml:space="preserve"> lekë, </w:t>
      </w:r>
      <w:r w:rsidR="001916E1">
        <w:rPr>
          <w:rFonts w:eastAsia="Times New Roman"/>
          <w:color w:val="000000"/>
        </w:rPr>
        <w:t xml:space="preserve">me një rritje prej 6.6% ose </w:t>
      </w:r>
      <w:r w:rsidR="001916E1" w:rsidRPr="00AE1D35">
        <w:rPr>
          <w:rFonts w:eastAsia="Times New Roman"/>
          <w:color w:val="000000"/>
        </w:rPr>
        <w:t xml:space="preserve">20 </w:t>
      </w:r>
      <w:r w:rsidR="001916E1">
        <w:rPr>
          <w:rFonts w:eastAsia="Times New Roman"/>
          <w:color w:val="000000"/>
        </w:rPr>
        <w:t>miliard</w:t>
      </w:r>
      <w:r w:rsidR="001916E1" w:rsidRPr="00AE1D35">
        <w:rPr>
          <w:rFonts w:eastAsia="Times New Roman"/>
          <w:color w:val="000000"/>
        </w:rPr>
        <w:t xml:space="preserve"> lekë më shumë se viti 2017</w:t>
      </w:r>
      <w:r w:rsidRPr="00AE1D35">
        <w:rPr>
          <w:rFonts w:eastAsia="Times New Roman"/>
          <w:color w:val="000000"/>
        </w:rPr>
        <w:t>.  </w:t>
      </w:r>
    </w:p>
    <w:p w:rsidR="00616C21" w:rsidRDefault="00616C21" w:rsidP="00616C21">
      <w:pPr>
        <w:pStyle w:val="Caption"/>
        <w:keepNext/>
        <w:rPr>
          <w:bCs w:val="0"/>
          <w:noProof/>
          <w:color w:val="auto"/>
          <w:sz w:val="22"/>
          <w:szCs w:val="22"/>
          <w:lang w:val="sq-AL"/>
        </w:rPr>
      </w:pPr>
    </w:p>
    <w:p w:rsidR="00616C21" w:rsidRPr="00074126" w:rsidRDefault="00616C21" w:rsidP="00616C21">
      <w:pPr>
        <w:pStyle w:val="Caption"/>
        <w:keepNext/>
        <w:rPr>
          <w:bCs w:val="0"/>
          <w:noProof/>
          <w:color w:val="auto"/>
          <w:sz w:val="22"/>
          <w:szCs w:val="22"/>
          <w:lang w:val="sq-AL"/>
        </w:rPr>
      </w:pPr>
      <w:r w:rsidRPr="00074126">
        <w:rPr>
          <w:bCs w:val="0"/>
          <w:noProof/>
          <w:color w:val="auto"/>
          <w:sz w:val="22"/>
          <w:szCs w:val="22"/>
          <w:lang w:val="sq-AL"/>
        </w:rPr>
        <w:t>Tab</w:t>
      </w:r>
      <w:r>
        <w:rPr>
          <w:bCs w:val="0"/>
          <w:noProof/>
          <w:color w:val="auto"/>
          <w:sz w:val="22"/>
          <w:szCs w:val="22"/>
          <w:lang w:val="sq-AL"/>
        </w:rPr>
        <w:t>ela</w:t>
      </w:r>
      <w:r w:rsidRPr="00074126">
        <w:rPr>
          <w:bCs w:val="0"/>
          <w:noProof/>
          <w:color w:val="auto"/>
          <w:sz w:val="22"/>
          <w:szCs w:val="22"/>
          <w:lang w:val="sq-AL"/>
        </w:rPr>
        <w:t xml:space="preserve"> </w:t>
      </w:r>
      <w:r>
        <w:rPr>
          <w:bCs w:val="0"/>
          <w:noProof/>
          <w:color w:val="auto"/>
          <w:sz w:val="22"/>
          <w:szCs w:val="22"/>
          <w:lang w:val="sq-AL"/>
        </w:rPr>
        <w:t xml:space="preserve">10: Të dhëna krahasuese mbi të ardhurat tatimore dhe doganore                                   </w:t>
      </w:r>
      <w:r w:rsidRPr="00074126">
        <w:rPr>
          <w:b w:val="0"/>
          <w:bCs w:val="0"/>
          <w:i/>
          <w:noProof/>
          <w:color w:val="auto"/>
          <w:sz w:val="22"/>
          <w:szCs w:val="22"/>
          <w:lang w:val="sq-AL"/>
        </w:rPr>
        <w:t>(në milion lekë)</w:t>
      </w:r>
    </w:p>
    <w:tbl>
      <w:tblPr>
        <w:tblW w:w="10296" w:type="dxa"/>
        <w:tblLook w:val="04A0" w:firstRow="1" w:lastRow="0" w:firstColumn="1" w:lastColumn="0" w:noHBand="0" w:noVBand="1"/>
      </w:tblPr>
      <w:tblGrid>
        <w:gridCol w:w="2570"/>
        <w:gridCol w:w="1224"/>
        <w:gridCol w:w="1365"/>
        <w:gridCol w:w="1124"/>
        <w:gridCol w:w="1124"/>
        <w:gridCol w:w="963"/>
        <w:gridCol w:w="963"/>
        <w:gridCol w:w="963"/>
      </w:tblGrid>
      <w:tr w:rsidR="00616C21" w:rsidRPr="00A857A6" w:rsidTr="00A67D90">
        <w:trPr>
          <w:trHeight w:val="224"/>
        </w:trPr>
        <w:tc>
          <w:tcPr>
            <w:tcW w:w="2570" w:type="dxa"/>
            <w:tcBorders>
              <w:top w:val="single" w:sz="8" w:space="0" w:color="auto"/>
              <w:left w:val="nil"/>
              <w:bottom w:val="double" w:sz="6" w:space="0" w:color="auto"/>
              <w:right w:val="nil"/>
            </w:tcBorders>
            <w:shd w:val="clear" w:color="auto" w:fill="auto"/>
            <w:noWrap/>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 xml:space="preserve">Tatime dhe Dogana </w:t>
            </w:r>
          </w:p>
        </w:tc>
        <w:tc>
          <w:tcPr>
            <w:tcW w:w="1224" w:type="dxa"/>
            <w:tcBorders>
              <w:top w:val="single" w:sz="8" w:space="0" w:color="auto"/>
              <w:left w:val="nil"/>
              <w:bottom w:val="double" w:sz="6" w:space="0" w:color="auto"/>
              <w:right w:val="nil"/>
            </w:tcBorders>
            <w:shd w:val="clear" w:color="auto" w:fill="auto"/>
            <w:noWrap/>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Fakt 2016</w:t>
            </w:r>
          </w:p>
        </w:tc>
        <w:tc>
          <w:tcPr>
            <w:tcW w:w="1365" w:type="dxa"/>
            <w:tcBorders>
              <w:top w:val="single" w:sz="8" w:space="0" w:color="auto"/>
              <w:left w:val="nil"/>
              <w:bottom w:val="double" w:sz="6" w:space="0" w:color="auto"/>
              <w:right w:val="nil"/>
            </w:tcBorders>
            <w:shd w:val="clear" w:color="auto" w:fill="auto"/>
            <w:noWrap/>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Plan 2017</w:t>
            </w:r>
          </w:p>
        </w:tc>
        <w:tc>
          <w:tcPr>
            <w:tcW w:w="1124" w:type="dxa"/>
            <w:tcBorders>
              <w:top w:val="single" w:sz="8" w:space="0" w:color="auto"/>
              <w:left w:val="nil"/>
              <w:bottom w:val="double" w:sz="6" w:space="0" w:color="auto"/>
              <w:right w:val="nil"/>
            </w:tcBorders>
            <w:shd w:val="clear" w:color="auto" w:fill="auto"/>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I pritshmi 2017</w:t>
            </w:r>
          </w:p>
        </w:tc>
        <w:tc>
          <w:tcPr>
            <w:tcW w:w="1124" w:type="dxa"/>
            <w:tcBorders>
              <w:top w:val="single" w:sz="8" w:space="0" w:color="auto"/>
              <w:left w:val="nil"/>
              <w:bottom w:val="double" w:sz="6" w:space="0" w:color="auto"/>
              <w:right w:val="nil"/>
            </w:tcBorders>
            <w:shd w:val="clear" w:color="auto" w:fill="auto"/>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Diferenca                I pritshmi 2017 / Plani 2017</w:t>
            </w:r>
          </w:p>
        </w:tc>
        <w:tc>
          <w:tcPr>
            <w:tcW w:w="963" w:type="dxa"/>
            <w:tcBorders>
              <w:top w:val="single" w:sz="8" w:space="0" w:color="auto"/>
              <w:left w:val="nil"/>
              <w:bottom w:val="double" w:sz="6" w:space="0" w:color="auto"/>
              <w:right w:val="nil"/>
            </w:tcBorders>
            <w:shd w:val="clear" w:color="auto" w:fill="auto"/>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Buxhet  2018</w:t>
            </w:r>
          </w:p>
        </w:tc>
        <w:tc>
          <w:tcPr>
            <w:tcW w:w="963" w:type="dxa"/>
            <w:tcBorders>
              <w:top w:val="single" w:sz="8" w:space="0" w:color="auto"/>
              <w:left w:val="nil"/>
              <w:bottom w:val="double" w:sz="6" w:space="0" w:color="auto"/>
              <w:right w:val="nil"/>
            </w:tcBorders>
            <w:shd w:val="clear" w:color="auto" w:fill="auto"/>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 xml:space="preserve">Diferenca buxhet 2018- i pritshmi 2017  </w:t>
            </w:r>
          </w:p>
        </w:tc>
        <w:tc>
          <w:tcPr>
            <w:tcW w:w="963" w:type="dxa"/>
            <w:tcBorders>
              <w:top w:val="single" w:sz="8" w:space="0" w:color="auto"/>
              <w:left w:val="nil"/>
              <w:bottom w:val="double" w:sz="6" w:space="0" w:color="auto"/>
              <w:right w:val="nil"/>
            </w:tcBorders>
            <w:shd w:val="clear" w:color="auto" w:fill="auto"/>
            <w:vAlign w:val="center"/>
            <w:hideMark/>
          </w:tcPr>
          <w:p w:rsidR="00616C21" w:rsidRPr="00A857A6" w:rsidRDefault="00616C21" w:rsidP="00A67D90">
            <w:pPr>
              <w:spacing w:line="276" w:lineRule="auto"/>
              <w:jc w:val="both"/>
              <w:rPr>
                <w:rFonts w:eastAsia="Times New Roman"/>
                <w:b/>
                <w:bCs/>
                <w:color w:val="000000"/>
                <w:sz w:val="16"/>
                <w:szCs w:val="16"/>
              </w:rPr>
            </w:pPr>
            <w:r w:rsidRPr="00A857A6">
              <w:rPr>
                <w:rFonts w:eastAsia="Times New Roman"/>
                <w:b/>
                <w:bCs/>
                <w:color w:val="000000"/>
                <w:sz w:val="16"/>
                <w:szCs w:val="16"/>
              </w:rPr>
              <w:t xml:space="preserve">Buxhet  2018/ I pritshmi 2017  ne %  </w:t>
            </w:r>
          </w:p>
        </w:tc>
      </w:tr>
      <w:tr w:rsidR="00616C21" w:rsidRPr="00A857A6" w:rsidTr="00A67D90">
        <w:trPr>
          <w:trHeight w:val="66"/>
        </w:trPr>
        <w:tc>
          <w:tcPr>
            <w:tcW w:w="2570"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TVSH</w:t>
            </w:r>
          </w:p>
        </w:tc>
        <w:tc>
          <w:tcPr>
            <w:tcW w:w="12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131,390</w:t>
            </w:r>
          </w:p>
        </w:tc>
        <w:tc>
          <w:tcPr>
            <w:tcW w:w="1365"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141,200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139,317</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-1,883</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150,734</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11,417</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8.19%</w:t>
            </w:r>
          </w:p>
        </w:tc>
      </w:tr>
      <w:tr w:rsidR="00616C21" w:rsidRPr="00A857A6" w:rsidTr="00A67D90">
        <w:trPr>
          <w:trHeight w:val="63"/>
        </w:trPr>
        <w:tc>
          <w:tcPr>
            <w:tcW w:w="2570"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 xml:space="preserve">Tatim fitimi </w:t>
            </w:r>
          </w:p>
        </w:tc>
        <w:tc>
          <w:tcPr>
            <w:tcW w:w="12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29,151</w:t>
            </w:r>
          </w:p>
        </w:tc>
        <w:tc>
          <w:tcPr>
            <w:tcW w:w="1365"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29,200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31,700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2,500</w:t>
            </w:r>
          </w:p>
        </w:tc>
        <w:tc>
          <w:tcPr>
            <w:tcW w:w="963" w:type="dxa"/>
            <w:tcBorders>
              <w:top w:val="nil"/>
              <w:left w:val="nil"/>
              <w:bottom w:val="nil"/>
              <w:right w:val="nil"/>
            </w:tcBorders>
            <w:shd w:val="clear" w:color="auto" w:fill="auto"/>
            <w:noWrap/>
            <w:vAlign w:val="center"/>
            <w:hideMark/>
          </w:tcPr>
          <w:p w:rsidR="00616C21" w:rsidRPr="00A857A6" w:rsidRDefault="00616C21" w:rsidP="00B37EA9">
            <w:pPr>
              <w:spacing w:line="276" w:lineRule="auto"/>
              <w:jc w:val="both"/>
              <w:rPr>
                <w:rFonts w:eastAsia="Times New Roman"/>
                <w:color w:val="000000"/>
                <w:sz w:val="18"/>
                <w:szCs w:val="18"/>
              </w:rPr>
            </w:pPr>
            <w:r w:rsidRPr="00A857A6">
              <w:rPr>
                <w:rFonts w:eastAsia="Times New Roman"/>
                <w:color w:val="000000"/>
                <w:sz w:val="18"/>
                <w:szCs w:val="18"/>
              </w:rPr>
              <w:t>33,</w:t>
            </w:r>
            <w:r w:rsidR="00B37EA9">
              <w:rPr>
                <w:rFonts w:eastAsia="Times New Roman"/>
                <w:color w:val="000000"/>
                <w:sz w:val="18"/>
                <w:szCs w:val="18"/>
              </w:rPr>
              <w:t>9</w:t>
            </w:r>
            <w:r w:rsidRPr="00A857A6">
              <w:rPr>
                <w:rFonts w:eastAsia="Times New Roman"/>
                <w:color w:val="000000"/>
                <w:sz w:val="18"/>
                <w:szCs w:val="18"/>
              </w:rPr>
              <w:t>13</w:t>
            </w:r>
          </w:p>
        </w:tc>
        <w:tc>
          <w:tcPr>
            <w:tcW w:w="963" w:type="dxa"/>
            <w:tcBorders>
              <w:top w:val="nil"/>
              <w:left w:val="nil"/>
              <w:bottom w:val="nil"/>
              <w:right w:val="nil"/>
            </w:tcBorders>
            <w:shd w:val="clear" w:color="auto" w:fill="auto"/>
            <w:noWrap/>
            <w:vAlign w:val="center"/>
            <w:hideMark/>
          </w:tcPr>
          <w:p w:rsidR="00616C21" w:rsidRPr="00A857A6" w:rsidRDefault="00B37EA9" w:rsidP="00A67D90">
            <w:pPr>
              <w:spacing w:line="276" w:lineRule="auto"/>
              <w:jc w:val="both"/>
              <w:rPr>
                <w:rFonts w:eastAsia="Times New Roman"/>
                <w:color w:val="000000"/>
                <w:sz w:val="18"/>
                <w:szCs w:val="18"/>
              </w:rPr>
            </w:pPr>
            <w:r>
              <w:rPr>
                <w:rFonts w:eastAsia="Times New Roman"/>
                <w:color w:val="000000"/>
                <w:sz w:val="18"/>
                <w:szCs w:val="18"/>
              </w:rPr>
              <w:t>2,213</w:t>
            </w:r>
          </w:p>
        </w:tc>
        <w:tc>
          <w:tcPr>
            <w:tcW w:w="963" w:type="dxa"/>
            <w:tcBorders>
              <w:top w:val="nil"/>
              <w:left w:val="nil"/>
              <w:bottom w:val="nil"/>
              <w:right w:val="nil"/>
            </w:tcBorders>
            <w:shd w:val="clear" w:color="auto" w:fill="auto"/>
            <w:noWrap/>
            <w:vAlign w:val="center"/>
            <w:hideMark/>
          </w:tcPr>
          <w:p w:rsidR="00616C21" w:rsidRPr="00A857A6" w:rsidRDefault="00B37EA9" w:rsidP="00A67D90">
            <w:pPr>
              <w:spacing w:line="276" w:lineRule="auto"/>
              <w:jc w:val="both"/>
              <w:rPr>
                <w:rFonts w:eastAsia="Times New Roman"/>
                <w:color w:val="000000"/>
                <w:sz w:val="18"/>
                <w:szCs w:val="18"/>
              </w:rPr>
            </w:pPr>
            <w:r>
              <w:rPr>
                <w:rFonts w:eastAsia="Times New Roman"/>
                <w:color w:val="000000"/>
                <w:sz w:val="18"/>
                <w:szCs w:val="18"/>
              </w:rPr>
              <w:t>7.</w:t>
            </w:r>
            <w:r w:rsidR="00616C21" w:rsidRPr="00A857A6">
              <w:rPr>
                <w:rFonts w:eastAsia="Times New Roman"/>
                <w:color w:val="000000"/>
                <w:sz w:val="18"/>
                <w:szCs w:val="18"/>
              </w:rPr>
              <w:t>0%</w:t>
            </w:r>
          </w:p>
        </w:tc>
      </w:tr>
      <w:tr w:rsidR="00616C21" w:rsidRPr="00A857A6" w:rsidTr="00A67D90">
        <w:trPr>
          <w:trHeight w:val="63"/>
        </w:trPr>
        <w:tc>
          <w:tcPr>
            <w:tcW w:w="2570"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Akciza</w:t>
            </w:r>
          </w:p>
        </w:tc>
        <w:tc>
          <w:tcPr>
            <w:tcW w:w="12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41,896</w:t>
            </w:r>
          </w:p>
        </w:tc>
        <w:tc>
          <w:tcPr>
            <w:tcW w:w="1365"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46,700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46,000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-700</w:t>
            </w:r>
          </w:p>
        </w:tc>
        <w:tc>
          <w:tcPr>
            <w:tcW w:w="963" w:type="dxa"/>
            <w:tcBorders>
              <w:top w:val="nil"/>
              <w:left w:val="nil"/>
              <w:bottom w:val="nil"/>
              <w:right w:val="nil"/>
            </w:tcBorders>
            <w:shd w:val="clear" w:color="auto" w:fill="auto"/>
            <w:noWrap/>
            <w:vAlign w:val="center"/>
            <w:hideMark/>
          </w:tcPr>
          <w:p w:rsidR="00616C21" w:rsidRPr="00A857A6" w:rsidRDefault="00B37EA9" w:rsidP="00A67D90">
            <w:pPr>
              <w:spacing w:line="276" w:lineRule="auto"/>
              <w:jc w:val="both"/>
              <w:rPr>
                <w:rFonts w:eastAsia="Times New Roman"/>
                <w:color w:val="000000"/>
                <w:sz w:val="18"/>
                <w:szCs w:val="18"/>
              </w:rPr>
            </w:pPr>
            <w:r>
              <w:rPr>
                <w:rFonts w:eastAsia="Times New Roman"/>
                <w:color w:val="000000"/>
                <w:sz w:val="18"/>
                <w:szCs w:val="18"/>
              </w:rPr>
              <w:t>49,900</w:t>
            </w:r>
          </w:p>
        </w:tc>
        <w:tc>
          <w:tcPr>
            <w:tcW w:w="963" w:type="dxa"/>
            <w:tcBorders>
              <w:top w:val="nil"/>
              <w:left w:val="nil"/>
              <w:bottom w:val="nil"/>
              <w:right w:val="nil"/>
            </w:tcBorders>
            <w:shd w:val="clear" w:color="auto" w:fill="auto"/>
            <w:noWrap/>
            <w:vAlign w:val="center"/>
            <w:hideMark/>
          </w:tcPr>
          <w:p w:rsidR="00616C21" w:rsidRPr="00A857A6" w:rsidRDefault="00B37EA9" w:rsidP="00A67D90">
            <w:pPr>
              <w:spacing w:line="276" w:lineRule="auto"/>
              <w:jc w:val="both"/>
              <w:rPr>
                <w:rFonts w:eastAsia="Times New Roman"/>
                <w:color w:val="000000"/>
                <w:sz w:val="18"/>
                <w:szCs w:val="18"/>
              </w:rPr>
            </w:pPr>
            <w:r>
              <w:rPr>
                <w:rFonts w:eastAsia="Times New Roman"/>
                <w:color w:val="000000"/>
                <w:sz w:val="18"/>
                <w:szCs w:val="18"/>
              </w:rPr>
              <w:t>3,900</w:t>
            </w:r>
          </w:p>
        </w:tc>
        <w:tc>
          <w:tcPr>
            <w:tcW w:w="963" w:type="dxa"/>
            <w:tcBorders>
              <w:top w:val="nil"/>
              <w:left w:val="nil"/>
              <w:bottom w:val="nil"/>
              <w:right w:val="nil"/>
            </w:tcBorders>
            <w:shd w:val="clear" w:color="auto" w:fill="auto"/>
            <w:noWrap/>
            <w:vAlign w:val="center"/>
            <w:hideMark/>
          </w:tcPr>
          <w:p w:rsidR="00616C21" w:rsidRPr="00A857A6" w:rsidRDefault="00B37EA9" w:rsidP="00A67D90">
            <w:pPr>
              <w:spacing w:line="276" w:lineRule="auto"/>
              <w:jc w:val="both"/>
              <w:rPr>
                <w:rFonts w:eastAsia="Times New Roman"/>
                <w:color w:val="000000"/>
                <w:sz w:val="18"/>
                <w:szCs w:val="18"/>
              </w:rPr>
            </w:pPr>
            <w:r>
              <w:rPr>
                <w:rFonts w:eastAsia="Times New Roman"/>
                <w:color w:val="000000"/>
                <w:sz w:val="18"/>
                <w:szCs w:val="18"/>
              </w:rPr>
              <w:t>8.5</w:t>
            </w:r>
            <w:r w:rsidR="00616C21" w:rsidRPr="00A857A6">
              <w:rPr>
                <w:rFonts w:eastAsia="Times New Roman"/>
                <w:color w:val="000000"/>
                <w:sz w:val="18"/>
                <w:szCs w:val="18"/>
              </w:rPr>
              <w:t>%</w:t>
            </w:r>
          </w:p>
        </w:tc>
      </w:tr>
      <w:tr w:rsidR="00616C21" w:rsidRPr="00A857A6" w:rsidTr="00A67D90">
        <w:trPr>
          <w:trHeight w:val="63"/>
        </w:trPr>
        <w:tc>
          <w:tcPr>
            <w:tcW w:w="2570"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 xml:space="preserve">Tatimi mbi të ardhurat personale </w:t>
            </w:r>
          </w:p>
        </w:tc>
        <w:tc>
          <w:tcPr>
            <w:tcW w:w="12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31,412</w:t>
            </w:r>
          </w:p>
        </w:tc>
        <w:tc>
          <w:tcPr>
            <w:tcW w:w="1365"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36,200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34,000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-2,200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37,300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3,300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9.71%</w:t>
            </w:r>
          </w:p>
        </w:tc>
      </w:tr>
      <w:tr w:rsidR="00616C21" w:rsidRPr="00A857A6" w:rsidTr="00A67D90">
        <w:trPr>
          <w:trHeight w:val="63"/>
        </w:trPr>
        <w:tc>
          <w:tcPr>
            <w:tcW w:w="2570"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 xml:space="preserve">Taksa nacionale </w:t>
            </w:r>
          </w:p>
        </w:tc>
        <w:tc>
          <w:tcPr>
            <w:tcW w:w="12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35,794</w:t>
            </w:r>
          </w:p>
        </w:tc>
        <w:tc>
          <w:tcPr>
            <w:tcW w:w="1365"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39,700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41,200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1,500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38,340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-2,860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-6.94%</w:t>
            </w:r>
          </w:p>
        </w:tc>
      </w:tr>
      <w:tr w:rsidR="00616C21" w:rsidRPr="00A857A6" w:rsidTr="00A67D90">
        <w:trPr>
          <w:trHeight w:val="63"/>
        </w:trPr>
        <w:tc>
          <w:tcPr>
            <w:tcW w:w="2570"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 xml:space="preserve">Taksa doganore </w:t>
            </w:r>
          </w:p>
        </w:tc>
        <w:tc>
          <w:tcPr>
            <w:tcW w:w="12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6,137</w:t>
            </w:r>
          </w:p>
        </w:tc>
        <w:tc>
          <w:tcPr>
            <w:tcW w:w="1365"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6,400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6,400</w:t>
            </w:r>
          </w:p>
        </w:tc>
        <w:tc>
          <w:tcPr>
            <w:tcW w:w="1124"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7,000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600</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9.38%</w:t>
            </w:r>
          </w:p>
        </w:tc>
      </w:tr>
      <w:tr w:rsidR="00616C21" w:rsidRPr="00A857A6" w:rsidTr="00A67D90">
        <w:trPr>
          <w:trHeight w:val="63"/>
        </w:trPr>
        <w:tc>
          <w:tcPr>
            <w:tcW w:w="2570"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Total të Ardhurat</w:t>
            </w:r>
          </w:p>
        </w:tc>
        <w:tc>
          <w:tcPr>
            <w:tcW w:w="1224"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275,780</w:t>
            </w:r>
          </w:p>
        </w:tc>
        <w:tc>
          <w:tcPr>
            <w:tcW w:w="1365"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299,400</w:t>
            </w:r>
          </w:p>
        </w:tc>
        <w:tc>
          <w:tcPr>
            <w:tcW w:w="1124"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298,617</w:t>
            </w:r>
          </w:p>
        </w:tc>
        <w:tc>
          <w:tcPr>
            <w:tcW w:w="1124"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-783</w:t>
            </w:r>
          </w:p>
        </w:tc>
        <w:tc>
          <w:tcPr>
            <w:tcW w:w="963"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317,187</w:t>
            </w:r>
          </w:p>
        </w:tc>
        <w:tc>
          <w:tcPr>
            <w:tcW w:w="963"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18,570</w:t>
            </w:r>
          </w:p>
        </w:tc>
        <w:tc>
          <w:tcPr>
            <w:tcW w:w="963"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6%</w:t>
            </w:r>
          </w:p>
        </w:tc>
      </w:tr>
      <w:tr w:rsidR="00616C21" w:rsidRPr="00A857A6" w:rsidTr="00A67D90">
        <w:trPr>
          <w:trHeight w:val="66"/>
        </w:trPr>
        <w:tc>
          <w:tcPr>
            <w:tcW w:w="2570"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 xml:space="preserve">Kontributet nga DPT </w:t>
            </w:r>
          </w:p>
        </w:tc>
        <w:tc>
          <w:tcPr>
            <w:tcW w:w="1224"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74,947</w:t>
            </w:r>
          </w:p>
        </w:tc>
        <w:tc>
          <w:tcPr>
            <w:tcW w:w="1365"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78,250</w:t>
            </w:r>
          </w:p>
        </w:tc>
        <w:tc>
          <w:tcPr>
            <w:tcW w:w="1124"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79,033</w:t>
            </w:r>
          </w:p>
        </w:tc>
        <w:tc>
          <w:tcPr>
            <w:tcW w:w="1124"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783</w:t>
            </w:r>
          </w:p>
        </w:tc>
        <w:tc>
          <w:tcPr>
            <w:tcW w:w="963"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83,100</w:t>
            </w:r>
          </w:p>
        </w:tc>
        <w:tc>
          <w:tcPr>
            <w:tcW w:w="963" w:type="dxa"/>
            <w:tcBorders>
              <w:top w:val="nil"/>
              <w:left w:val="nil"/>
              <w:bottom w:val="nil"/>
              <w:right w:val="nil"/>
            </w:tcBorders>
            <w:shd w:val="clear" w:color="000000" w:fill="FFFFFF"/>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4,067</w:t>
            </w:r>
          </w:p>
        </w:tc>
        <w:tc>
          <w:tcPr>
            <w:tcW w:w="963" w:type="dxa"/>
            <w:tcBorders>
              <w:top w:val="nil"/>
              <w:left w:val="nil"/>
              <w:bottom w:val="nil"/>
              <w:right w:val="nil"/>
            </w:tcBorders>
            <w:shd w:val="clear" w:color="auto" w:fill="auto"/>
            <w:noWrap/>
            <w:vAlign w:val="center"/>
            <w:hideMark/>
          </w:tcPr>
          <w:p w:rsidR="00616C21" w:rsidRPr="00A857A6" w:rsidRDefault="00616C21" w:rsidP="00A67D90">
            <w:pPr>
              <w:spacing w:line="276" w:lineRule="auto"/>
              <w:jc w:val="both"/>
              <w:rPr>
                <w:rFonts w:eastAsia="Times New Roman"/>
                <w:color w:val="000000"/>
                <w:sz w:val="18"/>
                <w:szCs w:val="18"/>
              </w:rPr>
            </w:pPr>
            <w:r w:rsidRPr="00A857A6">
              <w:rPr>
                <w:rFonts w:eastAsia="Times New Roman"/>
                <w:color w:val="000000"/>
                <w:sz w:val="18"/>
                <w:szCs w:val="18"/>
              </w:rPr>
              <w:t>5.15%</w:t>
            </w:r>
          </w:p>
        </w:tc>
      </w:tr>
      <w:tr w:rsidR="00616C21" w:rsidRPr="00A857A6" w:rsidTr="00A67D90">
        <w:trPr>
          <w:trHeight w:val="66"/>
        </w:trPr>
        <w:tc>
          <w:tcPr>
            <w:tcW w:w="2570"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 xml:space="preserve">Total </w:t>
            </w:r>
          </w:p>
        </w:tc>
        <w:tc>
          <w:tcPr>
            <w:tcW w:w="1224"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350,727</w:t>
            </w:r>
          </w:p>
        </w:tc>
        <w:tc>
          <w:tcPr>
            <w:tcW w:w="1365"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377,650</w:t>
            </w:r>
          </w:p>
        </w:tc>
        <w:tc>
          <w:tcPr>
            <w:tcW w:w="1124"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377,650</w:t>
            </w:r>
          </w:p>
        </w:tc>
        <w:tc>
          <w:tcPr>
            <w:tcW w:w="1124"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0</w:t>
            </w:r>
          </w:p>
        </w:tc>
        <w:tc>
          <w:tcPr>
            <w:tcW w:w="963"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400,287</w:t>
            </w:r>
          </w:p>
        </w:tc>
        <w:tc>
          <w:tcPr>
            <w:tcW w:w="963"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22,637</w:t>
            </w:r>
          </w:p>
        </w:tc>
        <w:tc>
          <w:tcPr>
            <w:tcW w:w="963" w:type="dxa"/>
            <w:tcBorders>
              <w:top w:val="single" w:sz="8" w:space="0" w:color="auto"/>
              <w:left w:val="nil"/>
              <w:bottom w:val="double" w:sz="6" w:space="0" w:color="auto"/>
              <w:right w:val="nil"/>
            </w:tcBorders>
            <w:shd w:val="clear" w:color="000000" w:fill="FFFFFF"/>
            <w:noWrap/>
            <w:vAlign w:val="center"/>
            <w:hideMark/>
          </w:tcPr>
          <w:p w:rsidR="00616C21" w:rsidRPr="00A857A6" w:rsidRDefault="00616C21" w:rsidP="00A67D90">
            <w:pPr>
              <w:spacing w:line="276" w:lineRule="auto"/>
              <w:jc w:val="both"/>
              <w:rPr>
                <w:rFonts w:eastAsia="Times New Roman"/>
                <w:b/>
                <w:bCs/>
                <w:color w:val="000000"/>
                <w:sz w:val="18"/>
                <w:szCs w:val="18"/>
              </w:rPr>
            </w:pPr>
            <w:r w:rsidRPr="00A857A6">
              <w:rPr>
                <w:rFonts w:eastAsia="Times New Roman"/>
                <w:b/>
                <w:bCs/>
                <w:color w:val="000000"/>
                <w:sz w:val="18"/>
                <w:szCs w:val="18"/>
              </w:rPr>
              <w:t>6%</w:t>
            </w:r>
          </w:p>
        </w:tc>
      </w:tr>
    </w:tbl>
    <w:p w:rsidR="00616C21" w:rsidRPr="009A04D9" w:rsidRDefault="00616C21" w:rsidP="00616C21">
      <w:pPr>
        <w:spacing w:line="276" w:lineRule="auto"/>
        <w:jc w:val="both"/>
        <w:rPr>
          <w:rFonts w:eastAsia="Times New Roman"/>
          <w:i/>
          <w:sz w:val="20"/>
          <w:szCs w:val="20"/>
        </w:rPr>
      </w:pPr>
      <w:r w:rsidRPr="009A04D9">
        <w:rPr>
          <w:rFonts w:eastAsia="Times New Roman"/>
          <w:b/>
          <w:bCs/>
          <w:i/>
          <w:sz w:val="20"/>
          <w:szCs w:val="20"/>
        </w:rPr>
        <w:t>Burimi:</w:t>
      </w:r>
      <w:r w:rsidRPr="009A04D9">
        <w:rPr>
          <w:rFonts w:eastAsia="Times New Roman"/>
          <w:b/>
          <w:bCs/>
          <w:i/>
          <w:iCs/>
          <w:sz w:val="20"/>
          <w:szCs w:val="20"/>
        </w:rPr>
        <w:t xml:space="preserve"> </w:t>
      </w:r>
      <w:r w:rsidRPr="009A04D9">
        <w:rPr>
          <w:rFonts w:eastAsia="Times New Roman"/>
          <w:i/>
          <w:iCs/>
          <w:sz w:val="20"/>
          <w:szCs w:val="20"/>
        </w:rPr>
        <w:t>Ministria e Financave dhe Ekonomisë (2017)</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sidRPr="009C5122">
        <w:rPr>
          <w:rFonts w:eastAsia="Times New Roman"/>
          <w:color w:val="000000"/>
        </w:rPr>
        <w:t>Të ardhurat doganore janë parashikuar duke u bazuar në analizën e trendit historik të 60 grup-produkteve kryesore, p</w:t>
      </w:r>
      <w:r>
        <w:rPr>
          <w:rFonts w:eastAsia="Times New Roman"/>
          <w:color w:val="000000"/>
        </w:rPr>
        <w:t xml:space="preserve">ër një periudhë tre-vjeçare. </w:t>
      </w:r>
      <w:proofErr w:type="gramStart"/>
      <w:r>
        <w:rPr>
          <w:rFonts w:eastAsia="Times New Roman"/>
          <w:color w:val="000000"/>
        </w:rPr>
        <w:t>Ky</w:t>
      </w:r>
      <w:proofErr w:type="gramEnd"/>
      <w:r>
        <w:rPr>
          <w:rFonts w:eastAsia="Times New Roman"/>
          <w:color w:val="000000"/>
        </w:rPr>
        <w:t xml:space="preserve"> </w:t>
      </w:r>
      <w:r w:rsidRPr="009C5122">
        <w:rPr>
          <w:rFonts w:eastAsia="Times New Roman"/>
          <w:color w:val="000000"/>
        </w:rPr>
        <w:t xml:space="preserve">parashikim është korrektuar me efektet e faktorëve të tjerë të jashtëm në secilën taksë. E njëjta procedurë është ndjekur edhe për të ardhurat nga tatimet, duke marrë për bazë modelin statistikor të projeksionit të të ardhurave të pritshme si dhe faktorët ekzogjenë me ndikim në çdo taksë. </w:t>
      </w:r>
    </w:p>
    <w:p w:rsidR="00616C21" w:rsidRPr="009C5122" w:rsidRDefault="00616C21" w:rsidP="00616C21">
      <w:pPr>
        <w:spacing w:line="276" w:lineRule="auto"/>
        <w:jc w:val="both"/>
        <w:rPr>
          <w:rFonts w:eastAsia="Times New Roman"/>
        </w:rPr>
      </w:pPr>
    </w:p>
    <w:p w:rsidR="00616C21" w:rsidRDefault="00616C21" w:rsidP="00616C21">
      <w:pPr>
        <w:spacing w:line="276" w:lineRule="auto"/>
        <w:jc w:val="both"/>
        <w:rPr>
          <w:rFonts w:eastAsia="Times New Roman"/>
          <w:color w:val="000000"/>
        </w:rPr>
      </w:pPr>
      <w:r w:rsidRPr="009C5122">
        <w:rPr>
          <w:rFonts w:eastAsia="Times New Roman"/>
          <w:color w:val="000000"/>
        </w:rPr>
        <w:t>Faktorët e jashtëm të marrë në konsideratë të cilët ndikojnë në rritjen e të ardhurave për vitin 2018 janë:</w:t>
      </w:r>
    </w:p>
    <w:p w:rsidR="00616C21" w:rsidRPr="009C5122" w:rsidRDefault="00616C21" w:rsidP="00616C21">
      <w:pPr>
        <w:spacing w:line="276" w:lineRule="auto"/>
        <w:jc w:val="both"/>
        <w:rPr>
          <w:rFonts w:eastAsia="Times New Roman"/>
        </w:rPr>
      </w:pPr>
    </w:p>
    <w:p w:rsidR="00616C21" w:rsidRPr="009C5122" w:rsidRDefault="00616C21" w:rsidP="002C5B1B">
      <w:pPr>
        <w:numPr>
          <w:ilvl w:val="0"/>
          <w:numId w:val="51"/>
        </w:numPr>
        <w:spacing w:line="276" w:lineRule="auto"/>
        <w:ind w:left="450"/>
        <w:jc w:val="both"/>
        <w:textAlignment w:val="baseline"/>
        <w:rPr>
          <w:rFonts w:ascii="Noto Sans Symbols" w:eastAsia="Times New Roman" w:hAnsi="Noto Sans Symbols"/>
          <w:b/>
          <w:bCs/>
          <w:color w:val="000000"/>
        </w:rPr>
      </w:pPr>
      <w:r w:rsidRPr="009C5122">
        <w:rPr>
          <w:rFonts w:eastAsia="Times New Roman"/>
          <w:b/>
          <w:bCs/>
          <w:color w:val="000000"/>
        </w:rPr>
        <w:t>Kuadri Makroekonomik</w:t>
      </w:r>
    </w:p>
    <w:p w:rsidR="00616C21" w:rsidRPr="009C5122" w:rsidRDefault="00616C21" w:rsidP="00616C21">
      <w:pPr>
        <w:spacing w:line="276" w:lineRule="auto"/>
        <w:jc w:val="both"/>
        <w:rPr>
          <w:rFonts w:eastAsia="Times New Roman"/>
        </w:rPr>
      </w:pPr>
    </w:p>
    <w:p w:rsidR="00616C21" w:rsidRPr="009C5122" w:rsidRDefault="00616C21" w:rsidP="00616C21">
      <w:pPr>
        <w:spacing w:line="276" w:lineRule="auto"/>
        <w:jc w:val="both"/>
        <w:rPr>
          <w:rFonts w:eastAsia="Times New Roman"/>
        </w:rPr>
      </w:pPr>
      <w:r w:rsidRPr="009C5122">
        <w:rPr>
          <w:rFonts w:eastAsia="Times New Roman"/>
          <w:color w:val="000000"/>
        </w:rPr>
        <w:t>Rritja nominale e Prodhimit të Brendshëm Bruto</w:t>
      </w:r>
      <w:r>
        <w:rPr>
          <w:rFonts w:eastAsia="Times New Roman"/>
          <w:color w:val="000000"/>
        </w:rPr>
        <w:t xml:space="preserve"> e skontuar me Koeficientin e Elasticitetit, </w:t>
      </w:r>
      <w:r w:rsidRPr="009C5122">
        <w:rPr>
          <w:rFonts w:eastAsia="Times New Roman"/>
          <w:color w:val="000000"/>
        </w:rPr>
        <w:t xml:space="preserve">është aplikuar duke analizuar këtë efekt në mënyrë të integruar me faktorë të tjerë për çdo taksë në veçanti, të ndërlidhur me të dhënat historike dhe projeksionet e çmimeve në tregjeve ndërkombëtare tek taksat ad-valorem si Tatimi mbi Vlerën e Shtuar, Renta minerare dhe Taksa doganore. </w:t>
      </w:r>
    </w:p>
    <w:p w:rsidR="00616C21" w:rsidRPr="009C5122" w:rsidRDefault="00616C21" w:rsidP="00616C21">
      <w:pPr>
        <w:spacing w:line="276" w:lineRule="auto"/>
        <w:jc w:val="both"/>
        <w:rPr>
          <w:rFonts w:eastAsia="Times New Roman"/>
        </w:rPr>
      </w:pPr>
      <w:r w:rsidRPr="009C5122">
        <w:rPr>
          <w:rFonts w:eastAsia="Times New Roman"/>
          <w:color w:val="000000"/>
        </w:rPr>
        <w:t xml:space="preserve">Në projeksion janë përfshirë, faktorët e mëposhtëm: </w:t>
      </w:r>
    </w:p>
    <w:p w:rsidR="00616C21" w:rsidRPr="009C5122" w:rsidRDefault="00616C21" w:rsidP="002C5B1B">
      <w:pPr>
        <w:numPr>
          <w:ilvl w:val="0"/>
          <w:numId w:val="52"/>
        </w:numPr>
        <w:spacing w:after="60" w:line="276" w:lineRule="auto"/>
        <w:jc w:val="both"/>
        <w:textAlignment w:val="baseline"/>
        <w:rPr>
          <w:rFonts w:ascii="Calibri" w:eastAsia="Times New Roman" w:hAnsi="Calibri" w:cs="Calibri"/>
          <w:color w:val="000000"/>
        </w:rPr>
      </w:pPr>
      <w:r w:rsidRPr="009C5122">
        <w:rPr>
          <w:rFonts w:eastAsia="Times New Roman"/>
          <w:color w:val="000000"/>
        </w:rPr>
        <w:t>Rritja nominale e PBB-së</w:t>
      </w:r>
      <w:r>
        <w:rPr>
          <w:rFonts w:eastAsia="Times New Roman"/>
          <w:color w:val="000000"/>
        </w:rPr>
        <w:t>.</w:t>
      </w:r>
      <w:r w:rsidRPr="009C5122">
        <w:rPr>
          <w:rFonts w:eastAsia="Times New Roman"/>
          <w:color w:val="000000"/>
        </w:rPr>
        <w:t xml:space="preserve"> </w:t>
      </w:r>
    </w:p>
    <w:p w:rsidR="00616C21" w:rsidRPr="009C5122" w:rsidRDefault="00616C21" w:rsidP="002C5B1B">
      <w:pPr>
        <w:numPr>
          <w:ilvl w:val="0"/>
          <w:numId w:val="52"/>
        </w:numPr>
        <w:spacing w:after="60" w:line="276" w:lineRule="auto"/>
        <w:jc w:val="both"/>
        <w:textAlignment w:val="baseline"/>
        <w:rPr>
          <w:rFonts w:ascii="Calibri" w:eastAsia="Times New Roman" w:hAnsi="Calibri" w:cs="Calibri"/>
          <w:color w:val="000000"/>
        </w:rPr>
      </w:pPr>
      <w:r w:rsidRPr="009C5122">
        <w:rPr>
          <w:rFonts w:eastAsia="Times New Roman"/>
          <w:color w:val="000000"/>
        </w:rPr>
        <w:t>Kursi mesatar i këmbimit Eur</w:t>
      </w:r>
      <w:r>
        <w:rPr>
          <w:rFonts w:eastAsia="Times New Roman"/>
          <w:color w:val="000000"/>
        </w:rPr>
        <w:t>o</w:t>
      </w:r>
      <w:r w:rsidRPr="009C5122">
        <w:rPr>
          <w:rFonts w:eastAsia="Times New Roman"/>
          <w:color w:val="000000"/>
        </w:rPr>
        <w:t xml:space="preserve"> –Lek dhe USD-Lek. </w:t>
      </w:r>
    </w:p>
    <w:p w:rsidR="00616C21" w:rsidRPr="009C5122" w:rsidRDefault="00616C21" w:rsidP="002C5B1B">
      <w:pPr>
        <w:numPr>
          <w:ilvl w:val="0"/>
          <w:numId w:val="52"/>
        </w:numPr>
        <w:spacing w:after="60" w:line="276" w:lineRule="auto"/>
        <w:jc w:val="both"/>
        <w:textAlignment w:val="baseline"/>
        <w:rPr>
          <w:rFonts w:ascii="Calibri" w:eastAsia="Times New Roman" w:hAnsi="Calibri" w:cs="Calibri"/>
          <w:color w:val="000000"/>
        </w:rPr>
      </w:pPr>
      <w:r w:rsidRPr="009C5122">
        <w:rPr>
          <w:rFonts w:eastAsia="Times New Roman"/>
          <w:color w:val="000000"/>
        </w:rPr>
        <w:t xml:space="preserve">Çmimet Brent të naftës bruto dhe mineraleve të tjera. </w:t>
      </w:r>
    </w:p>
    <w:p w:rsidR="00616C21" w:rsidRPr="009C5122" w:rsidRDefault="00616C21" w:rsidP="00616C21">
      <w:pPr>
        <w:spacing w:line="276" w:lineRule="auto"/>
        <w:jc w:val="both"/>
        <w:rPr>
          <w:rFonts w:eastAsia="Times New Roman"/>
        </w:rPr>
      </w:pPr>
    </w:p>
    <w:p w:rsidR="00616C21" w:rsidRPr="009C5122" w:rsidRDefault="00616C21" w:rsidP="002C5B1B">
      <w:pPr>
        <w:numPr>
          <w:ilvl w:val="0"/>
          <w:numId w:val="53"/>
        </w:numPr>
        <w:spacing w:line="276" w:lineRule="auto"/>
        <w:ind w:left="450"/>
        <w:jc w:val="both"/>
        <w:textAlignment w:val="baseline"/>
        <w:rPr>
          <w:rFonts w:ascii="Noto Sans Symbols" w:eastAsia="Times New Roman" w:hAnsi="Noto Sans Symbols"/>
          <w:b/>
          <w:bCs/>
          <w:color w:val="000000"/>
        </w:rPr>
      </w:pPr>
      <w:r w:rsidRPr="009C5122">
        <w:rPr>
          <w:rFonts w:eastAsia="Times New Roman"/>
          <w:b/>
          <w:bCs/>
          <w:color w:val="000000"/>
        </w:rPr>
        <w:t>Efektet e politikave fiskale</w:t>
      </w:r>
    </w:p>
    <w:p w:rsidR="00616C21" w:rsidRPr="009C5122" w:rsidRDefault="00616C21" w:rsidP="00616C21">
      <w:pPr>
        <w:spacing w:line="276" w:lineRule="auto"/>
        <w:jc w:val="both"/>
        <w:rPr>
          <w:rFonts w:eastAsia="Times New Roman"/>
        </w:rPr>
      </w:pPr>
    </w:p>
    <w:p w:rsidR="00616C21" w:rsidRDefault="00616C21" w:rsidP="002C5B1B">
      <w:pPr>
        <w:numPr>
          <w:ilvl w:val="3"/>
          <w:numId w:val="54"/>
        </w:numPr>
        <w:spacing w:line="276" w:lineRule="auto"/>
        <w:ind w:left="450"/>
        <w:jc w:val="both"/>
        <w:textAlignment w:val="baseline"/>
        <w:rPr>
          <w:rFonts w:eastAsia="Times New Roman"/>
          <w:color w:val="000000"/>
        </w:rPr>
      </w:pPr>
      <w:r>
        <w:rPr>
          <w:rFonts w:eastAsia="Times New Roman"/>
          <w:color w:val="000000"/>
        </w:rPr>
        <w:t xml:space="preserve">Rishikimi në ulje i </w:t>
      </w:r>
      <w:r w:rsidRPr="009C5122">
        <w:rPr>
          <w:rFonts w:eastAsia="Times New Roman"/>
          <w:color w:val="000000"/>
        </w:rPr>
        <w:t>kufirit</w:t>
      </w:r>
      <w:r>
        <w:rPr>
          <w:rFonts w:eastAsia="Times New Roman"/>
          <w:color w:val="000000"/>
        </w:rPr>
        <w:t xml:space="preserve"> </w:t>
      </w:r>
      <w:r w:rsidRPr="009C5122">
        <w:rPr>
          <w:rFonts w:eastAsia="Times New Roman"/>
          <w:color w:val="000000"/>
        </w:rPr>
        <w:t xml:space="preserve">të </w:t>
      </w:r>
      <w:r>
        <w:rPr>
          <w:rFonts w:eastAsia="Times New Roman"/>
          <w:color w:val="000000"/>
        </w:rPr>
        <w:t>regjistrimit në</w:t>
      </w:r>
      <w:r w:rsidRPr="009C5122">
        <w:rPr>
          <w:rFonts w:eastAsia="Times New Roman"/>
          <w:color w:val="000000"/>
        </w:rPr>
        <w:t xml:space="preserve"> T.V.SH.</w:t>
      </w:r>
      <w:r>
        <w:rPr>
          <w:rFonts w:eastAsia="Times New Roman"/>
          <w:color w:val="000000"/>
        </w:rPr>
        <w:t xml:space="preserve"> </w:t>
      </w:r>
      <w:proofErr w:type="gramStart"/>
      <w:r>
        <w:rPr>
          <w:rFonts w:eastAsia="Times New Roman"/>
          <w:color w:val="000000"/>
        </w:rPr>
        <w:t>do</w:t>
      </w:r>
      <w:proofErr w:type="gramEnd"/>
      <w:r>
        <w:rPr>
          <w:rFonts w:eastAsia="Times New Roman"/>
          <w:color w:val="000000"/>
        </w:rPr>
        <w:t xml:space="preserve"> të ketë një efekt</w:t>
      </w:r>
      <w:r w:rsidRPr="009C5122">
        <w:rPr>
          <w:rFonts w:eastAsia="Times New Roman"/>
          <w:color w:val="000000"/>
        </w:rPr>
        <w:t xml:space="preserve"> shtesë në të ardhura</w:t>
      </w:r>
      <w:r>
        <w:rPr>
          <w:rFonts w:eastAsia="Times New Roman"/>
          <w:color w:val="000000"/>
        </w:rPr>
        <w:t xml:space="preserve"> me rreth </w:t>
      </w:r>
      <w:r w:rsidRPr="002571D7">
        <w:rPr>
          <w:rFonts w:eastAsia="Times New Roman"/>
          <w:b/>
          <w:color w:val="000000"/>
        </w:rPr>
        <w:t>1-</w:t>
      </w:r>
      <w:r w:rsidRPr="002571D7">
        <w:rPr>
          <w:rFonts w:eastAsia="Times New Roman"/>
          <w:b/>
          <w:bCs/>
          <w:color w:val="000000"/>
        </w:rPr>
        <w:t>1.5</w:t>
      </w:r>
      <w:r>
        <w:rPr>
          <w:rFonts w:eastAsia="Times New Roman"/>
          <w:b/>
          <w:bCs/>
          <w:color w:val="000000"/>
        </w:rPr>
        <w:t xml:space="preserve"> miliard </w:t>
      </w:r>
      <w:r w:rsidRPr="009C5122">
        <w:rPr>
          <w:rFonts w:eastAsia="Times New Roman"/>
          <w:b/>
          <w:bCs/>
          <w:color w:val="000000"/>
        </w:rPr>
        <w:t>lekë</w:t>
      </w:r>
      <w:r>
        <w:rPr>
          <w:rFonts w:eastAsia="Times New Roman"/>
          <w:color w:val="000000"/>
        </w:rPr>
        <w:t xml:space="preserve"> në vit. Në fakt qëllimi i rishikimit të këtij pragu nuk është sigurimi i të ardhurave shtesë, pasi shuma e parashikuar e tyre, krahasuar me numrin e bizneseve të vogla është e vogël. Qëllimi madhor i kësaj nisme ka të bëjë kryesisht me formalizimin e tregut dhe verifikimin e zinxhirit të transaksioneve deri tek konsumatori final.</w:t>
      </w:r>
    </w:p>
    <w:p w:rsidR="00616C21" w:rsidRDefault="00616C21" w:rsidP="002C5B1B">
      <w:pPr>
        <w:numPr>
          <w:ilvl w:val="3"/>
          <w:numId w:val="54"/>
        </w:numPr>
        <w:spacing w:line="276" w:lineRule="auto"/>
        <w:ind w:left="450"/>
        <w:jc w:val="both"/>
        <w:textAlignment w:val="baseline"/>
        <w:rPr>
          <w:rFonts w:eastAsia="Times New Roman"/>
          <w:color w:val="000000"/>
        </w:rPr>
      </w:pPr>
      <w:r w:rsidRPr="002E5AC8">
        <w:rPr>
          <w:rFonts w:eastAsia="Times New Roman"/>
          <w:color w:val="000000"/>
        </w:rPr>
        <w:t>Rritja e akcizës për cigaret në 5,850 lekë</w:t>
      </w:r>
      <w:r w:rsidR="00B37EA9">
        <w:rPr>
          <w:rFonts w:eastAsia="Times New Roman"/>
          <w:color w:val="000000"/>
        </w:rPr>
        <w:t xml:space="preserve"> për 1000 cigare</w:t>
      </w:r>
      <w:r w:rsidRPr="002E5AC8">
        <w:rPr>
          <w:rFonts w:eastAsia="Times New Roman"/>
          <w:color w:val="000000"/>
        </w:rPr>
        <w:t xml:space="preserve"> me qëllim përafrimin e mëtejshëm me Direktivën e BE-së 2011/64. Riskedulimi i rritjes synon </w:t>
      </w:r>
      <w:r>
        <w:rPr>
          <w:rFonts w:eastAsia="Times New Roman"/>
          <w:color w:val="000000"/>
        </w:rPr>
        <w:t xml:space="preserve">ruajtjen e ekuilibrit </w:t>
      </w:r>
      <w:r w:rsidRPr="002E5AC8">
        <w:rPr>
          <w:rFonts w:eastAsia="Times New Roman"/>
          <w:color w:val="000000"/>
        </w:rPr>
        <w:t>n</w:t>
      </w:r>
      <w:r>
        <w:rPr>
          <w:rFonts w:eastAsia="Times New Roman"/>
          <w:color w:val="000000"/>
        </w:rPr>
        <w:t>ë nivelin e ngarkesë</w:t>
      </w:r>
      <w:r w:rsidRPr="002E5AC8">
        <w:rPr>
          <w:rFonts w:eastAsia="Times New Roman"/>
          <w:color w:val="000000"/>
        </w:rPr>
        <w:t>s fiskale me at</w:t>
      </w:r>
      <w:r>
        <w:rPr>
          <w:rFonts w:eastAsia="Times New Roman"/>
          <w:color w:val="000000"/>
        </w:rPr>
        <w:t>ë</w:t>
      </w:r>
      <w:r w:rsidRPr="002E5AC8">
        <w:rPr>
          <w:rFonts w:eastAsia="Times New Roman"/>
          <w:color w:val="000000"/>
        </w:rPr>
        <w:t xml:space="preserve"> t</w:t>
      </w:r>
      <w:r>
        <w:rPr>
          <w:rFonts w:eastAsia="Times New Roman"/>
          <w:color w:val="000000"/>
        </w:rPr>
        <w:t>ë</w:t>
      </w:r>
      <w:r w:rsidRPr="002E5AC8">
        <w:rPr>
          <w:rFonts w:eastAsia="Times New Roman"/>
          <w:color w:val="000000"/>
        </w:rPr>
        <w:t xml:space="preserve"> shteteve fqinje, me q</w:t>
      </w:r>
      <w:r>
        <w:rPr>
          <w:rFonts w:eastAsia="Times New Roman"/>
          <w:color w:val="000000"/>
        </w:rPr>
        <w:t>ë</w:t>
      </w:r>
      <w:r w:rsidRPr="002E5AC8">
        <w:rPr>
          <w:rFonts w:eastAsia="Times New Roman"/>
          <w:color w:val="000000"/>
        </w:rPr>
        <w:t>llim shmangien e fenomeneve t</w:t>
      </w:r>
      <w:r>
        <w:rPr>
          <w:rFonts w:eastAsia="Times New Roman"/>
          <w:color w:val="000000"/>
        </w:rPr>
        <w:t>ë</w:t>
      </w:r>
      <w:r w:rsidRPr="002E5AC8">
        <w:rPr>
          <w:rFonts w:eastAsia="Times New Roman"/>
          <w:color w:val="000000"/>
        </w:rPr>
        <w:t xml:space="preserve"> kontraband</w:t>
      </w:r>
      <w:r>
        <w:rPr>
          <w:rFonts w:eastAsia="Times New Roman"/>
          <w:color w:val="000000"/>
        </w:rPr>
        <w:t>ë</w:t>
      </w:r>
      <w:r w:rsidRPr="002E5AC8">
        <w:rPr>
          <w:rFonts w:eastAsia="Times New Roman"/>
          <w:color w:val="000000"/>
        </w:rPr>
        <w:t>s dhe tregtis</w:t>
      </w:r>
      <w:r>
        <w:rPr>
          <w:rFonts w:eastAsia="Times New Roman"/>
          <w:color w:val="000000"/>
        </w:rPr>
        <w:t>ë</w:t>
      </w:r>
      <w:r w:rsidRPr="002E5AC8">
        <w:rPr>
          <w:rFonts w:eastAsia="Times New Roman"/>
          <w:color w:val="000000"/>
        </w:rPr>
        <w:t xml:space="preserve"> ilegale n</w:t>
      </w:r>
      <w:r>
        <w:rPr>
          <w:rFonts w:eastAsia="Times New Roman"/>
          <w:color w:val="000000"/>
        </w:rPr>
        <w:t>ë</w:t>
      </w:r>
      <w:r w:rsidRPr="002E5AC8">
        <w:rPr>
          <w:rFonts w:eastAsia="Times New Roman"/>
          <w:color w:val="000000"/>
        </w:rPr>
        <w:t xml:space="preserve"> rajonet kufitare. Efekti shtesë në të ardhurat pritet te jet</w:t>
      </w:r>
      <w:r>
        <w:rPr>
          <w:rFonts w:eastAsia="Times New Roman"/>
          <w:color w:val="000000"/>
        </w:rPr>
        <w:t>ë</w:t>
      </w:r>
      <w:r w:rsidRPr="002E5AC8">
        <w:rPr>
          <w:rFonts w:eastAsia="Times New Roman"/>
          <w:color w:val="000000"/>
        </w:rPr>
        <w:t xml:space="preserve"> rreth </w:t>
      </w:r>
      <w:r w:rsidRPr="002E5AC8">
        <w:rPr>
          <w:rFonts w:eastAsia="Times New Roman"/>
          <w:b/>
          <w:bCs/>
          <w:color w:val="000000"/>
        </w:rPr>
        <w:t xml:space="preserve">1 </w:t>
      </w:r>
      <w:r>
        <w:rPr>
          <w:rFonts w:eastAsia="Times New Roman"/>
          <w:b/>
          <w:bCs/>
          <w:color w:val="000000"/>
        </w:rPr>
        <w:t>miliard</w:t>
      </w:r>
      <w:r w:rsidRPr="002E5AC8">
        <w:rPr>
          <w:rFonts w:eastAsia="Times New Roman"/>
          <w:b/>
          <w:bCs/>
          <w:color w:val="000000"/>
        </w:rPr>
        <w:t xml:space="preserve"> lekë</w:t>
      </w:r>
      <w:r w:rsidRPr="002E5AC8">
        <w:rPr>
          <w:rFonts w:eastAsia="Times New Roman"/>
          <w:color w:val="000000"/>
        </w:rPr>
        <w:t xml:space="preserve">. </w:t>
      </w:r>
    </w:p>
    <w:p w:rsidR="00616C21" w:rsidRDefault="00616C21" w:rsidP="00616C21">
      <w:pPr>
        <w:spacing w:line="276" w:lineRule="auto"/>
        <w:jc w:val="both"/>
        <w:textAlignment w:val="baseline"/>
        <w:rPr>
          <w:rFonts w:eastAsia="Times New Roman"/>
          <w:color w:val="000000"/>
        </w:rPr>
      </w:pPr>
    </w:p>
    <w:p w:rsidR="00616C21" w:rsidRDefault="00616C21" w:rsidP="00616C21">
      <w:pPr>
        <w:spacing w:line="276" w:lineRule="auto"/>
        <w:jc w:val="both"/>
        <w:textAlignment w:val="baseline"/>
        <w:rPr>
          <w:rFonts w:eastAsia="Times New Roman"/>
          <w:b/>
          <w:bCs/>
          <w:color w:val="000000"/>
        </w:rPr>
      </w:pPr>
      <w:r w:rsidRPr="00AE1D35">
        <w:rPr>
          <w:rFonts w:eastAsia="Times New Roman"/>
          <w:b/>
          <w:bCs/>
          <w:color w:val="000000"/>
        </w:rPr>
        <w:t>Parashikimi i të ardhurave sipas zërave për vitin 2018</w:t>
      </w:r>
    </w:p>
    <w:p w:rsidR="00616C21" w:rsidRDefault="00616C21" w:rsidP="00616C21">
      <w:pPr>
        <w:spacing w:line="276" w:lineRule="auto"/>
        <w:jc w:val="both"/>
        <w:textAlignment w:val="baseline"/>
        <w:rPr>
          <w:rFonts w:eastAsia="Times New Roman"/>
          <w:color w:val="000000"/>
        </w:rPr>
      </w:pPr>
    </w:p>
    <w:p w:rsidR="00616C21" w:rsidRPr="00AE1D35"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 xml:space="preserve">Të ardhurat nga T.V.SH.-ja </w:t>
      </w:r>
      <w:r w:rsidR="00D61B5E">
        <w:rPr>
          <w:rFonts w:eastAsia="Times New Roman"/>
          <w:color w:val="000000"/>
        </w:rPr>
        <w:t>parashikohet të jen</w:t>
      </w:r>
      <w:r w:rsidRPr="00AE1D35">
        <w:rPr>
          <w:rFonts w:eastAsia="Times New Roman"/>
          <w:color w:val="000000"/>
        </w:rPr>
        <w:t xml:space="preserve">ë në masën 150.7 </w:t>
      </w:r>
      <w:r>
        <w:rPr>
          <w:rFonts w:eastAsia="Times New Roman"/>
          <w:color w:val="000000"/>
        </w:rPr>
        <w:t>miliard</w:t>
      </w:r>
      <w:r w:rsidRPr="00AE1D35">
        <w:rPr>
          <w:rFonts w:eastAsia="Times New Roman"/>
          <w:color w:val="000000"/>
        </w:rPr>
        <w:t xml:space="preserve"> lekë, 11.4 </w:t>
      </w:r>
      <w:r>
        <w:rPr>
          <w:rFonts w:eastAsia="Times New Roman"/>
          <w:color w:val="000000"/>
        </w:rPr>
        <w:t>miliard</w:t>
      </w:r>
      <w:r w:rsidRPr="00AE1D35">
        <w:rPr>
          <w:rFonts w:eastAsia="Times New Roman"/>
          <w:color w:val="000000"/>
        </w:rPr>
        <w:t xml:space="preserve"> lekë më shumë se pritshmëria për vitin 2017 ose 8.2 %.</w:t>
      </w:r>
      <w:r w:rsidR="00EE6C6B">
        <w:rPr>
          <w:rFonts w:eastAsia="Times New Roman"/>
          <w:color w:val="000000"/>
        </w:rPr>
        <w:t xml:space="preserve"> </w:t>
      </w:r>
      <w:r w:rsidRPr="00AE1D35">
        <w:rPr>
          <w:rFonts w:eastAsia="Times New Roman"/>
          <w:color w:val="000000"/>
        </w:rPr>
        <w:t xml:space="preserve">Krahas TVSH-së që do të gjenerohet si rezultat i rritjes ekonomike, rritjes së volumit të importeve dhe konjukturës së çmimeve ndërkombëtare, burimi kryesor i të ardhurave shtesë nga TVSH-ja për vitin 2017, do te jetë përmirësimi i administrimit të këtij tatimi, lufta ndaj informalitetit si dhe kontrolli i zinxhirit të transaksioneve të subjekteve në TVSH. </w:t>
      </w:r>
    </w:p>
    <w:p w:rsidR="00616C21" w:rsidRPr="00AE1D35"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Të ardhurat nga akciza</w:t>
      </w:r>
      <w:r w:rsidRPr="00AE1D35">
        <w:rPr>
          <w:rFonts w:eastAsia="Times New Roman"/>
          <w:color w:val="000000"/>
        </w:rPr>
        <w:t xml:space="preserve"> vlerësohen të jenë </w:t>
      </w:r>
      <w:r w:rsidR="00B37EA9">
        <w:rPr>
          <w:rFonts w:eastAsia="Times New Roman"/>
          <w:color w:val="000000"/>
        </w:rPr>
        <w:t>49.5</w:t>
      </w:r>
      <w:r w:rsidRPr="00AE1D35">
        <w:rPr>
          <w:rFonts w:eastAsia="Times New Roman"/>
          <w:color w:val="000000"/>
        </w:rPr>
        <w:t xml:space="preserve"> </w:t>
      </w:r>
      <w:r>
        <w:rPr>
          <w:rFonts w:eastAsia="Times New Roman"/>
          <w:color w:val="000000"/>
        </w:rPr>
        <w:t>miliard</w:t>
      </w:r>
      <w:r w:rsidRPr="00AE1D35">
        <w:rPr>
          <w:rFonts w:eastAsia="Times New Roman"/>
          <w:color w:val="000000"/>
        </w:rPr>
        <w:t xml:space="preserve"> lekë me një rritje prej </w:t>
      </w:r>
      <w:r w:rsidR="00B37EA9">
        <w:rPr>
          <w:rFonts w:eastAsia="Times New Roman"/>
          <w:color w:val="000000"/>
        </w:rPr>
        <w:t>3.9</w:t>
      </w:r>
      <w:r w:rsidRPr="00AE1D35">
        <w:rPr>
          <w:rFonts w:eastAsia="Times New Roman"/>
          <w:color w:val="000000"/>
        </w:rPr>
        <w:t xml:space="preserve"> </w:t>
      </w:r>
      <w:r>
        <w:rPr>
          <w:rFonts w:eastAsia="Times New Roman"/>
          <w:color w:val="000000"/>
        </w:rPr>
        <w:t>miliard</w:t>
      </w:r>
      <w:r w:rsidRPr="00AE1D35">
        <w:rPr>
          <w:rFonts w:eastAsia="Times New Roman"/>
          <w:color w:val="000000"/>
        </w:rPr>
        <w:t xml:space="preserve"> lekë ose </w:t>
      </w:r>
      <w:r w:rsidR="00B37EA9">
        <w:rPr>
          <w:rFonts w:eastAsia="Times New Roman"/>
          <w:color w:val="000000"/>
        </w:rPr>
        <w:t>8.5</w:t>
      </w:r>
      <w:r w:rsidRPr="00AE1D35">
        <w:rPr>
          <w:rFonts w:eastAsia="Times New Roman"/>
          <w:color w:val="000000"/>
        </w:rPr>
        <w:t xml:space="preserve">% më shumë se pritshmëritë për vitin 2017. Faktorët kryesorë që ndikojnë në rritjen e parashikuar të të ardhurave nga akciza, krahas rritjes së importeve të mallrave të akcizës, do të jetë lufta kundër informalitetit, kontrolli më rigoroz i subjekteve të akcizës si dhe disiplinimi i mëtejshëm i procedurave të përfitimit të përjashtimeve dhe rimbursimeve nga kjo taksë. </w:t>
      </w:r>
    </w:p>
    <w:p w:rsidR="00616C21" w:rsidRPr="00AE1D35"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Të ardhurat nga Tatimi mbi Fitimin</w:t>
      </w:r>
      <w:r w:rsidRPr="00AE1D35">
        <w:rPr>
          <w:rFonts w:eastAsia="Times New Roman"/>
          <w:color w:val="000000"/>
        </w:rPr>
        <w:t xml:space="preserve"> vlerësohen me rritje </w:t>
      </w:r>
      <w:r w:rsidR="00B37EA9">
        <w:rPr>
          <w:rFonts w:eastAsia="Times New Roman"/>
          <w:color w:val="000000"/>
        </w:rPr>
        <w:t>7</w:t>
      </w:r>
      <w:r w:rsidRPr="00AE1D35">
        <w:rPr>
          <w:rFonts w:eastAsia="Times New Roman"/>
          <w:color w:val="000000"/>
        </w:rPr>
        <w:t>% më shumë se viti 2017, duke u realizuar në masën 33.</w:t>
      </w:r>
      <w:r w:rsidR="00B37EA9">
        <w:rPr>
          <w:rFonts w:eastAsia="Times New Roman"/>
          <w:color w:val="000000"/>
        </w:rPr>
        <w:t>9</w:t>
      </w:r>
      <w:r w:rsidRPr="00AE1D35">
        <w:rPr>
          <w:rFonts w:eastAsia="Times New Roman"/>
          <w:color w:val="000000"/>
        </w:rPr>
        <w:t xml:space="preserve"> </w:t>
      </w:r>
      <w:r>
        <w:rPr>
          <w:rFonts w:eastAsia="Times New Roman"/>
          <w:color w:val="000000"/>
        </w:rPr>
        <w:t>miliard</w:t>
      </w:r>
      <w:r w:rsidRPr="00AE1D35">
        <w:rPr>
          <w:rFonts w:eastAsia="Times New Roman"/>
          <w:color w:val="000000"/>
        </w:rPr>
        <w:t xml:space="preserve"> lekë. Kjo si rezultat i rritjes së deklarimit dhe qarkullimit të realizuar të operatorëve ekonomikë.</w:t>
      </w:r>
    </w:p>
    <w:p w:rsidR="00616C21" w:rsidRPr="00AE1D35"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Të ardhurat nga tatimi mbi të ardhurat personale</w:t>
      </w:r>
      <w:r w:rsidRPr="00AE1D35">
        <w:rPr>
          <w:rFonts w:eastAsia="Times New Roman"/>
          <w:color w:val="000000"/>
        </w:rPr>
        <w:t xml:space="preserve"> vlerësohen me rritje 9.7% më shumë se viti 2017, me një realizim në masën 37.3 </w:t>
      </w:r>
      <w:r>
        <w:rPr>
          <w:rFonts w:eastAsia="Times New Roman"/>
          <w:color w:val="000000"/>
        </w:rPr>
        <w:t>miliard</w:t>
      </w:r>
      <w:r w:rsidRPr="00AE1D35">
        <w:rPr>
          <w:rFonts w:eastAsia="Times New Roman"/>
          <w:color w:val="000000"/>
        </w:rPr>
        <w:t xml:space="preserve"> lekë. Në parashikimin e të ardhurave nga tatimi mbi të ardhurat personale janë marrë në konsideratë rritja e numrit të kontribuesve aktivë bazuar në ecurinë e vitit 2017 dhe pritshmëritë për formalizim të mëtejshëm të të ardhurave nga punësimi. </w:t>
      </w:r>
    </w:p>
    <w:p w:rsidR="00616C21" w:rsidRPr="00AE1D35"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 xml:space="preserve">Të ardhurat nga taksa nacionale dhe të </w:t>
      </w:r>
      <w:proofErr w:type="gramStart"/>
      <w:r w:rsidRPr="00AE1D35">
        <w:rPr>
          <w:rFonts w:eastAsia="Times New Roman"/>
          <w:b/>
          <w:bCs/>
          <w:i/>
          <w:iCs/>
          <w:color w:val="000000"/>
        </w:rPr>
        <w:t>tjera</w:t>
      </w:r>
      <w:r w:rsidRPr="00AE1D35">
        <w:rPr>
          <w:rFonts w:eastAsia="Times New Roman"/>
          <w:color w:val="000000"/>
        </w:rPr>
        <w:t xml:space="preserve">  vlerësohen</w:t>
      </w:r>
      <w:proofErr w:type="gramEnd"/>
      <w:r w:rsidRPr="00AE1D35">
        <w:rPr>
          <w:rFonts w:eastAsia="Times New Roman"/>
          <w:color w:val="000000"/>
        </w:rPr>
        <w:t xml:space="preserve"> në masën 38 </w:t>
      </w:r>
      <w:r>
        <w:rPr>
          <w:rFonts w:eastAsia="Times New Roman"/>
          <w:color w:val="000000"/>
        </w:rPr>
        <w:t>miliard</w:t>
      </w:r>
      <w:r w:rsidRPr="00AE1D35">
        <w:rPr>
          <w:rFonts w:eastAsia="Times New Roman"/>
          <w:color w:val="000000"/>
        </w:rPr>
        <w:t xml:space="preserve"> lekë. Parashikimet për këtë taksë për vitin 2018 janë 2.9 </w:t>
      </w:r>
      <w:r>
        <w:rPr>
          <w:rFonts w:eastAsia="Times New Roman"/>
          <w:color w:val="000000"/>
        </w:rPr>
        <w:t>miliard</w:t>
      </w:r>
      <w:r w:rsidRPr="00AE1D35">
        <w:rPr>
          <w:rFonts w:eastAsia="Times New Roman"/>
          <w:color w:val="000000"/>
        </w:rPr>
        <w:t xml:space="preserve"> lekë më pak se i pritshmi 2017, dhe lidhen me pasqyrimin në vitin 2017 në këtë zë të të ardhurave nga rivlerësimi i pasurisë (one off revenue) për rreth 3</w:t>
      </w:r>
      <w:proofErr w:type="gramStart"/>
      <w:r w:rsidRPr="00AE1D35">
        <w:rPr>
          <w:rFonts w:eastAsia="Times New Roman"/>
          <w:color w:val="000000"/>
        </w:rPr>
        <w:t>,6</w:t>
      </w:r>
      <w:proofErr w:type="gramEnd"/>
      <w:r w:rsidRPr="00AE1D35">
        <w:rPr>
          <w:rFonts w:eastAsia="Times New Roman"/>
          <w:color w:val="000000"/>
        </w:rPr>
        <w:t xml:space="preserve"> </w:t>
      </w:r>
      <w:r>
        <w:rPr>
          <w:rFonts w:eastAsia="Times New Roman"/>
          <w:color w:val="000000"/>
        </w:rPr>
        <w:t>miliard</w:t>
      </w:r>
      <w:r w:rsidRPr="00AE1D35">
        <w:rPr>
          <w:rFonts w:eastAsia="Times New Roman"/>
          <w:color w:val="000000"/>
        </w:rPr>
        <w:t xml:space="preserve"> lekë, të cilat nuk do të jenë në vitin 2017. </w:t>
      </w:r>
    </w:p>
    <w:p w:rsidR="00616C21" w:rsidRPr="00AE1D35"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Të ardhurat nga taksa doganore</w:t>
      </w:r>
      <w:r w:rsidRPr="00AE1D35">
        <w:rPr>
          <w:rFonts w:eastAsia="Times New Roman"/>
          <w:color w:val="000000"/>
        </w:rPr>
        <w:t xml:space="preserve"> vlerësohen me rritje prej 600 milionë lekë më shumë se viti 2017, me realizim 7 </w:t>
      </w:r>
      <w:r>
        <w:rPr>
          <w:rFonts w:eastAsia="Times New Roman"/>
          <w:color w:val="000000"/>
        </w:rPr>
        <w:t>miliard</w:t>
      </w:r>
      <w:r w:rsidRPr="00AE1D35">
        <w:rPr>
          <w:rFonts w:eastAsia="Times New Roman"/>
          <w:color w:val="000000"/>
        </w:rPr>
        <w:t xml:space="preserve"> lekë. Ndikim në këtë zë kanë të ardhurat shtesë nga rritja e importeve.</w:t>
      </w:r>
    </w:p>
    <w:p w:rsidR="00616C21" w:rsidRDefault="00616C21" w:rsidP="00EE6C6B">
      <w:pPr>
        <w:spacing w:after="120" w:line="276" w:lineRule="auto"/>
        <w:jc w:val="both"/>
        <w:textAlignment w:val="baseline"/>
        <w:rPr>
          <w:rFonts w:eastAsia="Times New Roman"/>
          <w:color w:val="000000"/>
        </w:rPr>
      </w:pPr>
      <w:r w:rsidRPr="00AE1D35">
        <w:rPr>
          <w:rFonts w:eastAsia="Times New Roman"/>
          <w:b/>
          <w:bCs/>
          <w:i/>
          <w:iCs/>
          <w:color w:val="000000"/>
        </w:rPr>
        <w:t xml:space="preserve">Të ardhurat nga Kontributet për Sigurime Shoqërore e Shëndetësore </w:t>
      </w:r>
      <w:r w:rsidRPr="00AE1D35">
        <w:rPr>
          <w:rFonts w:eastAsia="Times New Roman"/>
          <w:color w:val="000000"/>
        </w:rPr>
        <w:t xml:space="preserve">vlerësohen me një rritje 5 % më shumë krahasuar me pritshmërinë për vitin 2017, me një realizim në masën rreth 83.1 </w:t>
      </w:r>
      <w:r>
        <w:rPr>
          <w:rFonts w:eastAsia="Times New Roman"/>
          <w:color w:val="000000"/>
        </w:rPr>
        <w:t>miliard</w:t>
      </w:r>
      <w:r w:rsidRPr="00AE1D35">
        <w:rPr>
          <w:rFonts w:eastAsia="Times New Roman"/>
          <w:color w:val="000000"/>
        </w:rPr>
        <w:t xml:space="preserve"> lekë. Gjenerimi i të ardhurave shtesë për kontributet do të ndikohet nga rritja e performancës kontrolluese të administratës tatimore. </w:t>
      </w:r>
    </w:p>
    <w:p w:rsidR="00616C21" w:rsidRDefault="00616C21" w:rsidP="00616C21">
      <w:pPr>
        <w:spacing w:line="276" w:lineRule="auto"/>
        <w:jc w:val="both"/>
        <w:textAlignment w:val="baseline"/>
        <w:rPr>
          <w:rFonts w:eastAsia="Times New Roman"/>
          <w:color w:val="000000"/>
          <w:sz w:val="16"/>
          <w:szCs w:val="16"/>
        </w:rPr>
      </w:pPr>
    </w:p>
    <w:p w:rsidR="001916E1" w:rsidRPr="004D57A2" w:rsidRDefault="001916E1" w:rsidP="00616C21">
      <w:pPr>
        <w:spacing w:line="276" w:lineRule="auto"/>
        <w:jc w:val="both"/>
        <w:textAlignment w:val="baseline"/>
        <w:rPr>
          <w:rFonts w:eastAsia="Times New Roman"/>
          <w:color w:val="000000"/>
          <w:sz w:val="16"/>
          <w:szCs w:val="16"/>
        </w:rPr>
      </w:pPr>
    </w:p>
    <w:p w:rsidR="00B0121D" w:rsidRPr="00D94792" w:rsidRDefault="00DF6420" w:rsidP="00D55E95">
      <w:pPr>
        <w:pStyle w:val="Heading1"/>
        <w:numPr>
          <w:ilvl w:val="1"/>
          <w:numId w:val="5"/>
        </w:numPr>
        <w:tabs>
          <w:tab w:val="clear" w:pos="5954"/>
          <w:tab w:val="center" w:pos="709"/>
        </w:tabs>
        <w:spacing w:line="276" w:lineRule="auto"/>
        <w:jc w:val="both"/>
        <w:rPr>
          <w:bCs/>
          <w:iCs/>
          <w:caps w:val="0"/>
          <w:sz w:val="26"/>
          <w:szCs w:val="26"/>
          <w:lang w:val="sq-AL"/>
        </w:rPr>
      </w:pPr>
      <w:r w:rsidRPr="00D94792">
        <w:rPr>
          <w:bCs/>
          <w:iCs/>
          <w:caps w:val="0"/>
          <w:sz w:val="26"/>
          <w:szCs w:val="26"/>
          <w:lang w:val="sq-AL"/>
        </w:rPr>
        <w:lastRenderedPageBreak/>
        <w:t xml:space="preserve"> </w:t>
      </w:r>
      <w:bookmarkStart w:id="26" w:name="_Toc495672715"/>
      <w:bookmarkStart w:id="27" w:name="_Toc496520384"/>
      <w:r w:rsidR="00B0121D" w:rsidRPr="00D94792">
        <w:rPr>
          <w:bCs/>
          <w:iCs/>
          <w:caps w:val="0"/>
          <w:sz w:val="26"/>
          <w:szCs w:val="26"/>
          <w:lang w:val="sq-AL"/>
        </w:rPr>
        <w:t>SHPENZIMET PUBLIKE</w:t>
      </w:r>
      <w:bookmarkEnd w:id="26"/>
      <w:bookmarkEnd w:id="27"/>
    </w:p>
    <w:p w:rsidR="00B0121D" w:rsidRPr="004D57A2" w:rsidRDefault="00B0121D" w:rsidP="003C5B4B">
      <w:pPr>
        <w:spacing w:line="276" w:lineRule="auto"/>
        <w:rPr>
          <w:sz w:val="16"/>
          <w:szCs w:val="16"/>
          <w:lang w:val="sq-AL"/>
        </w:rPr>
      </w:pPr>
    </w:p>
    <w:p w:rsidR="00B0121D" w:rsidRPr="00D94792" w:rsidRDefault="00B0121D" w:rsidP="003C5B4B">
      <w:pPr>
        <w:spacing w:line="276" w:lineRule="auto"/>
        <w:jc w:val="both"/>
        <w:rPr>
          <w:lang w:val="sq-AL"/>
        </w:rPr>
      </w:pPr>
      <w:r w:rsidRPr="00D94792">
        <w:rPr>
          <w:b/>
          <w:lang w:val="sq-AL"/>
        </w:rPr>
        <w:t>Totali i shpenzimeve publike</w:t>
      </w:r>
      <w:r w:rsidRPr="00D94792">
        <w:rPr>
          <w:lang w:val="sq-AL"/>
        </w:rPr>
        <w:t xml:space="preserve"> për vitin 201</w:t>
      </w:r>
      <w:r w:rsidR="0071695A" w:rsidRPr="00D94792">
        <w:rPr>
          <w:lang w:val="sq-AL"/>
        </w:rPr>
        <w:t>8</w:t>
      </w:r>
      <w:r w:rsidRPr="00D94792">
        <w:rPr>
          <w:lang w:val="sq-AL"/>
        </w:rPr>
        <w:t xml:space="preserve"> është </w:t>
      </w:r>
      <w:r w:rsidRPr="007057C8">
        <w:rPr>
          <w:lang w:val="sq-AL"/>
        </w:rPr>
        <w:t xml:space="preserve">planifikuar </w:t>
      </w:r>
      <w:r w:rsidR="00356E5F" w:rsidRPr="007057C8">
        <w:rPr>
          <w:lang w:val="sq-AL"/>
        </w:rPr>
        <w:t>496.6</w:t>
      </w:r>
      <w:r w:rsidRPr="007057C8">
        <w:rPr>
          <w:lang w:val="sq-AL"/>
        </w:rPr>
        <w:t xml:space="preserve"> miliardë lekë ose </w:t>
      </w:r>
      <w:r w:rsidR="005218A0" w:rsidRPr="007057C8">
        <w:rPr>
          <w:lang w:val="sq-AL"/>
        </w:rPr>
        <w:t>30</w:t>
      </w:r>
      <w:r w:rsidR="007057C8" w:rsidRPr="007057C8">
        <w:rPr>
          <w:lang w:val="sq-AL"/>
        </w:rPr>
        <w:t>.1</w:t>
      </w:r>
      <w:r w:rsidRPr="007057C8">
        <w:rPr>
          <w:lang w:val="sq-AL"/>
        </w:rPr>
        <w:t>% e PBB.</w:t>
      </w:r>
    </w:p>
    <w:p w:rsidR="00B0121D" w:rsidRPr="00D94792" w:rsidRDefault="00B0121D" w:rsidP="003C5B4B">
      <w:pPr>
        <w:spacing w:line="276" w:lineRule="auto"/>
        <w:jc w:val="both"/>
        <w:rPr>
          <w:sz w:val="16"/>
          <w:szCs w:val="16"/>
          <w:lang w:val="sq-AL"/>
        </w:rPr>
      </w:pPr>
    </w:p>
    <w:p w:rsidR="00B0121D" w:rsidRPr="00D94792" w:rsidRDefault="00B0121D" w:rsidP="003C5B4B">
      <w:pPr>
        <w:spacing w:line="276" w:lineRule="auto"/>
        <w:jc w:val="both"/>
        <w:rPr>
          <w:lang w:val="sq-AL"/>
        </w:rPr>
      </w:pPr>
      <w:r w:rsidRPr="00D94792">
        <w:rPr>
          <w:b/>
          <w:lang w:val="sq-AL"/>
        </w:rPr>
        <w:t>Shpenzimet e personelit</w:t>
      </w:r>
      <w:r w:rsidRPr="00D94792">
        <w:rPr>
          <w:lang w:val="sq-AL"/>
        </w:rPr>
        <w:t xml:space="preserve"> për vitin 201</w:t>
      </w:r>
      <w:r w:rsidR="005218A0" w:rsidRPr="00D94792">
        <w:rPr>
          <w:lang w:val="sq-AL"/>
        </w:rPr>
        <w:t>8</w:t>
      </w:r>
      <w:r w:rsidRPr="00D94792">
        <w:rPr>
          <w:lang w:val="sq-AL"/>
        </w:rPr>
        <w:t>, reflektojnë koston aktuale të Administratës Publike, politikën e rritjes së pagave dhe ndryshimet strukturore të parashikuara për t’u ndërmarrë.</w:t>
      </w:r>
      <w:r w:rsidR="005218A0" w:rsidRPr="00D94792">
        <w:rPr>
          <w:lang w:val="sq-AL"/>
        </w:rPr>
        <w:t xml:space="preserve"> </w:t>
      </w:r>
      <w:r w:rsidR="001916E1">
        <w:rPr>
          <w:lang w:val="sq-AL"/>
        </w:rPr>
        <w:t>N</w:t>
      </w:r>
      <w:r w:rsidR="00DB7941">
        <w:rPr>
          <w:lang w:val="sq-AL"/>
        </w:rPr>
        <w:t>ë</w:t>
      </w:r>
      <w:r w:rsidR="005218A0" w:rsidRPr="00D94792">
        <w:rPr>
          <w:lang w:val="sq-AL"/>
        </w:rPr>
        <w:t xml:space="preserve"> k</w:t>
      </w:r>
      <w:r w:rsidR="00DB7941">
        <w:rPr>
          <w:lang w:val="sq-AL"/>
        </w:rPr>
        <w:t>ë</w:t>
      </w:r>
      <w:r w:rsidR="005218A0" w:rsidRPr="00D94792">
        <w:rPr>
          <w:lang w:val="sq-AL"/>
        </w:rPr>
        <w:t xml:space="preserve">to shpenzime planifikohet </w:t>
      </w:r>
      <w:r w:rsidR="001916E1">
        <w:rPr>
          <w:lang w:val="sq-AL"/>
        </w:rPr>
        <w:t>buxhetimi</w:t>
      </w:r>
      <w:r w:rsidR="005218A0" w:rsidRPr="00D94792">
        <w:rPr>
          <w:lang w:val="sq-AL"/>
        </w:rPr>
        <w:t xml:space="preserve"> i institucioneve t</w:t>
      </w:r>
      <w:r w:rsidR="00DB7941">
        <w:rPr>
          <w:lang w:val="sq-AL"/>
        </w:rPr>
        <w:t>ë</w:t>
      </w:r>
      <w:r w:rsidR="005218A0" w:rsidRPr="00D94792">
        <w:rPr>
          <w:lang w:val="sq-AL"/>
        </w:rPr>
        <w:t xml:space="preserve"> reja t</w:t>
      </w:r>
      <w:r w:rsidR="00DB7941">
        <w:rPr>
          <w:lang w:val="sq-AL"/>
        </w:rPr>
        <w:t>ë</w:t>
      </w:r>
      <w:r w:rsidR="005218A0" w:rsidRPr="00D94792">
        <w:rPr>
          <w:lang w:val="sq-AL"/>
        </w:rPr>
        <w:t xml:space="preserve"> krijuara p</w:t>
      </w:r>
      <w:r w:rsidR="00DB7941">
        <w:rPr>
          <w:lang w:val="sq-AL"/>
        </w:rPr>
        <w:t>ë</w:t>
      </w:r>
      <w:r w:rsidR="005218A0" w:rsidRPr="00D94792">
        <w:rPr>
          <w:lang w:val="sq-AL"/>
        </w:rPr>
        <w:t>r mb</w:t>
      </w:r>
      <w:r w:rsidR="00DB7941">
        <w:rPr>
          <w:lang w:val="sq-AL"/>
        </w:rPr>
        <w:t>ë</w:t>
      </w:r>
      <w:r w:rsidR="005218A0" w:rsidRPr="00D94792">
        <w:rPr>
          <w:lang w:val="sq-AL"/>
        </w:rPr>
        <w:t>shtetjen e reform</w:t>
      </w:r>
      <w:r w:rsidR="00DB7941">
        <w:rPr>
          <w:lang w:val="sq-AL"/>
        </w:rPr>
        <w:t>ë</w:t>
      </w:r>
      <w:r w:rsidR="005218A0" w:rsidRPr="00D94792">
        <w:rPr>
          <w:lang w:val="sq-AL"/>
        </w:rPr>
        <w:t>s n</w:t>
      </w:r>
      <w:r w:rsidR="00DB7941">
        <w:rPr>
          <w:lang w:val="sq-AL"/>
        </w:rPr>
        <w:t>ë</w:t>
      </w:r>
      <w:r w:rsidR="005218A0" w:rsidRPr="00D94792">
        <w:rPr>
          <w:lang w:val="sq-AL"/>
        </w:rPr>
        <w:t xml:space="preserve"> sistemin e drejt</w:t>
      </w:r>
      <w:r w:rsidR="00DB7941">
        <w:rPr>
          <w:lang w:val="sq-AL"/>
        </w:rPr>
        <w:t>ë</w:t>
      </w:r>
      <w:r w:rsidR="005218A0" w:rsidRPr="00D94792">
        <w:rPr>
          <w:lang w:val="sq-AL"/>
        </w:rPr>
        <w:t>sis</w:t>
      </w:r>
      <w:r w:rsidR="00DB7941">
        <w:rPr>
          <w:lang w:val="sq-AL"/>
        </w:rPr>
        <w:t>ë</w:t>
      </w:r>
      <w:r w:rsidRPr="00D94792">
        <w:rPr>
          <w:lang w:val="sq-AL"/>
        </w:rPr>
        <w:t xml:space="preserve"> </w:t>
      </w:r>
      <w:r w:rsidR="005218A0" w:rsidRPr="00D94792">
        <w:rPr>
          <w:lang w:val="sq-AL"/>
        </w:rPr>
        <w:t>si dhe kostoja financiare q</w:t>
      </w:r>
      <w:r w:rsidR="00DB7941">
        <w:rPr>
          <w:lang w:val="sq-AL"/>
        </w:rPr>
        <w:t>ë</w:t>
      </w:r>
      <w:r w:rsidR="005218A0" w:rsidRPr="00D94792">
        <w:rPr>
          <w:lang w:val="sq-AL"/>
        </w:rPr>
        <w:t xml:space="preserve"> rrjedh nga zbatimi i legjislacionit p</w:t>
      </w:r>
      <w:r w:rsidR="00DB7941">
        <w:rPr>
          <w:lang w:val="sq-AL"/>
        </w:rPr>
        <w:t>ë</w:t>
      </w:r>
      <w:r w:rsidR="005218A0" w:rsidRPr="00D94792">
        <w:rPr>
          <w:lang w:val="sq-AL"/>
        </w:rPr>
        <w:t>r n</w:t>
      </w:r>
      <w:r w:rsidR="00DB7941">
        <w:rPr>
          <w:lang w:val="sq-AL"/>
        </w:rPr>
        <w:t>ë</w:t>
      </w:r>
      <w:r w:rsidR="005218A0" w:rsidRPr="00D94792">
        <w:rPr>
          <w:lang w:val="sq-AL"/>
        </w:rPr>
        <w:t>pun</w:t>
      </w:r>
      <w:r w:rsidR="00DB7941">
        <w:rPr>
          <w:lang w:val="sq-AL"/>
        </w:rPr>
        <w:t>ë</w:t>
      </w:r>
      <w:r w:rsidR="005218A0" w:rsidRPr="00D94792">
        <w:rPr>
          <w:lang w:val="sq-AL"/>
        </w:rPr>
        <w:t>sit civil si rezultat i procesit t</w:t>
      </w:r>
      <w:r w:rsidR="00DB7941">
        <w:rPr>
          <w:lang w:val="sq-AL"/>
        </w:rPr>
        <w:t>ë</w:t>
      </w:r>
      <w:r w:rsidR="005218A0" w:rsidRPr="00D94792">
        <w:rPr>
          <w:lang w:val="sq-AL"/>
        </w:rPr>
        <w:t xml:space="preserve"> ri-organizimit strukturor t</w:t>
      </w:r>
      <w:r w:rsidR="00DB7941">
        <w:rPr>
          <w:lang w:val="sq-AL"/>
        </w:rPr>
        <w:t>ë</w:t>
      </w:r>
      <w:r w:rsidR="005218A0" w:rsidRPr="00D94792">
        <w:rPr>
          <w:lang w:val="sq-AL"/>
        </w:rPr>
        <w:t xml:space="preserve"> ministrive t</w:t>
      </w:r>
      <w:r w:rsidR="00DB7941">
        <w:rPr>
          <w:lang w:val="sq-AL"/>
        </w:rPr>
        <w:t>ë</w:t>
      </w:r>
      <w:r w:rsidR="005218A0" w:rsidRPr="00D94792">
        <w:rPr>
          <w:lang w:val="sq-AL"/>
        </w:rPr>
        <w:t xml:space="preserve"> linj</w:t>
      </w:r>
      <w:r w:rsidR="00DB7941">
        <w:rPr>
          <w:lang w:val="sq-AL"/>
        </w:rPr>
        <w:t>ë</w:t>
      </w:r>
      <w:r w:rsidR="005218A0" w:rsidRPr="00D94792">
        <w:rPr>
          <w:lang w:val="sq-AL"/>
        </w:rPr>
        <w:t>s.</w:t>
      </w:r>
      <w:r w:rsidR="007057C8">
        <w:rPr>
          <w:lang w:val="sq-AL"/>
        </w:rPr>
        <w:t xml:space="preserve"> </w:t>
      </w:r>
      <w:r w:rsidRPr="00D94792">
        <w:rPr>
          <w:lang w:val="sq-AL"/>
        </w:rPr>
        <w:t xml:space="preserve">Shpenzimet totale për pagat në Administratën Publike janë planifikuar  në masën </w:t>
      </w:r>
      <w:r w:rsidR="005218A0" w:rsidRPr="007057C8">
        <w:rPr>
          <w:lang w:val="sq-AL"/>
        </w:rPr>
        <w:t>79.2</w:t>
      </w:r>
      <w:r w:rsidRPr="007057C8">
        <w:rPr>
          <w:lang w:val="sq-AL"/>
        </w:rPr>
        <w:t xml:space="preserve"> miliardë</w:t>
      </w:r>
      <w:r w:rsidRPr="00D94792">
        <w:rPr>
          <w:lang w:val="sq-AL"/>
        </w:rPr>
        <w:t xml:space="preserve"> lekë.</w:t>
      </w:r>
    </w:p>
    <w:p w:rsidR="00B0121D" w:rsidRPr="004D57A2" w:rsidRDefault="00B0121D" w:rsidP="003C5B4B">
      <w:pPr>
        <w:spacing w:line="276" w:lineRule="auto"/>
        <w:jc w:val="both"/>
        <w:rPr>
          <w:b/>
          <w:sz w:val="16"/>
          <w:szCs w:val="16"/>
          <w:lang w:val="sq-AL"/>
        </w:rPr>
      </w:pPr>
    </w:p>
    <w:p w:rsidR="00B0121D" w:rsidRPr="00D94792" w:rsidRDefault="00B0121D" w:rsidP="003C5B4B">
      <w:pPr>
        <w:spacing w:line="276" w:lineRule="auto"/>
        <w:jc w:val="both"/>
        <w:rPr>
          <w:b/>
          <w:sz w:val="16"/>
          <w:szCs w:val="16"/>
          <w:lang w:val="sq-AL"/>
        </w:rPr>
      </w:pPr>
      <w:r w:rsidRPr="00D94792">
        <w:rPr>
          <w:b/>
          <w:lang w:val="sq-AL"/>
        </w:rPr>
        <w:t xml:space="preserve">Shpenzimet për interesa </w:t>
      </w:r>
      <w:r w:rsidRPr="00D94792">
        <w:rPr>
          <w:lang w:val="sq-AL"/>
        </w:rPr>
        <w:t xml:space="preserve">parashikohen në nivelin </w:t>
      </w:r>
      <w:r w:rsidR="005218A0" w:rsidRPr="007057C8">
        <w:rPr>
          <w:lang w:val="sq-AL"/>
        </w:rPr>
        <w:t>41.5</w:t>
      </w:r>
      <w:r w:rsidRPr="00D94792">
        <w:rPr>
          <w:lang w:val="sq-AL"/>
        </w:rPr>
        <w:t xml:space="preserve"> miliardë lekë ose </w:t>
      </w:r>
      <w:r w:rsidR="005218A0" w:rsidRPr="007057C8">
        <w:rPr>
          <w:lang w:val="sq-AL"/>
        </w:rPr>
        <w:t>2.5</w:t>
      </w:r>
      <w:r w:rsidRPr="007057C8">
        <w:rPr>
          <w:lang w:val="sq-AL"/>
        </w:rPr>
        <w:t>%</w:t>
      </w:r>
      <w:r w:rsidRPr="00D94792">
        <w:rPr>
          <w:lang w:val="sq-AL"/>
        </w:rPr>
        <w:t xml:space="preserve">  të PBB, bazuar në  pritshmëritë për </w:t>
      </w:r>
      <w:r w:rsidR="001916E1">
        <w:rPr>
          <w:lang w:val="sq-AL"/>
        </w:rPr>
        <w:t>ecurinë</w:t>
      </w:r>
      <w:r w:rsidRPr="00D94792">
        <w:rPr>
          <w:lang w:val="sq-AL"/>
        </w:rPr>
        <w:t xml:space="preserve"> e normave të interesit. </w:t>
      </w:r>
    </w:p>
    <w:p w:rsidR="00B0121D" w:rsidRPr="004D57A2" w:rsidRDefault="00B0121D" w:rsidP="003C5B4B">
      <w:pPr>
        <w:spacing w:line="276" w:lineRule="auto"/>
        <w:jc w:val="both"/>
        <w:rPr>
          <w:b/>
          <w:sz w:val="16"/>
          <w:szCs w:val="16"/>
          <w:lang w:val="sq-AL"/>
        </w:rPr>
      </w:pPr>
    </w:p>
    <w:p w:rsidR="00B0121D" w:rsidRPr="00D94792" w:rsidRDefault="00B0121D" w:rsidP="003C5B4B">
      <w:pPr>
        <w:spacing w:line="276" w:lineRule="auto"/>
        <w:jc w:val="both"/>
        <w:rPr>
          <w:lang w:val="sq-AL"/>
        </w:rPr>
      </w:pPr>
      <w:r w:rsidRPr="00D94792">
        <w:rPr>
          <w:b/>
          <w:lang w:val="sq-AL"/>
        </w:rPr>
        <w:t>Shpenzimet operative dhe të mirëmbajtjes për qeverisjen qendrore</w:t>
      </w:r>
      <w:r w:rsidRPr="00D94792">
        <w:rPr>
          <w:lang w:val="sq-AL"/>
        </w:rPr>
        <w:t xml:space="preserve"> për vitin 201</w:t>
      </w:r>
      <w:r w:rsidR="005218A0" w:rsidRPr="00D94792">
        <w:rPr>
          <w:lang w:val="sq-AL"/>
        </w:rPr>
        <w:t>8</w:t>
      </w:r>
      <w:r w:rsidRPr="00D94792">
        <w:rPr>
          <w:lang w:val="sq-AL"/>
        </w:rPr>
        <w:t xml:space="preserve"> (</w:t>
      </w:r>
      <w:r w:rsidRPr="00D94792">
        <w:rPr>
          <w:i/>
          <w:lang w:val="sq-AL"/>
        </w:rPr>
        <w:t>pa përfshirë shpenzimet që realizohen nga institucione publike, që kanë si burim financimi të ardhurat jashtë limitit</w:t>
      </w:r>
      <w:r w:rsidRPr="00D94792">
        <w:rPr>
          <w:lang w:val="sq-AL"/>
        </w:rPr>
        <w:t xml:space="preserve">), janë parashikuar në masën </w:t>
      </w:r>
      <w:r w:rsidR="005218A0" w:rsidRPr="007057C8">
        <w:rPr>
          <w:lang w:val="sq-AL"/>
        </w:rPr>
        <w:t>41.</w:t>
      </w:r>
      <w:r w:rsidR="00DF127A">
        <w:rPr>
          <w:lang w:val="sq-AL"/>
        </w:rPr>
        <w:t>4</w:t>
      </w:r>
      <w:r w:rsidRPr="00D94792">
        <w:rPr>
          <w:lang w:val="sq-AL"/>
        </w:rPr>
        <w:t xml:space="preserve"> miliardë lekë ose rreth </w:t>
      </w:r>
      <w:r w:rsidRPr="007057C8">
        <w:rPr>
          <w:lang w:val="sq-AL"/>
        </w:rPr>
        <w:t>2.</w:t>
      </w:r>
      <w:r w:rsidR="007057C8">
        <w:rPr>
          <w:lang w:val="sq-AL"/>
        </w:rPr>
        <w:t>5</w:t>
      </w:r>
      <w:r w:rsidR="002B6A0D" w:rsidRPr="007057C8">
        <w:rPr>
          <w:lang w:val="sq-AL"/>
        </w:rPr>
        <w:t xml:space="preserve">% </w:t>
      </w:r>
      <w:r w:rsidRPr="007057C8">
        <w:rPr>
          <w:lang w:val="sq-AL"/>
        </w:rPr>
        <w:t xml:space="preserve"> e PBB-së</w:t>
      </w:r>
      <w:r w:rsidRPr="00D94792">
        <w:rPr>
          <w:lang w:val="sq-AL"/>
        </w:rPr>
        <w:t xml:space="preserve">. </w:t>
      </w:r>
    </w:p>
    <w:p w:rsidR="00B0121D" w:rsidRPr="00D94792" w:rsidRDefault="00B0121D" w:rsidP="003C5B4B">
      <w:pPr>
        <w:spacing w:line="276" w:lineRule="auto"/>
        <w:jc w:val="both"/>
        <w:rPr>
          <w:b/>
          <w:sz w:val="16"/>
          <w:szCs w:val="16"/>
          <w:lang w:val="sq-AL"/>
        </w:rPr>
      </w:pPr>
    </w:p>
    <w:p w:rsidR="00B0121D" w:rsidRPr="00D94792" w:rsidRDefault="00B0121D" w:rsidP="003C5B4B">
      <w:pPr>
        <w:spacing w:line="276" w:lineRule="auto"/>
        <w:jc w:val="both"/>
        <w:rPr>
          <w:i/>
          <w:lang w:val="sq-AL"/>
        </w:rPr>
      </w:pPr>
      <w:r w:rsidRPr="00D94792">
        <w:rPr>
          <w:b/>
          <w:lang w:val="sq-AL"/>
        </w:rPr>
        <w:t>Shpenzimet e buxhetit vendor për vitin 201</w:t>
      </w:r>
      <w:r w:rsidR="005732F1" w:rsidRPr="00D94792">
        <w:rPr>
          <w:b/>
          <w:lang w:val="sq-AL"/>
        </w:rPr>
        <w:t xml:space="preserve">8 </w:t>
      </w:r>
      <w:r w:rsidRPr="00D94792">
        <w:rPr>
          <w:lang w:val="sq-AL"/>
        </w:rPr>
        <w:t xml:space="preserve">janë parashikuar në masën </w:t>
      </w:r>
      <w:r w:rsidR="000814B0" w:rsidRPr="007057C8">
        <w:rPr>
          <w:lang w:val="sq-AL"/>
        </w:rPr>
        <w:t>46</w:t>
      </w:r>
      <w:r w:rsidR="00B80B98">
        <w:rPr>
          <w:lang w:val="sq-AL"/>
        </w:rPr>
        <w:t>.1</w:t>
      </w:r>
      <w:r w:rsidRPr="007057C8">
        <w:rPr>
          <w:lang w:val="sq-AL"/>
        </w:rPr>
        <w:t xml:space="preserve"> miliardë lekë ose </w:t>
      </w:r>
      <w:r w:rsidR="000814B0" w:rsidRPr="007057C8">
        <w:rPr>
          <w:lang w:val="sq-AL"/>
        </w:rPr>
        <w:t>2.8</w:t>
      </w:r>
      <w:r w:rsidRPr="007057C8">
        <w:rPr>
          <w:lang w:val="sq-AL"/>
        </w:rPr>
        <w:t>%</w:t>
      </w:r>
      <w:r w:rsidRPr="00D94792">
        <w:rPr>
          <w:lang w:val="sq-AL"/>
        </w:rPr>
        <w:t xml:space="preserve"> e PBB-së. Në këtë zë është përllogaritur rritja e transfertës së pakushtëzuar për njësitë vendore, dhe </w:t>
      </w:r>
      <w:r w:rsidR="000814B0" w:rsidRPr="00D94792">
        <w:rPr>
          <w:lang w:val="sq-AL"/>
        </w:rPr>
        <w:t>e grantit specifik</w:t>
      </w:r>
      <w:r w:rsidR="005838CF" w:rsidRPr="00D94792">
        <w:rPr>
          <w:lang w:val="sq-AL"/>
        </w:rPr>
        <w:t xml:space="preserve"> </w:t>
      </w:r>
      <w:r w:rsidR="000D7F46" w:rsidRPr="00D94792">
        <w:rPr>
          <w:lang w:val="sq-AL"/>
        </w:rPr>
        <w:t>si dhe rritja e</w:t>
      </w:r>
      <w:r w:rsidR="005838CF" w:rsidRPr="00D94792">
        <w:rPr>
          <w:lang w:val="sq-AL"/>
        </w:rPr>
        <w:t xml:space="preserve"> t</w:t>
      </w:r>
      <w:r w:rsidR="00DB7941">
        <w:rPr>
          <w:lang w:val="sq-AL"/>
        </w:rPr>
        <w:t>ë</w:t>
      </w:r>
      <w:r w:rsidR="005838CF" w:rsidRPr="00D94792">
        <w:rPr>
          <w:lang w:val="sq-AL"/>
        </w:rPr>
        <w:t xml:space="preserve"> ardhurave t</w:t>
      </w:r>
      <w:r w:rsidR="00DB7941">
        <w:rPr>
          <w:lang w:val="sq-AL"/>
        </w:rPr>
        <w:t>ë</w:t>
      </w:r>
      <w:r w:rsidR="005838CF" w:rsidRPr="00D94792">
        <w:rPr>
          <w:lang w:val="sq-AL"/>
        </w:rPr>
        <w:t xml:space="preserve"> veta</w:t>
      </w:r>
      <w:r w:rsidRPr="00D94792">
        <w:rPr>
          <w:lang w:val="sq-AL"/>
        </w:rPr>
        <w:t xml:space="preserve">. Shpenzimet e buxhetit vendor janë </w:t>
      </w:r>
      <w:r w:rsidR="000814B0" w:rsidRPr="007057C8">
        <w:rPr>
          <w:lang w:val="sq-AL"/>
        </w:rPr>
        <w:t>7.</w:t>
      </w:r>
      <w:r w:rsidR="00B80B98">
        <w:rPr>
          <w:lang w:val="sq-AL"/>
        </w:rPr>
        <w:t>5</w:t>
      </w:r>
      <w:r w:rsidRPr="007057C8">
        <w:rPr>
          <w:lang w:val="sq-AL"/>
        </w:rPr>
        <w:t>%</w:t>
      </w:r>
      <w:r w:rsidRPr="00D94792">
        <w:rPr>
          <w:lang w:val="sq-AL"/>
        </w:rPr>
        <w:t xml:space="preserve"> më të larta se ato </w:t>
      </w:r>
      <w:r w:rsidR="000D7F46" w:rsidRPr="00D94792">
        <w:rPr>
          <w:lang w:val="sq-AL"/>
        </w:rPr>
        <w:t>t</w:t>
      </w:r>
      <w:r w:rsidR="00DB7941">
        <w:rPr>
          <w:lang w:val="sq-AL"/>
        </w:rPr>
        <w:t>ë</w:t>
      </w:r>
      <w:r w:rsidR="000D7F46" w:rsidRPr="00D94792">
        <w:rPr>
          <w:lang w:val="sq-AL"/>
        </w:rPr>
        <w:t xml:space="preserve"> </w:t>
      </w:r>
      <w:r w:rsidR="00173FDD" w:rsidRPr="00D94792">
        <w:rPr>
          <w:lang w:val="sq-AL"/>
        </w:rPr>
        <w:t>aktit normativ p</w:t>
      </w:r>
      <w:r w:rsidR="00DB7941">
        <w:rPr>
          <w:lang w:val="sq-AL"/>
        </w:rPr>
        <w:t>ë</w:t>
      </w:r>
      <w:r w:rsidR="00173FDD" w:rsidRPr="00D94792">
        <w:rPr>
          <w:lang w:val="sq-AL"/>
        </w:rPr>
        <w:t>r vitin</w:t>
      </w:r>
      <w:r w:rsidRPr="00D94792">
        <w:rPr>
          <w:lang w:val="sq-AL"/>
        </w:rPr>
        <w:t xml:space="preserve"> 201</w:t>
      </w:r>
      <w:r w:rsidR="000814B0" w:rsidRPr="00D94792">
        <w:rPr>
          <w:lang w:val="sq-AL"/>
        </w:rPr>
        <w:t>7</w:t>
      </w:r>
      <w:r w:rsidRPr="00D94792">
        <w:rPr>
          <w:lang w:val="sq-AL"/>
        </w:rPr>
        <w:t xml:space="preserve">. </w:t>
      </w:r>
      <w:r w:rsidR="001916E1" w:rsidRPr="001916E1">
        <w:rPr>
          <w:lang w:val="sq-AL"/>
        </w:rPr>
        <w:t>Ky nivel shpenzimesh krahas financimit nga buxheti</w:t>
      </w:r>
      <w:r w:rsidRPr="00D94792">
        <w:rPr>
          <w:lang w:val="sq-AL"/>
        </w:rPr>
        <w:t xml:space="preserve">, </w:t>
      </w:r>
      <w:r w:rsidR="001916E1">
        <w:rPr>
          <w:lang w:val="sq-AL"/>
        </w:rPr>
        <w:t>parashikohet të mbështetet dhe në</w:t>
      </w:r>
      <w:r w:rsidR="001916E1" w:rsidRPr="00D94792">
        <w:rPr>
          <w:lang w:val="sq-AL"/>
        </w:rPr>
        <w:t xml:space="preserve"> rritj</w:t>
      </w:r>
      <w:r w:rsidR="001916E1">
        <w:rPr>
          <w:lang w:val="sq-AL"/>
        </w:rPr>
        <w:t>en</w:t>
      </w:r>
      <w:r w:rsidR="001916E1" w:rsidRPr="00D94792">
        <w:rPr>
          <w:lang w:val="sq-AL"/>
        </w:rPr>
        <w:t xml:space="preserve"> e të ardhurave nga taksat dhe tarifat vendore në masën</w:t>
      </w:r>
      <w:r w:rsidRPr="00D94792">
        <w:rPr>
          <w:lang w:val="sq-AL"/>
        </w:rPr>
        <w:t xml:space="preserve"> </w:t>
      </w:r>
      <w:r w:rsidR="000814B0" w:rsidRPr="007057C8">
        <w:rPr>
          <w:lang w:val="sq-AL"/>
        </w:rPr>
        <w:t xml:space="preserve">1.3 </w:t>
      </w:r>
      <w:r w:rsidRPr="007057C8">
        <w:rPr>
          <w:lang w:val="sq-AL"/>
        </w:rPr>
        <w:t>m</w:t>
      </w:r>
      <w:r w:rsidR="000814B0" w:rsidRPr="007057C8">
        <w:rPr>
          <w:lang w:val="sq-AL"/>
        </w:rPr>
        <w:t>iliard</w:t>
      </w:r>
      <w:r w:rsidR="00DB7941" w:rsidRPr="007057C8">
        <w:rPr>
          <w:lang w:val="sq-AL"/>
        </w:rPr>
        <w:t>ë</w:t>
      </w:r>
      <w:r w:rsidR="000814B0" w:rsidRPr="00D94792">
        <w:rPr>
          <w:lang w:val="sq-AL"/>
        </w:rPr>
        <w:t xml:space="preserve"> </w:t>
      </w:r>
      <w:r w:rsidRPr="00D94792">
        <w:rPr>
          <w:lang w:val="sq-AL"/>
        </w:rPr>
        <w:t>lekë</w:t>
      </w:r>
      <w:r w:rsidR="001916E1">
        <w:rPr>
          <w:lang w:val="sq-AL"/>
        </w:rPr>
        <w:t>,</w:t>
      </w:r>
      <w:r w:rsidR="00627984" w:rsidRPr="00D94792">
        <w:rPr>
          <w:lang w:val="sq-AL"/>
        </w:rPr>
        <w:t xml:space="preserve"> </w:t>
      </w:r>
      <w:r w:rsidR="001916E1">
        <w:rPr>
          <w:lang w:val="sq-AL"/>
        </w:rPr>
        <w:t>kryesisht si rrjedhojë i përmirësimit të</w:t>
      </w:r>
      <w:r w:rsidR="001916E1" w:rsidRPr="00D94792">
        <w:rPr>
          <w:lang w:val="sq-AL"/>
        </w:rPr>
        <w:t xml:space="preserve"> tak</w:t>
      </w:r>
      <w:r w:rsidR="001916E1">
        <w:rPr>
          <w:lang w:val="sq-AL"/>
        </w:rPr>
        <w:t>ë</w:t>
      </w:r>
      <w:r w:rsidR="001916E1" w:rsidRPr="00D94792">
        <w:rPr>
          <w:lang w:val="sq-AL"/>
        </w:rPr>
        <w:t>s mbi pron</w:t>
      </w:r>
      <w:r w:rsidR="001916E1">
        <w:rPr>
          <w:lang w:val="sq-AL"/>
        </w:rPr>
        <w:t>ë</w:t>
      </w:r>
      <w:r w:rsidR="001916E1" w:rsidRPr="00D94792">
        <w:rPr>
          <w:lang w:val="sq-AL"/>
        </w:rPr>
        <w:t>n</w:t>
      </w:r>
      <w:r w:rsidRPr="00D94792">
        <w:rPr>
          <w:lang w:val="sq-AL"/>
        </w:rPr>
        <w:t xml:space="preserve">. </w:t>
      </w:r>
    </w:p>
    <w:p w:rsidR="00B0121D" w:rsidRPr="00D94792" w:rsidRDefault="00B0121D" w:rsidP="003C5B4B">
      <w:pPr>
        <w:spacing w:line="276" w:lineRule="auto"/>
        <w:jc w:val="both"/>
        <w:rPr>
          <w:b/>
          <w:sz w:val="16"/>
          <w:szCs w:val="16"/>
          <w:lang w:val="sq-AL"/>
        </w:rPr>
      </w:pPr>
    </w:p>
    <w:p w:rsidR="00B0121D" w:rsidRPr="00D94792" w:rsidRDefault="00B0121D" w:rsidP="003C5B4B">
      <w:pPr>
        <w:spacing w:line="276" w:lineRule="auto"/>
        <w:jc w:val="both"/>
        <w:rPr>
          <w:lang w:val="sq-AL"/>
        </w:rPr>
      </w:pPr>
      <w:r w:rsidRPr="00D94792">
        <w:rPr>
          <w:b/>
          <w:lang w:val="sq-AL"/>
        </w:rPr>
        <w:t>Shpenzimet e fondeve speciale.</w:t>
      </w:r>
      <w:r w:rsidRPr="00D94792">
        <w:rPr>
          <w:lang w:val="sq-AL"/>
        </w:rPr>
        <w:t xml:space="preserve"> Këtu përfshihen shpenzimet totale për Fondet e Sigurimeve Shoqërore, Shëndetësore dhe kompensimin në vlerë të ish-pronarëve, të cilat kapin një vlerë prej </w:t>
      </w:r>
      <w:r w:rsidR="007057C8">
        <w:rPr>
          <w:lang w:val="sq-AL"/>
        </w:rPr>
        <w:t>170.5</w:t>
      </w:r>
      <w:r w:rsidR="0091073D" w:rsidRPr="00D94792">
        <w:rPr>
          <w:lang w:val="sq-AL"/>
        </w:rPr>
        <w:t xml:space="preserve"> </w:t>
      </w:r>
      <w:r w:rsidRPr="00D94792">
        <w:rPr>
          <w:lang w:val="sq-AL"/>
        </w:rPr>
        <w:t xml:space="preserve">miliardë lekë. Niveli i shpenzimeve për </w:t>
      </w:r>
      <w:r w:rsidRPr="00D94792">
        <w:rPr>
          <w:i/>
          <w:u w:val="single"/>
          <w:lang w:val="sq-AL"/>
        </w:rPr>
        <w:t>Skemën e Sigurimeve Shoqërore</w:t>
      </w:r>
      <w:r w:rsidRPr="00D94792">
        <w:rPr>
          <w:lang w:val="sq-AL"/>
        </w:rPr>
        <w:t xml:space="preserve"> për vitin 201</w:t>
      </w:r>
      <w:r w:rsidR="0091073D" w:rsidRPr="00D94792">
        <w:rPr>
          <w:lang w:val="sq-AL"/>
        </w:rPr>
        <w:t>8</w:t>
      </w:r>
      <w:r w:rsidRPr="00D94792">
        <w:rPr>
          <w:lang w:val="sq-AL"/>
        </w:rPr>
        <w:t xml:space="preserve">, parashikohet në masën </w:t>
      </w:r>
      <w:r w:rsidR="007057C8">
        <w:rPr>
          <w:lang w:val="sq-AL"/>
        </w:rPr>
        <w:t>126.1</w:t>
      </w:r>
      <w:r w:rsidRPr="00D94792">
        <w:rPr>
          <w:lang w:val="sq-AL"/>
        </w:rPr>
        <w:t xml:space="preserve"> miliardë lekë ose 7.</w:t>
      </w:r>
      <w:r w:rsidR="007057C8">
        <w:rPr>
          <w:lang w:val="sq-AL"/>
        </w:rPr>
        <w:t>6</w:t>
      </w:r>
      <w:r w:rsidRPr="00D94792">
        <w:rPr>
          <w:lang w:val="sq-AL"/>
        </w:rPr>
        <w:t xml:space="preserve">% e PBB, nga e cila për rritjen e pensioneve është parashikuar një fond prej </w:t>
      </w:r>
      <w:r w:rsidR="007057C8">
        <w:rPr>
          <w:lang w:val="sq-AL"/>
        </w:rPr>
        <w:t>1</w:t>
      </w:r>
      <w:r w:rsidRPr="00D94792">
        <w:rPr>
          <w:lang w:val="sq-AL"/>
        </w:rPr>
        <w:t>.</w:t>
      </w:r>
      <w:r w:rsidR="0091073D" w:rsidRPr="00D94792">
        <w:rPr>
          <w:lang w:val="sq-AL"/>
        </w:rPr>
        <w:t>8</w:t>
      </w:r>
      <w:r w:rsidR="004D57A2">
        <w:rPr>
          <w:lang w:val="sq-AL"/>
        </w:rPr>
        <w:t xml:space="preserve"> miliardë lekë. </w:t>
      </w:r>
      <w:r w:rsidRPr="00D94792">
        <w:rPr>
          <w:lang w:val="sq-AL"/>
        </w:rPr>
        <w:t xml:space="preserve">Ndërsa, shpenzimet e </w:t>
      </w:r>
      <w:r w:rsidRPr="00D94792">
        <w:rPr>
          <w:i/>
          <w:u w:val="single"/>
          <w:lang w:val="sq-AL"/>
        </w:rPr>
        <w:t>Skemës së Sigurimeve të Kujdesit Shëndetësor</w:t>
      </w:r>
      <w:r w:rsidRPr="00D94792">
        <w:rPr>
          <w:lang w:val="sq-AL"/>
        </w:rPr>
        <w:t xml:space="preserve"> për vitin 201</w:t>
      </w:r>
      <w:r w:rsidR="0091073D" w:rsidRPr="00D94792">
        <w:rPr>
          <w:lang w:val="sq-AL"/>
        </w:rPr>
        <w:t>8</w:t>
      </w:r>
      <w:r w:rsidRPr="00D94792">
        <w:rPr>
          <w:lang w:val="sq-AL"/>
        </w:rPr>
        <w:t xml:space="preserve"> janë parashikuar në masën </w:t>
      </w:r>
      <w:r w:rsidR="0091073D" w:rsidRPr="00D94792">
        <w:rPr>
          <w:lang w:val="sq-AL"/>
        </w:rPr>
        <w:t>40.4</w:t>
      </w:r>
      <w:r w:rsidRPr="00D94792">
        <w:rPr>
          <w:lang w:val="sq-AL"/>
        </w:rPr>
        <w:t xml:space="preserve"> miliardë lekë ose 2.4% e PBB. Së fundi, shpenzimet për </w:t>
      </w:r>
      <w:r w:rsidRPr="00D94792">
        <w:rPr>
          <w:i/>
          <w:u w:val="single"/>
          <w:lang w:val="sq-AL"/>
        </w:rPr>
        <w:t>Fondin e</w:t>
      </w:r>
      <w:r w:rsidRPr="00D94792">
        <w:rPr>
          <w:u w:val="single"/>
          <w:lang w:val="sq-AL"/>
        </w:rPr>
        <w:t xml:space="preserve"> </w:t>
      </w:r>
      <w:r w:rsidRPr="00D94792">
        <w:rPr>
          <w:i/>
          <w:u w:val="single"/>
          <w:lang w:val="sq-AL"/>
        </w:rPr>
        <w:t>Kompensimit në vlerë të Pronarëve</w:t>
      </w:r>
      <w:r w:rsidRPr="00D94792">
        <w:rPr>
          <w:u w:val="single"/>
          <w:lang w:val="sq-AL"/>
        </w:rPr>
        <w:t>,</w:t>
      </w:r>
      <w:r w:rsidRPr="00D94792">
        <w:rPr>
          <w:lang w:val="sq-AL"/>
        </w:rPr>
        <w:t xml:space="preserve"> parashikohen në total në masën </w:t>
      </w:r>
      <w:r w:rsidR="0091073D" w:rsidRPr="00D94792">
        <w:rPr>
          <w:lang w:val="sq-AL"/>
        </w:rPr>
        <w:t>4</w:t>
      </w:r>
      <w:r w:rsidRPr="00D94792">
        <w:rPr>
          <w:lang w:val="sq-AL"/>
        </w:rPr>
        <w:t xml:space="preserve"> miliardë lekë ose 0.2% e PBB.</w:t>
      </w:r>
    </w:p>
    <w:p w:rsidR="00B0121D" w:rsidRPr="00D94792" w:rsidRDefault="00B0121D" w:rsidP="003C5B4B">
      <w:pPr>
        <w:spacing w:line="276" w:lineRule="auto"/>
        <w:jc w:val="both"/>
        <w:rPr>
          <w:b/>
          <w:sz w:val="16"/>
          <w:szCs w:val="16"/>
          <w:lang w:val="sq-AL"/>
        </w:rPr>
      </w:pPr>
    </w:p>
    <w:p w:rsidR="00B0121D" w:rsidRPr="00D94792" w:rsidRDefault="00B0121D" w:rsidP="003C5B4B">
      <w:pPr>
        <w:spacing w:line="276" w:lineRule="auto"/>
        <w:jc w:val="both"/>
        <w:rPr>
          <w:lang w:val="sq-AL"/>
        </w:rPr>
      </w:pPr>
      <w:r w:rsidRPr="00D94792">
        <w:rPr>
          <w:b/>
          <w:lang w:val="sq-AL"/>
        </w:rPr>
        <w:t>Shpenzime të tjera sociale.</w:t>
      </w:r>
      <w:r w:rsidRPr="00D94792">
        <w:rPr>
          <w:lang w:val="sq-AL"/>
        </w:rPr>
        <w:t xml:space="preserve"> Këtu përfshihen fondet për pagesën e papunësisë, aftësisë së kufizuar, ndihmës ekonomike dhe dëmshpërblimin e ish-të përndjekurve politikë.</w:t>
      </w:r>
    </w:p>
    <w:p w:rsidR="00B0121D" w:rsidRPr="004D57A2" w:rsidRDefault="00B0121D" w:rsidP="003C5B4B">
      <w:pPr>
        <w:spacing w:line="276" w:lineRule="auto"/>
        <w:jc w:val="both"/>
        <w:rPr>
          <w:sz w:val="16"/>
          <w:szCs w:val="16"/>
          <w:lang w:val="sq-AL"/>
        </w:rPr>
      </w:pPr>
    </w:p>
    <w:p w:rsidR="00B0121D" w:rsidRPr="00D94792" w:rsidRDefault="00B0121D" w:rsidP="00D55E95">
      <w:pPr>
        <w:numPr>
          <w:ilvl w:val="0"/>
          <w:numId w:val="4"/>
        </w:numPr>
        <w:spacing w:line="276" w:lineRule="auto"/>
        <w:jc w:val="both"/>
        <w:rPr>
          <w:lang w:val="sq-AL"/>
        </w:rPr>
      </w:pPr>
      <w:r w:rsidRPr="00D94792">
        <w:rPr>
          <w:lang w:val="sq-AL"/>
        </w:rPr>
        <w:t>Shpenzimet për pagesën e papunësisë parashikohen në niveli</w:t>
      </w:r>
      <w:r w:rsidR="00A86F67">
        <w:rPr>
          <w:lang w:val="sq-AL"/>
        </w:rPr>
        <w:t>n 800 milionë lekë.</w:t>
      </w:r>
    </w:p>
    <w:p w:rsidR="00B0121D" w:rsidRPr="00D94792" w:rsidRDefault="00B0121D" w:rsidP="00D55E95">
      <w:pPr>
        <w:numPr>
          <w:ilvl w:val="0"/>
          <w:numId w:val="4"/>
        </w:numPr>
        <w:spacing w:line="276" w:lineRule="auto"/>
        <w:jc w:val="both"/>
        <w:rPr>
          <w:lang w:val="sq-AL"/>
        </w:rPr>
      </w:pPr>
      <w:r w:rsidRPr="00D94792">
        <w:rPr>
          <w:lang w:val="sq-AL"/>
        </w:rPr>
        <w:t xml:space="preserve">Shpenzimet për pagesën e ndihmës ekonomike dhe aftësisë së kufizuar parashikohen në nivelin 20.5 miliardë lekë, në të njëjtin nivel si vitin e kaluar. </w:t>
      </w:r>
    </w:p>
    <w:p w:rsidR="00B0121D" w:rsidRPr="00D94792" w:rsidRDefault="00B0121D" w:rsidP="00D55E95">
      <w:pPr>
        <w:numPr>
          <w:ilvl w:val="0"/>
          <w:numId w:val="4"/>
        </w:numPr>
        <w:spacing w:line="276" w:lineRule="auto"/>
        <w:jc w:val="both"/>
        <w:rPr>
          <w:lang w:val="sq-AL"/>
        </w:rPr>
      </w:pPr>
      <w:r w:rsidRPr="00D94792">
        <w:rPr>
          <w:lang w:val="sq-AL"/>
        </w:rPr>
        <w:t xml:space="preserve">Për ish-të përndjekurit është parashikuar një fond prej 2 miliardë lekë ose 0.1% e PBB. </w:t>
      </w:r>
    </w:p>
    <w:p w:rsidR="00B0121D" w:rsidRPr="00D94792" w:rsidRDefault="00B0121D" w:rsidP="003C5B4B">
      <w:pPr>
        <w:spacing w:line="276" w:lineRule="auto"/>
        <w:jc w:val="both"/>
        <w:rPr>
          <w:b/>
          <w:sz w:val="16"/>
          <w:szCs w:val="16"/>
          <w:lang w:val="sq-AL"/>
        </w:rPr>
      </w:pPr>
    </w:p>
    <w:p w:rsidR="00B0121D" w:rsidRPr="00D94792" w:rsidRDefault="00B0121D" w:rsidP="003C5B4B">
      <w:pPr>
        <w:spacing w:line="276" w:lineRule="auto"/>
        <w:jc w:val="both"/>
        <w:rPr>
          <w:b/>
          <w:sz w:val="16"/>
          <w:szCs w:val="16"/>
          <w:lang w:val="sq-AL"/>
        </w:rPr>
      </w:pPr>
      <w:r w:rsidRPr="00D94792">
        <w:rPr>
          <w:b/>
          <w:lang w:val="sq-AL"/>
        </w:rPr>
        <w:t>Shpenzimet për subvencione</w:t>
      </w:r>
      <w:r w:rsidRPr="00D94792">
        <w:rPr>
          <w:lang w:val="sq-AL"/>
        </w:rPr>
        <w:t xml:space="preserve"> janë parashikuar në masën 2.</w:t>
      </w:r>
      <w:r w:rsidR="007057C8">
        <w:rPr>
          <w:lang w:val="sq-AL"/>
        </w:rPr>
        <w:t>02</w:t>
      </w:r>
      <w:r w:rsidRPr="00D94792">
        <w:rPr>
          <w:lang w:val="sq-AL"/>
        </w:rPr>
        <w:t xml:space="preserve"> miliardë lekë. </w:t>
      </w:r>
      <w:r w:rsidR="0091073D" w:rsidRPr="00D94792">
        <w:rPr>
          <w:lang w:val="sq-AL"/>
        </w:rPr>
        <w:t>Ky fond</w:t>
      </w:r>
      <w:r w:rsidRPr="00D94792">
        <w:rPr>
          <w:lang w:val="sq-AL"/>
        </w:rPr>
        <w:t xml:space="preserve"> shkon për të mbuluar </w:t>
      </w:r>
      <w:r w:rsidR="0091073D" w:rsidRPr="00D94792">
        <w:rPr>
          <w:lang w:val="sq-AL"/>
        </w:rPr>
        <w:t>reformën e sektorit t</w:t>
      </w:r>
      <w:r w:rsidR="00DB7941">
        <w:rPr>
          <w:lang w:val="sq-AL"/>
        </w:rPr>
        <w:t>ë</w:t>
      </w:r>
      <w:r w:rsidR="0091073D" w:rsidRPr="00D94792">
        <w:rPr>
          <w:lang w:val="sq-AL"/>
        </w:rPr>
        <w:t xml:space="preserve"> ujësjellës-kanalizimeve, </w:t>
      </w:r>
      <w:r w:rsidRPr="00D94792">
        <w:rPr>
          <w:lang w:val="sq-AL"/>
        </w:rPr>
        <w:t>një pjesë të shpenzime</w:t>
      </w:r>
      <w:r w:rsidR="007057C8">
        <w:rPr>
          <w:lang w:val="sq-AL"/>
        </w:rPr>
        <w:t>ve të veprimtarisë hekurudhore</w:t>
      </w:r>
      <w:r w:rsidRPr="00D94792">
        <w:rPr>
          <w:lang w:val="sq-AL"/>
        </w:rPr>
        <w:t>, veprimtarinë e shërbimeve qeveritare dhe nxitjen e punësimit.</w:t>
      </w:r>
    </w:p>
    <w:p w:rsidR="00B0121D" w:rsidRPr="004D57A2" w:rsidRDefault="00B0121D" w:rsidP="003C5B4B">
      <w:pPr>
        <w:spacing w:line="276" w:lineRule="auto"/>
        <w:jc w:val="both"/>
        <w:rPr>
          <w:b/>
          <w:sz w:val="16"/>
          <w:szCs w:val="16"/>
          <w:lang w:val="sq-AL"/>
        </w:rPr>
      </w:pPr>
    </w:p>
    <w:p w:rsidR="00B0121D" w:rsidRPr="00D94792" w:rsidRDefault="00B0121D" w:rsidP="003C5B4B">
      <w:pPr>
        <w:spacing w:line="276" w:lineRule="auto"/>
        <w:jc w:val="both"/>
        <w:rPr>
          <w:lang w:val="sq-AL"/>
        </w:rPr>
      </w:pPr>
      <w:r w:rsidRPr="00D94792">
        <w:rPr>
          <w:b/>
          <w:lang w:val="sq-AL"/>
        </w:rPr>
        <w:t xml:space="preserve">Niveli i Fondit Rezervë </w:t>
      </w:r>
      <w:r w:rsidRPr="00D94792">
        <w:rPr>
          <w:lang w:val="sq-AL"/>
        </w:rPr>
        <w:t>për vitin 201</w:t>
      </w:r>
      <w:r w:rsidR="0091073D" w:rsidRPr="00D94792">
        <w:rPr>
          <w:lang w:val="sq-AL"/>
        </w:rPr>
        <w:t>8</w:t>
      </w:r>
      <w:r w:rsidRPr="00D94792">
        <w:rPr>
          <w:lang w:val="sq-AL"/>
        </w:rPr>
        <w:t xml:space="preserve">, parashikohet të jetë në masën </w:t>
      </w:r>
      <w:r w:rsidR="0091073D" w:rsidRPr="00D94792">
        <w:rPr>
          <w:lang w:val="sq-AL"/>
        </w:rPr>
        <w:t>2.7</w:t>
      </w:r>
      <w:r w:rsidRPr="00D94792">
        <w:rPr>
          <w:lang w:val="sq-AL"/>
        </w:rPr>
        <w:t xml:space="preserve"> miliardë lekë, përkatësisht 1</w:t>
      </w:r>
      <w:r w:rsidR="0091073D" w:rsidRPr="00D94792">
        <w:rPr>
          <w:lang w:val="sq-AL"/>
        </w:rPr>
        <w:t>.</w:t>
      </w:r>
      <w:r w:rsidR="00147AD4">
        <w:rPr>
          <w:lang w:val="sq-AL"/>
        </w:rPr>
        <w:t>7</w:t>
      </w:r>
      <w:r w:rsidR="000152A7">
        <w:rPr>
          <w:lang w:val="sq-AL"/>
        </w:rPr>
        <w:t xml:space="preserve"> </w:t>
      </w:r>
      <w:r w:rsidRPr="00D94792">
        <w:rPr>
          <w:lang w:val="sq-AL"/>
        </w:rPr>
        <w:t>miliard</w:t>
      </w:r>
      <w:r w:rsidR="000152A7">
        <w:rPr>
          <w:lang w:val="sq-AL"/>
        </w:rPr>
        <w:t>ë</w:t>
      </w:r>
      <w:r w:rsidRPr="00D94792">
        <w:rPr>
          <w:lang w:val="sq-AL"/>
        </w:rPr>
        <w:t xml:space="preserve"> lekë Fond Rezervë i Këshillit të Ministrave dhe </w:t>
      </w:r>
      <w:r w:rsidR="0091073D" w:rsidRPr="00D94792">
        <w:rPr>
          <w:lang w:val="sq-AL"/>
        </w:rPr>
        <w:t>1</w:t>
      </w:r>
      <w:r w:rsidR="00147AD4">
        <w:rPr>
          <w:lang w:val="sq-AL"/>
        </w:rPr>
        <w:t xml:space="preserve"> </w:t>
      </w:r>
      <w:r w:rsidR="0091073D" w:rsidRPr="00D94792">
        <w:rPr>
          <w:lang w:val="sq-AL"/>
        </w:rPr>
        <w:t>miliard</w:t>
      </w:r>
      <w:r w:rsidR="00DB7941">
        <w:rPr>
          <w:lang w:val="sq-AL"/>
        </w:rPr>
        <w:t>ë</w:t>
      </w:r>
      <w:r w:rsidR="0091073D" w:rsidRPr="00D94792">
        <w:rPr>
          <w:lang w:val="sq-AL"/>
        </w:rPr>
        <w:t xml:space="preserve"> </w:t>
      </w:r>
      <w:r w:rsidRPr="00D94792">
        <w:rPr>
          <w:lang w:val="sq-AL"/>
        </w:rPr>
        <w:t>lekë fond kontigjence për ngritjen dhe funksionimin e institucioneve të reja të sistemit të drejtësisë.</w:t>
      </w:r>
    </w:p>
    <w:p w:rsidR="00B0121D" w:rsidRPr="00D94792" w:rsidRDefault="00B0121D" w:rsidP="003C5B4B">
      <w:pPr>
        <w:spacing w:line="276" w:lineRule="auto"/>
        <w:jc w:val="both"/>
        <w:rPr>
          <w:b/>
          <w:sz w:val="16"/>
          <w:szCs w:val="16"/>
          <w:lang w:val="sq-AL"/>
        </w:rPr>
      </w:pPr>
    </w:p>
    <w:p w:rsidR="00B0121D" w:rsidRPr="00D94792" w:rsidRDefault="00B0121D" w:rsidP="003C5B4B">
      <w:pPr>
        <w:spacing w:line="276" w:lineRule="auto"/>
        <w:jc w:val="both"/>
        <w:rPr>
          <w:lang w:val="sq-AL"/>
        </w:rPr>
      </w:pPr>
      <w:r w:rsidRPr="00D94792">
        <w:rPr>
          <w:b/>
          <w:bCs/>
          <w:lang w:val="sq-AL"/>
        </w:rPr>
        <w:lastRenderedPageBreak/>
        <w:t>Investimet Publike</w:t>
      </w:r>
      <w:r w:rsidRPr="00D94792">
        <w:rPr>
          <w:lang w:val="sq-AL"/>
        </w:rPr>
        <w:t>. Për vitin 201</w:t>
      </w:r>
      <w:r w:rsidR="0091073D" w:rsidRPr="00D94792">
        <w:rPr>
          <w:lang w:val="sq-AL"/>
        </w:rPr>
        <w:t>8</w:t>
      </w:r>
      <w:r w:rsidRPr="00D94792">
        <w:rPr>
          <w:lang w:val="sq-AL"/>
        </w:rPr>
        <w:t xml:space="preserve"> investimet publike janë planifikuar në masën </w:t>
      </w:r>
      <w:r w:rsidR="0091073D" w:rsidRPr="00D94792">
        <w:rPr>
          <w:lang w:val="sq-AL"/>
        </w:rPr>
        <w:t>5.</w:t>
      </w:r>
      <w:r w:rsidR="007057C8">
        <w:rPr>
          <w:lang w:val="sq-AL"/>
        </w:rPr>
        <w:t>2</w:t>
      </w:r>
      <w:r w:rsidRPr="00D94792">
        <w:rPr>
          <w:lang w:val="sq-AL"/>
        </w:rPr>
        <w:t xml:space="preserve">% e PBB ose </w:t>
      </w:r>
      <w:r w:rsidR="0091073D" w:rsidRPr="00D94792">
        <w:rPr>
          <w:lang w:val="sq-AL"/>
        </w:rPr>
        <w:t>8</w:t>
      </w:r>
      <w:r w:rsidR="007057C8">
        <w:rPr>
          <w:lang w:val="sq-AL"/>
        </w:rPr>
        <w:t>6</w:t>
      </w:r>
      <w:r w:rsidR="00A86F67">
        <w:rPr>
          <w:lang w:val="sq-AL"/>
        </w:rPr>
        <w:t>.1</w:t>
      </w:r>
      <w:r w:rsidRPr="00D94792">
        <w:rPr>
          <w:lang w:val="sq-AL"/>
        </w:rPr>
        <w:t xml:space="preserve"> miliardë lekë. Në planifikimin e investimeve për vitin 201</w:t>
      </w:r>
      <w:r w:rsidR="0091073D" w:rsidRPr="00D94792">
        <w:rPr>
          <w:lang w:val="sq-AL"/>
        </w:rPr>
        <w:t>8</w:t>
      </w:r>
      <w:r w:rsidRPr="00D94792">
        <w:rPr>
          <w:lang w:val="sq-AL"/>
        </w:rPr>
        <w:t xml:space="preserve"> janë mbajtur në konsideratë të gjitha detyrimet kontraktuale për projektet e investimeve me financim të huaj dhe të brendshëm. Ashtu, si edhe në vitin 201</w:t>
      </w:r>
      <w:r w:rsidR="0091073D" w:rsidRPr="00D94792">
        <w:rPr>
          <w:lang w:val="sq-AL"/>
        </w:rPr>
        <w:t>7</w:t>
      </w:r>
      <w:r w:rsidRPr="00D94792">
        <w:rPr>
          <w:lang w:val="sq-AL"/>
        </w:rPr>
        <w:t>,</w:t>
      </w:r>
      <w:r w:rsidR="0091073D" w:rsidRPr="00D94792">
        <w:rPr>
          <w:lang w:val="sq-AL"/>
        </w:rPr>
        <w:t xml:space="preserve"> dhe n</w:t>
      </w:r>
      <w:r w:rsidR="00DB7941">
        <w:rPr>
          <w:lang w:val="sq-AL"/>
        </w:rPr>
        <w:t>ë</w:t>
      </w:r>
      <w:r w:rsidR="0091073D" w:rsidRPr="00D94792">
        <w:rPr>
          <w:lang w:val="sq-AL"/>
        </w:rPr>
        <w:t xml:space="preserve"> vitin 2018</w:t>
      </w:r>
      <w:r w:rsidRPr="00D94792">
        <w:rPr>
          <w:lang w:val="sq-AL"/>
        </w:rPr>
        <w:t xml:space="preserve"> do të ketë përparësi financimi i projekteve në vazhdim. Për planifikimin e investimeve janë ndjekur kriteret e mëposhtme:</w:t>
      </w:r>
    </w:p>
    <w:p w:rsidR="00B0121D" w:rsidRPr="004D57A2" w:rsidRDefault="00B0121D" w:rsidP="003C5B4B">
      <w:pPr>
        <w:spacing w:line="276" w:lineRule="auto"/>
        <w:jc w:val="both"/>
        <w:rPr>
          <w:sz w:val="16"/>
          <w:szCs w:val="16"/>
          <w:lang w:val="sq-AL"/>
        </w:rPr>
      </w:pPr>
    </w:p>
    <w:p w:rsidR="00B0121D" w:rsidRPr="00D94792" w:rsidRDefault="00B0121D" w:rsidP="00D55E95">
      <w:pPr>
        <w:numPr>
          <w:ilvl w:val="0"/>
          <w:numId w:val="3"/>
        </w:numPr>
        <w:spacing w:line="276" w:lineRule="auto"/>
        <w:rPr>
          <w:i/>
          <w:iCs/>
          <w:lang w:val="sq-AL"/>
        </w:rPr>
      </w:pPr>
      <w:r w:rsidRPr="00D94792">
        <w:rPr>
          <w:i/>
          <w:iCs/>
          <w:lang w:val="sq-AL"/>
        </w:rPr>
        <w:t>Prioritetet e Programit të Qeverisë për periudhën 20</w:t>
      </w:r>
      <w:r w:rsidR="0091073D" w:rsidRPr="00D94792">
        <w:rPr>
          <w:i/>
          <w:iCs/>
          <w:lang w:val="sq-AL"/>
        </w:rPr>
        <w:t>17 – 2021</w:t>
      </w:r>
      <w:r w:rsidRPr="00D94792">
        <w:rPr>
          <w:i/>
          <w:iCs/>
          <w:lang w:val="sq-AL"/>
        </w:rPr>
        <w:t>;</w:t>
      </w:r>
    </w:p>
    <w:p w:rsidR="00B0121D" w:rsidRPr="00D94792" w:rsidRDefault="00B0121D" w:rsidP="00D55E95">
      <w:pPr>
        <w:numPr>
          <w:ilvl w:val="0"/>
          <w:numId w:val="3"/>
        </w:numPr>
        <w:spacing w:line="276" w:lineRule="auto"/>
        <w:jc w:val="both"/>
        <w:rPr>
          <w:i/>
          <w:iCs/>
          <w:lang w:val="sq-AL"/>
        </w:rPr>
      </w:pPr>
      <w:r w:rsidRPr="00D94792">
        <w:rPr>
          <w:i/>
          <w:iCs/>
          <w:lang w:val="sq-AL"/>
        </w:rPr>
        <w:t xml:space="preserve">Prioritetet e </w:t>
      </w:r>
      <w:r w:rsidR="00A86F67" w:rsidRPr="00D94792">
        <w:rPr>
          <w:i/>
          <w:iCs/>
          <w:lang w:val="sq-AL"/>
        </w:rPr>
        <w:t>Integrimit Europian</w:t>
      </w:r>
      <w:r w:rsidRPr="00D94792">
        <w:rPr>
          <w:i/>
          <w:iCs/>
          <w:lang w:val="sq-AL"/>
        </w:rPr>
        <w:t>;</w:t>
      </w:r>
    </w:p>
    <w:p w:rsidR="00B0121D" w:rsidRPr="00D94792" w:rsidRDefault="00B0121D" w:rsidP="00D55E95">
      <w:pPr>
        <w:numPr>
          <w:ilvl w:val="0"/>
          <w:numId w:val="3"/>
        </w:numPr>
        <w:spacing w:line="276" w:lineRule="auto"/>
        <w:jc w:val="both"/>
        <w:rPr>
          <w:i/>
          <w:iCs/>
          <w:lang w:val="sq-AL"/>
        </w:rPr>
      </w:pPr>
      <w:r w:rsidRPr="00D94792">
        <w:rPr>
          <w:i/>
          <w:iCs/>
          <w:lang w:val="sq-AL"/>
        </w:rPr>
        <w:t>Projektet në vazhdim.</w:t>
      </w:r>
    </w:p>
    <w:p w:rsidR="00B0121D" w:rsidRPr="00D94792" w:rsidRDefault="00B0121D" w:rsidP="00D55E95">
      <w:pPr>
        <w:numPr>
          <w:ilvl w:val="0"/>
          <w:numId w:val="3"/>
        </w:numPr>
        <w:spacing w:line="276" w:lineRule="auto"/>
        <w:jc w:val="both"/>
        <w:rPr>
          <w:i/>
          <w:iCs/>
          <w:lang w:val="sq-AL"/>
        </w:rPr>
      </w:pPr>
      <w:r w:rsidRPr="00D94792">
        <w:rPr>
          <w:i/>
          <w:iCs/>
          <w:lang w:val="sq-AL"/>
        </w:rPr>
        <w:t>Mbështetja me kosto lokale dhe TVSH për projektet me financim të huaj;</w:t>
      </w:r>
    </w:p>
    <w:p w:rsidR="00B0121D" w:rsidRPr="004D57A2" w:rsidRDefault="00B0121D" w:rsidP="003C5B4B">
      <w:pPr>
        <w:spacing w:line="276" w:lineRule="auto"/>
        <w:jc w:val="both"/>
        <w:rPr>
          <w:sz w:val="16"/>
          <w:szCs w:val="16"/>
          <w:lang w:val="sq-AL"/>
        </w:rPr>
      </w:pPr>
    </w:p>
    <w:p w:rsidR="0079074C" w:rsidRDefault="00B0121D" w:rsidP="0079074C">
      <w:pPr>
        <w:spacing w:line="276" w:lineRule="auto"/>
        <w:jc w:val="both"/>
        <w:rPr>
          <w:lang w:val="sq-AL"/>
        </w:rPr>
      </w:pPr>
      <w:r w:rsidRPr="00D94792">
        <w:rPr>
          <w:lang w:val="sq-AL"/>
        </w:rPr>
        <w:t>Për vitin 201</w:t>
      </w:r>
      <w:r w:rsidR="0091073D" w:rsidRPr="00D94792">
        <w:rPr>
          <w:lang w:val="sq-AL"/>
        </w:rPr>
        <w:t xml:space="preserve">8 </w:t>
      </w:r>
      <w:r w:rsidRPr="00D94792">
        <w:rPr>
          <w:lang w:val="sq-AL"/>
        </w:rPr>
        <w:t xml:space="preserve">janë planifikuar </w:t>
      </w:r>
      <w:r w:rsidR="00DF127A">
        <w:rPr>
          <w:bCs/>
          <w:lang w:val="sq-AL"/>
        </w:rPr>
        <w:t>54.9</w:t>
      </w:r>
      <w:r w:rsidRPr="00D94792">
        <w:rPr>
          <w:bCs/>
          <w:lang w:val="sq-AL"/>
        </w:rPr>
        <w:t xml:space="preserve"> miliardë lekë</w:t>
      </w:r>
      <w:r w:rsidRPr="00D94792">
        <w:rPr>
          <w:lang w:val="sq-AL"/>
        </w:rPr>
        <w:t xml:space="preserve"> financim i brendshëm dhe </w:t>
      </w:r>
      <w:r w:rsidR="007057C8">
        <w:rPr>
          <w:bCs/>
          <w:lang w:val="sq-AL"/>
        </w:rPr>
        <w:t>30</w:t>
      </w:r>
      <w:r w:rsidR="0091073D" w:rsidRPr="00D94792">
        <w:rPr>
          <w:bCs/>
          <w:lang w:val="sq-AL"/>
        </w:rPr>
        <w:t>.</w:t>
      </w:r>
      <w:r w:rsidR="007057C8">
        <w:rPr>
          <w:bCs/>
          <w:lang w:val="sq-AL"/>
        </w:rPr>
        <w:t>5</w:t>
      </w:r>
      <w:r w:rsidRPr="00D94792">
        <w:rPr>
          <w:bCs/>
          <w:lang w:val="sq-AL"/>
        </w:rPr>
        <w:t xml:space="preserve"> miliardë lekë</w:t>
      </w:r>
      <w:r w:rsidR="00CF5E6F" w:rsidRPr="00D94792">
        <w:rPr>
          <w:lang w:val="sq-AL"/>
        </w:rPr>
        <w:t xml:space="preserve"> financim i huaj. </w:t>
      </w:r>
    </w:p>
    <w:p w:rsidR="0079074C" w:rsidRPr="00D94792" w:rsidRDefault="0079074C" w:rsidP="0079074C">
      <w:pPr>
        <w:spacing w:line="276" w:lineRule="auto"/>
        <w:jc w:val="both"/>
        <w:rPr>
          <w:lang w:val="sq-AL"/>
        </w:rPr>
      </w:pPr>
    </w:p>
    <w:p w:rsidR="00B0121D" w:rsidRPr="00D94792" w:rsidRDefault="00944D7D" w:rsidP="00944D7D">
      <w:pPr>
        <w:pStyle w:val="Heading1"/>
        <w:tabs>
          <w:tab w:val="clear" w:pos="5954"/>
          <w:tab w:val="center" w:pos="709"/>
        </w:tabs>
        <w:spacing w:line="276" w:lineRule="auto"/>
        <w:jc w:val="both"/>
        <w:rPr>
          <w:caps w:val="0"/>
          <w:sz w:val="26"/>
          <w:szCs w:val="26"/>
          <w:lang w:val="sq-AL"/>
        </w:rPr>
      </w:pPr>
      <w:bookmarkStart w:id="28" w:name="_Toc465950351"/>
      <w:bookmarkStart w:id="29" w:name="_Toc495672716"/>
      <w:bookmarkStart w:id="30" w:name="_Toc496520385"/>
      <w:r>
        <w:rPr>
          <w:caps w:val="0"/>
          <w:sz w:val="26"/>
          <w:szCs w:val="26"/>
          <w:lang w:val="sq-AL"/>
        </w:rPr>
        <w:t xml:space="preserve">3.4 </w:t>
      </w:r>
      <w:r w:rsidR="00B0121D" w:rsidRPr="00D94792">
        <w:rPr>
          <w:caps w:val="0"/>
          <w:sz w:val="26"/>
          <w:szCs w:val="26"/>
          <w:lang w:val="sq-AL"/>
        </w:rPr>
        <w:t>DEFI</w:t>
      </w:r>
      <w:r w:rsidR="00FB416C">
        <w:rPr>
          <w:caps w:val="0"/>
          <w:sz w:val="26"/>
          <w:szCs w:val="26"/>
          <w:lang w:val="sq-AL"/>
        </w:rPr>
        <w:t>Ç</w:t>
      </w:r>
      <w:r w:rsidR="00B0121D" w:rsidRPr="00D94792">
        <w:rPr>
          <w:caps w:val="0"/>
          <w:sz w:val="26"/>
          <w:szCs w:val="26"/>
          <w:lang w:val="sq-AL"/>
        </w:rPr>
        <w:t>ITI BUXHETOR</w:t>
      </w:r>
      <w:bookmarkEnd w:id="28"/>
      <w:bookmarkEnd w:id="29"/>
      <w:bookmarkEnd w:id="30"/>
    </w:p>
    <w:p w:rsidR="00891B5C" w:rsidRPr="00891B5C" w:rsidRDefault="00891B5C" w:rsidP="00891B5C">
      <w:pPr>
        <w:rPr>
          <w:lang w:val="sq-AL"/>
        </w:rPr>
      </w:pPr>
    </w:p>
    <w:p w:rsidR="004434CB" w:rsidRDefault="00891B5C" w:rsidP="003C5B4B">
      <w:pPr>
        <w:spacing w:line="276" w:lineRule="auto"/>
        <w:jc w:val="both"/>
        <w:rPr>
          <w:lang w:val="sq-AL"/>
        </w:rPr>
      </w:pPr>
      <w:r w:rsidRPr="00891B5C">
        <w:rPr>
          <w:lang w:val="sq-AL"/>
        </w:rPr>
        <w:t>Defi</w:t>
      </w:r>
      <w:r w:rsidR="00FB416C">
        <w:rPr>
          <w:lang w:val="sq-AL"/>
        </w:rPr>
        <w:t>ç</w:t>
      </w:r>
      <w:r w:rsidRPr="00891B5C">
        <w:rPr>
          <w:lang w:val="sq-AL"/>
        </w:rPr>
        <w:t>iti buxhetor për vitin 2018 planifikohet të jetë në nivelin 2.0% të PBB. Për të tretin vit rradhazi balanca primare parashikohet të jetë pozitive në nivelin 0.6% duke synuar mbajtjen e borxhit në trajektoren rënëse për të dytin vit radhazi.</w:t>
      </w:r>
      <w:r w:rsidR="00A86F67">
        <w:rPr>
          <w:lang w:val="sq-AL"/>
        </w:rPr>
        <w:t xml:space="preserve"> </w:t>
      </w:r>
      <w:r w:rsidRPr="00891B5C">
        <w:rPr>
          <w:lang w:val="sq-AL"/>
        </w:rPr>
        <w:t>Rrjedhimisht, niveli i borxhit publik të targetuar, do të ulet me rreth 2.5 pikë përqindje dhe do të vijojë këtë trend rënës në periudhën afatmesme dhe afatgjatë. Financimi i defi</w:t>
      </w:r>
      <w:r w:rsidR="00A86F67">
        <w:rPr>
          <w:lang w:val="sq-AL"/>
        </w:rPr>
        <w:t>ç</w:t>
      </w:r>
      <w:r w:rsidRPr="00891B5C">
        <w:rPr>
          <w:lang w:val="sq-AL"/>
        </w:rPr>
        <w:t xml:space="preserve">itit do të realizohet nëpërmjet burimeve të brendshme </w:t>
      </w:r>
      <w:r w:rsidRPr="007057C8">
        <w:rPr>
          <w:i/>
          <w:lang w:val="sq-AL"/>
        </w:rPr>
        <w:t>në rreth 2.</w:t>
      </w:r>
      <w:r w:rsidR="007057C8">
        <w:rPr>
          <w:i/>
          <w:lang w:val="sq-AL"/>
        </w:rPr>
        <w:t>5</w:t>
      </w:r>
      <w:r w:rsidRPr="007057C8">
        <w:rPr>
          <w:i/>
          <w:lang w:val="sq-AL"/>
        </w:rPr>
        <w:t xml:space="preserve">% të PBB </w:t>
      </w:r>
      <w:r w:rsidRPr="007057C8">
        <w:rPr>
          <w:lang w:val="sq-AL"/>
        </w:rPr>
        <w:t xml:space="preserve">dhe atyre të huaja </w:t>
      </w:r>
      <w:r w:rsidRPr="007057C8">
        <w:rPr>
          <w:i/>
          <w:lang w:val="sq-AL"/>
        </w:rPr>
        <w:t>në rreth</w:t>
      </w:r>
      <w:r w:rsidR="007057C8">
        <w:rPr>
          <w:i/>
          <w:lang w:val="sq-AL"/>
        </w:rPr>
        <w:t xml:space="preserve"> </w:t>
      </w:r>
      <w:r w:rsidRPr="007057C8">
        <w:rPr>
          <w:i/>
          <w:lang w:val="sq-AL"/>
        </w:rPr>
        <w:t>-0.</w:t>
      </w:r>
      <w:r w:rsidR="004D57A2">
        <w:rPr>
          <w:i/>
          <w:lang w:val="sq-AL"/>
        </w:rPr>
        <w:t>6</w:t>
      </w:r>
      <w:r w:rsidRPr="007057C8">
        <w:rPr>
          <w:i/>
          <w:lang w:val="sq-AL"/>
        </w:rPr>
        <w:t>% të PBB</w:t>
      </w:r>
      <w:r w:rsidRPr="007057C8">
        <w:rPr>
          <w:lang w:val="sq-AL"/>
        </w:rPr>
        <w:t>.</w:t>
      </w:r>
      <w:r w:rsidRPr="00891B5C">
        <w:rPr>
          <w:lang w:val="sq-AL"/>
        </w:rPr>
        <w:t xml:space="preserve"> Huamarrja e huaj do të bazohet: a) tek huatë me terma pjesërisht të favorshme në kuadër të financimit të projekteve prioritare të Qeverisë, b) tek huatë me terma të favorshme në kuadër të mbështetjes së politikave zhvillimore të ndërmarra nga Qeveria dhe c) tek huamarrja me terma tregtare në rast se kushtet e tregjeve financiare do të jenë optimale</w:t>
      </w:r>
      <w:r w:rsidRPr="00891B5C">
        <w:rPr>
          <w:vertAlign w:val="superscript"/>
          <w:lang w:val="sq-AL"/>
        </w:rPr>
        <w:footnoteReference w:id="2"/>
      </w:r>
    </w:p>
    <w:p w:rsidR="00B0121D" w:rsidRPr="00D94792" w:rsidRDefault="004434CB" w:rsidP="003C5B4B">
      <w:pPr>
        <w:spacing w:line="276" w:lineRule="auto"/>
        <w:jc w:val="both"/>
        <w:rPr>
          <w:lang w:val="sq-AL"/>
        </w:rPr>
      </w:pPr>
      <w:r w:rsidRPr="00D73F43">
        <w:rPr>
          <w:noProof/>
        </w:rPr>
        <w:lastRenderedPageBreak/>
        <mc:AlternateContent>
          <mc:Choice Requires="wps">
            <w:drawing>
              <wp:anchor distT="45720" distB="45720" distL="114300" distR="114300" simplePos="0" relativeHeight="251659776" behindDoc="0" locked="0" layoutInCell="1" allowOverlap="1" wp14:anchorId="0EA74C76" wp14:editId="432D151F">
                <wp:simplePos x="0" y="0"/>
                <wp:positionH relativeFrom="column">
                  <wp:posOffset>-207010</wp:posOffset>
                </wp:positionH>
                <wp:positionV relativeFrom="paragraph">
                  <wp:posOffset>-226060</wp:posOffset>
                </wp:positionV>
                <wp:extent cx="6885305" cy="9382125"/>
                <wp:effectExtent l="0" t="0" r="1079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9382125"/>
                        </a:xfrm>
                        <a:prstGeom prst="rect">
                          <a:avLst/>
                        </a:prstGeom>
                        <a:solidFill>
                          <a:srgbClr val="F2F2F2"/>
                        </a:solidFill>
                        <a:ln w="9525">
                          <a:solidFill>
                            <a:srgbClr val="000000"/>
                          </a:solidFill>
                          <a:miter lim="800000"/>
                          <a:headEnd/>
                          <a:tailEnd/>
                        </a:ln>
                      </wps:spPr>
                      <wps:txbx>
                        <w:txbxContent>
                          <w:p w:rsidR="008E571B" w:rsidRDefault="008E571B" w:rsidP="00EC5471">
                            <w:pPr>
                              <w:jc w:val="both"/>
                              <w:rPr>
                                <w:noProof/>
                                <w:sz w:val="20"/>
                                <w:lang w:val="sq-AL"/>
                              </w:rPr>
                            </w:pPr>
                          </w:p>
                          <w:p w:rsidR="008E571B" w:rsidRPr="00AB477F" w:rsidRDefault="008E571B" w:rsidP="00EC5471">
                            <w:pPr>
                              <w:jc w:val="center"/>
                              <w:rPr>
                                <w:b/>
                                <w:iCs/>
                                <w:noProof/>
                                <w:lang w:val="sq-AL"/>
                              </w:rPr>
                            </w:pPr>
                            <w:r w:rsidRPr="00640E8D">
                              <w:rPr>
                                <w:rFonts w:ascii="Cambria" w:eastAsia="Times New Roman" w:hAnsi="Cambria"/>
                                <w:b/>
                                <w:iCs/>
                                <w:szCs w:val="20"/>
                                <w:lang w:val="sq-AL"/>
                              </w:rPr>
                              <w:t>PARIMET DHE RREGULLAT FISKALË</w:t>
                            </w:r>
                          </w:p>
                          <w:p w:rsidR="008E571B" w:rsidRDefault="008E571B" w:rsidP="00EC5471">
                            <w:pPr>
                              <w:jc w:val="both"/>
                              <w:rPr>
                                <w:noProof/>
                                <w:sz w:val="20"/>
                                <w:lang w:val="sq-AL"/>
                              </w:rPr>
                            </w:pPr>
                          </w:p>
                          <w:p w:rsidR="008E571B" w:rsidRPr="00EC094B" w:rsidRDefault="008E571B" w:rsidP="00EC5471">
                            <w:pPr>
                              <w:jc w:val="both"/>
                              <w:rPr>
                                <w:noProof/>
                                <w:sz w:val="20"/>
                                <w:lang w:val="sq-AL"/>
                              </w:rPr>
                            </w:pPr>
                            <w:r w:rsidRPr="00EC094B">
                              <w:rPr>
                                <w:noProof/>
                                <w:sz w:val="20"/>
                                <w:lang w:val="sq-AL"/>
                              </w:rPr>
                              <w:t>Në përputhje të plotë me obligimet që rrjedhin prej Ligjit Organik të Buxhetit nr 57/2016, ligji i buxhetit për vitin 201</w:t>
                            </w:r>
                            <w:r>
                              <w:rPr>
                                <w:noProof/>
                                <w:sz w:val="20"/>
                                <w:lang w:val="sq-AL"/>
                              </w:rPr>
                              <w:t>8</w:t>
                            </w:r>
                            <w:r w:rsidRPr="00EC094B">
                              <w:rPr>
                                <w:noProof/>
                                <w:sz w:val="20"/>
                                <w:lang w:val="sq-AL"/>
                              </w:rPr>
                              <w:t xml:space="preserve">, materializon parimet dhe rregullat fiskalë </w:t>
                            </w:r>
                            <w:r>
                              <w:rPr>
                                <w:noProof/>
                                <w:sz w:val="20"/>
                                <w:lang w:val="sq-AL"/>
                              </w:rPr>
                              <w:t>të</w:t>
                            </w:r>
                            <w:r w:rsidRPr="00EC094B">
                              <w:rPr>
                                <w:noProof/>
                                <w:sz w:val="20"/>
                                <w:lang w:val="sq-AL"/>
                              </w:rPr>
                              <w:t xml:space="preserve"> mëposhtëm:</w:t>
                            </w: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qëndrojë poshtë nivelit 45 për qind të Produktit të Brendshëm Bruto;</w:t>
                            </w:r>
                          </w:p>
                          <w:p w:rsidR="008E571B" w:rsidRPr="00EC094B" w:rsidRDefault="008E571B" w:rsidP="00EC5471">
                            <w:pPr>
                              <w:jc w:val="both"/>
                              <w:rPr>
                                <w:noProof/>
                                <w:sz w:val="20"/>
                                <w:lang w:val="sq-AL"/>
                              </w:rPr>
                            </w:pPr>
                          </w:p>
                          <w:p w:rsidR="008E571B" w:rsidRPr="00EC094B" w:rsidRDefault="008E571B" w:rsidP="00EC5471">
                            <w:pPr>
                              <w:jc w:val="both"/>
                              <w:rPr>
                                <w:noProof/>
                                <w:sz w:val="20"/>
                                <w:lang w:val="sq-AL"/>
                              </w:rPr>
                            </w:pPr>
                            <w:r w:rsidRPr="00EC094B">
                              <w:rPr>
                                <w:noProof/>
                                <w:sz w:val="20"/>
                                <w:lang w:val="sq-AL"/>
                              </w:rPr>
                              <w:t>Në përputhje me këtë dispozitë (rregull fiskal) të LOB, ligji vjetor i buxhetit 201</w:t>
                            </w:r>
                            <w:r>
                              <w:rPr>
                                <w:noProof/>
                                <w:sz w:val="20"/>
                                <w:lang w:val="sq-AL"/>
                              </w:rPr>
                              <w:t>8</w:t>
                            </w:r>
                            <w:r w:rsidRPr="00EC094B">
                              <w:rPr>
                                <w:noProof/>
                                <w:sz w:val="20"/>
                                <w:lang w:val="sq-AL"/>
                              </w:rPr>
                              <w:t xml:space="preserve"> targeton një niv</w:t>
                            </w:r>
                            <w:r>
                              <w:rPr>
                                <w:noProof/>
                                <w:sz w:val="20"/>
                                <w:lang w:val="sq-AL"/>
                              </w:rPr>
                              <w:t>el të borxhit publik total në 68.8% të PBB nga niveli prej 69.1</w:t>
                            </w:r>
                            <w:r w:rsidRPr="00EC094B">
                              <w:rPr>
                                <w:noProof/>
                                <w:sz w:val="20"/>
                                <w:lang w:val="sq-AL"/>
                              </w:rPr>
                              <w:t xml:space="preserve">% e PBB i </w:t>
                            </w:r>
                            <w:r>
                              <w:rPr>
                                <w:noProof/>
                                <w:sz w:val="20"/>
                                <w:lang w:val="sq-AL"/>
                              </w:rPr>
                              <w:t xml:space="preserve">targetuar </w:t>
                            </w:r>
                            <w:r w:rsidRPr="00EC094B">
                              <w:rPr>
                                <w:noProof/>
                                <w:sz w:val="20"/>
                                <w:lang w:val="sq-AL"/>
                              </w:rPr>
                              <w:t>për vitin 201</w:t>
                            </w:r>
                            <w:r>
                              <w:rPr>
                                <w:noProof/>
                                <w:sz w:val="20"/>
                                <w:lang w:val="sq-AL"/>
                              </w:rPr>
                              <w:t>7</w:t>
                            </w:r>
                            <w:r w:rsidRPr="00EC094B">
                              <w:rPr>
                                <w:noProof/>
                                <w:sz w:val="20"/>
                                <w:lang w:val="sq-AL"/>
                              </w:rPr>
                              <w:t>.</w:t>
                            </w:r>
                          </w:p>
                          <w:p w:rsidR="008E571B" w:rsidRPr="00EC094B" w:rsidRDefault="008E571B" w:rsidP="00EC5471">
                            <w:pPr>
                              <w:ind w:left="360"/>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t>
                            </w:r>
                            <w:r>
                              <w:rPr>
                                <w:i/>
                                <w:noProof/>
                                <w:sz w:val="20"/>
                                <w:lang w:val="sq-AL"/>
                              </w:rPr>
                              <w:t>Ë</w:t>
                            </w:r>
                            <w:r w:rsidRPr="00EC094B">
                              <w:rPr>
                                <w:i/>
                                <w:noProof/>
                                <w:sz w:val="20"/>
                                <w:lang w:val="sq-AL"/>
                              </w:rPr>
                              <w:t xml:space="preserve">orld Economic Outlook), të Fondit Monetar Ndërkombëtar, më i fundit i publikuar në kohën kur ligji vjetor i buxhetit dorëzohet për miratim në Kuvend. Kjo dokumentohet qartësisht në relacionin shoqërues të ligjit vjetor të buxhetit; </w:t>
                            </w:r>
                          </w:p>
                          <w:p w:rsidR="008E571B" w:rsidRPr="00EC094B" w:rsidRDefault="008E571B" w:rsidP="00EC5471">
                            <w:pPr>
                              <w:ind w:left="360"/>
                              <w:jc w:val="both"/>
                              <w:rPr>
                                <w:noProof/>
                                <w:sz w:val="20"/>
                                <w:lang w:val="sq-AL"/>
                              </w:rPr>
                            </w:pPr>
                          </w:p>
                          <w:p w:rsidR="008E571B" w:rsidRPr="00EC094B" w:rsidRDefault="008E571B" w:rsidP="00EC5471">
                            <w:pPr>
                              <w:jc w:val="both"/>
                              <w:rPr>
                                <w:noProof/>
                                <w:sz w:val="20"/>
                                <w:lang w:val="sq-AL"/>
                              </w:rPr>
                            </w:pPr>
                            <w:r w:rsidRPr="00EC094B">
                              <w:rPr>
                                <w:noProof/>
                                <w:sz w:val="20"/>
                                <w:lang w:val="sq-AL"/>
                              </w:rPr>
                              <w:t>Në përputhje me këtë dispozitë (rregull fiskal)  të LOB, ligji vjetor i buxhetit 201</w:t>
                            </w:r>
                            <w:r>
                              <w:rPr>
                                <w:noProof/>
                                <w:sz w:val="20"/>
                                <w:lang w:val="sq-AL"/>
                              </w:rPr>
                              <w:t>8</w:t>
                            </w:r>
                            <w:r w:rsidRPr="00EC094B">
                              <w:rPr>
                                <w:noProof/>
                                <w:sz w:val="20"/>
                                <w:lang w:val="sq-AL"/>
                              </w:rPr>
                              <w:t xml:space="preserve"> bazohet në projeksio</w:t>
                            </w:r>
                            <w:r>
                              <w:rPr>
                                <w:noProof/>
                                <w:sz w:val="20"/>
                                <w:lang w:val="sq-AL"/>
                              </w:rPr>
                              <w:t>n</w:t>
                            </w:r>
                            <w:r w:rsidRPr="00EC094B">
                              <w:rPr>
                                <w:noProof/>
                                <w:sz w:val="20"/>
                                <w:lang w:val="sq-AL"/>
                              </w:rPr>
                              <w:t>et e mëposhtme të PBB nominale, të cilat paraqiten në mënyrë krahasimore kundrejt projeksioneve të raportit “Perspektiva ekonomike botërore” (</w:t>
                            </w:r>
                            <w:r>
                              <w:rPr>
                                <w:noProof/>
                                <w:sz w:val="20"/>
                                <w:lang w:val="sq-AL"/>
                              </w:rPr>
                              <w:t>Ë</w:t>
                            </w:r>
                            <w:r w:rsidRPr="00EC094B">
                              <w:rPr>
                                <w:noProof/>
                                <w:sz w:val="20"/>
                                <w:lang w:val="sq-AL"/>
                              </w:rPr>
                              <w:t>orld Economic Outlook), të Fondit Monetar Ndërkombët</w:t>
                            </w:r>
                            <w:r>
                              <w:rPr>
                                <w:noProof/>
                                <w:sz w:val="20"/>
                                <w:lang w:val="sq-AL"/>
                              </w:rPr>
                              <w:t>ar, më i fundit i publikuar më</w:t>
                            </w:r>
                            <w:r w:rsidRPr="00EC094B">
                              <w:rPr>
                                <w:noProof/>
                                <w:sz w:val="20"/>
                                <w:lang w:val="sq-AL"/>
                              </w:rPr>
                              <w:t xml:space="preserve"> Tetor 201</w:t>
                            </w:r>
                            <w:r>
                              <w:rPr>
                                <w:noProof/>
                                <w:sz w:val="20"/>
                                <w:lang w:val="sq-AL"/>
                              </w:rPr>
                              <w:t>7</w:t>
                            </w:r>
                            <w:r>
                              <w:rPr>
                                <w:rStyle w:val="FootnoteReference"/>
                                <w:noProof/>
                                <w:sz w:val="20"/>
                                <w:lang w:val="sq-AL"/>
                              </w:rPr>
                              <w:t>2</w:t>
                            </w:r>
                            <w:r w:rsidRPr="00EC094B">
                              <w:rPr>
                                <w:noProof/>
                                <w:sz w:val="20"/>
                                <w:lang w:val="sq-AL"/>
                              </w:rPr>
                              <w:t xml:space="preserve">: </w:t>
                            </w:r>
                          </w:p>
                          <w:p w:rsidR="008E571B" w:rsidRPr="00EC094B" w:rsidRDefault="008E571B" w:rsidP="00EC5471">
                            <w:pPr>
                              <w:ind w:left="360"/>
                              <w:jc w:val="both"/>
                              <w:rPr>
                                <w:noProof/>
                                <w:sz w:val="20"/>
                                <w:lang w:val="sq-AL"/>
                              </w:rPr>
                            </w:pPr>
                          </w:p>
                          <w:p w:rsidR="008E571B" w:rsidRPr="00EC094B" w:rsidRDefault="008E571B" w:rsidP="00EC5471">
                            <w:pPr>
                              <w:jc w:val="both"/>
                              <w:rPr>
                                <w:noProof/>
                                <w:sz w:val="20"/>
                                <w:lang w:val="sq-AL"/>
                              </w:rPr>
                            </w:pPr>
                            <w:r w:rsidRPr="00EC094B">
                              <w:rPr>
                                <w:noProof/>
                                <w:sz w:val="20"/>
                                <w:lang w:val="sq-AL"/>
                              </w:rPr>
                              <w:t xml:space="preserve">     Parashikimet e PBB nominale të FMN dhe Ministrisë së Financave </w:t>
                            </w:r>
                          </w:p>
                          <w:tbl>
                            <w:tblPr>
                              <w:tblW w:w="9323" w:type="dxa"/>
                              <w:tblBorders>
                                <w:top w:val="single" w:sz="12" w:space="0" w:color="000000"/>
                                <w:bottom w:val="single" w:sz="12" w:space="0" w:color="000000"/>
                              </w:tblBorders>
                              <w:tblLook w:val="04A0" w:firstRow="1" w:lastRow="0" w:firstColumn="1" w:lastColumn="0" w:noHBand="0" w:noVBand="1"/>
                            </w:tblPr>
                            <w:tblGrid>
                              <w:gridCol w:w="3248"/>
                              <w:gridCol w:w="1030"/>
                              <w:gridCol w:w="1009"/>
                              <w:gridCol w:w="1009"/>
                              <w:gridCol w:w="1009"/>
                              <w:gridCol w:w="1009"/>
                              <w:gridCol w:w="1009"/>
                            </w:tblGrid>
                            <w:tr w:rsidR="008E571B" w:rsidRPr="00EC094B" w:rsidTr="00653DFF">
                              <w:trPr>
                                <w:trHeight w:val="319"/>
                              </w:trPr>
                              <w:tc>
                                <w:tcPr>
                                  <w:tcW w:w="3248" w:type="dxa"/>
                                  <w:tcBorders>
                                    <w:bottom w:val="single" w:sz="6" w:space="0" w:color="000000"/>
                                    <w:right w:val="single" w:sz="6" w:space="0" w:color="000000"/>
                                  </w:tcBorders>
                                  <w:shd w:val="clear" w:color="auto" w:fill="auto"/>
                                  <w:noWrap/>
                                  <w:hideMark/>
                                </w:tcPr>
                                <w:p w:rsidR="008E571B" w:rsidRPr="008049F1" w:rsidRDefault="008E571B" w:rsidP="00AD09A8">
                                  <w:pP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në miliard lekë</w:t>
                                  </w:r>
                                </w:p>
                              </w:tc>
                              <w:tc>
                                <w:tcPr>
                                  <w:tcW w:w="1030"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2014</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2015</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2016</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E571B" w:rsidRPr="008049F1" w:rsidRDefault="008E571B" w:rsidP="00653DFF">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2017</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2018</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2019</w:t>
                                  </w:r>
                                  <w:r>
                                    <w:rPr>
                                      <w:rFonts w:ascii="Calibri" w:eastAsia="Times New Roman" w:hAnsi="Calibri"/>
                                      <w:b/>
                                      <w:bCs/>
                                      <w:i/>
                                      <w:iCs/>
                                      <w:noProof/>
                                      <w:sz w:val="18"/>
                                      <w:szCs w:val="22"/>
                                      <w:lang w:val="sq-AL"/>
                                    </w:rPr>
                                    <w:br/>
                                    <w:t>Para.</w:t>
                                  </w:r>
                                </w:p>
                              </w:tc>
                            </w:tr>
                            <w:tr w:rsidR="008E571B" w:rsidRPr="00EC094B" w:rsidTr="00653DFF">
                              <w:trPr>
                                <w:trHeight w:val="319"/>
                              </w:trPr>
                              <w:tc>
                                <w:tcPr>
                                  <w:tcW w:w="3248" w:type="dxa"/>
                                  <w:tcBorders>
                                    <w:right w:val="single" w:sz="6" w:space="0" w:color="000000"/>
                                  </w:tcBorders>
                                  <w:shd w:val="clear" w:color="auto" w:fill="auto"/>
                                  <w:noWrap/>
                                  <w:hideMark/>
                                </w:tcPr>
                                <w:p w:rsidR="008E571B" w:rsidRPr="008049F1" w:rsidRDefault="008E571B" w:rsidP="00E95C2B">
                                  <w:pPr>
                                    <w:rPr>
                                      <w:rFonts w:ascii="Calibri" w:eastAsia="Times New Roman" w:hAnsi="Calibri"/>
                                      <w:noProof/>
                                      <w:sz w:val="18"/>
                                      <w:szCs w:val="22"/>
                                      <w:lang w:val="sq-AL"/>
                                    </w:rPr>
                                  </w:pPr>
                                  <w:r w:rsidRPr="008049F1">
                                    <w:rPr>
                                      <w:rFonts w:ascii="Calibri" w:eastAsia="Times New Roman" w:hAnsi="Calibri"/>
                                      <w:noProof/>
                                      <w:sz w:val="18"/>
                                      <w:szCs w:val="22"/>
                                      <w:lang w:val="sq-AL"/>
                                    </w:rPr>
                                    <w:t>FMN - Perspektiva Ekon. Bot.</w:t>
                                  </w:r>
                                </w:p>
                              </w:tc>
                              <w:tc>
                                <w:tcPr>
                                  <w:tcW w:w="1030"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w:t>
                                  </w:r>
                                  <w:r>
                                    <w:rPr>
                                      <w:rFonts w:ascii="Calibri" w:eastAsia="Times New Roman" w:hAnsi="Calibri"/>
                                      <w:noProof/>
                                      <w:sz w:val="18"/>
                                      <w:szCs w:val="22"/>
                                      <w:lang w:val="sq-AL"/>
                                    </w:rPr>
                                    <w:t>5</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w:t>
                                  </w:r>
                                  <w:r>
                                    <w:rPr>
                                      <w:rFonts w:ascii="Calibri" w:eastAsia="Times New Roman" w:hAnsi="Calibri"/>
                                      <w:noProof/>
                                      <w:sz w:val="18"/>
                                      <w:szCs w:val="22"/>
                                      <w:lang w:val="sq-AL"/>
                                    </w:rPr>
                                    <w:t>28</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w:t>
                                  </w:r>
                                  <w:r>
                                    <w:rPr>
                                      <w:rFonts w:ascii="Calibri" w:eastAsia="Times New Roman" w:hAnsi="Calibri"/>
                                      <w:noProof/>
                                      <w:sz w:val="18"/>
                                      <w:szCs w:val="22"/>
                                      <w:lang w:val="sq-AL"/>
                                    </w:rPr>
                                    <w:t>473</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w:t>
                                  </w:r>
                                  <w:r>
                                    <w:rPr>
                                      <w:rFonts w:ascii="Calibri" w:eastAsia="Times New Roman" w:hAnsi="Calibri"/>
                                      <w:noProof/>
                                      <w:sz w:val="18"/>
                                      <w:szCs w:val="22"/>
                                      <w:lang w:val="sq-AL"/>
                                    </w:rPr>
                                    <w:t>55</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1,650</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1,755</w:t>
                                  </w:r>
                                </w:p>
                              </w:tc>
                            </w:tr>
                            <w:tr w:rsidR="008E571B" w:rsidRPr="00EC094B" w:rsidTr="00653DFF">
                              <w:trPr>
                                <w:trHeight w:val="319"/>
                              </w:trPr>
                              <w:tc>
                                <w:tcPr>
                                  <w:tcW w:w="3248" w:type="dxa"/>
                                  <w:tcBorders>
                                    <w:right w:val="single" w:sz="6" w:space="0" w:color="000000"/>
                                  </w:tcBorders>
                                  <w:shd w:val="clear" w:color="auto" w:fill="auto"/>
                                  <w:noWrap/>
                                  <w:hideMark/>
                                </w:tcPr>
                                <w:p w:rsidR="008E571B" w:rsidRPr="008049F1" w:rsidRDefault="008E571B" w:rsidP="00E95C2B">
                                  <w:pPr>
                                    <w:rPr>
                                      <w:rFonts w:ascii="Calibri" w:eastAsia="Times New Roman" w:hAnsi="Calibri"/>
                                      <w:noProof/>
                                      <w:sz w:val="18"/>
                                      <w:szCs w:val="22"/>
                                      <w:lang w:val="sq-AL"/>
                                    </w:rPr>
                                  </w:pPr>
                                  <w:r w:rsidRPr="008049F1">
                                    <w:rPr>
                                      <w:rFonts w:ascii="Calibri" w:eastAsia="Times New Roman" w:hAnsi="Calibri"/>
                                      <w:noProof/>
                                      <w:sz w:val="18"/>
                                      <w:szCs w:val="22"/>
                                      <w:lang w:val="sq-AL"/>
                                    </w:rPr>
                                    <w:t>Ministria e Financave</w:t>
                                  </w:r>
                                </w:p>
                              </w:tc>
                              <w:tc>
                                <w:tcPr>
                                  <w:tcW w:w="1030"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w:t>
                                  </w:r>
                                  <w:r>
                                    <w:rPr>
                                      <w:rFonts w:ascii="Calibri" w:eastAsia="Times New Roman" w:hAnsi="Calibri"/>
                                      <w:noProof/>
                                      <w:sz w:val="18"/>
                                      <w:szCs w:val="22"/>
                                      <w:lang w:val="sq-AL"/>
                                    </w:rPr>
                                    <w:t>5</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w:t>
                                  </w:r>
                                  <w:r>
                                    <w:rPr>
                                      <w:rFonts w:ascii="Calibri" w:eastAsia="Times New Roman" w:hAnsi="Calibri"/>
                                      <w:noProof/>
                                      <w:sz w:val="18"/>
                                      <w:szCs w:val="22"/>
                                      <w:lang w:val="sq-AL"/>
                                    </w:rPr>
                                    <w:t>28</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w:t>
                                  </w:r>
                                  <w:r>
                                    <w:rPr>
                                      <w:rFonts w:ascii="Calibri" w:eastAsia="Times New Roman" w:hAnsi="Calibri"/>
                                      <w:noProof/>
                                      <w:sz w:val="18"/>
                                      <w:szCs w:val="22"/>
                                      <w:lang w:val="sq-AL"/>
                                    </w:rPr>
                                    <w:t>473</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w:t>
                                  </w:r>
                                  <w:r>
                                    <w:rPr>
                                      <w:rFonts w:ascii="Calibri" w:eastAsia="Times New Roman" w:hAnsi="Calibri"/>
                                      <w:noProof/>
                                      <w:sz w:val="18"/>
                                      <w:szCs w:val="22"/>
                                      <w:lang w:val="sq-AL"/>
                                    </w:rPr>
                                    <w:t>55</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1,650</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1,755</w:t>
                                  </w:r>
                                </w:p>
                              </w:tc>
                            </w:tr>
                            <w:tr w:rsidR="008E571B" w:rsidRPr="00EC094B" w:rsidTr="00653DFF">
                              <w:trPr>
                                <w:trHeight w:val="319"/>
                              </w:trPr>
                              <w:tc>
                                <w:tcPr>
                                  <w:tcW w:w="3248" w:type="dxa"/>
                                  <w:tcBorders>
                                    <w:right w:val="single" w:sz="6" w:space="0" w:color="000000"/>
                                  </w:tcBorders>
                                  <w:shd w:val="clear" w:color="auto" w:fill="auto"/>
                                  <w:noWrap/>
                                  <w:hideMark/>
                                </w:tcPr>
                                <w:p w:rsidR="008E571B" w:rsidRPr="008049F1" w:rsidRDefault="008E571B" w:rsidP="00E95C2B">
                                  <w:pPr>
                                    <w:rPr>
                                      <w:rFonts w:ascii="Calibri" w:eastAsia="Times New Roman" w:hAnsi="Calibri"/>
                                      <w:noProof/>
                                      <w:sz w:val="18"/>
                                      <w:szCs w:val="22"/>
                                      <w:lang w:val="sq-AL"/>
                                    </w:rPr>
                                  </w:pPr>
                                  <w:r w:rsidRPr="008049F1">
                                    <w:rPr>
                                      <w:rFonts w:ascii="Calibri" w:eastAsia="Times New Roman" w:hAnsi="Calibri"/>
                                      <w:noProof/>
                                      <w:sz w:val="18"/>
                                      <w:szCs w:val="22"/>
                                      <w:lang w:val="sq-AL"/>
                                    </w:rPr>
                                    <w:t xml:space="preserve">Diferenca FMN - MeF </w:t>
                                  </w:r>
                                </w:p>
                                <w:p w:rsidR="008E571B" w:rsidRPr="008049F1" w:rsidRDefault="008E571B" w:rsidP="00E95C2B">
                                  <w:pPr>
                                    <w:rPr>
                                      <w:rFonts w:ascii="Calibri" w:eastAsia="Times New Roman" w:hAnsi="Calibri"/>
                                      <w:noProof/>
                                      <w:sz w:val="14"/>
                                      <w:szCs w:val="18"/>
                                      <w:lang w:val="sq-AL"/>
                                    </w:rPr>
                                  </w:pPr>
                                  <w:r w:rsidRPr="008049F1">
                                    <w:rPr>
                                      <w:rFonts w:ascii="Calibri" w:eastAsia="Times New Roman" w:hAnsi="Calibri"/>
                                      <w:noProof/>
                                      <w:sz w:val="14"/>
                                      <w:szCs w:val="18"/>
                                      <w:lang w:val="sq-AL"/>
                                    </w:rPr>
                                    <w:t>(duhet te jete jo më e vogël se zero)</w:t>
                                  </w:r>
                                </w:p>
                              </w:tc>
                              <w:tc>
                                <w:tcPr>
                                  <w:tcW w:w="1030"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r>
                          </w:tbl>
                          <w:p w:rsidR="008E571B" w:rsidRPr="00EC094B" w:rsidRDefault="008E571B" w:rsidP="00EC5471">
                            <w:pPr>
                              <w:jc w:val="both"/>
                              <w:rPr>
                                <w:noProof/>
                                <w:sz w:val="20"/>
                                <w:lang w:val="sq-AL"/>
                              </w:rPr>
                            </w:pP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r>
                              <w:rPr>
                                <w:i/>
                                <w:noProof/>
                                <w:sz w:val="20"/>
                                <w:lang w:val="sq-AL"/>
                              </w:rPr>
                              <w:t>.</w:t>
                            </w:r>
                          </w:p>
                          <w:p w:rsidR="008E571B" w:rsidRPr="00EC094B" w:rsidRDefault="008E571B" w:rsidP="00EC5471">
                            <w:pPr>
                              <w:jc w:val="both"/>
                              <w:rPr>
                                <w:i/>
                                <w:noProof/>
                                <w:sz w:val="20"/>
                                <w:lang w:val="sq-AL"/>
                              </w:rPr>
                            </w:pPr>
                          </w:p>
                          <w:p w:rsidR="008E571B" w:rsidRPr="00EC094B" w:rsidRDefault="008E571B" w:rsidP="00EC5471">
                            <w:pPr>
                              <w:jc w:val="both"/>
                              <w:rPr>
                                <w:noProof/>
                                <w:sz w:val="20"/>
                                <w:lang w:val="sq-AL"/>
                              </w:rPr>
                            </w:pPr>
                            <w:r w:rsidRPr="00302AF3">
                              <w:rPr>
                                <w:noProof/>
                                <w:sz w:val="20"/>
                                <w:lang w:val="sq-AL"/>
                              </w:rPr>
                              <w:t>Në përputhje me këtë dispozitë (rregull fiskal)  të LOB, ligji vjetor i buxhetit 201</w:t>
                            </w:r>
                            <w:r>
                              <w:rPr>
                                <w:noProof/>
                                <w:sz w:val="20"/>
                                <w:lang w:val="sq-AL"/>
                              </w:rPr>
                              <w:t>8</w:t>
                            </w:r>
                            <w:r w:rsidRPr="00302AF3">
                              <w:rPr>
                                <w:noProof/>
                                <w:sz w:val="20"/>
                                <w:lang w:val="sq-AL"/>
                              </w:rPr>
                              <w:t xml:space="preserve"> përfshin në një zë të veçantë të tij, emërtuar </w:t>
                            </w:r>
                            <w:r w:rsidRPr="00302AF3">
                              <w:rPr>
                                <w:i/>
                                <w:noProof/>
                                <w:sz w:val="20"/>
                                <w:lang w:val="sq-AL"/>
                              </w:rPr>
                              <w:t xml:space="preserve">“Kontigjencë për impaktin në borxhin publik nga luhatjet e normave të interesit, et.j” </w:t>
                            </w:r>
                            <w:r w:rsidRPr="00302AF3">
                              <w:rPr>
                                <w:noProof/>
                                <w:sz w:val="20"/>
                                <w:lang w:val="sq-AL"/>
                              </w:rPr>
                              <w:t>një kontigjencë prej 4 miliardë lekë ose 0.</w:t>
                            </w:r>
                            <w:r>
                              <w:rPr>
                                <w:noProof/>
                                <w:sz w:val="20"/>
                                <w:lang w:val="sq-AL"/>
                              </w:rPr>
                              <w:t>8</w:t>
                            </w:r>
                            <w:r w:rsidRPr="00302AF3">
                              <w:rPr>
                                <w:noProof/>
                                <w:sz w:val="20"/>
                                <w:lang w:val="sq-AL"/>
                              </w:rPr>
                              <w:t>% e shpenzimeve totale.</w:t>
                            </w:r>
                            <w:r w:rsidRPr="00EC094B">
                              <w:rPr>
                                <w:noProof/>
                                <w:sz w:val="20"/>
                                <w:lang w:val="sq-AL"/>
                              </w:rPr>
                              <w:t xml:space="preserve"> Kjo vlerë e përfshirë në buxhet është e papërdorshme për qëllime të tjera përve</w:t>
                            </w:r>
                            <w:r>
                              <w:rPr>
                                <w:noProof/>
                                <w:sz w:val="20"/>
                                <w:lang w:val="sq-AL"/>
                              </w:rPr>
                              <w:t>ç</w:t>
                            </w:r>
                            <w:r w:rsidRPr="00EC094B">
                              <w:rPr>
                                <w:noProof/>
                                <w:sz w:val="20"/>
                                <w:lang w:val="sq-AL"/>
                              </w:rPr>
                              <w:t xml:space="preserve"> pagesës së interesave nëse këto të fundit për të gjithë vitin në tërësi rezultojnë më tepër se sa alokimet respektive në buxhet.  </w:t>
                            </w: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8E571B" w:rsidRPr="00EC094B" w:rsidRDefault="008E571B" w:rsidP="00EC5471">
                            <w:pPr>
                              <w:jc w:val="both"/>
                              <w:rPr>
                                <w:i/>
                                <w:noProof/>
                                <w:sz w:val="20"/>
                                <w:lang w:val="sq-AL"/>
                              </w:rPr>
                            </w:pPr>
                          </w:p>
                          <w:p w:rsidR="008E571B" w:rsidRDefault="008E571B" w:rsidP="00EC5471">
                            <w:pPr>
                              <w:jc w:val="both"/>
                              <w:rPr>
                                <w:noProof/>
                                <w:sz w:val="20"/>
                                <w:lang w:val="sq-AL"/>
                              </w:rPr>
                            </w:pPr>
                            <w:r w:rsidRPr="00653DFF">
                              <w:rPr>
                                <w:noProof/>
                                <w:sz w:val="20"/>
                                <w:lang w:val="sq-AL"/>
                              </w:rPr>
                              <w:t>Në përputhje me këtë dispozitë (rregull fiskal) të LOB, ligji vjetor i buxhetit 201</w:t>
                            </w:r>
                            <w:r>
                              <w:rPr>
                                <w:noProof/>
                                <w:sz w:val="20"/>
                                <w:lang w:val="sq-AL"/>
                              </w:rPr>
                              <w:t>8</w:t>
                            </w:r>
                            <w:r w:rsidRPr="00653DFF">
                              <w:rPr>
                                <w:noProof/>
                                <w:sz w:val="20"/>
                                <w:lang w:val="sq-AL"/>
                              </w:rPr>
                              <w:t xml:space="preserve"> nuk përfshin të hyra nga privatizimet e mundshme.</w:t>
                            </w: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Masa e deficitit buxhetor nuk mund të tejkalojë masën e shpenzimeve kapitale të parashikuara çdo vit në ligjin e buxhetit.</w:t>
                            </w:r>
                          </w:p>
                          <w:p w:rsidR="008E571B" w:rsidRPr="00EC094B" w:rsidRDefault="008E571B" w:rsidP="00EC5471">
                            <w:pPr>
                              <w:ind w:left="360"/>
                              <w:jc w:val="both"/>
                              <w:rPr>
                                <w:noProof/>
                                <w:sz w:val="20"/>
                                <w:lang w:val="sq-AL"/>
                              </w:rPr>
                            </w:pPr>
                          </w:p>
                          <w:p w:rsidR="008E571B" w:rsidRPr="00EC094B" w:rsidRDefault="008E571B" w:rsidP="00EC5471">
                            <w:pPr>
                              <w:ind w:left="360"/>
                              <w:jc w:val="both"/>
                              <w:rPr>
                                <w:noProof/>
                                <w:sz w:val="20"/>
                                <w:lang w:val="sq-AL"/>
                              </w:rPr>
                            </w:pPr>
                            <w:r w:rsidRPr="00EC094B">
                              <w:rPr>
                                <w:noProof/>
                                <w:sz w:val="20"/>
                                <w:lang w:val="sq-AL"/>
                              </w:rPr>
                              <w:t>Në përputhje me këtë dispozitë (rregull</w:t>
                            </w:r>
                            <w:r>
                              <w:rPr>
                                <w:noProof/>
                                <w:sz w:val="20"/>
                                <w:lang w:val="sq-AL"/>
                              </w:rPr>
                              <w:t xml:space="preserve"> </w:t>
                            </w:r>
                            <w:r w:rsidRPr="00EC094B">
                              <w:rPr>
                                <w:noProof/>
                                <w:sz w:val="20"/>
                                <w:lang w:val="sq-AL"/>
                              </w:rPr>
                              <w:t>fiskal</w:t>
                            </w:r>
                            <w:r>
                              <w:rPr>
                                <w:noProof/>
                                <w:sz w:val="20"/>
                                <w:lang w:val="sq-AL"/>
                              </w:rPr>
                              <w:t xml:space="preserve"> – “rregulli i artë”</w:t>
                            </w:r>
                            <w:r w:rsidRPr="00EC094B">
                              <w:rPr>
                                <w:noProof/>
                                <w:sz w:val="20"/>
                                <w:lang w:val="sq-AL"/>
                              </w:rPr>
                              <w:t>) të LOB deficiti i targetuar në këtë ligj vjetor të buxhetit 201</w:t>
                            </w:r>
                            <w:r>
                              <w:rPr>
                                <w:noProof/>
                                <w:sz w:val="20"/>
                                <w:lang w:val="sq-AL"/>
                              </w:rPr>
                              <w:t>8 është 56% më i</w:t>
                            </w:r>
                            <w:r w:rsidRPr="00EC094B">
                              <w:rPr>
                                <w:noProof/>
                                <w:sz w:val="20"/>
                                <w:lang w:val="sq-AL"/>
                              </w:rPr>
                              <w:t xml:space="preserve"> ulët se sa shpenzimet kapitale të planifikuara direkt për qeverisjen q</w:t>
                            </w:r>
                            <w:r>
                              <w:rPr>
                                <w:noProof/>
                                <w:sz w:val="20"/>
                                <w:lang w:val="sq-AL"/>
                              </w:rPr>
                              <w:t>endrore ose rreth 62% më i</w:t>
                            </w:r>
                            <w:r w:rsidRPr="00EC094B">
                              <w:rPr>
                                <w:noProof/>
                                <w:sz w:val="20"/>
                                <w:lang w:val="sq-AL"/>
                              </w:rPr>
                              <w:t xml:space="preserve"> ulët se sa shpenzimet kapitale të financuara nga qeverisja q</w:t>
                            </w:r>
                            <w:r>
                              <w:rPr>
                                <w:noProof/>
                                <w:sz w:val="20"/>
                                <w:lang w:val="sq-AL"/>
                              </w:rPr>
                              <w:t>e</w:t>
                            </w:r>
                            <w:r w:rsidRPr="00EC094B">
                              <w:rPr>
                                <w:noProof/>
                                <w:sz w:val="20"/>
                                <w:lang w:val="sq-AL"/>
                              </w:rPr>
                              <w:t>ndrore</w:t>
                            </w:r>
                            <w:r>
                              <w:rPr>
                                <w:noProof/>
                                <w:sz w:val="20"/>
                                <w:lang w:val="sq-AL"/>
                              </w:rPr>
                              <w:t>,</w:t>
                            </w:r>
                            <w:r w:rsidRPr="00EC094B">
                              <w:rPr>
                                <w:noProof/>
                                <w:sz w:val="20"/>
                                <w:lang w:val="sq-AL"/>
                              </w:rPr>
                              <w:t xml:space="preserve"> por të alokuara edhe për FZHR</w:t>
                            </w:r>
                            <w:r>
                              <w:rPr>
                                <w:noProof/>
                                <w:sz w:val="20"/>
                                <w:lang w:val="sq-AL"/>
                              </w:rPr>
                              <w:t xml:space="preserve">, </w:t>
                            </w:r>
                            <w:r w:rsidRPr="00EC094B">
                              <w:rPr>
                                <w:noProof/>
                                <w:sz w:val="20"/>
                                <w:lang w:val="sq-AL"/>
                              </w:rPr>
                              <w:t>si dhe për sektorin e energjisë në formë kredie direkte për investime drejt këtij sektori.</w:t>
                            </w:r>
                            <w:r>
                              <w:rPr>
                                <w:noProof/>
                                <w:sz w:val="20"/>
                                <w:lang w:val="sq-AL"/>
                              </w:rPr>
                              <w:t xml:space="preserve"> Rrjedhimisht, balanca korente e tarteguar është pozitive në nivelin prej rreth 3.2% të PBB, duke shënuar gjithashtu një ndër vlerat më të larta të këtij parametri të rëndësishëm në 25 vite.</w:t>
                            </w:r>
                          </w:p>
                          <w:p w:rsidR="008E571B" w:rsidRPr="00AB477F" w:rsidRDefault="008E571B" w:rsidP="00EC5471">
                            <w:pPr>
                              <w:rPr>
                                <w:lang w:val="sq-AL"/>
                              </w:rPr>
                            </w:pPr>
                            <w:r w:rsidRPr="00AB477F">
                              <w:rPr>
                                <w:lang w:val="sq-AL"/>
                              </w:rPr>
                              <w:t>__________</w:t>
                            </w:r>
                          </w:p>
                          <w:p w:rsidR="008E571B" w:rsidRPr="00A86F67" w:rsidRDefault="008E571B" w:rsidP="00A86F67">
                            <w:pPr>
                              <w:pStyle w:val="ListParagraph"/>
                              <w:numPr>
                                <w:ilvl w:val="0"/>
                                <w:numId w:val="113"/>
                              </w:numPr>
                              <w:rPr>
                                <w:i/>
                                <w:iCs/>
                                <w:sz w:val="20"/>
                                <w:lang w:val="sq-AL"/>
                              </w:rPr>
                            </w:pPr>
                            <w:r w:rsidRPr="00E95C2B">
                              <w:rPr>
                                <w:i/>
                                <w:iCs/>
                                <w:sz w:val="20"/>
                                <w:lang w:val="sq-AL"/>
                              </w:rPr>
                              <w:t>Në vlerë nominale stoku i borxhit total i pritur (vlerësuar) për vitin 2017 është 1,112.7 miliardë lekë, ndërsa ai i targetuar për vitin 2018 është 1,137.6 miliardë lekë. Ndërsa projeksionet (parashikimet)  e PBB nominale janë respektivisht 1,555.2 miliardë lekë për vitin 2017 dhe 1,650 miliardë lekë për vitin 2018.</w:t>
                            </w:r>
                          </w:p>
                          <w:p w:rsidR="008E571B" w:rsidRPr="00E95C2B" w:rsidRDefault="008E571B" w:rsidP="00E95C2B">
                            <w:pPr>
                              <w:pStyle w:val="ListParagraph"/>
                              <w:rPr>
                                <w:i/>
                                <w:iCs/>
                                <w:sz w:val="20"/>
                                <w:lang w:val="sq-AL"/>
                              </w:rPr>
                            </w:pPr>
                            <w:hyperlink r:id="rId9" w:history="1">
                              <w:r w:rsidRPr="00340EAD">
                                <w:rPr>
                                  <w:rStyle w:val="Hyperlink"/>
                                  <w:i/>
                                  <w:iCs/>
                                  <w:sz w:val="20"/>
                                  <w:lang w:val="sq-AL"/>
                                </w:rPr>
                                <w:t>http://www.imf.org/en/Publications/WEO/Issues/2017/09/19/world-</w:t>
                              </w:r>
                            </w:hyperlink>
                            <w:r w:rsidRPr="00E95C2B">
                              <w:rPr>
                                <w:rStyle w:val="Hyperlink"/>
                                <w:i/>
                                <w:sz w:val="20"/>
                                <w:szCs w:val="20"/>
                                <w:lang w:val="sq-AL"/>
                              </w:rPr>
                              <w:t>economic-outlook-october-2017</w:t>
                            </w:r>
                          </w:p>
                          <w:p w:rsidR="008E571B" w:rsidRDefault="008E57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A74C76" id="_x0000_t202" coordsize="21600,21600" o:spt="202" path="m,l,21600r21600,l21600,xe">
                <v:stroke joinstyle="miter"/>
                <v:path gradientshapeok="t" o:connecttype="rect"/>
              </v:shapetype>
              <v:shape id="Text Box 8" o:spid="_x0000_s1026" type="#_x0000_t202" style="position:absolute;left:0;text-align:left;margin-left:-16.3pt;margin-top:-17.8pt;width:542.15pt;height:738.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" fillcolor="#f2f2f2">
                <v:textbox>
                  <w:txbxContent>
                    <w:p w:rsidR="008E571B" w:rsidRDefault="008E571B" w:rsidP="00EC5471">
                      <w:pPr>
                        <w:jc w:val="both"/>
                        <w:rPr>
                          <w:noProof/>
                          <w:sz w:val="20"/>
                          <w:lang w:val="sq-AL"/>
                        </w:rPr>
                      </w:pPr>
                    </w:p>
                    <w:p w:rsidR="008E571B" w:rsidRPr="00AB477F" w:rsidRDefault="008E571B" w:rsidP="00EC5471">
                      <w:pPr>
                        <w:jc w:val="center"/>
                        <w:rPr>
                          <w:b/>
                          <w:iCs/>
                          <w:noProof/>
                          <w:lang w:val="sq-AL"/>
                        </w:rPr>
                      </w:pPr>
                      <w:r w:rsidRPr="00640E8D">
                        <w:rPr>
                          <w:rFonts w:ascii="Cambria" w:eastAsia="Times New Roman" w:hAnsi="Cambria"/>
                          <w:b/>
                          <w:iCs/>
                          <w:szCs w:val="20"/>
                          <w:lang w:val="sq-AL"/>
                        </w:rPr>
                        <w:t>PARIMET DHE RREGULLAT FISKALË</w:t>
                      </w:r>
                    </w:p>
                    <w:p w:rsidR="008E571B" w:rsidRDefault="008E571B" w:rsidP="00EC5471">
                      <w:pPr>
                        <w:jc w:val="both"/>
                        <w:rPr>
                          <w:noProof/>
                          <w:sz w:val="20"/>
                          <w:lang w:val="sq-AL"/>
                        </w:rPr>
                      </w:pPr>
                    </w:p>
                    <w:p w:rsidR="008E571B" w:rsidRPr="00EC094B" w:rsidRDefault="008E571B" w:rsidP="00EC5471">
                      <w:pPr>
                        <w:jc w:val="both"/>
                        <w:rPr>
                          <w:noProof/>
                          <w:sz w:val="20"/>
                          <w:lang w:val="sq-AL"/>
                        </w:rPr>
                      </w:pPr>
                      <w:r w:rsidRPr="00EC094B">
                        <w:rPr>
                          <w:noProof/>
                          <w:sz w:val="20"/>
                          <w:lang w:val="sq-AL"/>
                        </w:rPr>
                        <w:t>Në përputhje të plotë me obligimet që rrjedhin prej Ligjit Organik të Buxhetit nr 57/2016, ligji i buxhetit për vitin 201</w:t>
                      </w:r>
                      <w:r>
                        <w:rPr>
                          <w:noProof/>
                          <w:sz w:val="20"/>
                          <w:lang w:val="sq-AL"/>
                        </w:rPr>
                        <w:t>8</w:t>
                      </w:r>
                      <w:r w:rsidRPr="00EC094B">
                        <w:rPr>
                          <w:noProof/>
                          <w:sz w:val="20"/>
                          <w:lang w:val="sq-AL"/>
                        </w:rPr>
                        <w:t xml:space="preserve">, materializon parimet dhe rregullat fiskalë </w:t>
                      </w:r>
                      <w:r>
                        <w:rPr>
                          <w:noProof/>
                          <w:sz w:val="20"/>
                          <w:lang w:val="sq-AL"/>
                        </w:rPr>
                        <w:t>të</w:t>
                      </w:r>
                      <w:r w:rsidRPr="00EC094B">
                        <w:rPr>
                          <w:noProof/>
                          <w:sz w:val="20"/>
                          <w:lang w:val="sq-AL"/>
                        </w:rPr>
                        <w:t xml:space="preserve"> mëposhtëm:</w:t>
                      </w: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qëndrojë poshtë nivelit 45 për qind të Produktit të Brendshëm Bruto;</w:t>
                      </w:r>
                    </w:p>
                    <w:p w:rsidR="008E571B" w:rsidRPr="00EC094B" w:rsidRDefault="008E571B" w:rsidP="00EC5471">
                      <w:pPr>
                        <w:jc w:val="both"/>
                        <w:rPr>
                          <w:noProof/>
                          <w:sz w:val="20"/>
                          <w:lang w:val="sq-AL"/>
                        </w:rPr>
                      </w:pPr>
                    </w:p>
                    <w:p w:rsidR="008E571B" w:rsidRPr="00EC094B" w:rsidRDefault="008E571B" w:rsidP="00EC5471">
                      <w:pPr>
                        <w:jc w:val="both"/>
                        <w:rPr>
                          <w:noProof/>
                          <w:sz w:val="20"/>
                          <w:lang w:val="sq-AL"/>
                        </w:rPr>
                      </w:pPr>
                      <w:r w:rsidRPr="00EC094B">
                        <w:rPr>
                          <w:noProof/>
                          <w:sz w:val="20"/>
                          <w:lang w:val="sq-AL"/>
                        </w:rPr>
                        <w:t>Në përputhje me këtë dispozitë (rregull fiskal) të LOB, ligji vjetor i buxhetit 201</w:t>
                      </w:r>
                      <w:r>
                        <w:rPr>
                          <w:noProof/>
                          <w:sz w:val="20"/>
                          <w:lang w:val="sq-AL"/>
                        </w:rPr>
                        <w:t>8</w:t>
                      </w:r>
                      <w:r w:rsidRPr="00EC094B">
                        <w:rPr>
                          <w:noProof/>
                          <w:sz w:val="20"/>
                          <w:lang w:val="sq-AL"/>
                        </w:rPr>
                        <w:t xml:space="preserve"> targeton një niv</w:t>
                      </w:r>
                      <w:r>
                        <w:rPr>
                          <w:noProof/>
                          <w:sz w:val="20"/>
                          <w:lang w:val="sq-AL"/>
                        </w:rPr>
                        <w:t>el të borxhit publik total në 68.8% të PBB nga niveli prej 69.1</w:t>
                      </w:r>
                      <w:r w:rsidRPr="00EC094B">
                        <w:rPr>
                          <w:noProof/>
                          <w:sz w:val="20"/>
                          <w:lang w:val="sq-AL"/>
                        </w:rPr>
                        <w:t xml:space="preserve">% e PBB i </w:t>
                      </w:r>
                      <w:r>
                        <w:rPr>
                          <w:noProof/>
                          <w:sz w:val="20"/>
                          <w:lang w:val="sq-AL"/>
                        </w:rPr>
                        <w:t xml:space="preserve">targetuar </w:t>
                      </w:r>
                      <w:r w:rsidRPr="00EC094B">
                        <w:rPr>
                          <w:noProof/>
                          <w:sz w:val="20"/>
                          <w:lang w:val="sq-AL"/>
                        </w:rPr>
                        <w:t>për vitin 201</w:t>
                      </w:r>
                      <w:r>
                        <w:rPr>
                          <w:noProof/>
                          <w:sz w:val="20"/>
                          <w:lang w:val="sq-AL"/>
                        </w:rPr>
                        <w:t>7</w:t>
                      </w:r>
                      <w:r w:rsidRPr="00EC094B">
                        <w:rPr>
                          <w:noProof/>
                          <w:sz w:val="20"/>
                          <w:lang w:val="sq-AL"/>
                        </w:rPr>
                        <w:t>.</w:t>
                      </w:r>
                    </w:p>
                    <w:p w:rsidR="008E571B" w:rsidRPr="00EC094B" w:rsidRDefault="008E571B" w:rsidP="00EC5471">
                      <w:pPr>
                        <w:ind w:left="360"/>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t>
                      </w:r>
                      <w:r>
                        <w:rPr>
                          <w:i/>
                          <w:noProof/>
                          <w:sz w:val="20"/>
                          <w:lang w:val="sq-AL"/>
                        </w:rPr>
                        <w:t>Ë</w:t>
                      </w:r>
                      <w:r w:rsidRPr="00EC094B">
                        <w:rPr>
                          <w:i/>
                          <w:noProof/>
                          <w:sz w:val="20"/>
                          <w:lang w:val="sq-AL"/>
                        </w:rPr>
                        <w:t xml:space="preserve">orld Economic Outlook), të Fondit Monetar Ndërkombëtar, më i fundit i publikuar në kohën kur ligji vjetor i buxhetit dorëzohet për miratim në Kuvend. Kjo dokumentohet qartësisht në relacionin shoqërues të ligjit vjetor të buxhetit; </w:t>
                      </w:r>
                    </w:p>
                    <w:p w:rsidR="008E571B" w:rsidRPr="00EC094B" w:rsidRDefault="008E571B" w:rsidP="00EC5471">
                      <w:pPr>
                        <w:ind w:left="360"/>
                        <w:jc w:val="both"/>
                        <w:rPr>
                          <w:noProof/>
                          <w:sz w:val="20"/>
                          <w:lang w:val="sq-AL"/>
                        </w:rPr>
                      </w:pPr>
                    </w:p>
                    <w:p w:rsidR="008E571B" w:rsidRPr="00EC094B" w:rsidRDefault="008E571B" w:rsidP="00EC5471">
                      <w:pPr>
                        <w:jc w:val="both"/>
                        <w:rPr>
                          <w:noProof/>
                          <w:sz w:val="20"/>
                          <w:lang w:val="sq-AL"/>
                        </w:rPr>
                      </w:pPr>
                      <w:r w:rsidRPr="00EC094B">
                        <w:rPr>
                          <w:noProof/>
                          <w:sz w:val="20"/>
                          <w:lang w:val="sq-AL"/>
                        </w:rPr>
                        <w:t>Në përputhje me këtë dispozitë (rregull fiskal)  të LOB, ligji vjetor i buxhetit 201</w:t>
                      </w:r>
                      <w:r>
                        <w:rPr>
                          <w:noProof/>
                          <w:sz w:val="20"/>
                          <w:lang w:val="sq-AL"/>
                        </w:rPr>
                        <w:t>8</w:t>
                      </w:r>
                      <w:r w:rsidRPr="00EC094B">
                        <w:rPr>
                          <w:noProof/>
                          <w:sz w:val="20"/>
                          <w:lang w:val="sq-AL"/>
                        </w:rPr>
                        <w:t xml:space="preserve"> bazohet në projeksio</w:t>
                      </w:r>
                      <w:r>
                        <w:rPr>
                          <w:noProof/>
                          <w:sz w:val="20"/>
                          <w:lang w:val="sq-AL"/>
                        </w:rPr>
                        <w:t>n</w:t>
                      </w:r>
                      <w:r w:rsidRPr="00EC094B">
                        <w:rPr>
                          <w:noProof/>
                          <w:sz w:val="20"/>
                          <w:lang w:val="sq-AL"/>
                        </w:rPr>
                        <w:t>et e mëposhtme të PBB nominale, të cilat paraqiten në mënyrë krahasimore kundrejt projeksioneve të raportit “Perspektiva ekonomike botërore” (</w:t>
                      </w:r>
                      <w:r>
                        <w:rPr>
                          <w:noProof/>
                          <w:sz w:val="20"/>
                          <w:lang w:val="sq-AL"/>
                        </w:rPr>
                        <w:t>Ë</w:t>
                      </w:r>
                      <w:r w:rsidRPr="00EC094B">
                        <w:rPr>
                          <w:noProof/>
                          <w:sz w:val="20"/>
                          <w:lang w:val="sq-AL"/>
                        </w:rPr>
                        <w:t>orld Economic Outlook), të Fondit Monetar Ndërkombët</w:t>
                      </w:r>
                      <w:r>
                        <w:rPr>
                          <w:noProof/>
                          <w:sz w:val="20"/>
                          <w:lang w:val="sq-AL"/>
                        </w:rPr>
                        <w:t>ar, më i fundit i publikuar më</w:t>
                      </w:r>
                      <w:r w:rsidRPr="00EC094B">
                        <w:rPr>
                          <w:noProof/>
                          <w:sz w:val="20"/>
                          <w:lang w:val="sq-AL"/>
                        </w:rPr>
                        <w:t xml:space="preserve"> Tetor 201</w:t>
                      </w:r>
                      <w:r>
                        <w:rPr>
                          <w:noProof/>
                          <w:sz w:val="20"/>
                          <w:lang w:val="sq-AL"/>
                        </w:rPr>
                        <w:t>7</w:t>
                      </w:r>
                      <w:r>
                        <w:rPr>
                          <w:rStyle w:val="FootnoteReference"/>
                          <w:noProof/>
                          <w:sz w:val="20"/>
                          <w:lang w:val="sq-AL"/>
                        </w:rPr>
                        <w:t>2</w:t>
                      </w:r>
                      <w:r w:rsidRPr="00EC094B">
                        <w:rPr>
                          <w:noProof/>
                          <w:sz w:val="20"/>
                          <w:lang w:val="sq-AL"/>
                        </w:rPr>
                        <w:t xml:space="preserve">: </w:t>
                      </w:r>
                    </w:p>
                    <w:p w:rsidR="008E571B" w:rsidRPr="00EC094B" w:rsidRDefault="008E571B" w:rsidP="00EC5471">
                      <w:pPr>
                        <w:ind w:left="360"/>
                        <w:jc w:val="both"/>
                        <w:rPr>
                          <w:noProof/>
                          <w:sz w:val="20"/>
                          <w:lang w:val="sq-AL"/>
                        </w:rPr>
                      </w:pPr>
                    </w:p>
                    <w:p w:rsidR="008E571B" w:rsidRPr="00EC094B" w:rsidRDefault="008E571B" w:rsidP="00EC5471">
                      <w:pPr>
                        <w:jc w:val="both"/>
                        <w:rPr>
                          <w:noProof/>
                          <w:sz w:val="20"/>
                          <w:lang w:val="sq-AL"/>
                        </w:rPr>
                      </w:pPr>
                      <w:r w:rsidRPr="00EC094B">
                        <w:rPr>
                          <w:noProof/>
                          <w:sz w:val="20"/>
                          <w:lang w:val="sq-AL"/>
                        </w:rPr>
                        <w:t xml:space="preserve">     Parashikimet e PBB nominale të FMN dhe Ministrisë së Financave </w:t>
                      </w:r>
                    </w:p>
                    <w:tbl>
                      <w:tblPr>
                        <w:tblW w:w="9323" w:type="dxa"/>
                        <w:tblBorders>
                          <w:top w:val="single" w:sz="12" w:space="0" w:color="000000"/>
                          <w:bottom w:val="single" w:sz="12" w:space="0" w:color="000000"/>
                        </w:tblBorders>
                        <w:tblLook w:val="04A0" w:firstRow="1" w:lastRow="0" w:firstColumn="1" w:lastColumn="0" w:noHBand="0" w:noVBand="1"/>
                      </w:tblPr>
                      <w:tblGrid>
                        <w:gridCol w:w="3248"/>
                        <w:gridCol w:w="1030"/>
                        <w:gridCol w:w="1009"/>
                        <w:gridCol w:w="1009"/>
                        <w:gridCol w:w="1009"/>
                        <w:gridCol w:w="1009"/>
                        <w:gridCol w:w="1009"/>
                      </w:tblGrid>
                      <w:tr w:rsidR="008E571B" w:rsidRPr="00EC094B" w:rsidTr="00653DFF">
                        <w:trPr>
                          <w:trHeight w:val="319"/>
                        </w:trPr>
                        <w:tc>
                          <w:tcPr>
                            <w:tcW w:w="3248" w:type="dxa"/>
                            <w:tcBorders>
                              <w:bottom w:val="single" w:sz="6" w:space="0" w:color="000000"/>
                              <w:right w:val="single" w:sz="6" w:space="0" w:color="000000"/>
                            </w:tcBorders>
                            <w:shd w:val="clear" w:color="auto" w:fill="auto"/>
                            <w:noWrap/>
                            <w:hideMark/>
                          </w:tcPr>
                          <w:p w:rsidR="008E571B" w:rsidRPr="008049F1" w:rsidRDefault="008E571B" w:rsidP="00AD09A8">
                            <w:pP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në miliard lekë</w:t>
                            </w:r>
                          </w:p>
                        </w:tc>
                        <w:tc>
                          <w:tcPr>
                            <w:tcW w:w="1030"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2014</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2015</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2016</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E571B" w:rsidRPr="008049F1" w:rsidRDefault="008E571B" w:rsidP="00653DFF">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2017</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2018</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E571B" w:rsidRPr="008049F1" w:rsidRDefault="008E571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2019</w:t>
                            </w:r>
                            <w:r>
                              <w:rPr>
                                <w:rFonts w:ascii="Calibri" w:eastAsia="Times New Roman" w:hAnsi="Calibri"/>
                                <w:b/>
                                <w:bCs/>
                                <w:i/>
                                <w:iCs/>
                                <w:noProof/>
                                <w:sz w:val="18"/>
                                <w:szCs w:val="22"/>
                                <w:lang w:val="sq-AL"/>
                              </w:rPr>
                              <w:br/>
                              <w:t>Para.</w:t>
                            </w:r>
                          </w:p>
                        </w:tc>
                      </w:tr>
                      <w:tr w:rsidR="008E571B" w:rsidRPr="00EC094B" w:rsidTr="00653DFF">
                        <w:trPr>
                          <w:trHeight w:val="319"/>
                        </w:trPr>
                        <w:tc>
                          <w:tcPr>
                            <w:tcW w:w="3248" w:type="dxa"/>
                            <w:tcBorders>
                              <w:right w:val="single" w:sz="6" w:space="0" w:color="000000"/>
                            </w:tcBorders>
                            <w:shd w:val="clear" w:color="auto" w:fill="auto"/>
                            <w:noWrap/>
                            <w:hideMark/>
                          </w:tcPr>
                          <w:p w:rsidR="008E571B" w:rsidRPr="008049F1" w:rsidRDefault="008E571B" w:rsidP="00E95C2B">
                            <w:pPr>
                              <w:rPr>
                                <w:rFonts w:ascii="Calibri" w:eastAsia="Times New Roman" w:hAnsi="Calibri"/>
                                <w:noProof/>
                                <w:sz w:val="18"/>
                                <w:szCs w:val="22"/>
                                <w:lang w:val="sq-AL"/>
                              </w:rPr>
                            </w:pPr>
                            <w:r w:rsidRPr="008049F1">
                              <w:rPr>
                                <w:rFonts w:ascii="Calibri" w:eastAsia="Times New Roman" w:hAnsi="Calibri"/>
                                <w:noProof/>
                                <w:sz w:val="18"/>
                                <w:szCs w:val="22"/>
                                <w:lang w:val="sq-AL"/>
                              </w:rPr>
                              <w:t>FMN - Perspektiva Ekon. Bot.</w:t>
                            </w:r>
                          </w:p>
                        </w:tc>
                        <w:tc>
                          <w:tcPr>
                            <w:tcW w:w="1030"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w:t>
                            </w:r>
                            <w:r>
                              <w:rPr>
                                <w:rFonts w:ascii="Calibri" w:eastAsia="Times New Roman" w:hAnsi="Calibri"/>
                                <w:noProof/>
                                <w:sz w:val="18"/>
                                <w:szCs w:val="22"/>
                                <w:lang w:val="sq-AL"/>
                              </w:rPr>
                              <w:t>5</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w:t>
                            </w:r>
                            <w:r>
                              <w:rPr>
                                <w:rFonts w:ascii="Calibri" w:eastAsia="Times New Roman" w:hAnsi="Calibri"/>
                                <w:noProof/>
                                <w:sz w:val="18"/>
                                <w:szCs w:val="22"/>
                                <w:lang w:val="sq-AL"/>
                              </w:rPr>
                              <w:t>28</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w:t>
                            </w:r>
                            <w:r>
                              <w:rPr>
                                <w:rFonts w:ascii="Calibri" w:eastAsia="Times New Roman" w:hAnsi="Calibri"/>
                                <w:noProof/>
                                <w:sz w:val="18"/>
                                <w:szCs w:val="22"/>
                                <w:lang w:val="sq-AL"/>
                              </w:rPr>
                              <w:t>473</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w:t>
                            </w:r>
                            <w:r>
                              <w:rPr>
                                <w:rFonts w:ascii="Calibri" w:eastAsia="Times New Roman" w:hAnsi="Calibri"/>
                                <w:noProof/>
                                <w:sz w:val="18"/>
                                <w:szCs w:val="22"/>
                                <w:lang w:val="sq-AL"/>
                              </w:rPr>
                              <w:t>55</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1,650</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1,755</w:t>
                            </w:r>
                          </w:p>
                        </w:tc>
                      </w:tr>
                      <w:tr w:rsidR="008E571B" w:rsidRPr="00EC094B" w:rsidTr="00653DFF">
                        <w:trPr>
                          <w:trHeight w:val="319"/>
                        </w:trPr>
                        <w:tc>
                          <w:tcPr>
                            <w:tcW w:w="3248" w:type="dxa"/>
                            <w:tcBorders>
                              <w:right w:val="single" w:sz="6" w:space="0" w:color="000000"/>
                            </w:tcBorders>
                            <w:shd w:val="clear" w:color="auto" w:fill="auto"/>
                            <w:noWrap/>
                            <w:hideMark/>
                          </w:tcPr>
                          <w:p w:rsidR="008E571B" w:rsidRPr="008049F1" w:rsidRDefault="008E571B" w:rsidP="00E95C2B">
                            <w:pPr>
                              <w:rPr>
                                <w:rFonts w:ascii="Calibri" w:eastAsia="Times New Roman" w:hAnsi="Calibri"/>
                                <w:noProof/>
                                <w:sz w:val="18"/>
                                <w:szCs w:val="22"/>
                                <w:lang w:val="sq-AL"/>
                              </w:rPr>
                            </w:pPr>
                            <w:r w:rsidRPr="008049F1">
                              <w:rPr>
                                <w:rFonts w:ascii="Calibri" w:eastAsia="Times New Roman" w:hAnsi="Calibri"/>
                                <w:noProof/>
                                <w:sz w:val="18"/>
                                <w:szCs w:val="22"/>
                                <w:lang w:val="sq-AL"/>
                              </w:rPr>
                              <w:t>Ministria e Financave</w:t>
                            </w:r>
                          </w:p>
                        </w:tc>
                        <w:tc>
                          <w:tcPr>
                            <w:tcW w:w="1030"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w:t>
                            </w:r>
                            <w:r>
                              <w:rPr>
                                <w:rFonts w:ascii="Calibri" w:eastAsia="Times New Roman" w:hAnsi="Calibri"/>
                                <w:noProof/>
                                <w:sz w:val="18"/>
                                <w:szCs w:val="22"/>
                                <w:lang w:val="sq-AL"/>
                              </w:rPr>
                              <w:t>5</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w:t>
                            </w:r>
                            <w:r>
                              <w:rPr>
                                <w:rFonts w:ascii="Calibri" w:eastAsia="Times New Roman" w:hAnsi="Calibri"/>
                                <w:noProof/>
                                <w:sz w:val="18"/>
                                <w:szCs w:val="22"/>
                                <w:lang w:val="sq-AL"/>
                              </w:rPr>
                              <w:t>28</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w:t>
                            </w:r>
                            <w:r>
                              <w:rPr>
                                <w:rFonts w:ascii="Calibri" w:eastAsia="Times New Roman" w:hAnsi="Calibri"/>
                                <w:noProof/>
                                <w:sz w:val="18"/>
                                <w:szCs w:val="22"/>
                                <w:lang w:val="sq-AL"/>
                              </w:rPr>
                              <w:t>473</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w:t>
                            </w:r>
                            <w:r>
                              <w:rPr>
                                <w:rFonts w:ascii="Calibri" w:eastAsia="Times New Roman" w:hAnsi="Calibri"/>
                                <w:noProof/>
                                <w:sz w:val="18"/>
                                <w:szCs w:val="22"/>
                                <w:lang w:val="sq-AL"/>
                              </w:rPr>
                              <w:t>55</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1,650</w:t>
                            </w:r>
                          </w:p>
                        </w:tc>
                        <w:tc>
                          <w:tcPr>
                            <w:tcW w:w="1009" w:type="dxa"/>
                            <w:shd w:val="clear" w:color="auto" w:fill="auto"/>
                            <w:noWrap/>
                            <w:hideMark/>
                          </w:tcPr>
                          <w:p w:rsidR="008E571B" w:rsidRPr="00A15516" w:rsidRDefault="008E571B" w:rsidP="00E95C2B">
                            <w:pPr>
                              <w:jc w:val="center"/>
                              <w:rPr>
                                <w:rFonts w:ascii="Calibri" w:eastAsia="Times New Roman" w:hAnsi="Calibri"/>
                                <w:noProof/>
                                <w:sz w:val="18"/>
                                <w:szCs w:val="22"/>
                                <w:lang w:val="sq-AL"/>
                              </w:rPr>
                            </w:pPr>
                            <w:r w:rsidRPr="00A15516">
                              <w:rPr>
                                <w:rFonts w:ascii="Calibri" w:eastAsia="Times New Roman" w:hAnsi="Calibri"/>
                                <w:noProof/>
                                <w:sz w:val="18"/>
                                <w:szCs w:val="22"/>
                                <w:lang w:val="sq-AL"/>
                              </w:rPr>
                              <w:t>1,755</w:t>
                            </w:r>
                          </w:p>
                        </w:tc>
                      </w:tr>
                      <w:tr w:rsidR="008E571B" w:rsidRPr="00EC094B" w:rsidTr="00653DFF">
                        <w:trPr>
                          <w:trHeight w:val="319"/>
                        </w:trPr>
                        <w:tc>
                          <w:tcPr>
                            <w:tcW w:w="3248" w:type="dxa"/>
                            <w:tcBorders>
                              <w:right w:val="single" w:sz="6" w:space="0" w:color="000000"/>
                            </w:tcBorders>
                            <w:shd w:val="clear" w:color="auto" w:fill="auto"/>
                            <w:noWrap/>
                            <w:hideMark/>
                          </w:tcPr>
                          <w:p w:rsidR="008E571B" w:rsidRPr="008049F1" w:rsidRDefault="008E571B" w:rsidP="00E95C2B">
                            <w:pPr>
                              <w:rPr>
                                <w:rFonts w:ascii="Calibri" w:eastAsia="Times New Roman" w:hAnsi="Calibri"/>
                                <w:noProof/>
                                <w:sz w:val="18"/>
                                <w:szCs w:val="22"/>
                                <w:lang w:val="sq-AL"/>
                              </w:rPr>
                            </w:pPr>
                            <w:r w:rsidRPr="008049F1">
                              <w:rPr>
                                <w:rFonts w:ascii="Calibri" w:eastAsia="Times New Roman" w:hAnsi="Calibri"/>
                                <w:noProof/>
                                <w:sz w:val="18"/>
                                <w:szCs w:val="22"/>
                                <w:lang w:val="sq-AL"/>
                              </w:rPr>
                              <w:t xml:space="preserve">Diferenca FMN - MeF </w:t>
                            </w:r>
                          </w:p>
                          <w:p w:rsidR="008E571B" w:rsidRPr="008049F1" w:rsidRDefault="008E571B" w:rsidP="00E95C2B">
                            <w:pPr>
                              <w:rPr>
                                <w:rFonts w:ascii="Calibri" w:eastAsia="Times New Roman" w:hAnsi="Calibri"/>
                                <w:noProof/>
                                <w:sz w:val="14"/>
                                <w:szCs w:val="18"/>
                                <w:lang w:val="sq-AL"/>
                              </w:rPr>
                            </w:pPr>
                            <w:r w:rsidRPr="008049F1">
                              <w:rPr>
                                <w:rFonts w:ascii="Calibri" w:eastAsia="Times New Roman" w:hAnsi="Calibri"/>
                                <w:noProof/>
                                <w:sz w:val="14"/>
                                <w:szCs w:val="18"/>
                                <w:lang w:val="sq-AL"/>
                              </w:rPr>
                              <w:t>(duhet te jete jo më e vogël se zero)</w:t>
                            </w:r>
                          </w:p>
                        </w:tc>
                        <w:tc>
                          <w:tcPr>
                            <w:tcW w:w="1030"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c>
                          <w:tcPr>
                            <w:tcW w:w="1009" w:type="dxa"/>
                            <w:shd w:val="clear" w:color="auto" w:fill="auto"/>
                            <w:noWrap/>
                            <w:hideMark/>
                          </w:tcPr>
                          <w:p w:rsidR="008E571B" w:rsidRPr="008049F1" w:rsidRDefault="008E571B" w:rsidP="00E95C2B">
                            <w:pPr>
                              <w:jc w:val="center"/>
                              <w:rPr>
                                <w:rFonts w:ascii="Calibri" w:eastAsia="Times New Roman" w:hAnsi="Calibri"/>
                                <w:noProof/>
                                <w:sz w:val="18"/>
                                <w:szCs w:val="22"/>
                                <w:lang w:val="sq-AL"/>
                              </w:rPr>
                            </w:pPr>
                            <w:r>
                              <w:rPr>
                                <w:rFonts w:ascii="Calibri" w:eastAsia="Times New Roman" w:hAnsi="Calibri"/>
                                <w:noProof/>
                                <w:sz w:val="18"/>
                                <w:szCs w:val="22"/>
                                <w:lang w:val="sq-AL"/>
                              </w:rPr>
                              <w:t>0</w:t>
                            </w:r>
                          </w:p>
                        </w:tc>
                      </w:tr>
                    </w:tbl>
                    <w:p w:rsidR="008E571B" w:rsidRPr="00EC094B" w:rsidRDefault="008E571B" w:rsidP="00EC5471">
                      <w:pPr>
                        <w:jc w:val="both"/>
                        <w:rPr>
                          <w:noProof/>
                          <w:sz w:val="20"/>
                          <w:lang w:val="sq-AL"/>
                        </w:rPr>
                      </w:pP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r>
                        <w:rPr>
                          <w:i/>
                          <w:noProof/>
                          <w:sz w:val="20"/>
                          <w:lang w:val="sq-AL"/>
                        </w:rPr>
                        <w:t>.</w:t>
                      </w:r>
                    </w:p>
                    <w:p w:rsidR="008E571B" w:rsidRPr="00EC094B" w:rsidRDefault="008E571B" w:rsidP="00EC5471">
                      <w:pPr>
                        <w:jc w:val="both"/>
                        <w:rPr>
                          <w:i/>
                          <w:noProof/>
                          <w:sz w:val="20"/>
                          <w:lang w:val="sq-AL"/>
                        </w:rPr>
                      </w:pPr>
                    </w:p>
                    <w:p w:rsidR="008E571B" w:rsidRPr="00EC094B" w:rsidRDefault="008E571B" w:rsidP="00EC5471">
                      <w:pPr>
                        <w:jc w:val="both"/>
                        <w:rPr>
                          <w:noProof/>
                          <w:sz w:val="20"/>
                          <w:lang w:val="sq-AL"/>
                        </w:rPr>
                      </w:pPr>
                      <w:r w:rsidRPr="00302AF3">
                        <w:rPr>
                          <w:noProof/>
                          <w:sz w:val="20"/>
                          <w:lang w:val="sq-AL"/>
                        </w:rPr>
                        <w:t>Në përputhje me këtë dispozitë (rregull fiskal)  të LOB, ligji vjetor i buxhetit 201</w:t>
                      </w:r>
                      <w:r>
                        <w:rPr>
                          <w:noProof/>
                          <w:sz w:val="20"/>
                          <w:lang w:val="sq-AL"/>
                        </w:rPr>
                        <w:t>8</w:t>
                      </w:r>
                      <w:r w:rsidRPr="00302AF3">
                        <w:rPr>
                          <w:noProof/>
                          <w:sz w:val="20"/>
                          <w:lang w:val="sq-AL"/>
                        </w:rPr>
                        <w:t xml:space="preserve"> përfshin në një zë të veçantë të tij, emërtuar </w:t>
                      </w:r>
                      <w:r w:rsidRPr="00302AF3">
                        <w:rPr>
                          <w:i/>
                          <w:noProof/>
                          <w:sz w:val="20"/>
                          <w:lang w:val="sq-AL"/>
                        </w:rPr>
                        <w:t xml:space="preserve">“Kontigjencë për impaktin në borxhin publik nga luhatjet e normave të interesit, et.j” </w:t>
                      </w:r>
                      <w:r w:rsidRPr="00302AF3">
                        <w:rPr>
                          <w:noProof/>
                          <w:sz w:val="20"/>
                          <w:lang w:val="sq-AL"/>
                        </w:rPr>
                        <w:t>një kontigjencë prej 4 miliardë lekë ose 0.</w:t>
                      </w:r>
                      <w:r>
                        <w:rPr>
                          <w:noProof/>
                          <w:sz w:val="20"/>
                          <w:lang w:val="sq-AL"/>
                        </w:rPr>
                        <w:t>8</w:t>
                      </w:r>
                      <w:r w:rsidRPr="00302AF3">
                        <w:rPr>
                          <w:noProof/>
                          <w:sz w:val="20"/>
                          <w:lang w:val="sq-AL"/>
                        </w:rPr>
                        <w:t>% e shpenzimeve totale.</w:t>
                      </w:r>
                      <w:r w:rsidRPr="00EC094B">
                        <w:rPr>
                          <w:noProof/>
                          <w:sz w:val="20"/>
                          <w:lang w:val="sq-AL"/>
                        </w:rPr>
                        <w:t xml:space="preserve"> Kjo vlerë e përfshirë në buxhet është e papërdorshme për qëllime të tjera përve</w:t>
                      </w:r>
                      <w:r>
                        <w:rPr>
                          <w:noProof/>
                          <w:sz w:val="20"/>
                          <w:lang w:val="sq-AL"/>
                        </w:rPr>
                        <w:t>ç</w:t>
                      </w:r>
                      <w:r w:rsidRPr="00EC094B">
                        <w:rPr>
                          <w:noProof/>
                          <w:sz w:val="20"/>
                          <w:lang w:val="sq-AL"/>
                        </w:rPr>
                        <w:t xml:space="preserve"> pagesës së interesave nëse këto të fundit për të gjithë vitin në tërësi rezultojnë më tepër se sa alokimet respektive në buxhet.  </w:t>
                      </w: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8E571B" w:rsidRPr="00EC094B" w:rsidRDefault="008E571B" w:rsidP="00EC5471">
                      <w:pPr>
                        <w:jc w:val="both"/>
                        <w:rPr>
                          <w:i/>
                          <w:noProof/>
                          <w:sz w:val="20"/>
                          <w:lang w:val="sq-AL"/>
                        </w:rPr>
                      </w:pPr>
                    </w:p>
                    <w:p w:rsidR="008E571B" w:rsidRDefault="008E571B" w:rsidP="00EC5471">
                      <w:pPr>
                        <w:jc w:val="both"/>
                        <w:rPr>
                          <w:noProof/>
                          <w:sz w:val="20"/>
                          <w:lang w:val="sq-AL"/>
                        </w:rPr>
                      </w:pPr>
                      <w:r w:rsidRPr="00653DFF">
                        <w:rPr>
                          <w:noProof/>
                          <w:sz w:val="20"/>
                          <w:lang w:val="sq-AL"/>
                        </w:rPr>
                        <w:t>Në përputhje me këtë dispozitë (rregull fiskal) të LOB, ligji vjetor i buxhetit 201</w:t>
                      </w:r>
                      <w:r>
                        <w:rPr>
                          <w:noProof/>
                          <w:sz w:val="20"/>
                          <w:lang w:val="sq-AL"/>
                        </w:rPr>
                        <w:t>8</w:t>
                      </w:r>
                      <w:r w:rsidRPr="00653DFF">
                        <w:rPr>
                          <w:noProof/>
                          <w:sz w:val="20"/>
                          <w:lang w:val="sq-AL"/>
                        </w:rPr>
                        <w:t xml:space="preserve"> nuk përfshin të hyra nga privatizimet e mundshme.</w:t>
                      </w:r>
                    </w:p>
                    <w:p w:rsidR="008E571B" w:rsidRPr="00EC094B" w:rsidRDefault="008E571B" w:rsidP="00EC5471">
                      <w:pPr>
                        <w:jc w:val="both"/>
                        <w:rPr>
                          <w:noProof/>
                          <w:sz w:val="20"/>
                          <w:lang w:val="sq-AL"/>
                        </w:rPr>
                      </w:pPr>
                    </w:p>
                    <w:p w:rsidR="008E571B" w:rsidRPr="00EC094B" w:rsidRDefault="008E571B" w:rsidP="00EC5471">
                      <w:pPr>
                        <w:numPr>
                          <w:ilvl w:val="0"/>
                          <w:numId w:val="7"/>
                        </w:numPr>
                        <w:jc w:val="both"/>
                        <w:rPr>
                          <w:i/>
                          <w:noProof/>
                          <w:sz w:val="20"/>
                          <w:lang w:val="sq-AL"/>
                        </w:rPr>
                      </w:pPr>
                      <w:r w:rsidRPr="00EC094B">
                        <w:rPr>
                          <w:i/>
                          <w:noProof/>
                          <w:sz w:val="20"/>
                          <w:lang w:val="sq-AL"/>
                        </w:rPr>
                        <w:t>Masa e deficitit buxhetor nuk mund të tejkalojë masën e shpenzimeve kapitale të parashikuara çdo vit në ligjin e buxhetit.</w:t>
                      </w:r>
                    </w:p>
                    <w:p w:rsidR="008E571B" w:rsidRPr="00EC094B" w:rsidRDefault="008E571B" w:rsidP="00EC5471">
                      <w:pPr>
                        <w:ind w:left="360"/>
                        <w:jc w:val="both"/>
                        <w:rPr>
                          <w:noProof/>
                          <w:sz w:val="20"/>
                          <w:lang w:val="sq-AL"/>
                        </w:rPr>
                      </w:pPr>
                    </w:p>
                    <w:p w:rsidR="008E571B" w:rsidRPr="00EC094B" w:rsidRDefault="008E571B" w:rsidP="00EC5471">
                      <w:pPr>
                        <w:ind w:left="360"/>
                        <w:jc w:val="both"/>
                        <w:rPr>
                          <w:noProof/>
                          <w:sz w:val="20"/>
                          <w:lang w:val="sq-AL"/>
                        </w:rPr>
                      </w:pPr>
                      <w:r w:rsidRPr="00EC094B">
                        <w:rPr>
                          <w:noProof/>
                          <w:sz w:val="20"/>
                          <w:lang w:val="sq-AL"/>
                        </w:rPr>
                        <w:t>Në përputhje me këtë dispozitë (rregull</w:t>
                      </w:r>
                      <w:r>
                        <w:rPr>
                          <w:noProof/>
                          <w:sz w:val="20"/>
                          <w:lang w:val="sq-AL"/>
                        </w:rPr>
                        <w:t xml:space="preserve"> </w:t>
                      </w:r>
                      <w:r w:rsidRPr="00EC094B">
                        <w:rPr>
                          <w:noProof/>
                          <w:sz w:val="20"/>
                          <w:lang w:val="sq-AL"/>
                        </w:rPr>
                        <w:t>fiskal</w:t>
                      </w:r>
                      <w:r>
                        <w:rPr>
                          <w:noProof/>
                          <w:sz w:val="20"/>
                          <w:lang w:val="sq-AL"/>
                        </w:rPr>
                        <w:t xml:space="preserve"> – “rregulli i artë”</w:t>
                      </w:r>
                      <w:r w:rsidRPr="00EC094B">
                        <w:rPr>
                          <w:noProof/>
                          <w:sz w:val="20"/>
                          <w:lang w:val="sq-AL"/>
                        </w:rPr>
                        <w:t>) të LOB deficiti i targetuar në këtë ligj vjetor të buxhetit 201</w:t>
                      </w:r>
                      <w:r>
                        <w:rPr>
                          <w:noProof/>
                          <w:sz w:val="20"/>
                          <w:lang w:val="sq-AL"/>
                        </w:rPr>
                        <w:t>8 është 56% më i</w:t>
                      </w:r>
                      <w:r w:rsidRPr="00EC094B">
                        <w:rPr>
                          <w:noProof/>
                          <w:sz w:val="20"/>
                          <w:lang w:val="sq-AL"/>
                        </w:rPr>
                        <w:t xml:space="preserve"> ulët se sa shpenzimet kapitale të planifikuara direkt për qeverisjen q</w:t>
                      </w:r>
                      <w:r>
                        <w:rPr>
                          <w:noProof/>
                          <w:sz w:val="20"/>
                          <w:lang w:val="sq-AL"/>
                        </w:rPr>
                        <w:t>endrore ose rreth 62% më i</w:t>
                      </w:r>
                      <w:r w:rsidRPr="00EC094B">
                        <w:rPr>
                          <w:noProof/>
                          <w:sz w:val="20"/>
                          <w:lang w:val="sq-AL"/>
                        </w:rPr>
                        <w:t xml:space="preserve"> ulët se sa shpenzimet kapitale të financuara nga qeverisja q</w:t>
                      </w:r>
                      <w:r>
                        <w:rPr>
                          <w:noProof/>
                          <w:sz w:val="20"/>
                          <w:lang w:val="sq-AL"/>
                        </w:rPr>
                        <w:t>e</w:t>
                      </w:r>
                      <w:r w:rsidRPr="00EC094B">
                        <w:rPr>
                          <w:noProof/>
                          <w:sz w:val="20"/>
                          <w:lang w:val="sq-AL"/>
                        </w:rPr>
                        <w:t>ndrore</w:t>
                      </w:r>
                      <w:r>
                        <w:rPr>
                          <w:noProof/>
                          <w:sz w:val="20"/>
                          <w:lang w:val="sq-AL"/>
                        </w:rPr>
                        <w:t>,</w:t>
                      </w:r>
                      <w:r w:rsidRPr="00EC094B">
                        <w:rPr>
                          <w:noProof/>
                          <w:sz w:val="20"/>
                          <w:lang w:val="sq-AL"/>
                        </w:rPr>
                        <w:t xml:space="preserve"> por të alokuara edhe për FZHR</w:t>
                      </w:r>
                      <w:r>
                        <w:rPr>
                          <w:noProof/>
                          <w:sz w:val="20"/>
                          <w:lang w:val="sq-AL"/>
                        </w:rPr>
                        <w:t xml:space="preserve">, </w:t>
                      </w:r>
                      <w:r w:rsidRPr="00EC094B">
                        <w:rPr>
                          <w:noProof/>
                          <w:sz w:val="20"/>
                          <w:lang w:val="sq-AL"/>
                        </w:rPr>
                        <w:t>si dhe për sektorin e energjisë në formë kredie direkte për investime drejt këtij sektori.</w:t>
                      </w:r>
                      <w:r>
                        <w:rPr>
                          <w:noProof/>
                          <w:sz w:val="20"/>
                          <w:lang w:val="sq-AL"/>
                        </w:rPr>
                        <w:t xml:space="preserve"> Rrjedhimisht, balanca korente e tarteguar është pozitive në nivelin prej rreth 3.2% të PBB, duke shënuar gjithashtu një ndër vlerat më të larta të këtij parametri të rëndësishëm në 25 vite.</w:t>
                      </w:r>
                    </w:p>
                    <w:p w:rsidR="008E571B" w:rsidRPr="00AB477F" w:rsidRDefault="008E571B" w:rsidP="00EC5471">
                      <w:pPr>
                        <w:rPr>
                          <w:lang w:val="sq-AL"/>
                        </w:rPr>
                      </w:pPr>
                      <w:r w:rsidRPr="00AB477F">
                        <w:rPr>
                          <w:lang w:val="sq-AL"/>
                        </w:rPr>
                        <w:t>__________</w:t>
                      </w:r>
                    </w:p>
                    <w:p w:rsidR="008E571B" w:rsidRPr="00A86F67" w:rsidRDefault="008E571B" w:rsidP="00A86F67">
                      <w:pPr>
                        <w:pStyle w:val="ListParagraph"/>
                        <w:numPr>
                          <w:ilvl w:val="0"/>
                          <w:numId w:val="113"/>
                        </w:numPr>
                        <w:rPr>
                          <w:i/>
                          <w:iCs/>
                          <w:sz w:val="20"/>
                          <w:lang w:val="sq-AL"/>
                        </w:rPr>
                      </w:pPr>
                      <w:r w:rsidRPr="00E95C2B">
                        <w:rPr>
                          <w:i/>
                          <w:iCs/>
                          <w:sz w:val="20"/>
                          <w:lang w:val="sq-AL"/>
                        </w:rPr>
                        <w:t>Në vlerë nominale stoku i borxhit total i pritur (vlerësuar) për vitin 2017 është 1,112.7 miliardë lekë, ndërsa ai i targetuar për vitin 2018 është 1,137.6 miliardë lekë. Ndërsa projeksionet (parashikimet)  e PBB nominale janë respektivisht 1,555.2 miliardë lekë për vitin 2017 dhe 1,650 miliardë lekë për vitin 2018.</w:t>
                      </w:r>
                    </w:p>
                    <w:p w:rsidR="008E571B" w:rsidRPr="00E95C2B" w:rsidRDefault="008E571B" w:rsidP="00E95C2B">
                      <w:pPr>
                        <w:pStyle w:val="ListParagraph"/>
                        <w:rPr>
                          <w:i/>
                          <w:iCs/>
                          <w:sz w:val="20"/>
                          <w:lang w:val="sq-AL"/>
                        </w:rPr>
                      </w:pPr>
                      <w:hyperlink r:id="rId10" w:history="1">
                        <w:r w:rsidRPr="00340EAD">
                          <w:rPr>
                            <w:rStyle w:val="Hyperlink"/>
                            <w:i/>
                            <w:iCs/>
                            <w:sz w:val="20"/>
                            <w:lang w:val="sq-AL"/>
                          </w:rPr>
                          <w:t>http://www.imf.org/en/Publications/WEO/Issues/2017/09/19/world-</w:t>
                        </w:r>
                      </w:hyperlink>
                      <w:r w:rsidRPr="00E95C2B">
                        <w:rPr>
                          <w:rStyle w:val="Hyperlink"/>
                          <w:i/>
                          <w:sz w:val="20"/>
                          <w:szCs w:val="20"/>
                          <w:lang w:val="sq-AL"/>
                        </w:rPr>
                        <w:t>economic-outlook-october-2017</w:t>
                      </w:r>
                    </w:p>
                    <w:p w:rsidR="008E571B" w:rsidRDefault="008E571B"/>
                  </w:txbxContent>
                </v:textbox>
                <w10:wrap type="square"/>
              </v:shape>
            </w:pict>
          </mc:Fallback>
        </mc:AlternateContent>
      </w:r>
    </w:p>
    <w:p w:rsidR="004434CB" w:rsidRDefault="004434CB" w:rsidP="00944D7D">
      <w:pPr>
        <w:pStyle w:val="Heading1"/>
        <w:tabs>
          <w:tab w:val="clear" w:pos="5954"/>
          <w:tab w:val="center" w:pos="709"/>
        </w:tabs>
        <w:spacing w:line="276" w:lineRule="auto"/>
        <w:jc w:val="both"/>
        <w:rPr>
          <w:caps w:val="0"/>
          <w:sz w:val="26"/>
          <w:szCs w:val="26"/>
          <w:lang w:val="sq-AL"/>
        </w:rPr>
      </w:pPr>
      <w:bookmarkStart w:id="31" w:name="_Toc465950352"/>
      <w:bookmarkStart w:id="32" w:name="_Toc495672717"/>
    </w:p>
    <w:p w:rsidR="00B0121D" w:rsidRPr="00944D7D" w:rsidRDefault="00944D7D" w:rsidP="00944D7D">
      <w:pPr>
        <w:pStyle w:val="Heading1"/>
        <w:tabs>
          <w:tab w:val="clear" w:pos="5954"/>
          <w:tab w:val="center" w:pos="709"/>
        </w:tabs>
        <w:spacing w:line="276" w:lineRule="auto"/>
        <w:jc w:val="both"/>
        <w:rPr>
          <w:caps w:val="0"/>
          <w:sz w:val="26"/>
          <w:szCs w:val="26"/>
          <w:lang w:val="sq-AL"/>
        </w:rPr>
      </w:pPr>
      <w:r>
        <w:rPr>
          <w:caps w:val="0"/>
          <w:sz w:val="26"/>
          <w:szCs w:val="26"/>
          <w:lang w:val="sq-AL"/>
        </w:rPr>
        <w:t xml:space="preserve"> </w:t>
      </w:r>
      <w:bookmarkStart w:id="33" w:name="_Toc496520386"/>
      <w:r w:rsidR="004434CB">
        <w:rPr>
          <w:caps w:val="0"/>
          <w:sz w:val="26"/>
          <w:szCs w:val="26"/>
          <w:lang w:val="sq-AL"/>
        </w:rPr>
        <w:t xml:space="preserve">3.5 </w:t>
      </w:r>
      <w:r w:rsidR="00B0121D" w:rsidRPr="00944D7D">
        <w:rPr>
          <w:caps w:val="0"/>
          <w:sz w:val="26"/>
          <w:szCs w:val="26"/>
          <w:lang w:val="sq-AL"/>
        </w:rPr>
        <w:t>VEPRIMTARITË POTHUAJSE FISKALE</w:t>
      </w:r>
      <w:bookmarkEnd w:id="31"/>
      <w:bookmarkEnd w:id="32"/>
      <w:bookmarkEnd w:id="33"/>
      <w:r w:rsidR="00B0121D" w:rsidRPr="00944D7D">
        <w:rPr>
          <w:caps w:val="0"/>
          <w:sz w:val="26"/>
          <w:szCs w:val="26"/>
          <w:lang w:val="sq-AL"/>
        </w:rPr>
        <w:t xml:space="preserve"> </w:t>
      </w:r>
    </w:p>
    <w:p w:rsidR="004434CB" w:rsidRDefault="004434CB" w:rsidP="004434CB">
      <w:pPr>
        <w:jc w:val="both"/>
        <w:rPr>
          <w:lang w:val="sq-AL"/>
        </w:rPr>
      </w:pPr>
      <w:bookmarkStart w:id="34" w:name="_Toc465950353"/>
    </w:p>
    <w:p w:rsidR="004434CB" w:rsidRPr="004434CB" w:rsidRDefault="004434CB" w:rsidP="0057579A">
      <w:pPr>
        <w:spacing w:line="276" w:lineRule="auto"/>
        <w:jc w:val="both"/>
        <w:rPr>
          <w:lang w:val="sq-AL"/>
        </w:rPr>
      </w:pPr>
      <w:r w:rsidRPr="004434CB">
        <w:rPr>
          <w:lang w:val="sq-AL"/>
        </w:rPr>
        <w:t>Stoku i borxhit të garantuar në shtator 2017 arrin në rreth 50.8 miliard</w:t>
      </w:r>
      <w:r w:rsidR="000152A7">
        <w:rPr>
          <w:lang w:val="sq-AL"/>
        </w:rPr>
        <w:t>ë</w:t>
      </w:r>
      <w:r w:rsidRPr="004434CB">
        <w:rPr>
          <w:lang w:val="sq-AL"/>
        </w:rPr>
        <w:t xml:space="preserve"> </w:t>
      </w:r>
      <w:r w:rsidR="000152A7">
        <w:rPr>
          <w:lang w:val="sq-AL"/>
        </w:rPr>
        <w:t>l</w:t>
      </w:r>
      <w:r w:rsidRPr="004434CB">
        <w:rPr>
          <w:lang w:val="sq-AL"/>
        </w:rPr>
        <w:t>ek</w:t>
      </w:r>
      <w:r w:rsidR="000152A7">
        <w:rPr>
          <w:lang w:val="sq-AL"/>
        </w:rPr>
        <w:t>ë</w:t>
      </w:r>
      <w:r w:rsidRPr="004434CB">
        <w:rPr>
          <w:lang w:val="sq-AL"/>
        </w:rPr>
        <w:t xml:space="preserve"> </w:t>
      </w:r>
      <w:r w:rsidRPr="004434CB">
        <w:rPr>
          <w:i/>
          <w:lang w:val="sq-AL"/>
        </w:rPr>
        <w:t>(3.3% e PBB)</w:t>
      </w:r>
      <w:r w:rsidRPr="004434CB">
        <w:rPr>
          <w:lang w:val="sq-AL"/>
        </w:rPr>
        <w:t xml:space="preserve"> ose 4.7% e portofolit të borxhit të Qeverisjes Qendrore. Garancitë në tregun e brendshëm përfaqësojnë 59.4% të totalit të stokut të borxhit të garantuar ose 30.2 miliard</w:t>
      </w:r>
      <w:r w:rsidR="000152A7">
        <w:rPr>
          <w:lang w:val="sq-AL"/>
        </w:rPr>
        <w:t>ë</w:t>
      </w:r>
      <w:r w:rsidRPr="004434CB">
        <w:rPr>
          <w:lang w:val="sq-AL"/>
        </w:rPr>
        <w:t xml:space="preserve"> </w:t>
      </w:r>
      <w:r w:rsidR="000152A7">
        <w:rPr>
          <w:lang w:val="sq-AL"/>
        </w:rPr>
        <w:t>l</w:t>
      </w:r>
      <w:r w:rsidRPr="004434CB">
        <w:rPr>
          <w:lang w:val="sq-AL"/>
        </w:rPr>
        <w:t>ek</w:t>
      </w:r>
      <w:r w:rsidR="000152A7">
        <w:rPr>
          <w:lang w:val="sq-AL"/>
        </w:rPr>
        <w:t>ë</w:t>
      </w:r>
      <w:r w:rsidRPr="004434CB">
        <w:rPr>
          <w:lang w:val="sq-AL"/>
        </w:rPr>
        <w:t>, ndërsa garancitë e emetuara në favor të kreditorëve të huaj përfaqësojnë 40.6% të stokut të borxhit të garantuar ose 23.2 miliard</w:t>
      </w:r>
      <w:r w:rsidR="000152A7">
        <w:rPr>
          <w:lang w:val="sq-AL"/>
        </w:rPr>
        <w:t>ë</w:t>
      </w:r>
      <w:r w:rsidRPr="004434CB">
        <w:rPr>
          <w:lang w:val="sq-AL"/>
        </w:rPr>
        <w:t xml:space="preserve"> </w:t>
      </w:r>
      <w:r w:rsidR="000152A7">
        <w:rPr>
          <w:lang w:val="sq-AL"/>
        </w:rPr>
        <w:t>l</w:t>
      </w:r>
      <w:r w:rsidRPr="004434CB">
        <w:rPr>
          <w:lang w:val="sq-AL"/>
        </w:rPr>
        <w:t>ek</w:t>
      </w:r>
      <w:r w:rsidR="000152A7">
        <w:rPr>
          <w:lang w:val="sq-AL"/>
        </w:rPr>
        <w:t>ë</w:t>
      </w:r>
      <w:r w:rsidRPr="004434CB">
        <w:rPr>
          <w:lang w:val="sq-AL"/>
        </w:rPr>
        <w:t xml:space="preserve">. </w:t>
      </w:r>
    </w:p>
    <w:p w:rsidR="004434CB" w:rsidRPr="004434CB" w:rsidRDefault="004434CB" w:rsidP="0057579A">
      <w:pPr>
        <w:spacing w:line="276" w:lineRule="auto"/>
        <w:jc w:val="both"/>
        <w:rPr>
          <w:lang w:val="sq-AL"/>
        </w:rPr>
      </w:pPr>
    </w:p>
    <w:p w:rsidR="004434CB" w:rsidRPr="004434CB" w:rsidRDefault="004434CB" w:rsidP="0057579A">
      <w:pPr>
        <w:tabs>
          <w:tab w:val="left" w:pos="0"/>
        </w:tabs>
        <w:spacing w:line="276" w:lineRule="auto"/>
        <w:ind w:right="-1"/>
        <w:jc w:val="both"/>
        <w:rPr>
          <w:rFonts w:eastAsia="Calibri"/>
          <w:noProof/>
        </w:rPr>
      </w:pPr>
      <w:r w:rsidRPr="004434CB">
        <w:rPr>
          <w:rFonts w:eastAsia="Calibri"/>
          <w:noProof/>
        </w:rPr>
        <w:t xml:space="preserve">Garancitë e brendshme përbëhen nga linja kredie afatshkurtra dhe me norma interesi tregtare, të cilat i janë akorduar Korporatës Elektroenergjitike Shqiptare (KESH sh.a.) nga bankat tregtare vendase. Në dallim nga garancitë e brendshme, garancitë e huaja janë kredi afatgjata të akorduara kryesisht me norma interesi koncesionale. </w:t>
      </w:r>
    </w:p>
    <w:p w:rsidR="004434CB" w:rsidRPr="004434CB" w:rsidRDefault="004434CB" w:rsidP="0057579A">
      <w:pPr>
        <w:tabs>
          <w:tab w:val="left" w:pos="0"/>
        </w:tabs>
        <w:spacing w:line="276" w:lineRule="auto"/>
        <w:ind w:right="-1"/>
        <w:contextualSpacing/>
        <w:rPr>
          <w:rFonts w:eastAsia="Calibri"/>
          <w:noProof/>
          <w:sz w:val="16"/>
          <w:szCs w:val="16"/>
        </w:rPr>
      </w:pPr>
    </w:p>
    <w:p w:rsidR="004434CB" w:rsidRPr="004434CB" w:rsidRDefault="004434CB" w:rsidP="0057579A">
      <w:pPr>
        <w:tabs>
          <w:tab w:val="left" w:pos="0"/>
        </w:tabs>
        <w:spacing w:line="276" w:lineRule="auto"/>
        <w:ind w:right="-1"/>
        <w:jc w:val="both"/>
        <w:rPr>
          <w:rFonts w:eastAsia="Calibri"/>
          <w:noProof/>
        </w:rPr>
      </w:pPr>
      <w:r w:rsidRPr="004434CB">
        <w:rPr>
          <w:rFonts w:eastAsia="Calibri"/>
          <w:noProof/>
        </w:rPr>
        <w:t>Krahasuar me fundin e vitit të kaluar, borxhi i garantuar është ulur në vlerë absolute me 2.7 miliard</w:t>
      </w:r>
      <w:r w:rsidR="000152A7">
        <w:rPr>
          <w:rFonts w:eastAsia="Calibri"/>
          <w:noProof/>
        </w:rPr>
        <w:t>ë</w:t>
      </w:r>
      <w:r w:rsidRPr="004434CB">
        <w:rPr>
          <w:rFonts w:eastAsia="Calibri"/>
          <w:noProof/>
        </w:rPr>
        <w:t xml:space="preserve"> </w:t>
      </w:r>
      <w:r w:rsidR="000152A7">
        <w:rPr>
          <w:rFonts w:eastAsia="Calibri"/>
          <w:noProof/>
        </w:rPr>
        <w:t>l</w:t>
      </w:r>
      <w:r w:rsidRPr="004434CB">
        <w:rPr>
          <w:rFonts w:eastAsia="Calibri"/>
          <w:noProof/>
        </w:rPr>
        <w:t>ek</w:t>
      </w:r>
      <w:r w:rsidR="000152A7">
        <w:rPr>
          <w:rFonts w:eastAsia="Calibri"/>
          <w:noProof/>
        </w:rPr>
        <w:t>ë</w:t>
      </w:r>
      <w:r w:rsidRPr="004434CB">
        <w:rPr>
          <w:rFonts w:eastAsia="Calibri"/>
          <w:noProof/>
        </w:rPr>
        <w:t xml:space="preserve"> për shkak të nivelit relativisht më të lartë të ripagesave në raport me disbursimet. </w:t>
      </w:r>
    </w:p>
    <w:p w:rsidR="004434CB" w:rsidRPr="004434CB" w:rsidRDefault="004434CB" w:rsidP="0057579A">
      <w:pPr>
        <w:tabs>
          <w:tab w:val="left" w:pos="0"/>
        </w:tabs>
        <w:spacing w:line="276" w:lineRule="auto"/>
        <w:ind w:right="-1"/>
        <w:jc w:val="both"/>
        <w:rPr>
          <w:rFonts w:eastAsia="Calibri"/>
          <w:noProof/>
        </w:rPr>
      </w:pPr>
      <w:r w:rsidRPr="004434CB">
        <w:rPr>
          <w:rFonts w:eastAsia="Calibri"/>
          <w:noProof/>
        </w:rPr>
        <w:t xml:space="preserve">Rreth 83% e totalit të garancive shtetërore i përkasin sektorit të Energjisë. Akumulimi i lartë i garancive në drejtim të këtij sektori është në përputhje me objektivat e Qeverisë për të mbështetur sektorin e Energjisë, me qëllim që të përmirësojë performancën financiare dhe të rrisë efiçencën. </w:t>
      </w:r>
    </w:p>
    <w:p w:rsidR="004434CB" w:rsidRPr="004434CB" w:rsidRDefault="004434CB" w:rsidP="0057579A">
      <w:pPr>
        <w:spacing w:line="276" w:lineRule="auto"/>
        <w:jc w:val="both"/>
        <w:rPr>
          <w:lang w:val="sq-AL"/>
        </w:rPr>
      </w:pPr>
    </w:p>
    <w:p w:rsidR="004434CB" w:rsidRPr="004434CB" w:rsidRDefault="00074126" w:rsidP="0057579A">
      <w:pPr>
        <w:spacing w:line="276" w:lineRule="auto"/>
        <w:ind w:firstLine="567"/>
        <w:jc w:val="both"/>
        <w:rPr>
          <w:b/>
          <w:sz w:val="20"/>
          <w:szCs w:val="20"/>
          <w:lang w:val="sq-AL"/>
        </w:rPr>
      </w:pPr>
      <w:r>
        <w:rPr>
          <w:b/>
          <w:sz w:val="20"/>
          <w:szCs w:val="20"/>
          <w:lang w:val="sq-AL"/>
        </w:rPr>
        <w:t xml:space="preserve">        Grafiku 1</w:t>
      </w:r>
      <w:r w:rsidR="004434CB" w:rsidRPr="004434CB">
        <w:rPr>
          <w:b/>
          <w:sz w:val="20"/>
          <w:szCs w:val="20"/>
          <w:lang w:val="sq-AL"/>
        </w:rPr>
        <w:t xml:space="preserve">: </w:t>
      </w:r>
      <w:r w:rsidR="004434CB" w:rsidRPr="004434CB">
        <w:rPr>
          <w:i/>
          <w:sz w:val="20"/>
          <w:szCs w:val="20"/>
          <w:lang w:val="sq-AL"/>
        </w:rPr>
        <w:t>Garancitë sipas sektorëve ekonomikë (Shtator 2017)</w:t>
      </w:r>
    </w:p>
    <w:p w:rsidR="004434CB" w:rsidRPr="00B313B7" w:rsidRDefault="004434CB" w:rsidP="0057579A">
      <w:pPr>
        <w:spacing w:line="276" w:lineRule="auto"/>
        <w:jc w:val="center"/>
        <w:rPr>
          <w:highlight w:val="lightGray"/>
          <w:lang w:val="sq-AL"/>
        </w:rPr>
      </w:pPr>
      <w:r w:rsidRPr="00B24C94">
        <w:rPr>
          <w:noProof/>
        </w:rPr>
        <w:drawing>
          <wp:inline distT="0" distB="0" distL="0" distR="0" wp14:anchorId="33902054" wp14:editId="3B34F6BB">
            <wp:extent cx="6029435" cy="24479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263" cy="2449479"/>
                    </a:xfrm>
                    <a:prstGeom prst="rect">
                      <a:avLst/>
                    </a:prstGeom>
                    <a:noFill/>
                    <a:ln>
                      <a:noFill/>
                    </a:ln>
                  </pic:spPr>
                </pic:pic>
              </a:graphicData>
            </a:graphic>
          </wp:inline>
        </w:drawing>
      </w:r>
    </w:p>
    <w:p w:rsidR="004434CB" w:rsidRPr="004434CB" w:rsidRDefault="004434CB" w:rsidP="0057579A">
      <w:pPr>
        <w:spacing w:line="276" w:lineRule="auto"/>
        <w:rPr>
          <w:i/>
          <w:sz w:val="20"/>
          <w:szCs w:val="20"/>
          <w:lang w:val="sq-AL"/>
        </w:rPr>
      </w:pPr>
      <w:r w:rsidRPr="004434CB">
        <w:rPr>
          <w:b/>
          <w:i/>
          <w:sz w:val="20"/>
          <w:szCs w:val="20"/>
          <w:lang w:val="sq-AL"/>
        </w:rPr>
        <w:t xml:space="preserve">                   Burimi: </w:t>
      </w:r>
      <w:r w:rsidRPr="004434CB">
        <w:rPr>
          <w:i/>
          <w:sz w:val="20"/>
          <w:szCs w:val="20"/>
          <w:lang w:val="sq-AL"/>
        </w:rPr>
        <w:t>Ministria e Financave dhe Ekonomisë (2017)</w:t>
      </w:r>
    </w:p>
    <w:p w:rsidR="004434CB" w:rsidRPr="004434CB" w:rsidRDefault="004434CB" w:rsidP="0057579A">
      <w:pPr>
        <w:spacing w:line="276" w:lineRule="auto"/>
        <w:rPr>
          <w:i/>
          <w:sz w:val="20"/>
          <w:szCs w:val="20"/>
          <w:lang w:val="sq-AL"/>
        </w:rPr>
      </w:pPr>
    </w:p>
    <w:p w:rsidR="004434CB" w:rsidRPr="004434CB" w:rsidRDefault="004434CB" w:rsidP="0057579A">
      <w:pPr>
        <w:spacing w:line="276" w:lineRule="auto"/>
        <w:jc w:val="both"/>
        <w:rPr>
          <w:lang w:val="sq-AL"/>
        </w:rPr>
      </w:pPr>
      <w:r w:rsidRPr="004434CB">
        <w:rPr>
          <w:lang w:val="sq-AL"/>
        </w:rPr>
        <w:t>Gjatë vitit 2018, niveli i garancive shtetërore në terma relativ ndaj PBB dhe ndaj totalit të stokut të borxhit pritet të qëndrojë pothujse në të njëjtat nivele, ndërkohë që pritet të ketë një zhvendosje nga garancitë e brendshme në drejtim të atyre të huaja. Në këtë drejtim do të kontribuojë disbursimi i pjesshëm ose i plotë i Huasë së garantuar me BERZH</w:t>
      </w:r>
      <w:r w:rsidRPr="004434CB">
        <w:rPr>
          <w:rStyle w:val="FootnoteReference"/>
          <w:lang w:val="sq-AL"/>
        </w:rPr>
        <w:footnoteReference w:id="3"/>
      </w:r>
      <w:r w:rsidRPr="004434CB">
        <w:rPr>
          <w:lang w:val="sq-AL"/>
        </w:rPr>
        <w:t xml:space="preserve">, e cila do të mundësojë rifinancimin e linjave ekzistuese të </w:t>
      </w:r>
      <w:r w:rsidRPr="004434CB">
        <w:rPr>
          <w:i/>
          <w:lang w:val="sq-AL"/>
        </w:rPr>
        <w:t>Overdraft-it</w:t>
      </w:r>
      <w:r w:rsidRPr="004434CB">
        <w:rPr>
          <w:lang w:val="sq-AL"/>
        </w:rPr>
        <w:t xml:space="preserve"> që KESH ka me bankat vendase. Rifinancimi i linjave të </w:t>
      </w:r>
      <w:r w:rsidRPr="004434CB">
        <w:rPr>
          <w:i/>
          <w:lang w:val="sq-AL"/>
        </w:rPr>
        <w:t>Overdraft-it</w:t>
      </w:r>
      <w:r w:rsidRPr="004434CB">
        <w:rPr>
          <w:lang w:val="sq-AL"/>
        </w:rPr>
        <w:t xml:space="preserve"> do të shërbejë në uljen e riskut të rifinancimt dhe optimizimin e kostove të borxhit të KESH, pasi huaja e ofruar nga BERZH ofron terma ndjeshëm më të favorshme. Borxhi me terma më të buta pritet të përmirësojë aftësinë paguese të KESH dhe njëkohësisht të ulë ekspozimin e Qeverisë ndaj riskut të kreditit që paraqet kjo kompani.</w:t>
      </w:r>
    </w:p>
    <w:p w:rsidR="004434CB" w:rsidRPr="004434CB" w:rsidRDefault="004434CB" w:rsidP="0057579A">
      <w:pPr>
        <w:spacing w:line="276" w:lineRule="auto"/>
        <w:jc w:val="both"/>
        <w:rPr>
          <w:lang w:val="sq-AL"/>
        </w:rPr>
      </w:pPr>
      <w:r w:rsidRPr="004434CB">
        <w:rPr>
          <w:lang w:val="sq-AL"/>
        </w:rPr>
        <w:t>Përveç sa më sipër, gjatë vitit 2018 pritet edhe disbursimi</w:t>
      </w:r>
      <w:r w:rsidR="00A86F67">
        <w:rPr>
          <w:lang w:val="sq-AL"/>
        </w:rPr>
        <w:t xml:space="preserve"> i </w:t>
      </w:r>
      <w:r w:rsidRPr="004434CB">
        <w:rPr>
          <w:lang w:val="sq-AL"/>
        </w:rPr>
        <w:t>një pjes</w:t>
      </w:r>
      <w:r w:rsidR="00A86F67">
        <w:rPr>
          <w:lang w:val="sq-AL"/>
        </w:rPr>
        <w:t>e</w:t>
      </w:r>
      <w:r w:rsidRPr="004434CB">
        <w:rPr>
          <w:lang w:val="sq-AL"/>
        </w:rPr>
        <w:t xml:space="preserve"> të Huasë së garantuar në vlerën 50 milionë Euro, e cila do të mundësojë implementimin e projektit “Linja e transmetimit 400 kV Shqipëri-</w:t>
      </w:r>
      <w:r w:rsidRPr="004434CB">
        <w:rPr>
          <w:lang w:val="sq-AL"/>
        </w:rPr>
        <w:lastRenderedPageBreak/>
        <w:t xml:space="preserve">Maqedoni”. Investimi që do të mundësohet nga kjo kredi pritet që të ketë ndikim pozitiv në aspektin strategjik, si dhe në aspektin e uljes së kostove të gjenerimit të energjisë elektrike. </w:t>
      </w:r>
    </w:p>
    <w:p w:rsidR="004434CB" w:rsidRPr="004434CB" w:rsidRDefault="004434CB" w:rsidP="0057579A">
      <w:pPr>
        <w:spacing w:line="276" w:lineRule="auto"/>
        <w:jc w:val="both"/>
        <w:rPr>
          <w:rFonts w:eastAsia="Times New Roman"/>
          <w:kern w:val="24"/>
          <w:lang w:val="sq-AL"/>
        </w:rPr>
      </w:pPr>
      <w:r w:rsidRPr="004434CB">
        <w:rPr>
          <w:rFonts w:eastAsia="Times New Roman"/>
          <w:kern w:val="24"/>
          <w:lang w:val="sq-AL"/>
        </w:rPr>
        <w:t>Në pikëpamjen strategjike projekti synon: i) të përforcojë lidhjet e interkonjeksionit me rajonin, duke krijuar kushte për shkëmbime tregtare dhe tranzitime pa kufizim të energjisë elektrike në Rajon; ii) të zhvillojë rrjetin 400 kV në zonën Jugore të Shqipërisë ku parashikohen të zhvillohen burimet e ardhshme të prodhimit të energjisë elektrike; iii) të krijojë mundësi të mira për lidhje nëpërmjet  linjës nënujore me Italinë, si pjesë e infrastrukturës së Korridorit të Tetë Evropian.</w:t>
      </w:r>
    </w:p>
    <w:p w:rsidR="004434CB" w:rsidRPr="004434CB" w:rsidRDefault="004434CB" w:rsidP="0057579A">
      <w:pPr>
        <w:spacing w:line="276" w:lineRule="auto"/>
        <w:jc w:val="both"/>
        <w:rPr>
          <w:lang w:val="sq-AL"/>
        </w:rPr>
      </w:pPr>
      <w:r w:rsidRPr="004434CB">
        <w:rPr>
          <w:rFonts w:eastAsia="Times New Roman"/>
          <w:kern w:val="24"/>
          <w:lang w:val="sq-AL"/>
        </w:rPr>
        <w:t xml:space="preserve">Në pikëpamjen e kostos projekti synon: i) të ulë kostot nëpërmjet shfrytëzimit të burimeve më optimale të rajonit; ii) të krijojë kushtet për lidhje në rrjetin e transmetimit të burimeve të reja të energjisë që mund të rezultojnë me kosto më të ulët </w:t>
      </w:r>
      <w:r w:rsidRPr="004434CB">
        <w:rPr>
          <w:rFonts w:eastAsia="Times New Roman"/>
          <w:i/>
          <w:kern w:val="24"/>
          <w:lang w:val="sq-AL"/>
        </w:rPr>
        <w:t xml:space="preserve">(të tilla si: </w:t>
      </w:r>
      <w:r w:rsidRPr="004434CB">
        <w:rPr>
          <w:rFonts w:eastAsia="Tahoma"/>
          <w:i/>
          <w:kern w:val="24"/>
          <w:lang w:val="sq-AL"/>
        </w:rPr>
        <w:t>TEC me gaz në zonën e Korçës me përfundimin e projektit TAP, burimeve të rinovueshme diellore, me erë, etj)</w:t>
      </w:r>
      <w:r w:rsidRPr="004434CB">
        <w:rPr>
          <w:rFonts w:eastAsia="Tahoma"/>
          <w:kern w:val="24"/>
          <w:lang w:val="sq-AL"/>
        </w:rPr>
        <w:t xml:space="preserve">; iii) të reduktojë humbjet e energjisë elektrike në rrjetin e transmetimit. </w:t>
      </w:r>
      <w:r w:rsidRPr="004434CB">
        <w:rPr>
          <w:lang w:val="sq-AL"/>
        </w:rPr>
        <w:t>Nga ana tjetër, ulja e kostove do të shoqërohet me zbutjen e detyrimeve të kompanive që operojnë në fushën e prodhimit, transmetimit dhe shpërndarjes së energjisë elektrike, duke reduktuar ekspozimin e Qeverisë si garantuese dhe si financuese e drejtpërdrejtë, ndaj riskut të kreditit të këtyre entiteteve.</w:t>
      </w:r>
    </w:p>
    <w:p w:rsidR="004434CB" w:rsidRPr="004434CB" w:rsidRDefault="004434CB" w:rsidP="0057579A">
      <w:pPr>
        <w:spacing w:line="276" w:lineRule="auto"/>
        <w:rPr>
          <w:sz w:val="16"/>
          <w:szCs w:val="16"/>
          <w:lang w:val="sq-AL"/>
        </w:rPr>
      </w:pPr>
    </w:p>
    <w:p w:rsidR="004434CB" w:rsidRPr="004434CB" w:rsidRDefault="004434CB" w:rsidP="0057579A">
      <w:pPr>
        <w:spacing w:line="276" w:lineRule="auto"/>
        <w:jc w:val="both"/>
        <w:rPr>
          <w:lang w:val="sq-AL"/>
        </w:rPr>
      </w:pPr>
      <w:r w:rsidRPr="004434CB">
        <w:rPr>
          <w:lang w:val="sq-AL"/>
        </w:rPr>
        <w:t>Aktualisht, nga 25 kredi të huaja të garantuara, 5 janë në fazë disbursimi, ndërkohë që nuk ka pasur asnjë emetim garancie të re gjatë 9 muajve të vitit 2017. Në tabelën e mëposhtme paraqitet lista e garancive të emetuara nga Qeveria:</w:t>
      </w:r>
    </w:p>
    <w:p w:rsidR="004434CB" w:rsidRPr="004434CB" w:rsidRDefault="004434CB" w:rsidP="004434CB">
      <w:pPr>
        <w:spacing w:line="276" w:lineRule="auto"/>
        <w:jc w:val="both"/>
        <w:rPr>
          <w:b/>
          <w:sz w:val="20"/>
          <w:szCs w:val="20"/>
          <w:lang w:val="sq-AL"/>
        </w:rPr>
      </w:pPr>
    </w:p>
    <w:p w:rsidR="004434CB" w:rsidRPr="004434CB" w:rsidRDefault="00074126" w:rsidP="004434CB">
      <w:pPr>
        <w:spacing w:line="276" w:lineRule="auto"/>
        <w:jc w:val="both"/>
        <w:rPr>
          <w:lang w:val="sq-AL"/>
        </w:rPr>
      </w:pPr>
      <w:r>
        <w:rPr>
          <w:b/>
          <w:sz w:val="20"/>
          <w:szCs w:val="20"/>
          <w:lang w:val="sq-AL"/>
        </w:rPr>
        <w:t>Tabela 11</w:t>
      </w:r>
      <w:r w:rsidR="004434CB" w:rsidRPr="004434CB">
        <w:rPr>
          <w:b/>
          <w:sz w:val="20"/>
          <w:szCs w:val="20"/>
          <w:lang w:val="sq-AL"/>
        </w:rPr>
        <w:t xml:space="preserve">: </w:t>
      </w:r>
      <w:r w:rsidR="004434CB" w:rsidRPr="00956529">
        <w:rPr>
          <w:sz w:val="20"/>
          <w:szCs w:val="20"/>
          <w:lang w:val="sq-AL"/>
        </w:rPr>
        <w:t>Garancitë Qeveritare</w:t>
      </w:r>
    </w:p>
    <w:p w:rsidR="00C179AC" w:rsidRPr="00944D7D" w:rsidRDefault="004434CB" w:rsidP="00453B2E">
      <w:pPr>
        <w:pStyle w:val="ListParagraph"/>
        <w:spacing w:line="276" w:lineRule="auto"/>
        <w:ind w:left="0"/>
        <w:jc w:val="both"/>
        <w:rPr>
          <w:b/>
          <w:sz w:val="20"/>
          <w:szCs w:val="20"/>
          <w:lang w:val="sq-AL"/>
        </w:rPr>
      </w:pPr>
      <w:r w:rsidRPr="00B24C94">
        <w:rPr>
          <w:noProof/>
        </w:rPr>
        <w:drawing>
          <wp:inline distT="0" distB="0" distL="0" distR="0" wp14:anchorId="79EA30F5" wp14:editId="28651CB8">
            <wp:extent cx="6496050" cy="464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4648200"/>
                    </a:xfrm>
                    <a:prstGeom prst="rect">
                      <a:avLst/>
                    </a:prstGeom>
                    <a:noFill/>
                    <a:ln>
                      <a:noFill/>
                    </a:ln>
                  </pic:spPr>
                </pic:pic>
              </a:graphicData>
            </a:graphic>
          </wp:inline>
        </w:drawing>
      </w:r>
    </w:p>
    <w:p w:rsidR="004434CB" w:rsidRPr="00C576E4" w:rsidRDefault="004434CB" w:rsidP="004434CB">
      <w:pPr>
        <w:spacing w:line="276" w:lineRule="auto"/>
        <w:rPr>
          <w:lang w:val="sq-AL"/>
        </w:rPr>
      </w:pPr>
      <w:r w:rsidRPr="00A4664A">
        <w:rPr>
          <w:b/>
          <w:i/>
          <w:sz w:val="20"/>
          <w:szCs w:val="20"/>
          <w:lang w:val="sq-AL"/>
        </w:rPr>
        <w:t xml:space="preserve">Burimi: </w:t>
      </w:r>
      <w:r w:rsidRPr="00A4664A">
        <w:rPr>
          <w:i/>
          <w:sz w:val="20"/>
          <w:szCs w:val="20"/>
          <w:lang w:val="sq-AL"/>
        </w:rPr>
        <w:t>Ministria e Financave dhe Ekonomisë (2017)</w:t>
      </w:r>
    </w:p>
    <w:p w:rsidR="004434CB" w:rsidRDefault="004434CB" w:rsidP="003C5B4B">
      <w:pPr>
        <w:pStyle w:val="ListParagraph"/>
        <w:spacing w:line="276" w:lineRule="auto"/>
        <w:ind w:left="375"/>
        <w:jc w:val="both"/>
        <w:rPr>
          <w:b/>
          <w:sz w:val="20"/>
          <w:szCs w:val="20"/>
          <w:lang w:val="sq-AL"/>
        </w:rPr>
      </w:pPr>
    </w:p>
    <w:p w:rsidR="00C179AC" w:rsidRPr="00C179AC" w:rsidRDefault="00C179AC" w:rsidP="003C5B4B">
      <w:pPr>
        <w:pStyle w:val="ListParagraph"/>
        <w:spacing w:line="276" w:lineRule="auto"/>
        <w:ind w:left="375"/>
        <w:jc w:val="both"/>
        <w:rPr>
          <w:highlight w:val="lightGray"/>
          <w:lang w:val="sq-AL"/>
        </w:rPr>
      </w:pPr>
      <w:r w:rsidRPr="00C179AC">
        <w:rPr>
          <w:i/>
          <w:sz w:val="20"/>
          <w:szCs w:val="20"/>
          <w:highlight w:val="lightGray"/>
          <w:lang w:val="sq-AL"/>
        </w:rPr>
        <w:t xml:space="preserve">                                            </w:t>
      </w:r>
    </w:p>
    <w:p w:rsidR="00B0121D" w:rsidRPr="00D94792" w:rsidRDefault="00DF6420" w:rsidP="002C5B1B">
      <w:pPr>
        <w:pStyle w:val="Heading1"/>
        <w:numPr>
          <w:ilvl w:val="1"/>
          <w:numId w:val="30"/>
        </w:numPr>
        <w:tabs>
          <w:tab w:val="clear" w:pos="5954"/>
          <w:tab w:val="center" w:pos="709"/>
        </w:tabs>
        <w:spacing w:line="276" w:lineRule="auto"/>
        <w:jc w:val="both"/>
        <w:rPr>
          <w:caps w:val="0"/>
          <w:sz w:val="26"/>
          <w:szCs w:val="26"/>
          <w:lang w:val="sq-AL"/>
        </w:rPr>
      </w:pPr>
      <w:r w:rsidRPr="00D94792">
        <w:rPr>
          <w:caps w:val="0"/>
          <w:sz w:val="26"/>
          <w:szCs w:val="26"/>
          <w:lang w:val="sq-AL"/>
        </w:rPr>
        <w:lastRenderedPageBreak/>
        <w:t xml:space="preserve"> </w:t>
      </w:r>
      <w:bookmarkStart w:id="35" w:name="_Toc495672718"/>
      <w:bookmarkStart w:id="36" w:name="_Toc496520387"/>
      <w:r w:rsidR="00B0121D" w:rsidRPr="00D94792">
        <w:rPr>
          <w:caps w:val="0"/>
          <w:sz w:val="26"/>
          <w:szCs w:val="26"/>
          <w:lang w:val="sq-AL"/>
        </w:rPr>
        <w:t>MINIMIZIMI I RISKUT PËR VEPRIMET EKSTRA-BUXHETORE</w:t>
      </w:r>
      <w:bookmarkEnd w:id="34"/>
      <w:bookmarkEnd w:id="35"/>
      <w:bookmarkEnd w:id="36"/>
      <w:r w:rsidR="00B0121D" w:rsidRPr="00D94792">
        <w:rPr>
          <w:caps w:val="0"/>
          <w:sz w:val="26"/>
          <w:szCs w:val="26"/>
          <w:lang w:val="sq-AL"/>
        </w:rPr>
        <w:tab/>
      </w:r>
    </w:p>
    <w:p w:rsidR="00B0121D" w:rsidRPr="00D94792" w:rsidRDefault="00B0121D" w:rsidP="003C5B4B">
      <w:pPr>
        <w:spacing w:line="276" w:lineRule="auto"/>
        <w:jc w:val="both"/>
        <w:rPr>
          <w:lang w:val="sq-AL"/>
        </w:rPr>
      </w:pPr>
    </w:p>
    <w:p w:rsidR="005E2166" w:rsidRPr="00D94792" w:rsidRDefault="005E2166" w:rsidP="005E2166">
      <w:pPr>
        <w:spacing w:line="276" w:lineRule="auto"/>
        <w:jc w:val="both"/>
        <w:rPr>
          <w:lang w:val="sq-AL"/>
        </w:rPr>
      </w:pPr>
      <w:r w:rsidRPr="00D94792">
        <w:rPr>
          <w:lang w:val="sq-AL"/>
        </w:rPr>
        <w:t>Ministria e Financave dhe Ekonomis</w:t>
      </w:r>
      <w:r>
        <w:rPr>
          <w:lang w:val="sq-AL"/>
        </w:rPr>
        <w:t>ë</w:t>
      </w:r>
      <w:r w:rsidRPr="00D94792">
        <w:rPr>
          <w:lang w:val="sq-AL"/>
        </w:rPr>
        <w:t xml:space="preserv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w:t>
      </w:r>
      <w:r w:rsidRPr="00D94792">
        <w:rPr>
          <w:lang w:val="sq-AL"/>
        </w:rPr>
        <w:tab/>
      </w:r>
    </w:p>
    <w:p w:rsidR="005E2166" w:rsidRPr="00D94792" w:rsidRDefault="005E2166" w:rsidP="005E2166">
      <w:pPr>
        <w:spacing w:line="276" w:lineRule="auto"/>
        <w:jc w:val="both"/>
        <w:rPr>
          <w:lang w:val="sq-AL"/>
        </w:rPr>
      </w:pPr>
    </w:p>
    <w:p w:rsidR="005E2166" w:rsidRPr="00D94792" w:rsidRDefault="005E2166" w:rsidP="005E2166">
      <w:pPr>
        <w:spacing w:line="276" w:lineRule="auto"/>
        <w:jc w:val="both"/>
        <w:rPr>
          <w:lang w:val="sq-AL"/>
        </w:rPr>
      </w:pPr>
      <w:r w:rsidRPr="00D94792">
        <w:rPr>
          <w:lang w:val="sq-AL"/>
        </w:rPr>
        <w:t xml:space="preserve">Shuma e përgjithshme e pagesave vjetore neto, që kryhen nga njësitë e qeverisjes së përgjithshme, të cilat rezultojnë nga kontrata koncesionare apo partneriteti publik privat (PPP), si rregull, nuk duhet të tejkalojnë </w:t>
      </w:r>
      <w:r w:rsidRPr="00D94792">
        <w:rPr>
          <w:u w:val="single"/>
          <w:lang w:val="sq-AL"/>
        </w:rPr>
        <w:t>kufirin prej 5 për qind të të ardhurave tatimore faktike të vitit paraardhës buxhetor</w:t>
      </w:r>
      <w:r w:rsidRPr="00D94792">
        <w:rPr>
          <w:lang w:val="sq-AL"/>
        </w:rPr>
        <w:t xml:space="preserve">. Në rast tejkalimi të këtij kufiri, Këshilli i Ministrave merr masa korrektuese në krahun e të ardhurave buxhetore, të nevojshme dhe të mjaftueshme, për t’u rikthyer brenda kufirit të lejuar, gjatë dy viteve të ardhshme buxhetore. </w:t>
      </w:r>
    </w:p>
    <w:p w:rsidR="005E2166" w:rsidRPr="00D94792" w:rsidRDefault="005E2166" w:rsidP="005E2166">
      <w:pPr>
        <w:spacing w:line="276" w:lineRule="auto"/>
        <w:jc w:val="both"/>
        <w:rPr>
          <w:lang w:val="sq-AL"/>
        </w:rPr>
      </w:pPr>
    </w:p>
    <w:p w:rsidR="005E2166" w:rsidRPr="00453B2E" w:rsidRDefault="005E2166" w:rsidP="005E2166">
      <w:pPr>
        <w:spacing w:line="276" w:lineRule="auto"/>
        <w:jc w:val="both"/>
        <w:rPr>
          <w:lang w:val="sq-AL"/>
        </w:rPr>
      </w:pPr>
      <w:r w:rsidRPr="00D94792">
        <w:rPr>
          <w:lang w:val="sq-AL"/>
        </w:rPr>
        <w:t>Aktualisht, janë në fuqi 8 kontrata koncesionare apo partneriteti publik privat (PPP), të cilat marrin mbështetje buxhetore, si dhe pritet që gjatë vitit 2018 të startojnë dhe 3 kontrata të reja të lidhura nga Ministria e Shëndetësisë dhe Mbrojtjes Sociale, Ministria e Infrastruktur</w:t>
      </w:r>
      <w:r>
        <w:rPr>
          <w:lang w:val="sq-AL"/>
        </w:rPr>
        <w:t>ë</w:t>
      </w:r>
      <w:r w:rsidRPr="00D94792">
        <w:rPr>
          <w:lang w:val="sq-AL"/>
        </w:rPr>
        <w:t>s dhe Energjis</w:t>
      </w:r>
      <w:r>
        <w:rPr>
          <w:lang w:val="sq-AL"/>
        </w:rPr>
        <w:t>ë</w:t>
      </w:r>
      <w:r w:rsidRPr="00D94792">
        <w:rPr>
          <w:lang w:val="sq-AL"/>
        </w:rPr>
        <w:t xml:space="preserve"> dhe Ministria e Arsimit, Sportit dhe Rinis</w:t>
      </w:r>
      <w:r>
        <w:rPr>
          <w:lang w:val="sq-AL"/>
        </w:rPr>
        <w:t>ë</w:t>
      </w:r>
      <w:r w:rsidRPr="00D94792">
        <w:rPr>
          <w:lang w:val="sq-AL"/>
        </w:rPr>
        <w:t>/Bashkis</w:t>
      </w:r>
      <w:r>
        <w:rPr>
          <w:lang w:val="sq-AL"/>
        </w:rPr>
        <w:t>ë</w:t>
      </w:r>
      <w:r w:rsidRPr="00D94792">
        <w:rPr>
          <w:lang w:val="sq-AL"/>
        </w:rPr>
        <w:t xml:space="preserve"> Tiran</w:t>
      </w:r>
      <w:r>
        <w:rPr>
          <w:lang w:val="sq-AL"/>
        </w:rPr>
        <w:t>ë</w:t>
      </w:r>
      <w:r w:rsidRPr="00D94792">
        <w:rPr>
          <w:lang w:val="sq-AL"/>
        </w:rPr>
        <w:t xml:space="preserve"> (bashk</w:t>
      </w:r>
      <w:r>
        <w:rPr>
          <w:lang w:val="sq-AL"/>
        </w:rPr>
        <w:t>ë</w:t>
      </w:r>
      <w:r w:rsidRPr="00D94792">
        <w:rPr>
          <w:lang w:val="sq-AL"/>
        </w:rPr>
        <w:t xml:space="preserve">financim) sipas detajeve të dhëna në </w:t>
      </w:r>
      <w:r w:rsidRPr="00453B2E">
        <w:rPr>
          <w:lang w:val="sq-AL"/>
        </w:rPr>
        <w:t>Tabelën 12 të mëposhtme:</w:t>
      </w:r>
    </w:p>
    <w:p w:rsidR="005E2166" w:rsidRPr="00D94792" w:rsidRDefault="005E2166" w:rsidP="005E2166">
      <w:pPr>
        <w:spacing w:line="276" w:lineRule="auto"/>
        <w:jc w:val="both"/>
        <w:rPr>
          <w:b/>
          <w:highlight w:val="yellow"/>
          <w:lang w:val="sq-AL"/>
        </w:rPr>
      </w:pPr>
    </w:p>
    <w:p w:rsidR="005E2166" w:rsidRPr="00D73F43" w:rsidRDefault="005E2166" w:rsidP="005E2166">
      <w:pPr>
        <w:spacing w:line="276" w:lineRule="auto"/>
        <w:jc w:val="both"/>
        <w:rPr>
          <w:b/>
          <w:lang w:val="sq-AL"/>
        </w:rPr>
      </w:pPr>
      <w:r>
        <w:rPr>
          <w:b/>
          <w:lang w:val="sq-AL"/>
        </w:rPr>
        <w:t xml:space="preserve">Tabela 12: </w:t>
      </w:r>
      <w:r w:rsidRPr="00956529">
        <w:rPr>
          <w:lang w:val="sq-AL"/>
        </w:rPr>
        <w:t>Koncesionet/PPP me mbështetje buxhetore</w:t>
      </w:r>
    </w:p>
    <w:p w:rsidR="005E2166" w:rsidRPr="00D73F43" w:rsidRDefault="005E2166" w:rsidP="005E2166">
      <w:pPr>
        <w:spacing w:line="276" w:lineRule="auto"/>
        <w:jc w:val="both"/>
        <w:rPr>
          <w:lang w:val="sq-AL"/>
        </w:rPr>
      </w:pPr>
      <w:r w:rsidRPr="00DF7F0C">
        <w:rPr>
          <w:noProof/>
        </w:rPr>
        <w:drawing>
          <wp:inline distT="0" distB="0" distL="0" distR="0" wp14:anchorId="4A0B801B" wp14:editId="363E6DAA">
            <wp:extent cx="5943600" cy="382443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24433"/>
                    </a:xfrm>
                    <a:prstGeom prst="rect">
                      <a:avLst/>
                    </a:prstGeom>
                    <a:noFill/>
                    <a:ln>
                      <a:noFill/>
                    </a:ln>
                  </pic:spPr>
                </pic:pic>
              </a:graphicData>
            </a:graphic>
          </wp:inline>
        </w:drawing>
      </w:r>
    </w:p>
    <w:p w:rsidR="005E2166" w:rsidRPr="00D73F43" w:rsidRDefault="005E2166" w:rsidP="005E2166">
      <w:pPr>
        <w:spacing w:line="276" w:lineRule="auto"/>
        <w:jc w:val="both"/>
        <w:rPr>
          <w:i/>
          <w:sz w:val="18"/>
          <w:szCs w:val="20"/>
          <w:lang w:val="sq-AL"/>
        </w:rPr>
      </w:pPr>
      <w:r w:rsidRPr="00D73F43">
        <w:rPr>
          <w:i/>
          <w:sz w:val="18"/>
          <w:szCs w:val="20"/>
          <w:lang w:val="sq-AL"/>
        </w:rPr>
        <w:t>*Kërkesa për mbështetje financiare për këto projekte është miratuar nga MoF</w:t>
      </w:r>
      <w:r w:rsidR="000152A7">
        <w:rPr>
          <w:i/>
          <w:sz w:val="18"/>
          <w:szCs w:val="20"/>
          <w:lang w:val="sq-AL"/>
        </w:rPr>
        <w:t>E</w:t>
      </w:r>
      <w:r w:rsidRPr="00D73F43">
        <w:rPr>
          <w:i/>
          <w:sz w:val="18"/>
          <w:szCs w:val="20"/>
          <w:lang w:val="sq-AL"/>
        </w:rPr>
        <w:t xml:space="preserve"> dhe pritet që të lidhen kontratat përkatëse në vitin 201</w:t>
      </w:r>
      <w:r>
        <w:rPr>
          <w:i/>
          <w:sz w:val="18"/>
          <w:szCs w:val="20"/>
          <w:lang w:val="sq-AL"/>
        </w:rPr>
        <w:t>8</w:t>
      </w:r>
    </w:p>
    <w:p w:rsidR="005E2166" w:rsidRPr="00C576E4" w:rsidRDefault="005E2166" w:rsidP="005E2166">
      <w:pPr>
        <w:spacing w:line="276" w:lineRule="auto"/>
        <w:rPr>
          <w:lang w:val="sq-AL"/>
        </w:rPr>
      </w:pPr>
      <w:r w:rsidRPr="00A4664A">
        <w:rPr>
          <w:b/>
          <w:i/>
          <w:sz w:val="20"/>
          <w:szCs w:val="20"/>
          <w:lang w:val="sq-AL"/>
        </w:rPr>
        <w:t xml:space="preserve">Burimi: </w:t>
      </w:r>
      <w:r w:rsidRPr="00A4664A">
        <w:rPr>
          <w:i/>
          <w:sz w:val="20"/>
          <w:szCs w:val="20"/>
          <w:lang w:val="sq-AL"/>
        </w:rPr>
        <w:t>Ministria e Financave dhe Ekonomisë (2017)</w:t>
      </w:r>
    </w:p>
    <w:p w:rsidR="005E2166" w:rsidRDefault="005E2166" w:rsidP="005E2166">
      <w:pPr>
        <w:spacing w:line="276" w:lineRule="auto"/>
        <w:jc w:val="both"/>
        <w:rPr>
          <w:lang w:val="sq-AL"/>
        </w:rPr>
      </w:pPr>
    </w:p>
    <w:p w:rsidR="005E2166" w:rsidRPr="00D73F43" w:rsidRDefault="005E2166" w:rsidP="005E2166">
      <w:pPr>
        <w:spacing w:line="276" w:lineRule="auto"/>
        <w:jc w:val="both"/>
        <w:rPr>
          <w:lang w:val="sq-AL"/>
        </w:rPr>
      </w:pPr>
      <w:r w:rsidRPr="00D73F43">
        <w:rPr>
          <w:lang w:val="sq-AL"/>
        </w:rPr>
        <w:t>Për sa i përket respektimit të nenit 4/2 të ligjit nr.9936 datë 26.06.2008 “Për menaxhimin e sistemit buxhetor ku përcaktohet se "...</w:t>
      </w:r>
      <w:r w:rsidRPr="00D73F43">
        <w:rPr>
          <w:i/>
          <w:lang w:val="sq-AL"/>
        </w:rPr>
        <w:t xml:space="preserve">shuma e përgjithshme e pagesave vjetore neto, që kryhen nga njësitë e qeverisjes së përgjithshme, të cilat rezultojnë nga kontrata koncesionare apo partneriteti publik privat (PPP), si rregull, </w:t>
      </w:r>
      <w:r w:rsidRPr="00D73F43">
        <w:rPr>
          <w:i/>
          <w:lang w:val="sq-AL"/>
        </w:rPr>
        <w:lastRenderedPageBreak/>
        <w:t>nuk duhet të tejkalojnë kufirin prej 5 për qind të të ardhurave tatimore faktike të vitit paraardhës buxhetor</w:t>
      </w:r>
      <w:r w:rsidR="000B5FAF">
        <w:rPr>
          <w:lang w:val="sq-AL"/>
        </w:rPr>
        <w:t>.", rezulton se:</w:t>
      </w:r>
    </w:p>
    <w:p w:rsidR="005E2166" w:rsidRPr="00D73F43" w:rsidRDefault="00EA68C2" w:rsidP="005E2166">
      <w:pPr>
        <w:numPr>
          <w:ilvl w:val="0"/>
          <w:numId w:val="6"/>
        </w:numPr>
        <w:spacing w:line="276" w:lineRule="auto"/>
        <w:jc w:val="both"/>
        <w:rPr>
          <w:lang w:val="sq-AL"/>
        </w:rPr>
      </w:pPr>
      <w:r>
        <w:rPr>
          <w:lang w:val="sq-AL"/>
        </w:rPr>
        <w:t>k</w:t>
      </w:r>
      <w:r w:rsidR="005E2166" w:rsidRPr="00D73F43">
        <w:rPr>
          <w:lang w:val="sq-AL"/>
        </w:rPr>
        <w:t>ufiri i lejuar prej 5% i të ardhurave tatimore faktike të vitit paraardhës, pra i vitit 201</w:t>
      </w:r>
      <w:r w:rsidR="005E2166">
        <w:rPr>
          <w:lang w:val="sq-AL"/>
        </w:rPr>
        <w:t>7</w:t>
      </w:r>
      <w:r w:rsidR="005E2166" w:rsidRPr="00D73F43">
        <w:rPr>
          <w:lang w:val="sq-AL"/>
        </w:rPr>
        <w:t xml:space="preserve">, është rreth </w:t>
      </w:r>
      <w:r w:rsidR="005E2166">
        <w:rPr>
          <w:lang w:val="sq-AL"/>
        </w:rPr>
        <w:t>20</w:t>
      </w:r>
      <w:r w:rsidR="005E2166" w:rsidRPr="00D73F43">
        <w:rPr>
          <w:lang w:val="sq-AL"/>
        </w:rPr>
        <w:t xml:space="preserve"> miliardë lekë.</w:t>
      </w:r>
    </w:p>
    <w:p w:rsidR="005E2166" w:rsidRPr="00D73F43" w:rsidRDefault="005E2166" w:rsidP="005E2166">
      <w:pPr>
        <w:spacing w:line="276" w:lineRule="auto"/>
        <w:ind w:left="720"/>
        <w:jc w:val="both"/>
        <w:rPr>
          <w:lang w:val="sq-AL"/>
        </w:rPr>
      </w:pPr>
    </w:p>
    <w:p w:rsidR="005E2166" w:rsidRPr="00D73F43" w:rsidRDefault="00EA68C2" w:rsidP="005E2166">
      <w:pPr>
        <w:numPr>
          <w:ilvl w:val="0"/>
          <w:numId w:val="6"/>
        </w:numPr>
        <w:spacing w:line="276" w:lineRule="auto"/>
        <w:jc w:val="both"/>
        <w:rPr>
          <w:lang w:val="sq-AL"/>
        </w:rPr>
      </w:pPr>
      <w:r>
        <w:rPr>
          <w:lang w:val="sq-AL"/>
        </w:rPr>
        <w:t>r</w:t>
      </w:r>
      <w:r w:rsidR="005E2166">
        <w:rPr>
          <w:lang w:val="sq-AL"/>
        </w:rPr>
        <w:t>eferuar Tabelës nr.7,</w:t>
      </w:r>
      <w:r w:rsidR="005E2166" w:rsidRPr="00D73F43">
        <w:rPr>
          <w:lang w:val="sq-AL"/>
        </w:rPr>
        <w:t xml:space="preserve"> pagesat vjetore neto që parashikohen të kryhen nga njësitë e qeverisjes së përgjithshme për kontratat koncesionare apo PPP, kapin vlerën e </w:t>
      </w:r>
      <w:r w:rsidR="005E2166">
        <w:rPr>
          <w:lang w:val="sq-AL"/>
        </w:rPr>
        <w:t>9.4</w:t>
      </w:r>
      <w:r w:rsidR="005E2166" w:rsidRPr="00D73F43">
        <w:rPr>
          <w:lang w:val="sq-AL"/>
        </w:rPr>
        <w:t xml:space="preserve"> miliardë lekë për vitin 201</w:t>
      </w:r>
      <w:r w:rsidR="005E2166">
        <w:rPr>
          <w:lang w:val="sq-AL"/>
        </w:rPr>
        <w:t>8</w:t>
      </w:r>
      <w:r w:rsidR="005E2166" w:rsidRPr="00D73F43">
        <w:rPr>
          <w:lang w:val="sq-AL"/>
        </w:rPr>
        <w:t>.</w:t>
      </w:r>
    </w:p>
    <w:p w:rsidR="005E2166" w:rsidRPr="00D73F43" w:rsidRDefault="005E2166" w:rsidP="005E2166">
      <w:pPr>
        <w:spacing w:line="276" w:lineRule="auto"/>
        <w:jc w:val="both"/>
        <w:rPr>
          <w:lang w:val="sq-AL"/>
        </w:rPr>
      </w:pPr>
    </w:p>
    <w:p w:rsidR="005E2166" w:rsidRPr="00D73F43" w:rsidRDefault="005E2166" w:rsidP="005E2166">
      <w:pPr>
        <w:spacing w:line="276" w:lineRule="auto"/>
        <w:jc w:val="both"/>
        <w:rPr>
          <w:lang w:val="sq-AL"/>
        </w:rPr>
      </w:pPr>
      <w:r w:rsidRPr="00D73F43">
        <w:rPr>
          <w:lang w:val="sq-AL"/>
        </w:rPr>
        <w:t xml:space="preserve">Rrjedhimisht, </w:t>
      </w:r>
      <w:r w:rsidRPr="00EE4E32">
        <w:rPr>
          <w:u w:val="single"/>
          <w:lang w:val="sq-AL"/>
        </w:rPr>
        <w:t>B</w:t>
      </w:r>
      <w:r w:rsidR="00C151EB">
        <w:rPr>
          <w:u w:val="single"/>
          <w:lang w:val="sq-AL"/>
        </w:rPr>
        <w:t>uxheti 2018 respekton kufizimin</w:t>
      </w:r>
      <w:r w:rsidRPr="00EE4E32">
        <w:rPr>
          <w:u w:val="single"/>
          <w:lang w:val="sq-AL"/>
        </w:rPr>
        <w:t xml:space="preserve"> ligjor të sipërcituar</w:t>
      </w:r>
      <w:r w:rsidR="00C151EB">
        <w:rPr>
          <w:lang w:val="sq-AL"/>
        </w:rPr>
        <w:t xml:space="preserve">,  pasi </w:t>
      </w:r>
      <w:r w:rsidRPr="00D73F43">
        <w:rPr>
          <w:lang w:val="sq-AL"/>
        </w:rPr>
        <w:t xml:space="preserve">vlera e parashikuar prej </w:t>
      </w:r>
      <w:r>
        <w:rPr>
          <w:lang w:val="sq-AL"/>
        </w:rPr>
        <w:t>9.4</w:t>
      </w:r>
      <w:r w:rsidRPr="00D73F43">
        <w:rPr>
          <w:lang w:val="sq-AL"/>
        </w:rPr>
        <w:t xml:space="preserve"> miliardë lekë për pagesat vjetore neto për kontratat koncesionare apo PPP për vitin 201</w:t>
      </w:r>
      <w:r>
        <w:rPr>
          <w:lang w:val="sq-AL"/>
        </w:rPr>
        <w:t>8</w:t>
      </w:r>
      <w:r w:rsidRPr="00D73F43">
        <w:rPr>
          <w:lang w:val="sq-AL"/>
        </w:rPr>
        <w:t xml:space="preserve">,  përbën rreth </w:t>
      </w:r>
      <w:r>
        <w:rPr>
          <w:lang w:val="sq-AL"/>
        </w:rPr>
        <w:t>2.4</w:t>
      </w:r>
      <w:r w:rsidRPr="00D73F43">
        <w:rPr>
          <w:lang w:val="sq-AL"/>
        </w:rPr>
        <w:t>% të totalit të të ardhurave tatimore faktike për vitin 201</w:t>
      </w:r>
      <w:r>
        <w:rPr>
          <w:lang w:val="sq-AL"/>
        </w:rPr>
        <w:t>7</w:t>
      </w:r>
      <w:r w:rsidRPr="00D73F43">
        <w:rPr>
          <w:lang w:val="sq-AL"/>
        </w:rPr>
        <w:t>.</w:t>
      </w:r>
    </w:p>
    <w:p w:rsidR="00B0121D" w:rsidRPr="00D94792" w:rsidRDefault="00B0121D" w:rsidP="003C5B4B">
      <w:pPr>
        <w:spacing w:line="276" w:lineRule="auto"/>
        <w:jc w:val="both"/>
        <w:rPr>
          <w:lang w:val="sq-AL"/>
        </w:rPr>
      </w:pPr>
    </w:p>
    <w:p w:rsidR="00B0121D" w:rsidRPr="00D94792" w:rsidRDefault="00B0121D" w:rsidP="003C5B4B">
      <w:pPr>
        <w:spacing w:line="276" w:lineRule="auto"/>
        <w:rPr>
          <w:lang w:val="sq-AL"/>
        </w:rPr>
      </w:pPr>
    </w:p>
    <w:p w:rsidR="00B0121D" w:rsidRPr="00D94792" w:rsidRDefault="00944D7D" w:rsidP="00944D7D">
      <w:pPr>
        <w:pStyle w:val="Heading1"/>
        <w:tabs>
          <w:tab w:val="clear" w:pos="5954"/>
          <w:tab w:val="center" w:pos="709"/>
        </w:tabs>
        <w:spacing w:line="276" w:lineRule="auto"/>
        <w:ind w:left="-90"/>
        <w:jc w:val="both"/>
        <w:rPr>
          <w:caps w:val="0"/>
          <w:sz w:val="26"/>
          <w:szCs w:val="26"/>
          <w:lang w:val="sq-AL"/>
        </w:rPr>
      </w:pPr>
      <w:bookmarkStart w:id="37" w:name="_Toc465950354"/>
      <w:bookmarkStart w:id="38" w:name="_Toc495672719"/>
      <w:bookmarkStart w:id="39" w:name="_Toc496520388"/>
      <w:r>
        <w:rPr>
          <w:caps w:val="0"/>
          <w:sz w:val="26"/>
          <w:szCs w:val="26"/>
          <w:lang w:val="sq-AL"/>
        </w:rPr>
        <w:t xml:space="preserve">3.7 </w:t>
      </w:r>
      <w:r w:rsidR="00B0121D" w:rsidRPr="00D94792">
        <w:rPr>
          <w:caps w:val="0"/>
          <w:sz w:val="26"/>
          <w:szCs w:val="26"/>
          <w:lang w:val="sq-AL"/>
        </w:rPr>
        <w:t>BUXHETI VENDOR 201</w:t>
      </w:r>
      <w:bookmarkEnd w:id="37"/>
      <w:bookmarkEnd w:id="38"/>
      <w:r>
        <w:rPr>
          <w:caps w:val="0"/>
          <w:sz w:val="26"/>
          <w:szCs w:val="26"/>
          <w:lang w:val="sq-AL"/>
        </w:rPr>
        <w:t>8</w:t>
      </w:r>
      <w:bookmarkEnd w:id="39"/>
    </w:p>
    <w:p w:rsidR="00944D7D" w:rsidRPr="006A5ECC" w:rsidRDefault="00944D7D" w:rsidP="00944D7D">
      <w:pPr>
        <w:rPr>
          <w:rFonts w:eastAsia="Times New Roman"/>
          <w:bCs/>
          <w:sz w:val="16"/>
          <w:szCs w:val="16"/>
          <w:lang w:eastAsia="x-none"/>
        </w:rPr>
      </w:pPr>
    </w:p>
    <w:p w:rsidR="001B7576" w:rsidRPr="005159AB" w:rsidRDefault="001B7576" w:rsidP="001B7576">
      <w:pPr>
        <w:spacing w:line="276" w:lineRule="auto"/>
        <w:jc w:val="both"/>
        <w:rPr>
          <w:rFonts w:eastAsia="Calibri"/>
        </w:rPr>
      </w:pPr>
      <w:r w:rsidRPr="005159AB">
        <w:rPr>
          <w:rFonts w:eastAsia="Calibri"/>
        </w:rPr>
        <w:t>Reforma administrativo-territoriale ishte një nga prioritetet e programit të qeverisë për periudhën 2013-2017</w:t>
      </w:r>
      <w:r w:rsidRPr="005159AB">
        <w:rPr>
          <w:rFonts w:eastAsia="Times New Roman"/>
          <w:bCs/>
          <w:lang w:eastAsia="x-none"/>
        </w:rPr>
        <w:t xml:space="preserve">, duke u konsideruar si </w:t>
      </w:r>
      <w:r w:rsidRPr="005159AB">
        <w:rPr>
          <w:rFonts w:eastAsia="Times New Roman"/>
        </w:rPr>
        <w:t>një nga reformat më të rëndësishme për të avancuar procesin e decentralizimit dhe fuqizimit të Njësive të Vetëqeverisjes Vendore</w:t>
      </w:r>
      <w:r w:rsidRPr="005159AB">
        <w:rPr>
          <w:rFonts w:eastAsia="Calibri"/>
        </w:rPr>
        <w:t>. Nga të dhënat financiare deri në vitin 2014, rezultonte se mbi 50% e njësive të vetëqeverisjes vendore sipas ndarjes së vjetër territoriale gjeneronin jo më shumë se 10 % të buxhetit nga të ardhurat e veta lokale dhe rreth 63% e njësive të vetëqeverisjes vendore shpenzonin mbi 50% të buxhetit për shpenzime personeli. Shumica e njësive të vetëqeverisjes vendore nuk kryente asnjë investim me të ardhurat e veta duke qënë të varura tërësisht nga transfertat e buxhetit të shtetit. Në këto kushte ndarja e vjetër administrative nuk ofronte as shërbime publike dhe as mundësi zhvillimi.</w:t>
      </w:r>
    </w:p>
    <w:p w:rsidR="001B7576" w:rsidRPr="005159AB" w:rsidRDefault="001B7576" w:rsidP="001B7576">
      <w:pPr>
        <w:spacing w:line="276" w:lineRule="auto"/>
        <w:jc w:val="both"/>
        <w:rPr>
          <w:rFonts w:eastAsia="Times New Roman"/>
          <w:bCs/>
          <w:lang w:eastAsia="x-none"/>
        </w:rPr>
      </w:pPr>
      <w:r w:rsidRPr="005159AB">
        <w:t xml:space="preserve">Me reformën e re administrativo-territoriale, u eliminua problemi madhor i fragmentizimit tepër të lartë të vendit, i cili përveçse nuk reflektonte lëvizjet demografike të </w:t>
      </w:r>
      <w:proofErr w:type="gramStart"/>
      <w:r w:rsidRPr="005159AB">
        <w:t>dy</w:t>
      </w:r>
      <w:proofErr w:type="gramEnd"/>
      <w:r w:rsidRPr="005159AB">
        <w:t xml:space="preserve"> dekadave të fundit, dhe rrjedhimisht edhe nevojat reale për shërbime dhe shpenzime, shoqërohej me një fragmentizim të skajshëm të burimeve financiare dhe kapaciteteve administrative. </w:t>
      </w:r>
    </w:p>
    <w:p w:rsidR="001B7576" w:rsidRPr="005159AB" w:rsidRDefault="001B7576" w:rsidP="001B7576">
      <w:pPr>
        <w:jc w:val="both"/>
        <w:rPr>
          <w:sz w:val="16"/>
          <w:szCs w:val="16"/>
        </w:rPr>
      </w:pPr>
    </w:p>
    <w:p w:rsidR="001B7576" w:rsidRPr="005159AB" w:rsidRDefault="001B7576" w:rsidP="001B7576">
      <w:pPr>
        <w:spacing w:line="276" w:lineRule="auto"/>
        <w:jc w:val="both"/>
        <w:rPr>
          <w:rFonts w:eastAsia="Times New Roman"/>
        </w:rPr>
      </w:pPr>
      <w:r w:rsidRPr="005159AB">
        <w:t>Decentralizimi mbetet një ndër prioritetet e kësaj qeverie, dhe reformat e ndërmarra deri më tani pritet të kenë impaktin më të madh në organizimin e administratës publike si qendrore ashtu edhe atë vendore si dhe në përmirësimin e cilësisë së ofrimit të shërbimeve vendore.</w:t>
      </w:r>
      <w:r w:rsidRPr="005159AB">
        <w:rPr>
          <w:rFonts w:eastAsia="Times New Roman"/>
        </w:rPr>
        <w:t xml:space="preserve"> Në katër vitet e ardhshme të qeverisjes do të vazhdojë zbatimi i plotë i reformës administrative pasi ajo garanton përmirësimin e shërbimeve publike për qytetarët si dhe rritjen e efektivitetit të tyre.</w:t>
      </w:r>
    </w:p>
    <w:p w:rsidR="001B7576" w:rsidRPr="005159AB" w:rsidRDefault="001B7576" w:rsidP="001B7576">
      <w:pPr>
        <w:autoSpaceDE w:val="0"/>
        <w:autoSpaceDN w:val="0"/>
        <w:adjustRightInd w:val="0"/>
        <w:spacing w:line="276" w:lineRule="auto"/>
        <w:jc w:val="both"/>
        <w:rPr>
          <w:sz w:val="16"/>
          <w:szCs w:val="16"/>
        </w:rPr>
      </w:pPr>
    </w:p>
    <w:p w:rsidR="001B7576" w:rsidRPr="005159AB" w:rsidRDefault="001B7576" w:rsidP="001B7576">
      <w:pPr>
        <w:autoSpaceDE w:val="0"/>
        <w:autoSpaceDN w:val="0"/>
        <w:adjustRightInd w:val="0"/>
        <w:spacing w:line="276" w:lineRule="auto"/>
        <w:jc w:val="both"/>
        <w:rPr>
          <w:rFonts w:eastAsia="Calibri"/>
        </w:rPr>
      </w:pPr>
      <w:r w:rsidRPr="005159AB">
        <w:t xml:space="preserve">Zbatimi i reformës administrativo territoriale, </w:t>
      </w:r>
      <w:r w:rsidRPr="005159AB">
        <w:rPr>
          <w:rFonts w:eastAsia="Calibri"/>
        </w:rPr>
        <w:t xml:space="preserve">do të shoqërohet me një paketë reformash fiskale dhe ligjesh mbështetëse, si dhe me ngritjen e mekanizmave konkrete për fuqizimin e njësive të reja vendore. </w:t>
      </w:r>
      <w:r w:rsidRPr="005159AB">
        <w:t xml:space="preserve">Nëpërmjet vazhdimit të zbatimit të kësaj reforme në katër vitet e ardhshme të qeverisjes do të synohet: </w:t>
      </w:r>
      <w:r w:rsidRPr="005159AB">
        <w:rPr>
          <w:i/>
        </w:rPr>
        <w:t>a) rritja e eficiencës dhe efikasitetit në ofrimin e shërbimeve për qytetarët si dhe</w:t>
      </w:r>
      <w:r w:rsidRPr="005159AB">
        <w:rPr>
          <w:rFonts w:eastAsia="Calibri"/>
          <w:i/>
        </w:rPr>
        <w:t xml:space="preserve"> në përmirësimin e cilësisë e të aksesit të qytetarëve në shërbimet publike vendore</w:t>
      </w:r>
      <w:r w:rsidRPr="005159AB">
        <w:rPr>
          <w:i/>
        </w:rPr>
        <w:t>; b) krijimi i kushteve për zhvillimin ekonomik lokal, c) reduktimi i pabarazive dhe krijimi i kushteve të domosdoshme për zhvillimin e qëndrueshëm d)</w:t>
      </w:r>
      <w:r w:rsidRPr="005159AB">
        <w:rPr>
          <w:rFonts w:eastAsia="Calibri"/>
          <w:i/>
        </w:rPr>
        <w:t xml:space="preserve"> rritja e kapaciteteve të administratës publike vendore, si dhe forcimi i strukturave komunitare në nivel njësie vendore.</w:t>
      </w:r>
    </w:p>
    <w:p w:rsidR="001B7576" w:rsidRPr="005159AB" w:rsidRDefault="001B7576" w:rsidP="001B7576">
      <w:pPr>
        <w:autoSpaceDE w:val="0"/>
        <w:autoSpaceDN w:val="0"/>
        <w:adjustRightInd w:val="0"/>
        <w:spacing w:line="276" w:lineRule="auto"/>
        <w:jc w:val="both"/>
        <w:rPr>
          <w:rFonts w:ascii="Garamond" w:eastAsia="Calibri" w:hAnsi="Garamond" w:cs="Garamond"/>
          <w:sz w:val="16"/>
          <w:szCs w:val="16"/>
        </w:rPr>
      </w:pPr>
    </w:p>
    <w:p w:rsidR="001B7576" w:rsidRPr="005159AB" w:rsidRDefault="001B7576" w:rsidP="001B7576">
      <w:pPr>
        <w:autoSpaceDE w:val="0"/>
        <w:autoSpaceDN w:val="0"/>
        <w:adjustRightInd w:val="0"/>
        <w:spacing w:line="276" w:lineRule="auto"/>
        <w:jc w:val="both"/>
      </w:pPr>
      <w:r w:rsidRPr="005159AB">
        <w:rPr>
          <w:rFonts w:eastAsia="Calibri"/>
        </w:rPr>
        <w:t xml:space="preserve">Autonomia financiare është thelbi i autonomisë vendore. Duke </w:t>
      </w:r>
      <w:proofErr w:type="gramStart"/>
      <w:r w:rsidRPr="005159AB">
        <w:rPr>
          <w:rFonts w:eastAsia="Calibri"/>
        </w:rPr>
        <w:t>përkrahur</w:t>
      </w:r>
      <w:proofErr w:type="gramEnd"/>
      <w:r w:rsidRPr="005159AB">
        <w:rPr>
          <w:rFonts w:eastAsia="Calibri"/>
        </w:rPr>
        <w:t xml:space="preserve"> decentralizmin e mëtejshëm të financave publike, qeveria qendrore do të krijojë mundësi që qeveritë vendore të kenë më shumë burime financiare, për të ushtruar funksionet dhe kompetencat në mënyrë efikase dhe të qëndrueshme. </w:t>
      </w:r>
      <w:r w:rsidRPr="005159AB">
        <w:t xml:space="preserve">Megjithatë, për arritjen e objektivave strategjikë të këtyre reformave decentralizuese, bashkitë e reja e kanë patur shumë të domosdoshme përgatitjen e një kuadri rregullator më të fortë që do të garantojë qëndrueshmërinë dhe </w:t>
      </w:r>
      <w:r w:rsidRPr="005159AB">
        <w:lastRenderedPageBreak/>
        <w:t>konsolidimin e burimeve të tyre të financimit. Ndryshimi i shpeshtë i burimeve të financimit ndër vite, mungesa e rregullave si për përcaktimin e fondeve totale në dispozicion, e bashkuar me dobësi strukturore në menaxhimin financiar vendor janë shoqëruar me buxhete vendore të dobëta, të pamjaftueshme e të paparashikueshme, të cilat më pas kanë kontribuar edhe në krijimin e problemev</w:t>
      </w:r>
      <w:r w:rsidR="00EA68C2">
        <w:t>e të tjera financiare, si p.sh.</w:t>
      </w:r>
      <w:r w:rsidRPr="005159AB">
        <w:t xml:space="preserve"> </w:t>
      </w:r>
      <w:proofErr w:type="gramStart"/>
      <w:r w:rsidRPr="005159AB">
        <w:t>të</w:t>
      </w:r>
      <w:proofErr w:type="gramEnd"/>
      <w:r w:rsidRPr="005159AB">
        <w:t xml:space="preserve"> detyrimeve të prapambetura vendore.</w:t>
      </w:r>
    </w:p>
    <w:p w:rsidR="001B7576" w:rsidRPr="005159AB" w:rsidRDefault="001B7576" w:rsidP="001B7576">
      <w:pPr>
        <w:autoSpaceDE w:val="0"/>
        <w:autoSpaceDN w:val="0"/>
        <w:adjustRightInd w:val="0"/>
        <w:spacing w:line="276" w:lineRule="auto"/>
        <w:ind w:firstLine="720"/>
        <w:jc w:val="both"/>
        <w:rPr>
          <w:rFonts w:eastAsia="Calibri"/>
          <w:sz w:val="16"/>
          <w:szCs w:val="16"/>
        </w:rPr>
      </w:pPr>
    </w:p>
    <w:p w:rsidR="001B7576" w:rsidRPr="005159AB" w:rsidRDefault="001B7576" w:rsidP="001B7576">
      <w:pPr>
        <w:spacing w:line="276" w:lineRule="auto"/>
        <w:jc w:val="both"/>
      </w:pPr>
      <w:proofErr w:type="gramStart"/>
      <w:r w:rsidRPr="005159AB">
        <w:t>Ky</w:t>
      </w:r>
      <w:proofErr w:type="gramEnd"/>
      <w:r w:rsidRPr="005159AB">
        <w:t xml:space="preserve"> është viti i parë i zbatimit të ligjit nr. 68, datë 27.04.2017 “Për financat e vetëqeverijses vendore” Me miratimin e këtij ligji dhe akteve nënligjore që priten të dalin në zbatim të tij janë hedhur bazat e shendosha të mirëmenaxhimit të financave vendore. Përmes këtij ligji në vitin 2018 do të arrihet rritja e autonomisë fiskale edhe financiare vendore nëpërmjet sigurimit të më shumë burimeve të financimit për njësitë e vetëqeverisjes vendore, të shoqëruara me më shumë parashikueshmëri, stabilitet dhe transparencë. Në të njëjtën kohë, nga ky ligj rregullohet edhe forcimi i rregullave dhe procedurave për menaxhimin e financave publike në nivel vendor duke siguruar më shumë disiplinë fiskale dhe krijimin e një balance midis autonomisë dhe disiplinës fiskale, në harmoni me parimet e Kartës Evropiane për Vetëqeverisjen Vendore, Kushtetutën e Republikës së Shqipërisë, Ligjit për Vetëqeverisjen vendore, dhe Ligjit për Menaxhimin e Sistemit Buxhetor në Republikën e Shqipërisë. </w:t>
      </w:r>
      <w:r w:rsidRPr="005159AB">
        <w:rPr>
          <w:rFonts w:eastAsia="Calibri"/>
        </w:rPr>
        <w:t xml:space="preserve">Rritja e kompetencave dhe fondeve për qeverisjen vendore në fusha dhe sektorë zhvillimorë si bujqësia, pyjet, rrugët, e transformon rrënjësisht konceptin e qeverisjes vendore duke i dhënë një dimension të ri qeverisjes vendore, më shumë mundësi zhvillimi, duke sjellë dukshëm edhe një përmirësim të shërbimeve të ofruara për qytetarët dhe klimës së të bërit biznes. </w:t>
      </w:r>
    </w:p>
    <w:p w:rsidR="001B7576" w:rsidRPr="005159AB" w:rsidRDefault="001B7576" w:rsidP="001B7576">
      <w:pPr>
        <w:spacing w:line="276" w:lineRule="auto"/>
        <w:jc w:val="both"/>
      </w:pPr>
    </w:p>
    <w:p w:rsidR="001B7576" w:rsidRPr="005159AB" w:rsidRDefault="001B7576" w:rsidP="001B7576">
      <w:pPr>
        <w:spacing w:line="276" w:lineRule="auto"/>
        <w:jc w:val="both"/>
      </w:pPr>
      <w:r w:rsidRPr="005159AB">
        <w:t xml:space="preserve">Gjatë viteve 2016 dhe 2017 u bënë hapa të mëdha në kuadër të disiplinimit të financave në nivel vendor. Të ardhurat që njësitë e vetëqeverisjes vendore mbledhin në mënyrë të pavarur, pra të ardhurat nga taksat dhe tarifat vendore janë rritur ndjeshëm (në fund të vitit 2016 ishin 28% më shumë se në krahasim me vitin 2015) dhe kjo rritje e të ardhurave është përkthyer në një rritje të shpenzimeve për investime (në fund të vitit 2016 ishin 26 % më shumë se në vitin 2015). Këto tendenca vijojnë edhe në periudhën e nëntëmujorit të parë të vitit 2017 në krahasim me nëntëmujorin e parë të vitit 2016, me të ardhurat nga taksat dhe tarifat vendore që janë rritur me 3.9 miliardë lekë, ose 53 % dhe shpenzimet për investime janë rritur me mbi 6 miliardë lekë. Për vitin 2018, bashkitë do të përfitojnë edhe nga ndarja e të ardhurave nga Tatimi mbi të Ardhurat Personale, një instrument i </w:t>
      </w:r>
      <w:proofErr w:type="gramStart"/>
      <w:r w:rsidRPr="005159AB">
        <w:t>ri</w:t>
      </w:r>
      <w:proofErr w:type="gramEnd"/>
      <w:r w:rsidRPr="005159AB">
        <w:t xml:space="preserve"> i financimit të bashkive, që pritet të rrisë edhe partneritetin në luftën kundër informalitetit.  </w:t>
      </w:r>
    </w:p>
    <w:p w:rsidR="001B7576" w:rsidRPr="005159AB" w:rsidRDefault="001B7576" w:rsidP="001B7576">
      <w:pPr>
        <w:spacing w:line="276" w:lineRule="auto"/>
        <w:jc w:val="both"/>
        <w:rPr>
          <w:rFonts w:eastAsia="MS Mincho"/>
          <w:sz w:val="16"/>
          <w:szCs w:val="16"/>
        </w:rPr>
      </w:pPr>
    </w:p>
    <w:p w:rsidR="001B7576" w:rsidRPr="005159AB" w:rsidRDefault="001B7576" w:rsidP="001B7576">
      <w:pPr>
        <w:spacing w:line="276" w:lineRule="auto"/>
        <w:jc w:val="both"/>
        <w:rPr>
          <w:rFonts w:eastAsia="Times New Roman"/>
          <w:color w:val="000000"/>
          <w:kern w:val="24"/>
        </w:rPr>
      </w:pPr>
      <w:r w:rsidRPr="005159AB">
        <w:rPr>
          <w:rFonts w:eastAsia="MS Mincho"/>
        </w:rPr>
        <w:t xml:space="preserve">Buxheti vendor në vitet 2016-2017 </w:t>
      </w:r>
      <w:r w:rsidRPr="005159AB">
        <w:rPr>
          <w:rFonts w:eastAsia="Calibri"/>
        </w:rPr>
        <w:t xml:space="preserve">ka garantuar kalimin efektiv dhe eficient të kompetencave, përgjegjësive dhe të gjitha problematikave vendore, </w:t>
      </w:r>
      <w:r w:rsidRPr="005159AB">
        <w:rPr>
          <w:rFonts w:eastAsia="MS Mincho"/>
        </w:rPr>
        <w:t>në funksion të reformës së re administrativo-territoriale, ndërkohë që b</w:t>
      </w:r>
      <w:r w:rsidRPr="005159AB">
        <w:rPr>
          <w:rFonts w:eastAsia="Calibri"/>
        </w:rPr>
        <w:t>uxheti vendor i vitit 2018 do të vijojë me procesin e konsolidimit të financave vendore të nisur me reformat e viteve të mëparshme përmes rritjes së të ardhurave vendore nga transferta e pakushtëzuar, mbështetjes me grantin specifik, si dhe burimeve të tjera të financimit nga të ardhurat e veta.</w:t>
      </w:r>
    </w:p>
    <w:p w:rsidR="001B7576" w:rsidRPr="005159AB" w:rsidRDefault="001B7576" w:rsidP="001B7576">
      <w:pPr>
        <w:spacing w:line="276" w:lineRule="auto"/>
        <w:jc w:val="both"/>
        <w:rPr>
          <w:rFonts w:eastAsia="Calibri"/>
          <w:sz w:val="16"/>
          <w:szCs w:val="16"/>
        </w:rPr>
      </w:pPr>
    </w:p>
    <w:p w:rsidR="001B7576" w:rsidRPr="005159AB" w:rsidRDefault="001B7576" w:rsidP="001B7576">
      <w:pPr>
        <w:spacing w:line="276" w:lineRule="auto"/>
        <w:jc w:val="both"/>
        <w:rPr>
          <w:rFonts w:eastAsia="Calibri"/>
        </w:rPr>
      </w:pPr>
      <w:r w:rsidRPr="005159AB">
        <w:rPr>
          <w:rFonts w:eastAsia="Calibri"/>
        </w:rPr>
        <w:t>Fokusi kryesor në katër vitet e ardhshme të qeverisë në funksion të thellimit të zbatimit të reformës administrativo territoriale do të jetë në disa drejtime:</w:t>
      </w:r>
    </w:p>
    <w:p w:rsidR="001B7576" w:rsidRPr="005159AB" w:rsidRDefault="001B7576" w:rsidP="001B7576">
      <w:pPr>
        <w:spacing w:line="276" w:lineRule="auto"/>
        <w:jc w:val="both"/>
        <w:rPr>
          <w:rFonts w:eastAsia="Calibri"/>
          <w:sz w:val="16"/>
          <w:szCs w:val="16"/>
        </w:rPr>
      </w:pPr>
    </w:p>
    <w:p w:rsidR="001B7576" w:rsidRPr="005159AB" w:rsidRDefault="001B7576" w:rsidP="001B7576">
      <w:pPr>
        <w:numPr>
          <w:ilvl w:val="0"/>
          <w:numId w:val="35"/>
        </w:numPr>
        <w:spacing w:line="276" w:lineRule="auto"/>
        <w:ind w:left="360" w:hanging="360"/>
        <w:jc w:val="both"/>
        <w:rPr>
          <w:i/>
        </w:rPr>
      </w:pPr>
      <w:r w:rsidRPr="005159AB">
        <w:rPr>
          <w:rFonts w:eastAsia="Calibri"/>
          <w:i/>
        </w:rPr>
        <w:t>Garantimi i një sistemi të financave publike vendore që nxit transparencën, përgjegjshmërinë dhe eficiencën në menaxhimin dhe përdorimin e burimeve publike.</w:t>
      </w:r>
    </w:p>
    <w:p w:rsidR="001B7576" w:rsidRPr="005159AB" w:rsidRDefault="001B7576" w:rsidP="001B7576">
      <w:pPr>
        <w:numPr>
          <w:ilvl w:val="0"/>
          <w:numId w:val="35"/>
        </w:numPr>
        <w:spacing w:line="276" w:lineRule="auto"/>
        <w:ind w:left="360" w:hanging="360"/>
        <w:jc w:val="both"/>
        <w:rPr>
          <w:i/>
        </w:rPr>
      </w:pPr>
      <w:r w:rsidRPr="005159AB">
        <w:rPr>
          <w:i/>
        </w:rPr>
        <w:t>Planifikim dhe buxhetim eficient dhe i mirë-integruar i shpenzimeve publike në nivel vendor me synim rritjen e efektivitetit dhe përdorimit me ekonomi të fondeve publike.</w:t>
      </w:r>
    </w:p>
    <w:p w:rsidR="001B7576" w:rsidRPr="005159AB" w:rsidRDefault="001B7576" w:rsidP="001B7576">
      <w:pPr>
        <w:numPr>
          <w:ilvl w:val="0"/>
          <w:numId w:val="35"/>
        </w:numPr>
        <w:spacing w:line="276" w:lineRule="auto"/>
        <w:ind w:left="360" w:hanging="360"/>
        <w:jc w:val="both"/>
        <w:rPr>
          <w:rFonts w:eastAsia="Calibri"/>
          <w:i/>
        </w:rPr>
      </w:pPr>
      <w:r w:rsidRPr="005159AB">
        <w:rPr>
          <w:rFonts w:eastAsia="Calibri"/>
          <w:i/>
        </w:rPr>
        <w:t>Përgatitja e një instrumenti financiar, i cili do të përdoret nga të gjitha njësitë e vetëqeverisjes vendore, për hartimin e programit buxhetor afatmesëm, duke unifikuar proceset e punës.</w:t>
      </w:r>
    </w:p>
    <w:p w:rsidR="001B7576" w:rsidRPr="005159AB" w:rsidRDefault="001B7576" w:rsidP="001B7576">
      <w:pPr>
        <w:numPr>
          <w:ilvl w:val="0"/>
          <w:numId w:val="35"/>
        </w:numPr>
        <w:spacing w:line="276" w:lineRule="auto"/>
        <w:ind w:left="360" w:hanging="360"/>
        <w:jc w:val="both"/>
        <w:rPr>
          <w:i/>
        </w:rPr>
      </w:pPr>
      <w:r w:rsidRPr="005159AB">
        <w:rPr>
          <w:i/>
        </w:rPr>
        <w:lastRenderedPageBreak/>
        <w:t>Forcimi i disiplinës financiare në nivel vendor, nëpërmjet vendosjes së parimeve, rregullave, proceseve dhe procedurave për hartimin, zbatimin dhe kontrollin e buxhetit;</w:t>
      </w:r>
    </w:p>
    <w:p w:rsidR="001B7576" w:rsidRPr="005159AB" w:rsidRDefault="001B7576" w:rsidP="001B7576">
      <w:pPr>
        <w:numPr>
          <w:ilvl w:val="0"/>
          <w:numId w:val="35"/>
        </w:numPr>
        <w:spacing w:line="276" w:lineRule="auto"/>
        <w:ind w:left="360" w:hanging="360"/>
        <w:jc w:val="both"/>
        <w:rPr>
          <w:rFonts w:eastAsia="Calibri"/>
          <w:i/>
        </w:rPr>
      </w:pPr>
      <w:r w:rsidRPr="005159AB">
        <w:rPr>
          <w:rFonts w:eastAsia="Calibri"/>
          <w:i/>
        </w:rPr>
        <w:t>Përmirësimi i raportimit dhe monitorimit të performancës financiare në nivel vendor;</w:t>
      </w:r>
    </w:p>
    <w:p w:rsidR="001B7576" w:rsidRPr="005159AB" w:rsidRDefault="001B7576" w:rsidP="001B7576">
      <w:pPr>
        <w:numPr>
          <w:ilvl w:val="0"/>
          <w:numId w:val="35"/>
        </w:numPr>
        <w:spacing w:line="276" w:lineRule="auto"/>
        <w:ind w:left="360" w:hanging="360"/>
        <w:jc w:val="both"/>
        <w:rPr>
          <w:rFonts w:eastAsia="Calibri"/>
          <w:i/>
        </w:rPr>
      </w:pPr>
      <w:r w:rsidRPr="005159AB">
        <w:rPr>
          <w:rFonts w:eastAsia="Times New Roman"/>
          <w:bCs/>
          <w:i/>
        </w:rPr>
        <w:t>Rritja e transparencës në mbledhjen e përdorimin e fondeve publike të pushtetit vendor;</w:t>
      </w:r>
    </w:p>
    <w:p w:rsidR="001B7576" w:rsidRPr="005159AB" w:rsidRDefault="001B7576" w:rsidP="001B7576">
      <w:pPr>
        <w:numPr>
          <w:ilvl w:val="0"/>
          <w:numId w:val="35"/>
        </w:numPr>
        <w:spacing w:line="276" w:lineRule="auto"/>
        <w:ind w:left="360" w:hanging="360"/>
        <w:jc w:val="both"/>
        <w:rPr>
          <w:rFonts w:eastAsia="Calibri"/>
          <w:i/>
        </w:rPr>
      </w:pPr>
      <w:r w:rsidRPr="005159AB">
        <w:rPr>
          <w:i/>
        </w:rPr>
        <w:t>Evidentimi i rasteve të vëshirësive financiare të njësive të vetëqeverisjes vendore, përcaktimi i kushteve kur një njësi vendore konsiderohet e falimentuar si dhe i autoriteteve të cilat do ta administrojnë njësinë e vetëqeverisjes vendore në këto situata.</w:t>
      </w:r>
    </w:p>
    <w:p w:rsidR="001B7576" w:rsidRPr="005159AB" w:rsidRDefault="001B7576" w:rsidP="001B7576">
      <w:pPr>
        <w:spacing w:line="276" w:lineRule="auto"/>
        <w:jc w:val="both"/>
        <w:rPr>
          <w:rFonts w:eastAsia="Calibri"/>
          <w:i/>
        </w:rPr>
      </w:pPr>
    </w:p>
    <w:p w:rsidR="001B7576" w:rsidRPr="005159AB" w:rsidRDefault="001B7576" w:rsidP="001B7576">
      <w:pPr>
        <w:rPr>
          <w:b/>
          <w:sz w:val="22"/>
        </w:rPr>
      </w:pPr>
      <w:bookmarkStart w:id="40" w:name="_Toc466295645"/>
      <w:bookmarkStart w:id="41" w:name="_Toc466445440"/>
      <w:bookmarkStart w:id="42" w:name="_Toc495996700"/>
      <w:bookmarkStart w:id="43" w:name="_Toc495996967"/>
      <w:r w:rsidRPr="005159AB">
        <w:rPr>
          <w:b/>
          <w:sz w:val="22"/>
        </w:rPr>
        <w:t>Objektivat kryesore për buxhetin vendor të vitit 201</w:t>
      </w:r>
      <w:bookmarkEnd w:id="40"/>
      <w:bookmarkEnd w:id="41"/>
      <w:r w:rsidRPr="005159AB">
        <w:rPr>
          <w:b/>
          <w:sz w:val="22"/>
        </w:rPr>
        <w:t>8</w:t>
      </w:r>
      <w:bookmarkEnd w:id="42"/>
      <w:bookmarkEnd w:id="43"/>
    </w:p>
    <w:p w:rsidR="001B7576" w:rsidRPr="005159AB" w:rsidRDefault="001B7576" w:rsidP="001B7576">
      <w:pPr>
        <w:keepNext/>
        <w:ind w:left="720"/>
        <w:jc w:val="both"/>
        <w:outlineLvl w:val="1"/>
        <w:rPr>
          <w:b/>
          <w:bCs/>
          <w:iCs/>
        </w:rPr>
      </w:pPr>
    </w:p>
    <w:p w:rsidR="001B7576" w:rsidRPr="005159AB" w:rsidRDefault="001B7576" w:rsidP="001B7576">
      <w:pPr>
        <w:tabs>
          <w:tab w:val="left" w:pos="0"/>
          <w:tab w:val="left" w:pos="270"/>
          <w:tab w:val="right" w:pos="8640"/>
          <w:tab w:val="right" w:pos="9360"/>
        </w:tabs>
        <w:spacing w:line="276" w:lineRule="auto"/>
        <w:ind w:right="-43"/>
        <w:jc w:val="both"/>
      </w:pPr>
      <w:r w:rsidRPr="005159AB">
        <w:t xml:space="preserve">Objektivi i buxhetit vendor i vitit 2018, do jetë konsolidimi i Reformës Administrativo – Territoriale për të rritur cilësinë e shërbimeve ndaj qytetarit në nivel lokal. Në funksion të këtij objektivi transferta e pakushtëzuar së bashku me taksat e veta dhe të ndara do jetë rreth 3 miliardë lekë më e lartë se ajo e vitit 2017 dhe do shkojë tërësisht në rritjen e portofolit të investimeve publike vendore dhe shlyerjen e detyrimeve të prapambetura për njësitë e vetëqeverisjes vendore. Përmes kësaj rritje do të synohet forcimi i decentralizimit fiskal, konsolidimi fiskal dhe financiar dhe orjentimi i qeverisjes vendore </w:t>
      </w:r>
      <w:proofErr w:type="gramStart"/>
      <w:r w:rsidRPr="005159AB">
        <w:t>brenda</w:t>
      </w:r>
      <w:proofErr w:type="gramEnd"/>
      <w:r w:rsidRPr="005159AB">
        <w:t xml:space="preserve"> një kuadri të qartë qëndrueshmërie dhe zhvillimor. Objektivat që synohen të arrihen nëpërmjet buxhetit të vitit 2018 për qeverisjen vendore janë si më poshtë:</w:t>
      </w:r>
    </w:p>
    <w:p w:rsidR="001B7576" w:rsidRPr="005159AB" w:rsidRDefault="001B7576" w:rsidP="001B7576">
      <w:pPr>
        <w:numPr>
          <w:ilvl w:val="0"/>
          <w:numId w:val="36"/>
        </w:numPr>
        <w:tabs>
          <w:tab w:val="left" w:pos="270"/>
        </w:tabs>
        <w:spacing w:before="120" w:line="276" w:lineRule="auto"/>
        <w:ind w:left="270" w:hanging="270"/>
        <w:jc w:val="both"/>
      </w:pPr>
      <w:r w:rsidRPr="005159AB">
        <w:rPr>
          <w:i/>
        </w:rPr>
        <w:t>Forcimi i autonomisë financiare vendore,</w:t>
      </w:r>
      <w:r w:rsidRPr="005159AB">
        <w:rPr>
          <w:b/>
        </w:rPr>
        <w:t xml:space="preserve"> </w:t>
      </w:r>
      <w:r w:rsidRPr="005159AB">
        <w:t>që do të arrihet</w:t>
      </w:r>
      <w:r w:rsidRPr="005159AB">
        <w:rPr>
          <w:b/>
        </w:rPr>
        <w:t xml:space="preserve"> </w:t>
      </w:r>
      <w:r w:rsidRPr="005159AB">
        <w:t>nëpërmjet vazhdimit të rritjes së konsiderueshme, së të ardhurave në dispozicion të bashkive nëpërmjet transfertës së pakushtëzuar, e cila do të jetë jo më pak se 1% e Produktit të Brendshëm Bruto, duke rritur gjatë vitit buxhetor 2018 në mënyrë të ndjeshme të ardhurat dhe stabilitetin e fondeve të disponueshme për qeverisjen vendore;</w:t>
      </w:r>
    </w:p>
    <w:p w:rsidR="001B7576" w:rsidRPr="005159AB" w:rsidRDefault="001B7576" w:rsidP="001B7576">
      <w:pPr>
        <w:numPr>
          <w:ilvl w:val="0"/>
          <w:numId w:val="36"/>
        </w:numPr>
        <w:tabs>
          <w:tab w:val="left" w:pos="270"/>
        </w:tabs>
        <w:spacing w:before="120" w:line="276" w:lineRule="auto"/>
        <w:ind w:left="270" w:hanging="270"/>
        <w:jc w:val="both"/>
      </w:pPr>
      <w:r w:rsidRPr="005159AB">
        <w:rPr>
          <w:i/>
        </w:rPr>
        <w:t>Rregullimi i dobësisë strukturore të sistemit të financave ndërqeveritare,</w:t>
      </w:r>
      <w:r w:rsidRPr="005159AB">
        <w:rPr>
          <w:b/>
        </w:rPr>
        <w:t xml:space="preserve"> </w:t>
      </w:r>
      <w:r w:rsidRPr="005159AB">
        <w:t>nëpërmjet lidhjes së transfertës së pakushtëzuar me një variabël makroekonomik; Kjo do të rrisë transparencën, parashikueshmërinë dhe stabilitetin e transfertës së pakushtëzuar.</w:t>
      </w:r>
      <w:r w:rsidRPr="005159AB">
        <w:rPr>
          <w:b/>
        </w:rPr>
        <w:t xml:space="preserve"> </w:t>
      </w:r>
      <w:proofErr w:type="gramStart"/>
      <w:r w:rsidRPr="005159AB">
        <w:t>Ky</w:t>
      </w:r>
      <w:proofErr w:type="gramEnd"/>
      <w:r w:rsidRPr="005159AB">
        <w:t xml:space="preserve"> rregull i munguar të paktën prej vitit 2000, e sjell Shqipërinë në linjë me praktikat më të mira ndërkombëtare të financave vendore dhe i jep fund praktikës së uljes së burimit kryesor të financimit për shumicën e bashkive. Jo vetëm që fondet nuk do të ulen, por do të rriten nga viti në vit në harmoni me rritjen ekonomike;</w:t>
      </w:r>
    </w:p>
    <w:p w:rsidR="001B7576" w:rsidRPr="005159AB" w:rsidRDefault="001B7576" w:rsidP="001B7576">
      <w:pPr>
        <w:numPr>
          <w:ilvl w:val="0"/>
          <w:numId w:val="36"/>
        </w:numPr>
        <w:tabs>
          <w:tab w:val="left" w:pos="270"/>
        </w:tabs>
        <w:spacing w:before="120" w:line="276" w:lineRule="auto"/>
        <w:ind w:left="270" w:hanging="270"/>
        <w:jc w:val="both"/>
      </w:pPr>
      <w:r w:rsidRPr="005159AB">
        <w:rPr>
          <w:i/>
        </w:rPr>
        <w:t xml:space="preserve">Forcimi i disiplinës fiskale, </w:t>
      </w:r>
      <w:r w:rsidRPr="005159AB">
        <w:t>duke vendosur  rregulla dhe parime të qarta për hartimin, konsultimin, miratimin, zbatimin, raportimin dhe auditimin e buxheteve vendore, duke synuar një menaxhim të shëndoshë financiar dhe rritje të llogaridhënies. Njësitë e vetëqeverisjes vendore do të kenë të përcaktuar në mënyrë transparente fondet buxhetore të miratuara me ligj, si dhe kuadrin rregullator i cili përcaktohet përmes akteve nënligjore që do të dalin në zbatim të ligjit nr. 68, datë 27.04.2017 “Për financat e vetëqeverisjes vendore”;</w:t>
      </w:r>
    </w:p>
    <w:p w:rsidR="001B7576" w:rsidRPr="005159AB" w:rsidRDefault="001B7576" w:rsidP="001B7576">
      <w:pPr>
        <w:numPr>
          <w:ilvl w:val="0"/>
          <w:numId w:val="37"/>
        </w:numPr>
        <w:tabs>
          <w:tab w:val="left" w:pos="270"/>
        </w:tabs>
        <w:spacing w:before="120" w:line="276" w:lineRule="auto"/>
        <w:ind w:left="270" w:hanging="270"/>
        <w:jc w:val="both"/>
      </w:pPr>
      <w:r w:rsidRPr="005159AB">
        <w:rPr>
          <w:i/>
        </w:rPr>
        <w:t>Sigurimi i mjaftueshmërisë së burimeve financiare në dispozicion të njësive të vetëqeverisjes vendore,</w:t>
      </w:r>
      <w:r w:rsidRPr="005159AB">
        <w:t xml:space="preserve"> për financimin e funksioneve dhe kompetencave të tyre. Përmes buxhetit të vitit 2018, njësitë e vetëqeverisjes vendore do të sigurojnë më shumë të ardhura në formën e granteve dhe transfertave, një pjesë të të ardhurave nga Tatimi mbi të Ardhurat Personale si dhe nga taksa e automjeteve që do të rritet. Si rrjedhim, do të kenë në dipozicion më shumë burime financimi për të përcjellë sa më afër qytetarëve shërbimet me standartin e merituar;</w:t>
      </w:r>
    </w:p>
    <w:p w:rsidR="001B7576" w:rsidRPr="005159AB" w:rsidRDefault="001B7576" w:rsidP="001B7576">
      <w:pPr>
        <w:numPr>
          <w:ilvl w:val="0"/>
          <w:numId w:val="38"/>
        </w:numPr>
        <w:tabs>
          <w:tab w:val="left" w:pos="270"/>
        </w:tabs>
        <w:spacing w:before="120" w:line="276" w:lineRule="auto"/>
        <w:ind w:left="270" w:hanging="270"/>
        <w:jc w:val="both"/>
      </w:pPr>
      <w:r w:rsidRPr="005159AB">
        <w:rPr>
          <w:i/>
        </w:rPr>
        <w:t>Zhvillimi i qëndrueshëm ekonomik, social dhe territorial,</w:t>
      </w:r>
      <w:r w:rsidRPr="005159AB">
        <w:t xml:space="preserve"> nëpërmjet shpërndarjes së drejtë të transfertave buxhetore dhe mbulimin e plotë me fonde buxhetore për funksionet e transferuara;</w:t>
      </w:r>
    </w:p>
    <w:p w:rsidR="001B7576" w:rsidRPr="005159AB" w:rsidRDefault="001B7576" w:rsidP="001B7576">
      <w:pPr>
        <w:numPr>
          <w:ilvl w:val="0"/>
          <w:numId w:val="39"/>
        </w:numPr>
        <w:tabs>
          <w:tab w:val="left" w:pos="270"/>
        </w:tabs>
        <w:spacing w:before="120" w:line="276" w:lineRule="auto"/>
        <w:ind w:left="270" w:hanging="270"/>
        <w:jc w:val="both"/>
      </w:pPr>
      <w:r w:rsidRPr="005159AB">
        <w:rPr>
          <w:i/>
        </w:rPr>
        <w:lastRenderedPageBreak/>
        <w:t>Forcimi i dialogut ndërqeveritar,</w:t>
      </w:r>
      <w:r w:rsidRPr="005159AB">
        <w:rPr>
          <w:b/>
        </w:rPr>
        <w:t xml:space="preserve"> </w:t>
      </w:r>
      <w:r w:rsidRPr="005159AB">
        <w:t>nëpërmjet përcaktimit të proceseve dhe instrumenteve për konsultimin dhe dialogun ndërmjet qeverisjes qendrore dhe vendore, për transferimin e kompetencave dhe funksioneve, burimet e financimit dhe marrëdhëniet fiskale ndërqeveritare në përgjithësi;</w:t>
      </w:r>
    </w:p>
    <w:p w:rsidR="001B7576" w:rsidRPr="005159AB" w:rsidRDefault="001B7576" w:rsidP="001B7576">
      <w:pPr>
        <w:numPr>
          <w:ilvl w:val="0"/>
          <w:numId w:val="40"/>
        </w:numPr>
        <w:tabs>
          <w:tab w:val="left" w:pos="270"/>
        </w:tabs>
        <w:spacing w:before="120" w:line="276" w:lineRule="auto"/>
        <w:ind w:left="270" w:hanging="270"/>
        <w:jc w:val="both"/>
      </w:pPr>
      <w:r w:rsidRPr="005159AB">
        <w:rPr>
          <w:i/>
        </w:rPr>
        <w:t xml:space="preserve">Rritja e autonomisë fiskale dhe e kapacitetit të të ardhurave </w:t>
      </w:r>
      <w:r w:rsidRPr="005159AB">
        <w:t>të njësive të vetëqeverisjes vendore, për të përmbushur nevojat financiare për ofrimin e më shumë shërbimeve;</w:t>
      </w:r>
    </w:p>
    <w:p w:rsidR="001B7576" w:rsidRPr="005159AB" w:rsidRDefault="001B7576" w:rsidP="001B7576">
      <w:pPr>
        <w:numPr>
          <w:ilvl w:val="0"/>
          <w:numId w:val="40"/>
        </w:numPr>
        <w:tabs>
          <w:tab w:val="left" w:pos="270"/>
        </w:tabs>
        <w:spacing w:before="120" w:line="276" w:lineRule="auto"/>
        <w:ind w:left="270" w:hanging="270"/>
        <w:jc w:val="both"/>
      </w:pPr>
      <w:r w:rsidRPr="005159AB">
        <w:rPr>
          <w:i/>
        </w:rPr>
        <w:t>Përmirësimi i qendrueshmërisë, thjeshtësisë dhe barazisë</w:t>
      </w:r>
      <w:r w:rsidRPr="005159AB">
        <w:t xml:space="preserve"> në sistemin e transfertave, së bashku me rritjen e transparencës dhe administrimin e financave publike në nivel vendor;</w:t>
      </w:r>
    </w:p>
    <w:p w:rsidR="001B7576" w:rsidRPr="005159AB" w:rsidRDefault="001B7576" w:rsidP="001B7576">
      <w:pPr>
        <w:tabs>
          <w:tab w:val="left" w:pos="1134"/>
        </w:tabs>
        <w:spacing w:line="276" w:lineRule="auto"/>
        <w:jc w:val="both"/>
      </w:pPr>
    </w:p>
    <w:p w:rsidR="001B7576" w:rsidRPr="005159AB" w:rsidRDefault="001B7576" w:rsidP="001B7576">
      <w:pPr>
        <w:spacing w:line="276" w:lineRule="auto"/>
        <w:rPr>
          <w:b/>
          <w:sz w:val="22"/>
        </w:rPr>
      </w:pPr>
      <w:bookmarkStart w:id="44" w:name="_Toc466295646"/>
      <w:bookmarkStart w:id="45" w:name="_Toc466445441"/>
      <w:bookmarkStart w:id="46" w:name="_Toc495996701"/>
      <w:bookmarkStart w:id="47" w:name="_Toc495996968"/>
      <w:r w:rsidRPr="005159AB">
        <w:rPr>
          <w:b/>
          <w:sz w:val="22"/>
        </w:rPr>
        <w:t>Transferta e pakushtëzuar 2018 dhe formula e shpërndarjes së saj</w:t>
      </w:r>
      <w:bookmarkEnd w:id="44"/>
      <w:bookmarkEnd w:id="45"/>
      <w:bookmarkEnd w:id="46"/>
      <w:bookmarkEnd w:id="47"/>
    </w:p>
    <w:p w:rsidR="001B7576" w:rsidRPr="005159AB" w:rsidRDefault="001B7576" w:rsidP="001B7576">
      <w:pPr>
        <w:spacing w:line="276" w:lineRule="auto"/>
        <w:ind w:right="-43"/>
        <w:jc w:val="both"/>
        <w:rPr>
          <w:bCs/>
        </w:rPr>
      </w:pPr>
    </w:p>
    <w:p w:rsidR="001B7576" w:rsidRPr="005159AB" w:rsidRDefault="001B7576" w:rsidP="001B7576">
      <w:pPr>
        <w:spacing w:line="276" w:lineRule="auto"/>
        <w:ind w:right="-43"/>
        <w:jc w:val="both"/>
        <w:rPr>
          <w:bCs/>
        </w:rPr>
      </w:pPr>
      <w:r w:rsidRPr="005159AB">
        <w:rPr>
          <w:bCs/>
        </w:rPr>
        <w:t xml:space="preserve">Ndarja e transfertës së pakushtëzuar për vitin 2018, bazohet në një formulë të </w:t>
      </w:r>
      <w:proofErr w:type="gramStart"/>
      <w:r w:rsidRPr="005159AB">
        <w:rPr>
          <w:bCs/>
        </w:rPr>
        <w:t>përmirësuar  me</w:t>
      </w:r>
      <w:proofErr w:type="gramEnd"/>
      <w:r w:rsidRPr="005159AB">
        <w:rPr>
          <w:bCs/>
        </w:rPr>
        <w:t xml:space="preserve"> karakteristikat e mëposhtme:</w:t>
      </w:r>
    </w:p>
    <w:p w:rsidR="001B7576" w:rsidRPr="005159AB" w:rsidRDefault="001B7576" w:rsidP="001B7576">
      <w:pPr>
        <w:numPr>
          <w:ilvl w:val="0"/>
          <w:numId w:val="19"/>
        </w:numPr>
        <w:spacing w:line="276" w:lineRule="auto"/>
        <w:ind w:right="-43"/>
        <w:jc w:val="both"/>
        <w:rPr>
          <w:rFonts w:eastAsia="Calibri"/>
        </w:rPr>
      </w:pPr>
      <w:r w:rsidRPr="005159AB">
        <w:rPr>
          <w:rFonts w:eastAsia="Calibri"/>
        </w:rPr>
        <w:t>E thjeshtë për t’u kuptuar dhe zbatuar;</w:t>
      </w:r>
    </w:p>
    <w:p w:rsidR="001B7576" w:rsidRPr="005159AB" w:rsidRDefault="001B7576" w:rsidP="001B7576">
      <w:pPr>
        <w:numPr>
          <w:ilvl w:val="0"/>
          <w:numId w:val="21"/>
        </w:numPr>
        <w:spacing w:line="276" w:lineRule="auto"/>
        <w:ind w:right="-43"/>
        <w:jc w:val="both"/>
        <w:rPr>
          <w:rFonts w:eastAsia="Calibri"/>
        </w:rPr>
      </w:pPr>
      <w:r w:rsidRPr="005159AB">
        <w:rPr>
          <w:rFonts w:eastAsia="Calibri"/>
        </w:rPr>
        <w:t xml:space="preserve">E bazuar në kritere që garantojnë funksionimin normal të njësive të qeverisjes vendore; </w:t>
      </w:r>
    </w:p>
    <w:p w:rsidR="001B7576" w:rsidRPr="005159AB" w:rsidRDefault="001B7576" w:rsidP="001B7576">
      <w:pPr>
        <w:numPr>
          <w:ilvl w:val="0"/>
          <w:numId w:val="21"/>
        </w:numPr>
        <w:spacing w:line="276" w:lineRule="auto"/>
        <w:ind w:right="-43"/>
        <w:jc w:val="both"/>
      </w:pPr>
      <w:r w:rsidRPr="005159AB">
        <w:t xml:space="preserve">Garanton një sistem më të drejtë ekualizimi fiskal duke ndihmuar bashkitë me kapacitet më të ulët fiskal; </w:t>
      </w:r>
    </w:p>
    <w:p w:rsidR="001B7576" w:rsidRPr="005159AB" w:rsidRDefault="001B7576" w:rsidP="001B7576">
      <w:pPr>
        <w:numPr>
          <w:ilvl w:val="0"/>
          <w:numId w:val="18"/>
        </w:numPr>
        <w:tabs>
          <w:tab w:val="left" w:pos="142"/>
        </w:tabs>
        <w:spacing w:line="276" w:lineRule="auto"/>
        <w:ind w:right="-43"/>
        <w:jc w:val="both"/>
        <w:rPr>
          <w:rFonts w:eastAsia="Calibri"/>
        </w:rPr>
      </w:pPr>
      <w:r w:rsidRPr="005159AB">
        <w:rPr>
          <w:rFonts w:eastAsia="Calibri"/>
          <w:bCs/>
        </w:rPr>
        <w:t>M</w:t>
      </w:r>
      <w:r w:rsidRPr="005159AB">
        <w:rPr>
          <w:rFonts w:eastAsia="Calibri"/>
        </w:rPr>
        <w:t xml:space="preserve">ekanizmi i shpërndarjes së transfertës është i përshtatur në funksion të reformës administrativo-territoriale; </w:t>
      </w:r>
    </w:p>
    <w:p w:rsidR="001B7576" w:rsidRPr="005159AB" w:rsidRDefault="001B7576" w:rsidP="001B7576">
      <w:pPr>
        <w:numPr>
          <w:ilvl w:val="0"/>
          <w:numId w:val="18"/>
        </w:numPr>
        <w:spacing w:line="276" w:lineRule="auto"/>
        <w:ind w:right="-43"/>
        <w:jc w:val="both"/>
        <w:rPr>
          <w:rFonts w:eastAsia="Calibri"/>
          <w:b/>
          <w:bCs/>
        </w:rPr>
      </w:pPr>
      <w:r w:rsidRPr="005159AB">
        <w:rPr>
          <w:rFonts w:eastAsia="Calibri"/>
        </w:rPr>
        <w:t>Ndarja e grantit bazohet plotësisht në formulë, pa përfshirë fondet për konviktet, shërbimet sociale, fondet e rrugëve rurale dhe rajonale.</w:t>
      </w:r>
      <w:r w:rsidRPr="005159AB">
        <w:rPr>
          <w:rFonts w:eastAsia="Calibri"/>
          <w:b/>
          <w:bCs/>
        </w:rPr>
        <w:t xml:space="preserve"> </w:t>
      </w:r>
    </w:p>
    <w:p w:rsidR="001B7576" w:rsidRPr="005159AB" w:rsidRDefault="001B7576" w:rsidP="001B7576">
      <w:pPr>
        <w:spacing w:line="276" w:lineRule="auto"/>
        <w:ind w:right="-43"/>
        <w:jc w:val="both"/>
        <w:rPr>
          <w:bCs/>
        </w:rPr>
      </w:pPr>
      <w:r w:rsidRPr="005159AB">
        <w:t>Formula identifikon nevojat për shpenzime duke u bazuar në popullsinë relative, dendësinë e popullsisë dhe numrin e nxënësve të shkollave 9-vjeçare dhe të mesme. Përveç ekualizimit të kostove, i cili realizohet nëpërmjet komponentit të dendësisë dhe taksave të ndara, formula sjell edhe ekualizimin e kapacitetit fiskal.</w:t>
      </w:r>
      <w:r w:rsidRPr="005159AB">
        <w:rPr>
          <w:bCs/>
        </w:rPr>
        <w:t xml:space="preserve"> </w:t>
      </w:r>
      <w:r w:rsidRPr="005159AB">
        <w:t xml:space="preserve">Ekualizimi fiskal bazohet në të ardhurat faktike nga tatim fitimi i thjeshtuar i biznesit të vogël, taksa vjetore e automjeteve të përdorura dhe taksa mbi transferimin e pasurisë, për pasuritë e paluajtshme të shitura nga personat juridikë. </w:t>
      </w:r>
    </w:p>
    <w:p w:rsidR="001B7576" w:rsidRPr="001B7576" w:rsidRDefault="001B7576" w:rsidP="001B7576">
      <w:pPr>
        <w:spacing w:line="276" w:lineRule="auto"/>
        <w:contextualSpacing/>
        <w:jc w:val="both"/>
        <w:textAlignment w:val="baseline"/>
        <w:rPr>
          <w:rFonts w:eastAsia="Times New Roman"/>
          <w:kern w:val="24"/>
          <w:sz w:val="16"/>
          <w:szCs w:val="16"/>
        </w:rPr>
      </w:pPr>
    </w:p>
    <w:p w:rsidR="001B7576" w:rsidRPr="005159AB" w:rsidRDefault="001B7576" w:rsidP="001B7576">
      <w:pPr>
        <w:spacing w:line="276" w:lineRule="auto"/>
        <w:contextualSpacing/>
        <w:jc w:val="both"/>
        <w:textAlignment w:val="baseline"/>
      </w:pPr>
      <w:r w:rsidRPr="005159AB">
        <w:rPr>
          <w:rFonts w:eastAsia="Times New Roman"/>
          <w:kern w:val="24"/>
        </w:rPr>
        <w:t xml:space="preserve">Në buxhetin e vitit 2018, shuma e transfertës së pakushtëzuar e shpërndarë me anë të formulës rritet në 16.5 miliardë lekë, nga 13.5 miliardë lekë që ishte në buxhetin e vitit 2017, pra </w:t>
      </w:r>
      <w:r w:rsidRPr="005159AB">
        <w:t xml:space="preserve">3 miliardë lekë më shumë (ose rreth 22 % më e lartë) se  në vitin 2017. Transferta e pakushtëzuar për vitin 2018, krahasuar me vitin 2013, është 4.4 miliardë </w:t>
      </w:r>
      <w:r w:rsidRPr="005159AB">
        <w:rPr>
          <w:rFonts w:eastAsia="Times New Roman"/>
          <w:kern w:val="24"/>
        </w:rPr>
        <w:t>lekë</w:t>
      </w:r>
      <w:r w:rsidRPr="005159AB">
        <w:t xml:space="preserve"> më shumë ose rreth 36.6 për qind më e lartë (sic paraqitet edhe në grafikun e mëposhtëm). Rritja e konsiderueshme e transfertës së pakushtëzuar krahasuar me një vit më parë, tregon rëndësinë që </w:t>
      </w:r>
      <w:proofErr w:type="gramStart"/>
      <w:r w:rsidRPr="005159AB">
        <w:t>ky</w:t>
      </w:r>
      <w:proofErr w:type="gramEnd"/>
      <w:r w:rsidRPr="005159AB">
        <w:t xml:space="preserve"> buxhet i kushton procesit të decentralizimit dhe efikasitetit të qeverisjes vendore në zbatim të Reformës Administrativo - Territoriale.</w:t>
      </w:r>
    </w:p>
    <w:p w:rsidR="001B7576" w:rsidRPr="001B7576" w:rsidRDefault="001B7576" w:rsidP="001B7576">
      <w:pPr>
        <w:jc w:val="both"/>
        <w:rPr>
          <w:sz w:val="16"/>
          <w:szCs w:val="16"/>
        </w:rPr>
      </w:pPr>
    </w:p>
    <w:p w:rsidR="001B7576" w:rsidRPr="005159AB" w:rsidRDefault="001B7576" w:rsidP="001B7576">
      <w:pPr>
        <w:jc w:val="both"/>
        <w:rPr>
          <w:rFonts w:eastAsia="Times New Roman"/>
          <w:b/>
          <w:szCs w:val="20"/>
        </w:rPr>
      </w:pPr>
      <w:r w:rsidRPr="005159AB">
        <w:rPr>
          <w:rFonts w:eastAsia="Times New Roman"/>
          <w:b/>
          <w:szCs w:val="20"/>
        </w:rPr>
        <w:t xml:space="preserve">Grafiku 2: </w:t>
      </w:r>
      <w:r w:rsidRPr="005159AB">
        <w:rPr>
          <w:rFonts w:eastAsia="Times New Roman"/>
          <w:szCs w:val="20"/>
        </w:rPr>
        <w:t>Transferta e pakushtëzuar 2013-2018</w:t>
      </w:r>
    </w:p>
    <w:p w:rsidR="001B7576" w:rsidRPr="005159AB" w:rsidRDefault="001B7576" w:rsidP="001B7576">
      <w:pPr>
        <w:contextualSpacing/>
        <w:jc w:val="both"/>
        <w:textAlignment w:val="baseline"/>
      </w:pPr>
      <w:r w:rsidRPr="005159AB">
        <w:rPr>
          <w:noProof/>
        </w:rPr>
        <w:drawing>
          <wp:inline distT="0" distB="0" distL="0" distR="0" wp14:anchorId="7FA2BEC8" wp14:editId="217E018F">
            <wp:extent cx="6013450" cy="1628775"/>
            <wp:effectExtent l="133350" t="76200" r="139700" b="18097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7576" w:rsidRPr="005159AB" w:rsidRDefault="001B7576" w:rsidP="001B7576">
      <w:pPr>
        <w:jc w:val="both"/>
        <w:rPr>
          <w:i/>
          <w:noProof/>
          <w:sz w:val="20"/>
          <w:szCs w:val="20"/>
          <w:lang w:eastAsia="sq-AL"/>
        </w:rPr>
      </w:pPr>
      <w:r w:rsidRPr="005159AB">
        <w:rPr>
          <w:b/>
          <w:i/>
          <w:noProof/>
          <w:sz w:val="20"/>
          <w:szCs w:val="20"/>
          <w:lang w:eastAsia="sq-AL"/>
        </w:rPr>
        <w:t>Burimi:</w:t>
      </w:r>
      <w:r w:rsidRPr="005159AB">
        <w:rPr>
          <w:i/>
          <w:noProof/>
          <w:sz w:val="20"/>
          <w:szCs w:val="20"/>
          <w:lang w:eastAsia="sq-AL"/>
        </w:rPr>
        <w:t xml:space="preserve"> </w:t>
      </w:r>
      <w:r w:rsidRPr="005159AB">
        <w:rPr>
          <w:rFonts w:eastAsia="Times New Roman"/>
          <w:i/>
          <w:sz w:val="20"/>
          <w:szCs w:val="20"/>
        </w:rPr>
        <w:t>Ministria e Financave dhe Ekonomisë (2017)</w:t>
      </w:r>
    </w:p>
    <w:p w:rsidR="001B7576" w:rsidRPr="005159AB" w:rsidRDefault="001B7576" w:rsidP="001B7576">
      <w:pPr>
        <w:contextualSpacing/>
        <w:jc w:val="both"/>
        <w:textAlignment w:val="baseline"/>
      </w:pPr>
    </w:p>
    <w:p w:rsidR="001B7576" w:rsidRPr="005159AB" w:rsidRDefault="001B7576" w:rsidP="001B7576">
      <w:pPr>
        <w:spacing w:line="276" w:lineRule="auto"/>
        <w:contextualSpacing/>
        <w:jc w:val="both"/>
        <w:textAlignment w:val="baseline"/>
      </w:pPr>
      <w:r w:rsidRPr="005159AB">
        <w:t xml:space="preserve">Transferta e pakushtëzuar do t’i sigurojë njësive të vetëqeverisjes vendore mbulimin e diferencës mes kostos së ushtrimit të funksioneve (nevojat për shpenzime) dhe të ardhurave që ato krijojnë në mënyrë të pavarur. </w:t>
      </w:r>
    </w:p>
    <w:p w:rsidR="001B7576" w:rsidRPr="005159AB" w:rsidRDefault="001B7576" w:rsidP="001B7576">
      <w:pPr>
        <w:spacing w:line="276" w:lineRule="auto"/>
        <w:contextualSpacing/>
        <w:jc w:val="both"/>
        <w:textAlignment w:val="baseline"/>
      </w:pPr>
    </w:p>
    <w:p w:rsidR="001B7576" w:rsidRPr="005159AB" w:rsidRDefault="001B7576" w:rsidP="001B7576">
      <w:pPr>
        <w:rPr>
          <w:b/>
          <w:sz w:val="22"/>
        </w:rPr>
      </w:pPr>
      <w:bookmarkStart w:id="48" w:name="_Toc466295647"/>
      <w:bookmarkStart w:id="49" w:name="_Toc466445442"/>
      <w:bookmarkStart w:id="50" w:name="_Toc495996702"/>
      <w:bookmarkStart w:id="51" w:name="_Toc495996969"/>
      <w:r w:rsidRPr="005159AB">
        <w:rPr>
          <w:b/>
          <w:sz w:val="22"/>
        </w:rPr>
        <w:t>Transferta specifike</w:t>
      </w:r>
      <w:bookmarkEnd w:id="48"/>
      <w:bookmarkEnd w:id="49"/>
      <w:bookmarkEnd w:id="50"/>
      <w:bookmarkEnd w:id="51"/>
      <w:r w:rsidRPr="005159AB">
        <w:rPr>
          <w:b/>
          <w:sz w:val="22"/>
        </w:rPr>
        <w:t xml:space="preserve"> </w:t>
      </w:r>
    </w:p>
    <w:p w:rsidR="001B7576" w:rsidRPr="005159AB" w:rsidRDefault="001B7576" w:rsidP="001B7576">
      <w:pPr>
        <w:rPr>
          <w:b/>
          <w:sz w:val="22"/>
        </w:rPr>
      </w:pPr>
    </w:p>
    <w:p w:rsidR="001B7576" w:rsidRPr="005159AB" w:rsidRDefault="001B7576" w:rsidP="001B7576">
      <w:pPr>
        <w:spacing w:line="276" w:lineRule="auto"/>
        <w:ind w:right="-43"/>
        <w:jc w:val="both"/>
      </w:pPr>
      <w:r w:rsidRPr="005159AB">
        <w:t xml:space="preserve">Në buxhetin e vitit 2018 do të vazhdojnë të financohen nëpërmjet transfertës specifike funksionet të cilat </w:t>
      </w:r>
      <w:proofErr w:type="gramStart"/>
      <w:r w:rsidRPr="005159AB">
        <w:t>iu</w:t>
      </w:r>
      <w:proofErr w:type="gramEnd"/>
      <w:r w:rsidRPr="005159AB">
        <w:t xml:space="preserve"> transferuan bashkive në vitin buxhetor 2016: </w:t>
      </w:r>
    </w:p>
    <w:p w:rsidR="001B7576" w:rsidRPr="005159AB" w:rsidRDefault="001B7576" w:rsidP="001B7576">
      <w:pPr>
        <w:spacing w:line="276" w:lineRule="auto"/>
        <w:ind w:right="-43"/>
        <w:rPr>
          <w:sz w:val="16"/>
          <w:szCs w:val="16"/>
        </w:rPr>
      </w:pPr>
    </w:p>
    <w:p w:rsidR="001B7576" w:rsidRPr="005159AB" w:rsidRDefault="001B7576" w:rsidP="001B7576">
      <w:pPr>
        <w:numPr>
          <w:ilvl w:val="0"/>
          <w:numId w:val="13"/>
        </w:numPr>
        <w:spacing w:line="276" w:lineRule="auto"/>
        <w:ind w:right="-43"/>
        <w:contextualSpacing/>
        <w:jc w:val="both"/>
      </w:pPr>
      <w:r w:rsidRPr="005159AB">
        <w:t xml:space="preserve">Personeli edukativ dhe mbështetës në arsimin parashkollor, </w:t>
      </w:r>
    </w:p>
    <w:p w:rsidR="001B7576" w:rsidRPr="005159AB" w:rsidRDefault="001B7576" w:rsidP="001B7576">
      <w:pPr>
        <w:numPr>
          <w:ilvl w:val="0"/>
          <w:numId w:val="13"/>
        </w:numPr>
        <w:spacing w:line="276" w:lineRule="auto"/>
        <w:ind w:right="-43"/>
        <w:contextualSpacing/>
        <w:jc w:val="both"/>
      </w:pPr>
      <w:r w:rsidRPr="005159AB">
        <w:t xml:space="preserve">Personeli mbështetës i arsimit parauniversitar, </w:t>
      </w:r>
    </w:p>
    <w:p w:rsidR="001B7576" w:rsidRPr="005159AB" w:rsidRDefault="001B7576" w:rsidP="001B7576">
      <w:pPr>
        <w:numPr>
          <w:ilvl w:val="0"/>
          <w:numId w:val="13"/>
        </w:numPr>
        <w:spacing w:line="276" w:lineRule="auto"/>
        <w:ind w:right="-43"/>
        <w:contextualSpacing/>
        <w:jc w:val="both"/>
      </w:pPr>
      <w:r w:rsidRPr="005159AB">
        <w:t xml:space="preserve">Rrugët rurale rajonale, </w:t>
      </w:r>
    </w:p>
    <w:p w:rsidR="001B7576" w:rsidRPr="005159AB" w:rsidRDefault="001B7576" w:rsidP="001B7576">
      <w:pPr>
        <w:numPr>
          <w:ilvl w:val="0"/>
          <w:numId w:val="13"/>
        </w:numPr>
        <w:spacing w:line="276" w:lineRule="auto"/>
        <w:ind w:right="-43"/>
        <w:contextualSpacing/>
        <w:jc w:val="both"/>
      </w:pPr>
      <w:r w:rsidRPr="005159AB">
        <w:t xml:space="preserve">Shërbimi i mbrojtjes nga zjarri, </w:t>
      </w:r>
    </w:p>
    <w:p w:rsidR="001B7576" w:rsidRPr="005159AB" w:rsidRDefault="001B7576" w:rsidP="001B7576">
      <w:pPr>
        <w:numPr>
          <w:ilvl w:val="0"/>
          <w:numId w:val="13"/>
        </w:numPr>
        <w:spacing w:line="276" w:lineRule="auto"/>
        <w:ind w:right="-43"/>
        <w:contextualSpacing/>
        <w:jc w:val="both"/>
      </w:pPr>
      <w:r w:rsidRPr="005159AB">
        <w:t xml:space="preserve">Shërbimi pyjor, </w:t>
      </w:r>
    </w:p>
    <w:p w:rsidR="001B7576" w:rsidRPr="005159AB" w:rsidRDefault="001B7576" w:rsidP="001B7576">
      <w:pPr>
        <w:numPr>
          <w:ilvl w:val="0"/>
          <w:numId w:val="13"/>
        </w:numPr>
        <w:spacing w:line="276" w:lineRule="auto"/>
        <w:ind w:right="-43"/>
        <w:contextualSpacing/>
        <w:jc w:val="both"/>
      </w:pPr>
      <w:r w:rsidRPr="005159AB">
        <w:t xml:space="preserve">Ujitja dhe kullimi, </w:t>
      </w:r>
    </w:p>
    <w:p w:rsidR="001B7576" w:rsidRPr="005159AB" w:rsidRDefault="001B7576" w:rsidP="001B7576">
      <w:pPr>
        <w:numPr>
          <w:ilvl w:val="0"/>
          <w:numId w:val="13"/>
        </w:numPr>
        <w:spacing w:line="276" w:lineRule="auto"/>
        <w:ind w:right="-43"/>
        <w:contextualSpacing/>
        <w:jc w:val="both"/>
      </w:pPr>
      <w:r w:rsidRPr="005159AB">
        <w:t xml:space="preserve">Ofrimi i shërbimeve sociale. </w:t>
      </w:r>
    </w:p>
    <w:p w:rsidR="001B7576" w:rsidRPr="005159AB" w:rsidRDefault="001B7576" w:rsidP="001B7576">
      <w:pPr>
        <w:spacing w:line="276" w:lineRule="auto"/>
        <w:ind w:left="720" w:right="-43"/>
        <w:contextualSpacing/>
        <w:rPr>
          <w:sz w:val="16"/>
          <w:szCs w:val="16"/>
        </w:rPr>
      </w:pPr>
    </w:p>
    <w:p w:rsidR="001B7576" w:rsidRPr="005159AB" w:rsidRDefault="001B7576" w:rsidP="001B7576">
      <w:pPr>
        <w:spacing w:line="276" w:lineRule="auto"/>
        <w:ind w:right="-43"/>
        <w:jc w:val="both"/>
      </w:pPr>
      <w:r w:rsidRPr="005159AB">
        <w:t>Funksionet e transferuara, për vitet 2016-2017 dhe në vitin 2018, do të financohen nëpërmjet transfertës specifike të përcaktuar individualisht për çdo njësi të vetëqeverisjes vendore, sipas funskioneve. Kalimi i këtyre funksioneve së bashku me burimet e financimeve përkatëse do ketë një efekt pozitiv në buxhetin vendor të</w:t>
      </w:r>
      <w:r w:rsidR="00C834F3">
        <w:t xml:space="preserve"> vitit 2018, në vlerën rreth 7.4</w:t>
      </w:r>
      <w:r w:rsidRPr="005159AB">
        <w:t xml:space="preserve"> miliardë lekë. Buxheti i vitit 2018 lidhur me funksionet e trasferuara në njësitë e vetëqeverisjes vendore do të shoqërohet me efektet e mëposhtme:</w:t>
      </w:r>
    </w:p>
    <w:p w:rsidR="001B7576" w:rsidRPr="005159AB" w:rsidRDefault="001B7576" w:rsidP="001B7576">
      <w:pPr>
        <w:spacing w:line="276" w:lineRule="auto"/>
        <w:ind w:right="-43"/>
        <w:rPr>
          <w:sz w:val="16"/>
          <w:szCs w:val="16"/>
        </w:rPr>
      </w:pPr>
    </w:p>
    <w:p w:rsidR="001B7576" w:rsidRPr="005159AB" w:rsidRDefault="001B7576" w:rsidP="001B7576">
      <w:pPr>
        <w:numPr>
          <w:ilvl w:val="0"/>
          <w:numId w:val="22"/>
        </w:numPr>
        <w:spacing w:line="276" w:lineRule="auto"/>
        <w:ind w:right="-43"/>
        <w:jc w:val="both"/>
      </w:pPr>
      <w:r w:rsidRPr="005159AB">
        <w:t>Për funksionin e mbrojtes nga zjarri dhe shpëtimi janë transferuar në nivel vendor 174 punonjës, shoqëruar me një faturë financiare prej 141 milionë lekë, për të financuar shtesën e 10 stacioneve të reja zjarrfikëse, si dhe për të plotësuar standartin ligjor lidhur me numrin e punonjësve për stacionet ekzistuese për disa njësi vendore.</w:t>
      </w:r>
    </w:p>
    <w:p w:rsidR="001B7576" w:rsidRPr="005159AB" w:rsidRDefault="001B7576" w:rsidP="001B7576">
      <w:pPr>
        <w:numPr>
          <w:ilvl w:val="0"/>
          <w:numId w:val="22"/>
        </w:numPr>
        <w:spacing w:line="276" w:lineRule="auto"/>
        <w:ind w:right="-43"/>
        <w:jc w:val="both"/>
      </w:pPr>
      <w:r w:rsidRPr="005159AB">
        <w:t>Për funksionin e arsimit, janë transferuar nga Ministria e Arsimit, Sportit dhe Rinisë në njësitë e vetëqeverijses vendore 6</w:t>
      </w:r>
      <w:r w:rsidR="00C834F3">
        <w:t>3</w:t>
      </w:r>
      <w:r w:rsidRPr="005159AB">
        <w:t xml:space="preserve"> punonjës (nga të cilët 4</w:t>
      </w:r>
      <w:r w:rsidR="00C834F3">
        <w:t>5</w:t>
      </w:r>
      <w:r w:rsidRPr="005159AB">
        <w:t xml:space="preserve"> të arsimit parashkollor dhe arsimit të mesëm, si dhe 18 punonjës për shtimin e përsonelit edukativ, si rrjedhojë e hapjes së kopshteve të reja për disa bashki). Efekti financiar shtesë për këtë funksion në buxhetin e vitit 2018 është në vlerën e rreth 5</w:t>
      </w:r>
      <w:r w:rsidR="00C834F3">
        <w:t>2</w:t>
      </w:r>
      <w:r w:rsidRPr="005159AB">
        <w:t xml:space="preserve"> milion lekë. </w:t>
      </w:r>
    </w:p>
    <w:p w:rsidR="001B7576" w:rsidRPr="005159AB" w:rsidRDefault="001B7576" w:rsidP="001B7576">
      <w:pPr>
        <w:numPr>
          <w:ilvl w:val="0"/>
          <w:numId w:val="22"/>
        </w:numPr>
        <w:spacing w:line="276" w:lineRule="auto"/>
        <w:ind w:right="-43"/>
        <w:jc w:val="both"/>
      </w:pPr>
      <w:r w:rsidRPr="005159AB">
        <w:t>Fondi për rritjen e pagave, për të financuar funksionet e reja të transferuara në nivel vendor, me një vlerë rreth 500 milion lekë;</w:t>
      </w:r>
    </w:p>
    <w:p w:rsidR="001B7576" w:rsidRPr="005159AB" w:rsidRDefault="001B7576" w:rsidP="001B7576">
      <w:pPr>
        <w:numPr>
          <w:ilvl w:val="0"/>
          <w:numId w:val="22"/>
        </w:numPr>
        <w:spacing w:line="276" w:lineRule="auto"/>
        <w:ind w:right="-43"/>
        <w:jc w:val="both"/>
      </w:pPr>
      <w:r w:rsidRPr="005159AB">
        <w:t>Fondi prej 50 milionë lekë për investime në mjetet dhe pajisjet e stacioneve zjarrfikëse.</w:t>
      </w:r>
    </w:p>
    <w:p w:rsidR="001B7576" w:rsidRPr="005159AB" w:rsidRDefault="001B7576" w:rsidP="001B7576">
      <w:pPr>
        <w:numPr>
          <w:ilvl w:val="0"/>
          <w:numId w:val="22"/>
        </w:numPr>
        <w:spacing w:line="276" w:lineRule="auto"/>
        <w:ind w:right="-43"/>
        <w:jc w:val="both"/>
      </w:pPr>
      <w:r w:rsidRPr="005159AB">
        <w:t xml:space="preserve">Për funksionin e administrimit të pyjeve, është shtuar fondi prej 100 milionë lekë, për plotësimin e standartit ligjor (raporti midis një nëpunësi të bashkisë me sipërfaqen e fondit pyjor dhe kullosor që ai mbulon) me qëllim </w:t>
      </w:r>
      <w:r w:rsidRPr="005159AB">
        <w:rPr>
          <w:rFonts w:eastAsia="Times New Roman"/>
        </w:rPr>
        <w:t xml:space="preserve">administrimin, qeverisjen dhe mbrojtjen e fondit pyjor dhe kullosor </w:t>
      </w:r>
      <w:proofErr w:type="gramStart"/>
      <w:r w:rsidRPr="005159AB">
        <w:rPr>
          <w:rFonts w:eastAsia="Times New Roman"/>
        </w:rPr>
        <w:t>brenda</w:t>
      </w:r>
      <w:proofErr w:type="gramEnd"/>
      <w:r w:rsidRPr="005159AB">
        <w:rPr>
          <w:rFonts w:eastAsia="Times New Roman"/>
        </w:rPr>
        <w:t xml:space="preserve"> kufijve territorialë administrative.</w:t>
      </w:r>
    </w:p>
    <w:p w:rsidR="001B7576" w:rsidRPr="005159AB" w:rsidRDefault="001B7576" w:rsidP="001B7576">
      <w:pPr>
        <w:numPr>
          <w:ilvl w:val="0"/>
          <w:numId w:val="22"/>
        </w:numPr>
        <w:spacing w:line="276" w:lineRule="auto"/>
        <w:ind w:right="-43"/>
        <w:jc w:val="both"/>
      </w:pPr>
      <w:r w:rsidRPr="005159AB">
        <w:rPr>
          <w:rFonts w:eastAsia="Times New Roman"/>
        </w:rPr>
        <w:t>Është shtuar fondi për mirëmbajtjen e kanaleve ujitëse dhe kulluese, dhe mirëmbajtjen e pajisjeve të zjarrëfikseve.</w:t>
      </w:r>
    </w:p>
    <w:p w:rsidR="001B7576" w:rsidRPr="005159AB" w:rsidRDefault="001B7576" w:rsidP="001B7576">
      <w:pPr>
        <w:spacing w:line="276" w:lineRule="auto"/>
        <w:ind w:left="720" w:right="-43"/>
        <w:rPr>
          <w:sz w:val="16"/>
          <w:szCs w:val="16"/>
        </w:rPr>
      </w:pPr>
    </w:p>
    <w:p w:rsidR="001B7576" w:rsidRPr="005159AB" w:rsidRDefault="001B7576" w:rsidP="001B7576">
      <w:pPr>
        <w:spacing w:line="276" w:lineRule="auto"/>
        <w:ind w:right="-43"/>
        <w:jc w:val="both"/>
      </w:pPr>
      <w:r w:rsidRPr="005159AB">
        <w:t xml:space="preserve">Në një aneks të veçantë të ligjit të buxhetit të vitit 2018 janë përcaktuar masat e nevojshme, rolet dhe detyrat përkatëse për kryerjen e këtyre funksioneve. </w:t>
      </w:r>
    </w:p>
    <w:p w:rsidR="001B7576" w:rsidRPr="005159AB" w:rsidRDefault="001B7576" w:rsidP="001B7576">
      <w:pPr>
        <w:spacing w:line="276" w:lineRule="auto"/>
        <w:ind w:right="-43"/>
        <w:jc w:val="both"/>
      </w:pPr>
    </w:p>
    <w:p w:rsidR="001B7576" w:rsidRDefault="001B7576" w:rsidP="001B7576">
      <w:pPr>
        <w:rPr>
          <w:b/>
        </w:rPr>
      </w:pPr>
      <w:bookmarkStart w:id="52" w:name="_Toc466295648"/>
      <w:bookmarkStart w:id="53" w:name="_Toc466445443"/>
      <w:bookmarkStart w:id="54" w:name="_Toc495996703"/>
      <w:bookmarkStart w:id="55" w:name="_Toc495996970"/>
    </w:p>
    <w:p w:rsidR="001B7576" w:rsidRPr="001B7576" w:rsidRDefault="001B7576" w:rsidP="001B7576">
      <w:pPr>
        <w:rPr>
          <w:b/>
        </w:rPr>
      </w:pPr>
      <w:r w:rsidRPr="001B7576">
        <w:rPr>
          <w:b/>
        </w:rPr>
        <w:lastRenderedPageBreak/>
        <w:t>Detyrimet e prapambetura të njësive të vetëqeverisjes vendore</w:t>
      </w:r>
      <w:bookmarkEnd w:id="52"/>
      <w:bookmarkEnd w:id="53"/>
      <w:bookmarkEnd w:id="54"/>
      <w:bookmarkEnd w:id="55"/>
    </w:p>
    <w:p w:rsidR="001B7576" w:rsidRPr="005159AB" w:rsidRDefault="001B7576" w:rsidP="001B7576">
      <w:pPr>
        <w:ind w:left="360"/>
        <w:rPr>
          <w:b/>
          <w:sz w:val="22"/>
        </w:rPr>
      </w:pPr>
    </w:p>
    <w:p w:rsidR="001B7576" w:rsidRPr="005159AB" w:rsidRDefault="001B7576" w:rsidP="001B7576">
      <w:pPr>
        <w:spacing w:line="276" w:lineRule="auto"/>
        <w:jc w:val="both"/>
      </w:pPr>
      <w:r w:rsidRPr="005159AB">
        <w:t xml:space="preserve">Detyrimet e njësive të vetëqeverisjes vendore janë krijuar në vite, si rrjedhojë e keqmenaxhimit të financave publike në nivel vendor, si dhe parashikimit optimist të të ardhurave. </w:t>
      </w:r>
      <w:r w:rsidRPr="005159AB">
        <w:rPr>
          <w:rFonts w:eastAsia="MS Mincho"/>
        </w:rPr>
        <w:t xml:space="preserve">Detyrimet e prapambetura të krijuara rishtazi për njësitë e vetëqeverisjes vendore deri në qershor të vitit 2017, arrijnë në vlerën </w:t>
      </w:r>
      <w:r w:rsidRPr="005159AB">
        <w:rPr>
          <w:rFonts w:eastAsia="MS Mincho"/>
          <w:b/>
        </w:rPr>
        <w:t xml:space="preserve">9.5 miliardë lekë </w:t>
      </w:r>
      <w:r w:rsidRPr="005159AB">
        <w:rPr>
          <w:rFonts w:eastAsia="MS Mincho"/>
        </w:rPr>
        <w:t xml:space="preserve">(kryesisht investime, shpenzime për mallra dhe shërbime dhe vendime gjyqësore). Në tremujorin e dytë të vitit 2017, janë krijuar detyrime që kapin vlerën </w:t>
      </w:r>
      <w:r w:rsidRPr="005159AB">
        <w:rPr>
          <w:rFonts w:eastAsia="MS Mincho"/>
          <w:b/>
        </w:rPr>
        <w:t>3.2 miliardë lekë</w:t>
      </w:r>
      <w:r w:rsidRPr="005159AB">
        <w:rPr>
          <w:rFonts w:eastAsia="MS Mincho"/>
        </w:rPr>
        <w:t xml:space="preserve"> (kryesisht investime, shpenzime për mallra dhe shërbime). Një pjesë e detyrimeve të krijuara deri në qershor 2017 janë likujduar dhe ndërkohë pritet likujdimi i plotë i tyre në periudhën në vazhdim. </w:t>
      </w:r>
      <w:r w:rsidRPr="005159AB">
        <w:rPr>
          <w:rFonts w:eastAsia="Times New Roman"/>
          <w:color w:val="000000"/>
        </w:rPr>
        <w:t>Në tremujorin e dytë të vitit 2017 janë likujduar rreth</w:t>
      </w:r>
      <w:r w:rsidRPr="005159AB">
        <w:rPr>
          <w:rFonts w:eastAsia="Times New Roman"/>
          <w:b/>
          <w:color w:val="000000"/>
        </w:rPr>
        <w:t xml:space="preserve"> 3.9 miliardë lekë </w:t>
      </w:r>
      <w:r w:rsidRPr="005159AB">
        <w:rPr>
          <w:rFonts w:eastAsia="Times New Roman"/>
          <w:color w:val="000000"/>
        </w:rPr>
        <w:t>dhe</w:t>
      </w:r>
      <w:r w:rsidRPr="005159AB">
        <w:rPr>
          <w:rFonts w:eastAsia="Times New Roman"/>
          <w:b/>
          <w:color w:val="000000"/>
        </w:rPr>
        <w:t xml:space="preserve"> v</w:t>
      </w:r>
      <w:r w:rsidRPr="005159AB">
        <w:rPr>
          <w:rFonts w:eastAsia="Times New Roman"/>
          <w:color w:val="000000"/>
        </w:rPr>
        <w:t xml:space="preserve">lera e mbetur e cila parashikohet të shlyhet në vitin në vazhdim, është rreth </w:t>
      </w:r>
      <w:r w:rsidRPr="005159AB">
        <w:rPr>
          <w:rFonts w:eastAsia="Times New Roman"/>
          <w:b/>
          <w:color w:val="000000"/>
        </w:rPr>
        <w:t>9.1 miliardë lekë.</w:t>
      </w:r>
      <w:r w:rsidRPr="005159AB">
        <w:rPr>
          <w:rFonts w:eastAsia="Times New Roman"/>
          <w:color w:val="000000"/>
        </w:rPr>
        <w:t xml:space="preserve"> </w:t>
      </w:r>
    </w:p>
    <w:p w:rsidR="001B7576" w:rsidRPr="005159AB" w:rsidRDefault="001B7576" w:rsidP="001B7576">
      <w:pPr>
        <w:spacing w:line="276" w:lineRule="auto"/>
        <w:jc w:val="both"/>
      </w:pPr>
    </w:p>
    <w:p w:rsidR="001B7576" w:rsidRPr="005159AB" w:rsidRDefault="001B7576" w:rsidP="001B7576">
      <w:pPr>
        <w:spacing w:line="276" w:lineRule="auto"/>
        <w:jc w:val="both"/>
      </w:pPr>
      <w:r w:rsidRPr="005159AB">
        <w:t xml:space="preserve">Ligji i </w:t>
      </w:r>
      <w:proofErr w:type="gramStart"/>
      <w:r w:rsidRPr="005159AB">
        <w:t>ri</w:t>
      </w:r>
      <w:proofErr w:type="gramEnd"/>
      <w:r w:rsidRPr="005159AB">
        <w:t xml:space="preserve"> për financat e vetëqeverisjes vendore do të forcojë disiplinën financiare për të parandaluar akumulimin e detyrimeve të prapambetura në të ardhmen, që mund të kthehen në një risk serioz potencial për këto njësi, me impakt negativ edhe në ekonominë e vendit në tërësi. Në këtë kuadër, qeveria po i kushton një fokus të posacëm shlyerjes së detyrimeve të prapambetura nga njësitë e vetëqeverisjes vendore. </w:t>
      </w:r>
      <w:r w:rsidRPr="005159AB">
        <w:rPr>
          <w:rFonts w:eastAsia="MS Mincho"/>
        </w:rPr>
        <w:t>Ministria e Financave dhe Ekonomisë në bashkëpunim me njësitë e vetëqeverisjes vendore</w:t>
      </w:r>
      <w:r w:rsidRPr="005159AB">
        <w:t xml:space="preserve"> ka hartuar një plan veprimi për shlyerjen e detyrimeve të prapambetura, i cili ka filluar të zbatohet nga ana e tyre, duke filluar nga viti 2016 dhe në vazhdim. Në vitin 2018 do të vazhdojë të monitorohet periodikisht zbatimi i planit të shlyerjes së detyrimeve nga njësitë e vetëqeverisjes vendore.</w:t>
      </w:r>
    </w:p>
    <w:p w:rsidR="001B7576" w:rsidRPr="005159AB" w:rsidRDefault="001B7576" w:rsidP="001B7576">
      <w:pPr>
        <w:spacing w:line="276" w:lineRule="auto"/>
        <w:ind w:left="426"/>
        <w:jc w:val="both"/>
        <w:rPr>
          <w:rFonts w:eastAsia="MS Mincho"/>
          <w:sz w:val="16"/>
          <w:szCs w:val="16"/>
        </w:rPr>
      </w:pPr>
    </w:p>
    <w:p w:rsidR="001B7576" w:rsidRPr="005159AB" w:rsidRDefault="001B7576" w:rsidP="001B7576">
      <w:pPr>
        <w:spacing w:line="276" w:lineRule="auto"/>
        <w:rPr>
          <w:b/>
          <w:sz w:val="22"/>
        </w:rPr>
      </w:pPr>
      <w:bookmarkStart w:id="56" w:name="_Toc495996704"/>
      <w:bookmarkStart w:id="57" w:name="_Toc495996971"/>
      <w:r w:rsidRPr="005159AB">
        <w:rPr>
          <w:b/>
          <w:sz w:val="22"/>
        </w:rPr>
        <w:t>Treguesit Fiskal e Buxhetorë të Pushtetit Vendor (2014 -2018)</w:t>
      </w:r>
      <w:bookmarkEnd w:id="56"/>
      <w:bookmarkEnd w:id="57"/>
    </w:p>
    <w:p w:rsidR="001B7576" w:rsidRPr="005159AB" w:rsidRDefault="001B7576" w:rsidP="001B7576">
      <w:pPr>
        <w:spacing w:line="276" w:lineRule="auto"/>
        <w:jc w:val="both"/>
        <w:rPr>
          <w:b/>
          <w:sz w:val="16"/>
          <w:szCs w:val="16"/>
        </w:rPr>
      </w:pPr>
    </w:p>
    <w:p w:rsidR="001B7576" w:rsidRPr="005159AB" w:rsidRDefault="001B7576" w:rsidP="001B7576">
      <w:pPr>
        <w:spacing w:line="276" w:lineRule="auto"/>
        <w:jc w:val="both"/>
      </w:pPr>
      <w:r w:rsidRPr="005159AB">
        <w:t>Buxheti vendor i vitit 2018, së bashku me të gjithë komponentët e tij (transferta e pakushtëzuar, transfertat specifike, renta minerare dhe të ardhurat e veta), është rreth 7</w:t>
      </w:r>
      <w:r w:rsidR="00674145">
        <w:t>.5</w:t>
      </w:r>
      <w:r w:rsidRPr="005159AB">
        <w:t xml:space="preserve"> për qind më i lartë </w:t>
      </w:r>
      <w:proofErr w:type="gramStart"/>
      <w:r w:rsidRPr="005159AB">
        <w:t>se  në</w:t>
      </w:r>
      <w:proofErr w:type="gramEnd"/>
      <w:r w:rsidRPr="005159AB">
        <w:t xml:space="preserve"> vitin 2017. Gjithashtu, </w:t>
      </w:r>
      <w:proofErr w:type="gramStart"/>
      <w:r w:rsidRPr="005159AB">
        <w:t>ky</w:t>
      </w:r>
      <w:proofErr w:type="gramEnd"/>
      <w:r w:rsidRPr="005159AB">
        <w:t xml:space="preserve"> buxhet për vitin 2018 do të jetë 2.8 për qind e PBB-së dhe krahasuar me vitin 2014, një vit para fillimit të zbatimit të reformës administrativo-territoriale buxheti vendor i vitit 2018 parashikohet me një rritje të ndjeshme me rreth 40 për qind. Me buxhetin e vitit 2018, do të financohen funksionet e transferuara në 61 bashkitë, në vlerën rreth 7.</w:t>
      </w:r>
      <w:r w:rsidR="00674145">
        <w:t>4</w:t>
      </w:r>
      <w:r w:rsidRPr="005159AB">
        <w:t xml:space="preserve"> miliardë lekë, ndërsa Transferta specifike do të shërbejë vetëm për financimin e funksioneve të reja të transferuara tek njësitë e vetëqeverisjes vendore. </w:t>
      </w:r>
    </w:p>
    <w:p w:rsidR="001B7576" w:rsidRPr="005159AB" w:rsidRDefault="001B7576" w:rsidP="001B7576">
      <w:pPr>
        <w:spacing w:line="276" w:lineRule="auto"/>
        <w:rPr>
          <w:sz w:val="16"/>
          <w:szCs w:val="16"/>
        </w:rPr>
      </w:pPr>
    </w:p>
    <w:p w:rsidR="001B7576" w:rsidRPr="005159AB" w:rsidRDefault="001B7576" w:rsidP="001B7576">
      <w:pPr>
        <w:jc w:val="both"/>
        <w:rPr>
          <w:rFonts w:eastAsia="Times New Roman"/>
          <w:szCs w:val="20"/>
        </w:rPr>
      </w:pPr>
      <w:r w:rsidRPr="005159AB">
        <w:rPr>
          <w:rFonts w:eastAsia="Times New Roman"/>
          <w:b/>
          <w:szCs w:val="20"/>
        </w:rPr>
        <w:t>Grafiku 3:</w:t>
      </w:r>
      <w:r w:rsidRPr="005159AB">
        <w:rPr>
          <w:rFonts w:eastAsia="Times New Roman"/>
          <w:szCs w:val="20"/>
        </w:rPr>
        <w:t xml:space="preserve"> Buxheti Vendor 2014-2018</w:t>
      </w:r>
    </w:p>
    <w:p w:rsidR="001B7576" w:rsidRPr="005159AB" w:rsidRDefault="001B7576" w:rsidP="001B7576">
      <w:pPr>
        <w:jc w:val="center"/>
        <w:rPr>
          <w:b/>
          <w:noProof/>
          <w:szCs w:val="20"/>
          <w:lang w:eastAsia="sq-AL"/>
        </w:rPr>
      </w:pPr>
      <w:r w:rsidRPr="005159AB">
        <w:rPr>
          <w:noProof/>
        </w:rPr>
        <w:drawing>
          <wp:inline distT="0" distB="0" distL="0" distR="0" wp14:anchorId="7A0E8B02" wp14:editId="1AF7D78C">
            <wp:extent cx="6005830" cy="2511188"/>
            <wp:effectExtent l="0" t="0" r="13970" b="3810"/>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51EB" w:rsidRDefault="00C151EB" w:rsidP="001B7576">
      <w:pPr>
        <w:jc w:val="both"/>
        <w:rPr>
          <w:b/>
          <w:i/>
          <w:noProof/>
          <w:sz w:val="20"/>
          <w:szCs w:val="20"/>
          <w:lang w:eastAsia="sq-AL"/>
        </w:rPr>
      </w:pPr>
    </w:p>
    <w:p w:rsidR="001B7576" w:rsidRPr="005159AB" w:rsidRDefault="001B7576" w:rsidP="001B7576">
      <w:pPr>
        <w:jc w:val="both"/>
        <w:rPr>
          <w:b/>
          <w:i/>
          <w:noProof/>
          <w:sz w:val="20"/>
          <w:szCs w:val="20"/>
          <w:lang w:eastAsia="sq-AL"/>
        </w:rPr>
      </w:pPr>
      <w:r w:rsidRPr="005159AB">
        <w:rPr>
          <w:b/>
          <w:i/>
          <w:noProof/>
          <w:sz w:val="20"/>
          <w:szCs w:val="20"/>
          <w:lang w:eastAsia="sq-AL"/>
        </w:rPr>
        <w:t>Burimi:</w:t>
      </w:r>
      <w:r w:rsidRPr="005159AB">
        <w:rPr>
          <w:i/>
          <w:noProof/>
          <w:sz w:val="20"/>
          <w:szCs w:val="20"/>
          <w:lang w:eastAsia="sq-AL"/>
        </w:rPr>
        <w:t xml:space="preserve"> </w:t>
      </w:r>
      <w:r w:rsidRPr="005159AB">
        <w:rPr>
          <w:rFonts w:eastAsia="Times New Roman"/>
          <w:i/>
          <w:sz w:val="20"/>
          <w:szCs w:val="20"/>
        </w:rPr>
        <w:t>Ministria e Financave dhe Ekonomisë (2017)</w:t>
      </w:r>
    </w:p>
    <w:p w:rsidR="001B7576" w:rsidRPr="001B7576" w:rsidRDefault="001B7576" w:rsidP="001B7576">
      <w:pPr>
        <w:jc w:val="both"/>
        <w:rPr>
          <w:i/>
          <w:noProof/>
          <w:sz w:val="16"/>
          <w:szCs w:val="16"/>
          <w:lang w:eastAsia="sq-AL"/>
        </w:rPr>
      </w:pPr>
    </w:p>
    <w:p w:rsidR="001B7576" w:rsidRPr="005159AB" w:rsidRDefault="001B7576" w:rsidP="001B7576">
      <w:pPr>
        <w:spacing w:line="276" w:lineRule="auto"/>
        <w:jc w:val="both"/>
      </w:pPr>
      <w:r w:rsidRPr="005159AB">
        <w:rPr>
          <w:i/>
        </w:rPr>
        <w:lastRenderedPageBreak/>
        <w:t>Shpenzimet e buxhetit vendor për vitin 2018,</w:t>
      </w:r>
      <w:r w:rsidRPr="005159AB">
        <w:t xml:space="preserve"> janë parashikuar në </w:t>
      </w:r>
      <w:proofErr w:type="gramStart"/>
      <w:r w:rsidRPr="005159AB">
        <w:t xml:space="preserve">masën  </w:t>
      </w:r>
      <w:r w:rsidRPr="005159AB">
        <w:rPr>
          <w:rFonts w:eastAsia="Times New Roman"/>
          <w:kern w:val="24"/>
        </w:rPr>
        <w:t>46</w:t>
      </w:r>
      <w:r w:rsidR="00674145">
        <w:rPr>
          <w:rFonts w:eastAsia="Times New Roman"/>
          <w:kern w:val="24"/>
        </w:rPr>
        <w:t>.1</w:t>
      </w:r>
      <w:proofErr w:type="gramEnd"/>
      <w:r w:rsidRPr="005159AB">
        <w:rPr>
          <w:rFonts w:eastAsia="Times New Roman"/>
          <w:kern w:val="24"/>
        </w:rPr>
        <w:t xml:space="preserve"> miliardë lekë</w:t>
      </w:r>
      <w:r w:rsidRPr="005159AB">
        <w:t xml:space="preserve"> ose 2.8 për qind e PBB-së. Në këtë zë është përllogaritur rritja e transfertës së pakushtëzuar për njësitë e vetëqeverisjes vendore, rritja financimit të funksioneve të reja, të cilat janë transferuar në nivel vendor si dhe rritja e të ardhurave të veta. </w:t>
      </w:r>
    </w:p>
    <w:p w:rsidR="001B7576" w:rsidRPr="001B7576" w:rsidRDefault="001B7576" w:rsidP="001B7576">
      <w:pPr>
        <w:jc w:val="both"/>
        <w:rPr>
          <w:sz w:val="16"/>
          <w:szCs w:val="16"/>
        </w:rPr>
      </w:pP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Përvin2017</w:t>
      </w:r>
      <w:proofErr w:type="gramStart"/>
      <w:r w:rsidRPr="005159AB">
        <w:rPr>
          <w:rFonts w:eastAsia="Times New Roman"/>
          <w:sz w:val="168"/>
          <w:szCs w:val="168"/>
        </w:rPr>
        <w:t>,</w:t>
      </w:r>
      <w:proofErr w:type="gramEnd"/>
      <w:r w:rsidRPr="005159AB">
        <w:rPr>
          <w:rFonts w:eastAsia="Times New Roman"/>
          <w:sz w:val="168"/>
          <w:szCs w:val="168"/>
        </w:rPr>
        <w:t>shpenzimeteBuxhetVendordotëjenë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50 miliardë lekë ose4 për qind mëtëlartasenë2016.</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ShpenzimeteBuxhetVendornëvin2017dotëzënë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3.1 për qind tëPBB-sëose1për qind mëtëlartasenëvin2013</w:t>
      </w:r>
      <w:proofErr w:type="gramStart"/>
      <w:r w:rsidRPr="005159AB">
        <w:rPr>
          <w:rFonts w:eastAsia="Times New Roman"/>
          <w:sz w:val="168"/>
          <w:szCs w:val="168"/>
        </w:rPr>
        <w:t>(</w:t>
      </w:r>
      <w:proofErr w:type="gramEnd"/>
      <w:r w:rsidRPr="005159AB">
        <w:rPr>
          <w:rFonts w:eastAsia="Times New Roman"/>
          <w:sz w:val="168"/>
          <w:szCs w:val="168"/>
        </w:rPr>
        <w:t>në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vin2013</w:t>
      </w:r>
      <w:proofErr w:type="gramStart"/>
      <w:r w:rsidRPr="005159AB">
        <w:rPr>
          <w:rFonts w:eastAsia="Times New Roman"/>
          <w:sz w:val="168"/>
          <w:szCs w:val="168"/>
        </w:rPr>
        <w:t>,</w:t>
      </w:r>
      <w:proofErr w:type="gramEnd"/>
      <w:r w:rsidRPr="005159AB">
        <w:rPr>
          <w:rFonts w:eastAsia="Times New Roman"/>
          <w:sz w:val="168"/>
          <w:szCs w:val="168"/>
        </w:rPr>
        <w:t>zinin2.1për qind tëPBB-së).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Tëardhuratngataksatdhetarifatvendoreparashikohet</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tëjenërreth900milionlekëmëshumësenëvitin2016</w:t>
      </w:r>
    </w:p>
    <w:p w:rsidR="001B7576" w:rsidRPr="005159AB" w:rsidRDefault="001B7576" w:rsidP="001B7576">
      <w:pPr>
        <w:shd w:val="clear" w:color="auto" w:fill="FFFFFF"/>
        <w:spacing w:line="0" w:lineRule="auto"/>
        <w:jc w:val="both"/>
        <w:rPr>
          <w:rFonts w:eastAsia="Times New Roman"/>
          <w:sz w:val="168"/>
          <w:szCs w:val="168"/>
        </w:rPr>
      </w:pPr>
      <w:proofErr w:type="gramStart"/>
      <w:r w:rsidRPr="005159AB">
        <w:rPr>
          <w:rFonts w:eastAsia="Times New Roman"/>
          <w:sz w:val="168"/>
          <w:szCs w:val="168"/>
        </w:rPr>
        <w:t>ose43për</w:t>
      </w:r>
      <w:proofErr w:type="gramEnd"/>
      <w:r w:rsidRPr="005159AB">
        <w:rPr>
          <w:rFonts w:eastAsia="Times New Roman"/>
          <w:sz w:val="168"/>
          <w:szCs w:val="168"/>
        </w:rPr>
        <w:t xml:space="preserve"> qind mëtëlartasenëvin2013</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Përvin2017</w:t>
      </w:r>
      <w:proofErr w:type="gramStart"/>
      <w:r w:rsidRPr="005159AB">
        <w:rPr>
          <w:rFonts w:eastAsia="Times New Roman"/>
          <w:sz w:val="168"/>
          <w:szCs w:val="168"/>
        </w:rPr>
        <w:t>,</w:t>
      </w:r>
      <w:proofErr w:type="gramEnd"/>
      <w:r w:rsidRPr="005159AB">
        <w:rPr>
          <w:rFonts w:eastAsia="Times New Roman"/>
          <w:sz w:val="168"/>
          <w:szCs w:val="168"/>
        </w:rPr>
        <w:t>shpenzimeteBuxhetVendordotëjenë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50 miliardë lekë ose4 për qind mëtëlartasenë2016.</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ShpenzimeteBuxhetVendornëvin2017dotëzënë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3.1 për qind tëPBB-sëose1për qind mëtëlartasenëvin2013</w:t>
      </w:r>
      <w:proofErr w:type="gramStart"/>
      <w:r w:rsidRPr="005159AB">
        <w:rPr>
          <w:rFonts w:eastAsia="Times New Roman"/>
          <w:sz w:val="168"/>
          <w:szCs w:val="168"/>
        </w:rPr>
        <w:t>(</w:t>
      </w:r>
      <w:proofErr w:type="gramEnd"/>
      <w:r w:rsidRPr="005159AB">
        <w:rPr>
          <w:rFonts w:eastAsia="Times New Roman"/>
          <w:sz w:val="168"/>
          <w:szCs w:val="168"/>
        </w:rPr>
        <w:t>në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vin2013</w:t>
      </w:r>
      <w:proofErr w:type="gramStart"/>
      <w:r w:rsidRPr="005159AB">
        <w:rPr>
          <w:rFonts w:eastAsia="Times New Roman"/>
          <w:sz w:val="168"/>
          <w:szCs w:val="168"/>
        </w:rPr>
        <w:t>,</w:t>
      </w:r>
      <w:proofErr w:type="gramEnd"/>
      <w:r w:rsidRPr="005159AB">
        <w:rPr>
          <w:rFonts w:eastAsia="Times New Roman"/>
          <w:sz w:val="168"/>
          <w:szCs w:val="168"/>
        </w:rPr>
        <w:t>zinin2.1për qind tëPBB-së).</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Tëardhuratngataksatdhetarifatvendoreparashikohet</w:t>
      </w:r>
    </w:p>
    <w:p w:rsidR="001B7576" w:rsidRPr="005159AB" w:rsidRDefault="001B7576" w:rsidP="001B7576">
      <w:pPr>
        <w:shd w:val="clear" w:color="auto" w:fill="FFFFFF"/>
        <w:spacing w:line="0" w:lineRule="auto"/>
        <w:jc w:val="both"/>
        <w:rPr>
          <w:rFonts w:eastAsia="Times New Roman"/>
          <w:sz w:val="168"/>
          <w:szCs w:val="168"/>
        </w:rPr>
      </w:pPr>
      <w:r w:rsidRPr="005159AB">
        <w:rPr>
          <w:rFonts w:eastAsia="Times New Roman"/>
          <w:sz w:val="168"/>
          <w:szCs w:val="168"/>
        </w:rPr>
        <w:t>tëjenërreth900milionlekëmëshumësenëvitin2016</w:t>
      </w:r>
    </w:p>
    <w:p w:rsidR="001B7576" w:rsidRPr="005159AB" w:rsidRDefault="001B7576" w:rsidP="001B7576">
      <w:pPr>
        <w:shd w:val="clear" w:color="auto" w:fill="FFFFFF"/>
        <w:spacing w:line="0" w:lineRule="auto"/>
        <w:jc w:val="both"/>
        <w:rPr>
          <w:rFonts w:eastAsia="Times New Roman"/>
          <w:sz w:val="168"/>
          <w:szCs w:val="168"/>
        </w:rPr>
      </w:pPr>
      <w:proofErr w:type="gramStart"/>
      <w:r w:rsidRPr="005159AB">
        <w:rPr>
          <w:rFonts w:eastAsia="Times New Roman"/>
          <w:sz w:val="168"/>
          <w:szCs w:val="168"/>
        </w:rPr>
        <w:t>ose43për</w:t>
      </w:r>
      <w:proofErr w:type="gramEnd"/>
      <w:r w:rsidRPr="005159AB">
        <w:rPr>
          <w:rFonts w:eastAsia="Times New Roman"/>
          <w:sz w:val="168"/>
          <w:szCs w:val="168"/>
        </w:rPr>
        <w:t xml:space="preserve"> qind mëtëlartasenëvin2013</w:t>
      </w:r>
    </w:p>
    <w:p w:rsidR="001B7576" w:rsidRPr="005159AB" w:rsidRDefault="001B7576" w:rsidP="001B7576">
      <w:pPr>
        <w:spacing w:line="276" w:lineRule="auto"/>
        <w:jc w:val="both"/>
      </w:pPr>
      <w:bookmarkStart w:id="58" w:name="_Toc495996705"/>
      <w:bookmarkStart w:id="59" w:name="_Toc495996972"/>
      <w:r w:rsidRPr="005159AB">
        <w:rPr>
          <w:i/>
        </w:rPr>
        <w:t>Të ardhurat nga taksat dhe tarifat vendore për vitin 2018</w:t>
      </w:r>
      <w:r w:rsidRPr="005159AB">
        <w:t>, parashikohet të kenë një rritje rreth 2 miliardë lekë më shumë se sa në 2017 ose e thënë ndryshe me një rritje prej 7.9 %, ndërkohë krahasuar me vitin 2014 të ardhurat vendore parashikohen me një rritje të konsiderueshme me rreth 50 për qind. Kjo rritje e nivelit të të ardhurave do të vazhdojë si rrjedhojë e reformimit të tarifave të shërbimeve publike, ndarjes më të drejtë dhe transparente të financave për njësitë e vetëqeverisjes vendore, përmirësimit të vazhdueshëm të skemës së financimit të funksioneve të veta. Gjithashtu, ndryshimet që po përgatiten në taksën e pronës dhe kadastrën fiskale parashikohen të mbajnë peshën më të madhe të rritjes të ardhurave në buxhetin vendor.</w:t>
      </w:r>
      <w:bookmarkEnd w:id="58"/>
      <w:bookmarkEnd w:id="59"/>
      <w:r w:rsidRPr="005159AB">
        <w:t xml:space="preserve"> </w:t>
      </w:r>
    </w:p>
    <w:p w:rsidR="001B7576" w:rsidRPr="005159AB" w:rsidRDefault="001B7576" w:rsidP="001B7576">
      <w:pPr>
        <w:jc w:val="both"/>
      </w:pPr>
    </w:p>
    <w:p w:rsidR="001B7576" w:rsidRPr="005159AB" w:rsidRDefault="001B7576" w:rsidP="001B7576">
      <w:pPr>
        <w:spacing w:line="276" w:lineRule="auto"/>
        <w:jc w:val="both"/>
      </w:pPr>
      <w:r w:rsidRPr="005159AB">
        <w:t xml:space="preserve">Në vitet 2015, 2016 dhe 2017 ka patur një prirje rritëse të buxhetit vendor, respektivisht me 2.96 për qind të PBB-së në 2016 dhe 2.76 për qind të PBB-së në vitin 2017. Po ashtu tendenca e rritjes vazhdon edhe në projektbuxhetin e vitit 2018 (Grafiku 4). Kjo ka ardhur si rezultat i zbatimit të Reformës Administrativo - Territoriale, rritjes së transfertave qeveritare nga buxheti i shtetit, si dhe politikës së re të decentralizimit fiskal. </w:t>
      </w:r>
    </w:p>
    <w:p w:rsidR="001B7576" w:rsidRPr="001B7576" w:rsidRDefault="001B7576" w:rsidP="001B7576">
      <w:pPr>
        <w:jc w:val="both"/>
        <w:rPr>
          <w:sz w:val="16"/>
          <w:szCs w:val="16"/>
        </w:rPr>
      </w:pPr>
    </w:p>
    <w:p w:rsidR="001B7576" w:rsidRPr="005159AB" w:rsidRDefault="001B7576" w:rsidP="001B7576">
      <w:pPr>
        <w:spacing w:after="200"/>
        <w:jc w:val="both"/>
        <w:rPr>
          <w:rFonts w:eastAsia="Calibri"/>
          <w:b/>
        </w:rPr>
      </w:pPr>
      <w:r w:rsidRPr="005159AB">
        <w:rPr>
          <w:b/>
          <w:szCs w:val="20"/>
        </w:rPr>
        <w:t>Grafiku 4</w:t>
      </w:r>
      <w:r w:rsidRPr="005159AB">
        <w:rPr>
          <w:i/>
          <w:szCs w:val="20"/>
        </w:rPr>
        <w:t xml:space="preserve">: </w:t>
      </w:r>
      <w:r w:rsidRPr="005159AB">
        <w:rPr>
          <w:szCs w:val="20"/>
        </w:rPr>
        <w:t>Shpenzimet dhe të ardhurat e NJVQV-ve</w:t>
      </w:r>
    </w:p>
    <w:p w:rsidR="001B7576" w:rsidRPr="005159AB" w:rsidRDefault="001B7576" w:rsidP="001B7576">
      <w:pPr>
        <w:jc w:val="both"/>
        <w:rPr>
          <w:b/>
          <w:i/>
          <w:szCs w:val="20"/>
        </w:rPr>
      </w:pPr>
      <w:r w:rsidRPr="005159AB">
        <w:rPr>
          <w:noProof/>
        </w:rPr>
        <w:drawing>
          <wp:inline distT="0" distB="0" distL="0" distR="0" wp14:anchorId="3114C73D" wp14:editId="052C3D8A">
            <wp:extent cx="5918200" cy="3111690"/>
            <wp:effectExtent l="0" t="0" r="6350" b="1270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51EB" w:rsidRDefault="00C151EB" w:rsidP="001B7576">
      <w:pPr>
        <w:jc w:val="both"/>
        <w:rPr>
          <w:b/>
          <w:i/>
          <w:sz w:val="20"/>
          <w:szCs w:val="20"/>
        </w:rPr>
      </w:pPr>
    </w:p>
    <w:p w:rsidR="001B7576" w:rsidRPr="005159AB" w:rsidRDefault="001B7576" w:rsidP="001B7576">
      <w:pPr>
        <w:jc w:val="both"/>
        <w:rPr>
          <w:i/>
          <w:sz w:val="20"/>
          <w:szCs w:val="20"/>
        </w:rPr>
      </w:pPr>
      <w:r w:rsidRPr="005159AB">
        <w:rPr>
          <w:b/>
          <w:i/>
          <w:sz w:val="20"/>
          <w:szCs w:val="20"/>
        </w:rPr>
        <w:t>Burimi:</w:t>
      </w:r>
      <w:r w:rsidRPr="005159AB">
        <w:rPr>
          <w:i/>
          <w:sz w:val="20"/>
          <w:szCs w:val="20"/>
        </w:rPr>
        <w:t xml:space="preserve"> </w:t>
      </w:r>
      <w:r w:rsidRPr="005159AB">
        <w:rPr>
          <w:rFonts w:eastAsia="Times New Roman"/>
          <w:i/>
          <w:sz w:val="20"/>
          <w:szCs w:val="20"/>
        </w:rPr>
        <w:t>Ministria e Financave dhe Ekonomisë (2017)</w:t>
      </w:r>
    </w:p>
    <w:p w:rsidR="00C151EB" w:rsidRDefault="00C151EB" w:rsidP="001B7576">
      <w:pPr>
        <w:spacing w:line="276" w:lineRule="auto"/>
        <w:jc w:val="both"/>
      </w:pPr>
    </w:p>
    <w:p w:rsidR="001B7576" w:rsidRPr="005159AB" w:rsidRDefault="001B7576" w:rsidP="001B7576">
      <w:pPr>
        <w:spacing w:line="276" w:lineRule="auto"/>
        <w:jc w:val="both"/>
        <w:rPr>
          <w:rFonts w:eastAsia="Times New Roman"/>
        </w:rPr>
      </w:pPr>
      <w:r w:rsidRPr="005159AB">
        <w:t>Rritja e të ardhurave të mbledhura nga njësitë e vetëqeverisjes vendore gjatë viteve 2014-2018, evidentohet edhe në rritjen e peshës që zënë këto të ardhura si ndaj të ardhurave totale të buxhetit të shtetit, ashtu edhe ndaj Produktit të Brendshëm Bruto, sikurse shihet edhe në grafikun e mëposhtëm. Kjo tregon qartazi suksesin e reformës administrativo-territoriale në drejtim të mbledhjes së më shumë të ardhurave nga njësitë e vetëqeverisjes vendore.</w:t>
      </w:r>
      <w:r w:rsidRPr="005159AB">
        <w:rPr>
          <w:rFonts w:eastAsia="Times New Roman"/>
        </w:rPr>
        <w:t xml:space="preserve"> </w:t>
      </w:r>
    </w:p>
    <w:p w:rsidR="001B7576" w:rsidRPr="005159AB" w:rsidRDefault="001B7576" w:rsidP="001B7576">
      <w:pPr>
        <w:spacing w:after="200"/>
        <w:jc w:val="both"/>
        <w:rPr>
          <w:i/>
          <w:szCs w:val="20"/>
        </w:rPr>
      </w:pPr>
    </w:p>
    <w:p w:rsidR="001B7576" w:rsidRDefault="001B7576" w:rsidP="001B7576">
      <w:pPr>
        <w:jc w:val="both"/>
        <w:rPr>
          <w:b/>
        </w:rPr>
      </w:pPr>
    </w:p>
    <w:p w:rsidR="001B7576" w:rsidRDefault="001B7576" w:rsidP="001B7576">
      <w:pPr>
        <w:jc w:val="both"/>
        <w:rPr>
          <w:b/>
        </w:rPr>
      </w:pPr>
    </w:p>
    <w:p w:rsidR="001B7576" w:rsidRPr="005159AB" w:rsidRDefault="001B7576" w:rsidP="001B7576">
      <w:pPr>
        <w:jc w:val="both"/>
        <w:rPr>
          <w:rFonts w:eastAsia="Calibri"/>
          <w:b/>
        </w:rPr>
      </w:pPr>
      <w:r w:rsidRPr="005159AB">
        <w:rPr>
          <w:b/>
        </w:rPr>
        <w:t xml:space="preserve">Grafiku 5: </w:t>
      </w:r>
      <w:r w:rsidRPr="005159AB">
        <w:t>Pesha specifike e të ardhurave të buxhetit vendor ndaj të ardhurave të buxhetit të shtetit dhe PBB-së</w:t>
      </w:r>
    </w:p>
    <w:p w:rsidR="001B7576" w:rsidRPr="005159AB" w:rsidRDefault="001B7576" w:rsidP="001B7576">
      <w:pPr>
        <w:spacing w:after="200"/>
        <w:jc w:val="both"/>
        <w:rPr>
          <w:i/>
          <w:sz w:val="18"/>
          <w:szCs w:val="18"/>
        </w:rPr>
      </w:pPr>
      <w:r w:rsidRPr="005159AB">
        <w:rPr>
          <w:noProof/>
        </w:rPr>
        <w:drawing>
          <wp:inline distT="0" distB="0" distL="0" distR="0" wp14:anchorId="0D418A76" wp14:editId="2669949B">
            <wp:extent cx="6337300" cy="2711487"/>
            <wp:effectExtent l="0" t="0" r="6350" b="1270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7576" w:rsidRPr="005159AB" w:rsidRDefault="001B7576" w:rsidP="001B7576">
      <w:pPr>
        <w:spacing w:after="200"/>
        <w:jc w:val="both"/>
        <w:rPr>
          <w:i/>
          <w:sz w:val="18"/>
          <w:szCs w:val="18"/>
        </w:rPr>
      </w:pPr>
      <w:r w:rsidRPr="005159AB">
        <w:rPr>
          <w:b/>
          <w:i/>
          <w:sz w:val="18"/>
          <w:szCs w:val="18"/>
        </w:rPr>
        <w:t>Burimi:</w:t>
      </w:r>
      <w:r w:rsidRPr="005159AB">
        <w:rPr>
          <w:i/>
          <w:sz w:val="18"/>
          <w:szCs w:val="18"/>
        </w:rPr>
        <w:t xml:space="preserve"> </w:t>
      </w:r>
      <w:r w:rsidRPr="005159AB">
        <w:rPr>
          <w:rFonts w:eastAsia="Times New Roman"/>
          <w:i/>
          <w:sz w:val="18"/>
          <w:szCs w:val="18"/>
        </w:rPr>
        <w:t>Ministria e Financave dhe Ekonomisë (2017);</w:t>
      </w:r>
    </w:p>
    <w:p w:rsidR="001B7576" w:rsidRPr="005159AB" w:rsidRDefault="001B7576" w:rsidP="001B7576">
      <w:pPr>
        <w:spacing w:line="276" w:lineRule="auto"/>
        <w:jc w:val="both"/>
      </w:pPr>
      <w:r w:rsidRPr="005159AB">
        <w:t>Rritja e shpenzimeve të realizuara nga njësitë e vetëqeverisjes vendore, gjatë viteve 2014-2017, konstatohet edhe në rritjen e peshës që zënë këto shpenzime si ndaj shpenzimeve buxhetore në total, ashtu edhe ndaj Produktit të Brendshëm Bruto. Pesha specifike e shpenzimeve të buxhetit vendor ndaj buxhetit të shtetit është rritur ndjeshëm për periudhën 2016 – 2018 (9.5 për qind), krahasuar me periudhën 2014-2015, ku shpenzimet e buxhetit vendor zinin vetëm 7.5 për qind të shpenzimeve të buxhetit qendror. Ndërkohë, siç vihet re edhe nga grafiku i mëposhtëm, për vitet 2017 - 2018, pesha specifike e buxhetit vendor ndaj Produktit të Brendshëm Bruto është rritur ndjeshëm me rreth 1 për qind më shumë se pesha që zinte në vitet 2013-2015.</w:t>
      </w:r>
    </w:p>
    <w:p w:rsidR="001B7576" w:rsidRDefault="001B7576" w:rsidP="001B7576">
      <w:pPr>
        <w:jc w:val="both"/>
        <w:rPr>
          <w:b/>
        </w:rPr>
      </w:pPr>
    </w:p>
    <w:p w:rsidR="001B7576" w:rsidRPr="005159AB" w:rsidRDefault="001B7576" w:rsidP="001B7576">
      <w:pPr>
        <w:jc w:val="both"/>
      </w:pPr>
      <w:r w:rsidRPr="005159AB">
        <w:rPr>
          <w:b/>
        </w:rPr>
        <w:t xml:space="preserve">Grafiku 6: </w:t>
      </w:r>
      <w:r w:rsidRPr="005159AB">
        <w:t>Pesha specifike e shpenzimeve të buxhetit vendor ndaj shpenzimeve të buxhetit të shtetit dhe PBB-së</w:t>
      </w:r>
    </w:p>
    <w:p w:rsidR="001B7576" w:rsidRPr="005159AB" w:rsidRDefault="001B7576" w:rsidP="001B7576">
      <w:pPr>
        <w:jc w:val="both"/>
        <w:rPr>
          <w:rFonts w:eastAsia="Calibri"/>
          <w:b/>
        </w:rPr>
      </w:pPr>
    </w:p>
    <w:p w:rsidR="001B7576" w:rsidRPr="005159AB" w:rsidRDefault="001B7576" w:rsidP="001B7576">
      <w:pPr>
        <w:jc w:val="center"/>
        <w:rPr>
          <w:i/>
          <w:sz w:val="18"/>
          <w:szCs w:val="18"/>
        </w:rPr>
      </w:pPr>
      <w:r w:rsidRPr="005159AB">
        <w:rPr>
          <w:noProof/>
        </w:rPr>
        <w:drawing>
          <wp:inline distT="0" distB="0" distL="0" distR="0" wp14:anchorId="3B76B994" wp14:editId="54BA303E">
            <wp:extent cx="6288405" cy="2737485"/>
            <wp:effectExtent l="0" t="0" r="17145" b="5715"/>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7576" w:rsidRPr="005159AB" w:rsidRDefault="001B7576" w:rsidP="001B7576">
      <w:pPr>
        <w:jc w:val="both"/>
        <w:rPr>
          <w:rFonts w:eastAsia="Times New Roman"/>
          <w:i/>
          <w:sz w:val="18"/>
          <w:szCs w:val="18"/>
        </w:rPr>
      </w:pPr>
      <w:r w:rsidRPr="005159AB">
        <w:rPr>
          <w:b/>
          <w:i/>
          <w:sz w:val="18"/>
          <w:szCs w:val="18"/>
        </w:rPr>
        <w:t>Burimi:</w:t>
      </w:r>
      <w:r w:rsidRPr="005159AB">
        <w:rPr>
          <w:i/>
          <w:sz w:val="18"/>
          <w:szCs w:val="18"/>
        </w:rPr>
        <w:t xml:space="preserve"> </w:t>
      </w:r>
      <w:r w:rsidRPr="005159AB">
        <w:rPr>
          <w:rFonts w:eastAsia="Times New Roman"/>
          <w:i/>
          <w:sz w:val="18"/>
          <w:szCs w:val="18"/>
        </w:rPr>
        <w:t>Ministria e Financave dhe Ekonomisë (2017)</w:t>
      </w:r>
    </w:p>
    <w:p w:rsidR="001B7576" w:rsidRPr="005159AB" w:rsidRDefault="001B7576" w:rsidP="001B7576">
      <w:pPr>
        <w:jc w:val="both"/>
        <w:rPr>
          <w:rFonts w:eastAsia="Times New Roman"/>
        </w:rPr>
      </w:pPr>
    </w:p>
    <w:p w:rsidR="001B7576" w:rsidRPr="005159AB" w:rsidRDefault="001B7576" w:rsidP="001B7576">
      <w:pPr>
        <w:spacing w:line="276" w:lineRule="auto"/>
        <w:jc w:val="both"/>
      </w:pPr>
      <w:r w:rsidRPr="005159AB">
        <w:rPr>
          <w:rFonts w:eastAsia="Times New Roman"/>
        </w:rPr>
        <w:lastRenderedPageBreak/>
        <w:t xml:space="preserve">Në buxhetin e vitit 2018, konstatohet se ka një ndryshim të strukturës së shpenzimeve në favor të rritjes së shpenzimeve kapitale, gjithashtu ka tendencë në uljen reale të shpenzimeve administrative duke e krahasuar me buxhetin vendor të vitit 2014. </w:t>
      </w:r>
    </w:p>
    <w:p w:rsidR="001B7576" w:rsidRPr="005159AB" w:rsidRDefault="001B7576" w:rsidP="001B7576">
      <w:pPr>
        <w:spacing w:line="276" w:lineRule="auto"/>
        <w:jc w:val="both"/>
        <w:rPr>
          <w:rFonts w:eastAsia="Times New Roman"/>
        </w:rPr>
      </w:pPr>
    </w:p>
    <w:p w:rsidR="00944D7D" w:rsidRPr="001B7576" w:rsidRDefault="001B7576" w:rsidP="001B7576">
      <w:pPr>
        <w:spacing w:line="276" w:lineRule="auto"/>
        <w:jc w:val="both"/>
      </w:pPr>
      <w:r w:rsidRPr="005159AB">
        <w:rPr>
          <w:rFonts w:eastAsia="Times New Roman"/>
        </w:rPr>
        <w:t>Reforma administrativo-territoriale mundësoi rritjen e aftësive fiskale për më shumë të ardhura dhe përqendroi buxhetin vendor te investimet duke shmangur fragmentimin e tij në mikroprojekte. Tendenca në rritje e shpenzimeve për investime është tregues i rëndësishëm që njësitë e vetëqeverisjes vendore kanë filluar të mendojnë dhe punojnë me plane zhvillimore për komunitetet e tyre. Rritja e kompetencave dhe hapësirës administruese ka bërë që tashmë njësitë e vetëqeverisjes vendore të rrisin përgjegjësinë, transparencën dhe konsultimin publik në përdorimin e financave publike vendore.</w:t>
      </w:r>
    </w:p>
    <w:p w:rsidR="00944D7D" w:rsidRDefault="00944D7D" w:rsidP="00944D7D">
      <w:pPr>
        <w:jc w:val="both"/>
        <w:rPr>
          <w:rFonts w:eastAsia="Calibri"/>
          <w:b/>
        </w:rPr>
      </w:pPr>
    </w:p>
    <w:p w:rsidR="00B0121D" w:rsidRPr="00D94792" w:rsidRDefault="00B0121D" w:rsidP="003C5B4B">
      <w:pPr>
        <w:spacing w:line="276" w:lineRule="auto"/>
        <w:jc w:val="both"/>
        <w:rPr>
          <w:lang w:val="sq-AL"/>
        </w:rPr>
      </w:pPr>
    </w:p>
    <w:p w:rsidR="006D51B9" w:rsidRPr="004F1B58" w:rsidRDefault="00944D7D" w:rsidP="004F1B58">
      <w:pPr>
        <w:pStyle w:val="Heading1"/>
        <w:tabs>
          <w:tab w:val="clear" w:pos="5954"/>
          <w:tab w:val="center" w:pos="709"/>
        </w:tabs>
        <w:spacing w:line="276" w:lineRule="auto"/>
        <w:ind w:left="-90"/>
        <w:jc w:val="both"/>
        <w:rPr>
          <w:caps w:val="0"/>
          <w:sz w:val="26"/>
          <w:szCs w:val="26"/>
          <w:lang w:val="sq-AL"/>
        </w:rPr>
      </w:pPr>
      <w:bookmarkStart w:id="60" w:name="_Toc495672725"/>
      <w:bookmarkStart w:id="61" w:name="_Toc496520389"/>
      <w:r w:rsidRPr="004F1B58">
        <w:rPr>
          <w:caps w:val="0"/>
          <w:sz w:val="26"/>
          <w:szCs w:val="26"/>
          <w:lang w:val="sq-AL"/>
        </w:rPr>
        <w:t xml:space="preserve">4. </w:t>
      </w:r>
      <w:r w:rsidR="00BE5599" w:rsidRPr="004F1B58">
        <w:rPr>
          <w:caps w:val="0"/>
          <w:sz w:val="26"/>
          <w:szCs w:val="26"/>
          <w:lang w:val="sq-AL"/>
        </w:rPr>
        <w:t>POLITIKAT SEKTORIALE DHE PËRFITIMET PËR QYTETARIN</w:t>
      </w:r>
      <w:bookmarkStart w:id="62" w:name="_Toc495672726"/>
      <w:bookmarkStart w:id="63" w:name="_Toc495996707"/>
      <w:bookmarkStart w:id="64" w:name="_Toc495996974"/>
      <w:bookmarkEnd w:id="60"/>
      <w:bookmarkEnd w:id="61"/>
      <w:bookmarkEnd w:id="62"/>
      <w:bookmarkEnd w:id="63"/>
      <w:bookmarkEnd w:id="64"/>
    </w:p>
    <w:p w:rsidR="00C75272" w:rsidRDefault="00C75272" w:rsidP="00C75272">
      <w:pPr>
        <w:spacing w:line="276" w:lineRule="auto"/>
        <w:rPr>
          <w:i/>
        </w:rPr>
      </w:pPr>
    </w:p>
    <w:p w:rsidR="00C75272" w:rsidRPr="00C5541C" w:rsidRDefault="006D51B9" w:rsidP="00C75272">
      <w:pPr>
        <w:spacing w:line="276" w:lineRule="auto"/>
        <w:rPr>
          <w:b/>
          <w:lang w:val="sq-AL"/>
        </w:rPr>
      </w:pPr>
      <w:r w:rsidRPr="00D94792">
        <w:rPr>
          <w:i/>
        </w:rPr>
        <w:t xml:space="preserve"> </w:t>
      </w:r>
      <w:r w:rsidR="00C75272" w:rsidRPr="00C5541C">
        <w:rPr>
          <w:b/>
          <w:lang w:val="sq-AL"/>
        </w:rPr>
        <w:t>SH</w:t>
      </w:r>
      <w:r w:rsidR="00C75272">
        <w:rPr>
          <w:b/>
          <w:lang w:val="sq-AL"/>
        </w:rPr>
        <w:t>Ë</w:t>
      </w:r>
      <w:r w:rsidR="00C75272" w:rsidRPr="00C5541C">
        <w:rPr>
          <w:b/>
          <w:lang w:val="sq-AL"/>
        </w:rPr>
        <w:t>NDET</w:t>
      </w:r>
      <w:r w:rsidR="00C75272">
        <w:rPr>
          <w:b/>
          <w:lang w:val="sq-AL"/>
        </w:rPr>
        <w:t>Ë</w:t>
      </w:r>
      <w:r w:rsidR="00C75272" w:rsidRPr="00C5541C">
        <w:rPr>
          <w:b/>
          <w:lang w:val="sq-AL"/>
        </w:rPr>
        <w:t>SI</w:t>
      </w:r>
      <w:r w:rsidR="00AD18D5">
        <w:rPr>
          <w:b/>
          <w:lang w:val="sq-AL"/>
        </w:rPr>
        <w:t>A</w:t>
      </w:r>
    </w:p>
    <w:p w:rsidR="00C75272" w:rsidRPr="00C5541C" w:rsidRDefault="00C75272" w:rsidP="00C75272">
      <w:pPr>
        <w:spacing w:line="276" w:lineRule="auto"/>
        <w:rPr>
          <w:b/>
          <w:lang w:val="sq-AL"/>
        </w:rPr>
      </w:pPr>
    </w:p>
    <w:p w:rsidR="00C75272" w:rsidRPr="00C5541C" w:rsidRDefault="00C75272" w:rsidP="00963524">
      <w:pPr>
        <w:spacing w:after="120" w:line="276" w:lineRule="auto"/>
        <w:rPr>
          <w:b/>
          <w:lang w:val="sq-AL"/>
        </w:rPr>
      </w:pPr>
      <w:r>
        <w:rPr>
          <w:b/>
          <w:lang w:val="sq-AL"/>
        </w:rPr>
        <w:t xml:space="preserve">Arritjet për vitin </w:t>
      </w:r>
      <w:r w:rsidR="00963524">
        <w:rPr>
          <w:b/>
          <w:lang w:val="sq-AL"/>
        </w:rPr>
        <w:t>2017</w:t>
      </w:r>
    </w:p>
    <w:p w:rsidR="00F40346" w:rsidRDefault="00F40346" w:rsidP="002C5B1B">
      <w:pPr>
        <w:pStyle w:val="ListParagraph"/>
        <w:numPr>
          <w:ilvl w:val="0"/>
          <w:numId w:val="63"/>
        </w:numPr>
        <w:spacing w:after="120" w:line="276" w:lineRule="auto"/>
        <w:jc w:val="both"/>
        <w:rPr>
          <w:lang w:val="sq-AL"/>
        </w:rPr>
      </w:pPr>
      <w:r>
        <w:rPr>
          <w:lang w:val="sq-AL"/>
        </w:rPr>
        <w:t>U</w:t>
      </w:r>
      <w:r w:rsidR="00C75272" w:rsidRPr="00F40346">
        <w:rPr>
          <w:lang w:val="sq-AL"/>
        </w:rPr>
        <w:t xml:space="preserve"> shtua me</w:t>
      </w:r>
      <w:r>
        <w:rPr>
          <w:lang w:val="sq-AL"/>
        </w:rPr>
        <w:t xml:space="preserve"> 20% numri i ambulancave aktive;</w:t>
      </w:r>
    </w:p>
    <w:p w:rsidR="00F40346" w:rsidRDefault="00F40346" w:rsidP="002C5B1B">
      <w:pPr>
        <w:pStyle w:val="ListParagraph"/>
        <w:numPr>
          <w:ilvl w:val="0"/>
          <w:numId w:val="63"/>
        </w:numPr>
        <w:spacing w:after="120" w:line="276" w:lineRule="auto"/>
        <w:jc w:val="both"/>
        <w:rPr>
          <w:lang w:val="sq-AL"/>
        </w:rPr>
      </w:pPr>
      <w:r>
        <w:rPr>
          <w:lang w:val="sq-AL"/>
        </w:rPr>
        <w:t>U s</w:t>
      </w:r>
      <w:r w:rsidR="00C75272" w:rsidRPr="00F40346">
        <w:rPr>
          <w:lang w:val="sq-AL"/>
        </w:rPr>
        <w:t>htua 1 helik</w:t>
      </w:r>
      <w:r>
        <w:rPr>
          <w:lang w:val="sq-AL"/>
        </w:rPr>
        <w:t>opter në Shërbimin e Urgjencës;</w:t>
      </w:r>
    </w:p>
    <w:p w:rsidR="00F40346" w:rsidRDefault="00F40346" w:rsidP="002C5B1B">
      <w:pPr>
        <w:pStyle w:val="ListParagraph"/>
        <w:numPr>
          <w:ilvl w:val="0"/>
          <w:numId w:val="63"/>
        </w:numPr>
        <w:spacing w:after="120" w:line="276" w:lineRule="auto"/>
        <w:jc w:val="both"/>
        <w:rPr>
          <w:lang w:val="sq-AL"/>
        </w:rPr>
      </w:pPr>
      <w:r>
        <w:rPr>
          <w:lang w:val="sq-AL"/>
        </w:rPr>
        <w:t>F</w:t>
      </w:r>
      <w:r w:rsidR="00C75272" w:rsidRPr="00F40346">
        <w:rPr>
          <w:lang w:val="sq-AL"/>
        </w:rPr>
        <w:t>illoi funksionimi i Urgjencës Kardiake 24/7 dhe Urgjencës cerebrale në QSUT</w:t>
      </w:r>
      <w:r w:rsidR="00C151EB">
        <w:rPr>
          <w:lang w:val="sq-AL"/>
        </w:rPr>
        <w:t>;</w:t>
      </w:r>
      <w:r w:rsidR="00C75272" w:rsidRPr="00F40346">
        <w:rPr>
          <w:lang w:val="sq-AL"/>
        </w:rPr>
        <w:t xml:space="preserve"> </w:t>
      </w:r>
    </w:p>
    <w:p w:rsidR="00F40346" w:rsidRDefault="00F40346" w:rsidP="002C5B1B">
      <w:pPr>
        <w:pStyle w:val="ListParagraph"/>
        <w:numPr>
          <w:ilvl w:val="0"/>
          <w:numId w:val="63"/>
        </w:numPr>
        <w:spacing w:after="120" w:line="276" w:lineRule="auto"/>
        <w:jc w:val="both"/>
        <w:rPr>
          <w:lang w:val="sq-AL"/>
        </w:rPr>
      </w:pPr>
      <w:r>
        <w:rPr>
          <w:lang w:val="sq-AL"/>
        </w:rPr>
        <w:t>F</w:t>
      </w:r>
      <w:r w:rsidR="00C75272" w:rsidRPr="00F40346">
        <w:rPr>
          <w:lang w:val="sq-AL"/>
        </w:rPr>
        <w:t xml:space="preserve">unksionon shërbimi i urgjencës në pikat turistike gjatë sezonit. </w:t>
      </w:r>
    </w:p>
    <w:p w:rsidR="00C75272" w:rsidRPr="00F40346" w:rsidRDefault="00C75272" w:rsidP="002C5B1B">
      <w:pPr>
        <w:pStyle w:val="ListParagraph"/>
        <w:numPr>
          <w:ilvl w:val="0"/>
          <w:numId w:val="63"/>
        </w:numPr>
        <w:spacing w:after="120" w:line="276" w:lineRule="auto"/>
        <w:jc w:val="both"/>
        <w:rPr>
          <w:lang w:val="sq-AL"/>
        </w:rPr>
      </w:pPr>
      <w:r w:rsidRPr="00F40346">
        <w:rPr>
          <w:lang w:val="sq-AL"/>
        </w:rPr>
        <w:t>Është ngritur Qendra Kombëtare e Urgjencës Mjekësore, qendra e komandë-kontrollit, e cila prej 3 prillit i shërben 680 mijë bano</w:t>
      </w:r>
      <w:r w:rsidR="00F40346">
        <w:rPr>
          <w:lang w:val="sq-AL"/>
        </w:rPr>
        <w:t>rëve të kryeqytetit;</w:t>
      </w:r>
    </w:p>
    <w:p w:rsidR="00C75272" w:rsidRPr="00C5541C" w:rsidRDefault="00C75272" w:rsidP="002C5B1B">
      <w:pPr>
        <w:pStyle w:val="ListParagraph"/>
        <w:numPr>
          <w:ilvl w:val="0"/>
          <w:numId w:val="63"/>
        </w:numPr>
        <w:spacing w:after="120" w:line="276" w:lineRule="auto"/>
        <w:jc w:val="both"/>
        <w:rPr>
          <w:lang w:val="sq-AL"/>
        </w:rPr>
      </w:pPr>
      <w:r w:rsidRPr="00C5541C">
        <w:rPr>
          <w:lang w:val="sq-AL"/>
        </w:rPr>
        <w:t>Mbi 300,000 qytetarë, pjestarë të 80 mijë familjeve të varfëra ose me të ardhura të pakta përfitojnë kujdes mjek</w:t>
      </w:r>
      <w:r w:rsidR="00F40346">
        <w:rPr>
          <w:lang w:val="sq-AL"/>
        </w:rPr>
        <w:t>ësor falas nga mjeku i familjes;</w:t>
      </w:r>
    </w:p>
    <w:p w:rsidR="00C75272" w:rsidRPr="00F40346" w:rsidRDefault="00C75272" w:rsidP="002C5B1B">
      <w:pPr>
        <w:pStyle w:val="ListParagraph"/>
        <w:numPr>
          <w:ilvl w:val="0"/>
          <w:numId w:val="63"/>
        </w:numPr>
        <w:spacing w:after="120" w:line="276" w:lineRule="auto"/>
        <w:jc w:val="both"/>
        <w:rPr>
          <w:lang w:val="sq-AL"/>
        </w:rPr>
      </w:pPr>
      <w:r w:rsidRPr="00F40346">
        <w:rPr>
          <w:lang w:val="sq-AL"/>
        </w:rPr>
        <w:t>U ulën ndjeshëm tarifat për vizita dhe trajtime tek mjek</w:t>
      </w:r>
      <w:r w:rsidR="00C151EB">
        <w:rPr>
          <w:lang w:val="sq-AL"/>
        </w:rPr>
        <w:t>ë</w:t>
      </w:r>
      <w:r w:rsidRPr="00F40346">
        <w:rPr>
          <w:lang w:val="sq-AL"/>
        </w:rPr>
        <w:t>t specialist</w:t>
      </w:r>
      <w:r w:rsidR="00C151EB">
        <w:rPr>
          <w:lang w:val="sq-AL"/>
        </w:rPr>
        <w:t>ë</w:t>
      </w:r>
      <w:r w:rsidRPr="00F40346">
        <w:rPr>
          <w:lang w:val="sq-AL"/>
        </w:rPr>
        <w:t xml:space="preserve"> p</w:t>
      </w:r>
      <w:r w:rsidR="00C151EB">
        <w:rPr>
          <w:lang w:val="sq-AL"/>
        </w:rPr>
        <w:t>ë</w:t>
      </w:r>
      <w:r w:rsidRPr="00F40346">
        <w:rPr>
          <w:lang w:val="sq-AL"/>
        </w:rPr>
        <w:t>r personat e pasiguruar; 600,000 qytetarë të pasiguruar përfitojnë nga vizitat falas tek mjeku i familjes dhe tarifat e ulura n</w:t>
      </w:r>
      <w:r w:rsidR="00C151EB">
        <w:rPr>
          <w:lang w:val="sq-AL"/>
        </w:rPr>
        <w:t>ë</w:t>
      </w:r>
      <w:r w:rsidRPr="00F40346">
        <w:rPr>
          <w:lang w:val="sq-AL"/>
        </w:rPr>
        <w:t xml:space="preserve"> kujdesin sh</w:t>
      </w:r>
      <w:r w:rsidR="00C151EB">
        <w:rPr>
          <w:lang w:val="sq-AL"/>
        </w:rPr>
        <w:t>ë</w:t>
      </w:r>
      <w:r w:rsidRPr="00F40346">
        <w:rPr>
          <w:lang w:val="sq-AL"/>
        </w:rPr>
        <w:t>ndet</w:t>
      </w:r>
      <w:r w:rsidR="00C151EB">
        <w:rPr>
          <w:lang w:val="sq-AL"/>
        </w:rPr>
        <w:t>ë</w:t>
      </w:r>
      <w:r w:rsidRPr="00F40346">
        <w:rPr>
          <w:lang w:val="sq-AL"/>
        </w:rPr>
        <w:t>sor t</w:t>
      </w:r>
      <w:r w:rsidR="00C151EB">
        <w:rPr>
          <w:lang w:val="sq-AL"/>
        </w:rPr>
        <w:t>ë</w:t>
      </w:r>
      <w:r w:rsidRPr="00F40346">
        <w:rPr>
          <w:lang w:val="sq-AL"/>
        </w:rPr>
        <w:t xml:space="preserve"> specializuar, si edhe nga skema e rimbursimit f</w:t>
      </w:r>
      <w:r w:rsidR="00F40346" w:rsidRPr="00F40346">
        <w:rPr>
          <w:lang w:val="sq-AL"/>
        </w:rPr>
        <w:t>alas p</w:t>
      </w:r>
      <w:r w:rsidR="00C151EB">
        <w:rPr>
          <w:lang w:val="sq-AL"/>
        </w:rPr>
        <w:t>ë</w:t>
      </w:r>
      <w:r w:rsidR="00F40346" w:rsidRPr="00F40346">
        <w:rPr>
          <w:lang w:val="sq-AL"/>
        </w:rPr>
        <w:t>r s</w:t>
      </w:r>
      <w:r w:rsidR="00C151EB">
        <w:rPr>
          <w:lang w:val="sq-AL"/>
        </w:rPr>
        <w:t>ë</w:t>
      </w:r>
      <w:r w:rsidR="00F40346" w:rsidRPr="00F40346">
        <w:rPr>
          <w:lang w:val="sq-AL"/>
        </w:rPr>
        <w:t>mundshm</w:t>
      </w:r>
      <w:r w:rsidR="00C151EB">
        <w:rPr>
          <w:lang w:val="sq-AL"/>
        </w:rPr>
        <w:t>ë</w:t>
      </w:r>
      <w:r w:rsidR="00F40346" w:rsidRPr="00F40346">
        <w:rPr>
          <w:lang w:val="sq-AL"/>
        </w:rPr>
        <w:t>rin</w:t>
      </w:r>
      <w:r w:rsidR="00C151EB">
        <w:rPr>
          <w:lang w:val="sq-AL"/>
        </w:rPr>
        <w:t>ë</w:t>
      </w:r>
      <w:r w:rsidR="00F40346" w:rsidRPr="00F40346">
        <w:rPr>
          <w:lang w:val="sq-AL"/>
        </w:rPr>
        <w:t xml:space="preserve"> kronike;</w:t>
      </w:r>
    </w:p>
    <w:p w:rsidR="00C75272" w:rsidRPr="00C5541C" w:rsidRDefault="00C75272" w:rsidP="002C5B1B">
      <w:pPr>
        <w:pStyle w:val="ListParagraph"/>
        <w:numPr>
          <w:ilvl w:val="0"/>
          <w:numId w:val="63"/>
        </w:numPr>
        <w:spacing w:after="120" w:line="276" w:lineRule="auto"/>
      </w:pPr>
      <w:r w:rsidRPr="00C5541C">
        <w:t>Sh</w:t>
      </w:r>
      <w:r>
        <w:t>ë</w:t>
      </w:r>
      <w:r w:rsidRPr="00C5541C">
        <w:t>rbimi parandalues dhe diagnostikimi i hersh</w:t>
      </w:r>
      <w:r>
        <w:t>ë</w:t>
      </w:r>
      <w:r w:rsidRPr="00C5541C">
        <w:t>m</w:t>
      </w:r>
      <w:r w:rsidR="00C151EB">
        <w:t xml:space="preserve"> i</w:t>
      </w:r>
      <w:r w:rsidRPr="00C5541C">
        <w:t xml:space="preserve"> s</w:t>
      </w:r>
      <w:r>
        <w:t>ë</w:t>
      </w:r>
      <w:r w:rsidRPr="00C5541C">
        <w:t>mundjeve p</w:t>
      </w:r>
      <w:r>
        <w:t>ë</w:t>
      </w:r>
      <w:r w:rsidRPr="00C5541C">
        <w:t>r t</w:t>
      </w:r>
      <w:r>
        <w:t>ë</w:t>
      </w:r>
      <w:r w:rsidRPr="00C5541C">
        <w:t xml:space="preserve"> pakt</w:t>
      </w:r>
      <w:r>
        <w:t>ë</w:t>
      </w:r>
      <w:r w:rsidRPr="00C5541C">
        <w:t>n 480,000 persona q</w:t>
      </w:r>
      <w:r>
        <w:t>ë</w:t>
      </w:r>
      <w:r w:rsidRPr="00C5541C">
        <w:t xml:space="preserve"> do t</w:t>
      </w:r>
      <w:r>
        <w:t>ë</w:t>
      </w:r>
      <w:r w:rsidRPr="00C5541C">
        <w:t xml:space="preserve"> kryejn</w:t>
      </w:r>
      <w:r>
        <w:t>ë</w:t>
      </w:r>
      <w:r w:rsidR="00C151EB">
        <w:t xml:space="preserve"> kontroll m</w:t>
      </w:r>
      <w:r w:rsidRPr="00C5541C">
        <w:t>jeksor baz</w:t>
      </w:r>
      <w:r>
        <w:t>ë</w:t>
      </w:r>
      <w:r w:rsidRPr="00C5541C">
        <w:t xml:space="preserve"> periodik;</w:t>
      </w:r>
    </w:p>
    <w:p w:rsidR="00C75272" w:rsidRPr="00C5541C" w:rsidRDefault="00C75272" w:rsidP="002C5B1B">
      <w:pPr>
        <w:pStyle w:val="ListParagraph"/>
        <w:numPr>
          <w:ilvl w:val="0"/>
          <w:numId w:val="63"/>
        </w:numPr>
        <w:spacing w:after="120" w:line="276" w:lineRule="auto"/>
      </w:pPr>
      <w:r w:rsidRPr="00C5541C">
        <w:t xml:space="preserve">Ofrimi </w:t>
      </w:r>
      <w:r w:rsidR="00F40346">
        <w:t>i</w:t>
      </w:r>
      <w:r w:rsidRPr="00C5541C">
        <w:t xml:space="preserve"> sh</w:t>
      </w:r>
      <w:r>
        <w:t>ë</w:t>
      </w:r>
      <w:r w:rsidRPr="00C5541C">
        <w:t>rbimit par</w:t>
      </w:r>
      <w:r>
        <w:t>ë</w:t>
      </w:r>
      <w:r w:rsidRPr="00C5541C">
        <w:t>sor n</w:t>
      </w:r>
      <w:r>
        <w:t>ë</w:t>
      </w:r>
      <w:r w:rsidRPr="00C5541C">
        <w:t>p</w:t>
      </w:r>
      <w:r>
        <w:t>ë</w:t>
      </w:r>
      <w:r w:rsidRPr="00C5541C">
        <w:t>rmjet zgjerimit t</w:t>
      </w:r>
      <w:r>
        <w:t>ë</w:t>
      </w:r>
      <w:r w:rsidRPr="00C5541C">
        <w:t xml:space="preserve"> skem</w:t>
      </w:r>
      <w:r>
        <w:t>ë</w:t>
      </w:r>
      <w:r w:rsidRPr="00C5541C">
        <w:t>s s</w:t>
      </w:r>
      <w:r>
        <w:t>ë</w:t>
      </w:r>
      <w:r w:rsidRPr="00C5541C">
        <w:t xml:space="preserve"> m</w:t>
      </w:r>
      <w:r w:rsidR="00C151EB">
        <w:t>e</w:t>
      </w:r>
      <w:r w:rsidRPr="00C5541C">
        <w:t>dikamenteve nga 489 n</w:t>
      </w:r>
      <w:r>
        <w:t>ë</w:t>
      </w:r>
      <w:r w:rsidRPr="00C5541C">
        <w:t xml:space="preserve"> vitin 2015 n</w:t>
      </w:r>
      <w:r>
        <w:t>ë</w:t>
      </w:r>
      <w:r w:rsidRPr="00C5541C">
        <w:t xml:space="preserve"> 500 n</w:t>
      </w:r>
      <w:r>
        <w:t>ë</w:t>
      </w:r>
      <w:r w:rsidRPr="00C5541C">
        <w:t xml:space="preserve"> mbyllje t</w:t>
      </w:r>
      <w:r>
        <w:t>ë</w:t>
      </w:r>
      <w:r w:rsidRPr="00C5541C">
        <w:t xml:space="preserve"> k</w:t>
      </w:r>
      <w:r>
        <w:t>ë</w:t>
      </w:r>
      <w:r w:rsidRPr="00C5541C">
        <w:t>tij viti;</w:t>
      </w:r>
    </w:p>
    <w:p w:rsidR="00C75272" w:rsidRPr="00C5541C" w:rsidRDefault="00C75272" w:rsidP="002C5B1B">
      <w:pPr>
        <w:pStyle w:val="ListParagraph"/>
        <w:numPr>
          <w:ilvl w:val="0"/>
          <w:numId w:val="63"/>
        </w:numPr>
        <w:spacing w:after="120" w:line="276" w:lineRule="auto"/>
      </w:pPr>
      <w:r w:rsidRPr="00C5541C">
        <w:t>Rikonstruksion dhe pajisje t</w:t>
      </w:r>
      <w:r>
        <w:t>ë</w:t>
      </w:r>
      <w:r w:rsidRPr="00C5541C">
        <w:t xml:space="preserve"> reja p</w:t>
      </w:r>
      <w:r>
        <w:t>ë</w:t>
      </w:r>
      <w:r w:rsidRPr="00C5541C">
        <w:t>r 5 poliklinika n</w:t>
      </w:r>
      <w:r>
        <w:t>ë</w:t>
      </w:r>
      <w:r w:rsidRPr="00C5541C">
        <w:t xml:space="preserve"> Tiran</w:t>
      </w:r>
      <w:r>
        <w:t>ë</w:t>
      </w:r>
      <w:r w:rsidRPr="00C5541C">
        <w:t>, Korç</w:t>
      </w:r>
      <w:r>
        <w:t>ë</w:t>
      </w:r>
      <w:r w:rsidRPr="00C5541C">
        <w:t>, Gjirokast</w:t>
      </w:r>
      <w:r>
        <w:t>ë</w:t>
      </w:r>
      <w:r w:rsidRPr="00C5541C">
        <w:t>r, etj;</w:t>
      </w:r>
    </w:p>
    <w:p w:rsidR="00C75272" w:rsidRPr="00C5541C" w:rsidRDefault="00C75272" w:rsidP="002C5B1B">
      <w:pPr>
        <w:pStyle w:val="ListParagraph"/>
        <w:numPr>
          <w:ilvl w:val="0"/>
          <w:numId w:val="63"/>
        </w:numPr>
        <w:spacing w:after="120" w:line="276" w:lineRule="auto"/>
      </w:pPr>
      <w:r w:rsidRPr="00C5541C">
        <w:t>Rritja e aksesit t</w:t>
      </w:r>
      <w:r>
        <w:t>ë</w:t>
      </w:r>
      <w:r w:rsidRPr="00C5541C">
        <w:t xml:space="preserve"> pacient</w:t>
      </w:r>
      <w:r>
        <w:t>ë</w:t>
      </w:r>
      <w:r w:rsidRPr="00C5541C">
        <w:t>ve p</w:t>
      </w:r>
      <w:r>
        <w:t>ë</w:t>
      </w:r>
      <w:r w:rsidRPr="00C5541C">
        <w:t>r sh</w:t>
      </w:r>
      <w:r>
        <w:t>ë</w:t>
      </w:r>
      <w:r w:rsidRPr="00C5541C">
        <w:t>rbimin e dializ</w:t>
      </w:r>
      <w:r>
        <w:t>ë</w:t>
      </w:r>
      <w:r w:rsidR="00C151EB">
        <w:t>s</w:t>
      </w:r>
      <w:r w:rsidRPr="00C5541C">
        <w:t xml:space="preserve"> n</w:t>
      </w:r>
      <w:r>
        <w:t>ë</w:t>
      </w:r>
      <w:r w:rsidRPr="00C5541C">
        <w:t>p</w:t>
      </w:r>
      <w:r>
        <w:t>ë</w:t>
      </w:r>
      <w:r w:rsidRPr="00C5541C">
        <w:t>rmjet ofrimit n</w:t>
      </w:r>
      <w:r>
        <w:t>ë</w:t>
      </w:r>
      <w:r w:rsidRPr="00C5541C">
        <w:t xml:space="preserve"> 5 qendra t</w:t>
      </w:r>
      <w:r>
        <w:t>ë</w:t>
      </w:r>
      <w:r w:rsidRPr="00C5541C">
        <w:t xml:space="preserve"> reja;</w:t>
      </w:r>
    </w:p>
    <w:p w:rsidR="00C75272" w:rsidRPr="00C5541C" w:rsidRDefault="00C75272" w:rsidP="002C5B1B">
      <w:pPr>
        <w:pStyle w:val="ListParagraph"/>
        <w:numPr>
          <w:ilvl w:val="0"/>
          <w:numId w:val="63"/>
        </w:numPr>
        <w:spacing w:after="120" w:line="276" w:lineRule="auto"/>
      </w:pPr>
      <w:r w:rsidRPr="00C5541C">
        <w:t xml:space="preserve">Reduktimi </w:t>
      </w:r>
      <w:r w:rsidR="00EA68C2">
        <w:t>i</w:t>
      </w:r>
      <w:r w:rsidRPr="00C5541C">
        <w:t xml:space="preserve"> vazhduesh</w:t>
      </w:r>
      <w:r>
        <w:t>ë</w:t>
      </w:r>
      <w:r w:rsidRPr="00C5541C">
        <w:t xml:space="preserve">m </w:t>
      </w:r>
      <w:r w:rsidR="00EA68C2">
        <w:t>i</w:t>
      </w:r>
      <w:r w:rsidRPr="00C5541C">
        <w:t xml:space="preserve"> numrit t</w:t>
      </w:r>
      <w:r>
        <w:t>ë</w:t>
      </w:r>
      <w:r w:rsidR="00C151EB">
        <w:t xml:space="preserve"> </w:t>
      </w:r>
      <w:r w:rsidRPr="00C5541C">
        <w:t>shp</w:t>
      </w:r>
      <w:r>
        <w:t>ë</w:t>
      </w:r>
      <w:r w:rsidRPr="00C5541C">
        <w:t>rthimeve epidemike me burim ndotjen e ujit n</w:t>
      </w:r>
      <w:r>
        <w:t>ë</w:t>
      </w:r>
      <w:r w:rsidRPr="00C5541C">
        <w:t xml:space="preserve"> jo m</w:t>
      </w:r>
      <w:r>
        <w:t>ë</w:t>
      </w:r>
      <w:r w:rsidRPr="00C5541C">
        <w:t xml:space="preserve"> shum</w:t>
      </w:r>
      <w:r>
        <w:t>ë</w:t>
      </w:r>
      <w:r w:rsidRPr="00C5541C">
        <w:t xml:space="preserve"> se 2 her</w:t>
      </w:r>
      <w:r>
        <w:t>ë</w:t>
      </w:r>
      <w:r w:rsidRPr="00C5541C">
        <w:t xml:space="preserve"> n</w:t>
      </w:r>
      <w:r>
        <w:t>ë</w:t>
      </w:r>
      <w:r w:rsidRPr="00C5541C">
        <w:t xml:space="preserve"> vit p</w:t>
      </w:r>
      <w:r>
        <w:t>ë</w:t>
      </w:r>
      <w:r w:rsidRPr="00C5541C">
        <w:t>r 2017, krahasuar me mesatarisht me 4 her</w:t>
      </w:r>
      <w:r>
        <w:t>ë</w:t>
      </w:r>
      <w:r w:rsidRPr="00C5541C">
        <w:t xml:space="preserve"> n</w:t>
      </w:r>
      <w:r>
        <w:t>ë</w:t>
      </w:r>
      <w:r w:rsidRPr="00C5541C">
        <w:t xml:space="preserve"> vit p</w:t>
      </w:r>
      <w:r>
        <w:t>ë</w:t>
      </w:r>
      <w:r w:rsidRPr="00C5541C">
        <w:t>r 2012-2013;</w:t>
      </w:r>
    </w:p>
    <w:p w:rsidR="00C75272" w:rsidRPr="00C5541C" w:rsidRDefault="00C75272" w:rsidP="002C5B1B">
      <w:pPr>
        <w:pStyle w:val="ListParagraph"/>
        <w:numPr>
          <w:ilvl w:val="0"/>
          <w:numId w:val="63"/>
        </w:numPr>
        <w:spacing w:after="120" w:line="276" w:lineRule="auto"/>
      </w:pPr>
      <w:r w:rsidRPr="00C5541C">
        <w:t>Koha e p</w:t>
      </w:r>
      <w:r>
        <w:t>ë</w:t>
      </w:r>
      <w:r w:rsidRPr="00C5541C">
        <w:t>rgjigjes s</w:t>
      </w:r>
      <w:r>
        <w:t>ë</w:t>
      </w:r>
      <w:r w:rsidRPr="00C5541C">
        <w:t xml:space="preserve"> urgjenc</w:t>
      </w:r>
      <w:r>
        <w:t>ë</w:t>
      </w:r>
      <w:r w:rsidRPr="00C5541C">
        <w:t xml:space="preserve"> </w:t>
      </w:r>
      <w:r>
        <w:t>ë</w:t>
      </w:r>
      <w:r w:rsidRPr="00C5541C">
        <w:t>sht</w:t>
      </w:r>
      <w:r>
        <w:t>ë</w:t>
      </w:r>
      <w:r w:rsidRPr="00C5541C">
        <w:t xml:space="preserve"> ulur n</w:t>
      </w:r>
      <w:r>
        <w:t>ë</w:t>
      </w:r>
      <w:r w:rsidRPr="00C5541C">
        <w:t>:</w:t>
      </w:r>
    </w:p>
    <w:p w:rsidR="00C75272" w:rsidRPr="00C5541C" w:rsidRDefault="00C75272" w:rsidP="002C5B1B">
      <w:pPr>
        <w:pStyle w:val="ListParagraph"/>
        <w:numPr>
          <w:ilvl w:val="1"/>
          <w:numId w:val="64"/>
        </w:numPr>
        <w:spacing w:after="120" w:line="276" w:lineRule="auto"/>
      </w:pPr>
      <w:r w:rsidRPr="00C5541C">
        <w:t>Nga 20 minuta n</w:t>
      </w:r>
      <w:r>
        <w:t>ë</w:t>
      </w:r>
      <w:r w:rsidRPr="00C5541C">
        <w:t xml:space="preserve"> 2016 n</w:t>
      </w:r>
      <w:r>
        <w:t>ë</w:t>
      </w:r>
      <w:r w:rsidRPr="00C5541C">
        <w:t xml:space="preserve"> 18 minuta k</w:t>
      </w:r>
      <w:r>
        <w:t>ë</w:t>
      </w:r>
      <w:r w:rsidRPr="00C5541C">
        <w:t>t</w:t>
      </w:r>
      <w:r>
        <w:t>ë</w:t>
      </w:r>
      <w:r w:rsidRPr="00C5541C">
        <w:t xml:space="preserve"> vit n</w:t>
      </w:r>
      <w:r>
        <w:t>ë</w:t>
      </w:r>
      <w:r w:rsidRPr="00C5541C">
        <w:t xml:space="preserve"> zonat urbane;</w:t>
      </w:r>
    </w:p>
    <w:p w:rsidR="00C75272" w:rsidRPr="00C5541C" w:rsidRDefault="00C75272" w:rsidP="002C5B1B">
      <w:pPr>
        <w:pStyle w:val="ListParagraph"/>
        <w:numPr>
          <w:ilvl w:val="1"/>
          <w:numId w:val="64"/>
        </w:numPr>
        <w:spacing w:after="120" w:line="276" w:lineRule="auto"/>
      </w:pPr>
      <w:r w:rsidRPr="00C5541C">
        <w:t>Nga 45 min n</w:t>
      </w:r>
      <w:r>
        <w:t>ë</w:t>
      </w:r>
      <w:r w:rsidRPr="00C5541C">
        <w:t xml:space="preserve"> 2016 n</w:t>
      </w:r>
      <w:r>
        <w:t>ë</w:t>
      </w:r>
      <w:r w:rsidRPr="00C5541C">
        <w:t xml:space="preserve"> 43 min k</w:t>
      </w:r>
      <w:r>
        <w:t>ë</w:t>
      </w:r>
      <w:r w:rsidRPr="00C5541C">
        <w:t>t</w:t>
      </w:r>
      <w:r w:rsidR="00C151EB">
        <w:t>ë</w:t>
      </w:r>
      <w:r w:rsidRPr="00C5541C">
        <w:t xml:space="preserve"> vit n</w:t>
      </w:r>
      <w:r>
        <w:t>ë</w:t>
      </w:r>
      <w:r w:rsidRPr="00C5541C">
        <w:t xml:space="preserve"> zonat interurbane;</w:t>
      </w:r>
    </w:p>
    <w:p w:rsidR="00C75272" w:rsidRPr="00AD18D5" w:rsidRDefault="00C75272" w:rsidP="002C5B1B">
      <w:pPr>
        <w:pStyle w:val="ListParagraph"/>
        <w:numPr>
          <w:ilvl w:val="0"/>
          <w:numId w:val="63"/>
        </w:numPr>
        <w:spacing w:after="120" w:line="276" w:lineRule="auto"/>
      </w:pPr>
      <w:r w:rsidRPr="00C5541C">
        <w:lastRenderedPageBreak/>
        <w:t>Sigurimi i q</w:t>
      </w:r>
      <w:r w:rsidR="00BF2B5E">
        <w:t>ë</w:t>
      </w:r>
      <w:r w:rsidRPr="00C5541C">
        <w:t>ndrueshm</w:t>
      </w:r>
      <w:r>
        <w:t>ë</w:t>
      </w:r>
      <w:r w:rsidRPr="00C5541C">
        <w:t>ris</w:t>
      </w:r>
      <w:r>
        <w:t>ë</w:t>
      </w:r>
      <w:r w:rsidRPr="00C5541C">
        <w:t xml:space="preserve"> s</w:t>
      </w:r>
      <w:r>
        <w:t>ë</w:t>
      </w:r>
      <w:r w:rsidRPr="00C5541C">
        <w:t xml:space="preserve"> mbules</w:t>
      </w:r>
      <w:r>
        <w:t>ë</w:t>
      </w:r>
      <w:r w:rsidRPr="00C5541C">
        <w:t>s vaksinale p</w:t>
      </w:r>
      <w:r>
        <w:t>ë</w:t>
      </w:r>
      <w:r w:rsidRPr="00C5541C">
        <w:t>r vaksinat e ka</w:t>
      </w:r>
      <w:r w:rsidR="00C151EB">
        <w:t>l</w:t>
      </w:r>
      <w:r w:rsidRPr="00C5541C">
        <w:t>endarit t</w:t>
      </w:r>
      <w:r>
        <w:t>ë</w:t>
      </w:r>
      <w:r w:rsidRPr="00C5541C">
        <w:t xml:space="preserve"> vaksinimit n</w:t>
      </w:r>
      <w:r>
        <w:t>ë</w:t>
      </w:r>
      <w:r w:rsidRPr="00C5541C">
        <w:t xml:space="preserve"> mas</w:t>
      </w:r>
      <w:r>
        <w:t>ë</w:t>
      </w:r>
      <w:r w:rsidRPr="00C5541C">
        <w:t>n 95%;</w:t>
      </w:r>
    </w:p>
    <w:p w:rsidR="00F40346" w:rsidRDefault="00F40346" w:rsidP="00C75272">
      <w:pPr>
        <w:spacing w:line="276" w:lineRule="auto"/>
        <w:jc w:val="both"/>
        <w:rPr>
          <w:b/>
          <w:lang w:val="sq-AL"/>
        </w:rPr>
      </w:pPr>
    </w:p>
    <w:p w:rsidR="00C75272" w:rsidRPr="00C5541C" w:rsidRDefault="00C75272" w:rsidP="00C75272">
      <w:pPr>
        <w:spacing w:line="276" w:lineRule="auto"/>
        <w:jc w:val="both"/>
        <w:rPr>
          <w:b/>
          <w:lang w:val="sq-AL"/>
        </w:rPr>
      </w:pPr>
      <w:r w:rsidRPr="00C5541C">
        <w:rPr>
          <w:b/>
          <w:lang w:val="sq-AL"/>
        </w:rPr>
        <w:t>Prioritetet për vitin 2018</w:t>
      </w:r>
    </w:p>
    <w:p w:rsidR="00C75272" w:rsidRPr="00C5541C" w:rsidRDefault="00C75272" w:rsidP="00C75272">
      <w:pPr>
        <w:spacing w:line="276" w:lineRule="auto"/>
        <w:jc w:val="both"/>
        <w:rPr>
          <w:b/>
          <w:lang w:val="sq-AL"/>
        </w:rPr>
      </w:pPr>
    </w:p>
    <w:p w:rsidR="00C75272" w:rsidRPr="00AD18D5" w:rsidRDefault="00F40346" w:rsidP="002C5B1B">
      <w:pPr>
        <w:pStyle w:val="ListParagraph"/>
        <w:numPr>
          <w:ilvl w:val="0"/>
          <w:numId w:val="71"/>
        </w:numPr>
        <w:spacing w:after="120" w:line="276" w:lineRule="auto"/>
        <w:jc w:val="both"/>
        <w:rPr>
          <w:lang w:val="sq-AL"/>
        </w:rPr>
      </w:pPr>
      <w:r w:rsidRPr="00AD18D5">
        <w:rPr>
          <w:lang w:val="sq-AL"/>
        </w:rPr>
        <w:t>S</w:t>
      </w:r>
      <w:r w:rsidR="00C75272" w:rsidRPr="00AD18D5">
        <w:rPr>
          <w:lang w:val="sq-AL"/>
        </w:rPr>
        <w:t>ynohet të ulet koha e reagimit të urgjencave mjekësore ndaj qytetarit për zonat urbane ng</w:t>
      </w:r>
      <w:r w:rsidR="00C151EB">
        <w:rPr>
          <w:lang w:val="sq-AL"/>
        </w:rPr>
        <w:t xml:space="preserve">a 18 minuta në vitin 2017 në </w:t>
      </w:r>
      <w:r w:rsidR="00C75272" w:rsidRPr="00AD18D5">
        <w:rPr>
          <w:lang w:val="sq-AL"/>
        </w:rPr>
        <w:t>16 minuta në vitin 2018 dhe për zonat interurbane nga 43 minuta në vitin 2017 në 40 minuta në vitin 2018.</w:t>
      </w:r>
    </w:p>
    <w:p w:rsidR="00C75272" w:rsidRPr="00AD18D5" w:rsidRDefault="00C75272" w:rsidP="002C5B1B">
      <w:pPr>
        <w:pStyle w:val="ListParagraph"/>
        <w:numPr>
          <w:ilvl w:val="0"/>
          <w:numId w:val="71"/>
        </w:numPr>
        <w:spacing w:after="120" w:line="276" w:lineRule="auto"/>
        <w:jc w:val="both"/>
        <w:rPr>
          <w:lang w:val="sq-AL"/>
        </w:rPr>
      </w:pPr>
      <w:r w:rsidRPr="00C5541C">
        <w:t>Kohëpritja për angiografinë synohet të ulet nga 55 dit</w:t>
      </w:r>
      <w:r w:rsidR="00C151EB">
        <w:t>ë në</w:t>
      </w:r>
      <w:r w:rsidRPr="00C5541C">
        <w:t xml:space="preserve"> 2017 në 30 ditë në vitin 2018 duke vënë në funksionim hemodinamik</w:t>
      </w:r>
      <w:r w:rsidR="00C151EB">
        <w:t>ën në</w:t>
      </w:r>
      <w:r w:rsidRPr="00C5541C">
        <w:t xml:space="preserve"> Fier. </w:t>
      </w:r>
    </w:p>
    <w:p w:rsidR="00C75272" w:rsidRPr="00AD18D5" w:rsidRDefault="00C75272" w:rsidP="002C5B1B">
      <w:pPr>
        <w:pStyle w:val="ListParagraph"/>
        <w:numPr>
          <w:ilvl w:val="0"/>
          <w:numId w:val="71"/>
        </w:numPr>
        <w:spacing w:after="120" w:line="276" w:lineRule="auto"/>
        <w:jc w:val="both"/>
        <w:rPr>
          <w:lang w:val="sq-AL"/>
        </w:rPr>
      </w:pPr>
      <w:r w:rsidRPr="00C5541C">
        <w:t>Ulj</w:t>
      </w:r>
      <w:r w:rsidR="00C151EB">
        <w:t>a</w:t>
      </w:r>
      <w:r w:rsidRPr="00C5541C">
        <w:t xml:space="preserve"> e kohës së pritjes për rezonancën magnetike dhe skanerin në të gjitha spitalet.</w:t>
      </w:r>
    </w:p>
    <w:p w:rsidR="00C75272" w:rsidRPr="00AD18D5" w:rsidRDefault="00C75272" w:rsidP="002C5B1B">
      <w:pPr>
        <w:pStyle w:val="ListParagraph"/>
        <w:numPr>
          <w:ilvl w:val="0"/>
          <w:numId w:val="71"/>
        </w:numPr>
        <w:spacing w:after="120" w:line="276" w:lineRule="auto"/>
        <w:jc w:val="both"/>
        <w:rPr>
          <w:lang w:val="sq-AL"/>
        </w:rPr>
      </w:pPr>
      <w:r w:rsidRPr="00AD18D5">
        <w:rPr>
          <w:lang w:val="sq-AL"/>
        </w:rPr>
        <w:t>Zgjerimi i paketave t</w:t>
      </w:r>
      <w:r w:rsidR="00C151EB">
        <w:rPr>
          <w:lang w:val="sq-AL"/>
        </w:rPr>
        <w:t>ë</w:t>
      </w:r>
      <w:r w:rsidRPr="00AD18D5">
        <w:rPr>
          <w:lang w:val="sq-AL"/>
        </w:rPr>
        <w:t xml:space="preserve"> sh</w:t>
      </w:r>
      <w:r w:rsidR="00C151EB">
        <w:rPr>
          <w:lang w:val="sq-AL"/>
        </w:rPr>
        <w:t>ë</w:t>
      </w:r>
      <w:r w:rsidRPr="00AD18D5">
        <w:rPr>
          <w:lang w:val="sq-AL"/>
        </w:rPr>
        <w:t>rbimeve të hartuara për trajtim mjekësor të specializuar për pacientët ditorë (autizmi, sindroma Do</w:t>
      </w:r>
      <w:r w:rsidR="00C151EB">
        <w:rPr>
          <w:lang w:val="sq-AL"/>
        </w:rPr>
        <w:t xml:space="preserve">wn, kujdesi paliativ, </w:t>
      </w:r>
      <w:r w:rsidRPr="00AD18D5">
        <w:rPr>
          <w:lang w:val="sq-AL"/>
        </w:rPr>
        <w:t>kataraktit, kirurgjis</w:t>
      </w:r>
      <w:r w:rsidR="00C151EB">
        <w:rPr>
          <w:lang w:val="sq-AL"/>
        </w:rPr>
        <w:t>ë vazale, etj).</w:t>
      </w:r>
    </w:p>
    <w:p w:rsidR="00C75272" w:rsidRPr="00AD18D5" w:rsidRDefault="00C75272" w:rsidP="002C5B1B">
      <w:pPr>
        <w:pStyle w:val="ListParagraph"/>
        <w:numPr>
          <w:ilvl w:val="0"/>
          <w:numId w:val="71"/>
        </w:numPr>
        <w:spacing w:after="120" w:line="276" w:lineRule="auto"/>
        <w:jc w:val="both"/>
        <w:rPr>
          <w:lang w:val="sq-AL"/>
        </w:rPr>
      </w:pPr>
      <w:r w:rsidRPr="00AD18D5">
        <w:rPr>
          <w:lang w:val="sq-AL"/>
        </w:rPr>
        <w:t>Përmirësim i ofrimit të shërbimit parësor nëpërmjet zgjerimit të skemës së medikamenteve në 520 në vitin 2018 p</w:t>
      </w:r>
      <w:r w:rsidR="00C151EB">
        <w:rPr>
          <w:lang w:val="sq-AL"/>
        </w:rPr>
        <w:t>ë</w:t>
      </w:r>
      <w:r w:rsidRPr="00AD18D5">
        <w:rPr>
          <w:lang w:val="sq-AL"/>
        </w:rPr>
        <w:t>r t</w:t>
      </w:r>
      <w:r w:rsidR="00C151EB">
        <w:rPr>
          <w:lang w:val="sq-AL"/>
        </w:rPr>
        <w:t>ë</w:t>
      </w:r>
      <w:r w:rsidRPr="00AD18D5">
        <w:rPr>
          <w:lang w:val="sq-AL"/>
        </w:rPr>
        <w:t xml:space="preserve"> gjith</w:t>
      </w:r>
      <w:r w:rsidR="00C151EB">
        <w:rPr>
          <w:lang w:val="sq-AL"/>
        </w:rPr>
        <w:t>ë</w:t>
      </w:r>
      <w:r w:rsidRPr="00AD18D5">
        <w:rPr>
          <w:lang w:val="sq-AL"/>
        </w:rPr>
        <w:t xml:space="preserve"> popullat</w:t>
      </w:r>
      <w:r w:rsidR="00C151EB">
        <w:rPr>
          <w:lang w:val="sq-AL"/>
        </w:rPr>
        <w:t>ë</w:t>
      </w:r>
      <w:r w:rsidRPr="00AD18D5">
        <w:rPr>
          <w:lang w:val="sq-AL"/>
        </w:rPr>
        <w:t>n e siguruar ose jo.</w:t>
      </w:r>
    </w:p>
    <w:p w:rsidR="00C75272" w:rsidRPr="00AD18D5" w:rsidRDefault="00C75272" w:rsidP="002C5B1B">
      <w:pPr>
        <w:pStyle w:val="ListParagraph"/>
        <w:numPr>
          <w:ilvl w:val="0"/>
          <w:numId w:val="71"/>
        </w:numPr>
        <w:spacing w:after="120" w:line="276" w:lineRule="auto"/>
        <w:jc w:val="both"/>
        <w:rPr>
          <w:lang w:val="sq-AL"/>
        </w:rPr>
      </w:pPr>
      <w:r w:rsidRPr="00AD18D5">
        <w:rPr>
          <w:lang w:val="sq-AL"/>
        </w:rPr>
        <w:t>Synohet realizimi i ndërhyrjeve konkrete për investime në infrastrukturën e shëndetit parësor dhe atë spitalor si:</w:t>
      </w:r>
    </w:p>
    <w:p w:rsidR="00C75272" w:rsidRPr="00C5541C" w:rsidRDefault="00C75272" w:rsidP="002C5B1B">
      <w:pPr>
        <w:pStyle w:val="ListParagraph"/>
        <w:numPr>
          <w:ilvl w:val="0"/>
          <w:numId w:val="72"/>
        </w:numPr>
        <w:spacing w:after="120" w:line="276" w:lineRule="auto"/>
        <w:jc w:val="both"/>
      </w:pPr>
      <w:r w:rsidRPr="00C5541C">
        <w:t>Pediatria  dhe</w:t>
      </w:r>
      <w:r w:rsidR="00AD18D5">
        <w:t xml:space="preserve"> qendra e informacionit n</w:t>
      </w:r>
      <w:r w:rsidR="00C151EB">
        <w:t>ë</w:t>
      </w:r>
      <w:r w:rsidR="00AD18D5">
        <w:t xml:space="preserve"> QSUT;</w:t>
      </w:r>
    </w:p>
    <w:p w:rsidR="00C75272" w:rsidRPr="00C5541C" w:rsidRDefault="00C75272" w:rsidP="002C5B1B">
      <w:pPr>
        <w:pStyle w:val="ListParagraph"/>
        <w:numPr>
          <w:ilvl w:val="0"/>
          <w:numId w:val="72"/>
        </w:numPr>
        <w:spacing w:after="120" w:line="276" w:lineRule="auto"/>
        <w:jc w:val="both"/>
      </w:pPr>
      <w:r w:rsidRPr="00C5541C">
        <w:t>Nd</w:t>
      </w:r>
      <w:r w:rsidR="00C151EB">
        <w:t>ë</w:t>
      </w:r>
      <w:r w:rsidRPr="00C5541C">
        <w:t>rtesa e mjek</w:t>
      </w:r>
      <w:r w:rsidR="00C151EB">
        <w:t>ë</w:t>
      </w:r>
      <w:r w:rsidRPr="00C5541C">
        <w:t>sis</w:t>
      </w:r>
      <w:r w:rsidR="00C151EB">
        <w:t>ë</w:t>
      </w:r>
      <w:r w:rsidRPr="00C5541C">
        <w:t xml:space="preserve"> int</w:t>
      </w:r>
      <w:r w:rsidR="00963524">
        <w:t>erne (CEB).</w:t>
      </w:r>
      <w:r w:rsidRPr="00C5541C">
        <w:t xml:space="preserve"> Nd</w:t>
      </w:r>
      <w:r w:rsidR="00C151EB">
        <w:t>ë</w:t>
      </w:r>
      <w:r w:rsidRPr="00C5541C">
        <w:t>rtesa (rreth 9000 m2) do t</w:t>
      </w:r>
      <w:r w:rsidR="00C151EB">
        <w:t>ë</w:t>
      </w:r>
      <w:r w:rsidRPr="00C5541C">
        <w:t xml:space="preserve"> ket</w:t>
      </w:r>
      <w:r w:rsidR="00C151EB">
        <w:t>ë</w:t>
      </w:r>
      <w:r w:rsidRPr="00C5541C">
        <w:t xml:space="preserve"> 185 shtretër si edh</w:t>
      </w:r>
      <w:r w:rsidR="00C151EB">
        <w:t>e 20 shtretër terapi intensive.</w:t>
      </w:r>
      <w:r w:rsidRPr="00C5541C">
        <w:t xml:space="preserve"> Do të ofrohe</w:t>
      </w:r>
      <w:r w:rsidR="00C151EB">
        <w:t>n</w:t>
      </w:r>
      <w:r w:rsidRPr="00C5541C">
        <w:t xml:space="preserve"> hapësira të mjaftueshme për shërbimet: 2 kate kardiologji, gastro-hepatologji, endokrinologji, hema</w:t>
      </w:r>
      <w:r w:rsidR="00AD18D5">
        <w:t>tologji, nefrologji dhe dializë;</w:t>
      </w:r>
      <w:r w:rsidRPr="00C5541C">
        <w:t xml:space="preserve"> </w:t>
      </w:r>
    </w:p>
    <w:p w:rsidR="00C75272" w:rsidRPr="00C5541C" w:rsidRDefault="00C75272" w:rsidP="002C5B1B">
      <w:pPr>
        <w:pStyle w:val="ListParagraph"/>
        <w:numPr>
          <w:ilvl w:val="0"/>
          <w:numId w:val="72"/>
        </w:numPr>
        <w:spacing w:after="120" w:line="276" w:lineRule="auto"/>
        <w:jc w:val="both"/>
      </w:pPr>
      <w:r w:rsidRPr="00C5541C">
        <w:t>P</w:t>
      </w:r>
      <w:r w:rsidR="00122326">
        <w:t>ë</w:t>
      </w:r>
      <w:r w:rsidRPr="00C5541C">
        <w:t>rfundimi</w:t>
      </w:r>
      <w:r w:rsidR="00C151EB">
        <w:t xml:space="preserve"> i</w:t>
      </w:r>
      <w:r w:rsidRPr="00C5541C">
        <w:t xml:space="preserve"> punimeve t</w:t>
      </w:r>
      <w:r w:rsidR="00C151EB">
        <w:t>ë</w:t>
      </w:r>
      <w:r w:rsidRPr="00C5541C">
        <w:t xml:space="preserve"> nd</w:t>
      </w:r>
      <w:r w:rsidR="00C151EB">
        <w:t>ë</w:t>
      </w:r>
      <w:r w:rsidRPr="00C5541C">
        <w:t>rtimit dhe kompletimi me pajisje i kirurgjis</w:t>
      </w:r>
      <w:r w:rsidR="00C151EB">
        <w:t>ë</w:t>
      </w:r>
      <w:r w:rsidR="00963524">
        <w:t xml:space="preserve"> s</w:t>
      </w:r>
      <w:r w:rsidR="00C151EB">
        <w:t>ë</w:t>
      </w:r>
      <w:r w:rsidR="00963524">
        <w:t xml:space="preserve"> P</w:t>
      </w:r>
      <w:r w:rsidR="00C151EB">
        <w:t>ë</w:t>
      </w:r>
      <w:r w:rsidR="00963524">
        <w:t>rgjithshme n</w:t>
      </w:r>
      <w:r w:rsidR="00C151EB">
        <w:t>ë</w:t>
      </w:r>
      <w:r w:rsidR="00963524">
        <w:t xml:space="preserve"> QSUT (CEB) </w:t>
      </w:r>
      <w:r w:rsidRPr="00C5541C">
        <w:t>(7 Salla operacioni  dhe 32 reparte t</w:t>
      </w:r>
      <w:r w:rsidR="00C151EB">
        <w:t>ë</w:t>
      </w:r>
      <w:r w:rsidRPr="00C5541C">
        <w:t xml:space="preserve"> kirurgjis</w:t>
      </w:r>
      <w:r w:rsidR="00C151EB">
        <w:t>ë</w:t>
      </w:r>
      <w:r w:rsidRPr="00C5541C">
        <w:t xml:space="preserve"> s</w:t>
      </w:r>
      <w:r w:rsidR="00C151EB">
        <w:t>ë</w:t>
      </w:r>
      <w:r w:rsidRPr="00C5541C">
        <w:t xml:space="preserve"> p</w:t>
      </w:r>
      <w:r w:rsidR="00C151EB">
        <w:t>ë</w:t>
      </w:r>
      <w:r w:rsidRPr="00C5541C">
        <w:t>rgjithshme me nga 30 shtret</w:t>
      </w:r>
      <w:r w:rsidR="00C151EB">
        <w:t>ë</w:t>
      </w:r>
      <w:r w:rsidRPr="00C5541C">
        <w:t>r secili, laboratori histologjik  dhe  11 shtretёr  pёr terapinё intensive.</w:t>
      </w:r>
      <w:r w:rsidR="00963524">
        <w:t xml:space="preserve"> </w:t>
      </w:r>
      <w:r w:rsidRPr="00C5541C">
        <w:t>K</w:t>
      </w:r>
      <w:r w:rsidR="00963524">
        <w:t>ë</w:t>
      </w:r>
      <w:r w:rsidRPr="00C5541C">
        <w:t>to salla do t</w:t>
      </w:r>
      <w:r w:rsidR="00963524">
        <w:t>ë</w:t>
      </w:r>
      <w:r w:rsidRPr="00C5541C">
        <w:t xml:space="preserve"> mbulojn</w:t>
      </w:r>
      <w:r w:rsidR="00C151EB">
        <w:t>ë</w:t>
      </w:r>
      <w:r w:rsidR="00963524">
        <w:t xml:space="preserve"> rreth 20,000 operacione n</w:t>
      </w:r>
      <w:r w:rsidR="00C151EB">
        <w:t>ë</w:t>
      </w:r>
      <w:r w:rsidR="00963524">
        <w:t xml:space="preserve"> vit</w:t>
      </w:r>
      <w:r w:rsidRPr="00C5541C">
        <w:t>)</w:t>
      </w:r>
      <w:r w:rsidR="00AD18D5">
        <w:t>;</w:t>
      </w:r>
      <w:r w:rsidRPr="00C5541C">
        <w:t xml:space="preserve"> </w:t>
      </w:r>
    </w:p>
    <w:p w:rsidR="00C75272" w:rsidRPr="00C5541C" w:rsidRDefault="00C75272" w:rsidP="002C5B1B">
      <w:pPr>
        <w:pStyle w:val="ListParagraph"/>
        <w:numPr>
          <w:ilvl w:val="0"/>
          <w:numId w:val="72"/>
        </w:numPr>
        <w:spacing w:after="120" w:line="276" w:lineRule="auto"/>
        <w:jc w:val="both"/>
      </w:pPr>
      <w:r w:rsidRPr="00C5541C">
        <w:t xml:space="preserve">Godina e re </w:t>
      </w:r>
      <w:r w:rsidR="00FC6327">
        <w:t xml:space="preserve">e </w:t>
      </w:r>
      <w:r w:rsidRPr="00C5541C">
        <w:t>Farmacis</w:t>
      </w:r>
      <w:r w:rsidR="00FC6327">
        <w:t>ë</w:t>
      </w:r>
      <w:r w:rsidRPr="00C5541C">
        <w:t xml:space="preserve"> n</w:t>
      </w:r>
      <w:r w:rsidR="00FC6327">
        <w:t>ë</w:t>
      </w:r>
      <w:r w:rsidRPr="00C5541C">
        <w:t xml:space="preserve"> QSUT</w:t>
      </w:r>
      <w:r w:rsidR="00AD18D5">
        <w:t>;</w:t>
      </w:r>
    </w:p>
    <w:p w:rsidR="00C75272" w:rsidRPr="00C5541C" w:rsidRDefault="00C75272" w:rsidP="002C5B1B">
      <w:pPr>
        <w:pStyle w:val="ListParagraph"/>
        <w:numPr>
          <w:ilvl w:val="0"/>
          <w:numId w:val="72"/>
        </w:numPr>
        <w:spacing w:after="120" w:line="276" w:lineRule="auto"/>
        <w:jc w:val="both"/>
      </w:pPr>
      <w:r w:rsidRPr="00C5541C">
        <w:t>Klimatizimi i godin</w:t>
      </w:r>
      <w:r w:rsidR="00FC6327">
        <w:t>ë</w:t>
      </w:r>
      <w:r w:rsidRPr="00C5541C">
        <w:t>s qendrore n</w:t>
      </w:r>
      <w:r w:rsidR="00C151EB">
        <w:t>ë</w:t>
      </w:r>
      <w:r w:rsidRPr="00C5541C">
        <w:t xml:space="preserve"> S</w:t>
      </w:r>
      <w:r w:rsidR="00C151EB">
        <w:t xml:space="preserve">pitalin Universitar </w:t>
      </w:r>
      <w:r w:rsidRPr="00C5541C">
        <w:t xml:space="preserve">“Shefqet Ndroqi” </w:t>
      </w:r>
      <w:r w:rsidR="00FC6327">
        <w:t>(</w:t>
      </w:r>
      <w:r w:rsidRPr="00C5541C">
        <w:t>rreth 7000 pacient</w:t>
      </w:r>
      <w:r w:rsidR="00C151EB">
        <w:t>ë</w:t>
      </w:r>
      <w:r w:rsidRPr="00C5541C">
        <w:t xml:space="preserve"> n</w:t>
      </w:r>
      <w:r w:rsidR="00C151EB">
        <w:t>ë</w:t>
      </w:r>
      <w:r w:rsidRPr="00C5541C">
        <w:t xml:space="preserve"> vit)</w:t>
      </w:r>
      <w:r w:rsidR="00AD18D5">
        <w:t>;</w:t>
      </w:r>
    </w:p>
    <w:p w:rsidR="00C75272" w:rsidRPr="00C5541C" w:rsidRDefault="00C75272" w:rsidP="002C5B1B">
      <w:pPr>
        <w:pStyle w:val="ListParagraph"/>
        <w:numPr>
          <w:ilvl w:val="0"/>
          <w:numId w:val="72"/>
        </w:numPr>
        <w:spacing w:after="120" w:line="276" w:lineRule="auto"/>
        <w:jc w:val="both"/>
      </w:pPr>
      <w:r w:rsidRPr="00C5541C">
        <w:t>Rikonstruksioni i Poliklinik</w:t>
      </w:r>
      <w:r w:rsidR="00C151EB">
        <w:t>ë</w:t>
      </w:r>
      <w:r w:rsidRPr="00C5541C">
        <w:t>s Dib</w:t>
      </w:r>
      <w:r w:rsidR="00C151EB">
        <w:t>ë</w:t>
      </w:r>
      <w:r w:rsidRPr="00C5541C">
        <w:t>r ( Kooperacioni Italian)</w:t>
      </w:r>
      <w:r w:rsidR="00AD18D5">
        <w:t>;</w:t>
      </w:r>
    </w:p>
    <w:p w:rsidR="00C75272" w:rsidRPr="00C5541C" w:rsidRDefault="00C75272" w:rsidP="002C5B1B">
      <w:pPr>
        <w:pStyle w:val="ListParagraph"/>
        <w:numPr>
          <w:ilvl w:val="0"/>
          <w:numId w:val="72"/>
        </w:numPr>
        <w:spacing w:after="120" w:line="276" w:lineRule="auto"/>
        <w:jc w:val="both"/>
      </w:pPr>
      <w:r w:rsidRPr="00C5541C">
        <w:t>Rikonstruksion i Godin</w:t>
      </w:r>
      <w:r w:rsidR="00C151EB">
        <w:t>ë</w:t>
      </w:r>
      <w:r w:rsidRPr="00C5541C">
        <w:t>s s</w:t>
      </w:r>
      <w:r w:rsidR="00122326">
        <w:t>ë</w:t>
      </w:r>
      <w:r w:rsidRPr="00C5541C">
        <w:t xml:space="preserve"> Qend</w:t>
      </w:r>
      <w:r w:rsidR="00FC6327">
        <w:t>r</w:t>
      </w:r>
      <w:r w:rsidR="00C151EB">
        <w:t>ës</w:t>
      </w:r>
      <w:r w:rsidR="00FC6327">
        <w:t xml:space="preserve"> Komb</w:t>
      </w:r>
      <w:r w:rsidR="00C151EB">
        <w:t>ë</w:t>
      </w:r>
      <w:r w:rsidR="00FC6327">
        <w:t xml:space="preserve">tare </w:t>
      </w:r>
      <w:r w:rsidR="00C151EB">
        <w:t>të</w:t>
      </w:r>
      <w:r w:rsidR="00FC6327">
        <w:t xml:space="preserve"> Sh</w:t>
      </w:r>
      <w:r w:rsidR="00C151EB">
        <w:t>ë</w:t>
      </w:r>
      <w:r w:rsidR="00FC6327">
        <w:t>ndetit Mendor;</w:t>
      </w:r>
    </w:p>
    <w:p w:rsidR="00C75272" w:rsidRPr="00C5541C" w:rsidRDefault="00C75272" w:rsidP="002C5B1B">
      <w:pPr>
        <w:pStyle w:val="ListParagraph"/>
        <w:numPr>
          <w:ilvl w:val="0"/>
          <w:numId w:val="72"/>
        </w:numPr>
        <w:spacing w:after="120" w:line="276" w:lineRule="auto"/>
        <w:jc w:val="both"/>
      </w:pPr>
      <w:r w:rsidRPr="00C5541C">
        <w:t>Rikonstruksion i Dispanceris</w:t>
      </w:r>
      <w:r w:rsidR="00C151EB">
        <w:t>ë</w:t>
      </w:r>
      <w:r w:rsidRPr="00C5541C">
        <w:t>. Kjo qend</w:t>
      </w:r>
      <w:r w:rsidR="00C151EB">
        <w:t>ë</w:t>
      </w:r>
      <w:r w:rsidRPr="00C5541C">
        <w:t>r e r</w:t>
      </w:r>
      <w:r w:rsidR="00C151EB">
        <w:t>ë</w:t>
      </w:r>
      <w:r w:rsidRPr="00C5541C">
        <w:t>nd</w:t>
      </w:r>
      <w:r w:rsidR="00C151EB">
        <w:t>ë</w:t>
      </w:r>
      <w:r w:rsidRPr="00C5541C">
        <w:t>sishme e kujdesit sh</w:t>
      </w:r>
      <w:r w:rsidR="00C151EB">
        <w:t>ë</w:t>
      </w:r>
      <w:r w:rsidRPr="00C5541C">
        <w:t>ndet</w:t>
      </w:r>
      <w:r w:rsidR="00C151EB">
        <w:t>ë</w:t>
      </w:r>
      <w:r w:rsidRPr="00C5541C">
        <w:t>sor n</w:t>
      </w:r>
      <w:r w:rsidR="00C151EB">
        <w:t>ë</w:t>
      </w:r>
      <w:r w:rsidRPr="00C5541C">
        <w:t xml:space="preserve"> Tiran</w:t>
      </w:r>
      <w:r w:rsidR="00C151EB">
        <w:t>ë</w:t>
      </w:r>
      <w:r w:rsidRPr="00C5541C">
        <w:t xml:space="preserve"> ofron sh</w:t>
      </w:r>
      <w:r w:rsidR="00122326">
        <w:t>ë</w:t>
      </w:r>
      <w:r w:rsidRPr="00C5541C">
        <w:t>rbime p</w:t>
      </w:r>
      <w:r w:rsidR="00C151EB">
        <w:t>ë</w:t>
      </w:r>
      <w:r w:rsidRPr="00C5541C">
        <w:t>r rreth 20,000 pacient</w:t>
      </w:r>
      <w:r w:rsidR="00122326">
        <w:t>ë</w:t>
      </w:r>
      <w:r w:rsidRPr="00C5541C">
        <w:t xml:space="preserve"> n</w:t>
      </w:r>
      <w:r w:rsidR="00122326">
        <w:t>ë</w:t>
      </w:r>
      <w:r w:rsidR="00AD18D5">
        <w:t xml:space="preserve"> vit;</w:t>
      </w:r>
    </w:p>
    <w:p w:rsidR="00C75272" w:rsidRPr="00C5541C" w:rsidRDefault="00C75272" w:rsidP="002C5B1B">
      <w:pPr>
        <w:pStyle w:val="ListParagraph"/>
        <w:numPr>
          <w:ilvl w:val="0"/>
          <w:numId w:val="72"/>
        </w:numPr>
        <w:spacing w:after="120" w:line="276" w:lineRule="auto"/>
        <w:jc w:val="both"/>
      </w:pPr>
      <w:r w:rsidRPr="00C5541C">
        <w:t>Kompletimi i Sh</w:t>
      </w:r>
      <w:r w:rsidR="00FC6327">
        <w:t>ërbimit Kombëtar të Urgjencave</w:t>
      </w:r>
      <w:r w:rsidR="00AD18D5">
        <w:t>;</w:t>
      </w:r>
    </w:p>
    <w:p w:rsidR="00C75272" w:rsidRPr="00C5541C" w:rsidRDefault="00FC6327" w:rsidP="002C5B1B">
      <w:pPr>
        <w:pStyle w:val="ListParagraph"/>
        <w:numPr>
          <w:ilvl w:val="0"/>
          <w:numId w:val="72"/>
        </w:numPr>
        <w:spacing w:after="120" w:line="276" w:lineRule="auto"/>
        <w:jc w:val="both"/>
      </w:pPr>
      <w:r>
        <w:t xml:space="preserve">Spitali Sarandë: </w:t>
      </w:r>
      <w:r w:rsidR="00C75272" w:rsidRPr="00C5541C">
        <w:t>mbyllja e punimeve t</w:t>
      </w:r>
      <w:r w:rsidR="00C151EB">
        <w:t>ë</w:t>
      </w:r>
      <w:r w:rsidR="00C75272" w:rsidRPr="00C5541C">
        <w:t xml:space="preserve"> nd</w:t>
      </w:r>
      <w:r w:rsidR="00C151EB">
        <w:t>ë</w:t>
      </w:r>
      <w:r w:rsidR="00C75272" w:rsidRPr="00C5541C">
        <w:t>rtimit p</w:t>
      </w:r>
      <w:r w:rsidR="00C151EB">
        <w:t>ë</w:t>
      </w:r>
      <w:r w:rsidR="00C75272" w:rsidRPr="00C5541C">
        <w:t>r kirurgjin</w:t>
      </w:r>
      <w:r w:rsidR="00C151EB">
        <w:t>ë</w:t>
      </w:r>
      <w:r w:rsidR="00C75272" w:rsidRPr="00C5541C">
        <w:t xml:space="preserve"> dhe maternitetin shoq</w:t>
      </w:r>
      <w:r w:rsidR="00C151EB">
        <w:t>ë</w:t>
      </w:r>
      <w:r w:rsidR="00C75272" w:rsidRPr="00C5541C">
        <w:t>ruar edhe me blerjen e pajisjeve mjek</w:t>
      </w:r>
      <w:r w:rsidR="00C151EB">
        <w:t>ë</w:t>
      </w:r>
      <w:r w:rsidR="00C75272" w:rsidRPr="00C5541C">
        <w:t>sore dhe t</w:t>
      </w:r>
      <w:r w:rsidR="00C151EB">
        <w:t>ë</w:t>
      </w:r>
      <w:r w:rsidR="00C75272" w:rsidRPr="00C5541C">
        <w:t xml:space="preserve"> hotelerise kirurgjikale</w:t>
      </w:r>
      <w:r w:rsidR="00AD18D5">
        <w:t>;</w:t>
      </w:r>
    </w:p>
    <w:p w:rsidR="00C75272" w:rsidRPr="00C5541C" w:rsidRDefault="00C75272" w:rsidP="002C5B1B">
      <w:pPr>
        <w:pStyle w:val="ListParagraph"/>
        <w:numPr>
          <w:ilvl w:val="0"/>
          <w:numId w:val="72"/>
        </w:numPr>
        <w:spacing w:after="120" w:line="276" w:lineRule="auto"/>
        <w:jc w:val="both"/>
      </w:pPr>
      <w:r w:rsidRPr="00C5541C">
        <w:t>Spitali Kor</w:t>
      </w:r>
      <w:r w:rsidR="00FC6327">
        <w:t>çë</w:t>
      </w:r>
      <w:r w:rsidRPr="00C5541C">
        <w:t xml:space="preserve">: </w:t>
      </w:r>
      <w:r w:rsidR="00FC6327">
        <w:t>pë</w:t>
      </w:r>
      <w:r w:rsidRPr="00C5541C">
        <w:t xml:space="preserve">rfundimi </w:t>
      </w:r>
      <w:r w:rsidR="00FC6327">
        <w:t>b</w:t>
      </w:r>
      <w:r w:rsidRPr="00C5541C">
        <w:t>renda vitit 2018 i rikonstruksionit dhe nj</w:t>
      </w:r>
      <w:r w:rsidR="00FC6327">
        <w:t>ë</w:t>
      </w:r>
      <w:r w:rsidRPr="00C5541C">
        <w:t xml:space="preserve"> shtes</w:t>
      </w:r>
      <w:r w:rsidR="00FC6327">
        <w:t>ë</w:t>
      </w:r>
      <w:r w:rsidRPr="00C5541C">
        <w:t xml:space="preserve"> p</w:t>
      </w:r>
      <w:r w:rsidR="00FC6327">
        <w:t>ë</w:t>
      </w:r>
      <w:r w:rsidRPr="00C5541C">
        <w:t xml:space="preserve">r </w:t>
      </w:r>
      <w:r w:rsidR="00FC6327">
        <w:t>m</w:t>
      </w:r>
      <w:r w:rsidRPr="00C5541C">
        <w:t>aternitetin shoq</w:t>
      </w:r>
      <w:r w:rsidR="009538E3">
        <w:t>ë</w:t>
      </w:r>
      <w:r w:rsidRPr="00C5541C">
        <w:t>ruar me 80 milion lek</w:t>
      </w:r>
      <w:r w:rsidR="009538E3">
        <w:t>ë</w:t>
      </w:r>
      <w:r w:rsidRPr="00C5541C">
        <w:t xml:space="preserve"> pajisje mjek</w:t>
      </w:r>
      <w:r w:rsidR="009538E3">
        <w:t>ë</w:t>
      </w:r>
      <w:r w:rsidRPr="00C5541C">
        <w:t>sore dhe hotelerie</w:t>
      </w:r>
      <w:r w:rsidR="00AD18D5">
        <w:t>;</w:t>
      </w:r>
    </w:p>
    <w:p w:rsidR="00C75272" w:rsidRPr="00C5541C" w:rsidRDefault="00C75272" w:rsidP="002C5B1B">
      <w:pPr>
        <w:pStyle w:val="ListParagraph"/>
        <w:numPr>
          <w:ilvl w:val="0"/>
          <w:numId w:val="72"/>
        </w:numPr>
        <w:spacing w:after="120" w:line="276" w:lineRule="auto"/>
        <w:jc w:val="both"/>
      </w:pPr>
      <w:r w:rsidRPr="00C5541C">
        <w:t>Rikonstruksio</w:t>
      </w:r>
      <w:r w:rsidR="00FC6327">
        <w:t>ni i Poliklinik</w:t>
      </w:r>
      <w:r w:rsidR="009538E3">
        <w:t>ë</w:t>
      </w:r>
      <w:r w:rsidR="00FC6327">
        <w:t>s Gjirokast</w:t>
      </w:r>
      <w:r w:rsidR="009538E3">
        <w:t>ë</w:t>
      </w:r>
      <w:r w:rsidR="00FC6327">
        <w:t>r (</w:t>
      </w:r>
      <w:r w:rsidRPr="00C5541C">
        <w:t>Kooperacioni Italian)</w:t>
      </w:r>
      <w:r w:rsidR="00AD18D5">
        <w:t>;</w:t>
      </w:r>
    </w:p>
    <w:p w:rsidR="00C75272" w:rsidRPr="00C5541C" w:rsidRDefault="00C75272" w:rsidP="002C5B1B">
      <w:pPr>
        <w:pStyle w:val="ListParagraph"/>
        <w:numPr>
          <w:ilvl w:val="0"/>
          <w:numId w:val="72"/>
        </w:numPr>
        <w:spacing w:after="120" w:line="276" w:lineRule="auto"/>
        <w:jc w:val="both"/>
      </w:pPr>
      <w:r w:rsidRPr="00C5541C">
        <w:lastRenderedPageBreak/>
        <w:t>Finalizimi i procedurave p</w:t>
      </w:r>
      <w:r w:rsidR="00FC6327">
        <w:t>ë</w:t>
      </w:r>
      <w:r w:rsidRPr="00C5541C">
        <w:t>r nd</w:t>
      </w:r>
      <w:r w:rsidR="00FC6327">
        <w:t xml:space="preserve">ërtimin </w:t>
      </w:r>
      <w:r w:rsidRPr="00C5541C">
        <w:t>e spitalit Rajonal Fier si nj</w:t>
      </w:r>
      <w:r w:rsidR="00FC6327">
        <w:t>ë</w:t>
      </w:r>
      <w:r w:rsidRPr="00C5541C">
        <w:t xml:space="preserve"> qend</w:t>
      </w:r>
      <w:r w:rsidR="00FC6327">
        <w:t>ë</w:t>
      </w:r>
      <w:r w:rsidRPr="00C5541C">
        <w:t>r ekselence sh</w:t>
      </w:r>
      <w:r w:rsidR="00FC6327">
        <w:t>ë</w:t>
      </w:r>
      <w:r w:rsidRPr="00C5541C">
        <w:t>rbimesh</w:t>
      </w:r>
      <w:r w:rsidR="00AD18D5">
        <w:t>;</w:t>
      </w:r>
      <w:r w:rsidRPr="00C5541C">
        <w:t xml:space="preserve"> </w:t>
      </w:r>
    </w:p>
    <w:p w:rsidR="00C75272" w:rsidRPr="00C5541C" w:rsidRDefault="00C75272" w:rsidP="002C5B1B">
      <w:pPr>
        <w:pStyle w:val="ListParagraph"/>
        <w:numPr>
          <w:ilvl w:val="0"/>
          <w:numId w:val="72"/>
        </w:numPr>
        <w:spacing w:after="120" w:line="276" w:lineRule="auto"/>
        <w:jc w:val="both"/>
      </w:pPr>
      <w:r w:rsidRPr="00C5541C">
        <w:t>Plotësimi i nevojave p</w:t>
      </w:r>
      <w:r w:rsidR="009538E3">
        <w:t>ë</w:t>
      </w:r>
      <w:r w:rsidRPr="00C5541C">
        <w:t>r mjek specialist</w:t>
      </w:r>
      <w:r w:rsidR="009538E3">
        <w:t>ë</w:t>
      </w:r>
      <w:r w:rsidRPr="00C5541C">
        <w:t xml:space="preserve"> n</w:t>
      </w:r>
      <w:r w:rsidR="009538E3">
        <w:t>ë</w:t>
      </w:r>
      <w:r w:rsidRPr="00C5541C">
        <w:t xml:space="preserve"> rrethe n</w:t>
      </w:r>
      <w:r w:rsidR="009538E3">
        <w:t>ë</w:t>
      </w:r>
      <w:r w:rsidRPr="00C5541C">
        <w:t>p</w:t>
      </w:r>
      <w:r w:rsidR="009538E3">
        <w:t>ë</w:t>
      </w:r>
      <w:r w:rsidRPr="00C5541C">
        <w:t>rmjet nj</w:t>
      </w:r>
      <w:r w:rsidR="009538E3">
        <w:t>ë</w:t>
      </w:r>
      <w:r w:rsidRPr="00C5541C">
        <w:t xml:space="preserve"> plani t</w:t>
      </w:r>
      <w:r w:rsidR="009538E3">
        <w:t>ë</w:t>
      </w:r>
      <w:r w:rsidRPr="00C5541C">
        <w:t xml:space="preserve"> strukturuar i cili do t</w:t>
      </w:r>
      <w:r w:rsidR="009538E3">
        <w:t>ë</w:t>
      </w:r>
      <w:r w:rsidRPr="00C5541C">
        <w:t xml:space="preserve"> p</w:t>
      </w:r>
      <w:r w:rsidR="009538E3">
        <w:t>ë</w:t>
      </w:r>
      <w:r w:rsidRPr="00C5541C">
        <w:t>rfshij</w:t>
      </w:r>
      <w:r w:rsidR="009538E3">
        <w:t>ë</w:t>
      </w:r>
      <w:r w:rsidRPr="00C5541C">
        <w:t xml:space="preserve"> rritjen e pages</w:t>
      </w:r>
      <w:r w:rsidR="009538E3">
        <w:t>ë</w:t>
      </w:r>
      <w:r w:rsidRPr="00C5541C">
        <w:t xml:space="preserve">s </w:t>
      </w:r>
      <w:r w:rsidR="009538E3">
        <w:t xml:space="preserve">së </w:t>
      </w:r>
      <w:r w:rsidRPr="00C5541C">
        <w:t>mjek</w:t>
      </w:r>
      <w:r w:rsidR="009538E3">
        <w:t>ë</w:t>
      </w:r>
      <w:r w:rsidRPr="00C5541C">
        <w:t>ve specialist t</w:t>
      </w:r>
      <w:r w:rsidR="009538E3">
        <w:t>ë</w:t>
      </w:r>
      <w:r w:rsidRPr="00C5541C">
        <w:t xml:space="preserve"> cil</w:t>
      </w:r>
      <w:r w:rsidR="009538E3">
        <w:t>ë</w:t>
      </w:r>
      <w:r w:rsidRPr="00C5541C">
        <w:t>t do t</w:t>
      </w:r>
      <w:r w:rsidR="009538E3">
        <w:t>ë</w:t>
      </w:r>
      <w:r w:rsidRPr="00C5541C">
        <w:t xml:space="preserve"> pranojn</w:t>
      </w:r>
      <w:r w:rsidR="009538E3">
        <w:t>ë</w:t>
      </w:r>
      <w:r w:rsidRPr="00C5541C">
        <w:t xml:space="preserve"> t</w:t>
      </w:r>
      <w:r w:rsidR="009538E3">
        <w:t>ë</w:t>
      </w:r>
      <w:r w:rsidRPr="00C5541C">
        <w:t xml:space="preserve"> punojn</w:t>
      </w:r>
      <w:r w:rsidR="009538E3">
        <w:t>ë</w:t>
      </w:r>
      <w:r w:rsidRPr="00C5541C">
        <w:t xml:space="preserve"> n</w:t>
      </w:r>
      <w:r w:rsidR="009538E3">
        <w:t>ë</w:t>
      </w:r>
      <w:r w:rsidRPr="00C5541C">
        <w:t xml:space="preserve"> rrethe</w:t>
      </w:r>
      <w:r w:rsidR="00AD18D5">
        <w:t>;</w:t>
      </w:r>
    </w:p>
    <w:p w:rsidR="00F40346" w:rsidRPr="00AD18D5" w:rsidRDefault="00C75272" w:rsidP="002C5B1B">
      <w:pPr>
        <w:pStyle w:val="ListParagraph"/>
        <w:numPr>
          <w:ilvl w:val="0"/>
          <w:numId w:val="72"/>
        </w:numPr>
        <w:spacing w:after="120" w:line="276" w:lineRule="auto"/>
        <w:jc w:val="both"/>
        <w:rPr>
          <w:lang w:val="sq-AL"/>
        </w:rPr>
      </w:pPr>
      <w:r w:rsidRPr="00C5541C">
        <w:t>P</w:t>
      </w:r>
      <w:r w:rsidR="00F40346">
        <w:t>ë</w:t>
      </w:r>
      <w:r w:rsidRPr="00C5541C">
        <w:t>rgatitja e studimit p</w:t>
      </w:r>
      <w:r w:rsidR="009538E3">
        <w:t>ë</w:t>
      </w:r>
      <w:r w:rsidRPr="00C5541C">
        <w:t>r nd</w:t>
      </w:r>
      <w:r w:rsidR="009538E3">
        <w:t>ë</w:t>
      </w:r>
      <w:r w:rsidRPr="00C5541C">
        <w:t>rtimin e 8 Qendrave t</w:t>
      </w:r>
      <w:r w:rsidR="00FC6327">
        <w:t>ë</w:t>
      </w:r>
      <w:r w:rsidRPr="00C5541C">
        <w:t xml:space="preserve"> reja sh</w:t>
      </w:r>
      <w:r w:rsidR="00FC6327">
        <w:t>ë</w:t>
      </w:r>
      <w:r w:rsidRPr="00C5541C">
        <w:t>ndetesore</w:t>
      </w:r>
      <w:r w:rsidR="00AD18D5">
        <w:t>;</w:t>
      </w:r>
    </w:p>
    <w:p w:rsidR="00F40346" w:rsidRDefault="00F40346" w:rsidP="00C75272">
      <w:pPr>
        <w:spacing w:line="276" w:lineRule="auto"/>
        <w:rPr>
          <w:b/>
          <w:lang w:val="sq-AL"/>
        </w:rPr>
      </w:pPr>
    </w:p>
    <w:p w:rsidR="00C75272" w:rsidRPr="00C5541C" w:rsidRDefault="00C75272" w:rsidP="00C75272">
      <w:pPr>
        <w:spacing w:line="276" w:lineRule="auto"/>
        <w:rPr>
          <w:b/>
          <w:lang w:val="sq-AL"/>
        </w:rPr>
      </w:pPr>
      <w:r w:rsidRPr="00C5541C">
        <w:rPr>
          <w:b/>
          <w:lang w:val="sq-AL"/>
        </w:rPr>
        <w:t>MBROJT</w:t>
      </w:r>
      <w:r w:rsidR="00F40346">
        <w:rPr>
          <w:b/>
          <w:lang w:val="sq-AL"/>
        </w:rPr>
        <w:t>J</w:t>
      </w:r>
      <w:r w:rsidRPr="00C5541C">
        <w:rPr>
          <w:b/>
          <w:lang w:val="sq-AL"/>
        </w:rPr>
        <w:t xml:space="preserve">A SOCIALE </w:t>
      </w:r>
    </w:p>
    <w:p w:rsidR="00C75272" w:rsidRDefault="00C75272" w:rsidP="00C75272">
      <w:pPr>
        <w:spacing w:line="276" w:lineRule="auto"/>
        <w:jc w:val="both"/>
        <w:rPr>
          <w:b/>
          <w:color w:val="FF0000"/>
          <w:lang w:val="sq-AL"/>
        </w:rPr>
      </w:pPr>
    </w:p>
    <w:p w:rsidR="00C75272" w:rsidRPr="00F26392" w:rsidRDefault="00F40346" w:rsidP="00C75272">
      <w:pPr>
        <w:spacing w:line="276" w:lineRule="auto"/>
        <w:jc w:val="both"/>
        <w:rPr>
          <w:b/>
          <w:lang w:val="sq-AL"/>
        </w:rPr>
      </w:pPr>
      <w:r w:rsidRPr="00F26392">
        <w:rPr>
          <w:b/>
          <w:lang w:val="sq-AL"/>
        </w:rPr>
        <w:t>Arritjet p</w:t>
      </w:r>
      <w:r w:rsidR="00122326">
        <w:rPr>
          <w:b/>
          <w:lang w:val="sq-AL"/>
        </w:rPr>
        <w:t>ë</w:t>
      </w:r>
      <w:r w:rsidRPr="00F26392">
        <w:rPr>
          <w:b/>
          <w:lang w:val="sq-AL"/>
        </w:rPr>
        <w:t>r vitin 2017</w:t>
      </w:r>
    </w:p>
    <w:p w:rsidR="00F26392" w:rsidRDefault="00F26392" w:rsidP="005930A7">
      <w:pPr>
        <w:jc w:val="both"/>
        <w:rPr>
          <w:rFonts w:eastAsiaTheme="minorHAnsi"/>
          <w:bCs/>
          <w:i/>
        </w:rPr>
      </w:pPr>
    </w:p>
    <w:p w:rsidR="005930A7" w:rsidRPr="00EA68C2" w:rsidRDefault="00F26392" w:rsidP="005930A7">
      <w:pPr>
        <w:jc w:val="both"/>
        <w:rPr>
          <w:rFonts w:eastAsiaTheme="minorHAnsi"/>
          <w:b/>
          <w:bCs/>
        </w:rPr>
      </w:pPr>
      <w:r w:rsidRPr="00EA68C2">
        <w:rPr>
          <w:rFonts w:eastAsiaTheme="minorHAnsi"/>
          <w:b/>
          <w:bCs/>
        </w:rPr>
        <w:t>Ndihma Ekonomike</w:t>
      </w:r>
    </w:p>
    <w:p w:rsidR="005930A7" w:rsidRPr="005930A7" w:rsidRDefault="005930A7" w:rsidP="002C5B1B">
      <w:pPr>
        <w:numPr>
          <w:ilvl w:val="0"/>
          <w:numId w:val="69"/>
        </w:numPr>
        <w:tabs>
          <w:tab w:val="center" w:pos="0"/>
          <w:tab w:val="left" w:pos="450"/>
          <w:tab w:val="right" w:pos="9360"/>
        </w:tabs>
        <w:spacing w:after="120" w:line="276" w:lineRule="auto"/>
        <w:jc w:val="both"/>
        <w:rPr>
          <w:rFonts w:eastAsiaTheme="minorHAnsi"/>
        </w:rPr>
      </w:pPr>
      <w:r w:rsidRPr="005930A7">
        <w:rPr>
          <w:rFonts w:eastAsiaTheme="minorHAnsi"/>
        </w:rPr>
        <w:t xml:space="preserve">Ndihmë ekonomike të plotë dhe </w:t>
      </w:r>
      <w:proofErr w:type="gramStart"/>
      <w:r w:rsidRPr="005930A7">
        <w:rPr>
          <w:rFonts w:eastAsiaTheme="minorHAnsi"/>
        </w:rPr>
        <w:t>jo</w:t>
      </w:r>
      <w:proofErr w:type="gramEnd"/>
      <w:r w:rsidRPr="005930A7">
        <w:rPr>
          <w:rFonts w:eastAsiaTheme="minorHAnsi"/>
        </w:rPr>
        <w:t xml:space="preserve"> të pjesshme, sipas numrit të individëve të çdo familje. 32.441</w:t>
      </w:r>
      <w:r w:rsidR="009538E3">
        <w:rPr>
          <w:rFonts w:eastAsiaTheme="minorHAnsi"/>
        </w:rPr>
        <w:t xml:space="preserve"> familje do të paguhen dyfish/</w:t>
      </w:r>
      <w:r w:rsidRPr="005930A7">
        <w:rPr>
          <w:rFonts w:eastAsiaTheme="minorHAnsi"/>
        </w:rPr>
        <w:t xml:space="preserve">trefish më shumë se aktualisht.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rPr>
        <w:t>Rritje e fondit nga 3% në 6% për pushtetin vendor për të trajtuar rastet që nuk mund të përfitojnë nga sistemi elektronik;</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rPr>
        <w:t xml:space="preserve">Dy dhe trefishim i masës së ndihmës ekonomike që përfitojnë familjet në nevojë, krahasuar me 2013;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rPr>
        <w:t>Pagesë shtesë për fëmijët</w:t>
      </w:r>
      <w:r w:rsidR="00F26392" w:rsidRPr="00F26392">
        <w:rPr>
          <w:rFonts w:eastAsiaTheme="minorHAnsi"/>
        </w:rPr>
        <w:t xml:space="preserve"> që ndjekin shkollën dhe vaksi</w:t>
      </w:r>
      <w:r w:rsidR="00F26392">
        <w:rPr>
          <w:rFonts w:eastAsiaTheme="minorHAnsi"/>
        </w:rPr>
        <w:t>nohen;</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rPr>
        <w:t>Shpërblime për 80 mijë familje në nevojë pë</w:t>
      </w:r>
      <w:r w:rsidR="00F26392">
        <w:rPr>
          <w:rFonts w:eastAsiaTheme="minorHAnsi"/>
        </w:rPr>
        <w:t>r festat e fundvitit;</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rPr>
        <w:t>Program ri</w:t>
      </w:r>
      <w:r w:rsidR="009538E3">
        <w:rPr>
          <w:rFonts w:eastAsiaTheme="minorHAnsi"/>
        </w:rPr>
        <w:t>-</w:t>
      </w:r>
      <w:r w:rsidRPr="005930A7">
        <w:rPr>
          <w:rFonts w:eastAsiaTheme="minorHAnsi"/>
        </w:rPr>
        <w:t xml:space="preserve">integrimi social që lidh </w:t>
      </w:r>
      <w:r w:rsidRPr="005930A7">
        <w:rPr>
          <w:lang w:val="it-IT" w:eastAsia="zh-CN"/>
        </w:rPr>
        <w:t>skemë</w:t>
      </w:r>
      <w:r w:rsidR="009538E3">
        <w:rPr>
          <w:lang w:val="it-IT" w:eastAsia="zh-CN"/>
        </w:rPr>
        <w:t>n</w:t>
      </w:r>
      <w:r w:rsidRPr="005930A7">
        <w:rPr>
          <w:lang w:val="it-IT" w:eastAsia="zh-CN"/>
        </w:rPr>
        <w:t xml:space="preserve"> </w:t>
      </w:r>
      <w:r w:rsidR="009538E3">
        <w:rPr>
          <w:lang w:val="it-IT" w:eastAsia="zh-CN"/>
        </w:rPr>
        <w:t>e</w:t>
      </w:r>
      <w:r w:rsidRPr="005930A7">
        <w:rPr>
          <w:lang w:val="it-IT" w:eastAsia="zh-CN"/>
        </w:rPr>
        <w:t xml:space="preserve"> Nd</w:t>
      </w:r>
      <w:r w:rsidR="009538E3">
        <w:rPr>
          <w:lang w:val="it-IT" w:eastAsia="zh-CN"/>
        </w:rPr>
        <w:t>i</w:t>
      </w:r>
      <w:r w:rsidRPr="005930A7">
        <w:rPr>
          <w:lang w:val="it-IT" w:eastAsia="zh-CN"/>
        </w:rPr>
        <w:t xml:space="preserve">hmës Ekonomike me skemat aktive të Punësimit/Riintegrimit Social.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bCs/>
        </w:rPr>
        <w:t>Regjistër Elektronik Kombëtar me infrastrukturë elektronike të zhvilluar në të gjithë vendin</w:t>
      </w:r>
      <w:r w:rsidRPr="005930A7">
        <w:rPr>
          <w:rFonts w:eastAsiaTheme="minorHAnsi"/>
        </w:rPr>
        <w:t xml:space="preserve"> që </w:t>
      </w:r>
      <w:r w:rsidRPr="005930A7">
        <w:rPr>
          <w:rFonts w:eastAsiaTheme="minorHAnsi"/>
          <w:bCs/>
        </w:rPr>
        <w:t xml:space="preserve">siguron menaxhim dhe kontroll më të mirë mbi përdorimin e fondeve të ndihmës ekonomike dhe shmang abuzivitetin.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rPr>
        <w:t xml:space="preserve">Shmangia e abuzivitetit në skemën e ndihmës ekonomike në masën 23% të skemës krahasuar me 2013; </w:t>
      </w:r>
    </w:p>
    <w:p w:rsidR="005930A7" w:rsidRPr="005930A7" w:rsidRDefault="005930A7" w:rsidP="005930A7">
      <w:pPr>
        <w:jc w:val="both"/>
        <w:rPr>
          <w:rFonts w:eastAsiaTheme="minorHAnsi"/>
        </w:rPr>
      </w:pPr>
    </w:p>
    <w:p w:rsidR="005930A7" w:rsidRPr="00EA68C2" w:rsidRDefault="00F26392" w:rsidP="005930A7">
      <w:pPr>
        <w:jc w:val="both"/>
        <w:rPr>
          <w:rFonts w:eastAsiaTheme="minorHAnsi"/>
          <w:b/>
        </w:rPr>
      </w:pPr>
      <w:r w:rsidRPr="00EA68C2">
        <w:rPr>
          <w:rFonts w:eastAsiaTheme="minorHAnsi"/>
          <w:b/>
        </w:rPr>
        <w:t>Aft</w:t>
      </w:r>
      <w:r w:rsidR="00122326" w:rsidRPr="00EA68C2">
        <w:rPr>
          <w:rFonts w:eastAsiaTheme="minorHAnsi"/>
          <w:b/>
        </w:rPr>
        <w:t>ë</w:t>
      </w:r>
      <w:r w:rsidRPr="00EA68C2">
        <w:rPr>
          <w:rFonts w:eastAsiaTheme="minorHAnsi"/>
          <w:b/>
        </w:rPr>
        <w:t>sia e Kufizuar</w:t>
      </w:r>
    </w:p>
    <w:p w:rsidR="005930A7" w:rsidRPr="005930A7" w:rsidRDefault="005930A7" w:rsidP="002C5B1B">
      <w:pPr>
        <w:numPr>
          <w:ilvl w:val="0"/>
          <w:numId w:val="69"/>
        </w:numPr>
        <w:spacing w:after="120" w:line="276" w:lineRule="auto"/>
        <w:rPr>
          <w:rFonts w:eastAsiaTheme="minorHAnsi"/>
        </w:rPr>
      </w:pPr>
      <w:r w:rsidRPr="005930A7">
        <w:rPr>
          <w:rFonts w:eastAsiaTheme="minorHAnsi"/>
        </w:rPr>
        <w:t xml:space="preserve">Indeksimi i përfitimeve me nivelin e inflacionit;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bCs/>
        </w:rPr>
        <w:t xml:space="preserve">Skemë e re vlerësimi për aftësinë e kufizuar bazuar në modelin bio-psiko-social  sipas standardeve ndërkombëtare të OBSH-së;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bCs/>
        </w:rPr>
        <w:t>Përgatit</w:t>
      </w:r>
      <w:r w:rsidR="009538E3">
        <w:rPr>
          <w:rFonts w:eastAsiaTheme="minorHAnsi"/>
          <w:bCs/>
        </w:rPr>
        <w:t>ja e</w:t>
      </w:r>
      <w:r w:rsidRPr="005930A7">
        <w:rPr>
          <w:rFonts w:eastAsiaTheme="minorHAnsi"/>
          <w:bCs/>
        </w:rPr>
        <w:t xml:space="preserve"> kritere</w:t>
      </w:r>
      <w:r w:rsidR="009538E3">
        <w:rPr>
          <w:rFonts w:eastAsiaTheme="minorHAnsi"/>
          <w:bCs/>
        </w:rPr>
        <w:t>ve</w:t>
      </w:r>
      <w:r w:rsidRPr="005930A7">
        <w:rPr>
          <w:rFonts w:eastAsiaTheme="minorHAnsi"/>
          <w:bCs/>
        </w:rPr>
        <w:t xml:space="preserve"> të reja të vlerësimi të aftësisë së kufizuar që i përgjigjet më mirë nevojave të individëve; </w:t>
      </w:r>
    </w:p>
    <w:p w:rsidR="005930A7" w:rsidRPr="00F26392" w:rsidRDefault="005930A7" w:rsidP="002C5B1B">
      <w:pPr>
        <w:numPr>
          <w:ilvl w:val="0"/>
          <w:numId w:val="69"/>
        </w:numPr>
        <w:spacing w:after="120" w:line="276" w:lineRule="auto"/>
        <w:jc w:val="both"/>
        <w:rPr>
          <w:rFonts w:eastAsiaTheme="minorHAnsi"/>
          <w:bCs/>
        </w:rPr>
      </w:pPr>
      <w:r w:rsidRPr="005930A7">
        <w:rPr>
          <w:rFonts w:eastAsiaTheme="minorHAnsi"/>
          <w:bCs/>
        </w:rPr>
        <w:t xml:space="preserve">Regjistër Elektronik  Kombëtar dhe Arkivë Elektronike </w:t>
      </w:r>
      <w:r w:rsidR="009538E3">
        <w:rPr>
          <w:rFonts w:eastAsiaTheme="minorHAnsi"/>
          <w:bCs/>
        </w:rPr>
        <w:t>e</w:t>
      </w:r>
      <w:r w:rsidRPr="005930A7">
        <w:rPr>
          <w:rFonts w:eastAsiaTheme="minorHAnsi"/>
          <w:bCs/>
        </w:rPr>
        <w:t xml:space="preserve"> ngritur për të </w:t>
      </w:r>
      <w:r w:rsidRPr="00F26392">
        <w:rPr>
          <w:rFonts w:eastAsiaTheme="minorHAnsi"/>
        </w:rPr>
        <w:t xml:space="preserve">shmangur </w:t>
      </w:r>
      <w:r w:rsidR="009538E3">
        <w:rPr>
          <w:rFonts w:eastAsiaTheme="minorHAnsi"/>
        </w:rPr>
        <w:t>vonesat e shkaktuara proceduariale të</w:t>
      </w:r>
      <w:r w:rsidRPr="00F26392">
        <w:rPr>
          <w:rFonts w:eastAsiaTheme="minorHAnsi"/>
        </w:rPr>
        <w:t xml:space="preserve"> individëve përgjatë procedurës së komisionimit; </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rPr>
        <w:t>Përfituan pagesa të plota dhe në kohë 66.557 pe</w:t>
      </w:r>
      <w:r w:rsidR="009538E3">
        <w:rPr>
          <w:rFonts w:eastAsiaTheme="minorHAnsi"/>
        </w:rPr>
        <w:t>rsona me aftësi të kufizuar, 18.311 kujdestarë të tyre</w:t>
      </w:r>
      <w:r w:rsidRPr="005930A7">
        <w:rPr>
          <w:rFonts w:eastAsiaTheme="minorHAnsi"/>
        </w:rPr>
        <w:t xml:space="preserve"> si dhe</w:t>
      </w:r>
      <w:r w:rsidR="009538E3">
        <w:rPr>
          <w:rFonts w:eastAsiaTheme="minorHAnsi"/>
        </w:rPr>
        <w:t xml:space="preserve">, </w:t>
      </w:r>
      <w:r w:rsidRPr="005930A7">
        <w:rPr>
          <w:rFonts w:eastAsiaTheme="minorHAnsi"/>
        </w:rPr>
        <w:t xml:space="preserve">71.528 invalid pune, ndryshe nga praktika e qeverisjes së kaluar. </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rPr>
        <w:t xml:space="preserve">Praktikë e re në katër vite qeverisje, personat me aftësi të kufizuara kanë përfituar edhe pagesë shtesë në fund të çdo viti. </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rPr>
        <w:lastRenderedPageBreak/>
        <w:t>Për herë të parë që nga viti 2014</w:t>
      </w:r>
      <w:r w:rsidR="009538E3">
        <w:rPr>
          <w:rFonts w:eastAsiaTheme="minorHAnsi"/>
        </w:rPr>
        <w:t>,</w:t>
      </w:r>
      <w:r w:rsidRPr="005930A7">
        <w:rPr>
          <w:rFonts w:eastAsiaTheme="minorHAnsi"/>
        </w:rPr>
        <w:t xml:space="preserve"> skema e aftësisë së kufizuar tërësisht e audituar dhe </w:t>
      </w:r>
      <w:r w:rsidRPr="005930A7">
        <w:rPr>
          <w:rFonts w:eastAsia="Times New Roman"/>
        </w:rPr>
        <w:t>ulur abuzivizmi me 8</w:t>
      </w:r>
      <w:proofErr w:type="gramStart"/>
      <w:r w:rsidRPr="005930A7">
        <w:rPr>
          <w:rFonts w:eastAsia="Times New Roman"/>
        </w:rPr>
        <w:t>,7</w:t>
      </w:r>
      <w:proofErr w:type="gramEnd"/>
      <w:r w:rsidRPr="005930A7">
        <w:rPr>
          <w:rFonts w:eastAsia="Times New Roman"/>
        </w:rPr>
        <w:t xml:space="preserve">% (8,079 PAK). </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rPr>
        <w:t>Që prej vitit 2014 personi me aftësi të kufizuara punësohet dhe pagesa e aftësisë së kufizuar nuk i ndërpritet për shkak të punësimit (për 4 vite);</w:t>
      </w:r>
    </w:p>
    <w:p w:rsidR="005930A7" w:rsidRPr="00EA68C2" w:rsidRDefault="005930A7" w:rsidP="00AD18D5">
      <w:pPr>
        <w:numPr>
          <w:ilvl w:val="0"/>
          <w:numId w:val="69"/>
        </w:numPr>
        <w:spacing w:after="120" w:line="276" w:lineRule="auto"/>
        <w:jc w:val="both"/>
        <w:rPr>
          <w:rFonts w:eastAsiaTheme="minorHAnsi"/>
        </w:rPr>
      </w:pPr>
      <w:r w:rsidRPr="005930A7">
        <w:rPr>
          <w:rFonts w:eastAsiaTheme="minorHAnsi"/>
        </w:rPr>
        <w:t xml:space="preserve">900 paraplegjikë dhe tetraplegjikë kanë përfituar pajisje asistive falas në sajë të partneritetit me shoqërinë civile. </w:t>
      </w:r>
    </w:p>
    <w:p w:rsidR="005930A7" w:rsidRPr="00EA68C2" w:rsidRDefault="005930A7" w:rsidP="00F26392">
      <w:pPr>
        <w:spacing w:after="200" w:line="276" w:lineRule="auto"/>
        <w:contextualSpacing/>
        <w:jc w:val="both"/>
        <w:rPr>
          <w:rFonts w:eastAsiaTheme="minorHAnsi"/>
          <w:b/>
        </w:rPr>
      </w:pPr>
      <w:r w:rsidRPr="00EA68C2">
        <w:rPr>
          <w:rFonts w:eastAsiaTheme="minorHAnsi"/>
          <w:b/>
        </w:rPr>
        <w:t>S</w:t>
      </w:r>
      <w:r w:rsidR="00F26392" w:rsidRPr="00EA68C2">
        <w:rPr>
          <w:rFonts w:eastAsiaTheme="minorHAnsi"/>
          <w:b/>
        </w:rPr>
        <w:t>h</w:t>
      </w:r>
      <w:r w:rsidR="00122326" w:rsidRPr="00EA68C2">
        <w:rPr>
          <w:rFonts w:eastAsiaTheme="minorHAnsi"/>
          <w:b/>
        </w:rPr>
        <w:t>ë</w:t>
      </w:r>
      <w:r w:rsidR="00F26392" w:rsidRPr="00EA68C2">
        <w:rPr>
          <w:rFonts w:eastAsiaTheme="minorHAnsi"/>
          <w:b/>
        </w:rPr>
        <w:t>rbimet Sociale</w:t>
      </w:r>
    </w:p>
    <w:p w:rsidR="005930A7" w:rsidRPr="00FC6327" w:rsidRDefault="005930A7" w:rsidP="00FC6327">
      <w:pPr>
        <w:numPr>
          <w:ilvl w:val="0"/>
          <w:numId w:val="69"/>
        </w:numPr>
        <w:spacing w:after="120" w:line="276" w:lineRule="auto"/>
        <w:jc w:val="both"/>
        <w:rPr>
          <w:rFonts w:eastAsiaTheme="minorHAnsi"/>
        </w:rPr>
      </w:pPr>
      <w:r w:rsidRPr="005930A7">
        <w:rPr>
          <w:rFonts w:eastAsiaTheme="minorHAnsi"/>
          <w:bCs/>
        </w:rPr>
        <w:t xml:space="preserve">Paketë ligjore e plotë për Shërbimet e kujdesit Shoqëror, </w:t>
      </w:r>
      <w:r w:rsidRPr="005930A7">
        <w:rPr>
          <w:rFonts w:eastAsiaTheme="minorHAnsi"/>
        </w:rPr>
        <w:t>hap konkret drejt decentralizimit të shërbimeve shoqërore, krijimit të fondit social dhe zgjerimit të hartës së shërbimeve;</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bCs/>
        </w:rPr>
        <w:t xml:space="preserve">Ligj “Për ndërmarrjet Sociale në RSH” me qëllim </w:t>
      </w:r>
      <w:r w:rsidRPr="005930A7">
        <w:rPr>
          <w:rFonts w:eastAsiaTheme="minorHAnsi"/>
        </w:rPr>
        <w:t xml:space="preserve">integrim dhe riintegrim i personave të përjashtuar nga tregu i punës; </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bCs/>
        </w:rPr>
        <w:t xml:space="preserve">Ofrim i shërbimeve sociale nga figura profesionale, përmes rregullimit të profesioneve të psikologut dhe punonjësit social; </w:t>
      </w:r>
    </w:p>
    <w:p w:rsidR="005930A7" w:rsidRPr="005930A7" w:rsidRDefault="005930A7" w:rsidP="002C5B1B">
      <w:pPr>
        <w:numPr>
          <w:ilvl w:val="0"/>
          <w:numId w:val="69"/>
        </w:numPr>
        <w:spacing w:after="120" w:line="276" w:lineRule="auto"/>
        <w:jc w:val="both"/>
        <w:rPr>
          <w:rFonts w:eastAsiaTheme="minorHAnsi"/>
        </w:rPr>
      </w:pPr>
      <w:r w:rsidRPr="005930A7">
        <w:rPr>
          <w:rFonts w:eastAsiaTheme="minorHAnsi"/>
        </w:rPr>
        <w:t>Ngritur përgjatë tre viteve 15 shërbime të reja të përkujdesit social;</w:t>
      </w:r>
    </w:p>
    <w:p w:rsidR="005930A7" w:rsidRPr="005930A7" w:rsidRDefault="005930A7" w:rsidP="002C5B1B">
      <w:pPr>
        <w:numPr>
          <w:ilvl w:val="0"/>
          <w:numId w:val="69"/>
        </w:numPr>
        <w:spacing w:after="120" w:line="276" w:lineRule="auto"/>
        <w:jc w:val="both"/>
        <w:rPr>
          <w:rFonts w:eastAsiaTheme="minorHAnsi"/>
          <w:b/>
          <w:bCs/>
        </w:rPr>
      </w:pPr>
      <w:r w:rsidRPr="005930A7">
        <w:rPr>
          <w:rFonts w:eastAsiaTheme="minorHAnsi"/>
        </w:rPr>
        <w:t xml:space="preserve">Ngritur </w:t>
      </w:r>
      <w:r w:rsidRPr="005930A7">
        <w:rPr>
          <w:rFonts w:eastAsiaTheme="minorHAnsi"/>
          <w:bCs/>
        </w:rPr>
        <w:t>Regjistër  Elektronik  Kombëtar për Shërbimet Sociale i Integruar për të menaxhuar</w:t>
      </w:r>
      <w:r w:rsidRPr="005930A7">
        <w:rPr>
          <w:rFonts w:eastAsiaTheme="minorHAnsi"/>
          <w:b/>
          <w:bCs/>
        </w:rPr>
        <w:t xml:space="preserve"> </w:t>
      </w:r>
      <w:r w:rsidRPr="005930A7">
        <w:rPr>
          <w:rFonts w:eastAsiaTheme="minorHAnsi"/>
          <w:bCs/>
        </w:rPr>
        <w:t xml:space="preserve">në kohë reale dhe efektive rastet e individëve në nevojë; </w:t>
      </w:r>
    </w:p>
    <w:p w:rsidR="005930A7" w:rsidRPr="005930A7" w:rsidRDefault="005930A7" w:rsidP="002C5B1B">
      <w:pPr>
        <w:numPr>
          <w:ilvl w:val="0"/>
          <w:numId w:val="69"/>
        </w:numPr>
        <w:spacing w:after="120" w:line="276" w:lineRule="auto"/>
        <w:jc w:val="both"/>
        <w:rPr>
          <w:rFonts w:eastAsiaTheme="minorHAnsi"/>
          <w:bCs/>
        </w:rPr>
      </w:pPr>
      <w:r w:rsidRPr="005930A7">
        <w:rPr>
          <w:rFonts w:eastAsiaTheme="minorHAnsi"/>
          <w:bCs/>
        </w:rPr>
        <w:t xml:space="preserve">61 Pakte Sociale me 61 Bashki të vendit - </w:t>
      </w:r>
      <w:r w:rsidRPr="005930A7">
        <w:rPr>
          <w:rFonts w:eastAsiaTheme="minorHAnsi"/>
        </w:rPr>
        <w:t xml:space="preserve">angazhim konkret për të zgjeruar hartën e shërbimeve me 70  shërbimeve të domosdoshme në territorin e tyre; </w:t>
      </w:r>
    </w:p>
    <w:p w:rsidR="005930A7" w:rsidRPr="005930A7" w:rsidRDefault="005930A7" w:rsidP="002C5B1B">
      <w:pPr>
        <w:numPr>
          <w:ilvl w:val="0"/>
          <w:numId w:val="69"/>
        </w:numPr>
        <w:spacing w:after="120" w:line="276" w:lineRule="auto"/>
        <w:jc w:val="both"/>
        <w:rPr>
          <w:rFonts w:eastAsiaTheme="minorHAnsi"/>
          <w:bCs/>
          <w:iCs/>
          <w:color w:val="000000"/>
          <w:lang w:val="sq-AL"/>
        </w:rPr>
      </w:pPr>
      <w:r w:rsidRPr="005930A7">
        <w:rPr>
          <w:rFonts w:eastAsiaTheme="minorHAnsi"/>
          <w:bCs/>
          <w:iCs/>
          <w:color w:val="000000"/>
          <w:lang w:val="sq-AL"/>
        </w:rPr>
        <w:t xml:space="preserve">Rritur me 40% kthimi i fëmijëve nga institucionet e përkujdesit social rezidencial publik në familje në krahasim me vitin 2013. </w:t>
      </w:r>
    </w:p>
    <w:p w:rsidR="005930A7" w:rsidRPr="005930A7" w:rsidRDefault="005930A7" w:rsidP="002C5B1B">
      <w:pPr>
        <w:numPr>
          <w:ilvl w:val="0"/>
          <w:numId w:val="69"/>
        </w:numPr>
        <w:spacing w:after="120" w:line="276" w:lineRule="auto"/>
        <w:jc w:val="both"/>
        <w:rPr>
          <w:rFonts w:eastAsiaTheme="minorHAnsi"/>
          <w:bCs/>
          <w:iCs/>
          <w:color w:val="000000"/>
          <w:lang w:val="sq-AL"/>
        </w:rPr>
      </w:pPr>
      <w:r w:rsidRPr="005930A7">
        <w:rPr>
          <w:rFonts w:eastAsiaTheme="minorHAnsi"/>
          <w:bCs/>
          <w:iCs/>
          <w:color w:val="000000"/>
          <w:lang w:val="sq-AL"/>
        </w:rPr>
        <w:t xml:space="preserve">Rritur me 300% numri i fëmijëve në familje kujdestare duke garantuar rritjen e fëmijeve në familje në vend të institucioneve. </w:t>
      </w:r>
    </w:p>
    <w:p w:rsidR="00C75272" w:rsidRDefault="00C75272" w:rsidP="00C75272">
      <w:pPr>
        <w:spacing w:line="276" w:lineRule="auto"/>
        <w:jc w:val="both"/>
        <w:rPr>
          <w:b/>
          <w:lang w:val="sq-AL"/>
        </w:rPr>
      </w:pPr>
    </w:p>
    <w:p w:rsidR="00C75272" w:rsidRPr="001C2564" w:rsidRDefault="00C75272" w:rsidP="00C75272">
      <w:pPr>
        <w:spacing w:line="276" w:lineRule="auto"/>
        <w:jc w:val="both"/>
        <w:rPr>
          <w:b/>
          <w:lang w:val="sq-AL"/>
        </w:rPr>
      </w:pPr>
      <w:r w:rsidRPr="00C5541C">
        <w:rPr>
          <w:b/>
          <w:lang w:val="sq-AL"/>
        </w:rPr>
        <w:t>Prioritetet për vitin 2018</w:t>
      </w:r>
    </w:p>
    <w:p w:rsidR="00C75272" w:rsidRPr="00C5541C" w:rsidRDefault="00C75272" w:rsidP="00C75272">
      <w:pPr>
        <w:pStyle w:val="ListParagraph"/>
        <w:spacing w:line="276" w:lineRule="auto"/>
        <w:jc w:val="both"/>
        <w:rPr>
          <w:color w:val="FF0000"/>
          <w:lang w:val="sq-AL"/>
        </w:rPr>
      </w:pPr>
    </w:p>
    <w:p w:rsidR="00C75272" w:rsidRPr="00C5541C" w:rsidRDefault="00C75272" w:rsidP="002C5B1B">
      <w:pPr>
        <w:pStyle w:val="ListParagraph"/>
        <w:numPr>
          <w:ilvl w:val="0"/>
          <w:numId w:val="65"/>
        </w:numPr>
        <w:spacing w:after="120" w:line="276" w:lineRule="auto"/>
        <w:jc w:val="both"/>
      </w:pPr>
      <w:r w:rsidRPr="00C5541C">
        <w:t>Rritja e efikasitetit dhe transparencës së skemës të Ndihmës Ekonomike nëpërmjet administrimit të regjistrit elektronik kombëtar dhe përdorimit të sistemit të pikëzimit. Qëllimi është rritja e shenjëstrimit dhe mbulimit të familjeve të varfra, krijimi i një sistemi të paanshëm dhe transparent, duke ulur subjektivitetin në vendim-marrje, si dhe rritja e efiçencës në administrimin e skemës. Targetimi i më të varfërve do të bëjë të mundur “pastrimin” e skemës nga abuzuesit dhe futjen në skemë të familjeve më në nevojë. Brenda vitit 2018</w:t>
      </w:r>
      <w:r w:rsidR="00590DF9">
        <w:t>,</w:t>
      </w:r>
      <w:r w:rsidRPr="00C5541C">
        <w:t xml:space="preserve"> do të shtrihet skema në nivel kombëtar duke përdorur kritere të reja gjithëpërfshirëse. </w:t>
      </w:r>
    </w:p>
    <w:p w:rsidR="00C75272" w:rsidRPr="00C5541C" w:rsidRDefault="00C75272" w:rsidP="002C5B1B">
      <w:pPr>
        <w:pStyle w:val="ListParagraph"/>
        <w:numPr>
          <w:ilvl w:val="0"/>
          <w:numId w:val="65"/>
        </w:numPr>
        <w:spacing w:after="120" w:line="276" w:lineRule="auto"/>
        <w:jc w:val="both"/>
      </w:pPr>
      <w:r w:rsidRPr="00C5541C">
        <w:t>Rritja e kapaciteteve të strukturave qendrore, rajonale dhe vendore, në fusha që përfshijnë administrimin, monitorimin dhe vlerësimin e skemës së Ndihmës Ekonomike dhe përmirësimi i shërbimeve të kontrollit/auditit për të reduktuar numrin e abuzimeve.</w:t>
      </w:r>
    </w:p>
    <w:p w:rsidR="00C75272" w:rsidRPr="00C5541C" w:rsidRDefault="00C75272" w:rsidP="002C5B1B">
      <w:pPr>
        <w:pStyle w:val="ListParagraph"/>
        <w:numPr>
          <w:ilvl w:val="0"/>
          <w:numId w:val="65"/>
        </w:numPr>
        <w:spacing w:after="120" w:line="276" w:lineRule="auto"/>
        <w:jc w:val="both"/>
      </w:pPr>
      <w:r w:rsidRPr="00C5541C">
        <w:t>Transformimi i programit të Ndihmës Ekonomike në skemë aktive riintegrimi nëpërmjet krijimit të paketës për krijimin e mundësive për punësim, duke rritur përfshirjen në politikat aktive të tregut të punës në 5% të përfituesve të Ndihmës Ekonomike.</w:t>
      </w:r>
    </w:p>
    <w:p w:rsidR="00C75272" w:rsidRPr="00C5541C" w:rsidRDefault="00C75272" w:rsidP="002C5B1B">
      <w:pPr>
        <w:pStyle w:val="ListParagraph"/>
        <w:numPr>
          <w:ilvl w:val="0"/>
          <w:numId w:val="65"/>
        </w:numPr>
        <w:spacing w:after="120" w:line="276" w:lineRule="auto"/>
        <w:jc w:val="both"/>
      </w:pPr>
      <w:r w:rsidRPr="00C5541C">
        <w:rPr>
          <w:lang w:val="sq-AL"/>
        </w:rPr>
        <w:t xml:space="preserve">Për vitin 2018 janë parashikuar të përfitojnë nga skema e ndihmës ekonomike 79,891 familje. Synojmë targetimin më të mirë të familjeve në nevojë. Me skemën e re janë rishikuar masat e </w:t>
      </w:r>
      <w:r w:rsidRPr="00C5541C">
        <w:rPr>
          <w:lang w:val="sq-AL"/>
        </w:rPr>
        <w:lastRenderedPageBreak/>
        <w:t>pagesës mujore, është hequr n</w:t>
      </w:r>
      <w:r w:rsidR="00590DF9">
        <w:rPr>
          <w:lang w:val="sq-AL"/>
        </w:rPr>
        <w:t xml:space="preserve">dihma ekonomike e pjesshme dhe </w:t>
      </w:r>
      <w:r w:rsidRPr="00C5541C">
        <w:rPr>
          <w:lang w:val="sq-AL"/>
        </w:rPr>
        <w:t>është rritur masa mesatare mujore në 5,600 lekë në muaj.</w:t>
      </w:r>
    </w:p>
    <w:p w:rsidR="00C75272" w:rsidRPr="00C5541C" w:rsidRDefault="00C75272" w:rsidP="002C5B1B">
      <w:pPr>
        <w:pStyle w:val="ListParagraph"/>
        <w:numPr>
          <w:ilvl w:val="0"/>
          <w:numId w:val="65"/>
        </w:numPr>
        <w:spacing w:after="120" w:line="276" w:lineRule="auto"/>
        <w:jc w:val="both"/>
        <w:rPr>
          <w:lang w:val="sq-AL"/>
        </w:rPr>
      </w:pPr>
      <w:r w:rsidRPr="00C5541C">
        <w:rPr>
          <w:lang w:val="sq-AL"/>
        </w:rPr>
        <w:t xml:space="preserve">Vënia në zbatim </w:t>
      </w:r>
      <w:r w:rsidR="00590DF9">
        <w:rPr>
          <w:lang w:val="sq-AL"/>
        </w:rPr>
        <w:t>e</w:t>
      </w:r>
      <w:r w:rsidRPr="00C5541C">
        <w:rPr>
          <w:lang w:val="sq-AL"/>
        </w:rPr>
        <w:t xml:space="preserve"> sistemit të ri të vlerësimit sipas modelit bio-psiko-social duke rritur me 4.5% numrin e përfituesve që realisht u takon dhe duke ulur me 10% rastet abuzive. Objektivi lidhet me krijimin e një sistemi vlerësimi që ofron monitorim, nxit përgjegjshmërinë, nxit rritjen e kapaciteteve profesionale dhe realizon marrëdhëniet ndër-institucionale, duke krijuar një sistem koherent të vlerësimit të aftësisë së kufizuar; dhe një sistem integral të sigurimit të cilësisë dhe inspektimit, me qëllim parandalimin e abuzimeve.</w:t>
      </w:r>
    </w:p>
    <w:p w:rsidR="00C75272" w:rsidRPr="00C5541C" w:rsidRDefault="00C75272" w:rsidP="002C5B1B">
      <w:pPr>
        <w:pStyle w:val="ListParagraph"/>
        <w:numPr>
          <w:ilvl w:val="0"/>
          <w:numId w:val="65"/>
        </w:numPr>
        <w:spacing w:after="120" w:line="276" w:lineRule="auto"/>
        <w:jc w:val="both"/>
      </w:pPr>
      <w:r w:rsidRPr="00C5541C">
        <w:rPr>
          <w:lang w:val="sq-AL"/>
        </w:rPr>
        <w:t>Rritja e transparencës së skemës së aftësisë së kufizuar nëpërmjet ngritjes dhe vënies në funksionim të Sistemit të Menaxhimit të Informacionit të integruar për skemën e pagesave të aftësisë së kufizuar duke përfshirë edhe një arkivë elektronike.</w:t>
      </w:r>
    </w:p>
    <w:p w:rsidR="00C75272" w:rsidRPr="00C5541C" w:rsidRDefault="00C75272" w:rsidP="002C5B1B">
      <w:pPr>
        <w:pStyle w:val="ListParagraph"/>
        <w:numPr>
          <w:ilvl w:val="0"/>
          <w:numId w:val="65"/>
        </w:numPr>
        <w:spacing w:after="120" w:line="276" w:lineRule="auto"/>
        <w:jc w:val="both"/>
      </w:pPr>
      <w:r w:rsidRPr="00C5541C">
        <w:rPr>
          <w:lang w:val="sq-AL"/>
        </w:rPr>
        <w:t>Për vitin 2018 janë parashikuar të trajtohen me pagesa të aftësisë së kufizuar 164,410 persona (persona me aftësi të kufizuar, kujdestarë të PAK dhe invalidët e punës).</w:t>
      </w:r>
    </w:p>
    <w:p w:rsidR="00C75272" w:rsidRPr="00C5541C" w:rsidRDefault="00C75272" w:rsidP="00C75272">
      <w:pPr>
        <w:spacing w:line="276" w:lineRule="auto"/>
        <w:rPr>
          <w:b/>
          <w:lang w:val="sq-AL"/>
        </w:rPr>
      </w:pPr>
    </w:p>
    <w:p w:rsidR="00C75272" w:rsidRPr="00C5541C" w:rsidRDefault="00C75272" w:rsidP="00C75272">
      <w:pPr>
        <w:spacing w:line="276" w:lineRule="auto"/>
        <w:rPr>
          <w:b/>
        </w:rPr>
      </w:pPr>
      <w:r w:rsidRPr="00C5541C">
        <w:rPr>
          <w:b/>
        </w:rPr>
        <w:t>POLITIKA E JASHTME</w:t>
      </w:r>
    </w:p>
    <w:p w:rsidR="00C75272" w:rsidRPr="00C5541C" w:rsidRDefault="00C75272" w:rsidP="00C75272">
      <w:pPr>
        <w:spacing w:line="276" w:lineRule="auto"/>
      </w:pPr>
    </w:p>
    <w:p w:rsidR="00C75272" w:rsidRPr="00C5541C" w:rsidRDefault="00C75272" w:rsidP="00C75272">
      <w:pPr>
        <w:spacing w:line="276" w:lineRule="auto"/>
        <w:rPr>
          <w:b/>
          <w:lang w:val="sq-AL"/>
        </w:rPr>
      </w:pPr>
      <w:r>
        <w:rPr>
          <w:b/>
          <w:lang w:val="sq-AL"/>
        </w:rPr>
        <w:t xml:space="preserve">Arritjet për vitin </w:t>
      </w:r>
      <w:r w:rsidRPr="00C5541C">
        <w:rPr>
          <w:b/>
          <w:lang w:val="sq-AL"/>
        </w:rPr>
        <w:t>2017</w:t>
      </w:r>
    </w:p>
    <w:p w:rsidR="00C75272" w:rsidRPr="00C5541C" w:rsidRDefault="00C75272" w:rsidP="002C5B1B">
      <w:pPr>
        <w:pStyle w:val="ListParagraph"/>
        <w:numPr>
          <w:ilvl w:val="0"/>
          <w:numId w:val="66"/>
        </w:numPr>
        <w:spacing w:after="120" w:line="276" w:lineRule="auto"/>
      </w:pPr>
      <w:r w:rsidRPr="00C5541C">
        <w:t>Avancimi në pro</w:t>
      </w:r>
      <w:r w:rsidR="007A3DC9">
        <w:t>ç</w:t>
      </w:r>
      <w:r w:rsidRPr="00C5541C">
        <w:t>esin e Integrimit Europian, pjesëmarrja aktive në NATO si dhe konsolidim i marrëdhënieve dy dhe shumë palëshe me focus të veçantë</w:t>
      </w:r>
      <w:r w:rsidR="005930A7">
        <w:t xml:space="preserve"> dimensionet ekonomiko-tregtare;</w:t>
      </w:r>
    </w:p>
    <w:p w:rsidR="00C75272" w:rsidRPr="005930A7" w:rsidRDefault="00C75272" w:rsidP="002C5B1B">
      <w:pPr>
        <w:pStyle w:val="ListParagraph"/>
        <w:numPr>
          <w:ilvl w:val="0"/>
          <w:numId w:val="66"/>
        </w:numPr>
        <w:spacing w:after="120" w:line="276" w:lineRule="auto"/>
        <w:rPr>
          <w:lang w:val="sq-AL"/>
        </w:rPr>
      </w:pPr>
      <w:r w:rsidRPr="005930A7">
        <w:rPr>
          <w:lang w:val="sq-AL"/>
        </w:rPr>
        <w:t>Hapja në Tiranë e  Zyrës</w:t>
      </w:r>
      <w:r w:rsidR="005930A7">
        <w:rPr>
          <w:lang w:val="sq-AL"/>
        </w:rPr>
        <w:t xml:space="preserve"> Rajonale për Bashkëpunim Rinor;</w:t>
      </w:r>
    </w:p>
    <w:p w:rsidR="00C75272" w:rsidRPr="00C5541C" w:rsidRDefault="00C75272" w:rsidP="002C5B1B">
      <w:pPr>
        <w:pStyle w:val="ListParagraph"/>
        <w:numPr>
          <w:ilvl w:val="0"/>
          <w:numId w:val="66"/>
        </w:numPr>
        <w:spacing w:after="120" w:line="276" w:lineRule="auto"/>
      </w:pPr>
      <w:r w:rsidRPr="00C5541C">
        <w:t xml:space="preserve">Rritja e gamës së shërbimeve të ofruara në konsullata dhe zvogëlimi </w:t>
      </w:r>
      <w:r w:rsidR="005930A7">
        <w:t>i kohës së dhënies së shërbimeve;</w:t>
      </w:r>
    </w:p>
    <w:p w:rsidR="00C75272" w:rsidRPr="00C5541C" w:rsidRDefault="00C75272" w:rsidP="00C75272">
      <w:pPr>
        <w:spacing w:line="276" w:lineRule="auto"/>
      </w:pPr>
    </w:p>
    <w:p w:rsidR="00C75272" w:rsidRPr="00C5541C" w:rsidRDefault="00C75272" w:rsidP="00C75272">
      <w:pPr>
        <w:spacing w:line="276" w:lineRule="auto"/>
        <w:rPr>
          <w:b/>
          <w:lang w:val="sq-AL"/>
        </w:rPr>
      </w:pPr>
      <w:r>
        <w:rPr>
          <w:b/>
          <w:lang w:val="sq-AL"/>
        </w:rPr>
        <w:t>Prioritetet për vitin</w:t>
      </w:r>
      <w:r w:rsidR="00EA68C2">
        <w:rPr>
          <w:b/>
          <w:lang w:val="sq-AL"/>
        </w:rPr>
        <w:t xml:space="preserve"> 2018</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Hapja e negociatave për anëtarësimin në Bashkimin Europian.</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Zhvilimi i mëtejshëm i marrdhënieve me prioritet partneriteti strategjik.</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Vazhdimi i angazhimeve për njohjen e mëtesjshme ndërkombëtare të shtetit të Kosovës për pjesmarrje dhe anëtarësimin e saj në organizatat rajonale dhe ndërkombëtare.</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Funksionalizimi dhe mbështetja e punës së dy nismave rajonale me seli në Tiranë: Zyra Rajonale për Bashkëpunim Rinor dhe Fondi i Ballkanit Perendimor  si dhe në tërësi pjesëmarrjes aktive në bashkëpunimet shumëpalëshe rajonale.</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 xml:space="preserve">Kryesimi i disa nismave rajonale dhe organizatave ndërkombëtare. </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Pjesëmarrje aktive dhe realizimi i kontributit të RSH në kuadër të NATO-s.</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Zbatimi i detyrimeve të anëtarësimit në organizata dhe forunme shumëpalëshe.</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 xml:space="preserve">Plotësimi i bazës ligjore të bashkëpunimit me vendet e tjera. </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Forcimi dhe rritja e rolit të diplomacisë publike ekonomike dhe diasporës,në shërbim të interesave ekonomike të Shqipërisë, promovimit dhe potencialit për investime, tregti dhe bashkëpunim ekonomik, tregtar ddhe kulturor me partneret tanë ndërkombëtarë dy dhe shumë palësh.</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lastRenderedPageBreak/>
        <w:t>Realizimi i shërbimit konsullor mbështetur në profesionalizëm , efiçencë , transparencë dhe përgjegjshmëri.</w:t>
      </w:r>
    </w:p>
    <w:p w:rsidR="00C75272" w:rsidRPr="005930A7" w:rsidRDefault="00C75272" w:rsidP="002C5B1B">
      <w:pPr>
        <w:pStyle w:val="ListParagraph"/>
        <w:numPr>
          <w:ilvl w:val="0"/>
          <w:numId w:val="67"/>
        </w:numPr>
        <w:spacing w:after="120" w:line="276" w:lineRule="auto"/>
        <w:jc w:val="both"/>
        <w:rPr>
          <w:lang w:val="sq-AL"/>
        </w:rPr>
      </w:pPr>
      <w:r w:rsidRPr="005930A7">
        <w:rPr>
          <w:lang w:val="sq-AL"/>
        </w:rPr>
        <w:t>Regjistrimi i adresave të shtetas</w:t>
      </w:r>
      <w:r w:rsidR="005930A7">
        <w:rPr>
          <w:lang w:val="sq-AL"/>
        </w:rPr>
        <w:t>ve Shqiptarë që jetojnë jashtë S</w:t>
      </w:r>
      <w:r w:rsidRPr="005930A7">
        <w:rPr>
          <w:lang w:val="sq-AL"/>
        </w:rPr>
        <w:t>hqipërisë.</w:t>
      </w:r>
    </w:p>
    <w:p w:rsidR="00C75272" w:rsidRPr="00C5541C" w:rsidRDefault="00C75272" w:rsidP="00C75272">
      <w:pPr>
        <w:spacing w:line="276" w:lineRule="auto"/>
      </w:pPr>
    </w:p>
    <w:p w:rsidR="00C75272" w:rsidRPr="00C5541C" w:rsidRDefault="00C75272" w:rsidP="00C75272">
      <w:pPr>
        <w:spacing w:line="276" w:lineRule="auto"/>
        <w:rPr>
          <w:b/>
        </w:rPr>
      </w:pPr>
      <w:r w:rsidRPr="00C5541C">
        <w:rPr>
          <w:b/>
        </w:rPr>
        <w:t>BUJQËSIA DHE ZHVILLIMIT RURAL</w:t>
      </w:r>
    </w:p>
    <w:p w:rsidR="00C75272" w:rsidRPr="00C5541C" w:rsidRDefault="00C75272" w:rsidP="00C75272">
      <w:pPr>
        <w:spacing w:line="276" w:lineRule="auto"/>
        <w:rPr>
          <w:b/>
        </w:rPr>
      </w:pPr>
    </w:p>
    <w:p w:rsidR="00C75272" w:rsidRPr="00EA68C2" w:rsidRDefault="00C75272" w:rsidP="00EA68C2">
      <w:pPr>
        <w:spacing w:after="120" w:line="276" w:lineRule="auto"/>
        <w:rPr>
          <w:b/>
          <w:lang w:val="sq-AL"/>
        </w:rPr>
      </w:pPr>
      <w:r w:rsidRPr="00C5541C">
        <w:rPr>
          <w:b/>
          <w:lang w:val="sq-AL"/>
        </w:rPr>
        <w:t xml:space="preserve">Arritjet </w:t>
      </w:r>
      <w:r w:rsidR="00BF2B5E">
        <w:rPr>
          <w:b/>
          <w:lang w:val="sq-AL"/>
        </w:rPr>
        <w:t xml:space="preserve">për vitin </w:t>
      </w:r>
      <w:r w:rsidRPr="00C5541C">
        <w:rPr>
          <w:b/>
          <w:lang w:val="sq-AL"/>
        </w:rPr>
        <w:t>2017</w:t>
      </w:r>
    </w:p>
    <w:p w:rsidR="007A3DC9" w:rsidRPr="007A3DC9" w:rsidRDefault="007A3DC9" w:rsidP="007A3DC9">
      <w:pPr>
        <w:spacing w:line="276" w:lineRule="auto"/>
        <w:rPr>
          <w:b/>
          <w:lang w:val="sq-AL"/>
        </w:rPr>
      </w:pPr>
      <w:r w:rsidRPr="007A3DC9">
        <w:rPr>
          <w:b/>
          <w:lang w:val="sq-AL"/>
        </w:rPr>
        <w:t>Ujitja dhe Kullimi</w:t>
      </w:r>
    </w:p>
    <w:p w:rsidR="00C75272" w:rsidRPr="00C5541C" w:rsidRDefault="005930A7" w:rsidP="002C5B1B">
      <w:pPr>
        <w:pStyle w:val="ListParagraph"/>
        <w:numPr>
          <w:ilvl w:val="0"/>
          <w:numId w:val="67"/>
        </w:numPr>
        <w:spacing w:after="120" w:line="276" w:lineRule="auto"/>
        <w:jc w:val="both"/>
        <w:rPr>
          <w:lang w:val="sq-AL"/>
        </w:rPr>
      </w:pPr>
      <w:r>
        <w:rPr>
          <w:lang w:val="sq-AL"/>
        </w:rPr>
        <w:t>Rehabilitimi i kanal</w:t>
      </w:r>
      <w:r w:rsidR="00C75272" w:rsidRPr="00C5541C">
        <w:rPr>
          <w:lang w:val="sq-AL"/>
        </w:rPr>
        <w:t>eve t</w:t>
      </w:r>
      <w:r w:rsidR="00C75272">
        <w:rPr>
          <w:lang w:val="sq-AL"/>
        </w:rPr>
        <w:t>ë</w:t>
      </w:r>
      <w:r w:rsidR="00C75272" w:rsidRPr="00C5541C">
        <w:rPr>
          <w:lang w:val="sq-AL"/>
        </w:rPr>
        <w:t xml:space="preserve"> kullimit me q</w:t>
      </w:r>
      <w:r w:rsidR="00C75272">
        <w:rPr>
          <w:lang w:val="sq-AL"/>
        </w:rPr>
        <w:t>ë</w:t>
      </w:r>
      <w:r w:rsidR="00C75272" w:rsidRPr="00C5541C">
        <w:rPr>
          <w:lang w:val="sq-AL"/>
        </w:rPr>
        <w:t>llim kullimin dhe mir</w:t>
      </w:r>
      <w:r w:rsidR="00C75272">
        <w:rPr>
          <w:lang w:val="sq-AL"/>
        </w:rPr>
        <w:t>ë</w:t>
      </w:r>
      <w:r w:rsidR="00C75272" w:rsidRPr="00C5541C">
        <w:rPr>
          <w:lang w:val="sq-AL"/>
        </w:rPr>
        <w:t>mbajtjen e 3000 ha tok</w:t>
      </w:r>
      <w:r w:rsidR="00C75272">
        <w:rPr>
          <w:lang w:val="sq-AL"/>
        </w:rPr>
        <w:t>ë</w:t>
      </w:r>
    </w:p>
    <w:p w:rsidR="00C75272" w:rsidRDefault="00C75272" w:rsidP="002C5B1B">
      <w:pPr>
        <w:pStyle w:val="ListParagraph"/>
        <w:numPr>
          <w:ilvl w:val="0"/>
          <w:numId w:val="67"/>
        </w:numPr>
        <w:spacing w:after="120" w:line="276" w:lineRule="auto"/>
        <w:jc w:val="both"/>
        <w:rPr>
          <w:lang w:val="sq-AL"/>
        </w:rPr>
      </w:pPr>
      <w:r w:rsidRPr="00C5541C">
        <w:rPr>
          <w:lang w:val="sq-AL"/>
        </w:rPr>
        <w:t>Sipërfaqja e ujitshme nga 155,000 ha, është rritur në 160,354 ha, duke futur në uj</w:t>
      </w:r>
      <w:r w:rsidR="005930A7">
        <w:rPr>
          <w:lang w:val="sq-AL"/>
        </w:rPr>
        <w:t>itje për herë të parë 5,000 ha;</w:t>
      </w:r>
      <w:r w:rsidRPr="00C5541C">
        <w:rPr>
          <w:lang w:val="sq-AL"/>
        </w:rPr>
        <w:t xml:space="preserve"> </w:t>
      </w:r>
    </w:p>
    <w:p w:rsidR="007A3DC9" w:rsidRPr="00C5541C" w:rsidRDefault="007A3DC9" w:rsidP="007A3DC9">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mir</w:t>
      </w:r>
      <w:r>
        <w:rPr>
          <w:lang w:val="sq-AL"/>
        </w:rPr>
        <w:t>ë</w:t>
      </w:r>
      <w:r w:rsidRPr="00C5541C">
        <w:rPr>
          <w:lang w:val="sq-AL"/>
        </w:rPr>
        <w:t>mbajtur dhe vazhdon 172 km kanale kryesore kulluese;</w:t>
      </w:r>
    </w:p>
    <w:p w:rsidR="007A3DC9" w:rsidRPr="00C5541C" w:rsidRDefault="007A3DC9" w:rsidP="007A3DC9">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pastruar nga depozitimet e dherave dhe bim</w:t>
      </w:r>
      <w:r>
        <w:rPr>
          <w:lang w:val="sq-AL"/>
        </w:rPr>
        <w:t>ë</w:t>
      </w:r>
      <w:r w:rsidRPr="00C5541C">
        <w:rPr>
          <w:lang w:val="sq-AL"/>
        </w:rPr>
        <w:t>sia rreth 191 km rrjet i kanaleve kryesore ujit</w:t>
      </w:r>
      <w:r>
        <w:rPr>
          <w:lang w:val="sq-AL"/>
        </w:rPr>
        <w:t>ë</w:t>
      </w:r>
      <w:r w:rsidRPr="00C5541C">
        <w:rPr>
          <w:lang w:val="sq-AL"/>
        </w:rPr>
        <w:t>s</w:t>
      </w:r>
      <w:r>
        <w:rPr>
          <w:lang w:val="sq-AL"/>
        </w:rPr>
        <w:t>;</w:t>
      </w:r>
    </w:p>
    <w:p w:rsidR="007A3DC9" w:rsidRPr="00C5541C" w:rsidRDefault="007A3DC9" w:rsidP="007A3DC9">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nd</w:t>
      </w:r>
      <w:r>
        <w:rPr>
          <w:lang w:val="sq-AL"/>
        </w:rPr>
        <w:t>ë</w:t>
      </w:r>
      <w:r w:rsidRPr="00C5541C">
        <w:rPr>
          <w:lang w:val="sq-AL"/>
        </w:rPr>
        <w:t>rtuar argjinatura t</w:t>
      </w:r>
      <w:r>
        <w:rPr>
          <w:lang w:val="sq-AL"/>
        </w:rPr>
        <w:t>ë</w:t>
      </w:r>
      <w:r w:rsidRPr="00C5541C">
        <w:rPr>
          <w:lang w:val="sq-AL"/>
        </w:rPr>
        <w:t xml:space="preserve"> reja p</w:t>
      </w:r>
      <w:r>
        <w:rPr>
          <w:lang w:val="sq-AL"/>
        </w:rPr>
        <w:t>ë</w:t>
      </w:r>
      <w:r w:rsidRPr="00C5541C">
        <w:rPr>
          <w:lang w:val="sq-AL"/>
        </w:rPr>
        <w:t>rgjat</w:t>
      </w:r>
      <w:r>
        <w:rPr>
          <w:lang w:val="sq-AL"/>
        </w:rPr>
        <w:t>ë</w:t>
      </w:r>
      <w:r w:rsidRPr="00C5541C">
        <w:rPr>
          <w:lang w:val="sq-AL"/>
        </w:rPr>
        <w:t xml:space="preserve"> lumenj</w:t>
      </w:r>
      <w:r>
        <w:rPr>
          <w:lang w:val="sq-AL"/>
        </w:rPr>
        <w:t>ë</w:t>
      </w:r>
      <w:r w:rsidRPr="00C5541C">
        <w:rPr>
          <w:lang w:val="sq-AL"/>
        </w:rPr>
        <w:t>ve rreth 4.2 km, nd</w:t>
      </w:r>
      <w:r>
        <w:rPr>
          <w:lang w:val="sq-AL"/>
        </w:rPr>
        <w:t>ë</w:t>
      </w:r>
      <w:r w:rsidRPr="00C5541C">
        <w:rPr>
          <w:lang w:val="sq-AL"/>
        </w:rPr>
        <w:t>rkoh</w:t>
      </w:r>
      <w:r>
        <w:rPr>
          <w:lang w:val="sq-AL"/>
        </w:rPr>
        <w:t>ë</w:t>
      </w:r>
      <w:r w:rsidRPr="00C5541C">
        <w:rPr>
          <w:lang w:val="sq-AL"/>
        </w:rPr>
        <w:t xml:space="preserve"> argjinatura t</w:t>
      </w:r>
      <w:r>
        <w:rPr>
          <w:lang w:val="sq-AL"/>
        </w:rPr>
        <w:t>ë rehabilituara rreth 5.2 km;</w:t>
      </w:r>
    </w:p>
    <w:p w:rsidR="007A3DC9" w:rsidRPr="00C5541C" w:rsidRDefault="007A3DC9" w:rsidP="007A3DC9">
      <w:pPr>
        <w:pStyle w:val="ListParagraph"/>
        <w:numPr>
          <w:ilvl w:val="0"/>
          <w:numId w:val="67"/>
        </w:numPr>
        <w:spacing w:after="120" w:line="276" w:lineRule="auto"/>
        <w:jc w:val="both"/>
        <w:rPr>
          <w:lang w:val="sq-AL"/>
        </w:rPr>
      </w:pPr>
      <w:r>
        <w:rPr>
          <w:lang w:val="sq-AL"/>
        </w:rPr>
        <w:t>Ë</w:t>
      </w:r>
      <w:r w:rsidRPr="00C5541C">
        <w:rPr>
          <w:lang w:val="sq-AL"/>
        </w:rPr>
        <w:t>sht</w:t>
      </w:r>
      <w:r>
        <w:rPr>
          <w:lang w:val="sq-AL"/>
        </w:rPr>
        <w:t>ë</w:t>
      </w:r>
      <w:r w:rsidRPr="00C5541C">
        <w:rPr>
          <w:lang w:val="sq-AL"/>
        </w:rPr>
        <w:t xml:space="preserve"> b</w:t>
      </w:r>
      <w:r>
        <w:rPr>
          <w:lang w:val="sq-AL"/>
        </w:rPr>
        <w:t>ë</w:t>
      </w:r>
      <w:r w:rsidRPr="00C5541C">
        <w:rPr>
          <w:lang w:val="sq-AL"/>
        </w:rPr>
        <w:t>r</w:t>
      </w:r>
      <w:r>
        <w:rPr>
          <w:lang w:val="sq-AL"/>
        </w:rPr>
        <w:t>ë</w:t>
      </w:r>
      <w:r w:rsidRPr="00C5541C">
        <w:rPr>
          <w:lang w:val="sq-AL"/>
        </w:rPr>
        <w:t xml:space="preserve"> e mundur me an</w:t>
      </w:r>
      <w:r>
        <w:rPr>
          <w:lang w:val="sq-AL"/>
        </w:rPr>
        <w:t>ë</w:t>
      </w:r>
      <w:r w:rsidRPr="00C5541C">
        <w:rPr>
          <w:lang w:val="sq-AL"/>
        </w:rPr>
        <w:t xml:space="preserve"> t</w:t>
      </w:r>
      <w:r>
        <w:rPr>
          <w:lang w:val="sq-AL"/>
        </w:rPr>
        <w:t>ë</w:t>
      </w:r>
      <w:r w:rsidRPr="00C5541C">
        <w:rPr>
          <w:lang w:val="sq-AL"/>
        </w:rPr>
        <w:t xml:space="preserve"> sh</w:t>
      </w:r>
      <w:r>
        <w:rPr>
          <w:lang w:val="sq-AL"/>
        </w:rPr>
        <w:t>ë</w:t>
      </w:r>
      <w:r w:rsidRPr="00C5541C">
        <w:rPr>
          <w:lang w:val="sq-AL"/>
        </w:rPr>
        <w:t>rbimit t</w:t>
      </w:r>
      <w:r>
        <w:rPr>
          <w:lang w:val="sq-AL"/>
        </w:rPr>
        <w:t>ë</w:t>
      </w:r>
      <w:r w:rsidRPr="00C5541C">
        <w:rPr>
          <w:lang w:val="sq-AL"/>
        </w:rPr>
        <w:t xml:space="preserve"> kullimit ngritje mekanike me hidrovor n</w:t>
      </w:r>
      <w:r>
        <w:rPr>
          <w:lang w:val="sq-AL"/>
        </w:rPr>
        <w:t>ë</w:t>
      </w:r>
      <w:r w:rsidRPr="00C5541C">
        <w:rPr>
          <w:lang w:val="sq-AL"/>
        </w:rPr>
        <w:t xml:space="preserve"> sasin</w:t>
      </w:r>
      <w:r>
        <w:rPr>
          <w:lang w:val="sq-AL"/>
        </w:rPr>
        <w:t>ë</w:t>
      </w:r>
      <w:r w:rsidRPr="00C5541C">
        <w:rPr>
          <w:lang w:val="sq-AL"/>
        </w:rPr>
        <w:t xml:space="preserve"> 600 milion</w:t>
      </w:r>
      <w:r>
        <w:rPr>
          <w:lang w:val="sq-AL"/>
        </w:rPr>
        <w:t>ë</w:t>
      </w:r>
      <w:r w:rsidRPr="00C5541C">
        <w:rPr>
          <w:lang w:val="sq-AL"/>
        </w:rPr>
        <w:t xml:space="preserve"> m</w:t>
      </w:r>
      <w:r w:rsidRPr="005930A7">
        <w:rPr>
          <w:lang w:val="sq-AL"/>
        </w:rPr>
        <w:t xml:space="preserve">3 </w:t>
      </w:r>
      <w:r w:rsidRPr="00C5541C">
        <w:rPr>
          <w:lang w:val="sq-AL"/>
        </w:rPr>
        <w:t>;</w:t>
      </w:r>
    </w:p>
    <w:p w:rsidR="007A3DC9" w:rsidRPr="007A3DC9" w:rsidRDefault="007A3DC9" w:rsidP="007A3DC9">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rikonstruktura dhe p</w:t>
      </w:r>
      <w:r>
        <w:rPr>
          <w:lang w:val="sq-AL"/>
        </w:rPr>
        <w:t>ë</w:t>
      </w:r>
      <w:r w:rsidRPr="00C5541C">
        <w:rPr>
          <w:lang w:val="sq-AL"/>
        </w:rPr>
        <w:t>rshtatur 25 hidrovor</w:t>
      </w:r>
      <w:r>
        <w:rPr>
          <w:lang w:val="sq-AL"/>
        </w:rPr>
        <w:t>ë;</w:t>
      </w:r>
    </w:p>
    <w:p w:rsidR="007A3DC9" w:rsidRPr="007A3DC9" w:rsidRDefault="007A3DC9" w:rsidP="007A3DC9">
      <w:pPr>
        <w:spacing w:after="120" w:line="276" w:lineRule="auto"/>
        <w:jc w:val="both"/>
        <w:rPr>
          <w:b/>
          <w:lang w:val="sq-AL"/>
        </w:rPr>
      </w:pPr>
      <w:r w:rsidRPr="007A3DC9">
        <w:rPr>
          <w:b/>
          <w:lang w:val="sq-AL"/>
        </w:rPr>
        <w:t>Siguria Ushqimore</w:t>
      </w:r>
    </w:p>
    <w:p w:rsidR="00C75272" w:rsidRPr="00C5541C" w:rsidRDefault="00C75272" w:rsidP="002C5B1B">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vaksinuar kund</w:t>
      </w:r>
      <w:r>
        <w:rPr>
          <w:lang w:val="sq-AL"/>
        </w:rPr>
        <w:t>ë</w:t>
      </w:r>
      <w:r w:rsidRPr="00C5541C">
        <w:rPr>
          <w:lang w:val="sq-AL"/>
        </w:rPr>
        <w:t>r s</w:t>
      </w:r>
      <w:r>
        <w:rPr>
          <w:lang w:val="sq-AL"/>
        </w:rPr>
        <w:t>ë</w:t>
      </w:r>
      <w:r w:rsidRPr="00C5541C">
        <w:rPr>
          <w:lang w:val="sq-AL"/>
        </w:rPr>
        <w:t>mundjes s</w:t>
      </w:r>
      <w:r>
        <w:rPr>
          <w:lang w:val="sq-AL"/>
        </w:rPr>
        <w:t>ë</w:t>
      </w:r>
      <w:r w:rsidRPr="00C5541C">
        <w:rPr>
          <w:lang w:val="sq-AL"/>
        </w:rPr>
        <w:t xml:space="preserve"> plasjes 321,500 gjedh</w:t>
      </w:r>
      <w:r>
        <w:rPr>
          <w:lang w:val="sq-AL"/>
        </w:rPr>
        <w:t>ë</w:t>
      </w:r>
      <w:r w:rsidRPr="00C5541C">
        <w:rPr>
          <w:lang w:val="sq-AL"/>
        </w:rPr>
        <w:t xml:space="preserve"> dhe kund</w:t>
      </w:r>
      <w:r>
        <w:rPr>
          <w:lang w:val="sq-AL"/>
        </w:rPr>
        <w:t>ë</w:t>
      </w:r>
      <w:r w:rsidRPr="00C5541C">
        <w:rPr>
          <w:lang w:val="sq-AL"/>
        </w:rPr>
        <w:t>r s</w:t>
      </w:r>
      <w:r>
        <w:rPr>
          <w:lang w:val="sq-AL"/>
        </w:rPr>
        <w:t>ë</w:t>
      </w:r>
      <w:r w:rsidRPr="00C5541C">
        <w:rPr>
          <w:lang w:val="sq-AL"/>
        </w:rPr>
        <w:t>mundjes s</w:t>
      </w:r>
      <w:r>
        <w:rPr>
          <w:lang w:val="sq-AL"/>
        </w:rPr>
        <w:t>ë</w:t>
      </w:r>
      <w:r w:rsidRPr="00C5541C">
        <w:rPr>
          <w:lang w:val="sq-AL"/>
        </w:rPr>
        <w:t xml:space="preserve"> bruceloz</w:t>
      </w:r>
      <w:r>
        <w:rPr>
          <w:lang w:val="sq-AL"/>
        </w:rPr>
        <w:t>ë</w:t>
      </w:r>
      <w:r w:rsidRPr="00C5541C">
        <w:rPr>
          <w:lang w:val="sq-AL"/>
        </w:rPr>
        <w:t>s jan</w:t>
      </w:r>
      <w:r>
        <w:rPr>
          <w:lang w:val="sq-AL"/>
        </w:rPr>
        <w:t>ë</w:t>
      </w:r>
      <w:r w:rsidRPr="00C5541C">
        <w:rPr>
          <w:lang w:val="sq-AL"/>
        </w:rPr>
        <w:t xml:space="preserve"> vaksinuar rreth 590,000 t</w:t>
      </w:r>
      <w:r>
        <w:rPr>
          <w:lang w:val="sq-AL"/>
        </w:rPr>
        <w:t>ë</w:t>
      </w:r>
      <w:r w:rsidRPr="00C5541C">
        <w:rPr>
          <w:lang w:val="sq-AL"/>
        </w:rPr>
        <w:t xml:space="preserve"> im</w:t>
      </w:r>
      <w:r>
        <w:rPr>
          <w:lang w:val="sq-AL"/>
        </w:rPr>
        <w:t>ë</w:t>
      </w:r>
      <w:r w:rsidR="005930A7">
        <w:rPr>
          <w:lang w:val="sq-AL"/>
        </w:rPr>
        <w:t>ta;</w:t>
      </w:r>
    </w:p>
    <w:p w:rsidR="00C75272" w:rsidRPr="00C5541C" w:rsidRDefault="00C75272" w:rsidP="002C5B1B">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w:t>
      </w:r>
      <w:r w:rsidR="007A3DC9">
        <w:rPr>
          <w:lang w:val="sq-AL"/>
        </w:rPr>
        <w:t>çe</w:t>
      </w:r>
      <w:r w:rsidRPr="00C5541C">
        <w:rPr>
          <w:lang w:val="sq-AL"/>
        </w:rPr>
        <w:t>rtifikuar dhe testuar rreth 5300 lloje t</w:t>
      </w:r>
      <w:r>
        <w:rPr>
          <w:lang w:val="sq-AL"/>
        </w:rPr>
        <w:t>ë</w:t>
      </w:r>
      <w:r w:rsidRPr="00C5541C">
        <w:rPr>
          <w:lang w:val="sq-AL"/>
        </w:rPr>
        <w:t xml:space="preserve"> ndryshme farash dhe fidan</w:t>
      </w:r>
      <w:r>
        <w:rPr>
          <w:lang w:val="sq-AL"/>
        </w:rPr>
        <w:t>ë</w:t>
      </w:r>
      <w:r w:rsidRPr="00C5541C">
        <w:rPr>
          <w:lang w:val="sq-AL"/>
        </w:rPr>
        <w:t>sh</w:t>
      </w:r>
      <w:r w:rsidR="005930A7">
        <w:rPr>
          <w:lang w:val="sq-AL"/>
        </w:rPr>
        <w:t>;</w:t>
      </w:r>
    </w:p>
    <w:p w:rsidR="00C75272" w:rsidRPr="00C5541C" w:rsidRDefault="00C75272" w:rsidP="002C5B1B">
      <w:pPr>
        <w:pStyle w:val="ListParagraph"/>
        <w:numPr>
          <w:ilvl w:val="0"/>
          <w:numId w:val="67"/>
        </w:numPr>
        <w:spacing w:after="120" w:line="276" w:lineRule="auto"/>
        <w:jc w:val="both"/>
        <w:rPr>
          <w:lang w:val="sq-AL"/>
        </w:rPr>
      </w:pPr>
      <w:r w:rsidRPr="00C5541C">
        <w:rPr>
          <w:lang w:val="sq-AL"/>
        </w:rPr>
        <w:t>Jan</w:t>
      </w:r>
      <w:r>
        <w:rPr>
          <w:lang w:val="sq-AL"/>
        </w:rPr>
        <w:t>ë</w:t>
      </w:r>
      <w:r w:rsidRPr="00C5541C">
        <w:rPr>
          <w:lang w:val="sq-AL"/>
        </w:rPr>
        <w:t xml:space="preserve"> regjistruar 10,000 nj</w:t>
      </w:r>
      <w:r>
        <w:rPr>
          <w:lang w:val="sq-AL"/>
        </w:rPr>
        <w:t>ë</w:t>
      </w:r>
      <w:r w:rsidRPr="00C5541C">
        <w:rPr>
          <w:lang w:val="sq-AL"/>
        </w:rPr>
        <w:t>si vreshti dhe ullishte;</w:t>
      </w:r>
    </w:p>
    <w:p w:rsidR="00C75272" w:rsidRPr="00C5541C" w:rsidRDefault="005930A7" w:rsidP="002C5B1B">
      <w:pPr>
        <w:pStyle w:val="ListParagraph"/>
        <w:numPr>
          <w:ilvl w:val="0"/>
          <w:numId w:val="67"/>
        </w:numPr>
        <w:spacing w:after="120" w:line="276" w:lineRule="auto"/>
        <w:jc w:val="both"/>
        <w:rPr>
          <w:lang w:val="sq-AL"/>
        </w:rPr>
      </w:pPr>
      <w:r>
        <w:rPr>
          <w:lang w:val="sq-AL"/>
        </w:rPr>
        <w:t>Jan</w:t>
      </w:r>
      <w:r w:rsidR="00122326">
        <w:rPr>
          <w:lang w:val="sq-AL"/>
        </w:rPr>
        <w:t>ë</w:t>
      </w:r>
      <w:r>
        <w:rPr>
          <w:lang w:val="sq-AL"/>
        </w:rPr>
        <w:t xml:space="preserve"> regjistruar</w:t>
      </w:r>
      <w:r w:rsidR="00C75272" w:rsidRPr="00C5541C">
        <w:rPr>
          <w:lang w:val="sq-AL"/>
        </w:rPr>
        <w:t xml:space="preserve"> n</w:t>
      </w:r>
      <w:r w:rsidR="00C75272">
        <w:rPr>
          <w:lang w:val="sq-AL"/>
        </w:rPr>
        <w:t>ë</w:t>
      </w:r>
      <w:r w:rsidR="00C75272" w:rsidRPr="00C5541C">
        <w:rPr>
          <w:lang w:val="sq-AL"/>
        </w:rPr>
        <w:t xml:space="preserve"> sistemin e informacionit LIS dhe integrimi GIS n</w:t>
      </w:r>
      <w:r w:rsidR="00C75272">
        <w:rPr>
          <w:lang w:val="sq-AL"/>
        </w:rPr>
        <w:t>ë</w:t>
      </w:r>
      <w:r w:rsidR="00C75272" w:rsidRPr="00C5541C">
        <w:rPr>
          <w:lang w:val="sq-AL"/>
        </w:rPr>
        <w:t xml:space="preserve"> rreth 61,000 ha tok</w:t>
      </w:r>
      <w:r w:rsidR="00C75272">
        <w:rPr>
          <w:lang w:val="sq-AL"/>
        </w:rPr>
        <w:t>ë</w:t>
      </w:r>
      <w:r>
        <w:rPr>
          <w:lang w:val="sq-AL"/>
        </w:rPr>
        <w:t>;</w:t>
      </w:r>
    </w:p>
    <w:p w:rsidR="00C75272" w:rsidRPr="00C5541C" w:rsidRDefault="00C75272" w:rsidP="00C75272">
      <w:pPr>
        <w:spacing w:line="276" w:lineRule="auto"/>
      </w:pPr>
    </w:p>
    <w:p w:rsidR="00C75272" w:rsidRDefault="00C75272" w:rsidP="00EA68C2">
      <w:pPr>
        <w:spacing w:after="120" w:line="276" w:lineRule="auto"/>
        <w:rPr>
          <w:b/>
          <w:lang w:val="sq-AL"/>
        </w:rPr>
      </w:pPr>
      <w:r w:rsidRPr="00C5541C">
        <w:rPr>
          <w:b/>
          <w:lang w:val="sq-AL"/>
        </w:rPr>
        <w:t>Prioritetet</w:t>
      </w:r>
      <w:r w:rsidR="00BF2B5E">
        <w:rPr>
          <w:b/>
          <w:lang w:val="sq-AL"/>
        </w:rPr>
        <w:t xml:space="preserve"> për vitin</w:t>
      </w:r>
      <w:r w:rsidRPr="00C5541C">
        <w:rPr>
          <w:b/>
          <w:lang w:val="sq-AL"/>
        </w:rPr>
        <w:t xml:space="preserve"> 2018</w:t>
      </w:r>
      <w:r>
        <w:rPr>
          <w:b/>
          <w:lang w:val="sq-AL"/>
        </w:rPr>
        <w:t>:</w:t>
      </w:r>
    </w:p>
    <w:p w:rsidR="007A3DC9" w:rsidRPr="00C5541C" w:rsidRDefault="007A3DC9" w:rsidP="00C75272">
      <w:pPr>
        <w:spacing w:line="276" w:lineRule="auto"/>
        <w:rPr>
          <w:b/>
          <w:lang w:val="sq-AL"/>
        </w:rPr>
      </w:pPr>
      <w:r>
        <w:rPr>
          <w:b/>
          <w:lang w:val="sq-AL"/>
        </w:rPr>
        <w:t>Zhvillimi Rural</w:t>
      </w:r>
    </w:p>
    <w:p w:rsidR="00C75272" w:rsidRDefault="00C75272" w:rsidP="002C5B1B">
      <w:pPr>
        <w:pStyle w:val="ListParagraph"/>
        <w:numPr>
          <w:ilvl w:val="0"/>
          <w:numId w:val="68"/>
        </w:numPr>
        <w:spacing w:after="120" w:line="276" w:lineRule="auto"/>
      </w:pPr>
      <w:r w:rsidRPr="00C5541C">
        <w:t>Rajonizimi i prodhimit bujqësor dhe blegtoral mbi bazën e potencialeve specifike sipas rajoneve, duke sjellë për pasojë rritjen e efektivitetit të mbësh</w:t>
      </w:r>
      <w:r w:rsidR="005930A7">
        <w:t>tetjes financiare;</w:t>
      </w:r>
    </w:p>
    <w:p w:rsidR="007A3DC9" w:rsidRPr="00C5541C" w:rsidRDefault="007A3DC9" w:rsidP="007A3DC9">
      <w:pPr>
        <w:pStyle w:val="ListParagraph"/>
        <w:numPr>
          <w:ilvl w:val="0"/>
          <w:numId w:val="68"/>
        </w:numPr>
        <w:spacing w:after="120" w:line="276" w:lineRule="auto"/>
      </w:pPr>
      <w:r w:rsidRPr="00C5541C">
        <w:t>Rritja e skemës së mbështetjes për afërsisht rreth 14 000 përfit</w:t>
      </w:r>
      <w:r>
        <w:t>ues;</w:t>
      </w:r>
    </w:p>
    <w:p w:rsidR="007A3DC9" w:rsidRPr="007A3DC9" w:rsidRDefault="007A3DC9" w:rsidP="007A3DC9">
      <w:pPr>
        <w:spacing w:after="120" w:line="276" w:lineRule="auto"/>
        <w:rPr>
          <w:b/>
        </w:rPr>
      </w:pPr>
      <w:r w:rsidRPr="007A3DC9">
        <w:rPr>
          <w:b/>
        </w:rPr>
        <w:t>Siguria Ushqimore</w:t>
      </w:r>
    </w:p>
    <w:p w:rsidR="00C75272" w:rsidRPr="00C5541C" w:rsidRDefault="00C75272" w:rsidP="002C5B1B">
      <w:pPr>
        <w:pStyle w:val="ListParagraph"/>
        <w:numPr>
          <w:ilvl w:val="0"/>
          <w:numId w:val="68"/>
        </w:numPr>
        <w:spacing w:after="120" w:line="276" w:lineRule="auto"/>
      </w:pPr>
      <w:r w:rsidRPr="00C5541C">
        <w:t>Ruajtja e situates epizootike te vendit nepermjet imunizimit te bagetive të imëta dhe gjurmimit të sëmundjes së brucelo</w:t>
      </w:r>
      <w:r w:rsidR="005930A7">
        <w:t>zës në gjedhë në 10% të krerëve;</w:t>
      </w:r>
    </w:p>
    <w:p w:rsidR="00C75272" w:rsidRDefault="00C75272" w:rsidP="002C5B1B">
      <w:pPr>
        <w:pStyle w:val="ListParagraph"/>
        <w:numPr>
          <w:ilvl w:val="0"/>
          <w:numId w:val="68"/>
        </w:numPr>
        <w:spacing w:after="120" w:line="276" w:lineRule="auto"/>
      </w:pPr>
      <w:r w:rsidRPr="00C5541C">
        <w:t>Reduktim në masën 10% të parazitëve karantinor me qëllim ruajtjen e sipërfaqeve të mb</w:t>
      </w:r>
      <w:r w:rsidR="005930A7">
        <w:t>jella;</w:t>
      </w:r>
    </w:p>
    <w:p w:rsidR="007A3DC9" w:rsidRDefault="007A3DC9" w:rsidP="007A3DC9">
      <w:pPr>
        <w:pStyle w:val="ListParagraph"/>
        <w:numPr>
          <w:ilvl w:val="0"/>
          <w:numId w:val="68"/>
        </w:numPr>
        <w:spacing w:after="120" w:line="276" w:lineRule="auto"/>
      </w:pPr>
      <w:r w:rsidRPr="00C5541C">
        <w:t>Rritja e biodiversitetit nëpërmjet subvencionimit në masën 1</w:t>
      </w:r>
      <w:r>
        <w:t>00% të racave në rrezik zhdukje;</w:t>
      </w:r>
    </w:p>
    <w:p w:rsidR="007A3DC9" w:rsidRPr="00C5541C" w:rsidRDefault="007A3DC9" w:rsidP="007A3DC9">
      <w:pPr>
        <w:pStyle w:val="ListParagraph"/>
        <w:numPr>
          <w:ilvl w:val="0"/>
          <w:numId w:val="68"/>
        </w:numPr>
        <w:spacing w:after="120" w:line="276" w:lineRule="auto"/>
      </w:pPr>
      <w:r w:rsidRPr="00C5541C">
        <w:t>Vaksinimi i kafshëve të imta prej 3 milion për të mundësuar eksportin e tyre në vend</w:t>
      </w:r>
      <w:r>
        <w:t>et e Bashkimit Europian;</w:t>
      </w:r>
    </w:p>
    <w:p w:rsidR="007A3DC9" w:rsidRPr="00C5541C" w:rsidRDefault="007A3DC9" w:rsidP="00EA68C2">
      <w:pPr>
        <w:pStyle w:val="ListParagraph"/>
        <w:numPr>
          <w:ilvl w:val="0"/>
          <w:numId w:val="68"/>
        </w:numPr>
        <w:spacing w:after="120" w:line="276" w:lineRule="auto"/>
      </w:pPr>
      <w:r w:rsidRPr="00C5541C">
        <w:lastRenderedPageBreak/>
        <w:t xml:space="preserve">Krijimi dhe mbajtja e kadastrës së vreshtarisë dhe verës dhe të ullirit të cilat do të mbulojnë identifikimin, regjistrimin, hedhjen e të dhënave në system </w:t>
      </w:r>
      <w:r>
        <w:t>sipas qarqeve (në nivel fshati);</w:t>
      </w:r>
    </w:p>
    <w:p w:rsidR="007A3DC9" w:rsidRPr="007A3DC9" w:rsidRDefault="007A3DC9" w:rsidP="007A3DC9">
      <w:pPr>
        <w:spacing w:after="120" w:line="276" w:lineRule="auto"/>
        <w:rPr>
          <w:b/>
        </w:rPr>
      </w:pPr>
      <w:r w:rsidRPr="007A3DC9">
        <w:rPr>
          <w:b/>
        </w:rPr>
        <w:t>Ujitja dhe Kullimi</w:t>
      </w:r>
    </w:p>
    <w:p w:rsidR="00C75272" w:rsidRPr="00C5541C" w:rsidRDefault="00C75272" w:rsidP="002C5B1B">
      <w:pPr>
        <w:pStyle w:val="ListParagraph"/>
        <w:numPr>
          <w:ilvl w:val="0"/>
          <w:numId w:val="68"/>
        </w:numPr>
        <w:spacing w:after="120" w:line="276" w:lineRule="auto"/>
      </w:pPr>
      <w:r w:rsidRPr="00C5541C">
        <w:t xml:space="preserve">Pastrimi i 266 km të rrjetit të kanaleve kryesore kulluese, rindërtimi </w:t>
      </w:r>
      <w:r w:rsidR="005930A7">
        <w:t>i 128 km tokë;</w:t>
      </w:r>
    </w:p>
    <w:p w:rsidR="00C75272" w:rsidRPr="00C5541C" w:rsidRDefault="00C75272" w:rsidP="002C5B1B">
      <w:pPr>
        <w:pStyle w:val="ListParagraph"/>
        <w:numPr>
          <w:ilvl w:val="0"/>
          <w:numId w:val="68"/>
        </w:numPr>
        <w:spacing w:after="120" w:line="276" w:lineRule="auto"/>
      </w:pPr>
      <w:r w:rsidRPr="00C5541C">
        <w:t xml:space="preserve">Rehabilitim </w:t>
      </w:r>
      <w:r w:rsidR="005930A7">
        <w:t>i</w:t>
      </w:r>
      <w:r w:rsidRPr="00C5541C">
        <w:t xml:space="preserve"> kanaleve të kullimit me qëllim kullimin dhe mirëmbajtjen e 280 ha tok</w:t>
      </w:r>
      <w:r w:rsidR="005930A7">
        <w:t>ë;</w:t>
      </w:r>
    </w:p>
    <w:p w:rsidR="00C75272" w:rsidRPr="00C5541C" w:rsidRDefault="00C75272" w:rsidP="002C5B1B">
      <w:pPr>
        <w:pStyle w:val="ListParagraph"/>
        <w:numPr>
          <w:ilvl w:val="0"/>
          <w:numId w:val="68"/>
        </w:numPr>
        <w:spacing w:after="120" w:line="276" w:lineRule="auto"/>
      </w:pPr>
      <w:r w:rsidRPr="00C5541C">
        <w:t xml:space="preserve">Përfundimi </w:t>
      </w:r>
      <w:r w:rsidR="005930A7">
        <w:t>i</w:t>
      </w:r>
      <w:r w:rsidRPr="00C5541C">
        <w:t xml:space="preserve"> projektit ekzistues të Menaxhimit të Burimeve Ujore dhe Ujitjes të Bankës Botërore me rehabilitimit të ujitjes në 25 ha</w:t>
      </w:r>
      <w:r w:rsidR="005930A7">
        <w:t>;</w:t>
      </w:r>
    </w:p>
    <w:p w:rsidR="00C75272" w:rsidRPr="00C5541C" w:rsidRDefault="00C75272" w:rsidP="002C5B1B">
      <w:pPr>
        <w:pStyle w:val="ListParagraph"/>
        <w:numPr>
          <w:ilvl w:val="0"/>
          <w:numId w:val="68"/>
        </w:numPr>
        <w:spacing w:after="120" w:line="276" w:lineRule="auto"/>
      </w:pPr>
      <w:r w:rsidRPr="00C5541C">
        <w:t>Vazhdimi i rehabilitimit të rrjetit kryesorë të kanaleve të kullimit për fushën e Torrovicës në Lez</w:t>
      </w:r>
      <w:r w:rsidR="005930A7">
        <w:t>hë dhe Fushën e Mliqit në Korçë;</w:t>
      </w:r>
    </w:p>
    <w:p w:rsidR="00C75272" w:rsidRPr="00C5541C" w:rsidRDefault="00C75272" w:rsidP="002C5B1B">
      <w:pPr>
        <w:pStyle w:val="ListParagraph"/>
        <w:numPr>
          <w:ilvl w:val="0"/>
          <w:numId w:val="68"/>
        </w:numPr>
        <w:spacing w:after="120" w:line="276" w:lineRule="auto"/>
      </w:pPr>
      <w:r w:rsidRPr="00C5541C">
        <w:t>Përfundimin e rehabilitimit të kanaleve kryesore ujitëse në administrim të 4 bordeve rajon</w:t>
      </w:r>
      <w:r w:rsidR="005930A7">
        <w:t>ale të kullimit;</w:t>
      </w:r>
    </w:p>
    <w:p w:rsidR="00C75272" w:rsidRPr="00C5541C" w:rsidRDefault="00C75272" w:rsidP="002C5B1B">
      <w:pPr>
        <w:pStyle w:val="ListParagraph"/>
        <w:numPr>
          <w:ilvl w:val="0"/>
          <w:numId w:val="68"/>
        </w:numPr>
        <w:spacing w:after="120" w:line="276" w:lineRule="auto"/>
      </w:pPr>
      <w:r w:rsidRPr="00C5541C">
        <w:t>Rehabilitimin e argjinaturave mbrojtëse të tokave bujqësore në zonat më të rrezikuara</w:t>
      </w:r>
      <w:r w:rsidR="005930A7">
        <w:t>;</w:t>
      </w:r>
    </w:p>
    <w:p w:rsidR="00C75272" w:rsidRPr="00C5541C" w:rsidRDefault="00C75272" w:rsidP="002C5B1B">
      <w:pPr>
        <w:pStyle w:val="ListParagraph"/>
        <w:numPr>
          <w:ilvl w:val="0"/>
          <w:numId w:val="68"/>
        </w:numPr>
        <w:spacing w:after="120" w:line="276" w:lineRule="auto"/>
      </w:pPr>
      <w:r w:rsidRPr="00C5541C">
        <w:t>Ofrimi dhe përmirësimi i sistemeve kryesore të kullimit, për rreth 45000 ha më shumë</w:t>
      </w:r>
      <w:r w:rsidR="005930A7">
        <w:t>;</w:t>
      </w:r>
    </w:p>
    <w:p w:rsidR="00C75272" w:rsidRPr="00C5541C" w:rsidRDefault="00C75272" w:rsidP="002C5B1B">
      <w:pPr>
        <w:pStyle w:val="ListParagraph"/>
        <w:numPr>
          <w:ilvl w:val="0"/>
          <w:numId w:val="68"/>
        </w:numPr>
        <w:spacing w:after="120" w:line="276" w:lineRule="auto"/>
      </w:pPr>
      <w:r w:rsidRPr="00C5541C">
        <w:t>Ndërtimi dhe rehabilitimi i 18 km argjinatura përgjatë lumenjëve</w:t>
      </w:r>
      <w:r w:rsidR="005930A7">
        <w:t>;</w:t>
      </w:r>
      <w:r w:rsidRPr="00C5541C">
        <w:t xml:space="preserve"> </w:t>
      </w:r>
    </w:p>
    <w:p w:rsidR="00C75272" w:rsidRDefault="00C75272" w:rsidP="002C5B1B">
      <w:pPr>
        <w:pStyle w:val="ListParagraph"/>
        <w:numPr>
          <w:ilvl w:val="0"/>
          <w:numId w:val="68"/>
        </w:numPr>
        <w:spacing w:after="120" w:line="276" w:lineRule="auto"/>
      </w:pPr>
      <w:r w:rsidRPr="00C5541C">
        <w:t xml:space="preserve">Sigurimi </w:t>
      </w:r>
      <w:r w:rsidR="005930A7">
        <w:t>i</w:t>
      </w:r>
      <w:r w:rsidRPr="00C5541C">
        <w:t xml:space="preserve"> shërbimeve të sigurta dhe të qëndrueshme të kullimit me ngritje mekanika me pompa (27 hidrovorë) për 70000 ha tokë bujqësore</w:t>
      </w:r>
      <w:r w:rsidR="005930A7">
        <w:t>;</w:t>
      </w:r>
    </w:p>
    <w:p w:rsidR="007A3DC9" w:rsidRPr="007A3DC9" w:rsidRDefault="007A3DC9" w:rsidP="007A3DC9">
      <w:pPr>
        <w:spacing w:after="120" w:line="276" w:lineRule="auto"/>
        <w:rPr>
          <w:b/>
        </w:rPr>
      </w:pPr>
      <w:r w:rsidRPr="007A3DC9">
        <w:rPr>
          <w:b/>
        </w:rPr>
        <w:t>K</w:t>
      </w:r>
      <w:r>
        <w:rPr>
          <w:b/>
        </w:rPr>
        <w:t>ë</w:t>
      </w:r>
      <w:r w:rsidRPr="007A3DC9">
        <w:rPr>
          <w:b/>
        </w:rPr>
        <w:t>shillimi dhe Informacioni Bujq</w:t>
      </w:r>
      <w:r>
        <w:rPr>
          <w:b/>
        </w:rPr>
        <w:t>ë</w:t>
      </w:r>
      <w:r w:rsidRPr="007A3DC9">
        <w:rPr>
          <w:b/>
        </w:rPr>
        <w:t>sor</w:t>
      </w:r>
    </w:p>
    <w:p w:rsidR="00C75272" w:rsidRPr="00C5541C" w:rsidRDefault="00C75272" w:rsidP="002C5B1B">
      <w:pPr>
        <w:pStyle w:val="ListParagraph"/>
        <w:numPr>
          <w:ilvl w:val="0"/>
          <w:numId w:val="68"/>
        </w:numPr>
        <w:spacing w:after="120" w:line="276" w:lineRule="auto"/>
      </w:pPr>
      <w:r w:rsidRPr="00C5541C">
        <w:t>Rritja e numrit të fermerëve të kontaktuar dhe këshilluar nga shërbimi këshillimor publik në 12</w:t>
      </w:r>
      <w:r w:rsidR="005930A7">
        <w:t xml:space="preserve"> qarqet në 75,000 në vitin 2018;</w:t>
      </w:r>
    </w:p>
    <w:p w:rsidR="00C75272" w:rsidRPr="00AD18D5" w:rsidRDefault="00C75272" w:rsidP="002C5B1B">
      <w:pPr>
        <w:pStyle w:val="ListParagraph"/>
        <w:numPr>
          <w:ilvl w:val="0"/>
          <w:numId w:val="68"/>
        </w:numPr>
        <w:spacing w:after="120" w:line="276" w:lineRule="auto"/>
        <w:jc w:val="both"/>
        <w:rPr>
          <w:rFonts w:eastAsia="Batang"/>
        </w:rPr>
      </w:pPr>
      <w:r w:rsidRPr="00C5541C">
        <w:rPr>
          <w:rFonts w:eastAsia="Batang"/>
        </w:rPr>
        <w:t>Përfshirja me madhe e pedagogeve të Universitetit bujqësor, për trajnimin e ekstensionistëve sidomos për aspektet e menaxhimit ekonomik dhe financiar të fermave, marketingut dhe përpunimit të produkteve do të ndikojë në plotësimin e boshllëqeve që kanë ekste</w:t>
      </w:r>
      <w:r w:rsidR="005930A7">
        <w:rPr>
          <w:rFonts w:eastAsia="Batang"/>
        </w:rPr>
        <w:t>nsionistet për njohuri të tilla;</w:t>
      </w:r>
      <w:r w:rsidRPr="00C5541C">
        <w:rPr>
          <w:rFonts w:eastAsia="Batang"/>
        </w:rPr>
        <w:t xml:space="preserve"> </w:t>
      </w:r>
    </w:p>
    <w:p w:rsidR="005930A7" w:rsidRDefault="005930A7" w:rsidP="00C75272">
      <w:pPr>
        <w:spacing w:line="276" w:lineRule="auto"/>
        <w:rPr>
          <w:b/>
        </w:rPr>
      </w:pPr>
    </w:p>
    <w:p w:rsidR="00C75272" w:rsidRPr="00C5541C" w:rsidRDefault="00EA68C2" w:rsidP="00EA68C2">
      <w:pPr>
        <w:spacing w:after="120" w:line="276" w:lineRule="auto"/>
        <w:rPr>
          <w:b/>
        </w:rPr>
      </w:pPr>
      <w:r>
        <w:rPr>
          <w:b/>
        </w:rPr>
        <w:t>ARSIMI</w:t>
      </w:r>
    </w:p>
    <w:p w:rsidR="00C75272" w:rsidRPr="00AD18D5" w:rsidRDefault="00AD18D5" w:rsidP="00C75272">
      <w:pPr>
        <w:spacing w:after="200" w:line="276" w:lineRule="auto"/>
        <w:contextualSpacing/>
        <w:jc w:val="both"/>
        <w:rPr>
          <w:rFonts w:eastAsiaTheme="minorHAnsi"/>
          <w:b/>
        </w:rPr>
      </w:pPr>
      <w:r>
        <w:rPr>
          <w:rFonts w:eastAsiaTheme="minorHAnsi"/>
          <w:b/>
        </w:rPr>
        <w:t>Arritjet për 2017</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rrit</w:t>
      </w:r>
      <w:r w:rsidR="00F26392" w:rsidRPr="00F26392">
        <w:rPr>
          <w:rFonts w:eastAsiaTheme="minorHAnsi"/>
        </w:rPr>
        <w:t xml:space="preserve"> me 20% numri </w:t>
      </w:r>
      <w:r>
        <w:rPr>
          <w:rFonts w:eastAsiaTheme="minorHAnsi"/>
        </w:rPr>
        <w:t>i</w:t>
      </w:r>
      <w:r w:rsidR="00F26392" w:rsidRPr="00F26392">
        <w:rPr>
          <w:rFonts w:eastAsiaTheme="minorHAnsi"/>
        </w:rPr>
        <w:t xml:space="preserve"> klasave përgatitore dhe 25% e tyre punojnë me kurrikulën e re bazuar në kompetenca, një kurrikul që shkon në të njëjtën linjë me atë të arsimit bazë dhe të mesëm të</w:t>
      </w:r>
      <w:r w:rsidR="00AD18D5">
        <w:rPr>
          <w:rFonts w:eastAsiaTheme="minorHAnsi"/>
        </w:rPr>
        <w:t xml:space="preserve"> lartë;</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hartua</w:t>
      </w:r>
      <w:r w:rsidR="00F26392" w:rsidRPr="00F26392">
        <w:rPr>
          <w:rFonts w:eastAsiaTheme="minorHAnsi"/>
        </w:rPr>
        <w:t xml:space="preserve"> Korniz</w:t>
      </w:r>
      <w:r>
        <w:rPr>
          <w:rFonts w:eastAsiaTheme="minorHAnsi"/>
        </w:rPr>
        <w:t>a</w:t>
      </w:r>
      <w:r w:rsidR="00F26392" w:rsidRPr="00F26392">
        <w:rPr>
          <w:rFonts w:eastAsiaTheme="minorHAnsi"/>
        </w:rPr>
        <w:t xml:space="preserve"> Kurrikulare të Arsimit Parashkollor dhe Standardet e Zhvillimit dhe të</w:t>
      </w:r>
      <w:r w:rsidR="00AD18D5">
        <w:rPr>
          <w:rFonts w:eastAsiaTheme="minorHAnsi"/>
        </w:rPr>
        <w:t xml:space="preserve"> të nxënit të fëmijëve 3-6 vjeç;</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zbatua</w:t>
      </w:r>
      <w:r w:rsidR="00F26392" w:rsidRPr="00F26392">
        <w:rPr>
          <w:rFonts w:eastAsiaTheme="minorHAnsi"/>
        </w:rPr>
        <w:t xml:space="preserve"> kurrikulën e re në të gjitha klasat e dyta, të shtata dhe të dhjeta, e pilotuam atë në 26 klasa të treta dhe të teta, në 13 DAR dhe vazhdon zbatimi i kurrikulës së re në klasat e tre</w:t>
      </w:r>
      <w:r w:rsidR="00AD18D5">
        <w:rPr>
          <w:rFonts w:eastAsiaTheme="minorHAnsi"/>
        </w:rPr>
        <w:t>ta, të teta dhe të njëmbëdhjeta;</w:t>
      </w:r>
      <w:r w:rsidR="00F26392" w:rsidRPr="00F26392">
        <w:rPr>
          <w:rFonts w:eastAsiaTheme="minorHAnsi"/>
        </w:rPr>
        <w:t xml:space="preserve"> </w:t>
      </w:r>
      <w:r w:rsidR="00F26392" w:rsidRPr="00F26392">
        <w:rPr>
          <w:rFonts w:eastAsiaTheme="minorHAnsi"/>
        </w:rPr>
        <w:tab/>
      </w:r>
      <w:r w:rsidR="00F26392" w:rsidRPr="00F26392">
        <w:rPr>
          <w:rFonts w:eastAsiaTheme="minorHAnsi"/>
        </w:rPr>
        <w:tab/>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trainuan</w:t>
      </w:r>
      <w:r w:rsidR="00F26392" w:rsidRPr="00F26392">
        <w:rPr>
          <w:rFonts w:eastAsiaTheme="minorHAnsi"/>
        </w:rPr>
        <w:t xml:space="preserve"> 1 302 drejtorë shkollash, në të gjitha DAR/ZA-të, për Standardet e performancës dhe kriteret e vlerë</w:t>
      </w:r>
      <w:r w:rsidR="00AD18D5">
        <w:rPr>
          <w:rFonts w:eastAsiaTheme="minorHAnsi"/>
        </w:rPr>
        <w:t>simit për drejtorët e shkollave;</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trainuan</w:t>
      </w:r>
      <w:r w:rsidR="00F26392" w:rsidRPr="00F26392">
        <w:rPr>
          <w:rFonts w:eastAsiaTheme="minorHAnsi"/>
        </w:rPr>
        <w:t xml:space="preserve"> 1 346 drejtues shkollash për udhëzuesin e arsimit të mesëm të ulët; 482 mësues të shkollave pilot për klasat IV dhe IX; 5000 mësues për zbatimin e kurrikulës së re në klasën XI dhe 500 mësues për vlerësim</w:t>
      </w:r>
      <w:r w:rsidR="00AD18D5">
        <w:rPr>
          <w:rFonts w:eastAsiaTheme="minorHAnsi"/>
        </w:rPr>
        <w:t>in e teksteve shkollore të reja;</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lastRenderedPageBreak/>
        <w:t>U renditën</w:t>
      </w:r>
      <w:r w:rsidR="00F26392" w:rsidRPr="00F26392">
        <w:rPr>
          <w:rFonts w:eastAsiaTheme="minorHAnsi"/>
        </w:rPr>
        <w:t xml:space="preserve"> 5000 mësues sipas meritës në po</w:t>
      </w:r>
      <w:r w:rsidR="00AD18D5">
        <w:rPr>
          <w:rFonts w:eastAsiaTheme="minorHAnsi"/>
        </w:rPr>
        <w:t>rtalin “Mësues për Shqipërinë”;</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zbatuan</w:t>
      </w:r>
      <w:r w:rsidR="00F26392" w:rsidRPr="00F26392">
        <w:rPr>
          <w:rFonts w:eastAsiaTheme="minorHAnsi"/>
        </w:rPr>
        <w:t xml:space="preserve"> standardet e m</w:t>
      </w:r>
      <w:r w:rsidR="00AD18D5">
        <w:rPr>
          <w:rFonts w:eastAsiaTheme="minorHAnsi"/>
        </w:rPr>
        <w:t>ësuesit sipas profileve lëndore;</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ndërtua</w:t>
      </w:r>
      <w:r w:rsidR="00F26392" w:rsidRPr="00F26392">
        <w:rPr>
          <w:rFonts w:eastAsiaTheme="minorHAnsi"/>
        </w:rPr>
        <w:t xml:space="preserve"> një skemë të re transparente për akreditimin e programeve të trajnimit të punonjësve mësimorë në sistemin arsimor parauniversitar, mbështe</w:t>
      </w:r>
      <w:r w:rsidR="00AD18D5">
        <w:rPr>
          <w:rFonts w:eastAsiaTheme="minorHAnsi"/>
        </w:rPr>
        <w:t>tur në nevojat e identifikuara;</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hartuan</w:t>
      </w:r>
      <w:r w:rsidR="00F26392" w:rsidRPr="00F26392">
        <w:rPr>
          <w:rFonts w:eastAsiaTheme="minorHAnsi"/>
        </w:rPr>
        <w:t xml:space="preserve"> 22 programe të reja sipas kurriku</w:t>
      </w:r>
      <w:r w:rsidR="00AD18D5">
        <w:rPr>
          <w:rFonts w:eastAsiaTheme="minorHAnsi"/>
        </w:rPr>
        <w:t>lës së re për pakicat kombëtare;</w:t>
      </w:r>
    </w:p>
    <w:p w:rsidR="00F26392" w:rsidRPr="00F26392" w:rsidRDefault="007A3DC9" w:rsidP="002C5B1B">
      <w:pPr>
        <w:pStyle w:val="ListParagraph"/>
        <w:numPr>
          <w:ilvl w:val="0"/>
          <w:numId w:val="70"/>
        </w:numPr>
        <w:spacing w:after="120" w:line="276" w:lineRule="auto"/>
        <w:rPr>
          <w:rFonts w:eastAsiaTheme="minorHAnsi"/>
        </w:rPr>
      </w:pPr>
      <w:r>
        <w:rPr>
          <w:rFonts w:eastAsiaTheme="minorHAnsi"/>
        </w:rPr>
        <w:t>U standartizua testimi</w:t>
      </w:r>
      <w:r w:rsidR="00F26392" w:rsidRPr="00F26392">
        <w:rPr>
          <w:rFonts w:eastAsiaTheme="minorHAnsi"/>
        </w:rPr>
        <w:t xml:space="preserve"> në nivel kombëtar të arritjeve të nxënësve edhe për arsimin fillor (klasa</w:t>
      </w:r>
      <w:r w:rsidR="00AD18D5">
        <w:rPr>
          <w:rFonts w:eastAsiaTheme="minorHAnsi"/>
        </w:rPr>
        <w:t xml:space="preserve"> V), në arsimin parauniversitar;</w:t>
      </w:r>
      <w:r w:rsidR="00F26392" w:rsidRPr="00F26392">
        <w:rPr>
          <w:rFonts w:eastAsiaTheme="minorHAnsi"/>
        </w:rPr>
        <w:t xml:space="preserve"> </w:t>
      </w:r>
    </w:p>
    <w:p w:rsidR="00F26392" w:rsidRPr="00F26392" w:rsidRDefault="004E2232" w:rsidP="002C5B1B">
      <w:pPr>
        <w:pStyle w:val="ListParagraph"/>
        <w:numPr>
          <w:ilvl w:val="0"/>
          <w:numId w:val="70"/>
        </w:numPr>
        <w:spacing w:after="120" w:line="276" w:lineRule="auto"/>
        <w:rPr>
          <w:rFonts w:eastAsiaTheme="minorHAnsi"/>
        </w:rPr>
      </w:pPr>
      <w:r>
        <w:rPr>
          <w:rFonts w:eastAsiaTheme="minorHAnsi"/>
        </w:rPr>
        <w:t>Në bashkëpunim me</w:t>
      </w:r>
      <w:r w:rsidR="00F26392" w:rsidRPr="00F26392">
        <w:rPr>
          <w:rFonts w:eastAsiaTheme="minorHAnsi"/>
        </w:rPr>
        <w:t xml:space="preserve"> Këshilli</w:t>
      </w:r>
      <w:r>
        <w:rPr>
          <w:rFonts w:eastAsiaTheme="minorHAnsi"/>
        </w:rPr>
        <w:t>n</w:t>
      </w:r>
      <w:r w:rsidR="00F26392" w:rsidRPr="00F26392">
        <w:rPr>
          <w:rFonts w:eastAsiaTheme="minorHAnsi"/>
        </w:rPr>
        <w:t xml:space="preserve"> </w:t>
      </w:r>
      <w:r>
        <w:rPr>
          <w:rFonts w:eastAsiaTheme="minorHAnsi"/>
        </w:rPr>
        <w:t>e</w:t>
      </w:r>
      <w:r w:rsidR="00F26392" w:rsidRPr="00F26392">
        <w:rPr>
          <w:rFonts w:eastAsiaTheme="minorHAnsi"/>
        </w:rPr>
        <w:t xml:space="preserve"> Europës</w:t>
      </w:r>
      <w:r>
        <w:rPr>
          <w:rFonts w:eastAsiaTheme="minorHAnsi"/>
        </w:rPr>
        <w:t>, u hartua Profili</w:t>
      </w:r>
      <w:r w:rsidR="00AD18D5">
        <w:rPr>
          <w:rFonts w:eastAsiaTheme="minorHAnsi"/>
        </w:rPr>
        <w:t xml:space="preserve"> Arsimor Gjuhësor të Shqipërisë;</w:t>
      </w:r>
      <w:r w:rsidR="00F26392" w:rsidRPr="00F26392">
        <w:rPr>
          <w:rFonts w:eastAsiaTheme="minorHAnsi"/>
        </w:rPr>
        <w:t xml:space="preserve"> </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U mbështet zhvillimi</w:t>
      </w:r>
      <w:r w:rsidR="00F26392" w:rsidRPr="00F26392">
        <w:rPr>
          <w:rFonts w:eastAsiaTheme="minorHAnsi"/>
        </w:rPr>
        <w:t xml:space="preserve"> profesional të mësuesve të gjuhës së huaj: MASR, ambasadat përkatëse dhe shoqatat e mësuesve të gjuhëve të huaja trajnuan rreth 1 000  mësues të gjuhëve të huaja italian</w:t>
      </w:r>
      <w:r w:rsidR="00AD18D5">
        <w:rPr>
          <w:rFonts w:eastAsiaTheme="minorHAnsi"/>
        </w:rPr>
        <w:t>e, frënge, angleze dhe gjermane;</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Pilotimi</w:t>
      </w:r>
      <w:r w:rsidR="00F26392" w:rsidRPr="00F26392">
        <w:rPr>
          <w:rFonts w:eastAsiaTheme="minorHAnsi"/>
        </w:rPr>
        <w:t xml:space="preserve"> në 32 shkolla të 17 DAR/ZA, PISA-n 2018, me pjesëmarrjen e 2 147 nxënësve 15 vjeç. </w:t>
      </w:r>
      <w:r>
        <w:rPr>
          <w:rFonts w:eastAsiaTheme="minorHAnsi"/>
        </w:rPr>
        <w:t xml:space="preserve">Ky pilotim </w:t>
      </w:r>
      <w:r w:rsidR="00F26392" w:rsidRPr="00F26392">
        <w:rPr>
          <w:rFonts w:eastAsiaTheme="minorHAnsi"/>
        </w:rPr>
        <w:t xml:space="preserve">u zhvillua në formatin </w:t>
      </w:r>
      <w:r>
        <w:rPr>
          <w:rFonts w:eastAsiaTheme="minorHAnsi"/>
        </w:rPr>
        <w:t>“</w:t>
      </w:r>
      <w:r w:rsidR="00F26392" w:rsidRPr="00F26392">
        <w:rPr>
          <w:rFonts w:eastAsiaTheme="minorHAnsi"/>
        </w:rPr>
        <w:t>computer based</w:t>
      </w:r>
      <w:r>
        <w:rPr>
          <w:rFonts w:eastAsiaTheme="minorHAnsi"/>
        </w:rPr>
        <w:t>”</w:t>
      </w:r>
      <w:r w:rsidR="00F26392" w:rsidRPr="00F26392">
        <w:rPr>
          <w:rFonts w:eastAsiaTheme="minorHAnsi"/>
        </w:rPr>
        <w:t>, sipas të cilit</w:t>
      </w:r>
      <w:r w:rsidR="00AD18D5">
        <w:rPr>
          <w:rFonts w:eastAsiaTheme="minorHAnsi"/>
        </w:rPr>
        <w:t xml:space="preserve"> do të zhvillohet dhe PISA 2018;</w:t>
      </w:r>
    </w:p>
    <w:p w:rsidR="00F26392" w:rsidRPr="00AD18D5" w:rsidRDefault="00F26392" w:rsidP="002C5B1B">
      <w:pPr>
        <w:pStyle w:val="ListParagraph"/>
        <w:numPr>
          <w:ilvl w:val="0"/>
          <w:numId w:val="70"/>
        </w:numPr>
        <w:spacing w:after="120" w:line="276" w:lineRule="auto"/>
        <w:rPr>
          <w:rFonts w:eastAsiaTheme="minorHAnsi"/>
        </w:rPr>
      </w:pPr>
      <w:r w:rsidRPr="00F26392">
        <w:rPr>
          <w:rFonts w:eastAsiaTheme="minorHAnsi"/>
        </w:rPr>
        <w:t>Klasat II, III, VII, VIII, X dhe XI zhvillojnë mësim me tekste të re</w:t>
      </w:r>
      <w:r w:rsidR="00AD18D5">
        <w:rPr>
          <w:rFonts w:eastAsiaTheme="minorHAnsi"/>
        </w:rPr>
        <w:t>ja sipas standardeve më të mira;</w:t>
      </w:r>
      <w:r w:rsidRPr="00F26392">
        <w:rPr>
          <w:rFonts w:eastAsiaTheme="minorHAnsi"/>
        </w:rPr>
        <w:t xml:space="preserve"> </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U siguruan</w:t>
      </w:r>
      <w:r w:rsidR="00F26392" w:rsidRPr="00F26392">
        <w:rPr>
          <w:rFonts w:eastAsiaTheme="minorHAnsi"/>
        </w:rPr>
        <w:t xml:space="preserve"> tekste shkollore falas për 100 000 nxë</w:t>
      </w:r>
      <w:r w:rsidR="00AD18D5">
        <w:rPr>
          <w:rFonts w:eastAsiaTheme="minorHAnsi"/>
        </w:rPr>
        <w:t>nës të sistemit parauniversitar;</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Ofrimi i</w:t>
      </w:r>
      <w:r w:rsidR="00F26392" w:rsidRPr="00F26392">
        <w:rPr>
          <w:rFonts w:eastAsiaTheme="minorHAnsi"/>
        </w:rPr>
        <w:t xml:space="preserve"> transport</w:t>
      </w:r>
      <w:r>
        <w:rPr>
          <w:rFonts w:eastAsiaTheme="minorHAnsi"/>
        </w:rPr>
        <w:t>it</w:t>
      </w:r>
      <w:r w:rsidR="00F26392" w:rsidRPr="00F26392">
        <w:rPr>
          <w:rFonts w:eastAsiaTheme="minorHAnsi"/>
        </w:rPr>
        <w:t xml:space="preserve"> falas për </w:t>
      </w:r>
      <w:r w:rsidR="00AD18D5">
        <w:rPr>
          <w:rFonts w:eastAsiaTheme="minorHAnsi"/>
        </w:rPr>
        <w:t>30 000 nxënës dhe 11 000 mësues;</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U rrit numri</w:t>
      </w:r>
      <w:r w:rsidR="00F26392" w:rsidRPr="00F26392">
        <w:rPr>
          <w:rFonts w:eastAsiaTheme="minorHAnsi"/>
        </w:rPr>
        <w:t xml:space="preserve"> </w:t>
      </w:r>
      <w:r>
        <w:rPr>
          <w:rFonts w:eastAsiaTheme="minorHAnsi"/>
        </w:rPr>
        <w:t>i</w:t>
      </w:r>
      <w:r w:rsidR="00F26392" w:rsidRPr="00F26392">
        <w:rPr>
          <w:rFonts w:eastAsiaTheme="minorHAnsi"/>
        </w:rPr>
        <w:t xml:space="preserve"> mësuesve ndihmës për fëmijët me AK, nga 66 mësues</w:t>
      </w:r>
      <w:r w:rsidR="00AD18D5">
        <w:rPr>
          <w:rFonts w:eastAsiaTheme="minorHAnsi"/>
        </w:rPr>
        <w:t xml:space="preserve"> në 2015, në 310 mësues në 2017;</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U trainuan</w:t>
      </w:r>
      <w:r w:rsidR="00F26392" w:rsidRPr="00F26392">
        <w:rPr>
          <w:rFonts w:eastAsiaTheme="minorHAnsi"/>
        </w:rPr>
        <w:t xml:space="preserve">, në kuadër të luftës kundër trafikimit të qenieve njerëzore, 195 mësues të lëndëve “Qytetari”, “Edukim për shoqërinë”, “Histori”, “Gjeografi”, si dhe 60 psikologë dhe punonjës sociale </w:t>
      </w:r>
      <w:r w:rsidR="00AD18D5">
        <w:rPr>
          <w:rFonts w:eastAsiaTheme="minorHAnsi"/>
        </w:rPr>
        <w:t>të DAR-ve Vlorë, Fier dhe Berat;</w:t>
      </w:r>
    </w:p>
    <w:p w:rsidR="00F26392" w:rsidRPr="00AD18D5" w:rsidRDefault="004E2232" w:rsidP="002C5B1B">
      <w:pPr>
        <w:pStyle w:val="ListParagraph"/>
        <w:numPr>
          <w:ilvl w:val="0"/>
          <w:numId w:val="70"/>
        </w:numPr>
        <w:spacing w:after="120" w:line="276" w:lineRule="auto"/>
        <w:rPr>
          <w:rFonts w:eastAsiaTheme="minorHAnsi"/>
        </w:rPr>
      </w:pPr>
      <w:r>
        <w:rPr>
          <w:rFonts w:eastAsiaTheme="minorHAnsi"/>
        </w:rPr>
        <w:t>U çertifikuan</w:t>
      </w:r>
      <w:r w:rsidR="00F26392" w:rsidRPr="00F26392">
        <w:rPr>
          <w:rFonts w:eastAsiaTheme="minorHAnsi"/>
        </w:rPr>
        <w:t xml:space="preserve"> 216 drejtues shkollash sipas pr</w:t>
      </w:r>
      <w:r w:rsidR="00AD18D5">
        <w:rPr>
          <w:rFonts w:eastAsiaTheme="minorHAnsi"/>
        </w:rPr>
        <w:t>ojektit “Shkolla e Drejtorëve”;</w:t>
      </w:r>
    </w:p>
    <w:p w:rsidR="00F26392" w:rsidRPr="00AD18D5" w:rsidRDefault="00F26392" w:rsidP="002C5B1B">
      <w:pPr>
        <w:pStyle w:val="ListParagraph"/>
        <w:numPr>
          <w:ilvl w:val="0"/>
          <w:numId w:val="70"/>
        </w:numPr>
        <w:spacing w:after="120" w:line="276" w:lineRule="auto"/>
        <w:rPr>
          <w:rFonts w:eastAsiaTheme="minorHAnsi"/>
        </w:rPr>
      </w:pPr>
      <w:r w:rsidRPr="00F26392">
        <w:rPr>
          <w:rFonts w:eastAsiaTheme="minorHAnsi"/>
        </w:rPr>
        <w:t>Siguruam tekste shkollore falas për 3 444 nxënës romë dhe 5 8</w:t>
      </w:r>
      <w:r w:rsidRPr="00751219">
        <w:t>33</w:t>
      </w:r>
      <w:r w:rsidRPr="00F26392">
        <w:rPr>
          <w:rFonts w:eastAsiaTheme="minorHAnsi"/>
        </w:rPr>
        <w:t xml:space="preserve"> nxënës egjiptianë. Gjithashtu, siguruam transportin falas për të gjithë fëmijët dhe nxënësit romë dhe egjiptianë në kopshte e shkolla që udhëtojnë në</w:t>
      </w:r>
      <w:r w:rsidR="00AD18D5">
        <w:rPr>
          <w:rFonts w:eastAsiaTheme="minorHAnsi"/>
        </w:rPr>
        <w:t xml:space="preserve"> largësinë mbi 2 km nga shtëpia;</w:t>
      </w:r>
    </w:p>
    <w:p w:rsidR="00F26392" w:rsidRPr="00F26392" w:rsidRDefault="00F26392" w:rsidP="002C5B1B">
      <w:pPr>
        <w:pStyle w:val="ListParagraph"/>
        <w:numPr>
          <w:ilvl w:val="0"/>
          <w:numId w:val="70"/>
        </w:numPr>
        <w:spacing w:after="120" w:line="276" w:lineRule="auto"/>
        <w:rPr>
          <w:rFonts w:eastAsiaTheme="minorHAnsi"/>
        </w:rPr>
      </w:pPr>
      <w:r w:rsidRPr="00F26392">
        <w:rPr>
          <w:rFonts w:eastAsiaTheme="minorHAnsi"/>
        </w:rPr>
        <w:t xml:space="preserve">MASR, KE dhe BE realizuan studimin kombëtar mbi bulizmin në sistemin arsimor parauniversitar shqiptar. Pas realizimit të këtij studimi, </w:t>
      </w:r>
      <w:r w:rsidR="00AD18D5">
        <w:rPr>
          <w:rFonts w:eastAsiaTheme="minorHAnsi"/>
        </w:rPr>
        <w:t>ka nisur pilotimi në 21 shkolla;</w:t>
      </w:r>
    </w:p>
    <w:p w:rsidR="00F26392" w:rsidRPr="00F26392" w:rsidRDefault="00F26392" w:rsidP="002C5B1B">
      <w:pPr>
        <w:pStyle w:val="ListParagraph"/>
        <w:numPr>
          <w:ilvl w:val="0"/>
          <w:numId w:val="70"/>
        </w:numPr>
        <w:spacing w:after="120" w:line="276" w:lineRule="auto"/>
        <w:rPr>
          <w:rFonts w:eastAsiaTheme="minorHAnsi"/>
        </w:rPr>
      </w:pPr>
      <w:r w:rsidRPr="00F26392">
        <w:rPr>
          <w:rFonts w:eastAsiaTheme="minorHAnsi"/>
        </w:rPr>
        <w:t>MASR, KE, KQZ realizuan ndërgjegjësimin e maturantë votues për herë të parë të 365 shkollave të</w:t>
      </w:r>
      <w:r w:rsidR="00AD18D5">
        <w:rPr>
          <w:rFonts w:eastAsiaTheme="minorHAnsi"/>
        </w:rPr>
        <w:t xml:space="preserve"> mesme;</w:t>
      </w:r>
      <w:r w:rsidRPr="00F26392">
        <w:rPr>
          <w:rFonts w:eastAsiaTheme="minorHAnsi"/>
        </w:rPr>
        <w:t xml:space="preserve"> </w:t>
      </w:r>
    </w:p>
    <w:p w:rsidR="00F26392" w:rsidRPr="00F26392" w:rsidRDefault="004E2232" w:rsidP="002C5B1B">
      <w:pPr>
        <w:pStyle w:val="ListParagraph"/>
        <w:numPr>
          <w:ilvl w:val="0"/>
          <w:numId w:val="70"/>
        </w:numPr>
        <w:spacing w:after="120" w:line="276" w:lineRule="auto"/>
        <w:rPr>
          <w:rFonts w:eastAsiaTheme="minorHAnsi"/>
        </w:rPr>
      </w:pPr>
      <w:r>
        <w:rPr>
          <w:rFonts w:eastAsiaTheme="minorHAnsi"/>
        </w:rPr>
        <w:t>U</w:t>
      </w:r>
      <w:r w:rsidR="00F26392" w:rsidRPr="00F26392">
        <w:rPr>
          <w:rFonts w:eastAsiaTheme="minorHAnsi"/>
        </w:rPr>
        <w:t xml:space="preserve"> hartua </w:t>
      </w:r>
      <w:r>
        <w:rPr>
          <w:rFonts w:eastAsiaTheme="minorHAnsi"/>
        </w:rPr>
        <w:t>plani</w:t>
      </w:r>
      <w:r w:rsidR="00F26392" w:rsidRPr="00F26392">
        <w:rPr>
          <w:rFonts w:eastAsiaTheme="minorHAnsi"/>
        </w:rPr>
        <w:t xml:space="preserve"> </w:t>
      </w:r>
      <w:r>
        <w:rPr>
          <w:rFonts w:eastAsiaTheme="minorHAnsi"/>
        </w:rPr>
        <w:t>i</w:t>
      </w:r>
      <w:r w:rsidR="00F26392" w:rsidRPr="00F26392">
        <w:rPr>
          <w:rFonts w:eastAsiaTheme="minorHAnsi"/>
        </w:rPr>
        <w:t xml:space="preserve"> veprimit kundër kultivimit dhe trafikimit të kanabisit 2017-2020 dhe janë ngritur task-forcat in</w:t>
      </w:r>
      <w:r w:rsidR="00AD18D5">
        <w:rPr>
          <w:rFonts w:eastAsiaTheme="minorHAnsi"/>
        </w:rPr>
        <w:t>stitucionale për zbatimin e tij;</w:t>
      </w:r>
      <w:r w:rsidR="00F26392" w:rsidRPr="00F26392">
        <w:rPr>
          <w:rFonts w:eastAsiaTheme="minorHAnsi"/>
        </w:rPr>
        <w:t xml:space="preserve"> </w:t>
      </w:r>
    </w:p>
    <w:p w:rsidR="00F26392" w:rsidRPr="00F26392" w:rsidRDefault="004E2232" w:rsidP="002C5B1B">
      <w:pPr>
        <w:pStyle w:val="ListParagraph"/>
        <w:numPr>
          <w:ilvl w:val="0"/>
          <w:numId w:val="70"/>
        </w:numPr>
        <w:spacing w:after="120" w:line="276" w:lineRule="auto"/>
        <w:rPr>
          <w:rFonts w:eastAsiaTheme="minorHAnsi"/>
        </w:rPr>
      </w:pPr>
      <w:r>
        <w:rPr>
          <w:rFonts w:eastAsiaTheme="minorHAnsi"/>
        </w:rPr>
        <w:t>U zgjerua rrjeti</w:t>
      </w:r>
      <w:r w:rsidR="00F26392" w:rsidRPr="00F26392">
        <w:rPr>
          <w:rFonts w:eastAsiaTheme="minorHAnsi"/>
        </w:rPr>
        <w:t xml:space="preserve"> “Shkolla qendër komunitare” nga  66 shkolla në vitin 201</w:t>
      </w:r>
      <w:r w:rsidR="00AD18D5">
        <w:rPr>
          <w:rFonts w:eastAsiaTheme="minorHAnsi"/>
        </w:rPr>
        <w:t>3, në 225 shkolla në vitin 2016;</w:t>
      </w:r>
    </w:p>
    <w:p w:rsidR="00F26392" w:rsidRPr="00F26392" w:rsidRDefault="00F26392" w:rsidP="002C5B1B">
      <w:pPr>
        <w:pStyle w:val="ListParagraph"/>
        <w:numPr>
          <w:ilvl w:val="0"/>
          <w:numId w:val="70"/>
        </w:numPr>
        <w:spacing w:after="120" w:line="276" w:lineRule="auto"/>
        <w:rPr>
          <w:rFonts w:eastAsiaTheme="minorHAnsi"/>
        </w:rPr>
      </w:pPr>
      <w:r w:rsidRPr="00F26392">
        <w:rPr>
          <w:rFonts w:eastAsiaTheme="minorHAnsi"/>
        </w:rPr>
        <w:t>Akreditimi institucional i të gjitha IAL-ve nga ekspertë</w:t>
      </w:r>
      <w:r w:rsidR="00AD18D5">
        <w:rPr>
          <w:rFonts w:eastAsiaTheme="minorHAnsi"/>
        </w:rPr>
        <w:t xml:space="preserve"> të një agjencie anëtare e ENQA;</w:t>
      </w:r>
    </w:p>
    <w:p w:rsidR="00F26392" w:rsidRPr="00F26392" w:rsidRDefault="00F26392" w:rsidP="002C5B1B">
      <w:pPr>
        <w:pStyle w:val="ListParagraph"/>
        <w:numPr>
          <w:ilvl w:val="0"/>
          <w:numId w:val="70"/>
        </w:numPr>
        <w:spacing w:after="120" w:line="276" w:lineRule="auto"/>
        <w:rPr>
          <w:rFonts w:eastAsiaTheme="minorHAnsi"/>
        </w:rPr>
      </w:pPr>
      <w:r w:rsidRPr="00F26392">
        <w:rPr>
          <w:rFonts w:eastAsiaTheme="minorHAnsi"/>
        </w:rPr>
        <w:t>Janë mbështetur 20 sportis</w:t>
      </w:r>
      <w:r w:rsidR="00AD18D5">
        <w:rPr>
          <w:rFonts w:eastAsiaTheme="minorHAnsi"/>
        </w:rPr>
        <w:t>të elitarë nëpërmjet Federateve;</w:t>
      </w:r>
    </w:p>
    <w:p w:rsidR="00F26392" w:rsidRPr="00F26392" w:rsidRDefault="00F26392" w:rsidP="002C5B1B">
      <w:pPr>
        <w:pStyle w:val="ListParagraph"/>
        <w:numPr>
          <w:ilvl w:val="0"/>
          <w:numId w:val="70"/>
        </w:numPr>
        <w:spacing w:after="120" w:line="276" w:lineRule="auto"/>
        <w:rPr>
          <w:rFonts w:eastAsiaTheme="minorHAnsi"/>
        </w:rPr>
      </w:pPr>
      <w:r w:rsidRPr="00F26392">
        <w:rPr>
          <w:rFonts w:eastAsiaTheme="minorHAnsi"/>
        </w:rPr>
        <w:t>Janë rritur kapacitet akademike duke garantuar standardin 5-8 m2 për student sipas nev</w:t>
      </w:r>
      <w:r w:rsidR="00AD18D5">
        <w:rPr>
          <w:rFonts w:eastAsiaTheme="minorHAnsi"/>
        </w:rPr>
        <w:t>ojave të programeve të studimit;</w:t>
      </w:r>
    </w:p>
    <w:p w:rsidR="00C75272" w:rsidRPr="00AD18D5" w:rsidRDefault="00F26392" w:rsidP="002C5B1B">
      <w:pPr>
        <w:pStyle w:val="ListParagraph"/>
        <w:numPr>
          <w:ilvl w:val="0"/>
          <w:numId w:val="70"/>
        </w:numPr>
        <w:spacing w:after="120" w:line="276" w:lineRule="auto"/>
        <w:rPr>
          <w:rFonts w:eastAsiaTheme="minorHAnsi"/>
        </w:rPr>
      </w:pPr>
      <w:r w:rsidRPr="00F26392">
        <w:rPr>
          <w:rFonts w:eastAsiaTheme="minorHAnsi"/>
        </w:rPr>
        <w:lastRenderedPageBreak/>
        <w:t>Realizimi i plotë online i proces</w:t>
      </w:r>
      <w:r w:rsidR="00E91936">
        <w:rPr>
          <w:rFonts w:eastAsiaTheme="minorHAnsi"/>
        </w:rPr>
        <w:t>e</w:t>
      </w:r>
      <w:r w:rsidRPr="00F26392">
        <w:rPr>
          <w:rFonts w:eastAsiaTheme="minorHAnsi"/>
        </w:rPr>
        <w:t>ve t</w:t>
      </w:r>
      <w:r w:rsidR="00AD18D5">
        <w:rPr>
          <w:rFonts w:eastAsiaTheme="minorHAnsi"/>
        </w:rPr>
        <w:t>ë pranimit të studentëve në IAL;</w:t>
      </w:r>
    </w:p>
    <w:p w:rsidR="00C75272" w:rsidRPr="00C5541C" w:rsidRDefault="00C75272" w:rsidP="00C75272">
      <w:pPr>
        <w:spacing w:line="276" w:lineRule="auto"/>
        <w:rPr>
          <w:b/>
        </w:rPr>
      </w:pPr>
    </w:p>
    <w:p w:rsidR="00C75272" w:rsidRPr="00C5541C" w:rsidRDefault="00C75272" w:rsidP="00C75272">
      <w:pPr>
        <w:spacing w:line="276" w:lineRule="auto"/>
        <w:jc w:val="both"/>
        <w:rPr>
          <w:b/>
        </w:rPr>
      </w:pPr>
      <w:r w:rsidRPr="00C5541C">
        <w:rPr>
          <w:b/>
        </w:rPr>
        <w:t>Prioritete</w:t>
      </w:r>
      <w:r w:rsidR="00BC2842">
        <w:rPr>
          <w:b/>
        </w:rPr>
        <w:t>t</w:t>
      </w:r>
      <w:r w:rsidRPr="00C5541C">
        <w:rPr>
          <w:b/>
        </w:rPr>
        <w:t xml:space="preserve"> për </w:t>
      </w:r>
      <w:r w:rsidR="00BC2842">
        <w:rPr>
          <w:b/>
        </w:rPr>
        <w:t>periudh</w:t>
      </w:r>
      <w:r w:rsidR="00122326">
        <w:rPr>
          <w:b/>
        </w:rPr>
        <w:t>ë</w:t>
      </w:r>
      <w:r w:rsidR="00BC2842">
        <w:rPr>
          <w:b/>
        </w:rPr>
        <w:t>n</w:t>
      </w:r>
      <w:r w:rsidRPr="00C5541C">
        <w:rPr>
          <w:b/>
        </w:rPr>
        <w:t xml:space="preserve"> 2018</w:t>
      </w:r>
      <w:r w:rsidR="00BC2842">
        <w:rPr>
          <w:b/>
        </w:rPr>
        <w:t>-2020</w:t>
      </w:r>
    </w:p>
    <w:p w:rsidR="00AD18D5" w:rsidRDefault="00AD18D5" w:rsidP="00C75272">
      <w:pPr>
        <w:spacing w:line="276" w:lineRule="auto"/>
        <w:jc w:val="both"/>
        <w:rPr>
          <w:b/>
        </w:rPr>
      </w:pPr>
    </w:p>
    <w:p w:rsidR="00BC2842" w:rsidRDefault="00BC2842" w:rsidP="00C75272">
      <w:pPr>
        <w:spacing w:line="276" w:lineRule="auto"/>
        <w:jc w:val="both"/>
        <w:rPr>
          <w:b/>
          <w:i/>
        </w:rPr>
      </w:pPr>
      <w:r>
        <w:rPr>
          <w:b/>
          <w:i/>
        </w:rPr>
        <w:t>Arsimi Parashkollor</w:t>
      </w:r>
    </w:p>
    <w:p w:rsidR="00BC2842" w:rsidRDefault="00BC2842" w:rsidP="002C5B1B">
      <w:pPr>
        <w:pStyle w:val="ListParagraph"/>
        <w:numPr>
          <w:ilvl w:val="0"/>
          <w:numId w:val="74"/>
        </w:numPr>
        <w:spacing w:after="120"/>
        <w:jc w:val="both"/>
      </w:pPr>
      <w:r>
        <w:t>Në 2018 të sigurohet aksesi i fëmijëve në arsimin parashkollor në nivelin 85-86% per grupmoshën 3-6 vjeç.</w:t>
      </w:r>
    </w:p>
    <w:p w:rsidR="00BC2842" w:rsidRDefault="00BC2842" w:rsidP="002C5B1B">
      <w:pPr>
        <w:pStyle w:val="ListParagraph"/>
        <w:numPr>
          <w:ilvl w:val="0"/>
          <w:numId w:val="74"/>
        </w:numPr>
        <w:spacing w:after="120"/>
        <w:jc w:val="both"/>
      </w:pPr>
      <w:r>
        <w:t>Në 2020 do të sigurohet në nivelin 95-100% aksesi i fëmijëve te grupmoshës 3-6 vjeç në arsimin parashkollor.</w:t>
      </w:r>
    </w:p>
    <w:p w:rsidR="00E91936" w:rsidRPr="00BC2842" w:rsidRDefault="00E91936" w:rsidP="002C5B1B">
      <w:pPr>
        <w:pStyle w:val="ListParagraph"/>
        <w:numPr>
          <w:ilvl w:val="0"/>
          <w:numId w:val="74"/>
        </w:numPr>
        <w:spacing w:after="120"/>
        <w:jc w:val="both"/>
      </w:pPr>
      <w:r>
        <w:t>Në vitin 2018, do të sigurohen falas tekstet mësimore për rreth 33 mijë nxënësit e arsimit parashkollor, nga klasa e parë deri në klasën e pestë.</w:t>
      </w:r>
    </w:p>
    <w:p w:rsidR="00BC2842" w:rsidRDefault="00BC2842" w:rsidP="00C75272">
      <w:pPr>
        <w:spacing w:line="276" w:lineRule="auto"/>
        <w:jc w:val="both"/>
        <w:rPr>
          <w:b/>
          <w:i/>
        </w:rPr>
      </w:pPr>
    </w:p>
    <w:p w:rsidR="00C75272" w:rsidRPr="00AD18D5" w:rsidRDefault="00AD18D5" w:rsidP="00C75272">
      <w:pPr>
        <w:spacing w:line="276" w:lineRule="auto"/>
        <w:jc w:val="both"/>
        <w:rPr>
          <w:b/>
          <w:i/>
        </w:rPr>
      </w:pPr>
      <w:r w:rsidRPr="00AD18D5">
        <w:rPr>
          <w:b/>
          <w:i/>
        </w:rPr>
        <w:t>Arsimi Parauniversitar</w:t>
      </w:r>
    </w:p>
    <w:p w:rsidR="00AD18D5" w:rsidRDefault="00AD18D5" w:rsidP="002C5B1B">
      <w:pPr>
        <w:pStyle w:val="ListParagraph"/>
        <w:numPr>
          <w:ilvl w:val="0"/>
          <w:numId w:val="73"/>
        </w:numPr>
        <w:spacing w:after="120" w:line="276" w:lineRule="auto"/>
        <w:jc w:val="both"/>
      </w:pPr>
      <w:r w:rsidRPr="00AD18D5">
        <w:t>Në vitin 2020, synohet të ketë jo më shumë se 28 - 30 nxënës për klasë në zonën urbane, e cila do të mundësohet përmes investime</w:t>
      </w:r>
      <w:r>
        <w:t>ve në infrastrukturën shkollore;</w:t>
      </w:r>
    </w:p>
    <w:p w:rsidR="00AD18D5" w:rsidRDefault="00AD18D5" w:rsidP="002C5B1B">
      <w:pPr>
        <w:pStyle w:val="ListParagraph"/>
        <w:numPr>
          <w:ilvl w:val="0"/>
          <w:numId w:val="73"/>
        </w:numPr>
        <w:spacing w:after="120" w:line="276" w:lineRule="auto"/>
        <w:jc w:val="both"/>
      </w:pPr>
      <w:r>
        <w:t>N</w:t>
      </w:r>
      <w:r w:rsidR="00122326">
        <w:t>ë</w:t>
      </w:r>
      <w:r>
        <w:t xml:space="preserve"> vitin 2020, synohet t</w:t>
      </w:r>
      <w:r w:rsidRPr="00AD18D5">
        <w:t xml:space="preserve">ë reduktohet braktisja shkollore në arsimin bazë, duke synuar drejt braktisjes </w:t>
      </w:r>
      <w:r>
        <w:t>0 nga 0.57% që është aktualisht;</w:t>
      </w:r>
    </w:p>
    <w:p w:rsidR="00AD18D5" w:rsidRDefault="00BC2842" w:rsidP="002C5B1B">
      <w:pPr>
        <w:pStyle w:val="ListParagraph"/>
        <w:numPr>
          <w:ilvl w:val="0"/>
          <w:numId w:val="73"/>
        </w:numPr>
        <w:spacing w:after="120" w:line="276" w:lineRule="auto"/>
        <w:jc w:val="both"/>
      </w:pPr>
      <w:r w:rsidRPr="00BC2842">
        <w:t>Deri në vitin 2020 synohet të përmir</w:t>
      </w:r>
      <w:r w:rsidR="00122326">
        <w:t>ë</w:t>
      </w:r>
      <w:r w:rsidRPr="00BC2842">
        <w:t>sohet rezul</w:t>
      </w:r>
      <w:r>
        <w:t>t</w:t>
      </w:r>
      <w:r w:rsidRPr="00BC2842">
        <w:t>ati dhe renditja e Shqipërisë në vlerësimin ndërkombëtar PISA</w:t>
      </w:r>
      <w:r>
        <w:t>;</w:t>
      </w:r>
    </w:p>
    <w:p w:rsidR="00BC2842" w:rsidRDefault="00BC2842" w:rsidP="002C5B1B">
      <w:pPr>
        <w:pStyle w:val="ListParagraph"/>
        <w:numPr>
          <w:ilvl w:val="0"/>
          <w:numId w:val="73"/>
        </w:numPr>
        <w:spacing w:after="120" w:line="276" w:lineRule="auto"/>
        <w:jc w:val="both"/>
      </w:pPr>
      <w:r w:rsidRPr="00BC2842">
        <w:t>Deri në 2020, i gjithe sistemi arsimor parauniversitar do të punojë me kurrikulat dhe tekstet e reja,  të njëjta me kurrikulat analoge të BE</w:t>
      </w:r>
      <w:r>
        <w:t>;</w:t>
      </w:r>
    </w:p>
    <w:p w:rsidR="00BC2842" w:rsidRDefault="00BC2842" w:rsidP="002C5B1B">
      <w:pPr>
        <w:pStyle w:val="ListParagraph"/>
        <w:numPr>
          <w:ilvl w:val="0"/>
          <w:numId w:val="73"/>
        </w:numPr>
        <w:spacing w:after="120" w:line="276" w:lineRule="auto"/>
        <w:jc w:val="both"/>
      </w:pPr>
      <w:r w:rsidRPr="00BC2842">
        <w:t xml:space="preserve">Në vitin 2018 do të rritet me 20% numri </w:t>
      </w:r>
      <w:r>
        <w:t xml:space="preserve">i </w:t>
      </w:r>
      <w:r w:rsidRPr="00BC2842">
        <w:t>S</w:t>
      </w:r>
      <w:r>
        <w:t xml:space="preserve">hkollave </w:t>
      </w:r>
      <w:r w:rsidRPr="00BC2842">
        <w:t>Q</w:t>
      </w:r>
      <w:r>
        <w:t>end</w:t>
      </w:r>
      <w:r w:rsidR="00122326">
        <w:t>ë</w:t>
      </w:r>
      <w:r>
        <w:t xml:space="preserve">r </w:t>
      </w:r>
      <w:r w:rsidRPr="00BC2842">
        <w:t>K</w:t>
      </w:r>
      <w:r>
        <w:t>omunitare;</w:t>
      </w:r>
    </w:p>
    <w:p w:rsidR="00BC2842" w:rsidRDefault="00BC2842" w:rsidP="002C5B1B">
      <w:pPr>
        <w:pStyle w:val="ListParagraph"/>
        <w:numPr>
          <w:ilvl w:val="0"/>
          <w:numId w:val="73"/>
        </w:numPr>
        <w:spacing w:after="120" w:line="276" w:lineRule="auto"/>
        <w:jc w:val="both"/>
      </w:pPr>
      <w:r>
        <w:t>N</w:t>
      </w:r>
      <w:r w:rsidR="00122326">
        <w:t>ë</w:t>
      </w:r>
      <w:r>
        <w:t xml:space="preserve"> 2020, </w:t>
      </w:r>
      <w:r w:rsidRPr="00BC2842">
        <w:t>në arsimin bazë synohet të dyfishohet numri i psikologeve dhe punonjësve sociale</w:t>
      </w:r>
      <w:r>
        <w:t>;</w:t>
      </w:r>
    </w:p>
    <w:p w:rsidR="00BC2842" w:rsidRDefault="00BC2842" w:rsidP="002C5B1B">
      <w:pPr>
        <w:pStyle w:val="ListParagraph"/>
        <w:numPr>
          <w:ilvl w:val="0"/>
          <w:numId w:val="73"/>
        </w:numPr>
        <w:spacing w:after="120" w:line="276" w:lineRule="auto"/>
        <w:jc w:val="both"/>
      </w:pPr>
      <w:r w:rsidRPr="00BC2842">
        <w:t xml:space="preserve">Deri në 2020 </w:t>
      </w:r>
      <w:r>
        <w:t>ç</w:t>
      </w:r>
      <w:r w:rsidRPr="00BC2842">
        <w:t>do shkollë e mesme do të ketë një psikolog dhe/ose një punonjës social</w:t>
      </w:r>
      <w:r>
        <w:t>;</w:t>
      </w:r>
    </w:p>
    <w:p w:rsidR="00BC2842" w:rsidRDefault="00BC2842" w:rsidP="002C5B1B">
      <w:pPr>
        <w:pStyle w:val="ListParagraph"/>
        <w:numPr>
          <w:ilvl w:val="0"/>
          <w:numId w:val="73"/>
        </w:numPr>
        <w:spacing w:after="120" w:line="276" w:lineRule="auto"/>
        <w:jc w:val="both"/>
      </w:pPr>
      <w:r w:rsidRPr="00BC2842">
        <w:t>Deri në 2020, 100% e shkollave do të kenë shërbimin e internetit</w:t>
      </w:r>
      <w:r>
        <w:t>, nga 85% q</w:t>
      </w:r>
      <w:r w:rsidR="00122326">
        <w:t>ë</w:t>
      </w:r>
      <w:r>
        <w:t xml:space="preserve"> e ofrojn</w:t>
      </w:r>
      <w:r w:rsidR="00122326">
        <w:t>ë</w:t>
      </w:r>
      <w:r>
        <w:t xml:space="preserve"> aktualisht;</w:t>
      </w:r>
    </w:p>
    <w:p w:rsidR="00BC2842" w:rsidRDefault="00BC2842" w:rsidP="002C5B1B">
      <w:pPr>
        <w:pStyle w:val="ListParagraph"/>
        <w:numPr>
          <w:ilvl w:val="0"/>
          <w:numId w:val="73"/>
        </w:numPr>
        <w:spacing w:after="120" w:line="276" w:lineRule="auto"/>
        <w:jc w:val="both"/>
      </w:pPr>
      <w:r>
        <w:t xml:space="preserve">Deri në 2020 do të sigurohet një trajnimi dhe kualifikimi i të gjithë mësuesëve ku çdo mësues do të trajnohet dhe kualifikohet sipas nevoj|ave të identifikuara; </w:t>
      </w:r>
    </w:p>
    <w:p w:rsidR="00BF2B5E" w:rsidRPr="00EA68C2" w:rsidRDefault="00BC2842" w:rsidP="00C61801">
      <w:pPr>
        <w:pStyle w:val="ListParagraph"/>
        <w:numPr>
          <w:ilvl w:val="0"/>
          <w:numId w:val="73"/>
        </w:numPr>
        <w:spacing w:after="120" w:line="276" w:lineRule="auto"/>
        <w:jc w:val="both"/>
        <w:rPr>
          <w:b/>
          <w:i/>
        </w:rPr>
      </w:pPr>
      <w:r>
        <w:t>Do të realizohet monitorim online dhe inspektim në terren i cilësisë t</w:t>
      </w:r>
      <w:r w:rsidR="00122326">
        <w:t>ë</w:t>
      </w:r>
      <w:r>
        <w:t xml:space="preserve"> trajnimeve të ofruara nga agjencitë e akredituara p</w:t>
      </w:r>
      <w:r w:rsidR="00122326">
        <w:t>ë</w:t>
      </w:r>
      <w:r w:rsidR="00EA68C2">
        <w:t>r ofrimin e këtij shërbimi.</w:t>
      </w:r>
    </w:p>
    <w:p w:rsidR="00BC2842" w:rsidRPr="00EA68C2" w:rsidRDefault="00BC2842" w:rsidP="00BC2842">
      <w:pPr>
        <w:spacing w:line="276" w:lineRule="auto"/>
        <w:jc w:val="both"/>
        <w:rPr>
          <w:b/>
        </w:rPr>
      </w:pPr>
      <w:r w:rsidRPr="00EA68C2">
        <w:rPr>
          <w:b/>
        </w:rPr>
        <w:t>Arsimi Gjith</w:t>
      </w:r>
      <w:r w:rsidR="00122326" w:rsidRPr="00EA68C2">
        <w:rPr>
          <w:b/>
        </w:rPr>
        <w:t>ë</w:t>
      </w:r>
      <w:r w:rsidRPr="00EA68C2">
        <w:rPr>
          <w:b/>
        </w:rPr>
        <w:t>p</w:t>
      </w:r>
      <w:r w:rsidR="00122326" w:rsidRPr="00EA68C2">
        <w:rPr>
          <w:b/>
        </w:rPr>
        <w:t>ë</w:t>
      </w:r>
      <w:r w:rsidRPr="00EA68C2">
        <w:rPr>
          <w:b/>
        </w:rPr>
        <w:t>rfshir</w:t>
      </w:r>
      <w:r w:rsidR="00122326" w:rsidRPr="00EA68C2">
        <w:rPr>
          <w:b/>
        </w:rPr>
        <w:t>ë</w:t>
      </w:r>
      <w:r w:rsidRPr="00EA68C2">
        <w:rPr>
          <w:b/>
        </w:rPr>
        <w:t>s</w:t>
      </w:r>
    </w:p>
    <w:p w:rsidR="00BC2842" w:rsidRDefault="00BC2842" w:rsidP="002C5B1B">
      <w:pPr>
        <w:pStyle w:val="ListParagraph"/>
        <w:numPr>
          <w:ilvl w:val="0"/>
          <w:numId w:val="75"/>
        </w:numPr>
        <w:spacing w:line="276" w:lineRule="auto"/>
        <w:jc w:val="both"/>
        <w:rPr>
          <w:rFonts w:eastAsia="Times New Roman"/>
          <w:noProof/>
          <w:lang w:eastAsia="ja-JP"/>
        </w:rPr>
      </w:pPr>
      <w:r w:rsidRPr="00BC2842">
        <w:rPr>
          <w:rFonts w:eastAsia="Times New Roman"/>
          <w:noProof/>
          <w:lang w:eastAsia="ja-JP"/>
        </w:rPr>
        <w:t>Do të sigurohet arsim cilësor dhe gjithëpërfshirës më synim 100% e f</w:t>
      </w:r>
      <w:r w:rsidR="00E91936">
        <w:rPr>
          <w:rFonts w:eastAsia="Times New Roman"/>
          <w:noProof/>
          <w:lang w:eastAsia="ja-JP"/>
        </w:rPr>
        <w:t>ë</w:t>
      </w:r>
      <w:r w:rsidRPr="00BC2842">
        <w:rPr>
          <w:rFonts w:eastAsia="Times New Roman"/>
          <w:noProof/>
          <w:lang w:eastAsia="ja-JP"/>
        </w:rPr>
        <w:t>mijëve të grupmoshës 6-16 v</w:t>
      </w:r>
      <w:r>
        <w:rPr>
          <w:rFonts w:eastAsia="Times New Roman"/>
          <w:noProof/>
          <w:lang w:eastAsia="ja-JP"/>
        </w:rPr>
        <w:t>jeç të ndjekin arsimin 9-vjeçar;</w:t>
      </w:r>
      <w:r w:rsidRPr="00BC2842">
        <w:rPr>
          <w:rFonts w:eastAsia="Times New Roman"/>
          <w:noProof/>
          <w:lang w:eastAsia="ja-JP"/>
        </w:rPr>
        <w:t xml:space="preserve"> </w:t>
      </w:r>
    </w:p>
    <w:p w:rsidR="00BC2842" w:rsidRDefault="00BC2842" w:rsidP="002C5B1B">
      <w:pPr>
        <w:pStyle w:val="ListParagraph"/>
        <w:numPr>
          <w:ilvl w:val="0"/>
          <w:numId w:val="75"/>
        </w:numPr>
        <w:spacing w:line="276" w:lineRule="auto"/>
        <w:jc w:val="both"/>
        <w:rPr>
          <w:rFonts w:eastAsia="Times New Roman"/>
          <w:noProof/>
          <w:lang w:eastAsia="ja-JP"/>
        </w:rPr>
      </w:pPr>
      <w:r w:rsidRPr="00BC2842">
        <w:rPr>
          <w:rFonts w:eastAsia="Times New Roman"/>
          <w:noProof/>
          <w:lang w:eastAsia="ja-JP"/>
        </w:rPr>
        <w:t xml:space="preserve">Rritja e treguesit të regjistrimit me 10-15% ose 350-500 fëmijë për nxënësit romë dhe egjiptianë, 10% për nxënësit me  </w:t>
      </w:r>
      <w:r>
        <w:rPr>
          <w:rFonts w:eastAsia="Times New Roman"/>
          <w:noProof/>
          <w:lang w:eastAsia="ja-JP"/>
        </w:rPr>
        <w:t>Aft</w:t>
      </w:r>
      <w:r w:rsidR="00122326">
        <w:rPr>
          <w:rFonts w:eastAsia="Times New Roman"/>
          <w:noProof/>
          <w:lang w:eastAsia="ja-JP"/>
        </w:rPr>
        <w:t>ë</w:t>
      </w:r>
      <w:r>
        <w:rPr>
          <w:rFonts w:eastAsia="Times New Roman"/>
          <w:noProof/>
          <w:lang w:eastAsia="ja-JP"/>
        </w:rPr>
        <w:t>si t</w:t>
      </w:r>
      <w:r w:rsidR="00122326">
        <w:rPr>
          <w:rFonts w:eastAsia="Times New Roman"/>
          <w:noProof/>
          <w:lang w:eastAsia="ja-JP"/>
        </w:rPr>
        <w:t>ë</w:t>
      </w:r>
      <w:r>
        <w:rPr>
          <w:rFonts w:eastAsia="Times New Roman"/>
          <w:noProof/>
          <w:lang w:eastAsia="ja-JP"/>
        </w:rPr>
        <w:t xml:space="preserve"> Kufizuar;</w:t>
      </w:r>
    </w:p>
    <w:p w:rsidR="00AD18D5" w:rsidRDefault="00BC2842" w:rsidP="002C5B1B">
      <w:pPr>
        <w:pStyle w:val="ListParagraph"/>
        <w:numPr>
          <w:ilvl w:val="0"/>
          <w:numId w:val="75"/>
        </w:numPr>
        <w:spacing w:line="276" w:lineRule="auto"/>
        <w:jc w:val="both"/>
        <w:rPr>
          <w:rFonts w:eastAsia="Times New Roman"/>
          <w:noProof/>
          <w:lang w:eastAsia="ja-JP"/>
        </w:rPr>
      </w:pPr>
      <w:r>
        <w:rPr>
          <w:rFonts w:eastAsia="Times New Roman"/>
          <w:noProof/>
          <w:lang w:eastAsia="ja-JP"/>
        </w:rPr>
        <w:t>N</w:t>
      </w:r>
      <w:r w:rsidR="00122326">
        <w:rPr>
          <w:rFonts w:eastAsia="Times New Roman"/>
          <w:noProof/>
          <w:lang w:eastAsia="ja-JP"/>
        </w:rPr>
        <w:t>ë</w:t>
      </w:r>
      <w:r>
        <w:rPr>
          <w:rFonts w:eastAsia="Times New Roman"/>
          <w:noProof/>
          <w:lang w:eastAsia="ja-JP"/>
        </w:rPr>
        <w:t xml:space="preserve"> 2020, s</w:t>
      </w:r>
      <w:r w:rsidRPr="00BC2842">
        <w:rPr>
          <w:rFonts w:eastAsia="Times New Roman"/>
          <w:noProof/>
          <w:lang w:eastAsia="ja-JP"/>
        </w:rPr>
        <w:t>ynohet dyfishimi i mësues</w:t>
      </w:r>
      <w:r>
        <w:rPr>
          <w:rFonts w:eastAsia="Times New Roman"/>
          <w:noProof/>
          <w:lang w:eastAsia="ja-JP"/>
        </w:rPr>
        <w:t>ëve ndihmës për fëmijët me AK, n</w:t>
      </w:r>
      <w:r w:rsidRPr="00BC2842">
        <w:rPr>
          <w:rFonts w:eastAsia="Times New Roman"/>
          <w:noProof/>
          <w:lang w:eastAsia="ja-JP"/>
        </w:rPr>
        <w:t>ga 310 mësues që janë aktualisht</w:t>
      </w:r>
      <w:r>
        <w:rPr>
          <w:rFonts w:eastAsia="Times New Roman"/>
          <w:noProof/>
          <w:lang w:eastAsia="ja-JP"/>
        </w:rPr>
        <w:t>;</w:t>
      </w:r>
    </w:p>
    <w:p w:rsidR="00BC2842" w:rsidRDefault="00BC2842" w:rsidP="00BC2842">
      <w:pPr>
        <w:spacing w:line="276" w:lineRule="auto"/>
        <w:jc w:val="both"/>
        <w:rPr>
          <w:rFonts w:eastAsia="Times New Roman"/>
          <w:noProof/>
          <w:lang w:eastAsia="ja-JP"/>
        </w:rPr>
      </w:pPr>
    </w:p>
    <w:p w:rsidR="00BC2842" w:rsidRPr="00BC2842" w:rsidRDefault="00BC2842" w:rsidP="00BC2842">
      <w:pPr>
        <w:spacing w:line="276" w:lineRule="auto"/>
        <w:jc w:val="both"/>
        <w:rPr>
          <w:rFonts w:eastAsia="Times New Roman"/>
          <w:b/>
          <w:i/>
          <w:noProof/>
          <w:lang w:eastAsia="ja-JP"/>
        </w:rPr>
      </w:pPr>
      <w:r w:rsidRPr="00BC2842">
        <w:rPr>
          <w:rFonts w:eastAsia="Times New Roman"/>
          <w:b/>
          <w:i/>
          <w:noProof/>
          <w:lang w:eastAsia="ja-JP"/>
        </w:rPr>
        <w:t>Arsimi i Lart</w:t>
      </w:r>
      <w:r w:rsidR="00122326">
        <w:rPr>
          <w:rFonts w:eastAsia="Times New Roman"/>
          <w:b/>
          <w:i/>
          <w:noProof/>
          <w:lang w:eastAsia="ja-JP"/>
        </w:rPr>
        <w:t>ë</w:t>
      </w:r>
      <w:r w:rsidRPr="00BC2842">
        <w:rPr>
          <w:rFonts w:eastAsia="Times New Roman"/>
          <w:b/>
          <w:i/>
          <w:noProof/>
          <w:lang w:eastAsia="ja-JP"/>
        </w:rPr>
        <w:t xml:space="preserve"> dhe K</w:t>
      </w:r>
      <w:r w:rsidR="00122326">
        <w:rPr>
          <w:rFonts w:eastAsia="Times New Roman"/>
          <w:b/>
          <w:i/>
          <w:noProof/>
          <w:lang w:eastAsia="ja-JP"/>
        </w:rPr>
        <w:t>ë</w:t>
      </w:r>
      <w:r w:rsidRPr="00BC2842">
        <w:rPr>
          <w:rFonts w:eastAsia="Times New Roman"/>
          <w:b/>
          <w:i/>
          <w:noProof/>
          <w:lang w:eastAsia="ja-JP"/>
        </w:rPr>
        <w:t>rkimi Shkencor</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100% e IAL të sigurojnë akreditim Institucional e akreditim program studimi në vitin 2020</w:t>
      </w:r>
      <w:r>
        <w:rPr>
          <w:rFonts w:eastAsia="Times New Roman"/>
          <w:noProof/>
          <w:lang w:eastAsia="ja-JP"/>
        </w:rPr>
        <w:t>;</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100% të IAL- me kurrikula dhe programe të reformuara  K E K në 2018;</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lastRenderedPageBreak/>
        <w:t>Të sigurohet standardi një vend pune për dy studentë në laborator kërkimorë shkencorë</w:t>
      </w:r>
      <w:r>
        <w:rPr>
          <w:rFonts w:eastAsia="Times New Roman"/>
          <w:noProof/>
          <w:lang w:eastAsia="ja-JP"/>
        </w:rPr>
        <w:t>;</w:t>
      </w:r>
      <w:r w:rsidRPr="00F9549A">
        <w:rPr>
          <w:rFonts w:eastAsia="Times New Roman"/>
          <w:noProof/>
          <w:lang w:eastAsia="ja-JP"/>
        </w:rPr>
        <w:t xml:space="preserve"> </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Të sigurohet standardi 5-8 m2 për student sipas natyrës së programit të studimeve;</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Rritja e përputhshmërisë së kurrikulave në tregun e punës me 100% në 2020;</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100% e të dhënave të stafit akademik, të studentëve, të karrierës akademike, diplomimit, janë në regjistrin EK;</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95% e doktorantëve janë pjesë e stafeve me kohë të plotë e departamenteve në 2020</w:t>
      </w:r>
      <w:r>
        <w:rPr>
          <w:rFonts w:eastAsia="Times New Roman"/>
          <w:noProof/>
          <w:lang w:eastAsia="ja-JP"/>
        </w:rPr>
        <w:t>;</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30% e financimit për kërkimin shkencor në IAL vjen nga ente private në 2020;</w:t>
      </w:r>
    </w:p>
    <w:p w:rsidR="00F9549A" w:rsidRPr="00F9549A" w:rsidRDefault="00F9549A" w:rsidP="002C5B1B">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Rritja e mobilitetit të stafit dhe studentëve me 20% në 2018 dhe 40% në 2019 dhe 60% në vitin 2020;</w:t>
      </w:r>
    </w:p>
    <w:p w:rsidR="00BC2842" w:rsidRPr="00957B42" w:rsidRDefault="00F9549A" w:rsidP="00BC2842">
      <w:pPr>
        <w:pStyle w:val="ListParagraph"/>
        <w:numPr>
          <w:ilvl w:val="0"/>
          <w:numId w:val="76"/>
        </w:numPr>
        <w:spacing w:after="120" w:line="276" w:lineRule="auto"/>
        <w:jc w:val="both"/>
        <w:rPr>
          <w:rFonts w:eastAsia="Times New Roman"/>
          <w:noProof/>
          <w:lang w:eastAsia="ja-JP"/>
        </w:rPr>
      </w:pPr>
      <w:r w:rsidRPr="00F9549A">
        <w:rPr>
          <w:rFonts w:eastAsia="Times New Roman"/>
          <w:noProof/>
          <w:lang w:eastAsia="ja-JP"/>
        </w:rPr>
        <w:t>100% e studenteve ekselente, studente ne nevoje të perfitojnë bursa e kredi studentore në 2020;</w:t>
      </w:r>
    </w:p>
    <w:p w:rsidR="00957B42" w:rsidRPr="009314E7" w:rsidRDefault="00957B42" w:rsidP="00BC2842">
      <w:pPr>
        <w:spacing w:line="276" w:lineRule="auto"/>
        <w:jc w:val="both"/>
        <w:rPr>
          <w:rFonts w:eastAsia="Times New Roman"/>
          <w:noProof/>
          <w:sz w:val="16"/>
          <w:szCs w:val="16"/>
          <w:lang w:eastAsia="ja-JP"/>
        </w:rPr>
      </w:pPr>
    </w:p>
    <w:p w:rsidR="00957B42" w:rsidRPr="00C5541C" w:rsidRDefault="00957B42" w:rsidP="00957B42">
      <w:pPr>
        <w:spacing w:after="200" w:line="276" w:lineRule="auto"/>
        <w:jc w:val="both"/>
        <w:rPr>
          <w:rFonts w:eastAsiaTheme="minorHAnsi"/>
          <w:b/>
        </w:rPr>
      </w:pPr>
      <w:r>
        <w:rPr>
          <w:rFonts w:eastAsiaTheme="minorHAnsi"/>
          <w:b/>
        </w:rPr>
        <w:t>ARSIMI PROFE</w:t>
      </w:r>
      <w:r w:rsidRPr="00C5541C">
        <w:rPr>
          <w:rFonts w:eastAsiaTheme="minorHAnsi"/>
          <w:b/>
        </w:rPr>
        <w:t>SIONAL DHE PUNËSIMI</w:t>
      </w:r>
    </w:p>
    <w:p w:rsidR="00957B42" w:rsidRPr="001C2564" w:rsidRDefault="00957B42" w:rsidP="00957B42">
      <w:pPr>
        <w:spacing w:after="200" w:line="276" w:lineRule="auto"/>
        <w:contextualSpacing/>
        <w:jc w:val="both"/>
        <w:rPr>
          <w:rFonts w:eastAsiaTheme="minorHAnsi"/>
          <w:b/>
        </w:rPr>
      </w:pPr>
      <w:r w:rsidRPr="001C2564">
        <w:rPr>
          <w:rFonts w:eastAsiaTheme="minorHAnsi"/>
          <w:b/>
        </w:rPr>
        <w:t>Arritjet për vitin 2017</w:t>
      </w:r>
    </w:p>
    <w:p w:rsidR="00957B42" w:rsidRPr="00E31ADC" w:rsidRDefault="00957B42" w:rsidP="00957B42">
      <w:pPr>
        <w:pStyle w:val="ListParagraph"/>
        <w:numPr>
          <w:ilvl w:val="0"/>
          <w:numId w:val="90"/>
        </w:numPr>
        <w:spacing w:after="200" w:line="276" w:lineRule="auto"/>
        <w:contextualSpacing/>
        <w:jc w:val="both"/>
        <w:rPr>
          <w:rFonts w:eastAsiaTheme="minorHAnsi"/>
        </w:rPr>
      </w:pPr>
      <w:r w:rsidRPr="00E31ADC">
        <w:rPr>
          <w:rFonts w:eastAsiaTheme="minorHAnsi"/>
        </w:rPr>
        <w:t>Gjatë vitit 2017 arriti në 36% niveli i nxënësve të cilët vazhdojnë arsimin e mesëm në drejtimin e arsimit professional;</w:t>
      </w:r>
    </w:p>
    <w:p w:rsidR="00957B42" w:rsidRPr="00E31ADC" w:rsidRDefault="00957B42" w:rsidP="00957B42">
      <w:pPr>
        <w:pStyle w:val="ListParagraph"/>
        <w:numPr>
          <w:ilvl w:val="0"/>
          <w:numId w:val="90"/>
        </w:numPr>
        <w:spacing w:after="200" w:line="276" w:lineRule="auto"/>
        <w:contextualSpacing/>
        <w:jc w:val="both"/>
        <w:rPr>
          <w:rFonts w:eastAsiaTheme="minorHAnsi"/>
        </w:rPr>
      </w:pPr>
      <w:r w:rsidRPr="00E31ADC">
        <w:rPr>
          <w:rFonts w:eastAsiaTheme="minorHAnsi"/>
        </w:rPr>
        <w:t>Rritje me 5% e investimeve në AFP-të në laboratorë, pajisje, kurrikulat, material mësimore etj, rritja me 25% në krahasim me 1 vit më parë të nxënësve që regjistrohen në shkollat  AP;</w:t>
      </w:r>
    </w:p>
    <w:p w:rsidR="00957B42" w:rsidRPr="00E31ADC" w:rsidRDefault="00957B42" w:rsidP="00957B42">
      <w:pPr>
        <w:pStyle w:val="ListParagraph"/>
        <w:numPr>
          <w:ilvl w:val="0"/>
          <w:numId w:val="90"/>
        </w:numPr>
        <w:spacing w:after="200" w:line="276" w:lineRule="auto"/>
        <w:contextualSpacing/>
        <w:jc w:val="both"/>
        <w:rPr>
          <w:rFonts w:eastAsiaTheme="minorHAnsi"/>
        </w:rPr>
      </w:pPr>
      <w:r w:rsidRPr="00E31ADC">
        <w:rPr>
          <w:rFonts w:eastAsiaTheme="minorHAnsi"/>
        </w:rPr>
        <w:t>U krijua Këshilli kombëtar i Kornizës Shqiptare të Kualifikimeve ( KSHK) dhe komiteteve sektoriale me përfaqësim të partnerëve sociale dhe me një minimum përfaqësimi të femrave në masën 30%</w:t>
      </w:r>
    </w:p>
    <w:p w:rsidR="00957B42" w:rsidRPr="00E31ADC" w:rsidRDefault="00957B42" w:rsidP="00957B42">
      <w:pPr>
        <w:pStyle w:val="ListParagraph"/>
        <w:numPr>
          <w:ilvl w:val="0"/>
          <w:numId w:val="90"/>
        </w:numPr>
        <w:spacing w:after="200" w:line="276" w:lineRule="auto"/>
        <w:contextualSpacing/>
        <w:jc w:val="both"/>
        <w:rPr>
          <w:rFonts w:eastAsiaTheme="minorHAnsi"/>
        </w:rPr>
      </w:pPr>
      <w:r w:rsidRPr="00E31ADC">
        <w:rPr>
          <w:rFonts w:eastAsiaTheme="minorHAnsi"/>
        </w:rPr>
        <w:t xml:space="preserve">Shndërrimi </w:t>
      </w:r>
      <w:r>
        <w:rPr>
          <w:rFonts w:eastAsiaTheme="minorHAnsi"/>
        </w:rPr>
        <w:t>i</w:t>
      </w:r>
      <w:r w:rsidRPr="00E31ADC">
        <w:rPr>
          <w:rFonts w:eastAsiaTheme="minorHAnsi"/>
        </w:rPr>
        <w:t xml:space="preserve"> ofruesve vnë nivel rajonal (21) në qendra polifunksionale, në funksion të optimizimit të rrjetit të ofruesve, promovimi </w:t>
      </w:r>
      <w:r w:rsidR="00FC6327">
        <w:rPr>
          <w:rFonts w:eastAsiaTheme="minorHAnsi"/>
        </w:rPr>
        <w:t>i</w:t>
      </w:r>
      <w:r w:rsidRPr="00E31ADC">
        <w:rPr>
          <w:rFonts w:eastAsiaTheme="minorHAnsi"/>
        </w:rPr>
        <w:t xml:space="preserve"> një sistemi modern dhe gjithpërfshirës;</w:t>
      </w:r>
    </w:p>
    <w:p w:rsidR="00957B42" w:rsidRPr="00E31ADC" w:rsidRDefault="00957B42" w:rsidP="00957B42">
      <w:pPr>
        <w:pStyle w:val="ListParagraph"/>
        <w:numPr>
          <w:ilvl w:val="0"/>
          <w:numId w:val="90"/>
        </w:numPr>
        <w:spacing w:after="200" w:line="276" w:lineRule="auto"/>
        <w:contextualSpacing/>
        <w:jc w:val="both"/>
        <w:rPr>
          <w:rFonts w:eastAsiaTheme="minorHAnsi"/>
        </w:rPr>
      </w:pPr>
      <w:r w:rsidRPr="00E31ADC">
        <w:rPr>
          <w:rFonts w:eastAsiaTheme="minorHAnsi"/>
        </w:rPr>
        <w:t>Fondet e Nxitjes së Punësimit janë shumëfishuar vit pas viti.  Kështu, fondet e nxitjes së punësimit janë pesëfishuar, në krahasim me 5 vite më parë duke arritur vlerën e  490 milionë lekë në vitin 2017. Me këtë financim është arritur që:</w:t>
      </w:r>
    </w:p>
    <w:p w:rsidR="00957B42" w:rsidRPr="00E31ADC" w:rsidRDefault="00957B42" w:rsidP="00957B42">
      <w:pPr>
        <w:pStyle w:val="ListParagraph"/>
        <w:numPr>
          <w:ilvl w:val="1"/>
          <w:numId w:val="90"/>
        </w:numPr>
        <w:spacing w:after="200" w:line="276" w:lineRule="auto"/>
        <w:contextualSpacing/>
        <w:jc w:val="both"/>
        <w:rPr>
          <w:rFonts w:eastAsiaTheme="minorHAnsi"/>
        </w:rPr>
      </w:pPr>
      <w:r w:rsidRPr="00E31ADC">
        <w:rPr>
          <w:rFonts w:eastAsiaTheme="minorHAnsi"/>
        </w:rPr>
        <w:t xml:space="preserve">Numri i punëkërkuesve të papunë që trajtohen nga skemat e nxitjes së punësimit ka një rritje të konsiderueshme në mbi 7000 në vitin 2017. </w:t>
      </w:r>
    </w:p>
    <w:p w:rsidR="00957B42" w:rsidRPr="00E31ADC" w:rsidRDefault="00957B42" w:rsidP="00957B42">
      <w:pPr>
        <w:pStyle w:val="ListParagraph"/>
        <w:numPr>
          <w:ilvl w:val="1"/>
          <w:numId w:val="90"/>
        </w:numPr>
        <w:spacing w:after="200" w:line="276" w:lineRule="auto"/>
        <w:contextualSpacing/>
        <w:jc w:val="both"/>
        <w:rPr>
          <w:rFonts w:eastAsiaTheme="minorHAnsi"/>
        </w:rPr>
      </w:pPr>
      <w:r w:rsidRPr="00E31ADC">
        <w:rPr>
          <w:rFonts w:eastAsiaTheme="minorHAnsi"/>
        </w:rPr>
        <w:t>Janë zgjeruar fushat e zbatimit të programeve të nxitjes së punësimit deri në vitin 2017 në fusha të tilla si: industria prodhuese, industria e turizmit, teknologjia e informacionit, aktivitete të lidhura me bujqësinë dhe blektorinë, dhe industritë të tjera prioritare.</w:t>
      </w:r>
    </w:p>
    <w:p w:rsidR="00957B42" w:rsidRPr="00EA68C2" w:rsidRDefault="00957B42" w:rsidP="00EA68C2">
      <w:pPr>
        <w:spacing w:after="120" w:line="276" w:lineRule="auto"/>
        <w:jc w:val="both"/>
        <w:rPr>
          <w:rFonts w:eastAsia="Calibri"/>
          <w:b/>
          <w:lang w:val="sq-AL"/>
        </w:rPr>
      </w:pPr>
      <w:r>
        <w:rPr>
          <w:rFonts w:eastAsia="Calibri"/>
          <w:b/>
          <w:lang w:val="sq-AL"/>
        </w:rPr>
        <w:t xml:space="preserve">Prioritetet </w:t>
      </w:r>
      <w:r w:rsidRPr="00C5541C">
        <w:rPr>
          <w:rFonts w:eastAsia="Calibri"/>
          <w:b/>
          <w:lang w:val="sq-AL"/>
        </w:rPr>
        <w:t>p</w:t>
      </w:r>
      <w:r>
        <w:rPr>
          <w:rFonts w:eastAsia="Calibri"/>
          <w:b/>
          <w:lang w:val="sq-AL"/>
        </w:rPr>
        <w:t>ër vitin 2018</w:t>
      </w:r>
    </w:p>
    <w:p w:rsidR="00957B42" w:rsidRPr="00E31ADC" w:rsidRDefault="00957B42" w:rsidP="00957B42">
      <w:pPr>
        <w:pStyle w:val="ListParagraph"/>
        <w:numPr>
          <w:ilvl w:val="0"/>
          <w:numId w:val="91"/>
        </w:numPr>
        <w:spacing w:after="120" w:line="276" w:lineRule="auto"/>
        <w:jc w:val="both"/>
        <w:rPr>
          <w:lang w:val="sq-AL"/>
        </w:rPr>
      </w:pPr>
      <w:r w:rsidRPr="00E31ADC">
        <w:rPr>
          <w:color w:val="212121"/>
          <w:lang w:val="sq-AL"/>
        </w:rPr>
        <w:t>Prioritet në AFP do të mbetet cilësia nëpërmjet investimeve në infrastrukturë, programe dhe në zhvillimin profesional të mësimdhënësve;</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color w:val="212121"/>
          <w:lang w:val="sq-AL"/>
        </w:rPr>
        <w:t>R</w:t>
      </w:r>
      <w:r>
        <w:rPr>
          <w:color w:val="212121"/>
          <w:lang w:val="sq-AL"/>
        </w:rPr>
        <w:t>r</w:t>
      </w:r>
      <w:r w:rsidRPr="00C5541C">
        <w:rPr>
          <w:color w:val="212121"/>
          <w:lang w:val="sq-AL"/>
        </w:rPr>
        <w:t>itja e  marrëdhënies me partnerët socialë (biznesin), duke krijuar gjithnjë e më tepër mundësi që nxënësit të kualifikohen profesionalisht pranë biznesit;</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color w:val="212121"/>
          <w:lang w:val="sq-AL"/>
        </w:rPr>
        <w:t xml:space="preserve">Zhvillimi i procesit të futjes se elementeve të sistemit dual të arsimit profesional; </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Pr>
          <w:color w:val="212121"/>
          <w:lang w:val="sq-AL"/>
        </w:rPr>
        <w:t>D</w:t>
      </w:r>
      <w:r w:rsidRPr="00C5541C">
        <w:rPr>
          <w:color w:val="212121"/>
          <w:lang w:val="sq-AL"/>
        </w:rPr>
        <w:t>o të vijojë fuqizimi i ofruesve të AFP-së nëpërmjet një shkalle më të lartë autonomie të krijuar me legjislacionin e ri;</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color w:val="212121"/>
          <w:lang w:val="sq-AL"/>
        </w:rPr>
        <w:lastRenderedPageBreak/>
        <w:t>Modernizimi i kuadrit ligjor për AFP-në (mbi formimin bazë në AFP dhe për të rriturit), në zbatim të ligjit të ri të AFP-së do të ngrihen  struktura të posaçme për monitorimin dhe inspektimin e ofruesve në AFP si mekanizma të domosdoshëm për garantimin e cilësisë;</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color w:val="212121"/>
          <w:lang w:val="sq-AL"/>
        </w:rPr>
        <w:t>Zhvillimi  i kompetencave të mësuesve të AFP-së, si dhe i trajnerëve të mësuesve (trajnimi fillestar dhe i vazhdueshëm profesional);</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color w:val="212121"/>
          <w:lang w:val="sq-AL"/>
        </w:rPr>
        <w:t>Përpunimi dhe zbatimi i Kornizës Shqiptare të Kualifikimeve.</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color w:val="212121"/>
          <w:lang w:val="sq-AL"/>
        </w:rPr>
        <w:t>Çertifikimi i 18.000 personave n</w:t>
      </w:r>
      <w:r>
        <w:rPr>
          <w:color w:val="212121"/>
          <w:lang w:val="sq-AL"/>
        </w:rPr>
        <w:t>ë</w:t>
      </w:r>
      <w:r w:rsidRPr="00C5541C">
        <w:rPr>
          <w:color w:val="212121"/>
          <w:lang w:val="sq-AL"/>
        </w:rPr>
        <w:t xml:space="preserve"> qendrat e formimit profesional</w:t>
      </w:r>
    </w:p>
    <w:p w:rsidR="00957B42" w:rsidRPr="00C5541C" w:rsidRDefault="00957B42" w:rsidP="00957B42">
      <w:pPr>
        <w:pStyle w:val="NormalWeb"/>
        <w:numPr>
          <w:ilvl w:val="0"/>
          <w:numId w:val="91"/>
        </w:numPr>
        <w:spacing w:before="0" w:beforeAutospacing="0" w:after="120" w:afterAutospacing="0" w:line="276" w:lineRule="auto"/>
        <w:jc w:val="both"/>
        <w:rPr>
          <w:color w:val="000000"/>
          <w:lang w:val="sq-AL" w:eastAsia="en-GB"/>
        </w:rPr>
      </w:pPr>
      <w:r w:rsidRPr="00C5541C">
        <w:rPr>
          <w:color w:val="000000"/>
          <w:lang w:val="sq-AL" w:eastAsia="en-GB"/>
        </w:rPr>
        <w:t>Përmirësimi i cilësisë dhe i ndjeshmërisë gjinore, kur flitet për informacionin në tregun e punës  dhe sigurimi i përdorimit të tij për një qeverisje më të barabartë dhe më efektive, duke përfshirë edhe financimet;</w:t>
      </w:r>
    </w:p>
    <w:p w:rsidR="00957B42" w:rsidRPr="00C5541C" w:rsidRDefault="00957B42" w:rsidP="00957B42">
      <w:pPr>
        <w:pStyle w:val="NormalWeb"/>
        <w:numPr>
          <w:ilvl w:val="0"/>
          <w:numId w:val="91"/>
        </w:numPr>
        <w:spacing w:before="0" w:beforeAutospacing="0" w:after="120" w:afterAutospacing="0" w:line="276" w:lineRule="auto"/>
        <w:jc w:val="both"/>
        <w:rPr>
          <w:color w:val="212121"/>
          <w:lang w:val="sq-AL"/>
        </w:rPr>
      </w:pPr>
      <w:r w:rsidRPr="00C5541C">
        <w:rPr>
          <w:bCs/>
        </w:rPr>
        <w:t>Synimi p</w:t>
      </w:r>
      <w:r>
        <w:rPr>
          <w:bCs/>
        </w:rPr>
        <w:t>ë</w:t>
      </w:r>
      <w:r w:rsidRPr="00C5541C">
        <w:rPr>
          <w:bCs/>
        </w:rPr>
        <w:t>r t</w:t>
      </w:r>
      <w:r>
        <w:rPr>
          <w:bCs/>
        </w:rPr>
        <w:t>ë</w:t>
      </w:r>
      <w:r w:rsidRPr="00C5541C">
        <w:rPr>
          <w:bCs/>
        </w:rPr>
        <w:t xml:space="preserve"> nd</w:t>
      </w:r>
      <w:r>
        <w:rPr>
          <w:bCs/>
        </w:rPr>
        <w:t>ë</w:t>
      </w:r>
      <w:r w:rsidRPr="00C5541C">
        <w:rPr>
          <w:bCs/>
        </w:rPr>
        <w:t>rtuar 6 shkolla të reja me kapacitet 600-800 nx</w:t>
      </w:r>
      <w:r>
        <w:rPr>
          <w:bCs/>
        </w:rPr>
        <w:t>ë</w:t>
      </w:r>
      <w:r w:rsidRPr="00C5541C">
        <w:rPr>
          <w:bCs/>
        </w:rPr>
        <w:t>n</w:t>
      </w:r>
      <w:r>
        <w:rPr>
          <w:bCs/>
        </w:rPr>
        <w:t>ë</w:t>
      </w:r>
      <w:r w:rsidRPr="00C5541C">
        <w:rPr>
          <w:bCs/>
        </w:rPr>
        <w:t>s për shkollë</w:t>
      </w:r>
      <w:r>
        <w:rPr>
          <w:bCs/>
        </w:rPr>
        <w:t>:</w:t>
      </w:r>
    </w:p>
    <w:p w:rsidR="00957B42" w:rsidRPr="00C5541C" w:rsidRDefault="00957B42" w:rsidP="00957B42">
      <w:pPr>
        <w:pStyle w:val="NormalWeb"/>
        <w:numPr>
          <w:ilvl w:val="1"/>
          <w:numId w:val="91"/>
        </w:numPr>
        <w:spacing w:before="0" w:beforeAutospacing="0" w:after="120" w:afterAutospacing="0" w:line="276" w:lineRule="auto"/>
        <w:jc w:val="both"/>
        <w:rPr>
          <w:color w:val="212121"/>
          <w:lang w:val="sq-AL"/>
        </w:rPr>
      </w:pPr>
      <w:r w:rsidRPr="00C5541C">
        <w:rPr>
          <w:bCs/>
        </w:rPr>
        <w:t xml:space="preserve">Tre shkolla do të ndërtohen në Bashkinë e Tiranës në drejtimet Megatronik, TIK, dhe Bujqësi; </w:t>
      </w:r>
    </w:p>
    <w:p w:rsidR="00957B42" w:rsidRPr="00C5541C" w:rsidRDefault="00957B42" w:rsidP="00957B42">
      <w:pPr>
        <w:pStyle w:val="NormalWeb"/>
        <w:numPr>
          <w:ilvl w:val="1"/>
          <w:numId w:val="91"/>
        </w:numPr>
        <w:spacing w:before="0" w:beforeAutospacing="0" w:after="120" w:afterAutospacing="0" w:line="276" w:lineRule="auto"/>
        <w:jc w:val="both"/>
        <w:rPr>
          <w:color w:val="212121"/>
          <w:lang w:val="sq-AL"/>
        </w:rPr>
      </w:pPr>
      <w:r w:rsidRPr="00C5541C">
        <w:rPr>
          <w:bCs/>
        </w:rPr>
        <w:t>Një shkollë në qytetin e Bashkisë Durrës me drejtim TIK;</w:t>
      </w:r>
    </w:p>
    <w:p w:rsidR="00957B42" w:rsidRPr="00C5541C" w:rsidRDefault="00957B42" w:rsidP="00957B42">
      <w:pPr>
        <w:pStyle w:val="NormalWeb"/>
        <w:numPr>
          <w:ilvl w:val="1"/>
          <w:numId w:val="91"/>
        </w:numPr>
        <w:spacing w:before="0" w:beforeAutospacing="0" w:after="120" w:afterAutospacing="0" w:line="276" w:lineRule="auto"/>
        <w:jc w:val="both"/>
        <w:rPr>
          <w:color w:val="212121"/>
          <w:lang w:val="sq-AL"/>
        </w:rPr>
      </w:pPr>
      <w:r w:rsidRPr="00C5541C">
        <w:rPr>
          <w:bCs/>
        </w:rPr>
        <w:t xml:space="preserve">Një shkollë e Turizmit në Bashkine Vlorë dhe </w:t>
      </w:r>
    </w:p>
    <w:p w:rsidR="00957B42" w:rsidRPr="00EA68C2" w:rsidRDefault="00957B42" w:rsidP="00C75272">
      <w:pPr>
        <w:pStyle w:val="NormalWeb"/>
        <w:numPr>
          <w:ilvl w:val="1"/>
          <w:numId w:val="91"/>
        </w:numPr>
        <w:spacing w:before="0" w:beforeAutospacing="0" w:after="120" w:afterAutospacing="0" w:line="276" w:lineRule="auto"/>
        <w:jc w:val="both"/>
        <w:rPr>
          <w:color w:val="212121"/>
          <w:lang w:val="sq-AL"/>
        </w:rPr>
      </w:pPr>
      <w:r w:rsidRPr="00C5541C">
        <w:rPr>
          <w:bCs/>
        </w:rPr>
        <w:t>Një shkollë TIK në Bashkinë Korçë shkolle TIK</w:t>
      </w:r>
    </w:p>
    <w:p w:rsidR="00957B42" w:rsidRDefault="00957B42" w:rsidP="00C75272">
      <w:pPr>
        <w:spacing w:line="276" w:lineRule="auto"/>
        <w:jc w:val="both"/>
        <w:rPr>
          <w:rFonts w:eastAsia="Times New Roman"/>
          <w:b/>
          <w:noProof/>
          <w:lang w:eastAsia="ja-JP"/>
        </w:rPr>
      </w:pPr>
    </w:p>
    <w:p w:rsidR="00C75272" w:rsidRPr="00C5541C" w:rsidRDefault="00C75272" w:rsidP="00C75272">
      <w:pPr>
        <w:spacing w:line="276" w:lineRule="auto"/>
        <w:jc w:val="both"/>
        <w:rPr>
          <w:b/>
          <w:color w:val="000000"/>
          <w:lang w:val="sq-AL"/>
        </w:rPr>
      </w:pPr>
      <w:r w:rsidRPr="00C5541C">
        <w:rPr>
          <w:rFonts w:eastAsia="Times New Roman"/>
          <w:b/>
          <w:noProof/>
          <w:lang w:eastAsia="ja-JP"/>
        </w:rPr>
        <w:t>INFRASTRUKTURA DHE ENERGJIA</w:t>
      </w:r>
    </w:p>
    <w:p w:rsidR="00284A2E" w:rsidRPr="009314E7" w:rsidRDefault="00284A2E" w:rsidP="00284A2E">
      <w:pPr>
        <w:spacing w:line="276" w:lineRule="auto"/>
        <w:rPr>
          <w:b/>
          <w:sz w:val="16"/>
          <w:szCs w:val="16"/>
          <w:lang w:val="sq-AL"/>
        </w:rPr>
      </w:pPr>
    </w:p>
    <w:p w:rsidR="00284A2E" w:rsidRDefault="00284A2E" w:rsidP="00284A2E">
      <w:pPr>
        <w:spacing w:line="276" w:lineRule="auto"/>
        <w:rPr>
          <w:b/>
          <w:lang w:val="sq-AL"/>
        </w:rPr>
      </w:pPr>
      <w:r w:rsidRPr="00C5541C">
        <w:rPr>
          <w:b/>
          <w:lang w:val="sq-AL"/>
        </w:rPr>
        <w:t xml:space="preserve">Arritjet </w:t>
      </w:r>
      <w:r w:rsidR="00BF2B5E">
        <w:rPr>
          <w:b/>
          <w:lang w:val="sq-AL"/>
        </w:rPr>
        <w:t>për</w:t>
      </w:r>
      <w:r w:rsidRPr="00C5541C">
        <w:rPr>
          <w:b/>
          <w:lang w:val="sq-AL"/>
        </w:rPr>
        <w:t xml:space="preserve"> </w:t>
      </w:r>
      <w:r>
        <w:rPr>
          <w:b/>
          <w:lang w:val="sq-AL"/>
        </w:rPr>
        <w:t>vitin</w:t>
      </w:r>
      <w:r w:rsidRPr="00C5541C">
        <w:rPr>
          <w:b/>
          <w:lang w:val="sq-AL"/>
        </w:rPr>
        <w:t xml:space="preserve"> 2017</w:t>
      </w:r>
    </w:p>
    <w:p w:rsidR="009314E7" w:rsidRPr="009314E7" w:rsidRDefault="009314E7" w:rsidP="00284A2E">
      <w:pPr>
        <w:spacing w:line="276" w:lineRule="auto"/>
        <w:rPr>
          <w:b/>
          <w:sz w:val="16"/>
          <w:szCs w:val="16"/>
          <w:lang w:val="sq-AL"/>
        </w:rPr>
      </w:pPr>
    </w:p>
    <w:p w:rsidR="009314E7" w:rsidRPr="00957B42" w:rsidRDefault="009314E7" w:rsidP="00284A2E">
      <w:pPr>
        <w:spacing w:line="276" w:lineRule="auto"/>
        <w:rPr>
          <w:b/>
          <w:lang w:val="sq-AL"/>
        </w:rPr>
      </w:pPr>
      <w:r w:rsidRPr="00957B42">
        <w:rPr>
          <w:b/>
          <w:lang w:val="sq-AL"/>
        </w:rPr>
        <w:t>Energjia</w:t>
      </w:r>
    </w:p>
    <w:p w:rsidR="00284A2E" w:rsidRDefault="00C75272" w:rsidP="002C5B1B">
      <w:pPr>
        <w:pStyle w:val="ListParagraph"/>
        <w:numPr>
          <w:ilvl w:val="0"/>
          <w:numId w:val="77"/>
        </w:numPr>
        <w:spacing w:after="120" w:line="276" w:lineRule="auto"/>
      </w:pPr>
      <w:r w:rsidRPr="00C5541C">
        <w:t>Brenda vitit 2017 do t</w:t>
      </w:r>
      <w:r>
        <w:t>ë</w:t>
      </w:r>
      <w:r w:rsidRPr="00C5541C">
        <w:t xml:space="preserve"> arrihet n</w:t>
      </w:r>
      <w:r>
        <w:t>ë</w:t>
      </w:r>
      <w:r w:rsidRPr="00C5541C">
        <w:t xml:space="preserve"> vler</w:t>
      </w:r>
      <w:r>
        <w:t>ë</w:t>
      </w:r>
      <w:r w:rsidRPr="00C5541C">
        <w:t>n 22 % p</w:t>
      </w:r>
      <w:r>
        <w:t>ë</w:t>
      </w:r>
      <w:r w:rsidRPr="00C5541C">
        <w:t xml:space="preserve">rdorimi </w:t>
      </w:r>
      <w:r w:rsidR="00F9549A">
        <w:t>i</w:t>
      </w:r>
      <w:r w:rsidRPr="00C5541C">
        <w:t xml:space="preserve"> energjis</w:t>
      </w:r>
      <w:r>
        <w:t>ë</w:t>
      </w:r>
      <w:r w:rsidRPr="00C5541C">
        <w:t xml:space="preserve"> s</w:t>
      </w:r>
      <w:r>
        <w:t>ë</w:t>
      </w:r>
      <w:r w:rsidRPr="00C5541C">
        <w:t xml:space="preserve"> rinovuar, m</w:t>
      </w:r>
      <w:r>
        <w:t>ë</w:t>
      </w:r>
      <w:r w:rsidRPr="00C5541C">
        <w:t xml:space="preserve"> shum</w:t>
      </w:r>
      <w:r>
        <w:t>ë</w:t>
      </w:r>
      <w:r w:rsidR="00284A2E">
        <w:t xml:space="preserve"> krahasuar me vitin 2009;</w:t>
      </w:r>
    </w:p>
    <w:p w:rsidR="00C75272" w:rsidRPr="00C5541C" w:rsidRDefault="00C75272" w:rsidP="002C5B1B">
      <w:pPr>
        <w:pStyle w:val="ListParagraph"/>
        <w:numPr>
          <w:ilvl w:val="0"/>
          <w:numId w:val="77"/>
        </w:numPr>
        <w:spacing w:after="120" w:line="276" w:lineRule="auto"/>
      </w:pPr>
      <w:r w:rsidRPr="00C5541C">
        <w:t xml:space="preserve">Reduktimi </w:t>
      </w:r>
      <w:r w:rsidR="00284A2E">
        <w:t>i</w:t>
      </w:r>
      <w:r w:rsidRPr="00C5541C">
        <w:t xml:space="preserve"> humbjeve t</w:t>
      </w:r>
      <w:r>
        <w:t>ë</w:t>
      </w:r>
      <w:r w:rsidRPr="00C5541C">
        <w:t xml:space="preserve"> energjis</w:t>
      </w:r>
      <w:r>
        <w:t>ë</w:t>
      </w:r>
      <w:r w:rsidRPr="00C5541C">
        <w:t xml:space="preserve"> elektrike (teknike dhe joteknike) n</w:t>
      </w:r>
      <w:r>
        <w:t>ë</w:t>
      </w:r>
      <w:r w:rsidR="00F5778D">
        <w:t xml:space="preserve"> rreth 21</w:t>
      </w:r>
      <w:r w:rsidRPr="00C5541C">
        <w:t>% deri n</w:t>
      </w:r>
      <w:r>
        <w:t>ë</w:t>
      </w:r>
      <w:r w:rsidRPr="00C5541C">
        <w:t xml:space="preserve"> fund t</w:t>
      </w:r>
      <w:r>
        <w:t>ë</w:t>
      </w:r>
      <w:r w:rsidRPr="00C5541C">
        <w:t xml:space="preserve"> vitit, krahasuar me 31.34% q</w:t>
      </w:r>
      <w:r>
        <w:t>ë</w:t>
      </w:r>
      <w:r w:rsidRPr="00C5541C">
        <w:t xml:space="preserve"> ishte n</w:t>
      </w:r>
      <w:r>
        <w:t>ë</w:t>
      </w:r>
      <w:r w:rsidRPr="00C5541C">
        <w:t xml:space="preserve"> 2015</w:t>
      </w:r>
      <w:r w:rsidR="00284A2E">
        <w:t>;</w:t>
      </w:r>
    </w:p>
    <w:p w:rsidR="00C75272" w:rsidRPr="00C5541C" w:rsidRDefault="00284A2E" w:rsidP="002C5B1B">
      <w:pPr>
        <w:pStyle w:val="ListParagraph"/>
        <w:numPr>
          <w:ilvl w:val="0"/>
          <w:numId w:val="77"/>
        </w:numPr>
        <w:spacing w:after="120" w:line="276" w:lineRule="auto"/>
      </w:pPr>
      <w:r>
        <w:t>Promovimi i</w:t>
      </w:r>
      <w:r w:rsidR="00C75272" w:rsidRPr="00C5541C">
        <w:t xml:space="preserve"> mineraleve t</w:t>
      </w:r>
      <w:r w:rsidR="00C75272">
        <w:t>ë</w:t>
      </w:r>
      <w:r w:rsidR="00C75272" w:rsidRPr="00C5541C">
        <w:t xml:space="preserve"> rinj dhe k</w:t>
      </w:r>
      <w:r w:rsidR="00C75272">
        <w:t>ë</w:t>
      </w:r>
      <w:r w:rsidR="00C75272" w:rsidRPr="00C5541C">
        <w:t>rkime teknologjike dhe mjedisore. Vler</w:t>
      </w:r>
      <w:r w:rsidR="00C75272">
        <w:t>ë</w:t>
      </w:r>
      <w:r w:rsidR="00C75272" w:rsidRPr="00C5541C">
        <w:t>simi sasior dhe cil</w:t>
      </w:r>
      <w:r w:rsidR="00C75272">
        <w:t>ë</w:t>
      </w:r>
      <w:r w:rsidR="00C75272" w:rsidRPr="00C5541C">
        <w:t xml:space="preserve">sor </w:t>
      </w:r>
      <w:r>
        <w:t>i</w:t>
      </w:r>
      <w:r w:rsidR="00C75272" w:rsidRPr="00C5541C">
        <w:t xml:space="preserve"> rezervave minerare p</w:t>
      </w:r>
      <w:r w:rsidR="00C75272">
        <w:t>ë</w:t>
      </w:r>
      <w:r>
        <w:t>r vendbanime specifike;</w:t>
      </w:r>
    </w:p>
    <w:p w:rsidR="00C75272" w:rsidRDefault="00C75272" w:rsidP="00EE4BB6">
      <w:pPr>
        <w:pStyle w:val="ListParagraph"/>
        <w:numPr>
          <w:ilvl w:val="0"/>
          <w:numId w:val="77"/>
        </w:numPr>
        <w:spacing w:after="120" w:line="276" w:lineRule="auto"/>
      </w:pPr>
      <w:r w:rsidRPr="00C5541C">
        <w:t xml:space="preserve">Vazhdimi </w:t>
      </w:r>
      <w:r w:rsidR="00284A2E">
        <w:t>i</w:t>
      </w:r>
      <w:r w:rsidRPr="00C5541C">
        <w:t xml:space="preserve"> mbylljes s</w:t>
      </w:r>
      <w:r>
        <w:t>ë</w:t>
      </w:r>
      <w:r w:rsidRPr="00C5541C">
        <w:t xml:space="preserve"> minierave t</w:t>
      </w:r>
      <w:r>
        <w:t>ë</w:t>
      </w:r>
      <w:r w:rsidRPr="00C5541C">
        <w:t xml:space="preserve"> shfryt</w:t>
      </w:r>
      <w:r>
        <w:t>ë</w:t>
      </w:r>
      <w:r w:rsidRPr="00C5541C">
        <w:t xml:space="preserve">zuara dhe joefektive, privatizimi </w:t>
      </w:r>
      <w:r w:rsidR="00284A2E">
        <w:t>i</w:t>
      </w:r>
      <w:r w:rsidRPr="00C5541C">
        <w:t xml:space="preserve"> aseteve, p</w:t>
      </w:r>
      <w:r>
        <w:t>ë</w:t>
      </w:r>
      <w:r w:rsidRPr="00C5541C">
        <w:t>r t</w:t>
      </w:r>
      <w:r>
        <w:t>ë</w:t>
      </w:r>
      <w:r w:rsidRPr="00C5541C">
        <w:t xml:space="preserve"> mund</w:t>
      </w:r>
      <w:r>
        <w:t>ë</w:t>
      </w:r>
      <w:r w:rsidRPr="00C5541C">
        <w:t>suar monitorimin e fenomeneve t</w:t>
      </w:r>
      <w:r>
        <w:t>ë</w:t>
      </w:r>
      <w:r w:rsidRPr="00C5541C">
        <w:t xml:space="preserve"> post shfryt</w:t>
      </w:r>
      <w:r>
        <w:t>ë</w:t>
      </w:r>
      <w:r w:rsidRPr="00C5541C">
        <w:t>zimit;</w:t>
      </w:r>
    </w:p>
    <w:p w:rsidR="009314E7" w:rsidRPr="00957B42" w:rsidRDefault="009314E7" w:rsidP="009314E7">
      <w:pPr>
        <w:spacing w:after="120" w:line="276" w:lineRule="auto"/>
        <w:rPr>
          <w:b/>
        </w:rPr>
      </w:pPr>
      <w:r w:rsidRPr="00957B42">
        <w:rPr>
          <w:b/>
        </w:rPr>
        <w:t>Infrastruktura</w:t>
      </w:r>
    </w:p>
    <w:p w:rsidR="00EE4BB6" w:rsidRPr="00CF245D" w:rsidRDefault="00EE4BB6" w:rsidP="00957B42">
      <w:pPr>
        <w:pStyle w:val="ListParagraph"/>
        <w:numPr>
          <w:ilvl w:val="0"/>
          <w:numId w:val="77"/>
        </w:numPr>
        <w:spacing w:after="120" w:line="276" w:lineRule="auto"/>
        <w:jc w:val="both"/>
      </w:pPr>
      <w:r w:rsidRPr="00CF245D">
        <w:t>Projekti i Bankës Boterore për mirëmbajtjen dhe sigurinë rrugore 2015-2020, (afërsisht 130 milion USD, bashkëfinancimi Qeverisë Shqiptare dhe Bankës Botërore). Koncepti i mirëmbajtjes sipas këtij projekti do të jetë ai me Bazë-performance, (output and performance based).</w:t>
      </w:r>
    </w:p>
    <w:p w:rsidR="00EE4BB6" w:rsidRPr="00CF245D" w:rsidRDefault="00EE4BB6" w:rsidP="00957B42">
      <w:pPr>
        <w:pStyle w:val="ListParagraph"/>
        <w:numPr>
          <w:ilvl w:val="0"/>
          <w:numId w:val="77"/>
        </w:numPr>
        <w:spacing w:after="120" w:line="276" w:lineRule="auto"/>
        <w:jc w:val="both"/>
      </w:pPr>
      <w:r w:rsidRPr="00CF245D">
        <w:t>Hartimi i Paketës së Projekteve Prioritare për sektorin e transportit, (Single Sector Project Pipeline-SSPP), me 29 projekte të identifikuara, nga të cilat 16 janë projekte të infrastrukturës së rrugëve primare, (në vazhdim të reja), si dhe projekte për rrugët sekondare.</w:t>
      </w:r>
    </w:p>
    <w:p w:rsidR="00EE4BB6" w:rsidRPr="00CF245D" w:rsidRDefault="00EE4BB6" w:rsidP="00957B42">
      <w:pPr>
        <w:pStyle w:val="ListParagraph"/>
        <w:numPr>
          <w:ilvl w:val="0"/>
          <w:numId w:val="77"/>
        </w:numPr>
        <w:spacing w:after="120" w:line="276" w:lineRule="auto"/>
        <w:jc w:val="both"/>
      </w:pPr>
      <w:r w:rsidRPr="00CF245D">
        <w:t xml:space="preserve">Strategjia për Tarifat Rrugore (STRR) dhe Plani </w:t>
      </w:r>
      <w:r w:rsidR="00F5778D">
        <w:t>i</w:t>
      </w:r>
      <w:r w:rsidRPr="00CF245D">
        <w:t xml:space="preserve"> Transportit të Qendrueshëm Shqiptar, projekte të financuara nga Banka Evropiane për Rindërtim dhe Zhvillim (BERZH).</w:t>
      </w:r>
    </w:p>
    <w:p w:rsidR="00EE4BB6" w:rsidRPr="00CF245D" w:rsidRDefault="00EE4BB6" w:rsidP="00957B42">
      <w:pPr>
        <w:pStyle w:val="ListParagraph"/>
        <w:numPr>
          <w:ilvl w:val="0"/>
          <w:numId w:val="77"/>
        </w:numPr>
        <w:spacing w:after="120" w:line="276" w:lineRule="auto"/>
        <w:jc w:val="both"/>
      </w:pPr>
      <w:r w:rsidRPr="00CF245D">
        <w:lastRenderedPageBreak/>
        <w:t>Instalimi i sistemit WEB-GIS në Autoritetin Rrugor Shqiptar</w:t>
      </w:r>
      <w:r>
        <w:t>.</w:t>
      </w:r>
    </w:p>
    <w:p w:rsidR="00EE4BB6" w:rsidRDefault="00EE4BB6" w:rsidP="00957B42">
      <w:pPr>
        <w:pStyle w:val="ListParagraph"/>
        <w:numPr>
          <w:ilvl w:val="0"/>
          <w:numId w:val="77"/>
        </w:numPr>
        <w:spacing w:after="120" w:line="276" w:lineRule="auto"/>
        <w:jc w:val="both"/>
      </w:pPr>
      <w:r w:rsidRPr="00CF245D">
        <w:t>Koncesioni i Rrugës Kombit (Milot-Morinë).</w:t>
      </w:r>
    </w:p>
    <w:p w:rsidR="00EA68C2" w:rsidRPr="00EA68C2" w:rsidRDefault="00EA68C2" w:rsidP="00957B42">
      <w:pPr>
        <w:spacing w:after="120" w:line="276" w:lineRule="auto"/>
        <w:jc w:val="both"/>
        <w:rPr>
          <w:b/>
          <w:sz w:val="16"/>
          <w:szCs w:val="16"/>
          <w:lang w:val="sq-AL"/>
        </w:rPr>
      </w:pPr>
    </w:p>
    <w:p w:rsidR="00957B42" w:rsidRDefault="00C75272" w:rsidP="00957B42">
      <w:pPr>
        <w:spacing w:after="120" w:line="276" w:lineRule="auto"/>
        <w:jc w:val="both"/>
        <w:rPr>
          <w:b/>
          <w:lang w:val="sq-AL"/>
        </w:rPr>
      </w:pPr>
      <w:r w:rsidRPr="00C5541C">
        <w:rPr>
          <w:b/>
          <w:lang w:val="sq-AL"/>
        </w:rPr>
        <w:t>Prioritetet p</w:t>
      </w:r>
      <w:r>
        <w:rPr>
          <w:b/>
          <w:lang w:val="sq-AL"/>
        </w:rPr>
        <w:t>ë</w:t>
      </w:r>
      <w:r w:rsidR="00957B42">
        <w:rPr>
          <w:b/>
          <w:lang w:val="sq-AL"/>
        </w:rPr>
        <w:t>r Vitin 2018</w:t>
      </w:r>
    </w:p>
    <w:p w:rsidR="00C75272" w:rsidRPr="00957B42" w:rsidRDefault="00284A2E" w:rsidP="00C75272">
      <w:pPr>
        <w:spacing w:line="276" w:lineRule="auto"/>
        <w:jc w:val="both"/>
        <w:rPr>
          <w:b/>
          <w:lang w:val="sq-AL"/>
        </w:rPr>
      </w:pPr>
      <w:r w:rsidRPr="00957B42">
        <w:rPr>
          <w:b/>
          <w:lang w:val="sq-AL"/>
        </w:rPr>
        <w:t>Energjia</w:t>
      </w:r>
    </w:p>
    <w:p w:rsidR="00C75272" w:rsidRPr="00284A2E" w:rsidRDefault="00C75272" w:rsidP="002C5B1B">
      <w:pPr>
        <w:pStyle w:val="ListParagraph"/>
        <w:numPr>
          <w:ilvl w:val="0"/>
          <w:numId w:val="78"/>
        </w:numPr>
        <w:spacing w:after="120" w:line="276" w:lineRule="auto"/>
        <w:jc w:val="both"/>
        <w:rPr>
          <w:lang w:val="sq-AL"/>
        </w:rPr>
      </w:pPr>
      <w:r w:rsidRPr="00284A2E">
        <w:rPr>
          <w:lang w:val="sq-AL"/>
        </w:rPr>
        <w:t xml:space="preserve">Për vitin 2018 synohet që të rritet e prodhimit vendas i energjisë dhe të ulen nivelet e humbjeve teknike dhe jo-teknike të energjisë elektrike në rrjetin e shpërndarjes, te cilat kanë ndikim të drejtpërdrejtë në uljen e sasisë së energjisë së importuar për përmbushjen e kërkesës me energji elektrike për vendin tone. </w:t>
      </w:r>
    </w:p>
    <w:p w:rsidR="00C75272" w:rsidRPr="00284A2E" w:rsidRDefault="00C75272" w:rsidP="002C5B1B">
      <w:pPr>
        <w:pStyle w:val="ListParagraph"/>
        <w:numPr>
          <w:ilvl w:val="0"/>
          <w:numId w:val="78"/>
        </w:numPr>
        <w:spacing w:after="120" w:line="276" w:lineRule="auto"/>
        <w:jc w:val="both"/>
        <w:rPr>
          <w:color w:val="000000"/>
        </w:rPr>
      </w:pPr>
      <w:r w:rsidRPr="00284A2E">
        <w:rPr>
          <w:color w:val="000000"/>
        </w:rPr>
        <w:t xml:space="preserve">Niveli i </w:t>
      </w:r>
      <w:r w:rsidR="00284A2E">
        <w:rPr>
          <w:color w:val="000000"/>
        </w:rPr>
        <w:t>h</w:t>
      </w:r>
      <w:r w:rsidRPr="00284A2E">
        <w:rPr>
          <w:color w:val="000000"/>
        </w:rPr>
        <w:t xml:space="preserve">umbjeve ne rrjetin e shpërndarjes (teknike dhe jo-teknike) synon të ulet në nivelin 22%. </w:t>
      </w:r>
    </w:p>
    <w:p w:rsidR="00C75272" w:rsidRPr="00284A2E" w:rsidRDefault="00C75272" w:rsidP="002C5B1B">
      <w:pPr>
        <w:pStyle w:val="ListParagraph"/>
        <w:numPr>
          <w:ilvl w:val="0"/>
          <w:numId w:val="78"/>
        </w:numPr>
        <w:spacing w:after="120" w:line="276" w:lineRule="auto"/>
        <w:jc w:val="both"/>
        <w:rPr>
          <w:color w:val="000000"/>
        </w:rPr>
      </w:pPr>
      <w:r w:rsidRPr="00284A2E">
        <w:rPr>
          <w:color w:val="000000"/>
        </w:rPr>
        <w:t>Rritja e nivelit të arkëtimeve të faturave të energjisë elektirke.</w:t>
      </w:r>
    </w:p>
    <w:p w:rsidR="00C75272" w:rsidRPr="00284A2E" w:rsidRDefault="00C75272" w:rsidP="002C5B1B">
      <w:pPr>
        <w:pStyle w:val="ListParagraph"/>
        <w:numPr>
          <w:ilvl w:val="0"/>
          <w:numId w:val="78"/>
        </w:numPr>
        <w:spacing w:after="120" w:line="276" w:lineRule="auto"/>
        <w:jc w:val="both"/>
        <w:rPr>
          <w:color w:val="000000"/>
        </w:rPr>
      </w:pPr>
      <w:r w:rsidRPr="00284A2E">
        <w:rPr>
          <w:color w:val="000000"/>
        </w:rPr>
        <w:t xml:space="preserve">Vijimi i financimi të ndërtimit të linjës së Interkoneksionit 400kv Shqipëri-Maqedoni me një vlerë investimi prej 70 milion Euro, e cila, së bashku me linjën 400kv të Kosovës, e rrit me afërsisht 80% kapacitetet e transmetimit nderkombëtar te energjise elektrike; </w:t>
      </w:r>
    </w:p>
    <w:p w:rsidR="00957B42" w:rsidRPr="00EA68C2" w:rsidRDefault="00C75272" w:rsidP="00EA68C2">
      <w:pPr>
        <w:pStyle w:val="ListParagraph"/>
        <w:numPr>
          <w:ilvl w:val="0"/>
          <w:numId w:val="78"/>
        </w:numPr>
        <w:spacing w:after="120" w:line="276" w:lineRule="auto"/>
        <w:jc w:val="both"/>
        <w:rPr>
          <w:color w:val="000000"/>
        </w:rPr>
      </w:pPr>
      <w:r w:rsidRPr="00284A2E">
        <w:rPr>
          <w:color w:val="000000"/>
        </w:rPr>
        <w:t>Do të përfundojë zbatimi i projektit të financuar nga Kooperacioni Italian me qëllim përmirësimin dhe fuqizimin e rrjetit shpërndarës të zonës Dhërmi-Sarandë, duke synuar rritjen e sigurisë së furnizimit me energji elektrike për gjithë zonën e bregdetit Jon, me një fond të parashikuar rreth 16 milion Euro.</w:t>
      </w:r>
    </w:p>
    <w:p w:rsidR="00284A2E" w:rsidRPr="00957B42" w:rsidRDefault="00284A2E" w:rsidP="00284A2E">
      <w:pPr>
        <w:spacing w:before="120" w:line="276" w:lineRule="auto"/>
        <w:contextualSpacing/>
        <w:jc w:val="both"/>
        <w:rPr>
          <w:b/>
          <w:lang w:val="sq-AL"/>
        </w:rPr>
      </w:pPr>
      <w:r w:rsidRPr="00957B42">
        <w:rPr>
          <w:b/>
          <w:lang w:val="sq-AL"/>
        </w:rPr>
        <w:t>Infrastruktura</w:t>
      </w:r>
    </w:p>
    <w:p w:rsidR="00C75272" w:rsidRPr="00284A2E" w:rsidRDefault="00C75272" w:rsidP="00284A2E">
      <w:pPr>
        <w:spacing w:before="120" w:line="276" w:lineRule="auto"/>
        <w:contextualSpacing/>
        <w:jc w:val="both"/>
        <w:rPr>
          <w:color w:val="000000"/>
        </w:rPr>
      </w:pPr>
      <w:r w:rsidRPr="00284A2E">
        <w:rPr>
          <w:lang w:val="sq-AL"/>
        </w:rPr>
        <w:t>Për vitin 2018 është parashikuar hapja e projekteve të reja :</w:t>
      </w:r>
    </w:p>
    <w:p w:rsidR="00C75272" w:rsidRPr="00C5541C" w:rsidRDefault="00C75272" w:rsidP="002C5B1B">
      <w:pPr>
        <w:pStyle w:val="ListParagraph"/>
        <w:numPr>
          <w:ilvl w:val="0"/>
          <w:numId w:val="34"/>
        </w:numPr>
        <w:spacing w:before="120" w:line="276" w:lineRule="auto"/>
        <w:contextualSpacing/>
        <w:jc w:val="both"/>
      </w:pPr>
      <w:r w:rsidRPr="00C5541C">
        <w:t>Ndërtimi i Rrugës së Arbrit, si pjesë e projektit “1 Billion”</w:t>
      </w:r>
    </w:p>
    <w:p w:rsidR="00C75272" w:rsidRPr="00C5541C" w:rsidRDefault="00C75272" w:rsidP="002C5B1B">
      <w:pPr>
        <w:pStyle w:val="ListParagraph"/>
        <w:numPr>
          <w:ilvl w:val="0"/>
          <w:numId w:val="34"/>
        </w:numPr>
        <w:spacing w:before="120" w:line="276" w:lineRule="auto"/>
        <w:contextualSpacing/>
        <w:jc w:val="both"/>
      </w:pPr>
      <w:r w:rsidRPr="00C5541C">
        <w:t>Ndërtim rruga Thumanë – Vorë (pjesë e aksit kombëtar rrugor Durrës – Kukës – Morinë)</w:t>
      </w:r>
    </w:p>
    <w:p w:rsidR="00C75272" w:rsidRPr="00C5541C" w:rsidRDefault="00C75272" w:rsidP="002C5B1B">
      <w:pPr>
        <w:pStyle w:val="ListParagraph"/>
        <w:numPr>
          <w:ilvl w:val="0"/>
          <w:numId w:val="34"/>
        </w:numPr>
        <w:spacing w:before="120" w:line="276" w:lineRule="auto"/>
        <w:contextualSpacing/>
        <w:jc w:val="both"/>
      </w:pPr>
      <w:r w:rsidRPr="00C5541C">
        <w:t>Unaza e Madhe e Tiranës (vazhdim/kompletim)</w:t>
      </w:r>
    </w:p>
    <w:p w:rsidR="00C75272" w:rsidRPr="00C5541C" w:rsidRDefault="00C75272" w:rsidP="00C75272">
      <w:pPr>
        <w:spacing w:before="120" w:line="276" w:lineRule="auto"/>
        <w:jc w:val="both"/>
      </w:pPr>
      <w:r w:rsidRPr="00C5541C">
        <w:rPr>
          <w:lang w:val="sq-AL"/>
        </w:rPr>
        <w:t>Me buxhetin e 2018 është parashikuar të mbulohen totalisht me financim dhe të përfundojnë  10 segmente rrugore. Të detajuar këto segmente paraqiten si më poshtë:</w:t>
      </w:r>
    </w:p>
    <w:p w:rsidR="00C75272" w:rsidRPr="00C5541C" w:rsidRDefault="00C75272" w:rsidP="002C5B1B">
      <w:pPr>
        <w:pStyle w:val="ListParagraph"/>
        <w:numPr>
          <w:ilvl w:val="0"/>
          <w:numId w:val="80"/>
        </w:numPr>
        <w:spacing w:before="120" w:line="276" w:lineRule="auto"/>
        <w:contextualSpacing/>
        <w:jc w:val="both"/>
      </w:pPr>
      <w:r w:rsidRPr="00C5541C">
        <w:t>Ndërtim rruga Kukës-Morinë Loti</w:t>
      </w:r>
      <w:r w:rsidR="00D47BE1">
        <w:t xml:space="preserve"> </w:t>
      </w:r>
      <w:r w:rsidRPr="00C5541C">
        <w:t>2  (dy viadukte) dublimi</w:t>
      </w:r>
    </w:p>
    <w:p w:rsidR="00C75272" w:rsidRPr="00C5541C" w:rsidRDefault="00C75272" w:rsidP="002C5B1B">
      <w:pPr>
        <w:pStyle w:val="ListParagraph"/>
        <w:numPr>
          <w:ilvl w:val="0"/>
          <w:numId w:val="80"/>
        </w:numPr>
        <w:spacing w:before="120" w:line="276" w:lineRule="auto"/>
        <w:contextualSpacing/>
        <w:jc w:val="both"/>
      </w:pPr>
      <w:r w:rsidRPr="00C5541C">
        <w:t>Ndërtim rruga Kukës-Morinë Loti</w:t>
      </w:r>
      <w:r w:rsidR="00D47BE1">
        <w:t xml:space="preserve"> </w:t>
      </w:r>
      <w:r w:rsidRPr="00C5541C">
        <w:t>2  (dy viadukte) dublimi (shtesë punimesh)</w:t>
      </w:r>
    </w:p>
    <w:p w:rsidR="00C75272" w:rsidRPr="00C5541C" w:rsidRDefault="00C75272" w:rsidP="002C5B1B">
      <w:pPr>
        <w:pStyle w:val="ListParagraph"/>
        <w:numPr>
          <w:ilvl w:val="0"/>
          <w:numId w:val="80"/>
        </w:numPr>
        <w:spacing w:before="120" w:line="276" w:lineRule="auto"/>
        <w:contextualSpacing/>
        <w:jc w:val="both"/>
      </w:pPr>
      <w:r w:rsidRPr="00C5541C">
        <w:t>Përmirësimi i shtresave rrugore dhe i sinjalistikës segmenti rrugor Fushë Kru</w:t>
      </w:r>
      <w:r w:rsidR="00D47BE1">
        <w:t>jë - Thumanë. (Shtesë kontrate)</w:t>
      </w:r>
    </w:p>
    <w:p w:rsidR="00C75272" w:rsidRPr="00C5541C" w:rsidRDefault="00C75272" w:rsidP="002C5B1B">
      <w:pPr>
        <w:pStyle w:val="ListParagraph"/>
        <w:numPr>
          <w:ilvl w:val="0"/>
          <w:numId w:val="80"/>
        </w:numPr>
        <w:spacing w:before="120" w:line="276" w:lineRule="auto"/>
        <w:contextualSpacing/>
        <w:jc w:val="both"/>
      </w:pPr>
      <w:r w:rsidRPr="00C5541C">
        <w:t>Ndërtim rruga  By pass Plepa-Kavaje-Rrogo</w:t>
      </w:r>
      <w:r w:rsidR="00D47BE1">
        <w:t>zhinë Loti 10 (shtesë punimesh)</w:t>
      </w:r>
    </w:p>
    <w:p w:rsidR="00C75272" w:rsidRPr="00C5541C" w:rsidRDefault="00C75272" w:rsidP="002C5B1B">
      <w:pPr>
        <w:pStyle w:val="ListParagraph"/>
        <w:numPr>
          <w:ilvl w:val="0"/>
          <w:numId w:val="80"/>
        </w:numPr>
        <w:spacing w:before="120" w:line="276" w:lineRule="auto"/>
        <w:contextualSpacing/>
        <w:jc w:val="both"/>
      </w:pPr>
      <w:r w:rsidRPr="00C5541C">
        <w:t>Riveshje Sistemim asfaltim rruga  El</w:t>
      </w:r>
      <w:r w:rsidR="00D47BE1">
        <w:t>basan-Banjë Loti 1</w:t>
      </w:r>
    </w:p>
    <w:p w:rsidR="00C75272" w:rsidRPr="00C5541C" w:rsidRDefault="00C75272" w:rsidP="002C5B1B">
      <w:pPr>
        <w:pStyle w:val="ListParagraph"/>
        <w:numPr>
          <w:ilvl w:val="0"/>
          <w:numId w:val="80"/>
        </w:numPr>
        <w:spacing w:before="120" w:line="276" w:lineRule="auto"/>
        <w:contextualSpacing/>
        <w:jc w:val="both"/>
      </w:pPr>
      <w:r w:rsidRPr="00C5541C">
        <w:t xml:space="preserve">Riveshje Sistemim asfaltim </w:t>
      </w:r>
      <w:proofErr w:type="gramStart"/>
      <w:r w:rsidRPr="00C5541C">
        <w:t>rruga  Elbasan</w:t>
      </w:r>
      <w:proofErr w:type="gramEnd"/>
      <w:r w:rsidRPr="00C5541C">
        <w:t>-Banjë Loti 1(shtesë punimesh).</w:t>
      </w:r>
    </w:p>
    <w:p w:rsidR="00C75272" w:rsidRPr="00C5541C" w:rsidRDefault="00C75272" w:rsidP="002C5B1B">
      <w:pPr>
        <w:pStyle w:val="ListParagraph"/>
        <w:numPr>
          <w:ilvl w:val="0"/>
          <w:numId w:val="80"/>
        </w:numPr>
        <w:spacing w:before="120" w:line="276" w:lineRule="auto"/>
        <w:contextualSpacing/>
        <w:jc w:val="both"/>
      </w:pPr>
      <w:r w:rsidRPr="00C5541C">
        <w:t xml:space="preserve">Riveshje Sistemim asfaltim </w:t>
      </w:r>
      <w:proofErr w:type="gramStart"/>
      <w:r w:rsidRPr="00C5541C">
        <w:t>rruga  Elbasan</w:t>
      </w:r>
      <w:proofErr w:type="gramEnd"/>
      <w:r w:rsidRPr="00C5541C">
        <w:t>-Banjë Loti 3 (shtesë punimesh).</w:t>
      </w:r>
    </w:p>
    <w:p w:rsidR="00C75272" w:rsidRPr="00C5541C" w:rsidRDefault="00D47BE1" w:rsidP="002C5B1B">
      <w:pPr>
        <w:pStyle w:val="ListParagraph"/>
        <w:numPr>
          <w:ilvl w:val="0"/>
          <w:numId w:val="80"/>
        </w:numPr>
        <w:spacing w:before="120" w:line="276" w:lineRule="auto"/>
        <w:contextualSpacing/>
        <w:jc w:val="both"/>
      </w:pPr>
      <w:r>
        <w:t>Riveshje dhe Sistemim Asfaltim</w:t>
      </w:r>
      <w:r w:rsidR="00C75272" w:rsidRPr="00C5541C">
        <w:t>, masa inxhinierike rruga Këlcyrë-</w:t>
      </w:r>
      <w:proofErr w:type="gramStart"/>
      <w:r w:rsidR="00C75272" w:rsidRPr="00C5541C">
        <w:t>Përmet  Loti</w:t>
      </w:r>
      <w:proofErr w:type="gramEnd"/>
      <w:r w:rsidR="00C75272" w:rsidRPr="00C5541C">
        <w:t xml:space="preserve"> 3 (shtesë punimesh).</w:t>
      </w:r>
    </w:p>
    <w:p w:rsidR="00C75272" w:rsidRPr="00C5541C" w:rsidRDefault="00C75272" w:rsidP="002C5B1B">
      <w:pPr>
        <w:pStyle w:val="ListParagraph"/>
        <w:numPr>
          <w:ilvl w:val="0"/>
          <w:numId w:val="80"/>
        </w:numPr>
        <w:spacing w:before="120" w:line="276" w:lineRule="auto"/>
        <w:contextualSpacing/>
        <w:jc w:val="both"/>
      </w:pPr>
      <w:r w:rsidRPr="00C5541C">
        <w:t>Rikonstruksion segmenti rrugor Kodër-Kamëz - Tapizë.</w:t>
      </w:r>
    </w:p>
    <w:p w:rsidR="00C75272" w:rsidRPr="00C5541C" w:rsidRDefault="00C75272" w:rsidP="002C5B1B">
      <w:pPr>
        <w:pStyle w:val="ListParagraph"/>
        <w:numPr>
          <w:ilvl w:val="0"/>
          <w:numId w:val="80"/>
        </w:numPr>
        <w:spacing w:before="120" w:line="276" w:lineRule="auto"/>
        <w:contextualSpacing/>
        <w:jc w:val="both"/>
      </w:pPr>
      <w:r w:rsidRPr="00C5541C">
        <w:t>Rikonstruksion segmenti rrugor Kodër-Kamëz - Tapizë (shtesë punimesh)</w:t>
      </w:r>
    </w:p>
    <w:p w:rsidR="00C75272" w:rsidRPr="00C5541C" w:rsidRDefault="00C75272" w:rsidP="00C75272">
      <w:pPr>
        <w:spacing w:line="276" w:lineRule="auto"/>
        <w:jc w:val="both"/>
        <w:rPr>
          <w:lang w:val="sq-AL"/>
        </w:rPr>
      </w:pPr>
      <w:r w:rsidRPr="00C5541C">
        <w:rPr>
          <w:lang w:val="sq-AL"/>
        </w:rPr>
        <w:t xml:space="preserve">  </w:t>
      </w:r>
    </w:p>
    <w:p w:rsidR="00C75272" w:rsidRPr="00C5541C" w:rsidRDefault="00C75272" w:rsidP="00C75272">
      <w:pPr>
        <w:spacing w:line="276" w:lineRule="auto"/>
        <w:jc w:val="both"/>
        <w:rPr>
          <w:lang w:val="sq-AL"/>
        </w:rPr>
      </w:pPr>
      <w:r w:rsidRPr="00C5541C">
        <w:rPr>
          <w:lang w:val="sq-AL"/>
        </w:rPr>
        <w:t>Me buxhetin e vitit 2018 nga financimi i huaj fi</w:t>
      </w:r>
      <w:r w:rsidR="00D47BE1">
        <w:rPr>
          <w:lang w:val="sq-AL"/>
        </w:rPr>
        <w:t>nancohen objektet si më poshtë:</w:t>
      </w:r>
    </w:p>
    <w:p w:rsidR="00C75272" w:rsidRPr="00D47BE1" w:rsidRDefault="00C75272" w:rsidP="002C5B1B">
      <w:pPr>
        <w:pStyle w:val="ListParagraph"/>
        <w:numPr>
          <w:ilvl w:val="0"/>
          <w:numId w:val="80"/>
        </w:numPr>
        <w:spacing w:before="120" w:line="276" w:lineRule="auto"/>
        <w:contextualSpacing/>
        <w:jc w:val="both"/>
      </w:pPr>
      <w:r w:rsidRPr="00D47BE1">
        <w:t xml:space="preserve">Projekti i </w:t>
      </w:r>
      <w:proofErr w:type="gramStart"/>
      <w:r w:rsidRPr="00D47BE1">
        <w:t>ri</w:t>
      </w:r>
      <w:proofErr w:type="gramEnd"/>
      <w:r w:rsidRPr="00D47BE1">
        <w:t xml:space="preserve"> i mirëmbajtjes Bankës Botërore për mirëmbajtjen dhe sigurinë rrugore.</w:t>
      </w:r>
    </w:p>
    <w:p w:rsidR="00C75272" w:rsidRPr="00D47BE1" w:rsidRDefault="00C75272" w:rsidP="002C5B1B">
      <w:pPr>
        <w:pStyle w:val="ListParagraph"/>
        <w:numPr>
          <w:ilvl w:val="0"/>
          <w:numId w:val="80"/>
        </w:numPr>
        <w:spacing w:before="120" w:line="276" w:lineRule="auto"/>
        <w:contextualSpacing/>
        <w:jc w:val="both"/>
      </w:pPr>
      <w:r w:rsidRPr="00D47BE1">
        <w:t>Ndërtim By pass i Fierit</w:t>
      </w:r>
    </w:p>
    <w:p w:rsidR="00C75272" w:rsidRPr="00D47BE1" w:rsidRDefault="00C75272" w:rsidP="002C5B1B">
      <w:pPr>
        <w:pStyle w:val="ListParagraph"/>
        <w:numPr>
          <w:ilvl w:val="0"/>
          <w:numId w:val="80"/>
        </w:numPr>
        <w:spacing w:before="120" w:line="276" w:lineRule="auto"/>
        <w:contextualSpacing/>
        <w:jc w:val="both"/>
      </w:pPr>
      <w:r w:rsidRPr="00D47BE1">
        <w:t>Ndërtim By pass i Vlorës</w:t>
      </w:r>
    </w:p>
    <w:p w:rsidR="00C75272" w:rsidRPr="00D47BE1" w:rsidRDefault="00C75272" w:rsidP="002C5B1B">
      <w:pPr>
        <w:pStyle w:val="ListParagraph"/>
        <w:numPr>
          <w:ilvl w:val="0"/>
          <w:numId w:val="80"/>
        </w:numPr>
        <w:spacing w:before="120" w:line="276" w:lineRule="auto"/>
        <w:contextualSpacing/>
        <w:jc w:val="both"/>
      </w:pPr>
      <w:r w:rsidRPr="00D47BE1">
        <w:lastRenderedPageBreak/>
        <w:t>Segmenti Tiranë - Elbasan</w:t>
      </w:r>
    </w:p>
    <w:p w:rsidR="00C75272" w:rsidRPr="00D47BE1" w:rsidRDefault="00C75272" w:rsidP="00EA68C2">
      <w:pPr>
        <w:pStyle w:val="ListParagraph"/>
        <w:numPr>
          <w:ilvl w:val="0"/>
          <w:numId w:val="80"/>
        </w:numPr>
        <w:spacing w:after="120" w:line="276" w:lineRule="auto"/>
        <w:jc w:val="both"/>
      </w:pPr>
      <w:r w:rsidRPr="00D47BE1">
        <w:t>Segmenti Qukës - Qafë- Plloçë</w:t>
      </w:r>
    </w:p>
    <w:p w:rsidR="00C75272" w:rsidRPr="00C5541C" w:rsidRDefault="00C75272" w:rsidP="00C75272">
      <w:pPr>
        <w:spacing w:line="276" w:lineRule="auto"/>
        <w:jc w:val="both"/>
        <w:rPr>
          <w:lang w:val="sq-AL"/>
        </w:rPr>
      </w:pPr>
      <w:r w:rsidRPr="00C5541C">
        <w:rPr>
          <w:lang w:val="sq-AL"/>
        </w:rPr>
        <w:t>Për sinjalistikën dhe siguri rrugore, në projektbuxhetin të vitit 2018 janë parashikuar 202,</w:t>
      </w:r>
      <w:r w:rsidR="00F5778D">
        <w:rPr>
          <w:lang w:val="sq-AL"/>
        </w:rPr>
        <w:t>5 milionë</w:t>
      </w:r>
      <w:r w:rsidRPr="00C5541C">
        <w:rPr>
          <w:lang w:val="sq-AL"/>
        </w:rPr>
        <w:t xml:space="preserve"> lekë investime në sigurinë rrugore, janë mbështetur me financim të gjithë objektet që janë në vazhdim nga viti 2017 dhe është parashikuar financimi total i tyre. </w:t>
      </w:r>
    </w:p>
    <w:p w:rsidR="00C75272" w:rsidRDefault="00C75272" w:rsidP="00C75272">
      <w:pPr>
        <w:spacing w:line="276" w:lineRule="auto"/>
      </w:pPr>
    </w:p>
    <w:p w:rsidR="00122326" w:rsidRDefault="00EA68C2" w:rsidP="00EA68C2">
      <w:pPr>
        <w:spacing w:after="120" w:line="276" w:lineRule="auto"/>
        <w:rPr>
          <w:b/>
        </w:rPr>
      </w:pPr>
      <w:r>
        <w:rPr>
          <w:b/>
        </w:rPr>
        <w:t>ZHVILLIMI EKONOMIK</w:t>
      </w:r>
    </w:p>
    <w:p w:rsidR="00C75272" w:rsidRPr="00122326" w:rsidRDefault="00122326" w:rsidP="00122326">
      <w:pPr>
        <w:spacing w:after="120" w:line="276" w:lineRule="auto"/>
        <w:rPr>
          <w:b/>
        </w:rPr>
      </w:pPr>
      <w:r w:rsidRPr="00122326">
        <w:rPr>
          <w:b/>
        </w:rPr>
        <w:t>Arritjet p</w:t>
      </w:r>
      <w:r w:rsidR="008C5470">
        <w:rPr>
          <w:b/>
        </w:rPr>
        <w:t>ë</w:t>
      </w:r>
      <w:r w:rsidRPr="00122326">
        <w:rPr>
          <w:b/>
        </w:rPr>
        <w:t xml:space="preserve">r </w:t>
      </w:r>
      <w:r w:rsidR="00BF2B5E">
        <w:rPr>
          <w:b/>
        </w:rPr>
        <w:t xml:space="preserve">vitin </w:t>
      </w:r>
      <w:r w:rsidRPr="00122326">
        <w:rPr>
          <w:b/>
        </w:rPr>
        <w:t>2017</w:t>
      </w:r>
    </w:p>
    <w:p w:rsidR="00122326" w:rsidRPr="007C08B4" w:rsidRDefault="00122326" w:rsidP="00122326">
      <w:pPr>
        <w:spacing w:after="120" w:line="276" w:lineRule="auto"/>
        <w:rPr>
          <w:i/>
        </w:rPr>
      </w:pPr>
      <w:r w:rsidRPr="007C08B4">
        <w:rPr>
          <w:i/>
        </w:rPr>
        <w:t>Lehtësimi i tregtisë:</w:t>
      </w:r>
    </w:p>
    <w:p w:rsidR="00122326" w:rsidRDefault="00122326" w:rsidP="002C5B1B">
      <w:pPr>
        <w:pStyle w:val="ListParagraph"/>
        <w:numPr>
          <w:ilvl w:val="0"/>
          <w:numId w:val="79"/>
        </w:numPr>
        <w:spacing w:after="120" w:line="276" w:lineRule="auto"/>
        <w:jc w:val="both"/>
      </w:pPr>
      <w:r>
        <w:t>Krijimi i Komitetit Kombëtar për politikën tregtare dhe lehtësimin e tregtisë, krijuar me Urdhër Kryeministri, si një platformë e përbashkët diskutimi midis institucioneve shtetërore dhe biznesit për të gjitha politikat e hapjes së tregut dhe të lehtësimit të tregtisë.</w:t>
      </w:r>
    </w:p>
    <w:p w:rsidR="00122326" w:rsidRDefault="00122326" w:rsidP="002C5B1B">
      <w:pPr>
        <w:pStyle w:val="ListParagraph"/>
        <w:numPr>
          <w:ilvl w:val="0"/>
          <w:numId w:val="79"/>
        </w:numPr>
        <w:spacing w:after="120" w:line="276" w:lineRule="auto"/>
        <w:jc w:val="both"/>
      </w:pPr>
      <w:r>
        <w:t>Miratimi i planit kombëtar për lehtësimit e tregtisë 2017-2020 dhe ndërtimi i faqes zyrtare të komitetit me informacion për rregullat e tregtisë dhe aktivitetit e komitetit.</w:t>
      </w:r>
    </w:p>
    <w:p w:rsidR="00122326" w:rsidRDefault="00122326" w:rsidP="002C5B1B">
      <w:pPr>
        <w:pStyle w:val="ListParagraph"/>
        <w:numPr>
          <w:ilvl w:val="0"/>
          <w:numId w:val="79"/>
        </w:numPr>
        <w:spacing w:after="120" w:line="276" w:lineRule="auto"/>
        <w:jc w:val="both"/>
      </w:pPr>
      <w:r>
        <w:t>Vlerësimi i hapësirave për marrëveshje të reja të tregtisë së lirë më vendet e Magrebit. Është në përfundim analiza e plotë e impaktit tregtar</w:t>
      </w:r>
    </w:p>
    <w:p w:rsidR="00122326" w:rsidRPr="007C08B4" w:rsidRDefault="007C08B4" w:rsidP="007C08B4">
      <w:pPr>
        <w:spacing w:after="120" w:line="276" w:lineRule="auto"/>
        <w:rPr>
          <w:i/>
        </w:rPr>
      </w:pPr>
      <w:r>
        <w:rPr>
          <w:i/>
        </w:rPr>
        <w:t>Integrimi rajonal:</w:t>
      </w:r>
    </w:p>
    <w:p w:rsidR="00122326" w:rsidRDefault="00122326" w:rsidP="002C5B1B">
      <w:pPr>
        <w:pStyle w:val="ListParagraph"/>
        <w:numPr>
          <w:ilvl w:val="0"/>
          <w:numId w:val="79"/>
        </w:numPr>
        <w:spacing w:after="120" w:line="276" w:lineRule="auto"/>
        <w:jc w:val="both"/>
      </w:pPr>
      <w:r>
        <w:t xml:space="preserve">Finalizimi i procesit të miratimit të Protokollit Shtesë 5 për </w:t>
      </w:r>
      <w:proofErr w:type="gramStart"/>
      <w:r>
        <w:t>lehtësimin  tregtisë</w:t>
      </w:r>
      <w:proofErr w:type="gramEnd"/>
      <w:r>
        <w:t xml:space="preserve"> në kuadër të marrëveshjes CEFTA. Protokolli është dërguar në KM për të vijuar me procesin e ratifikimit</w:t>
      </w:r>
    </w:p>
    <w:p w:rsidR="00122326" w:rsidRDefault="00122326" w:rsidP="002C5B1B">
      <w:pPr>
        <w:pStyle w:val="ListParagraph"/>
        <w:numPr>
          <w:ilvl w:val="0"/>
          <w:numId w:val="79"/>
        </w:numPr>
        <w:spacing w:after="120" w:line="276" w:lineRule="auto"/>
        <w:jc w:val="both"/>
      </w:pPr>
      <w:r>
        <w:t>Finalizimi i negociatave teknike për Protokollin Shtesë 6, liberalizmi i tregtisë së shërbimeve në kuadër të CEFTA. Në proces për gatitja për firmosje</w:t>
      </w:r>
    </w:p>
    <w:p w:rsidR="00122326" w:rsidRDefault="00122326" w:rsidP="00122326">
      <w:pPr>
        <w:pStyle w:val="ListParagraph"/>
        <w:numPr>
          <w:ilvl w:val="0"/>
          <w:numId w:val="79"/>
        </w:numPr>
        <w:spacing w:after="120" w:line="276" w:lineRule="auto"/>
        <w:jc w:val="both"/>
      </w:pPr>
      <w:r>
        <w:t xml:space="preserve">Finalizimi i planit shumëvjeçar për krijimin e Zonës Ekonomike Rajonale, pjesa e tregtisë dhe investimeve, </w:t>
      </w:r>
    </w:p>
    <w:p w:rsidR="00122326" w:rsidRDefault="00122326" w:rsidP="00122326">
      <w:pPr>
        <w:spacing w:line="276" w:lineRule="auto"/>
      </w:pPr>
      <w:r>
        <w:t xml:space="preserve">Si rezultat, edhe të </w:t>
      </w:r>
      <w:r w:rsidR="00557CFB">
        <w:t>dhënat tregtare janë optimiste:</w:t>
      </w:r>
    </w:p>
    <w:p w:rsidR="00122326" w:rsidRDefault="00122326" w:rsidP="002C5B1B">
      <w:pPr>
        <w:pStyle w:val="ListParagraph"/>
        <w:numPr>
          <w:ilvl w:val="0"/>
          <w:numId w:val="79"/>
        </w:numPr>
        <w:spacing w:after="120" w:line="276" w:lineRule="auto"/>
        <w:jc w:val="both"/>
      </w:pPr>
      <w:r>
        <w:t>26</w:t>
      </w:r>
      <w:proofErr w:type="gramStart"/>
      <w:r>
        <w:t>,2</w:t>
      </w:r>
      <w:proofErr w:type="gramEnd"/>
      <w:r>
        <w:t xml:space="preserve"> % rritje të eksporteve me vendet CEFTA, rritja më e lartë krahasuar me partnerët e tjerë referuar 8 mujorit 2017 dhe 8 mujorit 2016.</w:t>
      </w:r>
    </w:p>
    <w:p w:rsidR="00122326" w:rsidRDefault="00122326" w:rsidP="002C5B1B">
      <w:pPr>
        <w:pStyle w:val="ListParagraph"/>
        <w:numPr>
          <w:ilvl w:val="0"/>
          <w:numId w:val="79"/>
        </w:numPr>
        <w:spacing w:after="120" w:line="276" w:lineRule="auto"/>
        <w:jc w:val="both"/>
      </w:pPr>
      <w:r>
        <w:t>77% të eksporteve e zënë eksportet drejt vendet e BE-së. BE rikonfirmohet edhe për këtë vit partneri kryesor i Shqipërisë.</w:t>
      </w:r>
    </w:p>
    <w:p w:rsidR="00122326" w:rsidRDefault="00557CFB" w:rsidP="002C5B1B">
      <w:pPr>
        <w:pStyle w:val="ListParagraph"/>
        <w:numPr>
          <w:ilvl w:val="0"/>
          <w:numId w:val="79"/>
        </w:numPr>
        <w:spacing w:after="120" w:line="276" w:lineRule="auto"/>
        <w:jc w:val="both"/>
      </w:pPr>
      <w:r>
        <w:t>9</w:t>
      </w:r>
      <w:r w:rsidR="00122326">
        <w:t xml:space="preserve">% rritje të eksporteve me vendet e BE-së është shënuar gjatë 8 mujorit të 2017 krahasuar me 2016.    </w:t>
      </w:r>
    </w:p>
    <w:p w:rsidR="00122326" w:rsidRPr="00C5541C" w:rsidRDefault="00122326" w:rsidP="002C5B1B">
      <w:pPr>
        <w:pStyle w:val="ListParagraph"/>
        <w:numPr>
          <w:ilvl w:val="0"/>
          <w:numId w:val="79"/>
        </w:numPr>
        <w:spacing w:after="120" w:line="276" w:lineRule="auto"/>
        <w:jc w:val="both"/>
      </w:pPr>
      <w:r>
        <w:t>4% rritje ka shënuar eksporti fason gjatë 3 mujorit të dytë 2017 krahasuar me të njëjtën periudhë 2016.</w:t>
      </w:r>
    </w:p>
    <w:p w:rsidR="00605030" w:rsidRPr="00957B42" w:rsidRDefault="00605030" w:rsidP="00C75272">
      <w:pPr>
        <w:spacing w:line="276" w:lineRule="auto"/>
        <w:rPr>
          <w:b/>
        </w:rPr>
      </w:pPr>
      <w:r w:rsidRPr="00957B42">
        <w:rPr>
          <w:b/>
        </w:rPr>
        <w:t>Mb</w:t>
      </w:r>
      <w:r w:rsidR="008C5470" w:rsidRPr="00957B42">
        <w:rPr>
          <w:b/>
        </w:rPr>
        <w:t>ë</w:t>
      </w:r>
      <w:r w:rsidRPr="00957B42">
        <w:rPr>
          <w:b/>
        </w:rPr>
        <w:t>shtetja e Biznesit</w:t>
      </w:r>
    </w:p>
    <w:p w:rsidR="00605030" w:rsidRDefault="00164AE8" w:rsidP="002C5B1B">
      <w:pPr>
        <w:pStyle w:val="ListParagraph"/>
        <w:numPr>
          <w:ilvl w:val="0"/>
          <w:numId w:val="79"/>
        </w:numPr>
        <w:spacing w:after="120" w:line="276" w:lineRule="auto"/>
        <w:jc w:val="both"/>
      </w:pPr>
      <w:r w:rsidRPr="00164AE8">
        <w:t>6 Kompani t</w:t>
      </w:r>
      <w:r w:rsidR="008C5470">
        <w:t>ë</w:t>
      </w:r>
      <w:r w:rsidRPr="00164AE8">
        <w:t xml:space="preserve"> financuara nga Fondi </w:t>
      </w:r>
      <w:r>
        <w:t>i</w:t>
      </w:r>
      <w:r w:rsidRPr="00164AE8">
        <w:t xml:space="preserve"> Konkurrueshm</w:t>
      </w:r>
      <w:r w:rsidR="008C5470">
        <w:t>ë</w:t>
      </w:r>
      <w:r w:rsidRPr="00164AE8">
        <w:t>ris</w:t>
      </w:r>
      <w:r w:rsidR="008C5470">
        <w:t>ë</w:t>
      </w:r>
    </w:p>
    <w:p w:rsidR="00164AE8" w:rsidRDefault="00164AE8" w:rsidP="002C5B1B">
      <w:pPr>
        <w:pStyle w:val="ListParagraph"/>
        <w:numPr>
          <w:ilvl w:val="0"/>
          <w:numId w:val="79"/>
        </w:numPr>
        <w:spacing w:after="120" w:line="276" w:lineRule="auto"/>
        <w:jc w:val="both"/>
      </w:pPr>
      <w:r>
        <w:t>12 Kompani t</w:t>
      </w:r>
      <w:r w:rsidR="008C5470">
        <w:t>ë</w:t>
      </w:r>
      <w:r>
        <w:t xml:space="preserve"> financuara nga Fondi i Start-Up</w:t>
      </w:r>
    </w:p>
    <w:p w:rsidR="00164AE8" w:rsidRPr="00164AE8" w:rsidRDefault="00164AE8" w:rsidP="002C5B1B">
      <w:pPr>
        <w:pStyle w:val="ListParagraph"/>
        <w:numPr>
          <w:ilvl w:val="0"/>
          <w:numId w:val="79"/>
        </w:numPr>
        <w:spacing w:after="120" w:line="276" w:lineRule="auto"/>
        <w:jc w:val="both"/>
      </w:pPr>
      <w:r>
        <w:t>5 Kompani t</w:t>
      </w:r>
      <w:r w:rsidR="008C5470">
        <w:t>ë</w:t>
      </w:r>
      <w:r>
        <w:t xml:space="preserve"> financuara nga Fondi i Inovacionit</w:t>
      </w:r>
    </w:p>
    <w:p w:rsidR="00605030" w:rsidRPr="00957B42" w:rsidRDefault="00164AE8" w:rsidP="00C75272">
      <w:pPr>
        <w:spacing w:line="276" w:lineRule="auto"/>
        <w:rPr>
          <w:b/>
        </w:rPr>
      </w:pPr>
      <w:r w:rsidRPr="00957B42">
        <w:rPr>
          <w:b/>
        </w:rPr>
        <w:t>Mbikqyrja e Tregut</w:t>
      </w:r>
    </w:p>
    <w:p w:rsidR="00164AE8" w:rsidRPr="00164AE8" w:rsidRDefault="00164AE8" w:rsidP="002C5B1B">
      <w:pPr>
        <w:pStyle w:val="ListParagraph"/>
        <w:numPr>
          <w:ilvl w:val="0"/>
          <w:numId w:val="99"/>
        </w:numPr>
        <w:spacing w:after="120" w:line="276" w:lineRule="auto"/>
      </w:pPr>
      <w:r w:rsidRPr="00164AE8">
        <w:t xml:space="preserve">Ulja e praktikave te padrejta tregtare me mospërputhje ligjore, </w:t>
      </w:r>
    </w:p>
    <w:p w:rsidR="00164AE8" w:rsidRPr="00164AE8" w:rsidRDefault="00164AE8" w:rsidP="002C5B1B">
      <w:pPr>
        <w:pStyle w:val="ListParagraph"/>
        <w:numPr>
          <w:ilvl w:val="0"/>
          <w:numId w:val="99"/>
        </w:numPr>
        <w:spacing w:after="120" w:line="276" w:lineRule="auto"/>
      </w:pPr>
      <w:r w:rsidRPr="00164AE8">
        <w:lastRenderedPageBreak/>
        <w:t xml:space="preserve">Rritja e shkalles se ndërgjegjësimit </w:t>
      </w:r>
      <w:proofErr w:type="gramStart"/>
      <w:r w:rsidRPr="00164AE8">
        <w:t>te</w:t>
      </w:r>
      <w:proofErr w:type="gramEnd"/>
      <w:r w:rsidRPr="00164AE8">
        <w:t xml:space="preserve"> konsumatorëve dhe operatorëve ne lidhje me kuadrin e ri rregullator te sigurisë se produkteve dhe te mbrojtjes se konsumatorëve. </w:t>
      </w:r>
    </w:p>
    <w:p w:rsidR="00164AE8" w:rsidRPr="00164AE8" w:rsidRDefault="00164AE8" w:rsidP="002C5B1B">
      <w:pPr>
        <w:pStyle w:val="ListParagraph"/>
        <w:numPr>
          <w:ilvl w:val="0"/>
          <w:numId w:val="99"/>
        </w:numPr>
        <w:spacing w:after="120" w:line="276" w:lineRule="auto"/>
      </w:pPr>
      <w:r>
        <w:t>R</w:t>
      </w:r>
      <w:r w:rsidRPr="00164AE8">
        <w:t>ritj</w:t>
      </w:r>
      <w:r>
        <w:t>a</w:t>
      </w:r>
      <w:r w:rsidRPr="00164AE8">
        <w:t xml:space="preserve"> e nivelit te cil</w:t>
      </w:r>
      <w:r w:rsidR="008C5470">
        <w:t>ë</w:t>
      </w:r>
      <w:r w:rsidRPr="00164AE8">
        <w:t xml:space="preserve">sise te sherbimeve metrologjike, duke minimizuar matjet e pasakta ne fusha te ndryeshme te metrologjise qe ndikojne direkt ne mbrojtejen e konsumatorit </w:t>
      </w:r>
    </w:p>
    <w:p w:rsidR="00164AE8" w:rsidRPr="00164AE8" w:rsidRDefault="00164AE8" w:rsidP="002C5B1B">
      <w:pPr>
        <w:pStyle w:val="ListParagraph"/>
        <w:numPr>
          <w:ilvl w:val="0"/>
          <w:numId w:val="99"/>
        </w:numPr>
        <w:spacing w:after="120" w:line="276" w:lineRule="auto"/>
      </w:pPr>
      <w:r w:rsidRPr="00164AE8">
        <w:t xml:space="preserve">Adoptimi </w:t>
      </w:r>
      <w:r>
        <w:t>i</w:t>
      </w:r>
      <w:r w:rsidRPr="00164AE8">
        <w:t xml:space="preserve"> standardeve </w:t>
      </w:r>
      <w:proofErr w:type="gramStart"/>
      <w:r w:rsidRPr="00164AE8">
        <w:t>te</w:t>
      </w:r>
      <w:proofErr w:type="gramEnd"/>
      <w:r w:rsidRPr="00164AE8">
        <w:t xml:space="preserve"> publikuara nga IEC ne masen 19% dhe </w:t>
      </w:r>
      <w:r>
        <w:t>i</w:t>
      </w:r>
      <w:r w:rsidRPr="00164AE8">
        <w:t xml:space="preserve"> atyre te publikuara nga ISO ne masen 22%.</w:t>
      </w:r>
    </w:p>
    <w:p w:rsidR="00164AE8" w:rsidRPr="00164AE8" w:rsidRDefault="00164AE8" w:rsidP="002C5B1B">
      <w:pPr>
        <w:pStyle w:val="ListParagraph"/>
        <w:numPr>
          <w:ilvl w:val="0"/>
          <w:numId w:val="99"/>
        </w:numPr>
        <w:spacing w:after="120" w:line="276" w:lineRule="auto"/>
      </w:pPr>
      <w:r w:rsidRPr="00164AE8">
        <w:t xml:space="preserve">Hartimi i rregullave teknik  te sigurisë se produkteve joushqimore ne treg </w:t>
      </w:r>
    </w:p>
    <w:p w:rsidR="00164AE8" w:rsidRPr="00164AE8" w:rsidRDefault="00164AE8" w:rsidP="002C5B1B">
      <w:pPr>
        <w:pStyle w:val="ListParagraph"/>
        <w:numPr>
          <w:ilvl w:val="0"/>
          <w:numId w:val="99"/>
        </w:numPr>
        <w:spacing w:after="120" w:line="276" w:lineRule="auto"/>
      </w:pPr>
      <w:r w:rsidRPr="00164AE8">
        <w:t>Realizimi i gjurmueshmerise se matjeve ne nivelin me te larte ndërkombëtar</w:t>
      </w:r>
    </w:p>
    <w:p w:rsidR="00164AE8" w:rsidRPr="00164AE8" w:rsidRDefault="00164AE8" w:rsidP="002C5B1B">
      <w:pPr>
        <w:pStyle w:val="ListParagraph"/>
        <w:numPr>
          <w:ilvl w:val="0"/>
          <w:numId w:val="99"/>
        </w:numPr>
        <w:spacing w:after="120" w:line="276" w:lineRule="auto"/>
      </w:pPr>
      <w:r w:rsidRPr="00164AE8">
        <w:t xml:space="preserve">Akreditimi </w:t>
      </w:r>
      <w:proofErr w:type="gramStart"/>
      <w:r w:rsidRPr="00164AE8">
        <w:t>i  laboratoreve</w:t>
      </w:r>
      <w:proofErr w:type="gramEnd"/>
      <w:r w:rsidRPr="00164AE8">
        <w:t xml:space="preserve"> ( ne keto fusha: Presion, mases, volum dhe forces).</w:t>
      </w:r>
    </w:p>
    <w:p w:rsidR="00164AE8" w:rsidRDefault="00164AE8" w:rsidP="002C5B1B">
      <w:pPr>
        <w:pStyle w:val="ListParagraph"/>
        <w:numPr>
          <w:ilvl w:val="0"/>
          <w:numId w:val="99"/>
        </w:numPr>
        <w:spacing w:after="120" w:line="276" w:lineRule="auto"/>
      </w:pPr>
      <w:r w:rsidRPr="00164AE8">
        <w:t>Plot</w:t>
      </w:r>
      <w:r w:rsidR="008C5470">
        <w:t>ë</w:t>
      </w:r>
      <w:r w:rsidRPr="00164AE8">
        <w:t xml:space="preserve">simi </w:t>
      </w:r>
      <w:r>
        <w:t>i</w:t>
      </w:r>
      <w:r w:rsidRPr="00164AE8">
        <w:t xml:space="preserve"> k</w:t>
      </w:r>
      <w:r w:rsidR="008C5470">
        <w:t>ë</w:t>
      </w:r>
      <w:r>
        <w:t xml:space="preserve">rkesave </w:t>
      </w:r>
      <w:proofErr w:type="gramStart"/>
      <w:r>
        <w:t>te</w:t>
      </w:r>
      <w:proofErr w:type="gramEnd"/>
      <w:r>
        <w:t xml:space="preserve"> o</w:t>
      </w:r>
      <w:r w:rsidRPr="00164AE8">
        <w:t>p</w:t>
      </w:r>
      <w:r>
        <w:t>e</w:t>
      </w:r>
      <w:r w:rsidRPr="00164AE8">
        <w:t>ratoreve ekonomike vendas ne fushen e telekomunikacionit per standardet e k</w:t>
      </w:r>
      <w:r w:rsidR="008C5470">
        <w:t>ë</w:t>
      </w:r>
      <w:r w:rsidRPr="00164AE8">
        <w:t>saj fushe, t</w:t>
      </w:r>
      <w:r w:rsidR="008C5470">
        <w:t>ë</w:t>
      </w:r>
      <w:r w:rsidRPr="00164AE8">
        <w:t xml:space="preserve"> cilat p</w:t>
      </w:r>
      <w:r w:rsidR="008C5470">
        <w:t>ë</w:t>
      </w:r>
      <w:r w:rsidRPr="00164AE8">
        <w:t>rdoren edhe n</w:t>
      </w:r>
      <w:r w:rsidR="008C5470">
        <w:t>ë</w:t>
      </w:r>
      <w:r w:rsidRPr="00164AE8">
        <w:t xml:space="preserve"> tregun europian.</w:t>
      </w:r>
    </w:p>
    <w:p w:rsidR="00EA68C2" w:rsidRPr="00EA68C2" w:rsidRDefault="00EA68C2" w:rsidP="00CA0AF1">
      <w:pPr>
        <w:spacing w:after="120" w:line="276" w:lineRule="auto"/>
        <w:rPr>
          <w:b/>
          <w:sz w:val="16"/>
          <w:szCs w:val="16"/>
        </w:rPr>
      </w:pPr>
    </w:p>
    <w:p w:rsidR="00605030" w:rsidRPr="00CA0AF1" w:rsidRDefault="00557CFB" w:rsidP="00CA0AF1">
      <w:pPr>
        <w:spacing w:after="120" w:line="276" w:lineRule="auto"/>
        <w:rPr>
          <w:b/>
        </w:rPr>
      </w:pPr>
      <w:r w:rsidRPr="00164AE8">
        <w:rPr>
          <w:b/>
        </w:rPr>
        <w:t>Prioritetet p</w:t>
      </w:r>
      <w:r w:rsidR="008C5470">
        <w:rPr>
          <w:b/>
        </w:rPr>
        <w:t>ë</w:t>
      </w:r>
      <w:r w:rsidRPr="00164AE8">
        <w:rPr>
          <w:b/>
        </w:rPr>
        <w:t>r vitin 2018</w:t>
      </w:r>
    </w:p>
    <w:p w:rsidR="00557CFB" w:rsidRPr="00957B42" w:rsidRDefault="00605030" w:rsidP="00C75272">
      <w:pPr>
        <w:spacing w:line="276" w:lineRule="auto"/>
        <w:rPr>
          <w:b/>
        </w:rPr>
      </w:pPr>
      <w:r w:rsidRPr="00957B42">
        <w:rPr>
          <w:b/>
        </w:rPr>
        <w:t>Bashk</w:t>
      </w:r>
      <w:r w:rsidR="008C5470" w:rsidRPr="00957B42">
        <w:rPr>
          <w:b/>
        </w:rPr>
        <w:t>ë</w:t>
      </w:r>
      <w:r w:rsidRPr="00957B42">
        <w:rPr>
          <w:b/>
        </w:rPr>
        <w:t>punimi Ekonomik</w:t>
      </w:r>
    </w:p>
    <w:p w:rsidR="00557CFB" w:rsidRPr="00F878CE" w:rsidRDefault="00557CFB" w:rsidP="008C015D">
      <w:pPr>
        <w:pStyle w:val="ListParagraph"/>
        <w:numPr>
          <w:ilvl w:val="0"/>
          <w:numId w:val="96"/>
        </w:numPr>
        <w:spacing w:after="120" w:line="276" w:lineRule="auto"/>
      </w:pPr>
      <w:r w:rsidRPr="00F878CE">
        <w:t xml:space="preserve">Thellimi i bashkëpunimit dhe integrimit rajonal nëpërmjet </w:t>
      </w:r>
      <w:r w:rsidR="004E2232">
        <w:t>zbatimit të Planit shumëvjeçar p</w:t>
      </w:r>
      <w:r w:rsidRPr="00F878CE">
        <w:t>ër krijimin e Zonës Ekonomike Rajonale.</w:t>
      </w:r>
    </w:p>
    <w:p w:rsidR="00557CFB" w:rsidRPr="00F878CE" w:rsidRDefault="00557CFB" w:rsidP="008C015D">
      <w:pPr>
        <w:pStyle w:val="ListParagraph"/>
        <w:numPr>
          <w:ilvl w:val="0"/>
          <w:numId w:val="96"/>
        </w:numPr>
        <w:spacing w:after="120" w:line="276" w:lineRule="auto"/>
      </w:pPr>
      <w:r w:rsidRPr="00F878CE">
        <w:t>Miratimi në Kuvend i Protokollit Shtesë 5 dhe Protokollit Shtesë 6 në kuadër të CEFTA për lehtësimin e tregtisë dhe hapjen e tregut të shërbimeve në rajon.</w:t>
      </w:r>
    </w:p>
    <w:p w:rsidR="00557CFB" w:rsidRPr="00F878CE" w:rsidRDefault="00557CFB" w:rsidP="008C015D">
      <w:pPr>
        <w:pStyle w:val="ListParagraph"/>
        <w:numPr>
          <w:ilvl w:val="0"/>
          <w:numId w:val="96"/>
        </w:numPr>
        <w:spacing w:after="120" w:line="276" w:lineRule="auto"/>
      </w:pPr>
      <w:r w:rsidRPr="00F878CE">
        <w:t>Njohja reciproke e programeve AEO në kuadër të CEFTA si dhe e dokumenteve të kufirit, duke i dhënë një dimension të ri integrimit rajonal,</w:t>
      </w:r>
    </w:p>
    <w:p w:rsidR="00557CFB" w:rsidRPr="00F878CE" w:rsidRDefault="00557CFB" w:rsidP="008C015D">
      <w:pPr>
        <w:pStyle w:val="ListParagraph"/>
        <w:numPr>
          <w:ilvl w:val="0"/>
          <w:numId w:val="96"/>
        </w:numPr>
        <w:spacing w:after="120" w:line="276" w:lineRule="auto"/>
      </w:pPr>
      <w:r w:rsidRPr="00F878CE">
        <w:t>Përgatitja e dokumentit të politikave për mundësinë e marrëveshjeve të reja të tregtisë së lirë me vendet e Magrebit.</w:t>
      </w:r>
    </w:p>
    <w:p w:rsidR="00557CFB" w:rsidRPr="00F878CE" w:rsidRDefault="00557CFB" w:rsidP="008C015D">
      <w:pPr>
        <w:pStyle w:val="ListParagraph"/>
        <w:numPr>
          <w:ilvl w:val="0"/>
          <w:numId w:val="96"/>
        </w:numPr>
        <w:spacing w:after="120" w:line="276" w:lineRule="auto"/>
      </w:pPr>
      <w:r w:rsidRPr="00F878CE">
        <w:t xml:space="preserve">Ndjekja e procedurave të negocimit teknik të disa marrëveshjeve të nxitjes dhe mbrojtjes së investimeve, specifikisht </w:t>
      </w:r>
      <w:r w:rsidRPr="00F878CE">
        <w:rPr>
          <w:rFonts w:eastAsiaTheme="minorHAnsi"/>
        </w:rPr>
        <w:t xml:space="preserve">me Sllovakinë, Iranin, Islandën dhe Kanadanë; </w:t>
      </w:r>
      <w:r w:rsidRPr="00F878CE">
        <w:t xml:space="preserve"> </w:t>
      </w:r>
    </w:p>
    <w:p w:rsidR="00557CFB" w:rsidRPr="00F878CE" w:rsidRDefault="00557CFB" w:rsidP="008C015D">
      <w:pPr>
        <w:pStyle w:val="ListParagraph"/>
        <w:numPr>
          <w:ilvl w:val="0"/>
          <w:numId w:val="96"/>
        </w:numPr>
        <w:spacing w:after="120" w:line="276" w:lineRule="auto"/>
      </w:pPr>
      <w:r w:rsidRPr="00F878CE">
        <w:t xml:space="preserve">Ndjekja e procedurave të negocimit teknik të disa projekt-marrëveshjeve të bashkëpunimit ekonomik, specifikisht me Bosnjë-Hercegovinën, Algjerinë dhe Ukrainën; </w:t>
      </w:r>
    </w:p>
    <w:p w:rsidR="00164AE8" w:rsidRPr="00957B42" w:rsidRDefault="00557CFB" w:rsidP="00C75272">
      <w:pPr>
        <w:pStyle w:val="ListParagraph"/>
        <w:numPr>
          <w:ilvl w:val="0"/>
          <w:numId w:val="96"/>
        </w:numPr>
        <w:spacing w:after="120" w:line="276" w:lineRule="auto"/>
      </w:pPr>
      <w:r w:rsidRPr="00F878CE">
        <w:t xml:space="preserve">Ndjekja e procedurave të zhvillimit të Sesioneve të Komisioneve të Përbashkëta Ndërqeveritare “Për bashkëpunimin ekonomik” specifikisht me: Kinën, Rusinë, Hungarinë, Kroacinë e vende të ndryshme me synimin e nxitjes së bashkëpunimit ekonomik e tregtar në spektrin dypalësh. </w:t>
      </w:r>
    </w:p>
    <w:p w:rsidR="00557CFB" w:rsidRPr="00957B42" w:rsidRDefault="00164AE8" w:rsidP="00C75272">
      <w:pPr>
        <w:spacing w:line="276" w:lineRule="auto"/>
        <w:rPr>
          <w:b/>
        </w:rPr>
      </w:pPr>
      <w:r w:rsidRPr="00957B42">
        <w:rPr>
          <w:b/>
        </w:rPr>
        <w:t>Mb</w:t>
      </w:r>
      <w:r w:rsidR="008C5470" w:rsidRPr="00957B42">
        <w:rPr>
          <w:b/>
        </w:rPr>
        <w:t>ë</w:t>
      </w:r>
      <w:r w:rsidRPr="00957B42">
        <w:rPr>
          <w:b/>
        </w:rPr>
        <w:t>shtetja e Biznesit</w:t>
      </w:r>
    </w:p>
    <w:p w:rsidR="00164AE8" w:rsidRPr="00164AE8" w:rsidRDefault="00164AE8" w:rsidP="002C5B1B">
      <w:pPr>
        <w:pStyle w:val="ListParagraph"/>
        <w:numPr>
          <w:ilvl w:val="0"/>
          <w:numId w:val="96"/>
        </w:numPr>
        <w:spacing w:after="120"/>
      </w:pPr>
      <w:r>
        <w:t>20</w:t>
      </w:r>
      <w:r w:rsidRPr="00164AE8">
        <w:t xml:space="preserve"> Kompani t</w:t>
      </w:r>
      <w:r w:rsidR="008C5470">
        <w:t>ë</w:t>
      </w:r>
      <w:r w:rsidRPr="00164AE8">
        <w:t xml:space="preserve"> financuara nga Fondi i Konkurrueshm</w:t>
      </w:r>
      <w:r w:rsidR="008C5470">
        <w:t>ë</w:t>
      </w:r>
      <w:r w:rsidRPr="00164AE8">
        <w:t>ris</w:t>
      </w:r>
      <w:r w:rsidR="008C5470">
        <w:t>ë</w:t>
      </w:r>
    </w:p>
    <w:p w:rsidR="00164AE8" w:rsidRPr="00164AE8" w:rsidRDefault="00164AE8" w:rsidP="002C5B1B">
      <w:pPr>
        <w:pStyle w:val="ListParagraph"/>
        <w:numPr>
          <w:ilvl w:val="0"/>
          <w:numId w:val="96"/>
        </w:numPr>
        <w:spacing w:after="120"/>
      </w:pPr>
      <w:r w:rsidRPr="00164AE8">
        <w:t>1</w:t>
      </w:r>
      <w:r>
        <w:t>3</w:t>
      </w:r>
      <w:r w:rsidRPr="00164AE8">
        <w:t xml:space="preserve"> Kompani t</w:t>
      </w:r>
      <w:r w:rsidR="008C5470">
        <w:t>ë</w:t>
      </w:r>
      <w:r w:rsidRPr="00164AE8">
        <w:t xml:space="preserve"> financuara nga Fondi i Start-Up</w:t>
      </w:r>
    </w:p>
    <w:p w:rsidR="00164AE8" w:rsidRDefault="00164AE8" w:rsidP="002C5B1B">
      <w:pPr>
        <w:pStyle w:val="ListParagraph"/>
        <w:numPr>
          <w:ilvl w:val="0"/>
          <w:numId w:val="96"/>
        </w:numPr>
        <w:spacing w:after="120"/>
      </w:pPr>
      <w:r>
        <w:t>42</w:t>
      </w:r>
      <w:r w:rsidRPr="00164AE8">
        <w:t xml:space="preserve"> Kompani t</w:t>
      </w:r>
      <w:r w:rsidR="008C5470">
        <w:t>ë</w:t>
      </w:r>
      <w:r w:rsidRPr="00164AE8">
        <w:t xml:space="preserve"> financuara nga Fondi i Inovacionit</w:t>
      </w:r>
    </w:p>
    <w:p w:rsidR="00164AE8" w:rsidRDefault="00164AE8" w:rsidP="002C5B1B">
      <w:pPr>
        <w:pStyle w:val="ListParagraph"/>
        <w:numPr>
          <w:ilvl w:val="0"/>
          <w:numId w:val="96"/>
        </w:numPr>
        <w:spacing w:after="120"/>
      </w:pPr>
      <w:r>
        <w:t>20 Biznese t</w:t>
      </w:r>
      <w:r w:rsidR="008C5470">
        <w:t>ë</w:t>
      </w:r>
      <w:r>
        <w:t xml:space="preserve"> Artizanatit t</w:t>
      </w:r>
      <w:r w:rsidR="008C5470">
        <w:t>ë</w:t>
      </w:r>
      <w:r>
        <w:t xml:space="preserve"> financuara nga fondi i Biznesit Kreativ</w:t>
      </w:r>
    </w:p>
    <w:p w:rsidR="00164AE8" w:rsidRPr="00164AE8" w:rsidRDefault="00164AE8" w:rsidP="002C5B1B">
      <w:pPr>
        <w:pStyle w:val="ListParagraph"/>
        <w:numPr>
          <w:ilvl w:val="0"/>
          <w:numId w:val="96"/>
        </w:numPr>
        <w:spacing w:after="120"/>
      </w:pPr>
      <w:r>
        <w:t>20 Sip</w:t>
      </w:r>
      <w:r w:rsidR="008C5470">
        <w:t>ë</w:t>
      </w:r>
      <w:r>
        <w:t>rmarrje t</w:t>
      </w:r>
      <w:r w:rsidR="008C5470">
        <w:t>ë</w:t>
      </w:r>
      <w:r>
        <w:t xml:space="preserve"> mb</w:t>
      </w:r>
      <w:r w:rsidR="008C5470">
        <w:t>ë</w:t>
      </w:r>
      <w:r>
        <w:t>shtetura nga Fondi p</w:t>
      </w:r>
      <w:r w:rsidR="008C5470">
        <w:t>ë</w:t>
      </w:r>
      <w:r>
        <w:t>r mb</w:t>
      </w:r>
      <w:r w:rsidR="008C5470">
        <w:t>ë</w:t>
      </w:r>
      <w:r>
        <w:t>shtetjen e Turizmit</w:t>
      </w:r>
    </w:p>
    <w:p w:rsidR="00164AE8" w:rsidRDefault="00164AE8" w:rsidP="00C75272">
      <w:pPr>
        <w:spacing w:line="276" w:lineRule="auto"/>
        <w:rPr>
          <w:b/>
        </w:rPr>
      </w:pPr>
    </w:p>
    <w:p w:rsidR="00EA68C2" w:rsidRDefault="00EA68C2" w:rsidP="00C75272">
      <w:pPr>
        <w:spacing w:line="276" w:lineRule="auto"/>
        <w:rPr>
          <w:b/>
        </w:rPr>
      </w:pPr>
    </w:p>
    <w:p w:rsidR="00EA68C2" w:rsidRDefault="00EA68C2" w:rsidP="00C75272">
      <w:pPr>
        <w:spacing w:line="276" w:lineRule="auto"/>
        <w:rPr>
          <w:b/>
        </w:rPr>
      </w:pPr>
    </w:p>
    <w:p w:rsidR="00164AE8" w:rsidRPr="00957B42" w:rsidRDefault="00164AE8" w:rsidP="00C75272">
      <w:pPr>
        <w:spacing w:line="276" w:lineRule="auto"/>
        <w:rPr>
          <w:b/>
        </w:rPr>
      </w:pPr>
      <w:r w:rsidRPr="00957B42">
        <w:rPr>
          <w:b/>
        </w:rPr>
        <w:lastRenderedPageBreak/>
        <w:t>Mbikqyrja e Tregut</w:t>
      </w:r>
    </w:p>
    <w:p w:rsidR="00164AE8" w:rsidRPr="00164AE8" w:rsidRDefault="00164AE8" w:rsidP="002C5B1B">
      <w:pPr>
        <w:pStyle w:val="ListParagraph"/>
        <w:numPr>
          <w:ilvl w:val="0"/>
          <w:numId w:val="100"/>
        </w:numPr>
        <w:spacing w:after="120" w:line="276" w:lineRule="auto"/>
        <w:jc w:val="both"/>
      </w:pPr>
      <w:r w:rsidRPr="00164AE8">
        <w:t xml:space="preserve">Përmirësimi i legjislacionit të mbrojtjes së konsumatorëve, nëpërmjet amendimit te Ligjit  “Për Mbrojtjen e konsumatorëve” duke fuqizuar pozitat  e konsumatorit ne TREG </w:t>
      </w:r>
    </w:p>
    <w:p w:rsidR="00164AE8" w:rsidRPr="00164AE8" w:rsidRDefault="00164AE8" w:rsidP="002C5B1B">
      <w:pPr>
        <w:pStyle w:val="ListParagraph"/>
        <w:numPr>
          <w:ilvl w:val="0"/>
          <w:numId w:val="100"/>
        </w:numPr>
        <w:spacing w:after="120" w:line="276" w:lineRule="auto"/>
        <w:jc w:val="both"/>
      </w:pPr>
      <w:r w:rsidRPr="00164AE8">
        <w:t>Përmirësimi i transparencës së tregut në praktikat tregtare dhe bashkëpunimit midis operatoreve dhe konsumatorëve</w:t>
      </w:r>
      <w:r w:rsidR="00DB4652">
        <w:t>;</w:t>
      </w:r>
      <w:r w:rsidRPr="00164AE8">
        <w:t xml:space="preserve"> </w:t>
      </w:r>
      <w:r w:rsidRPr="00164AE8">
        <w:tab/>
      </w:r>
    </w:p>
    <w:p w:rsidR="00164AE8" w:rsidRPr="00164AE8" w:rsidRDefault="00164AE8" w:rsidP="002C5B1B">
      <w:pPr>
        <w:pStyle w:val="ListParagraph"/>
        <w:numPr>
          <w:ilvl w:val="0"/>
          <w:numId w:val="100"/>
        </w:numPr>
        <w:spacing w:after="120" w:line="276" w:lineRule="auto"/>
        <w:jc w:val="both"/>
      </w:pPr>
      <w:r w:rsidRPr="00164AE8">
        <w:t>Përmirësimi i i transparencës së tregut për praktikat tregtare në fushën e arsimit të lart</w:t>
      </w:r>
      <w:r w:rsidR="008C5470">
        <w:t>ë</w:t>
      </w:r>
      <w:r w:rsidR="00DB4652">
        <w:t>;</w:t>
      </w:r>
    </w:p>
    <w:p w:rsidR="00164AE8" w:rsidRPr="00164AE8" w:rsidRDefault="00164AE8" w:rsidP="002C5B1B">
      <w:pPr>
        <w:pStyle w:val="ListParagraph"/>
        <w:numPr>
          <w:ilvl w:val="0"/>
          <w:numId w:val="100"/>
        </w:numPr>
        <w:spacing w:after="120" w:line="276" w:lineRule="auto"/>
        <w:jc w:val="both"/>
      </w:pPr>
      <w:r w:rsidRPr="00164AE8">
        <w:t>Rritja e besueshmërisë së produkteve dhe shërbimeve në treg dhe rritja e eksporteve është prioritet i Qeverisë Shqiptare pë</w:t>
      </w:r>
      <w:r w:rsidR="00DB4652">
        <w:t>r zhvillimin ekonomik të vendit;</w:t>
      </w:r>
      <w:r w:rsidRPr="00164AE8">
        <w:tab/>
      </w:r>
    </w:p>
    <w:p w:rsidR="00164AE8" w:rsidRPr="00164AE8" w:rsidRDefault="00164AE8" w:rsidP="002C5B1B">
      <w:pPr>
        <w:pStyle w:val="ListParagraph"/>
        <w:numPr>
          <w:ilvl w:val="0"/>
          <w:numId w:val="100"/>
        </w:numPr>
        <w:spacing w:after="120" w:line="276" w:lineRule="auto"/>
        <w:jc w:val="both"/>
      </w:pPr>
      <w:r w:rsidRPr="00164AE8">
        <w:t xml:space="preserve">Krijimi </w:t>
      </w:r>
      <w:r>
        <w:t>i</w:t>
      </w:r>
      <w:r w:rsidRPr="00164AE8">
        <w:t xml:space="preserve"> kushteve sa m</w:t>
      </w:r>
      <w:r w:rsidR="008C5470">
        <w:t>ë</w:t>
      </w:r>
      <w:r w:rsidRPr="00164AE8">
        <w:t xml:space="preserve"> t</w:t>
      </w:r>
      <w:r w:rsidR="008C5470">
        <w:t>ë</w:t>
      </w:r>
      <w:r w:rsidRPr="00164AE8">
        <w:t xml:space="preserve"> mira dhe sa m</w:t>
      </w:r>
      <w:r w:rsidR="008C5470">
        <w:t>ë</w:t>
      </w:r>
      <w:r w:rsidRPr="00164AE8">
        <w:t xml:space="preserve"> t</w:t>
      </w:r>
      <w:r w:rsidR="008C5470">
        <w:t>ë</w:t>
      </w:r>
      <w:r w:rsidRPr="00164AE8">
        <w:t xml:space="preserve"> sakta, n</w:t>
      </w:r>
      <w:r w:rsidR="008C5470">
        <w:t>ë</w:t>
      </w:r>
      <w:r w:rsidRPr="00164AE8">
        <w:t xml:space="preserve"> paisjen e laborator</w:t>
      </w:r>
      <w:r w:rsidR="008C5470">
        <w:t>ë</w:t>
      </w:r>
      <w:r w:rsidRPr="00164AE8">
        <w:t>ve te kalibrimit dhe te verifikimit me paisje laboratorike</w:t>
      </w:r>
      <w:r w:rsidR="00DB4652">
        <w:t>;</w:t>
      </w:r>
      <w:r w:rsidRPr="00164AE8">
        <w:t xml:space="preserve"> </w:t>
      </w:r>
    </w:p>
    <w:p w:rsidR="00164AE8" w:rsidRPr="00164AE8" w:rsidRDefault="00164AE8" w:rsidP="002C5B1B">
      <w:pPr>
        <w:pStyle w:val="ListParagraph"/>
        <w:numPr>
          <w:ilvl w:val="0"/>
          <w:numId w:val="100"/>
        </w:numPr>
        <w:spacing w:after="120" w:line="276" w:lineRule="auto"/>
        <w:jc w:val="both"/>
      </w:pPr>
      <w:r w:rsidRPr="00164AE8">
        <w:t>Rritja e sigurisë e produkteve jo-ushqimore të vendosura në treg dhe për të ndihmuar në funksionimi</w:t>
      </w:r>
      <w:r w:rsidR="00DB4652">
        <w:t>n e një tregu të lirë konkurues.</w:t>
      </w:r>
    </w:p>
    <w:p w:rsidR="00164AE8" w:rsidRDefault="00164AE8" w:rsidP="00C75272">
      <w:pPr>
        <w:spacing w:line="276" w:lineRule="auto"/>
        <w:rPr>
          <w:b/>
        </w:rPr>
      </w:pPr>
    </w:p>
    <w:p w:rsidR="00280F5A" w:rsidRPr="00DB7941" w:rsidRDefault="00280F5A" w:rsidP="00280F5A">
      <w:pPr>
        <w:spacing w:line="276" w:lineRule="auto"/>
        <w:jc w:val="both"/>
        <w:rPr>
          <w:b/>
          <w:lang w:val="sq-AL"/>
        </w:rPr>
      </w:pPr>
      <w:r w:rsidRPr="00DB7941">
        <w:rPr>
          <w:b/>
          <w:lang w:val="sq-AL"/>
        </w:rPr>
        <w:t>RENDI DHE SIGURIA PUBLIKE</w:t>
      </w:r>
    </w:p>
    <w:p w:rsidR="00280F5A" w:rsidRDefault="00280F5A" w:rsidP="00280F5A">
      <w:pPr>
        <w:rPr>
          <w:b/>
        </w:rPr>
      </w:pPr>
    </w:p>
    <w:p w:rsidR="00280F5A" w:rsidRPr="00DC67A5" w:rsidRDefault="00280F5A" w:rsidP="00280F5A">
      <w:pPr>
        <w:spacing w:after="120"/>
        <w:rPr>
          <w:b/>
        </w:rPr>
      </w:pPr>
      <w:r w:rsidRPr="00DC67A5">
        <w:rPr>
          <w:b/>
        </w:rPr>
        <w:t xml:space="preserve">Arritjet </w:t>
      </w:r>
      <w:r w:rsidR="00CA0AF1">
        <w:rPr>
          <w:b/>
        </w:rPr>
        <w:t>p</w:t>
      </w:r>
      <w:r w:rsidR="00BF2B5E">
        <w:rPr>
          <w:b/>
        </w:rPr>
        <w:t>ë</w:t>
      </w:r>
      <w:r w:rsidR="00CA0AF1">
        <w:rPr>
          <w:b/>
        </w:rPr>
        <w:t xml:space="preserve">r vitin </w:t>
      </w:r>
      <w:r w:rsidRPr="00DC67A5">
        <w:rPr>
          <w:b/>
        </w:rPr>
        <w:t>2017</w:t>
      </w:r>
    </w:p>
    <w:p w:rsidR="004E2232" w:rsidRPr="00E161AA" w:rsidRDefault="004E2232" w:rsidP="004E2232">
      <w:pPr>
        <w:pStyle w:val="ListParagraph"/>
        <w:numPr>
          <w:ilvl w:val="0"/>
          <w:numId w:val="41"/>
        </w:numPr>
        <w:spacing w:after="120" w:line="259" w:lineRule="auto"/>
        <w:jc w:val="both"/>
        <w:rPr>
          <w:lang w:val="sq-AL"/>
        </w:rPr>
      </w:pPr>
      <w:r w:rsidRPr="00E161AA">
        <w:rPr>
          <w:lang w:val="sq-AL"/>
        </w:rPr>
        <w:t>Zbatimi i “Planit Kombëtar Kundër Kultivimit të Kanabisit (P.K.K.K.) 2017-2021”:</w:t>
      </w:r>
    </w:p>
    <w:p w:rsidR="004E2232" w:rsidRDefault="004E2232" w:rsidP="004E2232">
      <w:pPr>
        <w:pStyle w:val="ListParagraph"/>
        <w:numPr>
          <w:ilvl w:val="1"/>
          <w:numId w:val="92"/>
        </w:numPr>
        <w:spacing w:after="120" w:line="259" w:lineRule="auto"/>
        <w:jc w:val="both"/>
        <w:rPr>
          <w:lang w:val="sq-AL"/>
        </w:rPr>
      </w:pPr>
      <w:r w:rsidRPr="00E161AA">
        <w:rPr>
          <w:lang w:val="sq-AL"/>
        </w:rPr>
        <w:t>Në bashkëpunim me agjencive ligjzbatuese në vend, me mbwshtetjen e partnerwve e veçanwrisht tw Guardia di Finanza-s, u sekuestrua</w:t>
      </w:r>
      <w:r>
        <w:rPr>
          <w:lang w:val="sq-AL"/>
        </w:rPr>
        <w:t xml:space="preserve"> rreth 60 ton lëndë narkotike.</w:t>
      </w:r>
    </w:p>
    <w:p w:rsidR="004E2232" w:rsidRPr="00E161AA" w:rsidRDefault="004E2232" w:rsidP="004E2232">
      <w:pPr>
        <w:pStyle w:val="ListParagraph"/>
        <w:numPr>
          <w:ilvl w:val="1"/>
          <w:numId w:val="92"/>
        </w:numPr>
        <w:spacing w:after="120" w:line="259" w:lineRule="auto"/>
        <w:jc w:val="both"/>
        <w:rPr>
          <w:lang w:val="sq-AL"/>
        </w:rPr>
      </w:pPr>
      <w:r>
        <w:rPr>
          <w:lang w:val="sq-AL"/>
        </w:rPr>
        <w:t>M</w:t>
      </w:r>
      <w:r w:rsidRPr="00E161AA">
        <w:rPr>
          <w:lang w:val="sq-AL"/>
        </w:rPr>
        <w:t>e rreth 32 mijë bimë kana</w:t>
      </w:r>
      <w:r>
        <w:rPr>
          <w:lang w:val="sq-AL"/>
        </w:rPr>
        <w:t>bis të asgjësuara në periudhën janar-t</w:t>
      </w:r>
      <w:r w:rsidRPr="00E161AA">
        <w:rPr>
          <w:lang w:val="sq-AL"/>
        </w:rPr>
        <w:t>etor 2017, Shqipëria shënoi minimumin historik të kultivimit të Kanabisit në 10 vitet e fundit, në përpjekjen e saj për të dalë nga lista e vendeve kultivuese të bimës narkotike duke rimarrë kontroll të plotë të territorit.</w:t>
      </w:r>
    </w:p>
    <w:p w:rsidR="004E2232" w:rsidRPr="00E161AA" w:rsidRDefault="004E2232" w:rsidP="004E2232">
      <w:pPr>
        <w:pStyle w:val="ListParagraph"/>
        <w:numPr>
          <w:ilvl w:val="0"/>
          <w:numId w:val="41"/>
        </w:numPr>
        <w:spacing w:after="120" w:line="259" w:lineRule="auto"/>
        <w:jc w:val="both"/>
        <w:rPr>
          <w:lang w:val="sq-AL"/>
        </w:rPr>
      </w:pPr>
      <w:r w:rsidRPr="00E161AA">
        <w:rPr>
          <w:lang w:val="sq-AL"/>
        </w:rPr>
        <w:t>P</w:t>
      </w:r>
      <w:r>
        <w:rPr>
          <w:lang w:val="sq-AL"/>
        </w:rPr>
        <w:t>olicia e Shtetit për periudhën j</w:t>
      </w:r>
      <w:r w:rsidRPr="00E161AA">
        <w:rPr>
          <w:lang w:val="sq-AL"/>
        </w:rPr>
        <w:t xml:space="preserve">anar – </w:t>
      </w:r>
      <w:r>
        <w:rPr>
          <w:lang w:val="sq-AL"/>
        </w:rPr>
        <w:t xml:space="preserve">shtator 2017 ka </w:t>
      </w:r>
      <w:r w:rsidRPr="00E161AA">
        <w:rPr>
          <w:lang w:val="sq-AL"/>
        </w:rPr>
        <w:t>sekuestruar 34.390.462 Euro, nga të cilat 3.230.462 Euro në formën e “llogarisë bankare” dhe 31.160.000 Euro si “pasuri”;</w:t>
      </w:r>
    </w:p>
    <w:p w:rsidR="004E2232" w:rsidRPr="00E161AA" w:rsidRDefault="004E2232" w:rsidP="004E2232">
      <w:pPr>
        <w:pStyle w:val="ListParagraph"/>
        <w:numPr>
          <w:ilvl w:val="0"/>
          <w:numId w:val="41"/>
        </w:numPr>
        <w:spacing w:after="120" w:line="259" w:lineRule="auto"/>
        <w:jc w:val="both"/>
        <w:rPr>
          <w:lang w:val="sq-AL"/>
        </w:rPr>
      </w:pPr>
      <w:r w:rsidRPr="00E161AA">
        <w:rPr>
          <w:lang w:val="sq-AL"/>
        </w:rPr>
        <w:t>Viti 2017 shënon minimumin historik të krimit ndaj personit, me vetëm 41 viktima vrasjeje kundrejt viteve të mëparshme me 54 vrasje. Ky fakt dëshmon një rritje të luftës kundër kriminalitetit, e posaçërisht të masave të marra për parandalimin e krimeve të rënda që shkaktojnë humbje të jetës së shtetasve;</w:t>
      </w:r>
    </w:p>
    <w:p w:rsidR="004E2232" w:rsidRPr="00E161AA" w:rsidRDefault="004E2232" w:rsidP="004E2232">
      <w:pPr>
        <w:pStyle w:val="ListParagraph"/>
        <w:numPr>
          <w:ilvl w:val="0"/>
          <w:numId w:val="41"/>
        </w:numPr>
        <w:spacing w:after="120" w:line="259" w:lineRule="auto"/>
        <w:jc w:val="both"/>
        <w:rPr>
          <w:lang w:val="sq-AL"/>
        </w:rPr>
      </w:pPr>
      <w:r w:rsidRPr="00E161AA">
        <w:rPr>
          <w:lang w:val="sq-AL"/>
        </w:rPr>
        <w:t>Ndryshimet në legjislacion lidhur me forcimin e penaliteteve në Kodin Rrugor, kryesisht për drejtuesit e mjetit që përdorin telefonat celularë, nuk lidhin rripin e sigurimit ose kanë konsumuar pije alkoolike, kanë disiplinuar përdoru</w:t>
      </w:r>
      <w:r>
        <w:rPr>
          <w:lang w:val="sq-AL"/>
        </w:rPr>
        <w:t>esit e mjeteve dhe ndërgjegjësuar</w:t>
      </w:r>
      <w:r w:rsidRPr="00E161AA">
        <w:rPr>
          <w:lang w:val="sq-AL"/>
        </w:rPr>
        <w:t xml:space="preserve"> qytetarë</w:t>
      </w:r>
      <w:r>
        <w:rPr>
          <w:lang w:val="sq-AL"/>
        </w:rPr>
        <w:t>t</w:t>
      </w:r>
      <w:r w:rsidRPr="00E161AA">
        <w:rPr>
          <w:lang w:val="sq-AL"/>
        </w:rPr>
        <w:t xml:space="preserve"> për rregullat e qarkullimit rrugor, ku rezulton:</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t>35 aksidente fatale më pak se 2016;</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t>55 shtetas të plagosur rëndë më pak se vitit 2016;</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t>17 aksidente në total janë më pak se viti 2016;</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t>27 mijë gjoba më pak se viti 2016;</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t>80 shtetas gjithsej, të arrestuar për ryshfete ndaj punonjësve të policisë rrugore;</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t>1827 arreste gjithsej, për pije alkoolike apo mungesë leje drejtimi (patente);</w:t>
      </w:r>
    </w:p>
    <w:p w:rsidR="004E2232" w:rsidRPr="00E161AA" w:rsidRDefault="004E2232" w:rsidP="004E2232">
      <w:pPr>
        <w:pStyle w:val="ListParagraph"/>
        <w:numPr>
          <w:ilvl w:val="1"/>
          <w:numId w:val="93"/>
        </w:numPr>
        <w:spacing w:after="120" w:line="259" w:lineRule="auto"/>
        <w:jc w:val="both"/>
        <w:rPr>
          <w:lang w:val="sq-AL"/>
        </w:rPr>
      </w:pPr>
      <w:r w:rsidRPr="00E161AA">
        <w:rPr>
          <w:lang w:val="sq-AL"/>
        </w:rPr>
        <w:lastRenderedPageBreak/>
        <w:t>10 mijë leje drejtimi të hequra për shkak të shkeljes së rregullave të qarkullimit ose shkelje të tjera të Kodit Rrugor.</w:t>
      </w:r>
    </w:p>
    <w:p w:rsidR="004E2232" w:rsidRPr="00E161AA" w:rsidRDefault="004E2232" w:rsidP="004E2232">
      <w:pPr>
        <w:pStyle w:val="ListParagraph"/>
        <w:numPr>
          <w:ilvl w:val="0"/>
          <w:numId w:val="41"/>
        </w:numPr>
        <w:spacing w:after="120" w:line="259" w:lineRule="auto"/>
        <w:jc w:val="both"/>
        <w:rPr>
          <w:lang w:val="sq-AL"/>
        </w:rPr>
      </w:pPr>
      <w:r w:rsidRPr="00E161AA">
        <w:rPr>
          <w:lang w:val="sq-AL"/>
        </w:rPr>
        <w:t>Drejtoria e Përgjithshme e Emergjencave Civile dhe Drejtoria e Përgjithshme e Shërbimit Zjarrfikës në Ministrinë e Brendshme kanë drejtuar dhe koordinuar operacionet për të bërë të mundur fikjen përfundimtare të zjarreve, ku u shënuan 900 vatra në total, nga të cilat 280 raste me rrezikshmëri për jetët njerëzore, pasuri e mjedis;</w:t>
      </w:r>
    </w:p>
    <w:p w:rsidR="004E2232" w:rsidRDefault="004E2232" w:rsidP="00957B42">
      <w:pPr>
        <w:pStyle w:val="ListParagraph"/>
        <w:numPr>
          <w:ilvl w:val="0"/>
          <w:numId w:val="41"/>
        </w:numPr>
        <w:spacing w:after="120" w:line="259" w:lineRule="auto"/>
        <w:jc w:val="both"/>
        <w:rPr>
          <w:lang w:val="sq-AL"/>
        </w:rPr>
      </w:pPr>
      <w:r w:rsidRPr="00E161AA">
        <w:rPr>
          <w:lang w:val="sq-AL"/>
        </w:rPr>
        <w:t xml:space="preserve">Ministria e Brendshme dhe Policia e Shtetit përballuan me sukses mbarëvajtjne pa incidente serioze të procesit zgjedhor. </w:t>
      </w:r>
    </w:p>
    <w:p w:rsidR="004E2232" w:rsidRPr="00957B42" w:rsidRDefault="004E2232" w:rsidP="00957B42">
      <w:pPr>
        <w:pStyle w:val="ListParagraph"/>
        <w:numPr>
          <w:ilvl w:val="0"/>
          <w:numId w:val="41"/>
        </w:numPr>
        <w:spacing w:after="120" w:line="259" w:lineRule="auto"/>
        <w:jc w:val="both"/>
        <w:rPr>
          <w:lang w:val="sq-AL"/>
        </w:rPr>
      </w:pPr>
      <w:r w:rsidRPr="00E161AA">
        <w:rPr>
          <w:lang w:val="sq-AL"/>
        </w:rPr>
        <w:t xml:space="preserve">Gjendja Civile hartoi listat të pakontestuara </w:t>
      </w:r>
      <w:r w:rsidR="00F5778D">
        <w:rPr>
          <w:lang w:val="sq-AL"/>
        </w:rPr>
        <w:t>zgjedhore. Ndërkohë po kryhet r</w:t>
      </w:r>
      <w:r w:rsidRPr="00E161AA">
        <w:rPr>
          <w:lang w:val="sq-AL"/>
        </w:rPr>
        <w:t xml:space="preserve">egjistrimi i plotë i adresave në gjithë vendin. </w:t>
      </w:r>
    </w:p>
    <w:p w:rsidR="004E2232" w:rsidRPr="00957B42" w:rsidRDefault="004E2232" w:rsidP="00957B42">
      <w:pPr>
        <w:pStyle w:val="ListParagraph"/>
        <w:numPr>
          <w:ilvl w:val="0"/>
          <w:numId w:val="41"/>
        </w:numPr>
        <w:spacing w:after="120" w:line="259" w:lineRule="auto"/>
        <w:jc w:val="both"/>
        <w:rPr>
          <w:lang w:val="sq-AL"/>
        </w:rPr>
      </w:pPr>
      <w:r w:rsidRPr="00E161AA">
        <w:rPr>
          <w:lang w:val="sq-AL"/>
        </w:rPr>
        <w:t xml:space="preserve">Gjatë 9-mujorit të parë të vitit 2017, përmes verifikimit nga Shërbimi i Çështjeve të Brendshme dhe Ankesave (SHÇBA), janë arrestuar 46 persona, nga të cilat 8 shtetas dhe 38 punonjës policie. </w:t>
      </w:r>
    </w:p>
    <w:p w:rsidR="004E2232" w:rsidRPr="00957B42" w:rsidRDefault="004E2232" w:rsidP="00957B42">
      <w:pPr>
        <w:pStyle w:val="ListParagraph"/>
        <w:numPr>
          <w:ilvl w:val="0"/>
          <w:numId w:val="41"/>
        </w:numPr>
        <w:spacing w:after="120" w:line="259" w:lineRule="auto"/>
        <w:jc w:val="both"/>
        <w:rPr>
          <w:lang w:val="sq-AL"/>
        </w:rPr>
      </w:pPr>
      <w:r w:rsidRPr="00E161AA">
        <w:rPr>
          <w:lang w:val="sq-AL"/>
        </w:rPr>
        <w:t>Procesi i vetingut në Polici do të paraprihet nga një analizë e gjendjes aktuale dhe një paketë ligjore, e cila është premtuar të jetë gati në fund të vitit.</w:t>
      </w:r>
      <w:r>
        <w:rPr>
          <w:lang w:val="sq-AL"/>
        </w:rPr>
        <w:t xml:space="preserve"> I</w:t>
      </w:r>
      <w:r w:rsidRPr="00E161AA">
        <w:rPr>
          <w:lang w:val="sq-AL"/>
        </w:rPr>
        <w:t xml:space="preserve"> gjithë ky proces do të asistohet nga misioni “Pameca V” i Bashkimit Europian dhe ai ICITAP i Shteteve të Bashkuara </w:t>
      </w:r>
      <w:r>
        <w:rPr>
          <w:lang w:val="sq-AL"/>
        </w:rPr>
        <w:t xml:space="preserve">tw Amerikws për të </w:t>
      </w:r>
      <w:r w:rsidRPr="00E161AA">
        <w:rPr>
          <w:lang w:val="sq-AL"/>
        </w:rPr>
        <w:t>ndihmuar në zhvillimin e një proces teknik sa më profesional, transparent dhe të besueshëm.</w:t>
      </w:r>
    </w:p>
    <w:p w:rsidR="00957B42" w:rsidRPr="00F5778D" w:rsidRDefault="004E2232" w:rsidP="00280F5A">
      <w:pPr>
        <w:pStyle w:val="ListParagraph"/>
        <w:numPr>
          <w:ilvl w:val="0"/>
          <w:numId w:val="41"/>
        </w:numPr>
        <w:spacing w:after="120" w:line="259" w:lineRule="auto"/>
        <w:jc w:val="both"/>
        <w:rPr>
          <w:lang w:val="sq-AL"/>
        </w:rPr>
      </w:pPr>
      <w:r w:rsidRPr="00957B42">
        <w:rPr>
          <w:lang w:val="sq-AL"/>
        </w:rPr>
        <w:t>U realizua heqja e certifikatave personale dhe familjare dhe ofrimi i tyre online.</w:t>
      </w:r>
    </w:p>
    <w:p w:rsidR="00957B42" w:rsidRDefault="00957B42" w:rsidP="00280F5A">
      <w:pPr>
        <w:rPr>
          <w:b/>
        </w:rPr>
      </w:pPr>
    </w:p>
    <w:p w:rsidR="00280F5A" w:rsidRDefault="00280F5A" w:rsidP="00280F5A">
      <w:pPr>
        <w:rPr>
          <w:b/>
        </w:rPr>
      </w:pPr>
      <w:r w:rsidRPr="00E91936">
        <w:rPr>
          <w:b/>
        </w:rPr>
        <w:t>Prioritetet për vitin 2018</w:t>
      </w:r>
    </w:p>
    <w:p w:rsidR="004E2232" w:rsidRPr="00E91936" w:rsidRDefault="004E2232" w:rsidP="00280F5A">
      <w:pPr>
        <w:rPr>
          <w:b/>
        </w:rPr>
      </w:pP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rFonts w:eastAsia="Times New Roman"/>
          <w:b/>
          <w:bCs/>
          <w:lang w:val="sq-AL" w:eastAsia="x-none"/>
        </w:rPr>
        <w:t>Institucione të forta, profesionistë me integritet</w:t>
      </w:r>
      <w:r>
        <w:rPr>
          <w:rFonts w:eastAsia="Times New Roman"/>
          <w:b/>
          <w:bCs/>
          <w:lang w:val="sq-AL" w:eastAsia="x-none"/>
        </w:rPr>
        <w:t>:</w:t>
      </w:r>
      <w:r>
        <w:rPr>
          <w:rFonts w:eastAsia="Times New Roman"/>
          <w:bCs/>
          <w:lang w:val="sq-AL" w:eastAsia="x-none"/>
        </w:rPr>
        <w:t xml:space="preserve"> </w:t>
      </w:r>
      <w:r w:rsidRPr="004E2232">
        <w:rPr>
          <w:lang w:val="sq-AL"/>
        </w:rPr>
        <w:t>Angazhimi ynë është të japim një kontribut në krijimin e një shteti më të sigurt, në të cilin mbizotëron respektimi i të drejtave të individëve të garantuara kushtetuta dhe ligjet, në krijimin e institucioneve ligj-zbatuese të forta dhe të qëndrueshme, sipas standardeve evropiane.</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rFonts w:eastAsia="Times New Roman"/>
          <w:b/>
          <w:bCs/>
          <w:lang w:val="sq-AL" w:eastAsia="x-none"/>
        </w:rPr>
        <w:t>Institucione në shërbim të qytetarit</w:t>
      </w:r>
      <w:r>
        <w:rPr>
          <w:rFonts w:eastAsia="Times New Roman"/>
          <w:b/>
          <w:bCs/>
          <w:lang w:val="sq-AL" w:eastAsia="x-none"/>
        </w:rPr>
        <w:t>:</w:t>
      </w:r>
      <w:r>
        <w:rPr>
          <w:rFonts w:eastAsia="Times New Roman"/>
          <w:bCs/>
          <w:lang w:val="sq-AL" w:eastAsia="x-none"/>
        </w:rPr>
        <w:t xml:space="preserve"> </w:t>
      </w:r>
      <w:r w:rsidRPr="004E2232">
        <w:rPr>
          <w:lang w:val="sq-AL"/>
        </w:rPr>
        <w:t>Mbrojtja e të drejtave dhe lirive të njeriut, si dhe garantimi i sigurisë së jetës, shëndetit dhe pronës së qytetarit, janë prioritet absolut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marrëdhënnieve dhe shërbimit ndaj komunitetit</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rFonts w:eastAsia="Times New Roman"/>
          <w:b/>
          <w:bCs/>
          <w:lang w:val="sq-AL" w:eastAsia="x-none"/>
        </w:rPr>
        <w:t>Lufta kundër krimit të organizuar – sfidë madhore</w:t>
      </w:r>
      <w:r>
        <w:rPr>
          <w:rFonts w:eastAsia="Times New Roman"/>
          <w:bCs/>
          <w:lang w:val="sq-AL" w:eastAsia="x-none"/>
        </w:rPr>
        <w:t xml:space="preserve">: </w:t>
      </w:r>
      <w:r w:rsidRPr="004E2232">
        <w:rPr>
          <w:lang w:val="sq-AL"/>
        </w:rPr>
        <w:t xml:space="preserve">Lufta pa kompromis dhe ndëshkimi i ashpër penal ndaj grupeve dhe/ose organizatave kriminale të ndryshme si dhe i grupeve me axhenda ekstremiste të dhunshme dhe terroriste duke shënjestruar, sekuestruar dhe konfiskuar çdo aset ekonomik të paligjshëm të tyre </w:t>
      </w:r>
      <w:r w:rsidRPr="004E2232">
        <w:rPr>
          <w:bCs/>
          <w:spacing w:val="5"/>
          <w:lang w:val="sq-AL"/>
        </w:rPr>
        <w:t>përbën një prioritet absolut për qeverinë shqiptare</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rFonts w:eastAsia="Times New Roman"/>
          <w:b/>
          <w:bCs/>
          <w:lang w:val="sq-AL" w:eastAsia="x-none"/>
        </w:rPr>
        <w:t>Siguri publike dhe shërbime efikase ndaj qytetarëve</w:t>
      </w:r>
      <w:r>
        <w:rPr>
          <w:rFonts w:eastAsia="Times New Roman"/>
          <w:bCs/>
          <w:lang w:val="sq-AL" w:eastAsia="x-none"/>
        </w:rPr>
        <w:t xml:space="preserve">: </w:t>
      </w:r>
      <w:r w:rsidRPr="004E2232">
        <w:rPr>
          <w:lang w:val="sq-AL"/>
        </w:rPr>
        <w:t>Përmes forcimit dhe përsosjes së sistemit të policimit në komunitet dhe përmirësimit rrënjësor të sistemit të kontrolleve dhe inspektimeve në territor, ne synojmë të forcojmë Sigurinë Publike ndaj qytetarëve. Kufij të sigurtë – menaxhim i integruar i tyre.</w:t>
      </w:r>
      <w:r>
        <w:rPr>
          <w:lang w:val="sq-AL"/>
        </w:rPr>
        <w:t xml:space="preserve"> </w:t>
      </w:r>
      <w:r w:rsidRPr="004E2232">
        <w:rPr>
          <w:lang w:val="sq-AL"/>
        </w:rPr>
        <w:t>Forcimi i kontrollit në kufi dhe përmirësimi i shërbimit në pikat e kalimit kufitar, mbetet prioritet për qeverinë, si kusht për të garantuar lëvizjen e lirë të njerëzve dhe mallrave</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b/>
          <w:lang w:val="sq-AL"/>
        </w:rPr>
        <w:t>Beteja kundër kultivimit dhe trafikimit të drogës</w:t>
      </w:r>
      <w:r>
        <w:rPr>
          <w:lang w:val="sq-AL"/>
        </w:rPr>
        <w:t xml:space="preserve">: </w:t>
      </w:r>
      <w:r w:rsidRPr="004E2232">
        <w:rPr>
          <w:lang w:val="sq-AL"/>
        </w:rPr>
        <w:t xml:space="preserve">Shqetësimet serioze të shkaktuara nga kultivimi, trafikimi dhe konsumi i drogave, na bëjnë ne të vendosur për të vazhduar më tej betejën pa kompromis kundër këtij fenomeni të paligjshëm dhe kriminal. Ne rikonfirmojmë zotimin e </w:t>
      </w:r>
      <w:r w:rsidRPr="004E2232">
        <w:rPr>
          <w:lang w:val="sq-AL"/>
        </w:rPr>
        <w:lastRenderedPageBreak/>
        <w:t xml:space="preserve">qeverisë shqiptare për të kthyer në një realitet të konsoliduar atë çfarë arritëm gjatë vitit 2017 - heqjen e vendit tonë nga harta e vendeve kultivuese të kanabisit. </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b/>
          <w:lang w:val="sq-AL"/>
        </w:rPr>
        <w:t>Lufta kundër korrupsionit dhe pastrimit të parave</w:t>
      </w:r>
      <w:r>
        <w:rPr>
          <w:lang w:val="sq-AL"/>
        </w:rPr>
        <w:t xml:space="preserve">: </w:t>
      </w:r>
      <w:r w:rsidRPr="004E2232">
        <w:rPr>
          <w:lang w:val="sq-AL"/>
        </w:rPr>
        <w:t xml:space="preserve">Angazhohemi për një luftë totale  ndaj korrupsionit dhe pastrimit të parave në bashkëpunim me Prokurorinë,  strukturat e Hetimit Tatimor dhe Doganor, Drejtorinë e Parandalimit të Pastrimit të Parave. </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b/>
          <w:lang w:val="sq-AL"/>
        </w:rPr>
        <w:t>Siguria rrugore</w:t>
      </w:r>
      <w:r>
        <w:rPr>
          <w:lang w:val="sq-AL"/>
        </w:rPr>
        <w:t>: Angazhim maksimal</w:t>
      </w:r>
      <w:r w:rsidRPr="004E2232">
        <w:rPr>
          <w:lang w:val="sq-AL"/>
        </w:rPr>
        <w:t xml:space="preserve"> për përmirësimin rrënjësor të sistemit të kontrollit rrugor, duke synuar krijimin e një kulture të re në qarkullimin e mjeteve dhe të qytetarëve dhe sidomos në menaxhimin e sigurisë rrugore. Do të implementohen sisteme të avancuara teknologjike të mbikëqyrjes së qarkullimit rrugor dhe të evidentimit të saktë dhe në kohë reale të shkeljeve të dispozitave të kodit rrugor, si dhe një sistem i automatizuar dhe i perfeksionuar për vendosjen dhe mbledhjen e gjobave.</w:t>
      </w:r>
    </w:p>
    <w:p w:rsidR="004E2232" w:rsidRPr="004E2232" w:rsidRDefault="004E2232" w:rsidP="004E2232">
      <w:pPr>
        <w:pStyle w:val="ListParagraph"/>
        <w:numPr>
          <w:ilvl w:val="0"/>
          <w:numId w:val="121"/>
        </w:numPr>
        <w:spacing w:after="120" w:line="276" w:lineRule="auto"/>
        <w:jc w:val="both"/>
        <w:rPr>
          <w:rFonts w:eastAsia="Times New Roman"/>
          <w:bCs/>
          <w:lang w:val="sq-AL" w:eastAsia="x-none"/>
        </w:rPr>
      </w:pPr>
      <w:r w:rsidRPr="004E2232">
        <w:rPr>
          <w:b/>
          <w:lang w:val="sq-AL"/>
        </w:rPr>
        <w:t>Inteligjenca dhe informacioni</w:t>
      </w:r>
      <w:r>
        <w:rPr>
          <w:lang w:val="sq-AL"/>
        </w:rPr>
        <w:t xml:space="preserve">: </w:t>
      </w:r>
      <w:r w:rsidRPr="004E2232">
        <w:rPr>
          <w:lang w:val="sq-AL"/>
        </w:rPr>
        <w:t xml:space="preserve">Fuqizimi i kapaciteteve të shërbimeve të inteligjencës dhe informacionit përbën një domosdoshmëri përballë sfidave ndaj rendit dhe sigurisë publike dhe sidomos veprimtarive të organizuara kriminale, në nivel kombëtar dhe ndërkombëtar. Udhëheqja nga Inteligjenca e veprimtarisë së strukturave të policisë gjyqësore në tërësi dhe asaj kriminale në veçanti, përbën një model modern policimi të karakterizuar nga një qasje pro-aktive hetimore dhe rezultate efikase. Aplikimi me sukses i shërbimeve të inteligjencës dhe informacionit është kusht për përmbushjen e shumë prej prioriteteve të paraqitura në këtë dokument.  </w:t>
      </w:r>
    </w:p>
    <w:p w:rsidR="00BB1B1C" w:rsidRPr="00EA68C2" w:rsidRDefault="004E2232" w:rsidP="00C75272">
      <w:pPr>
        <w:pStyle w:val="ListParagraph"/>
        <w:numPr>
          <w:ilvl w:val="0"/>
          <w:numId w:val="121"/>
        </w:numPr>
        <w:spacing w:after="120" w:line="276" w:lineRule="auto"/>
        <w:jc w:val="both"/>
        <w:rPr>
          <w:rFonts w:eastAsia="Times New Roman"/>
          <w:bCs/>
          <w:lang w:val="sq-AL" w:eastAsia="x-none"/>
        </w:rPr>
      </w:pPr>
      <w:r w:rsidRPr="004E2232">
        <w:rPr>
          <w:b/>
          <w:lang w:val="sq-AL"/>
        </w:rPr>
        <w:t>Bashkëpunimi ndërinstitucional dhe ndërkombëtar</w:t>
      </w:r>
      <w:r>
        <w:rPr>
          <w:lang w:val="sq-AL"/>
        </w:rPr>
        <w:t xml:space="preserve">: </w:t>
      </w:r>
      <w:r w:rsidRPr="004E2232">
        <w:rPr>
          <w:lang w:val="sq-AL"/>
        </w:rPr>
        <w:t>Prio</w:t>
      </w:r>
      <w:r>
        <w:rPr>
          <w:lang w:val="sq-AL"/>
        </w:rPr>
        <w:t>ri</w:t>
      </w:r>
      <w:r w:rsidRPr="004E2232">
        <w:rPr>
          <w:lang w:val="sq-AL"/>
        </w:rPr>
        <w:t xml:space="preserve">tetet e mësipërme kërkojnë si domosdoshmëri konsolidimin e bashkëpunimit ndërkombëtar me organizatat e specializuara në luftën kundër krimit përfshi dhe asistencën direkte në territorin tonë nga institucionet ndërkombëtare dhe/ose nga shërbimet policore partnere në luftë kundër krimit, kryesisht atij të organizuar. </w:t>
      </w:r>
    </w:p>
    <w:p w:rsidR="00BB1B1C" w:rsidRDefault="00BB1B1C" w:rsidP="00C75272">
      <w:pPr>
        <w:spacing w:line="276" w:lineRule="auto"/>
        <w:rPr>
          <w:b/>
        </w:rPr>
      </w:pPr>
    </w:p>
    <w:p w:rsidR="00C75272" w:rsidRPr="001C2564" w:rsidRDefault="00EA68C2" w:rsidP="00EA68C2">
      <w:pPr>
        <w:spacing w:after="120" w:line="276" w:lineRule="auto"/>
        <w:rPr>
          <w:b/>
        </w:rPr>
      </w:pPr>
      <w:r>
        <w:rPr>
          <w:b/>
        </w:rPr>
        <w:t>MBROJTJA</w:t>
      </w:r>
    </w:p>
    <w:p w:rsidR="00C75272" w:rsidRPr="001C2564" w:rsidRDefault="00C75272" w:rsidP="00C75272">
      <w:pPr>
        <w:spacing w:after="160" w:line="276" w:lineRule="auto"/>
        <w:rPr>
          <w:b/>
        </w:rPr>
      </w:pPr>
      <w:r w:rsidRPr="001C2564">
        <w:rPr>
          <w:b/>
        </w:rPr>
        <w:t xml:space="preserve">Arritjet për </w:t>
      </w:r>
      <w:r w:rsidR="00CA0AF1">
        <w:rPr>
          <w:b/>
        </w:rPr>
        <w:t xml:space="preserve">vitin </w:t>
      </w:r>
      <w:r w:rsidRPr="001C2564">
        <w:rPr>
          <w:b/>
        </w:rPr>
        <w:t>2017</w:t>
      </w:r>
    </w:p>
    <w:p w:rsidR="00C75272" w:rsidRPr="00C5541C" w:rsidRDefault="00C75272" w:rsidP="004E2232">
      <w:pPr>
        <w:pStyle w:val="ListParagraph"/>
        <w:numPr>
          <w:ilvl w:val="0"/>
          <w:numId w:val="81"/>
        </w:numPr>
        <w:spacing w:after="120" w:line="276" w:lineRule="auto"/>
        <w:jc w:val="both"/>
      </w:pPr>
      <w:r w:rsidRPr="00DB3C9E">
        <w:rPr>
          <w:rFonts w:eastAsia="Times New Roman"/>
          <w:noProof/>
        </w:rPr>
        <w:t>Ministria e Mbrojtjes ka shënuar arritje cilësore në gjithë veprimtarinë dhe angazhimet e saj, të cilat janë produkt i përpjekjeve të përbashkëta të gjithë strukturave dhe lidershipit të Ministrisë së Mbrojtjes dhe Forcave të Armatosura të Republikës së Shqipërisë (FARSH);</w:t>
      </w:r>
    </w:p>
    <w:p w:rsidR="00C75272" w:rsidRPr="00C5541C" w:rsidRDefault="00C75272" w:rsidP="004E2232">
      <w:pPr>
        <w:pStyle w:val="ListParagraph"/>
        <w:numPr>
          <w:ilvl w:val="0"/>
          <w:numId w:val="81"/>
        </w:numPr>
        <w:spacing w:after="120" w:line="276" w:lineRule="auto"/>
        <w:jc w:val="both"/>
      </w:pPr>
      <w:r w:rsidRPr="00DB3C9E">
        <w:rPr>
          <w:rFonts w:eastAsia="Times New Roman"/>
          <w:noProof/>
        </w:rPr>
        <w:t>Lartësimi i figurës dhe integritetit të ushtarakut, nëpërmjet zhvillimit të politikave të nevojshme në fushën e personelit, promovimit në karrierë, trajtimit të ushtarakut, rritjes së transparencës, llogaridhënies, si dhe eliminimin e korrupsionit në Forcat e Armatosura.</w:t>
      </w:r>
      <w:r w:rsidRPr="00C5541C">
        <w:t xml:space="preserve"> </w:t>
      </w:r>
    </w:p>
    <w:p w:rsidR="00C75272" w:rsidRPr="00C5541C" w:rsidRDefault="00C75272" w:rsidP="004E2232">
      <w:pPr>
        <w:pStyle w:val="ListParagraph"/>
        <w:numPr>
          <w:ilvl w:val="0"/>
          <w:numId w:val="81"/>
        </w:numPr>
        <w:spacing w:after="120" w:line="276" w:lineRule="auto"/>
        <w:jc w:val="both"/>
      </w:pPr>
      <w:r w:rsidRPr="00C5541C">
        <w:t>N</w:t>
      </w:r>
      <w:r>
        <w:t>ë</w:t>
      </w:r>
      <w:r w:rsidRPr="00C5541C">
        <w:t>nshkrimi i 19 marr</w:t>
      </w:r>
      <w:r>
        <w:t>ë</w:t>
      </w:r>
      <w:r w:rsidRPr="00C5541C">
        <w:t>veshjeve nd</w:t>
      </w:r>
      <w:r>
        <w:t>ë</w:t>
      </w:r>
      <w:r w:rsidRPr="00C5541C">
        <w:t>rkomb</w:t>
      </w:r>
      <w:r>
        <w:t>ë</w:t>
      </w:r>
      <w:r w:rsidRPr="00C5541C">
        <w:t>tare n</w:t>
      </w:r>
      <w:r>
        <w:t>ë</w:t>
      </w:r>
      <w:r w:rsidRPr="00C5541C">
        <w:t xml:space="preserve"> kuad</w:t>
      </w:r>
      <w:r>
        <w:t>ë</w:t>
      </w:r>
      <w:r w:rsidRPr="00C5541C">
        <w:t>r t</w:t>
      </w:r>
      <w:r>
        <w:t>ë</w:t>
      </w:r>
      <w:r w:rsidRPr="00C5541C">
        <w:t xml:space="preserve"> partneritetit mes vendeve, rritjes s</w:t>
      </w:r>
      <w:r>
        <w:t>ë</w:t>
      </w:r>
      <w:r w:rsidRPr="00C5541C">
        <w:t xml:space="preserve"> siguris</w:t>
      </w:r>
      <w:r>
        <w:t>ë</w:t>
      </w:r>
      <w:r w:rsidRPr="00C5541C">
        <w:t xml:space="preserve"> n</w:t>
      </w:r>
      <w:r>
        <w:t>ë</w:t>
      </w:r>
      <w:r w:rsidRPr="00C5541C">
        <w:t xml:space="preserve"> rajon e m</w:t>
      </w:r>
      <w:r>
        <w:t>ë</w:t>
      </w:r>
      <w:r w:rsidRPr="00C5541C">
        <w:t xml:space="preserve"> gjer</w:t>
      </w:r>
      <w:r>
        <w:t>ë</w:t>
      </w:r>
      <w:r w:rsidRPr="00C5541C">
        <w:t>, duke implementuar n</w:t>
      </w:r>
      <w:r>
        <w:t>ë</w:t>
      </w:r>
      <w:r w:rsidRPr="00C5541C">
        <w:t xml:space="preserve"> m</w:t>
      </w:r>
      <w:r>
        <w:t>ë</w:t>
      </w:r>
      <w:r w:rsidRPr="00C5541C">
        <w:t>nur</w:t>
      </w:r>
      <w:r>
        <w:t>ë</w:t>
      </w:r>
      <w:r w:rsidRPr="00C5541C">
        <w:t xml:space="preserve"> cileor detyrimet q</w:t>
      </w:r>
      <w:r>
        <w:t>ë</w:t>
      </w:r>
      <w:r w:rsidRPr="00C5541C">
        <w:t xml:space="preserve"> rrjedhin nga pjesmarrja dhe an</w:t>
      </w:r>
      <w:r>
        <w:t>ë</w:t>
      </w:r>
      <w:r w:rsidRPr="00C5541C">
        <w:t>tar</w:t>
      </w:r>
      <w:r>
        <w:t>ë</w:t>
      </w:r>
      <w:r w:rsidRPr="00C5541C">
        <w:t>sia n</w:t>
      </w:r>
      <w:r>
        <w:t>ë</w:t>
      </w:r>
      <w:r w:rsidRPr="00C5541C">
        <w:t xml:space="preserve"> organizma t</w:t>
      </w:r>
      <w:r>
        <w:t>ë</w:t>
      </w:r>
      <w:r w:rsidRPr="00C5541C">
        <w:t xml:space="preserve"> niveleve t</w:t>
      </w:r>
      <w:r>
        <w:t>ë</w:t>
      </w:r>
      <w:r w:rsidRPr="00C5541C">
        <w:t xml:space="preserve"> larta nd</w:t>
      </w:r>
      <w:r>
        <w:t>ë</w:t>
      </w:r>
      <w:r w:rsidRPr="00C5541C">
        <w:t>rkomb</w:t>
      </w:r>
      <w:r>
        <w:t>ë</w:t>
      </w:r>
      <w:r w:rsidRPr="00C5541C">
        <w:t>tare si: NATO, EAPC, RACVIAC, Karta e Atlantikut, etj;</w:t>
      </w:r>
    </w:p>
    <w:p w:rsidR="00C75272" w:rsidRPr="00C5541C" w:rsidRDefault="00C75272" w:rsidP="004E2232">
      <w:pPr>
        <w:pStyle w:val="ListParagraph"/>
        <w:numPr>
          <w:ilvl w:val="0"/>
          <w:numId w:val="81"/>
        </w:numPr>
        <w:spacing w:after="120" w:line="276" w:lineRule="auto"/>
        <w:jc w:val="both"/>
      </w:pPr>
      <w:r w:rsidRPr="00C5541C">
        <w:t>Modernizimi me armatim t</w:t>
      </w:r>
      <w:r>
        <w:t>ë</w:t>
      </w:r>
      <w:r w:rsidRPr="00C5541C">
        <w:t xml:space="preserve"> leht</w:t>
      </w:r>
      <w:r>
        <w:t>ë</w:t>
      </w:r>
      <w:r w:rsidRPr="00C5541C">
        <w:t xml:space="preserve"> dhe municioni per FA-s</w:t>
      </w:r>
      <w:r>
        <w:t>ë</w:t>
      </w:r>
      <w:r w:rsidRPr="00C5541C">
        <w:t>, sistemet e mb</w:t>
      </w:r>
      <w:r>
        <w:t>ë</w:t>
      </w:r>
      <w:r w:rsidRPr="00C5541C">
        <w:t>shtetjes p</w:t>
      </w:r>
      <w:r>
        <w:t>ë</w:t>
      </w:r>
      <w:r w:rsidRPr="00C5541C">
        <w:t>r zjarr;</w:t>
      </w:r>
    </w:p>
    <w:p w:rsidR="00DB3C9E" w:rsidRPr="00957B42" w:rsidRDefault="00C75272" w:rsidP="00DB3C9E">
      <w:pPr>
        <w:pStyle w:val="ListParagraph"/>
        <w:numPr>
          <w:ilvl w:val="0"/>
          <w:numId w:val="81"/>
        </w:numPr>
        <w:spacing w:line="276" w:lineRule="auto"/>
        <w:jc w:val="both"/>
      </w:pPr>
      <w:r w:rsidRPr="00C5541C">
        <w:t>Vendosja e kamerave Infra t</w:t>
      </w:r>
      <w:r>
        <w:t>ë</w:t>
      </w:r>
      <w:r w:rsidRPr="00C5541C">
        <w:t xml:space="preserve"> Kuqe stacionare te integruara me sistemin SIVHD</w:t>
      </w:r>
    </w:p>
    <w:p w:rsidR="00C75272" w:rsidRPr="00C5541C" w:rsidRDefault="00C75272" w:rsidP="00C75272">
      <w:pPr>
        <w:spacing w:before="120" w:after="120" w:line="276" w:lineRule="auto"/>
        <w:jc w:val="both"/>
        <w:rPr>
          <w:rFonts w:eastAsia="Times New Roman"/>
          <w:b/>
          <w:noProof/>
          <w:lang w:val="sq-AL"/>
        </w:rPr>
      </w:pPr>
      <w:r w:rsidRPr="00C5541C">
        <w:rPr>
          <w:rFonts w:eastAsia="Times New Roman"/>
          <w:b/>
          <w:noProof/>
          <w:lang w:val="sq-AL"/>
        </w:rPr>
        <w:t>P</w:t>
      </w:r>
      <w:r w:rsidR="00DB3C9E">
        <w:rPr>
          <w:rFonts w:eastAsia="Times New Roman"/>
          <w:b/>
          <w:noProof/>
          <w:lang w:val="sq-AL"/>
        </w:rPr>
        <w:t>rioritetet për vitin 2018</w:t>
      </w:r>
    </w:p>
    <w:p w:rsidR="00C75272" w:rsidRPr="00C5541C" w:rsidRDefault="00C75272" w:rsidP="002C5B1B">
      <w:pPr>
        <w:numPr>
          <w:ilvl w:val="0"/>
          <w:numId w:val="16"/>
        </w:numPr>
        <w:spacing w:after="120" w:line="276" w:lineRule="auto"/>
        <w:jc w:val="both"/>
        <w:rPr>
          <w:rFonts w:eastAsia="Times New Roman"/>
          <w:noProof/>
          <w:lang w:val="sq-AL"/>
        </w:rPr>
      </w:pPr>
      <w:r w:rsidRPr="00C5541C">
        <w:rPr>
          <w:rFonts w:eastAsia="Times New Roman"/>
          <w:noProof/>
          <w:lang w:val="sq-AL"/>
        </w:rPr>
        <w:t>Rritj</w:t>
      </w:r>
      <w:r w:rsidR="00DB3C9E">
        <w:rPr>
          <w:rFonts w:eastAsia="Times New Roman"/>
          <w:noProof/>
          <w:lang w:val="sq-AL"/>
        </w:rPr>
        <w:t>a</w:t>
      </w:r>
      <w:r w:rsidRPr="00C5541C">
        <w:rPr>
          <w:rFonts w:eastAsia="Times New Roman"/>
          <w:noProof/>
          <w:lang w:val="sq-AL"/>
        </w:rPr>
        <w:t xml:space="preserve"> e operacionalitetit të FARSH në përmbushje të angazhimeve në kuadër të Aleancës. Më konkretisht:</w:t>
      </w:r>
    </w:p>
    <w:p w:rsidR="00C75272" w:rsidRPr="00C5541C" w:rsidRDefault="00C75272" w:rsidP="002C5B1B">
      <w:pPr>
        <w:numPr>
          <w:ilvl w:val="1"/>
          <w:numId w:val="97"/>
        </w:numPr>
        <w:spacing w:after="120" w:line="276" w:lineRule="auto"/>
        <w:jc w:val="both"/>
        <w:rPr>
          <w:rFonts w:eastAsia="Times New Roman"/>
          <w:noProof/>
          <w:lang w:val="sq-AL"/>
        </w:rPr>
      </w:pPr>
      <w:r w:rsidRPr="00C5541C">
        <w:rPr>
          <w:rFonts w:eastAsia="Times New Roman"/>
          <w:noProof/>
          <w:lang w:val="sq-AL"/>
        </w:rPr>
        <w:lastRenderedPageBreak/>
        <w:t>Do të vijojë pjesëmarrja në operacionet e NATO-s duke rritur nivelin e angazhimit të FA, në operacionet e Aleancës në Afganistan dhe Kosovë apo në operacionet e BE-së në Bosnjë-Hercegovinë dhe Malin e Zi, si dhe pjesëmarrja në misionet e iniciativat e reja që NATO mund të ndërmarrë, në Irak/Detin Egje, etj.</w:t>
      </w:r>
    </w:p>
    <w:p w:rsidR="00C75272" w:rsidRPr="00C5541C" w:rsidRDefault="00DB3C9E" w:rsidP="002C5B1B">
      <w:pPr>
        <w:numPr>
          <w:ilvl w:val="0"/>
          <w:numId w:val="16"/>
        </w:numPr>
        <w:spacing w:after="120" w:line="276" w:lineRule="auto"/>
        <w:jc w:val="both"/>
        <w:rPr>
          <w:rFonts w:eastAsia="Times New Roman"/>
          <w:noProof/>
          <w:lang w:val="sq-AL"/>
        </w:rPr>
      </w:pPr>
      <w:r>
        <w:rPr>
          <w:rFonts w:eastAsia="Times New Roman"/>
          <w:noProof/>
          <w:lang w:val="sq-AL"/>
        </w:rPr>
        <w:t>Modernizimi</w:t>
      </w:r>
      <w:r w:rsidR="00C75272" w:rsidRPr="00C5541C">
        <w:rPr>
          <w:rFonts w:eastAsia="Times New Roman"/>
          <w:noProof/>
          <w:lang w:val="sq-AL"/>
        </w:rPr>
        <w:t xml:space="preserve"> </w:t>
      </w:r>
      <w:r>
        <w:rPr>
          <w:rFonts w:eastAsia="Times New Roman"/>
          <w:noProof/>
          <w:lang w:val="sq-AL"/>
        </w:rPr>
        <w:t>i</w:t>
      </w:r>
      <w:r w:rsidR="00C75272" w:rsidRPr="00C5541C">
        <w:rPr>
          <w:rFonts w:eastAsia="Times New Roman"/>
          <w:noProof/>
          <w:lang w:val="sq-AL"/>
        </w:rPr>
        <w:t xml:space="preserve"> kapaciteteve dhe infrastrukturës së FA dhe rritja e dinjitetit dhe mbështetjes për ushtarakët. Më konkretisht synohet:</w:t>
      </w:r>
    </w:p>
    <w:p w:rsidR="00C75272" w:rsidRPr="00C5541C" w:rsidRDefault="00C75272" w:rsidP="002C5B1B">
      <w:pPr>
        <w:numPr>
          <w:ilvl w:val="1"/>
          <w:numId w:val="98"/>
        </w:numPr>
        <w:spacing w:after="120" w:line="276" w:lineRule="auto"/>
        <w:jc w:val="both"/>
        <w:rPr>
          <w:rFonts w:eastAsia="Times New Roman"/>
          <w:noProof/>
          <w:lang w:val="sq-AL"/>
        </w:rPr>
      </w:pPr>
      <w:r w:rsidRPr="00C5541C">
        <w:rPr>
          <w:rFonts w:eastAsia="Times New Roman"/>
          <w:noProof/>
          <w:lang w:val="sq-AL"/>
        </w:rPr>
        <w:t>Zhvillimi i kapaciteteve të FA në përputhje me Planin Afatgjatë të Zhvillimit;</w:t>
      </w:r>
    </w:p>
    <w:p w:rsidR="00C75272" w:rsidRPr="00C5541C" w:rsidRDefault="00C75272" w:rsidP="002C5B1B">
      <w:pPr>
        <w:numPr>
          <w:ilvl w:val="1"/>
          <w:numId w:val="98"/>
        </w:numPr>
        <w:spacing w:after="120" w:line="276" w:lineRule="auto"/>
        <w:jc w:val="both"/>
        <w:rPr>
          <w:rFonts w:eastAsia="Times New Roman"/>
          <w:noProof/>
          <w:lang w:val="sq-AL"/>
        </w:rPr>
      </w:pPr>
      <w:r w:rsidRPr="00C5541C">
        <w:rPr>
          <w:rFonts w:eastAsia="Times New Roman"/>
          <w:noProof/>
          <w:lang w:val="sq-AL"/>
        </w:rPr>
        <w:t xml:space="preserve">Vijimi i modernizimit dhe pajisjes së Forcave Tokësore me armatim të ri të ndërveprueshëm me aleatët në NATO; </w:t>
      </w:r>
    </w:p>
    <w:p w:rsidR="00C75272" w:rsidRPr="00C5541C" w:rsidRDefault="00C75272" w:rsidP="002C5B1B">
      <w:pPr>
        <w:numPr>
          <w:ilvl w:val="1"/>
          <w:numId w:val="98"/>
        </w:numPr>
        <w:spacing w:after="120" w:line="276" w:lineRule="auto"/>
        <w:jc w:val="both"/>
        <w:rPr>
          <w:rFonts w:eastAsia="Times New Roman"/>
          <w:noProof/>
          <w:lang w:val="sq-AL"/>
        </w:rPr>
      </w:pPr>
      <w:r w:rsidRPr="00C5541C">
        <w:rPr>
          <w:rFonts w:eastAsia="Times New Roman"/>
          <w:noProof/>
          <w:lang w:val="sq-AL"/>
        </w:rPr>
        <w:t>Investime në infrastrukturë për përmirësimin e mjediseve të punës dhe ushtarake;</w:t>
      </w:r>
    </w:p>
    <w:p w:rsidR="00C75272" w:rsidRPr="00C5541C" w:rsidRDefault="00C75272" w:rsidP="002C5B1B">
      <w:pPr>
        <w:numPr>
          <w:ilvl w:val="1"/>
          <w:numId w:val="98"/>
        </w:numPr>
        <w:spacing w:after="120" w:line="276" w:lineRule="auto"/>
        <w:jc w:val="both"/>
        <w:rPr>
          <w:rFonts w:eastAsia="Times New Roman"/>
          <w:noProof/>
          <w:lang w:val="sq-AL"/>
        </w:rPr>
      </w:pPr>
      <w:r w:rsidRPr="00C5541C">
        <w:rPr>
          <w:rFonts w:eastAsia="Times New Roman"/>
          <w:noProof/>
          <w:lang w:val="sq-AL"/>
        </w:rPr>
        <w:t xml:space="preserve">Modernizimi i pajisjeve dhe sistemeve kompjuterike. </w:t>
      </w:r>
    </w:p>
    <w:p w:rsidR="00C75272" w:rsidRPr="00C5541C" w:rsidRDefault="00C75272" w:rsidP="002C5B1B">
      <w:pPr>
        <w:numPr>
          <w:ilvl w:val="0"/>
          <w:numId w:val="16"/>
        </w:numPr>
        <w:spacing w:after="120" w:line="276" w:lineRule="auto"/>
        <w:jc w:val="both"/>
        <w:rPr>
          <w:rFonts w:eastAsia="Times New Roman"/>
          <w:noProof/>
          <w:lang w:val="sq-AL"/>
        </w:rPr>
      </w:pPr>
      <w:r w:rsidRPr="00C5541C">
        <w:rPr>
          <w:rFonts w:eastAsia="Times New Roman"/>
          <w:noProof/>
          <w:lang w:val="sq-AL"/>
        </w:rPr>
        <w:t>Zhvillimi dhe mbajtj</w:t>
      </w:r>
      <w:r w:rsidR="00557CFB">
        <w:rPr>
          <w:rFonts w:eastAsia="Times New Roman"/>
          <w:noProof/>
          <w:lang w:val="sq-AL"/>
        </w:rPr>
        <w:t>a</w:t>
      </w:r>
      <w:r w:rsidRPr="00C5541C">
        <w:rPr>
          <w:rFonts w:eastAsia="Times New Roman"/>
          <w:noProof/>
          <w:lang w:val="sq-AL"/>
        </w:rPr>
        <w:t xml:space="preserve"> në gatishmëri të kapaciteteve të FARSH për operacione të mbrojtjes kombëtare dhe kolektive, operacione në përgjigje të krizave, si dhe kapacitetet për përballimin e Emergjencave Civile, dhenien e ndihmës vendeve të rajonit në rast emergjencash civile në kuadrin e NATO-s, OKB-se dhe BE-se</w:t>
      </w:r>
    </w:p>
    <w:p w:rsidR="00C75272" w:rsidRPr="00C5541C" w:rsidRDefault="00C75272" w:rsidP="002C5B1B">
      <w:pPr>
        <w:numPr>
          <w:ilvl w:val="0"/>
          <w:numId w:val="16"/>
        </w:numPr>
        <w:spacing w:after="120" w:line="276" w:lineRule="auto"/>
        <w:jc w:val="both"/>
        <w:rPr>
          <w:rFonts w:eastAsia="Times New Roman"/>
          <w:noProof/>
          <w:lang w:val="sq-AL"/>
        </w:rPr>
      </w:pPr>
      <w:r w:rsidRPr="00C5541C">
        <w:rPr>
          <w:rFonts w:eastAsia="Times New Roman"/>
          <w:noProof/>
          <w:lang w:val="sq-AL"/>
        </w:rPr>
        <w:t>Rritja e përkujdesjes dhe mbështetjes për ushtarakët</w:t>
      </w:r>
    </w:p>
    <w:p w:rsidR="00EA68C2" w:rsidRDefault="00EA68C2" w:rsidP="00C75272">
      <w:pPr>
        <w:spacing w:line="276" w:lineRule="auto"/>
        <w:rPr>
          <w:b/>
        </w:rPr>
      </w:pPr>
    </w:p>
    <w:p w:rsidR="00C75272" w:rsidRPr="001C2564" w:rsidRDefault="00DB3C9E" w:rsidP="00EA68C2">
      <w:pPr>
        <w:spacing w:after="120" w:line="276" w:lineRule="auto"/>
        <w:rPr>
          <w:b/>
        </w:rPr>
      </w:pPr>
      <w:r>
        <w:rPr>
          <w:b/>
        </w:rPr>
        <w:t>TURIZMI DHE MJEDISI</w:t>
      </w:r>
    </w:p>
    <w:p w:rsidR="00C75272" w:rsidRPr="001C2564" w:rsidRDefault="00C75272" w:rsidP="00C75272">
      <w:pPr>
        <w:spacing w:after="160" w:line="259" w:lineRule="auto"/>
        <w:rPr>
          <w:b/>
        </w:rPr>
      </w:pPr>
      <w:r w:rsidRPr="001C2564">
        <w:rPr>
          <w:b/>
        </w:rPr>
        <w:t xml:space="preserve">Arritjet </w:t>
      </w:r>
      <w:r w:rsidR="00DB3C9E">
        <w:rPr>
          <w:b/>
        </w:rPr>
        <w:t>p</w:t>
      </w:r>
      <w:r w:rsidR="00122326">
        <w:rPr>
          <w:b/>
        </w:rPr>
        <w:t>ë</w:t>
      </w:r>
      <w:r w:rsidR="00DB3C9E">
        <w:rPr>
          <w:b/>
        </w:rPr>
        <w:t xml:space="preserve">r vitin </w:t>
      </w:r>
      <w:r w:rsidRPr="001C2564">
        <w:rPr>
          <w:b/>
        </w:rPr>
        <w:t>2017</w:t>
      </w:r>
    </w:p>
    <w:p w:rsidR="00C75272" w:rsidRDefault="00C75272" w:rsidP="005936B9">
      <w:pPr>
        <w:pStyle w:val="ListParagraph"/>
        <w:numPr>
          <w:ilvl w:val="0"/>
          <w:numId w:val="82"/>
        </w:numPr>
        <w:spacing w:after="120" w:line="276" w:lineRule="auto"/>
        <w:jc w:val="both"/>
      </w:pPr>
      <w:r>
        <w:t>T</w:t>
      </w:r>
      <w:r w:rsidR="00DB3C9E">
        <w:t>VSH</w:t>
      </w:r>
      <w:r>
        <w:t xml:space="preserve"> per turizmin u ul ne 6% per vitin 2017 duke krijuar lehtesira dhe rritur te ardhurat per operatorët e turizmit;</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Është rehabilituar plotësisht vend-depozitimi ekzistues i mbetjeve në Elbasan, si dhe është ndërtuar një landfill i ri modern bashkë me impiantin e parë për prodhim energjie elektrike dhe termike. Krahas sa më sipër, menaxhimi i mbetjeve përmes landfilleve është shtrirë dhe në qarqe të tjera:</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 xml:space="preserve">Vazhdon puna për ndërtimin e impiantit të dytë në vend për prodhim energjie nga mbetjet në Qarkun e Fierit; </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Ka filluar ndërtimi i landfillit në Maliq, për qarkun e Korçës dhe në Vlorë, fal mbështetjes së donatorëve;</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 xml:space="preserve">Ka përfunduar ndërtimi i Landfillit të Bajkajt kryesisht për zonën e Himarës dhe Sarandës; </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Është ndërtuar impianti i parë modern për grumbullimin e mbetjeve në gryk</w:t>
      </w:r>
      <w:r w:rsidR="00122326">
        <w:rPr>
          <w:rFonts w:eastAsia="Times New Roman"/>
          <w:noProof/>
          <w:lang w:eastAsia="en-GB"/>
        </w:rPr>
        <w:t>ë</w:t>
      </w:r>
      <w:r w:rsidRPr="00DB3C9E">
        <w:rPr>
          <w:rFonts w:eastAsia="Times New Roman"/>
          <w:noProof/>
          <w:lang w:eastAsia="en-GB"/>
        </w:rPr>
        <w:t>derdhjen e Shkumbinit dhe pritet të realizohet  një projekt i tillë dhe në grykderdhjen e Ishmit.</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 xml:space="preserve">U ngrit Agjencia Kombëtare e Zonave të Mbrojtura. </w:t>
      </w:r>
      <w:r w:rsidRPr="00DB3C9E">
        <w:rPr>
          <w:rFonts w:eastAsia="Times New Roman"/>
          <w:noProof/>
          <w:shd w:val="clear" w:color="auto" w:fill="FFFFFF"/>
        </w:rPr>
        <w:t xml:space="preserve">Kjo agjenci ka për qëllim menaxhimin, mbrojtjen, zhvillimin, zgjerimin dhe funksionimin e sipërfaqeve të zonave të mbrojtura në vendin tonë, që përbëjnë sot rreth 16.61% të territorit të Shqipërisë. </w:t>
      </w:r>
      <w:r w:rsidRPr="00DB3C9E">
        <w:rPr>
          <w:rFonts w:eastAsia="Times New Roman"/>
          <w:noProof/>
          <w:lang w:eastAsia="en-GB"/>
        </w:rPr>
        <w:t>Kjo agjenci krahas rritjes së shkallës së ruajtjes së zonave të mbrojtura, është në proces për të zgjeruar shtrirjen e tyre dhe në dy zona: (i) zona e mbrojtur detare e Porto Palermos dhe (ii) Parku Kombëtar i Alpeve (i cili përfshin zonën e Vermoshit, PK Theth, PK Lugina e Valbonës).</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Krijimi i Inspektoriati Shtetëror të Mjedisit dhe Pyjeve, ka mundësuar pajisjen me leje mjedisore të 95% të subjekteve.</w:t>
      </w:r>
      <w:r w:rsidRPr="00DB3C9E">
        <w:rPr>
          <w:rFonts w:eastAsia="Times New Roman"/>
          <w:b/>
          <w:noProof/>
          <w:lang w:eastAsia="en-GB"/>
        </w:rPr>
        <w:t xml:space="preserve"> </w:t>
      </w:r>
      <w:r w:rsidRPr="00DB3C9E">
        <w:rPr>
          <w:rFonts w:eastAsia="Times New Roman"/>
          <w:noProof/>
          <w:lang w:eastAsia="en-GB"/>
        </w:rPr>
        <w:t xml:space="preserve">Për të siguruar mbrojtjen kundër zjarreve në pyje dhe kullota, Inspektoriati ka </w:t>
      </w:r>
      <w:r w:rsidRPr="00DB3C9E">
        <w:rPr>
          <w:rFonts w:eastAsia="Times New Roman"/>
          <w:noProof/>
          <w:lang w:eastAsia="en-GB"/>
        </w:rPr>
        <w:lastRenderedPageBreak/>
        <w:t>investuar duke vendosur mbi 240 kamera monitoruese (24 orë) dhe 24 kamera termike në mbarë vendin, duke kontrolluar situatën në terren në kohë reale.</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 xml:space="preserve">Është përmirësuar cilësia e ajrit në mjedisin urban duke ju afruar standardeve të </w:t>
      </w:r>
      <w:r w:rsidR="00DB3C9E">
        <w:rPr>
          <w:rFonts w:eastAsia="Times New Roman"/>
          <w:noProof/>
          <w:lang w:eastAsia="en-GB"/>
        </w:rPr>
        <w:t>B</w:t>
      </w:r>
      <w:r w:rsidRPr="00DB3C9E">
        <w:rPr>
          <w:rFonts w:eastAsia="Times New Roman"/>
          <w:noProof/>
          <w:lang w:eastAsia="en-GB"/>
        </w:rPr>
        <w:t xml:space="preserve">ashkimit </w:t>
      </w:r>
      <w:r w:rsidR="00DB3C9E">
        <w:rPr>
          <w:rFonts w:eastAsia="Times New Roman"/>
          <w:noProof/>
          <w:lang w:eastAsia="en-GB"/>
        </w:rPr>
        <w:t>Eu</w:t>
      </w:r>
      <w:r w:rsidRPr="00DB3C9E">
        <w:rPr>
          <w:rFonts w:eastAsia="Times New Roman"/>
          <w:noProof/>
          <w:lang w:eastAsia="en-GB"/>
        </w:rPr>
        <w:t>ropian;</w:t>
      </w:r>
    </w:p>
    <w:p w:rsidR="00C75272" w:rsidRPr="00EE641F" w:rsidRDefault="00C75272" w:rsidP="005936B9">
      <w:pPr>
        <w:pStyle w:val="ListParagraph"/>
        <w:numPr>
          <w:ilvl w:val="0"/>
          <w:numId w:val="82"/>
        </w:numPr>
        <w:spacing w:after="120" w:line="276" w:lineRule="auto"/>
        <w:jc w:val="both"/>
      </w:pPr>
      <w:r w:rsidRPr="00DB3C9E">
        <w:rPr>
          <w:rFonts w:eastAsia="Times New Roman"/>
          <w:noProof/>
          <w:lang w:eastAsia="en-GB"/>
        </w:rPr>
        <w:t>Është ulur niveli i zhurmave nga 3 herë mbi mestaren urbane, në 2 herë me mesataren e ndotjes së zh</w:t>
      </w:r>
      <w:r w:rsidR="00957B42">
        <w:rPr>
          <w:rFonts w:eastAsia="Times New Roman"/>
          <w:noProof/>
          <w:lang w:eastAsia="en-GB"/>
        </w:rPr>
        <w:t>u</w:t>
      </w:r>
      <w:r w:rsidRPr="00DB3C9E">
        <w:rPr>
          <w:rFonts w:eastAsia="Times New Roman"/>
          <w:noProof/>
          <w:lang w:eastAsia="en-GB"/>
        </w:rPr>
        <w:t xml:space="preserve">rmave në nivel evropian. </w:t>
      </w:r>
    </w:p>
    <w:p w:rsidR="00C75272" w:rsidRPr="00C5541C" w:rsidRDefault="00C75272" w:rsidP="00C75272">
      <w:pPr>
        <w:spacing w:line="276" w:lineRule="auto"/>
        <w:rPr>
          <w:b/>
        </w:rPr>
      </w:pPr>
    </w:p>
    <w:p w:rsidR="00C75272" w:rsidRPr="001C2564" w:rsidRDefault="00DB3C9E" w:rsidP="00C75272">
      <w:pPr>
        <w:spacing w:line="276" w:lineRule="auto"/>
        <w:rPr>
          <w:b/>
        </w:rPr>
      </w:pPr>
      <w:r>
        <w:rPr>
          <w:b/>
        </w:rPr>
        <w:t>Prioritetet p</w:t>
      </w:r>
      <w:r w:rsidR="00122326">
        <w:rPr>
          <w:b/>
        </w:rPr>
        <w:t>ë</w:t>
      </w:r>
      <w:r>
        <w:rPr>
          <w:b/>
        </w:rPr>
        <w:t>r vitin 2018</w:t>
      </w:r>
    </w:p>
    <w:p w:rsidR="00C75272" w:rsidRDefault="00C75272" w:rsidP="00DB3C9E">
      <w:pPr>
        <w:spacing w:line="276" w:lineRule="auto"/>
      </w:pPr>
    </w:p>
    <w:p w:rsidR="00957B42" w:rsidRPr="00957B42" w:rsidRDefault="00957B42" w:rsidP="00DB3C9E">
      <w:pPr>
        <w:spacing w:line="276" w:lineRule="auto"/>
        <w:rPr>
          <w:b/>
        </w:rPr>
      </w:pPr>
      <w:r w:rsidRPr="00957B42">
        <w:rPr>
          <w:b/>
        </w:rPr>
        <w:t>Turizmi</w:t>
      </w:r>
    </w:p>
    <w:p w:rsidR="00C75272" w:rsidRPr="00C5541C" w:rsidRDefault="00DB3C9E" w:rsidP="002C5B1B">
      <w:pPr>
        <w:pStyle w:val="ListParagraph"/>
        <w:numPr>
          <w:ilvl w:val="0"/>
          <w:numId w:val="83"/>
        </w:numPr>
        <w:spacing w:after="120" w:line="276" w:lineRule="auto"/>
      </w:pPr>
      <w:r>
        <w:t>Promovimi</w:t>
      </w:r>
      <w:r w:rsidR="00C75272" w:rsidRPr="00C5541C">
        <w:t xml:space="preserve"> </w:t>
      </w:r>
      <w:r>
        <w:t>i</w:t>
      </w:r>
      <w:r w:rsidR="00C75272" w:rsidRPr="00C5541C">
        <w:t xml:space="preserve"> investimeve në zonat me prioritet zhvillimin e turizmit, duke bashkëpunuar me institucionet e tjera publike të</w:t>
      </w:r>
      <w:r>
        <w:t xml:space="preserve"> nxitjes së investimeve në vend;</w:t>
      </w:r>
    </w:p>
    <w:p w:rsidR="00C75272" w:rsidRPr="00C5541C" w:rsidRDefault="00C75272" w:rsidP="002C5B1B">
      <w:pPr>
        <w:pStyle w:val="ListParagraph"/>
        <w:numPr>
          <w:ilvl w:val="0"/>
          <w:numId w:val="83"/>
        </w:numPr>
        <w:spacing w:after="120" w:line="276" w:lineRule="auto"/>
      </w:pPr>
      <w:r w:rsidRPr="00C5541C">
        <w:t xml:space="preserve">Permiresimi i infrastruktures turistike ne zonen bregdetare me sinjalistike </w:t>
      </w:r>
      <w:r w:rsidR="00DB3C9E">
        <w:t>dhe rivitalizimi i Via Egnatias;</w:t>
      </w:r>
      <w:r w:rsidRPr="00C5541C">
        <w:t xml:space="preserve">  </w:t>
      </w:r>
    </w:p>
    <w:p w:rsidR="00C75272" w:rsidRPr="00C5541C" w:rsidRDefault="00C75272" w:rsidP="002C5B1B">
      <w:pPr>
        <w:pStyle w:val="ListParagraph"/>
        <w:numPr>
          <w:ilvl w:val="0"/>
          <w:numId w:val="83"/>
        </w:numPr>
        <w:spacing w:after="120" w:line="276" w:lineRule="auto"/>
      </w:pPr>
      <w:r w:rsidRPr="00C5541C">
        <w:t>Zhvillimin e destinacioneve turistike dhe burimeve per të ofruar produkte konkuruese në katër destinacione për turizmin e natyrës, 6 për turizmin kulturor dhe 4 destin</w:t>
      </w:r>
      <w:r w:rsidR="00DB3C9E">
        <w:t>acione për turizmin e bregdetit;</w:t>
      </w:r>
    </w:p>
    <w:p w:rsidR="00C75272" w:rsidRPr="00C5541C" w:rsidRDefault="00C75272" w:rsidP="002C5B1B">
      <w:pPr>
        <w:pStyle w:val="ListParagraph"/>
        <w:numPr>
          <w:ilvl w:val="0"/>
          <w:numId w:val="83"/>
        </w:numPr>
        <w:spacing w:after="120" w:line="276" w:lineRule="auto"/>
      </w:pPr>
      <w:r w:rsidRPr="00C5541C">
        <w:t>Promovimi i agroturizmit duke përfshirë zonat rurale në zhvillimin e turizmit;</w:t>
      </w:r>
    </w:p>
    <w:p w:rsidR="00C75272" w:rsidRPr="00C5541C" w:rsidRDefault="00C75272" w:rsidP="002C5B1B">
      <w:pPr>
        <w:pStyle w:val="ListParagraph"/>
        <w:numPr>
          <w:ilvl w:val="0"/>
          <w:numId w:val="83"/>
        </w:numPr>
        <w:spacing w:after="120" w:line="276" w:lineRule="auto"/>
      </w:pPr>
      <w:r w:rsidRPr="00C5541C">
        <w:t>Përmirësimi i identitetit shqiptar të turizmit në rajon e më gjerë nëpërmjet një strategjie të re marketingu për turizmin, duke synuar rritjen e numrit total të turist</w:t>
      </w:r>
      <w:r w:rsidR="00DB3C9E">
        <w:t>eve 10% krahasuar me vitin 2017;</w:t>
      </w:r>
    </w:p>
    <w:p w:rsidR="00C75272" w:rsidRDefault="00C75272" w:rsidP="002C5B1B">
      <w:pPr>
        <w:pStyle w:val="ListParagraph"/>
        <w:numPr>
          <w:ilvl w:val="0"/>
          <w:numId w:val="83"/>
        </w:numPr>
        <w:spacing w:after="120" w:line="276" w:lineRule="auto"/>
      </w:pPr>
      <w:r w:rsidRPr="00C5541C">
        <w:t>Vendosja e infopoint të ndryshëm për marrjen e informacion</w:t>
      </w:r>
      <w:r w:rsidR="00DB3C9E">
        <w:t>it nga turistët;</w:t>
      </w:r>
    </w:p>
    <w:p w:rsidR="00957B42" w:rsidRPr="00957B42" w:rsidRDefault="00957B42" w:rsidP="00957B42">
      <w:pPr>
        <w:spacing w:after="120" w:line="276" w:lineRule="auto"/>
        <w:rPr>
          <w:b/>
        </w:rPr>
      </w:pPr>
      <w:r w:rsidRPr="00957B42">
        <w:rPr>
          <w:b/>
        </w:rPr>
        <w:t>Mbrojtja e Mjedisit</w:t>
      </w:r>
    </w:p>
    <w:p w:rsidR="00C75272" w:rsidRPr="00C5541C" w:rsidRDefault="00C75272" w:rsidP="002C5B1B">
      <w:pPr>
        <w:pStyle w:val="ListParagraph"/>
        <w:numPr>
          <w:ilvl w:val="0"/>
          <w:numId w:val="83"/>
        </w:numPr>
        <w:spacing w:after="120" w:line="276" w:lineRule="auto"/>
      </w:pPr>
      <w:r w:rsidRPr="00C5541C">
        <w:t>Përmirësimi i Cilësisë së Ajrit të Mjedisit Urban;</w:t>
      </w:r>
    </w:p>
    <w:p w:rsidR="00C75272" w:rsidRPr="00C5541C" w:rsidRDefault="00DB3C9E" w:rsidP="002C5B1B">
      <w:pPr>
        <w:pStyle w:val="ListParagraph"/>
        <w:numPr>
          <w:ilvl w:val="0"/>
          <w:numId w:val="83"/>
        </w:numPr>
        <w:spacing w:after="120" w:line="276" w:lineRule="auto"/>
      </w:pPr>
      <w:r>
        <w:t>Monitorimi i Cilësisë së Ujrave</w:t>
      </w:r>
      <w:r w:rsidR="00C75272" w:rsidRPr="00C5541C">
        <w:t>;</w:t>
      </w:r>
    </w:p>
    <w:p w:rsidR="00C75272" w:rsidRPr="00C5541C" w:rsidRDefault="00C75272" w:rsidP="002C5B1B">
      <w:pPr>
        <w:pStyle w:val="ListParagraph"/>
        <w:numPr>
          <w:ilvl w:val="0"/>
          <w:numId w:val="83"/>
        </w:numPr>
        <w:spacing w:after="120" w:line="276" w:lineRule="auto"/>
      </w:pPr>
      <w:r w:rsidRPr="00C5541C">
        <w:t>Hartimi dhe përmirësimi i legjislacionit për mbrojtjen e mjedisit dhe natyrës në kuadër të përafrimit ligjor të Bashkimit Europian;</w:t>
      </w:r>
    </w:p>
    <w:p w:rsidR="00C75272" w:rsidRPr="00C5541C" w:rsidRDefault="00C75272" w:rsidP="002C5B1B">
      <w:pPr>
        <w:pStyle w:val="ListParagraph"/>
        <w:numPr>
          <w:ilvl w:val="0"/>
          <w:numId w:val="83"/>
        </w:numPr>
        <w:spacing w:after="120" w:line="276" w:lineRule="auto"/>
      </w:pPr>
      <w:r w:rsidRPr="00C5541C">
        <w:t>Edukimi i brezave të rinj për ruajtjen e  mejedisit dhe minimizimin e ndotjes;</w:t>
      </w:r>
    </w:p>
    <w:p w:rsidR="00C75272" w:rsidRPr="00C5541C" w:rsidRDefault="00C75272" w:rsidP="002C5B1B">
      <w:pPr>
        <w:pStyle w:val="ListParagraph"/>
        <w:numPr>
          <w:ilvl w:val="0"/>
          <w:numId w:val="83"/>
        </w:numPr>
        <w:spacing w:after="120" w:line="276" w:lineRule="auto"/>
      </w:pPr>
      <w:r w:rsidRPr="00C5541C">
        <w:t>Ndërgjegjësimi dhe ngritja e kapaciteteve të pushtetit vendor për rolin e tyre në mbrojtjen e mjedisit, natyrës dhe administrimit të pyjeve;</w:t>
      </w:r>
    </w:p>
    <w:p w:rsidR="00C75272" w:rsidRPr="00C5541C" w:rsidRDefault="00C75272" w:rsidP="002C5B1B">
      <w:pPr>
        <w:pStyle w:val="ListParagraph"/>
        <w:numPr>
          <w:ilvl w:val="0"/>
          <w:numId w:val="83"/>
        </w:numPr>
        <w:spacing w:after="120" w:line="276" w:lineRule="auto"/>
      </w:pPr>
      <w:r w:rsidRPr="00C5541C">
        <w:t>Nxitja e partneritetit publik-privat;</w:t>
      </w:r>
    </w:p>
    <w:p w:rsidR="00C75272" w:rsidRPr="00C5541C" w:rsidRDefault="00C75272" w:rsidP="002C5B1B">
      <w:pPr>
        <w:pStyle w:val="ListParagraph"/>
        <w:numPr>
          <w:ilvl w:val="0"/>
          <w:numId w:val="83"/>
        </w:numPr>
        <w:spacing w:after="120" w:line="276" w:lineRule="auto"/>
      </w:pPr>
      <w:r w:rsidRPr="00C5541C">
        <w:t>Integrimi i ndryshimeve klimatike në sektorët e energjisë, ujrave, bujqësisë, zhvillimit urban dhe infrastrukturës;</w:t>
      </w:r>
    </w:p>
    <w:p w:rsidR="00C75272" w:rsidRDefault="00C75272" w:rsidP="002C5B1B">
      <w:pPr>
        <w:pStyle w:val="ListParagraph"/>
        <w:numPr>
          <w:ilvl w:val="0"/>
          <w:numId w:val="83"/>
        </w:numPr>
        <w:spacing w:after="120" w:line="276" w:lineRule="auto"/>
      </w:pPr>
      <w:r w:rsidRPr="00C5541C">
        <w:t>Mbrojtja dhe përmirësimi i menaxhimit të Zonave të Mbrojtura;</w:t>
      </w:r>
    </w:p>
    <w:p w:rsidR="00957B42" w:rsidRPr="00957B42" w:rsidRDefault="00957B42" w:rsidP="00957B42">
      <w:pPr>
        <w:spacing w:after="120" w:line="276" w:lineRule="auto"/>
        <w:rPr>
          <w:b/>
        </w:rPr>
      </w:pPr>
      <w:r w:rsidRPr="00957B42">
        <w:rPr>
          <w:b/>
        </w:rPr>
        <w:t>Administrimi i Pyjeve</w:t>
      </w:r>
    </w:p>
    <w:p w:rsidR="00C75272" w:rsidRPr="00C5541C" w:rsidRDefault="00C75272" w:rsidP="002C5B1B">
      <w:pPr>
        <w:pStyle w:val="ListParagraph"/>
        <w:numPr>
          <w:ilvl w:val="0"/>
          <w:numId w:val="83"/>
        </w:numPr>
        <w:spacing w:after="120" w:line="276" w:lineRule="auto"/>
      </w:pPr>
      <w:r w:rsidRPr="00C5541C">
        <w:t>Hartimi i Inventarit Kombetar të Pyjeve;</w:t>
      </w:r>
    </w:p>
    <w:p w:rsidR="00C75272" w:rsidRPr="00C5541C" w:rsidRDefault="00C75272" w:rsidP="002C5B1B">
      <w:pPr>
        <w:pStyle w:val="ListParagraph"/>
        <w:numPr>
          <w:ilvl w:val="0"/>
          <w:numId w:val="83"/>
        </w:numPr>
        <w:spacing w:after="120" w:line="276" w:lineRule="auto"/>
      </w:pPr>
      <w:r w:rsidRPr="00C5541C">
        <w:t>Regjistri Unik Kadastral Komb</w:t>
      </w:r>
      <w:r w:rsidR="00122326">
        <w:t>ë</w:t>
      </w:r>
      <w:r w:rsidRPr="00C5541C">
        <w:t>tar;</w:t>
      </w:r>
    </w:p>
    <w:p w:rsidR="00C75272" w:rsidRPr="00C5541C" w:rsidRDefault="00C75272" w:rsidP="002C5B1B">
      <w:pPr>
        <w:pStyle w:val="ListParagraph"/>
        <w:numPr>
          <w:ilvl w:val="0"/>
          <w:numId w:val="83"/>
        </w:numPr>
        <w:spacing w:after="120" w:line="276" w:lineRule="auto"/>
      </w:pPr>
      <w:r w:rsidRPr="00C5541C">
        <w:lastRenderedPageBreak/>
        <w:t>Pyll</w:t>
      </w:r>
      <w:r w:rsidR="008C5470">
        <w:t>ë</w:t>
      </w:r>
      <w:r w:rsidRPr="00C5541C">
        <w:t>zimi i sip</w:t>
      </w:r>
      <w:r w:rsidR="008C5470">
        <w:t>ë</w:t>
      </w:r>
      <w:r w:rsidRPr="00C5541C">
        <w:t>rfaqeve të degraduara nëpërmjet riciklimit në destinacion të të ardhurave nga fondi pyjor, dhe detyrimeve të subjekteve që ushtrojnë aktivitet në fondin pyjor;</w:t>
      </w:r>
    </w:p>
    <w:p w:rsidR="00C75272" w:rsidRPr="00C5541C" w:rsidRDefault="00C75272" w:rsidP="002C5B1B">
      <w:pPr>
        <w:pStyle w:val="ListParagraph"/>
        <w:numPr>
          <w:ilvl w:val="0"/>
          <w:numId w:val="83"/>
        </w:numPr>
        <w:spacing w:after="120" w:line="276" w:lineRule="auto"/>
      </w:pPr>
      <w:r w:rsidRPr="00C5541C">
        <w:t>Zbatimi i skemës së granteve konkuruese;</w:t>
      </w:r>
    </w:p>
    <w:p w:rsidR="00C75272" w:rsidRPr="00C5541C" w:rsidRDefault="00C75272" w:rsidP="002C5B1B">
      <w:pPr>
        <w:pStyle w:val="ListParagraph"/>
        <w:numPr>
          <w:ilvl w:val="0"/>
          <w:numId w:val="83"/>
        </w:numPr>
        <w:spacing w:after="120" w:line="276" w:lineRule="auto"/>
      </w:pPr>
      <w:r w:rsidRPr="00C5541C">
        <w:t>Hartimi i metodologjisë dhe implementimi i saj për sekuestrimin e karbonit;</w:t>
      </w:r>
    </w:p>
    <w:p w:rsidR="00C75272" w:rsidRPr="00C5541C" w:rsidRDefault="00C75272" w:rsidP="002C5B1B">
      <w:pPr>
        <w:pStyle w:val="ListParagraph"/>
        <w:numPr>
          <w:ilvl w:val="0"/>
          <w:numId w:val="83"/>
        </w:numPr>
        <w:spacing w:after="120" w:line="276" w:lineRule="auto"/>
      </w:pPr>
      <w:r w:rsidRPr="00C5541C">
        <w:t>Mbrojtja dhe menaxhimi i qëndrueshëm i biodiversitetit dhe eleminimi i gjuetisë së paligjshme.</w:t>
      </w:r>
    </w:p>
    <w:p w:rsidR="00C75272" w:rsidRPr="00C5541C" w:rsidRDefault="00C75272" w:rsidP="00C75272">
      <w:pPr>
        <w:pStyle w:val="ListParagraph"/>
        <w:spacing w:line="276" w:lineRule="auto"/>
        <w:ind w:left="360"/>
        <w:rPr>
          <w:b/>
        </w:rPr>
      </w:pPr>
    </w:p>
    <w:p w:rsidR="00C75272" w:rsidRPr="00C5541C" w:rsidRDefault="00EA68C2" w:rsidP="00EA68C2">
      <w:pPr>
        <w:spacing w:after="120" w:line="276" w:lineRule="auto"/>
        <w:rPr>
          <w:b/>
        </w:rPr>
      </w:pPr>
      <w:r>
        <w:rPr>
          <w:b/>
        </w:rPr>
        <w:t>KULTURA</w:t>
      </w:r>
    </w:p>
    <w:p w:rsidR="00E141FA" w:rsidRDefault="00C75272" w:rsidP="00EA68C2">
      <w:pPr>
        <w:spacing w:after="120" w:line="276" w:lineRule="auto"/>
        <w:rPr>
          <w:b/>
        </w:rPr>
      </w:pPr>
      <w:r w:rsidRPr="00DB3C9E">
        <w:rPr>
          <w:b/>
        </w:rPr>
        <w:t xml:space="preserve">Arritjet </w:t>
      </w:r>
      <w:r w:rsidR="00BF2B5E">
        <w:rPr>
          <w:b/>
        </w:rPr>
        <w:t>p</w:t>
      </w:r>
      <w:r w:rsidR="006A33D1">
        <w:rPr>
          <w:b/>
        </w:rPr>
        <w:t>ë</w:t>
      </w:r>
      <w:r w:rsidR="00BF2B5E">
        <w:rPr>
          <w:b/>
        </w:rPr>
        <w:t>r</w:t>
      </w:r>
      <w:r w:rsidR="00DB3C9E" w:rsidRPr="00DB3C9E">
        <w:rPr>
          <w:b/>
        </w:rPr>
        <w:t xml:space="preserve"> vitin</w:t>
      </w:r>
      <w:r w:rsidRPr="00DB3C9E">
        <w:rPr>
          <w:b/>
        </w:rPr>
        <w:t xml:space="preserve"> 2017</w:t>
      </w:r>
    </w:p>
    <w:p w:rsidR="00E141FA" w:rsidRPr="00EA68C2" w:rsidRDefault="00E141FA" w:rsidP="00E141FA">
      <w:pPr>
        <w:spacing w:after="160" w:line="276" w:lineRule="auto"/>
        <w:contextualSpacing/>
        <w:rPr>
          <w:b/>
        </w:rPr>
      </w:pPr>
      <w:r w:rsidRPr="00EA68C2">
        <w:rPr>
          <w:b/>
        </w:rPr>
        <w:t>Arti dhe Kultura</w:t>
      </w:r>
    </w:p>
    <w:p w:rsidR="004B7A7F" w:rsidRPr="00E141FA" w:rsidRDefault="004B7A7F" w:rsidP="00957B42">
      <w:pPr>
        <w:pStyle w:val="ListParagraph"/>
        <w:numPr>
          <w:ilvl w:val="0"/>
          <w:numId w:val="86"/>
        </w:numPr>
        <w:spacing w:after="120" w:line="276" w:lineRule="auto"/>
        <w:jc w:val="both"/>
      </w:pPr>
      <w:r w:rsidRPr="00E141FA">
        <w:t>P</w:t>
      </w:r>
      <w:r w:rsidR="00122326">
        <w:t>ë</w:t>
      </w:r>
      <w:r w:rsidRPr="00E141FA">
        <w:t>rfundon nd</w:t>
      </w:r>
      <w:r w:rsidR="00122326">
        <w:t>ë</w:t>
      </w:r>
      <w:r w:rsidRPr="00E141FA">
        <w:t>rtimi i Qendr</w:t>
      </w:r>
      <w:r w:rsidR="00122326">
        <w:t>ë</w:t>
      </w:r>
      <w:r w:rsidRPr="00E141FA">
        <w:t>s “Skena e Reme një vlerë projekti prej 465</w:t>
      </w:r>
      <w:proofErr w:type="gramStart"/>
      <w:r w:rsidRPr="00E141FA">
        <w:t>,4</w:t>
      </w:r>
      <w:proofErr w:type="gramEnd"/>
      <w:r w:rsidRPr="00E141FA">
        <w:t xml:space="preserve"> milion lekë, e cila do të ketë dy salla për shfaqje me kapacitet respektivisht për 400 persona dhe 250 persona. Kjo godinë do të krijojë kushte shumë të mira për aktorët, për publikun dhe do të jetë e pajisur me mjedise multifunkisonale artistike të mbyllura dhe të hapura.</w:t>
      </w:r>
    </w:p>
    <w:p w:rsidR="004B7A7F" w:rsidRPr="004B7A7F" w:rsidRDefault="004B7A7F" w:rsidP="005936B9">
      <w:pPr>
        <w:pStyle w:val="ListParagraph"/>
        <w:numPr>
          <w:ilvl w:val="0"/>
          <w:numId w:val="84"/>
        </w:numPr>
        <w:spacing w:after="120" w:line="276" w:lineRule="auto"/>
        <w:jc w:val="both"/>
        <w:rPr>
          <w:rFonts w:cs="Calibri"/>
          <w:lang w:val="it-IT"/>
        </w:rPr>
      </w:pPr>
      <w:r>
        <w:t>P</w:t>
      </w:r>
      <w:r w:rsidR="00122326">
        <w:t>ë</w:t>
      </w:r>
      <w:r>
        <w:t xml:space="preserve">rfundon </w:t>
      </w:r>
      <w:r w:rsidRPr="00740924">
        <w:t xml:space="preserve">rikonstruksioni </w:t>
      </w:r>
      <w:r>
        <w:t>i Teatrit A.Z.Cajupi Korçë</w:t>
      </w:r>
      <w:r w:rsidRPr="00740924">
        <w:t xml:space="preserve"> </w:t>
      </w:r>
      <w:r>
        <w:t xml:space="preserve">ku </w:t>
      </w:r>
      <w:r w:rsidRPr="00740924">
        <w:t>vlera e projektit</w:t>
      </w:r>
      <w:r>
        <w:t xml:space="preserve"> ka qënë 119 milion leke (50% MK dhe 50</w:t>
      </w:r>
      <w:r w:rsidRPr="00740924">
        <w:t>% Bashkia K</w:t>
      </w:r>
      <w:r>
        <w:t>orç</w:t>
      </w:r>
      <w:r w:rsidR="00122326">
        <w:t>ë</w:t>
      </w:r>
      <w:r w:rsidRPr="00740924">
        <w:t>)</w:t>
      </w:r>
      <w:r>
        <w:t>.</w:t>
      </w:r>
      <w:r w:rsidRPr="00740924">
        <w:t xml:space="preserve"> </w:t>
      </w:r>
      <w:r w:rsidRPr="004B7A7F">
        <w:rPr>
          <w:rFonts w:cs="Calibri"/>
          <w:lang w:val="it-IT"/>
        </w:rPr>
        <w:t>Ndërhyrja në këtë institucion të kulturës nxjerr në pah vlerat e nje qyteti që krijo</w:t>
      </w:r>
      <w:r w:rsidR="00EA76E9">
        <w:rPr>
          <w:rFonts w:cs="Calibri"/>
          <w:lang w:val="it-IT"/>
        </w:rPr>
        <w:t xml:space="preserve">i historinë e Teatrit </w:t>
      </w:r>
      <w:r w:rsidR="00BD6D02">
        <w:rPr>
          <w:rFonts w:cs="Calibri"/>
          <w:lang w:val="it-IT"/>
        </w:rPr>
        <w:t>S</w:t>
      </w:r>
      <w:r w:rsidR="00EA76E9">
        <w:rPr>
          <w:rFonts w:cs="Calibri"/>
          <w:lang w:val="it-IT"/>
        </w:rPr>
        <w:t>hqiptar;</w:t>
      </w:r>
    </w:p>
    <w:p w:rsidR="004B7A7F" w:rsidRPr="00740924" w:rsidRDefault="004B7A7F" w:rsidP="005936B9">
      <w:pPr>
        <w:pStyle w:val="ListParagraph"/>
        <w:numPr>
          <w:ilvl w:val="0"/>
          <w:numId w:val="84"/>
        </w:numPr>
        <w:spacing w:after="120" w:line="276" w:lineRule="auto"/>
        <w:jc w:val="both"/>
      </w:pPr>
      <w:r>
        <w:t>P</w:t>
      </w:r>
      <w:r w:rsidR="00122326">
        <w:t>ë</w:t>
      </w:r>
      <w:r>
        <w:t>rfundon</w:t>
      </w:r>
      <w:r w:rsidRPr="00740924">
        <w:t xml:space="preserve"> </w:t>
      </w:r>
      <w:r>
        <w:t>r</w:t>
      </w:r>
      <w:r w:rsidRPr="00740924">
        <w:t>ikonstruksioni i Teatrit Migjeni n</w:t>
      </w:r>
      <w:r w:rsidRPr="00657A47">
        <w:t>ë</w:t>
      </w:r>
      <w:r w:rsidRPr="00740924">
        <w:t xml:space="preserve"> Shkod</w:t>
      </w:r>
      <w:r w:rsidRPr="00657A47">
        <w:t>ë</w:t>
      </w:r>
      <w:r w:rsidRPr="00740924">
        <w:t>r me vler</w:t>
      </w:r>
      <w:r w:rsidRPr="00657A47">
        <w:t>ë</w:t>
      </w:r>
      <w:r w:rsidRPr="00740924">
        <w:t xml:space="preserve"> projekti 58 milion  leke</w:t>
      </w:r>
      <w:r>
        <w:t xml:space="preserve"> fond i</w:t>
      </w:r>
      <w:r w:rsidRPr="00740924">
        <w:t xml:space="preserve"> cili u mb</w:t>
      </w:r>
      <w:r w:rsidRPr="00657A47">
        <w:t>ë</w:t>
      </w:r>
      <w:r>
        <w:t>shtet totalisht nga ana e MK;</w:t>
      </w:r>
      <w:r w:rsidRPr="00740924">
        <w:t xml:space="preserve"> </w:t>
      </w:r>
    </w:p>
    <w:p w:rsidR="004B7A7F" w:rsidRPr="00740924" w:rsidRDefault="00EA76E9" w:rsidP="005936B9">
      <w:pPr>
        <w:pStyle w:val="ListParagraph"/>
        <w:numPr>
          <w:ilvl w:val="0"/>
          <w:numId w:val="84"/>
        </w:numPr>
        <w:spacing w:after="120" w:line="276" w:lineRule="auto"/>
        <w:jc w:val="both"/>
      </w:pPr>
      <w:r>
        <w:t>P</w:t>
      </w:r>
      <w:r w:rsidR="00122326">
        <w:t>ë</w:t>
      </w:r>
      <w:r>
        <w:t>rfundon i</w:t>
      </w:r>
      <w:r w:rsidR="004B7A7F">
        <w:t xml:space="preserve">nvestimi ne </w:t>
      </w:r>
      <w:r w:rsidR="004B7A7F" w:rsidRPr="00740924">
        <w:t>Muzeu</w:t>
      </w:r>
      <w:r w:rsidR="004B7A7F">
        <w:t>n e Gjethit</w:t>
      </w:r>
      <w:r w:rsidR="004B7A7F" w:rsidRPr="00740924">
        <w:t xml:space="preserve"> me nj</w:t>
      </w:r>
      <w:r w:rsidR="004B7A7F" w:rsidRPr="00657A47">
        <w:t>ë</w:t>
      </w:r>
      <w:r w:rsidR="004B7A7F" w:rsidRPr="00740924">
        <w:t xml:space="preserve"> vler</w:t>
      </w:r>
      <w:r w:rsidR="004B7A7F" w:rsidRPr="00657A47">
        <w:t>ë</w:t>
      </w:r>
      <w:r w:rsidR="004B7A7F" w:rsidRPr="00740924">
        <w:t xml:space="preserve"> prej 48.5 milion lek</w:t>
      </w:r>
      <w:r w:rsidR="004B7A7F" w:rsidRPr="00657A47">
        <w:t>ë</w:t>
      </w:r>
      <w:r w:rsidR="004B7A7F" w:rsidRPr="00740924">
        <w:t>, muze q</w:t>
      </w:r>
      <w:r w:rsidR="004B7A7F" w:rsidRPr="00657A47">
        <w:t>ë</w:t>
      </w:r>
      <w:r w:rsidR="004B7A7F" w:rsidRPr="00740924">
        <w:t xml:space="preserve"> ka shtuar vizitueshm</w:t>
      </w:r>
      <w:r w:rsidR="004B7A7F" w:rsidRPr="00657A47">
        <w:t>ë</w:t>
      </w:r>
      <w:r w:rsidR="004B7A7F">
        <w:t>rine gjat</w:t>
      </w:r>
      <w:r w:rsidR="004B7A7F" w:rsidRPr="00657A47">
        <w:t>ë</w:t>
      </w:r>
      <w:r w:rsidR="004B7A7F">
        <w:t xml:space="preserve"> k</w:t>
      </w:r>
      <w:r w:rsidR="004B7A7F" w:rsidRPr="00657A47">
        <w:t>ë</w:t>
      </w:r>
      <w:r w:rsidR="004B7A7F">
        <w:t xml:space="preserve">tyre muajve, si dhe </w:t>
      </w:r>
      <w:r w:rsidR="004B7A7F" w:rsidRPr="00657A47">
        <w:t>ë</w:t>
      </w:r>
      <w:r w:rsidR="004B7A7F" w:rsidRPr="00740924">
        <w:t>sht</w:t>
      </w:r>
      <w:r w:rsidR="004B7A7F" w:rsidRPr="00657A47">
        <w:t>ë</w:t>
      </w:r>
      <w:r w:rsidR="004B7A7F">
        <w:t xml:space="preserve"> nje aset i vlefsh</w:t>
      </w:r>
      <w:r w:rsidR="004B7A7F" w:rsidRPr="00657A47">
        <w:t>ë</w:t>
      </w:r>
      <w:r w:rsidR="004B7A7F">
        <w:t>m p</w:t>
      </w:r>
      <w:r w:rsidR="004B7A7F" w:rsidRPr="00657A47">
        <w:t>ë</w:t>
      </w:r>
      <w:r w:rsidR="004B7A7F" w:rsidRPr="00740924">
        <w:t>r qytetin e Tiran</w:t>
      </w:r>
      <w:r w:rsidR="004B7A7F" w:rsidRPr="00657A47">
        <w:t>ë</w:t>
      </w:r>
      <w:r w:rsidR="004B7A7F">
        <w:t>s si dhe një stacion i rëndësishëm pë</w:t>
      </w:r>
      <w:r>
        <w:t>r projektin “Rrugët e Kujtesës”;</w:t>
      </w:r>
    </w:p>
    <w:p w:rsidR="004B7A7F" w:rsidRPr="00740924" w:rsidRDefault="004B7A7F" w:rsidP="005936B9">
      <w:pPr>
        <w:pStyle w:val="ListParagraph"/>
        <w:numPr>
          <w:ilvl w:val="0"/>
          <w:numId w:val="84"/>
        </w:numPr>
        <w:spacing w:after="120" w:line="276" w:lineRule="auto"/>
        <w:jc w:val="both"/>
      </w:pPr>
      <w:r>
        <w:t>Di</w:t>
      </w:r>
      <w:r w:rsidR="00EA76E9">
        <w:t>xh</w:t>
      </w:r>
      <w:r>
        <w:t>italizimi i</w:t>
      </w:r>
      <w:r w:rsidRPr="00740924">
        <w:t xml:space="preserve"> pasurive kulturore </w:t>
      </w:r>
      <w:r>
        <w:t>komb</w:t>
      </w:r>
      <w:r w:rsidRPr="00657A47">
        <w:t>ë</w:t>
      </w:r>
      <w:r w:rsidRPr="00740924">
        <w:t>tare n</w:t>
      </w:r>
      <w:r w:rsidRPr="00657A47">
        <w:t>ë</w:t>
      </w:r>
      <w:r w:rsidRPr="00740924">
        <w:t xml:space="preserve"> qendrat e regjistrimit fizik dhe</w:t>
      </w:r>
      <w:r>
        <w:t xml:space="preserve"> online me nj</w:t>
      </w:r>
      <w:r w:rsidRPr="00657A47">
        <w:t>ë</w:t>
      </w:r>
      <w:r>
        <w:t xml:space="preserve"> fond ne vler</w:t>
      </w:r>
      <w:r w:rsidRPr="00657A47">
        <w:t>ë</w:t>
      </w:r>
      <w:r w:rsidRPr="00740924">
        <w:t>n 40.5 milion lek</w:t>
      </w:r>
      <w:r w:rsidRPr="00657A47">
        <w:t>ë</w:t>
      </w:r>
      <w:r>
        <w:t xml:space="preserve"> p</w:t>
      </w:r>
      <w:r w:rsidRPr="00657A47">
        <w:t>ë</w:t>
      </w:r>
      <w:r>
        <w:t>rfundoi gjat</w:t>
      </w:r>
      <w:r w:rsidRPr="00657A47">
        <w:t>ë</w:t>
      </w:r>
      <w:r>
        <w:t xml:space="preserve"> k</w:t>
      </w:r>
      <w:r w:rsidRPr="00657A47">
        <w:t>ë</w:t>
      </w:r>
      <w:r w:rsidRPr="00740924">
        <w:t xml:space="preserve">tij viti. Ky </w:t>
      </w:r>
      <w:r>
        <w:t>proces krijon kushte t</w:t>
      </w:r>
      <w:r w:rsidRPr="00657A47">
        <w:t>ë</w:t>
      </w:r>
      <w:r w:rsidRPr="00740924">
        <w:t xml:space="preserve"> inventarizimit di</w:t>
      </w:r>
      <w:r>
        <w:t>gj</w:t>
      </w:r>
      <w:r w:rsidRPr="00740924">
        <w:t>ital të të gjit</w:t>
      </w:r>
      <w:r>
        <w:t>h</w:t>
      </w:r>
      <w:r w:rsidR="00EA76E9">
        <w:t>a pasurive kulturore të vendit;</w:t>
      </w:r>
    </w:p>
    <w:p w:rsidR="004B7A7F" w:rsidRPr="00740924" w:rsidRDefault="00EA76E9" w:rsidP="005936B9">
      <w:pPr>
        <w:pStyle w:val="ListParagraph"/>
        <w:numPr>
          <w:ilvl w:val="0"/>
          <w:numId w:val="84"/>
        </w:numPr>
        <w:spacing w:after="120" w:line="276" w:lineRule="auto"/>
        <w:jc w:val="both"/>
      </w:pPr>
      <w:r>
        <w:t>P</w:t>
      </w:r>
      <w:r w:rsidR="00122326">
        <w:t>ë</w:t>
      </w:r>
      <w:r>
        <w:t xml:space="preserve">rfundon </w:t>
      </w:r>
      <w:r w:rsidR="004B7A7F" w:rsidRPr="00740924">
        <w:t>nd</w:t>
      </w:r>
      <w:r w:rsidR="004B7A7F" w:rsidRPr="007345E7">
        <w:t>ë</w:t>
      </w:r>
      <w:r w:rsidR="004B7A7F">
        <w:t>r</w:t>
      </w:r>
      <w:r>
        <w:t>t</w:t>
      </w:r>
      <w:r w:rsidR="004B7A7F">
        <w:t>imi i</w:t>
      </w:r>
      <w:r w:rsidR="004B7A7F" w:rsidRPr="00740924">
        <w:t xml:space="preserve"> sht</w:t>
      </w:r>
      <w:r w:rsidR="004B7A7F" w:rsidRPr="007345E7">
        <w:t>ë</w:t>
      </w:r>
      <w:r w:rsidR="004B7A7F" w:rsidRPr="00740924">
        <w:t>pis</w:t>
      </w:r>
      <w:r w:rsidR="004B7A7F" w:rsidRPr="007345E7">
        <w:t>ë</w:t>
      </w:r>
      <w:r w:rsidR="004B7A7F">
        <w:t xml:space="preserve"> s</w:t>
      </w:r>
      <w:r w:rsidR="004B7A7F" w:rsidRPr="007345E7">
        <w:t>ë</w:t>
      </w:r>
      <w:r w:rsidR="004B7A7F" w:rsidRPr="00740924">
        <w:t xml:space="preserve"> flamurit n</w:t>
      </w:r>
      <w:r w:rsidR="004B7A7F" w:rsidRPr="007345E7">
        <w:t>ë</w:t>
      </w:r>
      <w:r w:rsidR="004B7A7F" w:rsidRPr="00740924">
        <w:t xml:space="preserve"> K</w:t>
      </w:r>
      <w:r w:rsidR="004B7A7F">
        <w:t>orçë</w:t>
      </w:r>
      <w:r w:rsidR="004B7A7F" w:rsidRPr="00740924">
        <w:t xml:space="preserve"> me nj</w:t>
      </w:r>
      <w:r w:rsidR="004B7A7F" w:rsidRPr="007345E7">
        <w:t>ë</w:t>
      </w:r>
      <w:r w:rsidR="004B7A7F">
        <w:t xml:space="preserve"> vler</w:t>
      </w:r>
      <w:r w:rsidR="004B7A7F" w:rsidRPr="007345E7">
        <w:t>ë</w:t>
      </w:r>
      <w:r w:rsidR="004B7A7F">
        <w:t xml:space="preserve"> prej 25.1 milion leke, godin</w:t>
      </w:r>
      <w:r w:rsidR="004B7A7F" w:rsidRPr="007345E7">
        <w:t>ë</w:t>
      </w:r>
      <w:r w:rsidR="004B7A7F" w:rsidRPr="00740924">
        <w:t xml:space="preserve"> e cila u nd</w:t>
      </w:r>
      <w:r w:rsidR="004B7A7F" w:rsidRPr="007345E7">
        <w:t>ë</w:t>
      </w:r>
      <w:r w:rsidR="004B7A7F">
        <w:t>rtua nga e para pas shkat</w:t>
      </w:r>
      <w:r w:rsidR="004B7A7F" w:rsidRPr="007345E7">
        <w:t>ë</w:t>
      </w:r>
      <w:r w:rsidR="004B7A7F">
        <w:t>rimit t</w:t>
      </w:r>
      <w:r w:rsidR="004B7A7F" w:rsidRPr="007345E7">
        <w:t>ë</w:t>
      </w:r>
      <w:r w:rsidR="004B7A7F" w:rsidRPr="00740924">
        <w:t xml:space="preserve"> p</w:t>
      </w:r>
      <w:r w:rsidR="004B7A7F" w:rsidRPr="007345E7">
        <w:t>ë</w:t>
      </w:r>
      <w:r w:rsidR="004B7A7F">
        <w:t>suar gjat</w:t>
      </w:r>
      <w:r w:rsidR="004B7A7F" w:rsidRPr="007345E7">
        <w:t>ë</w:t>
      </w:r>
      <w:r w:rsidR="004B7A7F">
        <w:t xml:space="preserve"> viteve 2012-2013</w:t>
      </w:r>
      <w:r>
        <w:t>;</w:t>
      </w:r>
    </w:p>
    <w:p w:rsidR="004B7A7F" w:rsidRDefault="00EA76E9" w:rsidP="005936B9">
      <w:pPr>
        <w:pStyle w:val="ListParagraph"/>
        <w:numPr>
          <w:ilvl w:val="0"/>
          <w:numId w:val="84"/>
        </w:numPr>
        <w:spacing w:after="120" w:line="276" w:lineRule="auto"/>
        <w:jc w:val="both"/>
      </w:pPr>
      <w:r>
        <w:t>G</w:t>
      </w:r>
      <w:r w:rsidR="004B7A7F" w:rsidRPr="007345E7">
        <w:t>jatë</w:t>
      </w:r>
      <w:r w:rsidR="004B7A7F">
        <w:t xml:space="preserve"> tremujorit t</w:t>
      </w:r>
      <w:r w:rsidR="004B7A7F" w:rsidRPr="007345E7">
        <w:t>ë tretë të</w:t>
      </w:r>
      <w:r w:rsidR="004B7A7F">
        <w:t xml:space="preserve"> vitit 2017</w:t>
      </w:r>
      <w:r>
        <w:t>,</w:t>
      </w:r>
      <w:r w:rsidR="004B7A7F">
        <w:t xml:space="preserve"> nisi rikonstruksioni i</w:t>
      </w:r>
      <w:r w:rsidR="004B7A7F" w:rsidRPr="007345E7">
        <w:t xml:space="preserve"> godinë</w:t>
      </w:r>
      <w:r w:rsidR="004B7A7F">
        <w:t>s</w:t>
      </w:r>
      <w:r w:rsidR="004B7A7F" w:rsidRPr="007345E7">
        <w:t xml:space="preserve"> së</w:t>
      </w:r>
      <w:r w:rsidR="004B7A7F">
        <w:t xml:space="preserve"> ish-Lidhjes S</w:t>
      </w:r>
      <w:r w:rsidR="004B7A7F" w:rsidRPr="007345E7">
        <w:t>hkrimtarëve e cila u krye në</w:t>
      </w:r>
      <w:r w:rsidR="004B7A7F">
        <w:t xml:space="preserve"> nj</w:t>
      </w:r>
      <w:r w:rsidR="004B7A7F" w:rsidRPr="007345E7">
        <w:t>ë</w:t>
      </w:r>
      <w:r w:rsidR="004B7A7F">
        <w:t xml:space="preserve"> kohe rekord p</w:t>
      </w:r>
      <w:r w:rsidR="004B7A7F" w:rsidRPr="007345E7">
        <w:t>ër t</w:t>
      </w:r>
      <w:r w:rsidR="004B7A7F">
        <w:t>’u p</w:t>
      </w:r>
      <w:r w:rsidR="004B7A7F" w:rsidRPr="007345E7">
        <w:t>ë</w:t>
      </w:r>
      <w:r w:rsidR="004B7A7F">
        <w:t>rshtatur n</w:t>
      </w:r>
      <w:r w:rsidR="004B7A7F" w:rsidRPr="007345E7">
        <w:t>ë</w:t>
      </w:r>
      <w:r w:rsidR="004B7A7F">
        <w:t xml:space="preserve"> godin</w:t>
      </w:r>
      <w:r w:rsidR="004B7A7F" w:rsidRPr="007345E7">
        <w:t>ë</w:t>
      </w:r>
      <w:r w:rsidR="004B7A7F">
        <w:t xml:space="preserve"> p</w:t>
      </w:r>
      <w:r w:rsidR="004B7A7F" w:rsidRPr="007345E7">
        <w:t>ë</w:t>
      </w:r>
      <w:r w:rsidR="004B7A7F">
        <w:t>r organet e “Vetting-ut”. Vlera e k</w:t>
      </w:r>
      <w:r w:rsidR="004B7A7F" w:rsidRPr="007345E7">
        <w:t>ëtij rikonstruksioni ë</w:t>
      </w:r>
      <w:r w:rsidR="004B7A7F">
        <w:t>shtë</w:t>
      </w:r>
      <w:r>
        <w:t xml:space="preserve"> 192,7 milion leke;</w:t>
      </w:r>
    </w:p>
    <w:p w:rsidR="00EA76E9" w:rsidRDefault="00EA76E9" w:rsidP="005936B9">
      <w:pPr>
        <w:pStyle w:val="ListParagraph"/>
        <w:numPr>
          <w:ilvl w:val="0"/>
          <w:numId w:val="84"/>
        </w:numPr>
        <w:spacing w:after="120" w:line="276" w:lineRule="auto"/>
        <w:jc w:val="both"/>
      </w:pPr>
      <w:r w:rsidRPr="00EA76E9">
        <w:t>Ministria e Kulturës për vitin 2017, ka mbështetur 128 projekte në art, kulturë dhe trashëgimi kulturore, të realizuara këto nga subjekte, organizata, shoqata kulturore dhe individë që shprehin ide novatore, garantojnë cilësi profesionalizëm në realizim, qëndrueshmëri dhe vazhdimësi, apo mundësi për r</w:t>
      </w:r>
      <w:r>
        <w:t>ritjen profesionale të artistit;</w:t>
      </w:r>
    </w:p>
    <w:p w:rsidR="00EA76E9" w:rsidRDefault="00EA76E9" w:rsidP="005936B9">
      <w:pPr>
        <w:pStyle w:val="ListParagraph"/>
        <w:numPr>
          <w:ilvl w:val="0"/>
          <w:numId w:val="84"/>
        </w:numPr>
        <w:spacing w:after="120" w:line="276" w:lineRule="auto"/>
        <w:jc w:val="both"/>
      </w:pPr>
      <w:r>
        <w:t>Jan</w:t>
      </w:r>
      <w:r w:rsidR="00122326">
        <w:t>ë</w:t>
      </w:r>
      <w:r>
        <w:t xml:space="preserve"> mbështetur 5 botime të autorëve të rinj; 14 përkthime në gjuhën shqipe; 5 përkthime nga gjuha shqipe.</w:t>
      </w:r>
    </w:p>
    <w:p w:rsidR="00EA76E9" w:rsidRDefault="00122326" w:rsidP="005936B9">
      <w:pPr>
        <w:pStyle w:val="ListParagraph"/>
        <w:numPr>
          <w:ilvl w:val="0"/>
          <w:numId w:val="84"/>
        </w:numPr>
        <w:spacing w:after="120" w:line="276" w:lineRule="auto"/>
        <w:jc w:val="both"/>
      </w:pPr>
      <w:r>
        <w:t>Ë</w:t>
      </w:r>
      <w:r w:rsidR="00EA76E9">
        <w:t>shtë krijuar fondi për rijetëzimin e Bibliotekave Publike, me të cilin janë mbështetur me 500 libra disa biblioteka publike;</w:t>
      </w:r>
    </w:p>
    <w:p w:rsidR="00EA76E9" w:rsidRDefault="00EA76E9" w:rsidP="005936B9">
      <w:pPr>
        <w:pStyle w:val="ListParagraph"/>
        <w:numPr>
          <w:ilvl w:val="0"/>
          <w:numId w:val="84"/>
        </w:numPr>
        <w:spacing w:after="120" w:line="276" w:lineRule="auto"/>
        <w:jc w:val="both"/>
      </w:pPr>
      <w:r>
        <w:t>Për programin Edukimi përmes Kulturës në zbatim te fushatës Kombëtare të Leximit “Takohemi për një libër” 2017:</w:t>
      </w:r>
    </w:p>
    <w:p w:rsidR="00EA76E9" w:rsidRDefault="00EA76E9" w:rsidP="005936B9">
      <w:pPr>
        <w:pStyle w:val="ListParagraph"/>
        <w:numPr>
          <w:ilvl w:val="1"/>
          <w:numId w:val="84"/>
        </w:numPr>
        <w:spacing w:after="120" w:line="276" w:lineRule="auto"/>
        <w:jc w:val="both"/>
      </w:pPr>
      <w:r>
        <w:lastRenderedPageBreak/>
        <w:t>20 bashki të vendit jane perfshire ne kete projekt nepermjet ngritjes se bibliotekave publike;</w:t>
      </w:r>
    </w:p>
    <w:p w:rsidR="00EA76E9" w:rsidRDefault="00EA76E9" w:rsidP="005936B9">
      <w:pPr>
        <w:pStyle w:val="ListParagraph"/>
        <w:numPr>
          <w:ilvl w:val="1"/>
          <w:numId w:val="84"/>
        </w:numPr>
        <w:spacing w:after="120" w:line="276" w:lineRule="auto"/>
        <w:jc w:val="both"/>
      </w:pPr>
      <w:r>
        <w:t>rrjeti kombëtar i klubeve të leximit ngritur nga MK: 15 qendra në të gjithë vendin;</w:t>
      </w:r>
    </w:p>
    <w:p w:rsidR="00EA76E9" w:rsidRDefault="00EA76E9" w:rsidP="005936B9">
      <w:pPr>
        <w:pStyle w:val="ListParagraph"/>
        <w:numPr>
          <w:ilvl w:val="1"/>
          <w:numId w:val="84"/>
        </w:numPr>
        <w:spacing w:after="120" w:line="276" w:lineRule="auto"/>
        <w:jc w:val="both"/>
      </w:pPr>
      <w:r>
        <w:t>17 projekte për librin dhe leximin.</w:t>
      </w:r>
    </w:p>
    <w:p w:rsidR="00EA76E9" w:rsidRPr="00EA76E9" w:rsidRDefault="00EA76E9" w:rsidP="005936B9">
      <w:pPr>
        <w:pStyle w:val="ListParagraph"/>
        <w:numPr>
          <w:ilvl w:val="0"/>
          <w:numId w:val="84"/>
        </w:numPr>
        <w:spacing w:after="120" w:line="276" w:lineRule="auto"/>
      </w:pPr>
      <w:r>
        <w:t>P</w:t>
      </w:r>
      <w:r w:rsidR="00122326">
        <w:t>ë</w:t>
      </w:r>
      <w:r>
        <w:t>r promovimin e letrave shqipe jasht</w:t>
      </w:r>
      <w:r w:rsidR="00122326">
        <w:t>ë</w:t>
      </w:r>
      <w:r>
        <w:t xml:space="preserve"> vendit, </w:t>
      </w:r>
      <w:r w:rsidR="00122326">
        <w:t>ë</w:t>
      </w:r>
      <w:r>
        <w:t>sht</w:t>
      </w:r>
      <w:r w:rsidR="00122326">
        <w:t>ë</w:t>
      </w:r>
      <w:r>
        <w:t xml:space="preserve"> siguruar pjes</w:t>
      </w:r>
      <w:r w:rsidR="00122326">
        <w:t>ë</w:t>
      </w:r>
      <w:r>
        <w:t>marrja n</w:t>
      </w:r>
      <w:r w:rsidR="00122326">
        <w:t>ë</w:t>
      </w:r>
      <w:r>
        <w:t xml:space="preserve"> dy aktivitete nd</w:t>
      </w:r>
      <w:r w:rsidR="00122326">
        <w:t>ë</w:t>
      </w:r>
      <w:r>
        <w:t>rkomb</w:t>
      </w:r>
      <w:r w:rsidR="00122326">
        <w:t>ë</w:t>
      </w:r>
      <w:r>
        <w:t>tare: Panairi i Lajpcigut dhe Panairi i Milanos;</w:t>
      </w:r>
    </w:p>
    <w:p w:rsidR="00E141FA" w:rsidRPr="00957B42" w:rsidRDefault="00122326" w:rsidP="00E141FA">
      <w:pPr>
        <w:pStyle w:val="ListParagraph"/>
        <w:numPr>
          <w:ilvl w:val="0"/>
          <w:numId w:val="84"/>
        </w:numPr>
        <w:spacing w:after="120" w:line="276" w:lineRule="auto"/>
        <w:jc w:val="both"/>
      </w:pPr>
      <w:r>
        <w:t>Ë</w:t>
      </w:r>
      <w:r w:rsidR="00EA76E9" w:rsidRPr="00EA76E9">
        <w:t>shtë miratuar kuadri ligjor në zbatim të ligjit 35/2016 pë</w:t>
      </w:r>
      <w:r w:rsidR="00EA76E9">
        <w:t>r të dhe u krijua sporteli unik;</w:t>
      </w:r>
    </w:p>
    <w:p w:rsidR="00E141FA" w:rsidRPr="00957B42" w:rsidRDefault="00E141FA" w:rsidP="00E141FA">
      <w:pPr>
        <w:spacing w:after="120"/>
        <w:jc w:val="both"/>
        <w:rPr>
          <w:b/>
        </w:rPr>
      </w:pPr>
      <w:r w:rsidRPr="00957B42">
        <w:rPr>
          <w:b/>
        </w:rPr>
        <w:t>Trash</w:t>
      </w:r>
      <w:r w:rsidR="00122326" w:rsidRPr="00957B42">
        <w:rPr>
          <w:b/>
        </w:rPr>
        <w:t>ë</w:t>
      </w:r>
      <w:r w:rsidRPr="00957B42">
        <w:rPr>
          <w:b/>
        </w:rPr>
        <w:t>gimia Kulturore</w:t>
      </w:r>
    </w:p>
    <w:p w:rsidR="00E141FA" w:rsidRPr="008A4C2A" w:rsidRDefault="00122326" w:rsidP="005936B9">
      <w:pPr>
        <w:numPr>
          <w:ilvl w:val="0"/>
          <w:numId w:val="84"/>
        </w:numPr>
        <w:tabs>
          <w:tab w:val="left" w:pos="180"/>
        </w:tabs>
        <w:spacing w:after="120" w:line="276" w:lineRule="auto"/>
        <w:jc w:val="both"/>
      </w:pPr>
      <w:r>
        <w:t>Ë</w:t>
      </w:r>
      <w:r w:rsidR="00E141FA">
        <w:t>sht</w:t>
      </w:r>
      <w:r>
        <w:t>ë</w:t>
      </w:r>
      <w:r w:rsidR="00E141FA">
        <w:t xml:space="preserve"> kryer r</w:t>
      </w:r>
      <w:r w:rsidR="00E141FA" w:rsidRPr="006346B2">
        <w:t>estaurimi i dhe rehabilitimi i Manastiri i Shën Mërisë dhe peizazhit kulturor i P</w:t>
      </w:r>
      <w:r w:rsidR="00E141FA">
        <w:t xml:space="preserve">arkut Arkeologjik të Apolonisë - Vlera  780.000 euro  </w:t>
      </w:r>
      <w:r w:rsidR="00BB1B1C">
        <w:t>e</w:t>
      </w:r>
      <w:r w:rsidR="00E141FA" w:rsidRPr="008A4C2A">
        <w:t xml:space="preserve"> fi</w:t>
      </w:r>
      <w:r w:rsidR="00E141FA">
        <w:t>nanc</w:t>
      </w:r>
      <w:r w:rsidR="00BB1B1C">
        <w:t>uar nga  Delegacioni</w:t>
      </w:r>
      <w:r w:rsidR="00E141FA">
        <w:t xml:space="preserve"> Evropian;</w:t>
      </w:r>
    </w:p>
    <w:p w:rsidR="00E141FA" w:rsidRPr="008A4C2A" w:rsidRDefault="00E141FA" w:rsidP="005936B9">
      <w:pPr>
        <w:numPr>
          <w:ilvl w:val="0"/>
          <w:numId w:val="84"/>
        </w:numPr>
        <w:tabs>
          <w:tab w:val="left" w:pos="180"/>
        </w:tabs>
        <w:spacing w:after="120" w:line="276" w:lineRule="auto"/>
        <w:jc w:val="both"/>
      </w:pPr>
      <w:r>
        <w:t>Jan</w:t>
      </w:r>
      <w:r w:rsidR="00122326">
        <w:t>ë</w:t>
      </w:r>
      <w:r>
        <w:t xml:space="preserve"> restauruar </w:t>
      </w:r>
      <w:proofErr w:type="gramStart"/>
      <w:r>
        <w:t>6  blloqe</w:t>
      </w:r>
      <w:proofErr w:type="gramEnd"/>
      <w:r>
        <w:t xml:space="preserve"> objektesh në Pazarin Gjirokastër</w:t>
      </w:r>
      <w:r w:rsidRPr="006346B2">
        <w:t xml:space="preserve">. </w:t>
      </w:r>
      <w:r>
        <w:t>Vlera  221 823 550 lekë</w:t>
      </w:r>
      <w:r w:rsidRPr="008A4C2A">
        <w:t xml:space="preserve">, financim i </w:t>
      </w:r>
      <w:r>
        <w:t>AADF;</w:t>
      </w:r>
    </w:p>
    <w:p w:rsidR="00E141FA" w:rsidRPr="006346B2" w:rsidRDefault="00E141FA" w:rsidP="005936B9">
      <w:pPr>
        <w:numPr>
          <w:ilvl w:val="0"/>
          <w:numId w:val="84"/>
        </w:numPr>
        <w:tabs>
          <w:tab w:val="left" w:pos="180"/>
        </w:tabs>
        <w:spacing w:after="120" w:line="276" w:lineRule="auto"/>
        <w:jc w:val="both"/>
      </w:pPr>
      <w:r w:rsidRPr="006346B2">
        <w:t>Mirëmbajtje monumenteve të kultit me vlerë 12,3 milionë lekë</w:t>
      </w:r>
      <w:r>
        <w:t xml:space="preserve"> nga buxheti i MK;</w:t>
      </w:r>
    </w:p>
    <w:p w:rsidR="00E141FA" w:rsidRPr="006346B2" w:rsidRDefault="00122326" w:rsidP="005936B9">
      <w:pPr>
        <w:numPr>
          <w:ilvl w:val="0"/>
          <w:numId w:val="84"/>
        </w:numPr>
        <w:tabs>
          <w:tab w:val="left" w:pos="180"/>
        </w:tabs>
        <w:spacing w:after="120" w:line="276" w:lineRule="auto"/>
        <w:jc w:val="both"/>
      </w:pPr>
      <w:r>
        <w:t>Ë</w:t>
      </w:r>
      <w:r w:rsidR="00E141FA">
        <w:t>sht</w:t>
      </w:r>
      <w:r>
        <w:t>ë</w:t>
      </w:r>
      <w:r w:rsidR="00E141FA">
        <w:t xml:space="preserve"> kryer n</w:t>
      </w:r>
      <w:r w:rsidR="00E141FA" w:rsidRPr="003C692D">
        <w:t>dërhyrje restauruese në</w:t>
      </w:r>
      <w:r w:rsidR="00E141FA" w:rsidRPr="008A4C2A">
        <w:rPr>
          <w:i/>
        </w:rPr>
        <w:t xml:space="preserve"> Kishën Fjetja e Shën Mërisë </w:t>
      </w:r>
      <w:r w:rsidR="00E141FA" w:rsidRPr="003C692D">
        <w:t>në Labovën e Kryqit, Gjirokastër”,</w:t>
      </w:r>
      <w:r w:rsidR="00E141FA" w:rsidRPr="006346B2">
        <w:t xml:space="preserve"> në </w:t>
      </w:r>
      <w:r w:rsidR="00E141FA">
        <w:t>fshatin Labovë, Gjirokastër;</w:t>
      </w:r>
    </w:p>
    <w:p w:rsidR="00E141FA" w:rsidRPr="006346B2" w:rsidRDefault="00122326" w:rsidP="005936B9">
      <w:pPr>
        <w:numPr>
          <w:ilvl w:val="0"/>
          <w:numId w:val="84"/>
        </w:numPr>
        <w:tabs>
          <w:tab w:val="left" w:pos="180"/>
        </w:tabs>
        <w:spacing w:after="120" w:line="276" w:lineRule="auto"/>
        <w:jc w:val="both"/>
      </w:pPr>
      <w:r>
        <w:t>Ë</w:t>
      </w:r>
      <w:r w:rsidR="00E141FA">
        <w:t>sht</w:t>
      </w:r>
      <w:r>
        <w:t>ë</w:t>
      </w:r>
      <w:r w:rsidR="00E141FA">
        <w:t xml:space="preserve"> </w:t>
      </w:r>
      <w:r w:rsidR="00E141FA" w:rsidRPr="003C692D">
        <w:t>Restaur</w:t>
      </w:r>
      <w:r w:rsidR="00E141FA">
        <w:t>uar</w:t>
      </w:r>
      <w:r w:rsidR="00E141FA" w:rsidRPr="003C692D">
        <w:t xml:space="preserve"> </w:t>
      </w:r>
      <w:r w:rsidR="00E141FA">
        <w:t>objekti</w:t>
      </w:r>
      <w:r w:rsidR="00E141FA" w:rsidRPr="008A4C2A">
        <w:rPr>
          <w:i/>
        </w:rPr>
        <w:t xml:space="preserve"> </w:t>
      </w:r>
      <w:r w:rsidR="00E141FA">
        <w:rPr>
          <w:i/>
        </w:rPr>
        <w:t>“</w:t>
      </w:r>
      <w:r w:rsidR="00E141FA" w:rsidRPr="008A4C2A">
        <w:rPr>
          <w:i/>
        </w:rPr>
        <w:t>Xhamia e Gjin Aleksit</w:t>
      </w:r>
      <w:r w:rsidR="00E141FA" w:rsidRPr="006346B2">
        <w:t>”</w:t>
      </w:r>
      <w:r w:rsidR="00E141FA">
        <w:t>, në Rusan Delvinë;</w:t>
      </w:r>
    </w:p>
    <w:p w:rsidR="00E141FA" w:rsidRPr="006346B2" w:rsidRDefault="00122326" w:rsidP="005936B9">
      <w:pPr>
        <w:numPr>
          <w:ilvl w:val="0"/>
          <w:numId w:val="84"/>
        </w:numPr>
        <w:tabs>
          <w:tab w:val="left" w:pos="180"/>
        </w:tabs>
        <w:spacing w:after="120" w:line="276" w:lineRule="auto"/>
        <w:jc w:val="both"/>
      </w:pPr>
      <w:r>
        <w:t>Ë</w:t>
      </w:r>
      <w:r w:rsidR="00E141FA">
        <w:t>sht</w:t>
      </w:r>
      <w:r>
        <w:t>ë</w:t>
      </w:r>
      <w:r w:rsidR="00E141FA">
        <w:t xml:space="preserve"> restauruar </w:t>
      </w:r>
      <w:r w:rsidR="00E141FA" w:rsidRPr="003C692D">
        <w:t>Kish</w:t>
      </w:r>
      <w:r w:rsidR="00E141FA">
        <w:t>a</w:t>
      </w:r>
      <w:r w:rsidR="00E141FA" w:rsidRPr="008A4C2A">
        <w:rPr>
          <w:i/>
        </w:rPr>
        <w:t xml:space="preserve"> “Fjetja e Shën Mërisë</w:t>
      </w:r>
      <w:r w:rsidR="00E141FA" w:rsidRPr="006346B2">
        <w:t>”, në fshatin Sopik, Gjirokastër</w:t>
      </w:r>
      <w:r w:rsidR="00E141FA">
        <w:t>;</w:t>
      </w:r>
    </w:p>
    <w:p w:rsidR="00E141FA" w:rsidRDefault="00122326" w:rsidP="005936B9">
      <w:pPr>
        <w:numPr>
          <w:ilvl w:val="0"/>
          <w:numId w:val="84"/>
        </w:numPr>
        <w:tabs>
          <w:tab w:val="left" w:pos="180"/>
        </w:tabs>
        <w:spacing w:after="120" w:line="276" w:lineRule="auto"/>
        <w:jc w:val="both"/>
      </w:pPr>
      <w:r>
        <w:t>Ë</w:t>
      </w:r>
      <w:r w:rsidR="00E141FA">
        <w:t>sht</w:t>
      </w:r>
      <w:r>
        <w:t>ë</w:t>
      </w:r>
      <w:r w:rsidR="00E141FA">
        <w:t xml:space="preserve"> nd</w:t>
      </w:r>
      <w:r>
        <w:t>ë</w:t>
      </w:r>
      <w:r w:rsidR="00E141FA">
        <w:t>rhyr</w:t>
      </w:r>
      <w:r>
        <w:t>ë</w:t>
      </w:r>
      <w:r w:rsidR="00E141FA">
        <w:t xml:space="preserve"> n</w:t>
      </w:r>
      <w:r>
        <w:t>ë</w:t>
      </w:r>
      <w:r w:rsidR="00E141FA">
        <w:t xml:space="preserve"> m</w:t>
      </w:r>
      <w:r>
        <w:t>ë</w:t>
      </w:r>
      <w:r w:rsidR="00E141FA">
        <w:t>nyr</w:t>
      </w:r>
      <w:r>
        <w:t>ë</w:t>
      </w:r>
      <w:r w:rsidR="00E141FA">
        <w:t xml:space="preserve"> emergjente p</w:t>
      </w:r>
      <w:r>
        <w:t>ë</w:t>
      </w:r>
      <w:r w:rsidR="00E141FA">
        <w:t>r</w:t>
      </w:r>
      <w:r w:rsidR="00E141FA" w:rsidRPr="003C692D">
        <w:t xml:space="preserve"> stabilizimin e godinave të Burgut të Spaçit</w:t>
      </w:r>
      <w:r w:rsidR="00E141FA" w:rsidRPr="006346B2">
        <w:t>”</w:t>
      </w:r>
      <w:r w:rsidR="00E141FA">
        <w:t>;</w:t>
      </w:r>
    </w:p>
    <w:p w:rsidR="00E141FA" w:rsidRDefault="00E141FA" w:rsidP="005936B9">
      <w:pPr>
        <w:pStyle w:val="ListParagraph"/>
        <w:numPr>
          <w:ilvl w:val="0"/>
          <w:numId w:val="84"/>
        </w:numPr>
        <w:spacing w:after="120" w:line="276" w:lineRule="auto"/>
        <w:jc w:val="both"/>
      </w:pPr>
      <w:r>
        <w:t>N</w:t>
      </w:r>
      <w:r w:rsidR="00122326">
        <w:t>ë</w:t>
      </w:r>
      <w:r>
        <w:t xml:space="preserve"> drejtim te ruajtjes, mbrojtjes dhe promovimit te trashegimise jomateriale dhe diversitetit kulturor do te realizohen 29 aktivitete (deri tani realizuar 25) nga projekte me thirrje ne fushen e trashegimise jomateriale qe Ministria e Kultures shpall cdo muaj dhjetor;</w:t>
      </w:r>
    </w:p>
    <w:p w:rsidR="00E141FA" w:rsidRDefault="00E141FA" w:rsidP="005936B9">
      <w:pPr>
        <w:pStyle w:val="ListParagraph"/>
        <w:numPr>
          <w:ilvl w:val="0"/>
          <w:numId w:val="84"/>
        </w:numPr>
        <w:spacing w:after="120" w:line="276" w:lineRule="auto"/>
        <w:jc w:val="both"/>
      </w:pPr>
      <w:r>
        <w:t>Jan</w:t>
      </w:r>
      <w:r w:rsidR="00122326">
        <w:t>ë</w:t>
      </w:r>
      <w:r>
        <w:t xml:space="preserve"> realizuar 11 aktivitete ne drejtim te promovimit te trashegimise jomateriale;</w:t>
      </w:r>
    </w:p>
    <w:p w:rsidR="00E141FA" w:rsidRDefault="00E141FA" w:rsidP="005936B9">
      <w:pPr>
        <w:pStyle w:val="ListParagraph"/>
        <w:numPr>
          <w:ilvl w:val="0"/>
          <w:numId w:val="84"/>
        </w:numPr>
        <w:spacing w:after="120" w:line="276" w:lineRule="auto"/>
        <w:jc w:val="both"/>
      </w:pPr>
      <w:r>
        <w:t>Jan</w:t>
      </w:r>
      <w:r w:rsidR="00122326">
        <w:t>ë</w:t>
      </w:r>
      <w:r>
        <w:t xml:space="preserve"> realizuar 2 aktivitete kombetare </w:t>
      </w:r>
      <w:proofErr w:type="gramStart"/>
      <w:r>
        <w:t>te</w:t>
      </w:r>
      <w:proofErr w:type="gramEnd"/>
      <w:r>
        <w:t xml:space="preserve"> trashegimise jomateriale si dhe nje 4 aktivitete te tjera qe kane te bejne me kujtimin e figurave te trashegimise jomateriale dhe programit “Edukimi permes Kultures”. Ne muajin nentor 2017 QKVF do te organizoje me rastin e 105 vjetori te Pavaresise Festivali Folklorik Tipologjik Kombetar te Iso-Polifonie ne qytetin e Vlores;</w:t>
      </w:r>
    </w:p>
    <w:p w:rsidR="00E141FA" w:rsidRDefault="00E141FA" w:rsidP="005936B9">
      <w:pPr>
        <w:pStyle w:val="ListParagraph"/>
        <w:numPr>
          <w:ilvl w:val="0"/>
          <w:numId w:val="84"/>
        </w:numPr>
        <w:spacing w:after="120" w:line="276" w:lineRule="auto"/>
        <w:jc w:val="both"/>
      </w:pPr>
      <w:r>
        <w:t xml:space="preserve">Deri tani ne 36 aktivitete </w:t>
      </w:r>
      <w:proofErr w:type="gramStart"/>
      <w:r>
        <w:t>te</w:t>
      </w:r>
      <w:proofErr w:type="gramEnd"/>
      <w:r>
        <w:t xml:space="preserve"> trashegimise jomateriale te zhvilluara te TJ kane marre pjese 5800 artiste nga te cilet rreth 1000 femioje e te rinj dhe jane ndjekur nga rreth 20.000 spektatore vendas dhe te huaj. Ne keto aktivitete kane marre pjese 4 grupe popullore folklorike nga Kosova me 100 artiste pjesemarres edhe ne kuadrin e Bashkepunimit midis dy vendeve;</w:t>
      </w:r>
    </w:p>
    <w:p w:rsidR="00E141FA" w:rsidRDefault="00E141FA" w:rsidP="005936B9">
      <w:pPr>
        <w:pStyle w:val="ListParagraph"/>
        <w:numPr>
          <w:ilvl w:val="0"/>
          <w:numId w:val="84"/>
        </w:numPr>
        <w:spacing w:after="120" w:line="276" w:lineRule="auto"/>
        <w:jc w:val="both"/>
      </w:pPr>
      <w:r>
        <w:t>N</w:t>
      </w:r>
      <w:r w:rsidR="00122326">
        <w:t>ë</w:t>
      </w:r>
      <w:r>
        <w:t xml:space="preserve"> nism</w:t>
      </w:r>
      <w:r w:rsidR="00122326">
        <w:t>ë</w:t>
      </w:r>
      <w:r>
        <w:t>n “Miku i Monumentit” kane marre pjese ne rang vendi 13.300 nxenes dhe 171 shkolla;</w:t>
      </w:r>
    </w:p>
    <w:p w:rsidR="00E141FA" w:rsidRDefault="00E141FA" w:rsidP="005936B9">
      <w:pPr>
        <w:pStyle w:val="ListParagraph"/>
        <w:numPr>
          <w:ilvl w:val="0"/>
          <w:numId w:val="84"/>
        </w:numPr>
        <w:spacing w:after="120" w:line="276" w:lineRule="auto"/>
        <w:jc w:val="both"/>
      </w:pPr>
      <w:r>
        <w:t>Në programin “Edukimi përmes kultur</w:t>
      </w:r>
      <w:r w:rsidR="00122326">
        <w:t>ë</w:t>
      </w:r>
      <w:r>
        <w:t>s” jane zhvilluar deri tani 15 projekte  t</w:t>
      </w:r>
      <w:r w:rsidR="00122326">
        <w:t>ë</w:t>
      </w:r>
      <w:r>
        <w:t xml:space="preserve"> dedikuara per kete program me pjesëmarrjen e 1800 fëmijeve kryesisht në fushat e mësimit të  valles popullore dhe këngës polifonike;</w:t>
      </w:r>
    </w:p>
    <w:p w:rsidR="00C75272" w:rsidRPr="00C5541C" w:rsidRDefault="00C75272" w:rsidP="00C75272">
      <w:pPr>
        <w:spacing w:line="276" w:lineRule="auto"/>
      </w:pPr>
    </w:p>
    <w:p w:rsidR="00BD6D02" w:rsidRPr="00BD6D02" w:rsidRDefault="00C75272" w:rsidP="00BD6D02">
      <w:pPr>
        <w:spacing w:after="120" w:line="276" w:lineRule="auto"/>
        <w:rPr>
          <w:rFonts w:eastAsia="MS Mincho"/>
          <w:b/>
          <w:lang w:val="sq-AL"/>
        </w:rPr>
      </w:pPr>
      <w:r w:rsidRPr="00C5541C">
        <w:rPr>
          <w:rFonts w:eastAsia="MS Mincho"/>
          <w:b/>
          <w:lang w:val="sq-AL"/>
        </w:rPr>
        <w:t xml:space="preserve">Prioritetet </w:t>
      </w:r>
      <w:r w:rsidR="00280F5A">
        <w:rPr>
          <w:rFonts w:eastAsia="MS Mincho"/>
          <w:b/>
          <w:lang w:val="sq-AL"/>
        </w:rPr>
        <w:t>p</w:t>
      </w:r>
      <w:r w:rsidR="00BD6D02">
        <w:rPr>
          <w:rFonts w:eastAsia="MS Mincho"/>
          <w:b/>
          <w:lang w:val="sq-AL"/>
        </w:rPr>
        <w:t>ë</w:t>
      </w:r>
      <w:r w:rsidR="00280F5A">
        <w:rPr>
          <w:rFonts w:eastAsia="MS Mincho"/>
          <w:b/>
          <w:lang w:val="sq-AL"/>
        </w:rPr>
        <w:t>r</w:t>
      </w:r>
      <w:r w:rsidRPr="00C5541C">
        <w:rPr>
          <w:rFonts w:eastAsia="MS Mincho"/>
          <w:b/>
          <w:lang w:val="sq-AL"/>
        </w:rPr>
        <w:t xml:space="preserve"> </w:t>
      </w:r>
      <w:r w:rsidR="00EA76E9">
        <w:rPr>
          <w:rFonts w:eastAsia="MS Mincho"/>
          <w:b/>
          <w:lang w:val="sq-AL"/>
        </w:rPr>
        <w:t>viti</w:t>
      </w:r>
      <w:r w:rsidR="00280F5A">
        <w:rPr>
          <w:rFonts w:eastAsia="MS Mincho"/>
          <w:b/>
          <w:lang w:val="sq-AL"/>
        </w:rPr>
        <w:t>n</w:t>
      </w:r>
      <w:r w:rsidRPr="00C5541C">
        <w:rPr>
          <w:rFonts w:eastAsia="MS Mincho"/>
          <w:b/>
          <w:lang w:val="sq-AL"/>
        </w:rPr>
        <w:t xml:space="preserve"> 201</w:t>
      </w:r>
      <w:r w:rsidR="00EA76E9">
        <w:rPr>
          <w:rFonts w:eastAsia="MS Mincho"/>
          <w:b/>
          <w:lang w:val="sq-AL"/>
        </w:rPr>
        <w:t>8</w:t>
      </w:r>
    </w:p>
    <w:p w:rsidR="00E141FA" w:rsidRPr="00EA68C2" w:rsidRDefault="00E141FA" w:rsidP="00C75272">
      <w:pPr>
        <w:spacing w:line="276" w:lineRule="auto"/>
        <w:jc w:val="both"/>
        <w:rPr>
          <w:b/>
          <w:lang w:val="sq-AL"/>
        </w:rPr>
      </w:pPr>
      <w:r w:rsidRPr="00EA68C2">
        <w:rPr>
          <w:b/>
          <w:lang w:val="sq-AL"/>
        </w:rPr>
        <w:t>Arti dhe Kultura</w:t>
      </w:r>
    </w:p>
    <w:p w:rsidR="00EA76E9" w:rsidRPr="00EA76E9" w:rsidRDefault="00EA76E9" w:rsidP="002C5B1B">
      <w:pPr>
        <w:pStyle w:val="ListParagraph"/>
        <w:numPr>
          <w:ilvl w:val="0"/>
          <w:numId w:val="85"/>
        </w:numPr>
        <w:spacing w:after="120" w:line="276" w:lineRule="auto"/>
        <w:jc w:val="both"/>
        <w:rPr>
          <w:lang w:val="sq-AL"/>
        </w:rPr>
      </w:pPr>
      <w:r w:rsidRPr="00EA76E9">
        <w:rPr>
          <w:lang w:val="sq-AL"/>
        </w:rPr>
        <w:t>Rikonstruksion dhe rikonceptim të funksionit të Bibliotekës Kombëtare;</w:t>
      </w:r>
    </w:p>
    <w:p w:rsidR="00EA76E9" w:rsidRPr="00EA76E9" w:rsidRDefault="00EA76E9" w:rsidP="002C5B1B">
      <w:pPr>
        <w:pStyle w:val="ListParagraph"/>
        <w:numPr>
          <w:ilvl w:val="0"/>
          <w:numId w:val="85"/>
        </w:numPr>
        <w:spacing w:after="120" w:line="276" w:lineRule="auto"/>
        <w:jc w:val="both"/>
        <w:rPr>
          <w:lang w:val="sq-AL"/>
        </w:rPr>
      </w:pPr>
      <w:r w:rsidRPr="00EA76E9">
        <w:rPr>
          <w:lang w:val="sq-AL"/>
        </w:rPr>
        <w:lastRenderedPageBreak/>
        <w:t>Ngritja e Qendrës Kombëtare të Librit dhe Leximit (QKLL), e cila do të nxisë kulturën e leximit dhe do të mbështesë krijuesit, do të promovojë vlerat më të mira të letrave shqipe dhe të përkthimit të librit të huaj, duke rentabilizuar fondet publike kushtuar librit dhe duke gjenerua</w:t>
      </w:r>
      <w:r>
        <w:rPr>
          <w:lang w:val="sq-AL"/>
        </w:rPr>
        <w:t>r financime nga burime të treta;</w:t>
      </w:r>
    </w:p>
    <w:p w:rsidR="00EA76E9" w:rsidRPr="00EA76E9" w:rsidRDefault="00EA76E9" w:rsidP="002C5B1B">
      <w:pPr>
        <w:pStyle w:val="ListParagraph"/>
        <w:numPr>
          <w:ilvl w:val="0"/>
          <w:numId w:val="85"/>
        </w:numPr>
        <w:spacing w:after="120" w:line="276" w:lineRule="auto"/>
        <w:jc w:val="both"/>
        <w:rPr>
          <w:lang w:val="sq-AL"/>
        </w:rPr>
      </w:pPr>
      <w:r>
        <w:rPr>
          <w:lang w:val="sq-AL"/>
        </w:rPr>
        <w:t>Rishikimi i ligjit për librin;</w:t>
      </w:r>
    </w:p>
    <w:p w:rsidR="00C75272" w:rsidRPr="00EA68C2" w:rsidRDefault="00E141FA" w:rsidP="00E141FA">
      <w:pPr>
        <w:spacing w:line="276" w:lineRule="auto"/>
        <w:contextualSpacing/>
        <w:jc w:val="both"/>
        <w:rPr>
          <w:rFonts w:eastAsia="Calibri"/>
          <w:b/>
          <w:lang w:val="sq-AL"/>
        </w:rPr>
      </w:pPr>
      <w:r w:rsidRPr="00EA68C2">
        <w:rPr>
          <w:rFonts w:eastAsia="Calibri"/>
          <w:b/>
          <w:lang w:val="sq-AL"/>
        </w:rPr>
        <w:t>Trash</w:t>
      </w:r>
      <w:r w:rsidR="00122326" w:rsidRPr="00EA68C2">
        <w:rPr>
          <w:rFonts w:eastAsia="Calibri"/>
          <w:b/>
          <w:lang w:val="sq-AL"/>
        </w:rPr>
        <w:t>ë</w:t>
      </w:r>
      <w:r w:rsidRPr="00EA68C2">
        <w:rPr>
          <w:rFonts w:eastAsia="Calibri"/>
          <w:b/>
          <w:lang w:val="sq-AL"/>
        </w:rPr>
        <w:t>gimia Kulturore</w:t>
      </w:r>
    </w:p>
    <w:p w:rsidR="00E141FA" w:rsidRPr="00E141FA" w:rsidRDefault="00E141FA" w:rsidP="002C5B1B">
      <w:pPr>
        <w:pStyle w:val="ListParagraph"/>
        <w:numPr>
          <w:ilvl w:val="0"/>
          <w:numId w:val="87"/>
        </w:numPr>
        <w:spacing w:after="120" w:line="276" w:lineRule="auto"/>
        <w:jc w:val="both"/>
        <w:rPr>
          <w:lang w:val="sq-AL"/>
        </w:rPr>
      </w:pPr>
      <w:r w:rsidRPr="00E141FA">
        <w:rPr>
          <w:lang w:val="sq-AL"/>
        </w:rPr>
        <w:t>Do te synohet rritja me 30% e pjesemarrjes se femij</w:t>
      </w:r>
      <w:r w:rsidR="00122326">
        <w:rPr>
          <w:lang w:val="sq-AL"/>
        </w:rPr>
        <w:t>ë</w:t>
      </w:r>
      <w:r w:rsidRPr="00E141FA">
        <w:rPr>
          <w:lang w:val="sq-AL"/>
        </w:rPr>
        <w:t>ve dhe te rinjve ne program</w:t>
      </w:r>
      <w:r>
        <w:rPr>
          <w:lang w:val="sq-AL"/>
        </w:rPr>
        <w:t>in</w:t>
      </w:r>
      <w:r w:rsidR="00BE4D79">
        <w:rPr>
          <w:lang w:val="sq-AL"/>
        </w:rPr>
        <w:t xml:space="preserve"> “Edukimi p</w:t>
      </w:r>
      <w:r w:rsidR="00122326">
        <w:rPr>
          <w:lang w:val="sq-AL"/>
        </w:rPr>
        <w:t>ë</w:t>
      </w:r>
      <w:r w:rsidR="00BE4D79">
        <w:rPr>
          <w:lang w:val="sq-AL"/>
        </w:rPr>
        <w:t>rmes kultur</w:t>
      </w:r>
      <w:r w:rsidR="00122326">
        <w:rPr>
          <w:lang w:val="sq-AL"/>
        </w:rPr>
        <w:t>ë</w:t>
      </w:r>
      <w:r w:rsidR="00BE4D79">
        <w:rPr>
          <w:lang w:val="sq-AL"/>
        </w:rPr>
        <w:t>s”</w:t>
      </w:r>
      <w:r w:rsidRPr="00E141FA">
        <w:rPr>
          <w:lang w:val="sq-AL"/>
        </w:rPr>
        <w:t>, ne krahasim me te dhenat e vitit 2017. Ky program gjate vitit 2018 do te kthehet me nje edukim masiv me art, kulture e trashegimi kulturore duke perfshire qe nga nderhyrjen ne kurrikulat shkollore e deri tek perfshirja e te gjitha institucioneve artistike dhe kulturore me p</w:t>
      </w:r>
      <w:r>
        <w:rPr>
          <w:lang w:val="sq-AL"/>
        </w:rPr>
        <w:t>rograme te detajuara edukative;</w:t>
      </w:r>
    </w:p>
    <w:p w:rsidR="00E141FA" w:rsidRPr="00E141FA" w:rsidRDefault="00E141FA" w:rsidP="002C5B1B">
      <w:pPr>
        <w:pStyle w:val="ListParagraph"/>
        <w:numPr>
          <w:ilvl w:val="0"/>
          <w:numId w:val="87"/>
        </w:numPr>
        <w:spacing w:after="120" w:line="276" w:lineRule="auto"/>
        <w:jc w:val="both"/>
        <w:rPr>
          <w:lang w:val="sq-AL"/>
        </w:rPr>
      </w:pPr>
      <w:r w:rsidRPr="00E141FA">
        <w:rPr>
          <w:lang w:val="sq-AL"/>
        </w:rPr>
        <w:t>Në nism</w:t>
      </w:r>
      <w:r w:rsidR="00957B42">
        <w:rPr>
          <w:lang w:val="sq-AL"/>
        </w:rPr>
        <w:t>ë</w:t>
      </w:r>
      <w:r w:rsidRPr="00E141FA">
        <w:rPr>
          <w:lang w:val="sq-AL"/>
        </w:rPr>
        <w:t>n “Miku i Monumenteve”, gjate vitit 2018 do te synohet nje rritje me 20 % e pjesmarrjes se nxen</w:t>
      </w:r>
      <w:r w:rsidR="00957B42">
        <w:rPr>
          <w:lang w:val="sq-AL"/>
        </w:rPr>
        <w:t>ë</w:t>
      </w:r>
      <w:r w:rsidRPr="00E141FA">
        <w:rPr>
          <w:lang w:val="sq-AL"/>
        </w:rPr>
        <w:t>sve ne kete nisme duke rri</w:t>
      </w:r>
      <w:r w:rsidR="00BE4D79">
        <w:rPr>
          <w:lang w:val="sq-AL"/>
        </w:rPr>
        <w:t>tur bashkepunimin e DRKK me DAR;</w:t>
      </w:r>
    </w:p>
    <w:p w:rsidR="00BE4D79" w:rsidRDefault="00E141FA" w:rsidP="002C5B1B">
      <w:pPr>
        <w:pStyle w:val="ListParagraph"/>
        <w:numPr>
          <w:ilvl w:val="0"/>
          <w:numId w:val="87"/>
        </w:numPr>
        <w:spacing w:after="120" w:line="276" w:lineRule="auto"/>
        <w:jc w:val="both"/>
        <w:rPr>
          <w:lang w:val="sq-AL"/>
        </w:rPr>
      </w:pPr>
      <w:r w:rsidRPr="00BE4D79">
        <w:rPr>
          <w:lang w:val="sq-AL"/>
        </w:rPr>
        <w:t>Në aktivitete ne drejtim te ruajtjes, mbrojtjes dhe promovimit te Trashegimise Joamteriale dhe Diversitetit Kulturo, gjate vitit 2018, do të synohet një rritje prej 5 % te financimit te aktiviteteve te kesaj fushe, sidomos atyre qe do te zhvillohet prane objekteve te trashegimise kulturore si Kala, Qendra Historike, Parqe Arkeologjike, etj. per promovimin edhe te vlerave te ketyre objekteve tek spektatoret  vendas dhe te huaj, ne ku</w:t>
      </w:r>
      <w:r w:rsidR="00BE4D79">
        <w:rPr>
          <w:lang w:val="sq-AL"/>
        </w:rPr>
        <w:t>arin edhe te turizmit kulturore;</w:t>
      </w:r>
    </w:p>
    <w:p w:rsidR="00E141FA" w:rsidRPr="00BE4D79" w:rsidRDefault="00BE4D79" w:rsidP="002C5B1B">
      <w:pPr>
        <w:pStyle w:val="ListParagraph"/>
        <w:numPr>
          <w:ilvl w:val="0"/>
          <w:numId w:val="87"/>
        </w:numPr>
        <w:spacing w:after="120" w:line="276" w:lineRule="auto"/>
        <w:jc w:val="both"/>
        <w:rPr>
          <w:lang w:val="sq-AL"/>
        </w:rPr>
      </w:pPr>
      <w:r>
        <w:rPr>
          <w:lang w:val="sq-AL"/>
        </w:rPr>
        <w:t>N</w:t>
      </w:r>
      <w:r w:rsidR="00E141FA" w:rsidRPr="00BE4D79">
        <w:rPr>
          <w:lang w:val="sq-AL"/>
        </w:rPr>
        <w:t>ë kuadrin e Vitit Mbarekombetar të Gj.K.</w:t>
      </w:r>
      <w:r>
        <w:rPr>
          <w:lang w:val="sq-AL"/>
        </w:rPr>
        <w:t xml:space="preserve"> </w:t>
      </w:r>
      <w:r w:rsidR="00E141FA" w:rsidRPr="00BE4D79">
        <w:rPr>
          <w:lang w:val="sq-AL"/>
        </w:rPr>
        <w:t>Sk</w:t>
      </w:r>
      <w:r w:rsidR="00122326">
        <w:rPr>
          <w:lang w:val="sq-AL"/>
        </w:rPr>
        <w:t>ë</w:t>
      </w:r>
      <w:r w:rsidR="00E141FA" w:rsidRPr="00BE4D79">
        <w:rPr>
          <w:lang w:val="sq-AL"/>
        </w:rPr>
        <w:t>nderbeut  do të organizohen disa aktivitete te trashegimise jomateriale sipas nje Kalendari qe do te pergatitet ku deri tani jane propozura 10 aktiv</w:t>
      </w:r>
      <w:r>
        <w:rPr>
          <w:lang w:val="sq-AL"/>
        </w:rPr>
        <w:t>i</w:t>
      </w:r>
      <w:r w:rsidR="00E141FA" w:rsidRPr="00BE4D79">
        <w:rPr>
          <w:lang w:val="sq-AL"/>
        </w:rPr>
        <w:t>tete ne fushen e trashegimise jomateriale.</w:t>
      </w:r>
    </w:p>
    <w:p w:rsidR="00E141FA" w:rsidRPr="00E141FA" w:rsidRDefault="00E141FA" w:rsidP="002C5B1B">
      <w:pPr>
        <w:pStyle w:val="ListParagraph"/>
        <w:numPr>
          <w:ilvl w:val="0"/>
          <w:numId w:val="87"/>
        </w:numPr>
        <w:spacing w:after="120" w:line="276" w:lineRule="auto"/>
        <w:jc w:val="both"/>
        <w:rPr>
          <w:lang w:val="sq-AL"/>
        </w:rPr>
      </w:pPr>
      <w:r w:rsidRPr="00E141FA">
        <w:rPr>
          <w:lang w:val="sq-AL"/>
        </w:rPr>
        <w:t>Gjatë vitit 2018 në kuader te vitit kulturor Austri-Shqiperi do te realizohen disa aktivitete te trashegimise jomateriale sipas Kalendarit te perbashket qe do te miratohet ku jane propozuar 2 aktivitete ne fushen e trashegimise jo</w:t>
      </w:r>
      <w:r w:rsidR="00BE4D79">
        <w:rPr>
          <w:lang w:val="sq-AL"/>
        </w:rPr>
        <w:t>-</w:t>
      </w:r>
      <w:r w:rsidRPr="00E141FA">
        <w:rPr>
          <w:lang w:val="sq-AL"/>
        </w:rPr>
        <w:t>materiale.</w:t>
      </w:r>
    </w:p>
    <w:p w:rsidR="00E141FA" w:rsidRPr="00BE4D79" w:rsidRDefault="00BE4D79" w:rsidP="002C5B1B">
      <w:pPr>
        <w:pStyle w:val="ListParagraph"/>
        <w:numPr>
          <w:ilvl w:val="0"/>
          <w:numId w:val="87"/>
        </w:numPr>
        <w:spacing w:after="120" w:line="276" w:lineRule="auto"/>
        <w:jc w:val="both"/>
        <w:rPr>
          <w:lang w:val="sq-AL"/>
        </w:rPr>
      </w:pPr>
      <w:r w:rsidRPr="00BE4D79">
        <w:rPr>
          <w:lang w:val="sq-AL"/>
        </w:rPr>
        <w:t>N</w:t>
      </w:r>
      <w:r w:rsidR="00E141FA" w:rsidRPr="00BE4D79">
        <w:rPr>
          <w:lang w:val="sq-AL"/>
        </w:rPr>
        <w:t>ë kuader te Vitit Europian te Trashegimise Kulturore do te zhvillohen nje sere aktivitetesh ne fushen e trashegimise jomateriale sipas nje Kalendari te detajuar jane propozuar 5 aktivitete.</w:t>
      </w:r>
    </w:p>
    <w:p w:rsidR="00E141FA" w:rsidRPr="00BE4D79" w:rsidRDefault="00BE4D79" w:rsidP="002C5B1B">
      <w:pPr>
        <w:pStyle w:val="ListParagraph"/>
        <w:numPr>
          <w:ilvl w:val="0"/>
          <w:numId w:val="88"/>
        </w:numPr>
        <w:spacing w:after="120" w:line="276" w:lineRule="auto"/>
        <w:jc w:val="both"/>
        <w:rPr>
          <w:lang w:val="sq-AL"/>
        </w:rPr>
      </w:pPr>
      <w:r w:rsidRPr="00BE4D79">
        <w:rPr>
          <w:lang w:val="sq-AL"/>
        </w:rPr>
        <w:t>D</w:t>
      </w:r>
      <w:r w:rsidR="00E141FA" w:rsidRPr="00BE4D79">
        <w:rPr>
          <w:lang w:val="sq-AL"/>
        </w:rPr>
        <w:t>o t</w:t>
      </w:r>
      <w:r w:rsidR="00122326">
        <w:rPr>
          <w:lang w:val="sq-AL"/>
        </w:rPr>
        <w:t>ë</w:t>
      </w:r>
      <w:r w:rsidR="00E141FA" w:rsidRPr="00BE4D79">
        <w:rPr>
          <w:lang w:val="sq-AL"/>
        </w:rPr>
        <w:t xml:space="preserve"> hartohet Kalendari i aktiviteteve trashegimise jomateriale ne kuadrin e turizmit kulturor, ku do te perfshihen te gjitha qytetet bregdetare jane propozuar 6 aktivtete te trashegimise jametriale;</w:t>
      </w:r>
    </w:p>
    <w:p w:rsidR="00E141FA" w:rsidRPr="00BE4D79" w:rsidRDefault="00E141FA" w:rsidP="002C5B1B">
      <w:pPr>
        <w:pStyle w:val="ListParagraph"/>
        <w:numPr>
          <w:ilvl w:val="0"/>
          <w:numId w:val="88"/>
        </w:numPr>
        <w:spacing w:after="120" w:line="276" w:lineRule="auto"/>
        <w:jc w:val="both"/>
        <w:rPr>
          <w:lang w:val="sq-AL"/>
        </w:rPr>
      </w:pPr>
      <w:r w:rsidRPr="00BE4D79">
        <w:rPr>
          <w:lang w:val="sq-AL"/>
        </w:rPr>
        <w:t>Restaurimi dhe mirëmbajtja e 135 monumenteve të kulturës me vlerë investimi 21 % më shumë krahasuar me 2017;</w:t>
      </w:r>
    </w:p>
    <w:p w:rsidR="00E141FA" w:rsidRPr="00BE4D79" w:rsidRDefault="006A31F5" w:rsidP="002C5B1B">
      <w:pPr>
        <w:pStyle w:val="ListParagraph"/>
        <w:numPr>
          <w:ilvl w:val="0"/>
          <w:numId w:val="88"/>
        </w:numPr>
        <w:spacing w:after="120" w:line="276" w:lineRule="auto"/>
        <w:jc w:val="both"/>
        <w:rPr>
          <w:lang w:val="sq-AL"/>
        </w:rPr>
      </w:pPr>
      <w:r>
        <w:rPr>
          <w:lang w:val="sq-AL"/>
        </w:rPr>
        <w:t>Restaurimi i</w:t>
      </w:r>
      <w:r w:rsidR="00E141FA" w:rsidRPr="00BE4D79">
        <w:rPr>
          <w:lang w:val="sq-AL"/>
        </w:rPr>
        <w:t xml:space="preserve"> monumenteve të Kultit, Kisha e Shën Mërisë së Leshnicë, Kisha e  Shën Kollit Mesopotam;</w:t>
      </w:r>
    </w:p>
    <w:p w:rsidR="00E141FA" w:rsidRPr="00BE4D79" w:rsidRDefault="00E141FA" w:rsidP="002C5B1B">
      <w:pPr>
        <w:pStyle w:val="ListParagraph"/>
        <w:numPr>
          <w:ilvl w:val="0"/>
          <w:numId w:val="88"/>
        </w:numPr>
        <w:spacing w:after="120" w:line="276" w:lineRule="auto"/>
        <w:jc w:val="both"/>
        <w:rPr>
          <w:lang w:val="sq-AL"/>
        </w:rPr>
      </w:pPr>
      <w:r w:rsidRPr="00BE4D79">
        <w:rPr>
          <w:lang w:val="sq-AL"/>
        </w:rPr>
        <w:t>Restaurimi i pikturës murale të Onufrit në kishat e Shelcanit dhe Valshit, Elbasan;</w:t>
      </w:r>
    </w:p>
    <w:p w:rsidR="00E141FA" w:rsidRPr="00BE4D79" w:rsidRDefault="00E141FA" w:rsidP="002C5B1B">
      <w:pPr>
        <w:pStyle w:val="ListParagraph"/>
        <w:numPr>
          <w:ilvl w:val="0"/>
          <w:numId w:val="88"/>
        </w:numPr>
        <w:spacing w:after="120" w:line="276" w:lineRule="auto"/>
        <w:jc w:val="both"/>
        <w:rPr>
          <w:lang w:val="sq-AL"/>
        </w:rPr>
      </w:pPr>
      <w:r w:rsidRPr="00BE4D79">
        <w:rPr>
          <w:lang w:val="sq-AL"/>
        </w:rPr>
        <w:t>Restaurimi i Qendrës Historike të Vuno, Dhërmi , Vlorë;</w:t>
      </w:r>
    </w:p>
    <w:p w:rsidR="00E141FA" w:rsidRPr="00BE4D79" w:rsidRDefault="00BE4D79" w:rsidP="002C5B1B">
      <w:pPr>
        <w:pStyle w:val="ListParagraph"/>
        <w:numPr>
          <w:ilvl w:val="0"/>
          <w:numId w:val="88"/>
        </w:numPr>
        <w:spacing w:after="120" w:line="276" w:lineRule="auto"/>
        <w:jc w:val="both"/>
        <w:rPr>
          <w:lang w:val="sq-AL"/>
        </w:rPr>
      </w:pPr>
      <w:r w:rsidRPr="00BE4D79">
        <w:rPr>
          <w:lang w:val="sq-AL"/>
        </w:rPr>
        <w:t>Do t</w:t>
      </w:r>
      <w:r w:rsidR="00122326">
        <w:rPr>
          <w:lang w:val="sq-AL"/>
        </w:rPr>
        <w:t>ë</w:t>
      </w:r>
      <w:r w:rsidRPr="00BE4D79">
        <w:rPr>
          <w:lang w:val="sq-AL"/>
        </w:rPr>
        <w:t xml:space="preserve"> miratohet l</w:t>
      </w:r>
      <w:r w:rsidR="00E141FA" w:rsidRPr="00BE4D79">
        <w:rPr>
          <w:lang w:val="sq-AL"/>
        </w:rPr>
        <w:t>igji i ri për trashëgiminë kulturore;</w:t>
      </w:r>
    </w:p>
    <w:p w:rsidR="00E141FA" w:rsidRPr="00BE4D79" w:rsidRDefault="00BE4D79" w:rsidP="002C5B1B">
      <w:pPr>
        <w:pStyle w:val="ListParagraph"/>
        <w:numPr>
          <w:ilvl w:val="0"/>
          <w:numId w:val="88"/>
        </w:numPr>
        <w:spacing w:after="120" w:line="276" w:lineRule="auto"/>
        <w:jc w:val="both"/>
        <w:rPr>
          <w:lang w:val="sq-AL"/>
        </w:rPr>
      </w:pPr>
      <w:r>
        <w:rPr>
          <w:lang w:val="sq-AL"/>
        </w:rPr>
        <w:t>Do t</w:t>
      </w:r>
      <w:r w:rsidR="00122326">
        <w:rPr>
          <w:lang w:val="sq-AL"/>
        </w:rPr>
        <w:t>ë</w:t>
      </w:r>
      <w:r>
        <w:rPr>
          <w:lang w:val="sq-AL"/>
        </w:rPr>
        <w:t xml:space="preserve"> zhvillohet </w:t>
      </w:r>
      <w:r w:rsidR="00E141FA" w:rsidRPr="00BE4D79">
        <w:rPr>
          <w:lang w:val="sq-AL"/>
        </w:rPr>
        <w:t>Bienalja e arkitekturës 2018;</w:t>
      </w:r>
    </w:p>
    <w:p w:rsidR="00E141FA" w:rsidRPr="00BE4D79" w:rsidRDefault="00E141FA" w:rsidP="002C5B1B">
      <w:pPr>
        <w:pStyle w:val="ListParagraph"/>
        <w:numPr>
          <w:ilvl w:val="0"/>
          <w:numId w:val="88"/>
        </w:numPr>
        <w:spacing w:after="120" w:line="276" w:lineRule="auto"/>
        <w:jc w:val="both"/>
        <w:rPr>
          <w:lang w:val="sq-AL"/>
        </w:rPr>
      </w:pPr>
      <w:r w:rsidRPr="00BE4D79">
        <w:rPr>
          <w:lang w:val="sq-AL"/>
        </w:rPr>
        <w:t>Hartimi i platformës së re muzeore, projekt idesë dhe  projekt zbatimi</w:t>
      </w:r>
      <w:r w:rsidR="00BE4D79">
        <w:rPr>
          <w:lang w:val="sq-AL"/>
        </w:rPr>
        <w:t>t për Muzeun Historik Kombëtar;</w:t>
      </w:r>
    </w:p>
    <w:p w:rsidR="00E141FA" w:rsidRPr="00BE4D79" w:rsidRDefault="00E141FA" w:rsidP="002C5B1B">
      <w:pPr>
        <w:pStyle w:val="ListParagraph"/>
        <w:numPr>
          <w:ilvl w:val="0"/>
          <w:numId w:val="88"/>
        </w:numPr>
        <w:spacing w:after="120" w:line="276" w:lineRule="auto"/>
        <w:jc w:val="both"/>
        <w:rPr>
          <w:lang w:val="sq-AL"/>
        </w:rPr>
      </w:pPr>
      <w:r w:rsidRPr="00BE4D79">
        <w:rPr>
          <w:lang w:val="sq-AL"/>
        </w:rPr>
        <w:lastRenderedPageBreak/>
        <w:t>Përmirësimi i standardeve të cilësisë së shërbimeve të ofruara në muzetë  kombëtar  dhe parqet arkeologjike  duke  rritur  numrin e vizitorëve me 30 % krahasuar me 2017.</w:t>
      </w:r>
    </w:p>
    <w:p w:rsidR="00E141FA" w:rsidRPr="00C5541C" w:rsidRDefault="00E141FA" w:rsidP="00C75272">
      <w:pPr>
        <w:spacing w:line="276" w:lineRule="auto"/>
        <w:ind w:left="360"/>
        <w:contextualSpacing/>
        <w:jc w:val="both"/>
        <w:rPr>
          <w:rFonts w:eastAsia="Calibri"/>
          <w:lang w:val="sq-AL"/>
        </w:rPr>
      </w:pPr>
    </w:p>
    <w:p w:rsidR="00C75272" w:rsidRPr="00C5541C" w:rsidRDefault="00C75272" w:rsidP="00EA68C2">
      <w:pPr>
        <w:spacing w:after="120" w:line="276" w:lineRule="auto"/>
        <w:rPr>
          <w:rFonts w:eastAsia="MS Mincho"/>
          <w:b/>
          <w:noProof/>
          <w:lang w:val="sq-AL"/>
        </w:rPr>
      </w:pPr>
      <w:r w:rsidRPr="00C5541C">
        <w:rPr>
          <w:rFonts w:eastAsia="MS Mincho"/>
          <w:b/>
          <w:noProof/>
          <w:lang w:val="sq-AL"/>
        </w:rPr>
        <w:t>DREJT</w:t>
      </w:r>
      <w:r>
        <w:rPr>
          <w:rFonts w:eastAsia="MS Mincho"/>
          <w:b/>
          <w:noProof/>
          <w:lang w:val="sq-AL"/>
        </w:rPr>
        <w:t>Ë</w:t>
      </w:r>
      <w:r w:rsidR="00EA68C2">
        <w:rPr>
          <w:rFonts w:eastAsia="MS Mincho"/>
          <w:b/>
          <w:noProof/>
          <w:lang w:val="sq-AL"/>
        </w:rPr>
        <w:t>SIA</w:t>
      </w:r>
    </w:p>
    <w:p w:rsidR="00C75272" w:rsidRPr="00C5541C" w:rsidRDefault="00C428C0" w:rsidP="00C428C0">
      <w:pPr>
        <w:spacing w:after="200" w:line="276" w:lineRule="auto"/>
        <w:contextualSpacing/>
        <w:jc w:val="both"/>
        <w:rPr>
          <w:rFonts w:eastAsiaTheme="minorHAnsi"/>
          <w:b/>
        </w:rPr>
      </w:pPr>
      <w:r>
        <w:rPr>
          <w:rFonts w:eastAsiaTheme="minorHAnsi"/>
          <w:b/>
        </w:rPr>
        <w:t>Arritjet p</w:t>
      </w:r>
      <w:r w:rsidR="00122326">
        <w:rPr>
          <w:rFonts w:eastAsiaTheme="minorHAnsi"/>
          <w:b/>
        </w:rPr>
        <w:t>ë</w:t>
      </w:r>
      <w:r>
        <w:rPr>
          <w:rFonts w:eastAsiaTheme="minorHAnsi"/>
          <w:b/>
        </w:rPr>
        <w:t xml:space="preserve">r vitin </w:t>
      </w:r>
      <w:r w:rsidR="00C75272" w:rsidRPr="00C5541C">
        <w:rPr>
          <w:rFonts w:eastAsiaTheme="minorHAnsi"/>
          <w:b/>
        </w:rPr>
        <w:t>2017</w:t>
      </w:r>
    </w:p>
    <w:p w:rsidR="00C75272" w:rsidRPr="00C428C0" w:rsidRDefault="00C75272" w:rsidP="00957B42">
      <w:pPr>
        <w:pStyle w:val="ListParagraph"/>
        <w:numPr>
          <w:ilvl w:val="0"/>
          <w:numId w:val="95"/>
        </w:numPr>
        <w:spacing w:after="120"/>
        <w:jc w:val="both"/>
      </w:pPr>
      <w:r w:rsidRPr="00C428C0">
        <w:t>Ndërtimi dhe rritja e kapaciteteve të disa burgjeve në vend, p.sh Burgut 313 me standardet e BE-së. Ky është një projekt kompleks i cili do të ulë mbipopullimin dhe do të sjellë përmirësim të ndjeshëm të kushteve të je</w:t>
      </w:r>
      <w:r w:rsidR="00C428C0">
        <w:t>tesës dhe sigurisë nëpër burgje;</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Kryerja e 42 inspektimesh në kuadër të transparencës dhe forcimit të rolit të drejtësisë dhe rritjes së besueshmërisë </w:t>
      </w:r>
      <w:r w:rsidR="00C428C0">
        <w:rPr>
          <w:rFonts w:eastAsiaTheme="minorHAnsi"/>
        </w:rPr>
        <w:t>së institucioneve të drejtësisë;</w:t>
      </w:r>
      <w:r w:rsidRPr="00C428C0">
        <w:rPr>
          <w:rFonts w:eastAsiaTheme="minorHAnsi"/>
        </w:rPr>
        <w:t xml:space="preserve"> </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R</w:t>
      </w:r>
      <w:r w:rsidR="00C428C0" w:rsidRPr="00C428C0">
        <w:rPr>
          <w:rFonts w:eastAsiaTheme="minorHAnsi"/>
        </w:rPr>
        <w:t>r</w:t>
      </w:r>
      <w:r w:rsidRPr="00C428C0">
        <w:rPr>
          <w:rFonts w:eastAsiaTheme="minorHAnsi"/>
        </w:rPr>
        <w:t>itja e numrit të rasteve të asistencës juridike për institucionet shtetërore nëpërmjet këshillit dhe përfaqësimit në Gjykatat Kombëtare d</w:t>
      </w:r>
      <w:r w:rsidR="00C428C0">
        <w:rPr>
          <w:rFonts w:eastAsiaTheme="minorHAnsi"/>
        </w:rPr>
        <w:t>he Ndërkombëtare. 12,040  raste;</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Ndërtimi </w:t>
      </w:r>
      <w:r w:rsidR="00C428C0">
        <w:rPr>
          <w:rFonts w:eastAsiaTheme="minorHAnsi"/>
        </w:rPr>
        <w:t>i</w:t>
      </w:r>
      <w:r w:rsidRPr="00C428C0">
        <w:rPr>
          <w:rFonts w:eastAsiaTheme="minorHAnsi"/>
        </w:rPr>
        <w:t xml:space="preserve"> databazës për bas</w:t>
      </w:r>
      <w:r w:rsidR="00C428C0">
        <w:rPr>
          <w:rFonts w:eastAsiaTheme="minorHAnsi"/>
        </w:rPr>
        <w:t>hkëpunim ndërgjyqësor me jashtë (</w:t>
      </w:r>
      <w:r w:rsidRPr="00C428C0">
        <w:rPr>
          <w:rFonts w:eastAsiaTheme="minorHAnsi"/>
        </w:rPr>
        <w:t>s</w:t>
      </w:r>
      <w:r w:rsidR="00C428C0">
        <w:rPr>
          <w:rFonts w:eastAsiaTheme="minorHAnsi"/>
        </w:rPr>
        <w:t>i</w:t>
      </w:r>
      <w:r w:rsidRPr="00C428C0">
        <w:rPr>
          <w:rFonts w:eastAsiaTheme="minorHAnsi"/>
        </w:rPr>
        <w:t>stem të dhënash)</w:t>
      </w:r>
      <w:r w:rsidR="00C428C0">
        <w:rPr>
          <w:rFonts w:eastAsiaTheme="minorHAnsi"/>
        </w:rPr>
        <w:t>;</w:t>
      </w:r>
    </w:p>
    <w:p w:rsidR="00C428C0"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Forcimi </w:t>
      </w:r>
      <w:r w:rsidR="00C428C0">
        <w:rPr>
          <w:rFonts w:eastAsiaTheme="minorHAnsi"/>
        </w:rPr>
        <w:t>i</w:t>
      </w:r>
      <w:r w:rsidRPr="00C428C0">
        <w:rPr>
          <w:rFonts w:eastAsiaTheme="minorHAnsi"/>
        </w:rPr>
        <w:t xml:space="preserve"> sistemit të të drejtave të pronësisë dhe mbrojtjes së tyre, mbikëqyrja dhe monitorimi I veprimtarisë s</w:t>
      </w:r>
      <w:r w:rsidR="00C428C0" w:rsidRPr="00C428C0">
        <w:rPr>
          <w:rFonts w:eastAsiaTheme="minorHAnsi"/>
        </w:rPr>
        <w:t>ë ATP;</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Në kuadër të transparencës, publikimi në kohë reale dhe përmirësimi I aksesit nga qytetarët për doku</w:t>
      </w:r>
      <w:r w:rsidR="00BD6D02">
        <w:rPr>
          <w:rFonts w:eastAsiaTheme="minorHAnsi"/>
        </w:rPr>
        <w:t>m</w:t>
      </w:r>
      <w:r w:rsidRPr="00C428C0">
        <w:rPr>
          <w:rFonts w:eastAsiaTheme="minorHAnsi"/>
        </w:rPr>
        <w:t xml:space="preserve">entat dhe aktet ligjore e nënligjore, që janë tagër </w:t>
      </w:r>
      <w:r w:rsidR="00C428C0" w:rsidRPr="00C428C0">
        <w:rPr>
          <w:rFonts w:eastAsiaTheme="minorHAnsi"/>
        </w:rPr>
        <w:t>i</w:t>
      </w:r>
      <w:r w:rsidRPr="00C428C0">
        <w:rPr>
          <w:rFonts w:eastAsiaTheme="minorHAnsi"/>
        </w:rPr>
        <w:t xml:space="preserve"> publikimit nga MInistria e Drejtësisë dhe institucionet e saj të varësisë.</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Realizimi </w:t>
      </w:r>
      <w:r w:rsidR="00C428C0" w:rsidRPr="00C428C0">
        <w:rPr>
          <w:rFonts w:eastAsiaTheme="minorHAnsi"/>
        </w:rPr>
        <w:t>i</w:t>
      </w:r>
      <w:r w:rsidRPr="00C428C0">
        <w:rPr>
          <w:rFonts w:eastAsiaTheme="minorHAnsi"/>
        </w:rPr>
        <w:t xml:space="preserve"> anëtarësimit në Shoqatën Evropiane të Burgjeve;</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Informatizimi </w:t>
      </w:r>
      <w:r w:rsidR="00C428C0" w:rsidRPr="00C428C0">
        <w:rPr>
          <w:rFonts w:eastAsiaTheme="minorHAnsi"/>
        </w:rPr>
        <w:t>i</w:t>
      </w:r>
      <w:r w:rsidRPr="00C428C0">
        <w:rPr>
          <w:rFonts w:eastAsiaTheme="minorHAnsi"/>
        </w:rPr>
        <w:t xml:space="preserve"> Drejtorisë së Përgjithshme të Burgjeve, s</w:t>
      </w:r>
      <w:r w:rsidR="00C428C0" w:rsidRPr="00C428C0">
        <w:rPr>
          <w:rFonts w:eastAsiaTheme="minorHAnsi"/>
        </w:rPr>
        <w:t>i</w:t>
      </w:r>
      <w:r w:rsidRPr="00C428C0">
        <w:rPr>
          <w:rFonts w:eastAsiaTheme="minorHAnsi"/>
        </w:rPr>
        <w:t xml:space="preserve">stem informatizimi </w:t>
      </w:r>
      <w:r w:rsidR="00C428C0" w:rsidRPr="00C428C0">
        <w:rPr>
          <w:rFonts w:eastAsiaTheme="minorHAnsi"/>
        </w:rPr>
        <w:t>i</w:t>
      </w:r>
      <w:r w:rsidRPr="00C428C0">
        <w:rPr>
          <w:rFonts w:eastAsiaTheme="minorHAnsi"/>
        </w:rPr>
        <w:t xml:space="preserve"> kartave të të dënuarve;</w:t>
      </w:r>
    </w:p>
    <w:p w:rsidR="00C75272"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Trajtimi human </w:t>
      </w:r>
      <w:r w:rsidR="00C428C0" w:rsidRPr="00C428C0">
        <w:rPr>
          <w:rFonts w:eastAsiaTheme="minorHAnsi"/>
        </w:rPr>
        <w:t>i</w:t>
      </w:r>
      <w:r w:rsidRPr="00C428C0">
        <w:rPr>
          <w:rFonts w:eastAsiaTheme="minorHAnsi"/>
        </w:rPr>
        <w:t xml:space="preserve"> te dënuarve dhe të paraburgosurve, nëpërmjet mbajtjes së normës ushqimore për të dënuarit e papunësuar dhe të miturit në 2615 kalori;</w:t>
      </w:r>
    </w:p>
    <w:p w:rsidR="00C428C0" w:rsidRPr="00C428C0" w:rsidRDefault="00C75272" w:rsidP="002C5B1B">
      <w:pPr>
        <w:pStyle w:val="ListParagraph"/>
        <w:numPr>
          <w:ilvl w:val="0"/>
          <w:numId w:val="89"/>
        </w:numPr>
        <w:spacing w:after="120" w:line="276" w:lineRule="auto"/>
        <w:jc w:val="both"/>
        <w:rPr>
          <w:rFonts w:eastAsiaTheme="minorHAnsi"/>
        </w:rPr>
      </w:pPr>
      <w:r w:rsidRPr="00C428C0">
        <w:rPr>
          <w:rFonts w:eastAsiaTheme="minorHAnsi"/>
        </w:rPr>
        <w:t xml:space="preserve">Realizimi </w:t>
      </w:r>
      <w:r w:rsidR="00C428C0" w:rsidRPr="00C428C0">
        <w:rPr>
          <w:rFonts w:eastAsiaTheme="minorHAnsi"/>
        </w:rPr>
        <w:t>i</w:t>
      </w:r>
      <w:r w:rsidRPr="00C428C0">
        <w:rPr>
          <w:rFonts w:eastAsiaTheme="minorHAnsi"/>
        </w:rPr>
        <w:t xml:space="preserve"> 34 birës</w:t>
      </w:r>
      <w:r w:rsidR="00C428C0" w:rsidRPr="00C428C0">
        <w:rPr>
          <w:rFonts w:eastAsiaTheme="minorHAnsi"/>
        </w:rPr>
        <w:t>imeve brenda dhe jashtë vendit;</w:t>
      </w:r>
    </w:p>
    <w:p w:rsidR="00C75272" w:rsidRPr="00EA68C2" w:rsidRDefault="00C75272" w:rsidP="00C75272">
      <w:pPr>
        <w:pStyle w:val="ListParagraph"/>
        <w:numPr>
          <w:ilvl w:val="0"/>
          <w:numId w:val="89"/>
        </w:numPr>
        <w:spacing w:after="120" w:line="276" w:lineRule="auto"/>
        <w:jc w:val="both"/>
        <w:rPr>
          <w:rFonts w:eastAsiaTheme="minorHAnsi"/>
        </w:rPr>
      </w:pPr>
      <w:r w:rsidRPr="00C428C0">
        <w:rPr>
          <w:rFonts w:eastAsiaTheme="minorHAnsi"/>
        </w:rPr>
        <w:t xml:space="preserve">Përmirësimi dhe zhvillimi </w:t>
      </w:r>
      <w:r w:rsidR="00C428C0" w:rsidRPr="00C428C0">
        <w:rPr>
          <w:rFonts w:eastAsiaTheme="minorHAnsi"/>
        </w:rPr>
        <w:t>i</w:t>
      </w:r>
      <w:r w:rsidRPr="00C428C0">
        <w:rPr>
          <w:rFonts w:eastAsiaTheme="minorHAnsi"/>
        </w:rPr>
        <w:t xml:space="preserve"> infrastrukturës elektronike të gjykatave, në funksion të rritjes së cilësisë dhe transparencës së procesit gjyqësor shërbimit ndaj publikut, me plotësimin e 93% të gjykatave, me 100% të pajisjeve;</w:t>
      </w:r>
    </w:p>
    <w:p w:rsidR="00BB1B1C" w:rsidRPr="00BB1B1C" w:rsidRDefault="004C6134" w:rsidP="00BB1B1C">
      <w:pPr>
        <w:spacing w:after="120" w:line="276" w:lineRule="auto"/>
        <w:rPr>
          <w:rFonts w:eastAsia="MS Mincho"/>
          <w:b/>
          <w:noProof/>
          <w:lang w:val="sq-AL"/>
        </w:rPr>
      </w:pPr>
      <w:r>
        <w:rPr>
          <w:rFonts w:eastAsia="MS Mincho"/>
          <w:b/>
          <w:noProof/>
          <w:lang w:val="sq-AL"/>
        </w:rPr>
        <w:t>Prioritetet p</w:t>
      </w:r>
      <w:r w:rsidR="00122326">
        <w:rPr>
          <w:rFonts w:eastAsia="MS Mincho"/>
          <w:b/>
          <w:noProof/>
          <w:lang w:val="sq-AL"/>
        </w:rPr>
        <w:t>ë</w:t>
      </w:r>
      <w:r>
        <w:rPr>
          <w:rFonts w:eastAsia="MS Mincho"/>
          <w:b/>
          <w:noProof/>
          <w:lang w:val="sq-AL"/>
        </w:rPr>
        <w:t>r vitin 2018</w:t>
      </w:r>
    </w:p>
    <w:p w:rsidR="00C75272" w:rsidRPr="00C5541C" w:rsidRDefault="00C75272" w:rsidP="002C5B1B">
      <w:pPr>
        <w:numPr>
          <w:ilvl w:val="0"/>
          <w:numId w:val="17"/>
        </w:numPr>
        <w:spacing w:after="120" w:line="276" w:lineRule="auto"/>
        <w:jc w:val="both"/>
        <w:rPr>
          <w:rFonts w:eastAsia="Calibri"/>
          <w:lang w:val="sq-AL"/>
        </w:rPr>
      </w:pPr>
      <w:r w:rsidRPr="00C5541C">
        <w:rPr>
          <w:rFonts w:eastAsia="Calibri"/>
          <w:lang w:val="sq-AL"/>
        </w:rPr>
        <w:t xml:space="preserve">Përmirësimi </w:t>
      </w:r>
      <w:r w:rsidR="004C6134">
        <w:rPr>
          <w:rFonts w:eastAsia="Calibri"/>
          <w:lang w:val="sq-AL"/>
        </w:rPr>
        <w:t>i</w:t>
      </w:r>
      <w:r w:rsidRPr="00C5541C">
        <w:rPr>
          <w:rFonts w:eastAsia="Calibri"/>
          <w:lang w:val="sq-AL"/>
        </w:rPr>
        <w:t xml:space="preserve"> kushteve të jetesës të të dënuarve në institucionet e vuajtjes së dënimit  për arritjen e standardeve  evropiane  në trajtimin e këtyre kategorive.</w:t>
      </w:r>
    </w:p>
    <w:p w:rsidR="00C75272" w:rsidRPr="00C5541C" w:rsidRDefault="00C75272" w:rsidP="002C5B1B">
      <w:pPr>
        <w:numPr>
          <w:ilvl w:val="0"/>
          <w:numId w:val="17"/>
        </w:numPr>
        <w:spacing w:after="120" w:line="276" w:lineRule="auto"/>
        <w:jc w:val="both"/>
        <w:rPr>
          <w:rFonts w:eastAsia="Calibri"/>
          <w:lang w:val="sq-AL"/>
        </w:rPr>
      </w:pPr>
      <w:r w:rsidRPr="00C5541C">
        <w:rPr>
          <w:rFonts w:eastAsia="Calibri"/>
          <w:lang w:val="sq-AL"/>
        </w:rPr>
        <w:t>Rritj</w:t>
      </w:r>
      <w:r w:rsidR="004C6134">
        <w:rPr>
          <w:rFonts w:eastAsia="Calibri"/>
          <w:lang w:val="sq-AL"/>
        </w:rPr>
        <w:t>a</w:t>
      </w:r>
      <w:r w:rsidRPr="00C5541C">
        <w:rPr>
          <w:rFonts w:eastAsia="Calibri"/>
          <w:lang w:val="sq-AL"/>
        </w:rPr>
        <w:t xml:space="preserve"> e aksesit të publikut në legjislacionin e konsoliduar, përmes përmirësimit të procesit të publikimit dhe njohjes së legjislacionit Shqiptar dhe Njoftimeve Zyrtare Shqiptare.</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Përmirësimi</w:t>
      </w:r>
      <w:r w:rsidR="00C75272" w:rsidRPr="00C5541C">
        <w:rPr>
          <w:rFonts w:eastAsia="Calibri"/>
          <w:lang w:val="sq-AL"/>
        </w:rPr>
        <w:t xml:space="preserve"> </w:t>
      </w:r>
      <w:r>
        <w:rPr>
          <w:rFonts w:eastAsia="Calibri"/>
          <w:lang w:val="sq-AL"/>
        </w:rPr>
        <w:t>i</w:t>
      </w:r>
      <w:r w:rsidR="00C75272" w:rsidRPr="00C5541C">
        <w:rPr>
          <w:rFonts w:eastAsia="Calibri"/>
          <w:lang w:val="sq-AL"/>
        </w:rPr>
        <w:t xml:space="preserve"> cilësisë së legjislacionit, përmes dhënies së mendimit të specializuar për përmbajtjen e projekteve të akteve ligjore dhe nënligjore, si dhe marrëveshjeve ndërkombëtare, që lidhen në emër të Republikës së Shqipërisë ose të Këshillit të Ministrave.</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R</w:t>
      </w:r>
      <w:r w:rsidR="00C75272" w:rsidRPr="00C5541C">
        <w:rPr>
          <w:rFonts w:eastAsia="Calibri"/>
          <w:lang w:val="sq-AL"/>
        </w:rPr>
        <w:t>ealizimi</w:t>
      </w:r>
      <w:r>
        <w:rPr>
          <w:rFonts w:eastAsia="Calibri"/>
          <w:lang w:val="sq-AL"/>
        </w:rPr>
        <w:t xml:space="preserve"> dhe bashkërendimi</w:t>
      </w:r>
      <w:r w:rsidR="00C75272" w:rsidRPr="00C5541C">
        <w:rPr>
          <w:rFonts w:eastAsia="Calibri"/>
          <w:lang w:val="sq-AL"/>
        </w:rPr>
        <w:t xml:space="preserve"> </w:t>
      </w:r>
      <w:r>
        <w:rPr>
          <w:rFonts w:eastAsia="Calibri"/>
          <w:lang w:val="sq-AL"/>
        </w:rPr>
        <w:t>i</w:t>
      </w:r>
      <w:r w:rsidR="00C75272" w:rsidRPr="00C5541C">
        <w:rPr>
          <w:rFonts w:eastAsia="Calibri"/>
          <w:lang w:val="sq-AL"/>
        </w:rPr>
        <w:t xml:space="preserve"> veprimtarive në fushën e drejtësisë për të miturit, për mbrojtjen e të drejtave dhe të interesave të ligjshëm të tyre, edukimin ligjor dhe parandalimin e shkeljeve të ligjit </w:t>
      </w:r>
      <w:r w:rsidR="00C75272" w:rsidRPr="00C5541C">
        <w:rPr>
          <w:rFonts w:eastAsia="Calibri"/>
          <w:lang w:val="sq-AL"/>
        </w:rPr>
        <w:lastRenderedPageBreak/>
        <w:t xml:space="preserve">nga ana e tyre, si dhe për ushtrimin e shërbimeve ndaj të miturve, nga strukturat përkatëse të sistemit të drejtësisë. </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Mb</w:t>
      </w:r>
      <w:r w:rsidR="00122326">
        <w:rPr>
          <w:rFonts w:eastAsia="Calibri"/>
          <w:lang w:val="sq-AL"/>
        </w:rPr>
        <w:t>ë</w:t>
      </w:r>
      <w:r>
        <w:rPr>
          <w:rFonts w:eastAsia="Calibri"/>
          <w:lang w:val="sq-AL"/>
        </w:rPr>
        <w:t>shtetja e</w:t>
      </w:r>
      <w:r w:rsidR="00C75272" w:rsidRPr="00C5541C">
        <w:rPr>
          <w:rFonts w:eastAsia="Calibri"/>
          <w:lang w:val="sq-AL"/>
        </w:rPr>
        <w:t xml:space="preserve"> veprimtari</w:t>
      </w:r>
      <w:r>
        <w:rPr>
          <w:rFonts w:eastAsia="Calibri"/>
          <w:lang w:val="sq-AL"/>
        </w:rPr>
        <w:t>ve</w:t>
      </w:r>
      <w:r w:rsidR="00C75272" w:rsidRPr="00C5541C">
        <w:rPr>
          <w:rFonts w:eastAsia="Calibri"/>
          <w:lang w:val="sq-AL"/>
        </w:rPr>
        <w:t xml:space="preserve"> shkencore në fushën e drejtësisë dhe përhapjen e edukatës juridike. </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Realizimi i</w:t>
      </w:r>
      <w:r w:rsidR="00C75272" w:rsidRPr="00C5541C">
        <w:rPr>
          <w:rFonts w:eastAsia="Calibri"/>
          <w:lang w:val="sq-AL"/>
        </w:rPr>
        <w:t xml:space="preserve"> bashkëpunimi</w:t>
      </w:r>
      <w:r>
        <w:rPr>
          <w:rFonts w:eastAsia="Calibri"/>
          <w:lang w:val="sq-AL"/>
        </w:rPr>
        <w:t>t</w:t>
      </w:r>
      <w:r w:rsidR="00C75272" w:rsidRPr="00C5541C">
        <w:rPr>
          <w:rFonts w:eastAsia="Calibri"/>
          <w:lang w:val="sq-AL"/>
        </w:rPr>
        <w:t xml:space="preserve"> ndërkombëtar në fushën penale dhe civile dhe në përputhje me marrëveshjet ndërkombëtare, ku shteti shqiptar është palë, realizimin e marrëdhënieve juridiksionale me autoritetet kompetente të shteteve të tjera, si dhe me organizma ndërkombëtarë. </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Nd</w:t>
      </w:r>
      <w:r w:rsidR="00122326">
        <w:rPr>
          <w:rFonts w:eastAsia="Calibri"/>
          <w:lang w:val="sq-AL"/>
        </w:rPr>
        <w:t>ë</w:t>
      </w:r>
      <w:r>
        <w:rPr>
          <w:rFonts w:eastAsia="Calibri"/>
          <w:lang w:val="sq-AL"/>
        </w:rPr>
        <w:t>rmarrja e</w:t>
      </w:r>
      <w:r w:rsidR="00C75272" w:rsidRPr="00C5541C">
        <w:rPr>
          <w:rFonts w:eastAsia="Calibri"/>
          <w:lang w:val="sq-AL"/>
        </w:rPr>
        <w:t xml:space="preserve"> masa</w:t>
      </w:r>
      <w:r>
        <w:rPr>
          <w:rFonts w:eastAsia="Calibri"/>
          <w:lang w:val="sq-AL"/>
        </w:rPr>
        <w:t>ve</w:t>
      </w:r>
      <w:r w:rsidR="00C75272" w:rsidRPr="00C5541C">
        <w:rPr>
          <w:rFonts w:eastAsia="Calibri"/>
          <w:lang w:val="sq-AL"/>
        </w:rPr>
        <w:t xml:space="preserve"> me qëllim konsolidimin e Shërbimit Përmbarimor Gjyqësor Shtetëror në shërbim të rritjes së efiçencës </w:t>
      </w:r>
      <w:r>
        <w:rPr>
          <w:rFonts w:eastAsia="Calibri"/>
          <w:lang w:val="sq-AL"/>
        </w:rPr>
        <w:t>dhe efektivitetit t</w:t>
      </w:r>
      <w:r w:rsidR="00C75272" w:rsidRPr="00C5541C">
        <w:rPr>
          <w:rFonts w:eastAsia="Calibri"/>
          <w:lang w:val="sq-AL"/>
        </w:rPr>
        <w:t>ë tij;</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Forcimi</w:t>
      </w:r>
      <w:r w:rsidR="00C75272" w:rsidRPr="00C5541C">
        <w:rPr>
          <w:rFonts w:eastAsia="Calibri"/>
          <w:lang w:val="sq-AL"/>
        </w:rPr>
        <w:t xml:space="preserve"> dhe përmirës</w:t>
      </w:r>
      <w:r>
        <w:rPr>
          <w:rFonts w:eastAsia="Calibri"/>
          <w:lang w:val="sq-AL"/>
        </w:rPr>
        <w:t>imi i</w:t>
      </w:r>
      <w:r w:rsidR="00C75272" w:rsidRPr="00C5541C">
        <w:rPr>
          <w:rFonts w:eastAsia="Calibri"/>
          <w:lang w:val="sq-AL"/>
        </w:rPr>
        <w:t xml:space="preserve"> kontrolli</w:t>
      </w:r>
      <w:r>
        <w:rPr>
          <w:rFonts w:eastAsia="Calibri"/>
          <w:lang w:val="sq-AL"/>
        </w:rPr>
        <w:t>t</w:t>
      </w:r>
      <w:r w:rsidR="00C75272" w:rsidRPr="00C5541C">
        <w:rPr>
          <w:rFonts w:eastAsia="Calibri"/>
          <w:lang w:val="sq-AL"/>
        </w:rPr>
        <w:t xml:space="preserve"> dhe monitorimi</w:t>
      </w:r>
      <w:r>
        <w:rPr>
          <w:rFonts w:eastAsia="Calibri"/>
          <w:lang w:val="sq-AL"/>
        </w:rPr>
        <w:t>t</w:t>
      </w:r>
      <w:r w:rsidR="00C75272" w:rsidRPr="00C5541C">
        <w:rPr>
          <w:rFonts w:eastAsia="Calibri"/>
          <w:lang w:val="sq-AL"/>
        </w:rPr>
        <w:t xml:space="preserve"> </w:t>
      </w:r>
      <w:r>
        <w:rPr>
          <w:rFonts w:eastAsia="Calibri"/>
          <w:lang w:val="sq-AL"/>
        </w:rPr>
        <w:t>t</w:t>
      </w:r>
      <w:r w:rsidR="00122326">
        <w:rPr>
          <w:rFonts w:eastAsia="Calibri"/>
          <w:lang w:val="sq-AL"/>
        </w:rPr>
        <w:t>ë</w:t>
      </w:r>
      <w:r w:rsidR="00C75272" w:rsidRPr="00C5541C">
        <w:rPr>
          <w:rFonts w:eastAsia="Calibri"/>
          <w:lang w:val="sq-AL"/>
        </w:rPr>
        <w:t xml:space="preserve"> ekzekutimit të titujve ekzekutive, përmes Drejtorisë së Përgjithshme të Përmbarimit.</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Rr</w:t>
      </w:r>
      <w:r w:rsidR="00C75272" w:rsidRPr="00C5541C">
        <w:rPr>
          <w:rFonts w:eastAsia="Calibri"/>
          <w:lang w:val="sq-AL"/>
        </w:rPr>
        <w:t>itj</w:t>
      </w:r>
      <w:r>
        <w:rPr>
          <w:rFonts w:eastAsia="Calibri"/>
          <w:lang w:val="sq-AL"/>
        </w:rPr>
        <w:t>a</w:t>
      </w:r>
      <w:r w:rsidR="00C75272" w:rsidRPr="00C5541C">
        <w:rPr>
          <w:rFonts w:eastAsia="Calibri"/>
          <w:lang w:val="sq-AL"/>
        </w:rPr>
        <w:t xml:space="preserve"> e efikasitetit të zgjidhjeve alternative të mosmarrëveshjeve, përmes rritjes së kapaciteteve institucionale dhe përmirësimit të kuadrit ligjor.</w:t>
      </w:r>
    </w:p>
    <w:p w:rsidR="00C75272" w:rsidRPr="00C5541C" w:rsidRDefault="004C6134" w:rsidP="002C5B1B">
      <w:pPr>
        <w:numPr>
          <w:ilvl w:val="0"/>
          <w:numId w:val="17"/>
        </w:numPr>
        <w:spacing w:after="120" w:line="276" w:lineRule="auto"/>
        <w:jc w:val="both"/>
        <w:rPr>
          <w:rFonts w:eastAsia="Times New Roman"/>
          <w:lang w:val="sq-AL"/>
        </w:rPr>
      </w:pPr>
      <w:r>
        <w:rPr>
          <w:rFonts w:eastAsia="Calibri"/>
          <w:lang w:val="sq-AL"/>
        </w:rPr>
        <w:t>Trajtimi</w:t>
      </w:r>
      <w:r w:rsidR="00C75272" w:rsidRPr="00C5541C">
        <w:rPr>
          <w:rFonts w:eastAsia="Calibri"/>
          <w:lang w:val="sq-AL"/>
        </w:rPr>
        <w:t xml:space="preserve"> </w:t>
      </w:r>
      <w:r>
        <w:rPr>
          <w:rFonts w:eastAsia="Calibri"/>
          <w:lang w:val="sq-AL"/>
        </w:rPr>
        <w:t>i</w:t>
      </w:r>
      <w:r w:rsidR="00C75272" w:rsidRPr="00C5541C">
        <w:rPr>
          <w:rFonts w:eastAsia="Calibri"/>
          <w:lang w:val="sq-AL"/>
        </w:rPr>
        <w:t xml:space="preserve"> të miturve në sistemin e vuajtjes së dënimit, në përputhje me legjislacionin evropian, si dhe në respektim të politikave të BE-së për trajtimin e të miturve në sistemin e vuajtjes së dënimit. Rritja e kapaciteteve të stafeve të IEVP-ve mbi instrumentet e punës për përgatitjen për ri-integrim të fëmijëve në konflikt me ligjin. Hartim i kurikulave për trajtimin e të miturve në shkolla riedukimi.</w:t>
      </w:r>
    </w:p>
    <w:p w:rsidR="00C75272" w:rsidRPr="00C5541C" w:rsidRDefault="004C6134" w:rsidP="002C5B1B">
      <w:pPr>
        <w:numPr>
          <w:ilvl w:val="0"/>
          <w:numId w:val="17"/>
        </w:numPr>
        <w:spacing w:after="120" w:line="276" w:lineRule="auto"/>
        <w:jc w:val="both"/>
        <w:rPr>
          <w:rFonts w:eastAsia="Calibri"/>
          <w:lang w:val="sq-AL"/>
        </w:rPr>
      </w:pPr>
      <w:r>
        <w:rPr>
          <w:rFonts w:eastAsia="Calibri"/>
          <w:lang w:val="sq-AL"/>
        </w:rPr>
        <w:t>Mb</w:t>
      </w:r>
      <w:r w:rsidR="00122326">
        <w:rPr>
          <w:rFonts w:eastAsia="Calibri"/>
          <w:lang w:val="sq-AL"/>
        </w:rPr>
        <w:t>ë</w:t>
      </w:r>
      <w:r>
        <w:rPr>
          <w:rFonts w:eastAsia="Calibri"/>
          <w:lang w:val="sq-AL"/>
        </w:rPr>
        <w:t>shtetja e zbatimit t</w:t>
      </w:r>
      <w:r w:rsidR="00122326">
        <w:rPr>
          <w:rFonts w:eastAsia="Calibri"/>
          <w:lang w:val="sq-AL"/>
        </w:rPr>
        <w:t>ë</w:t>
      </w:r>
      <w:r w:rsidR="00C75272" w:rsidRPr="00C5541C">
        <w:rPr>
          <w:rFonts w:eastAsia="Calibri"/>
          <w:lang w:val="sq-AL"/>
        </w:rPr>
        <w:t xml:space="preserve"> </w:t>
      </w:r>
      <w:r w:rsidRPr="00C5541C">
        <w:rPr>
          <w:rFonts w:eastAsia="Calibri"/>
          <w:lang w:val="sq-AL"/>
        </w:rPr>
        <w:t xml:space="preserve">Reformës </w:t>
      </w:r>
      <w:r>
        <w:rPr>
          <w:rFonts w:eastAsia="Calibri"/>
          <w:lang w:val="sq-AL"/>
        </w:rPr>
        <w:t>n</w:t>
      </w:r>
      <w:r w:rsidRPr="00C5541C">
        <w:rPr>
          <w:rFonts w:eastAsia="Calibri"/>
          <w:lang w:val="sq-AL"/>
        </w:rPr>
        <w:t>ë Drejtësi</w:t>
      </w:r>
      <w:r w:rsidR="00C75272" w:rsidRPr="00C5541C">
        <w:rPr>
          <w:rFonts w:eastAsia="Calibri"/>
          <w:lang w:val="sq-AL"/>
        </w:rPr>
        <w:t>, e cila prek drejtpërdrejt sistemin gjyqësor dhe kompetencat e Ministrisë së Drejtësisë në funksionimin dhe organizimin e këtij sistemi.</w:t>
      </w:r>
      <w:r w:rsidR="00C75272" w:rsidRPr="00C5541C">
        <w:rPr>
          <w:rFonts w:eastAsia="Calibri"/>
          <w:b/>
          <w:lang w:val="sq-AL"/>
        </w:rPr>
        <w:t xml:space="preserve"> </w:t>
      </w:r>
    </w:p>
    <w:p w:rsidR="00E91936" w:rsidRPr="00BD6D02" w:rsidRDefault="00E91936" w:rsidP="00BD6D02">
      <w:pPr>
        <w:spacing w:after="120" w:line="259" w:lineRule="auto"/>
        <w:rPr>
          <w:b/>
          <w:lang w:val="sq-AL"/>
        </w:rPr>
      </w:pPr>
    </w:p>
    <w:p w:rsidR="00B0121D" w:rsidRPr="00D94792" w:rsidRDefault="00B0121D" w:rsidP="002C5B1B">
      <w:pPr>
        <w:pStyle w:val="Heading1"/>
        <w:numPr>
          <w:ilvl w:val="0"/>
          <w:numId w:val="14"/>
        </w:numPr>
        <w:tabs>
          <w:tab w:val="clear" w:pos="5954"/>
          <w:tab w:val="center" w:pos="426"/>
        </w:tabs>
        <w:spacing w:line="276" w:lineRule="auto"/>
        <w:jc w:val="both"/>
        <w:rPr>
          <w:bCs/>
          <w:iCs/>
          <w:caps w:val="0"/>
          <w:sz w:val="28"/>
          <w:lang w:val="sq-AL"/>
        </w:rPr>
      </w:pPr>
      <w:bookmarkStart w:id="65" w:name="_Toc495672766"/>
      <w:bookmarkStart w:id="66" w:name="_Toc496520390"/>
      <w:r w:rsidRPr="00D94792">
        <w:rPr>
          <w:bCs/>
          <w:iCs/>
          <w:caps w:val="0"/>
          <w:sz w:val="28"/>
          <w:lang w:val="sq-AL"/>
        </w:rPr>
        <w:t>REFORMAT NË BUXHETIN 201</w:t>
      </w:r>
      <w:r w:rsidR="005838CF" w:rsidRPr="00D94792">
        <w:rPr>
          <w:bCs/>
          <w:iCs/>
          <w:caps w:val="0"/>
          <w:sz w:val="28"/>
          <w:lang w:val="sq-AL"/>
        </w:rPr>
        <w:t>8</w:t>
      </w:r>
      <w:bookmarkEnd w:id="65"/>
      <w:bookmarkEnd w:id="66"/>
    </w:p>
    <w:p w:rsidR="00B0121D" w:rsidRPr="00D94792" w:rsidRDefault="00B0121D" w:rsidP="003C5B4B">
      <w:pPr>
        <w:spacing w:line="276" w:lineRule="auto"/>
        <w:rPr>
          <w:lang w:val="sq-AL"/>
        </w:rPr>
      </w:pPr>
    </w:p>
    <w:p w:rsidR="006D51B9" w:rsidRPr="00EA68C2" w:rsidRDefault="00CB089C" w:rsidP="00EA68C2">
      <w:pPr>
        <w:rPr>
          <w:b/>
          <w:sz w:val="28"/>
        </w:rPr>
      </w:pPr>
      <w:bookmarkStart w:id="67" w:name="_Toc495672767"/>
      <w:bookmarkStart w:id="68" w:name="_Toc495996993"/>
      <w:r w:rsidRPr="002A4958">
        <w:rPr>
          <w:b/>
          <w:sz w:val="28"/>
        </w:rPr>
        <w:t xml:space="preserve">5.1 </w:t>
      </w:r>
      <w:r w:rsidR="00B0121D" w:rsidRPr="002A4958">
        <w:rPr>
          <w:b/>
          <w:sz w:val="28"/>
        </w:rPr>
        <w:t>REFORMA NË SEKTORIN E UJIT</w:t>
      </w:r>
      <w:bookmarkEnd w:id="67"/>
      <w:bookmarkEnd w:id="68"/>
    </w:p>
    <w:p w:rsidR="0007543A" w:rsidRDefault="0007543A" w:rsidP="00EA68C2">
      <w:pPr>
        <w:spacing w:before="240" w:after="120" w:line="276" w:lineRule="auto"/>
        <w:jc w:val="both"/>
        <w:rPr>
          <w:b/>
          <w:lang w:val="nb-NO"/>
        </w:rPr>
      </w:pPr>
      <w:r w:rsidRPr="0007543A">
        <w:rPr>
          <w:b/>
          <w:lang w:val="nb-NO"/>
        </w:rPr>
        <w:t>Synimet kryesore të refomës janë:</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Mirëadministrimi i burimeve ujore;</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Rritja e mbulimit me shërbimin e furnizimit me ujë të pijshëm në vlerën 2-3%;</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Rritja e numrit të orëve të shërbimit;</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Reduktimi i humbjeve fizike në rrjet;</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Rikuperimi i kostove të operimit dhe mirëmbajtjes;</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Qendrueshmëria financiare e ndërmarrjeve;</w:t>
      </w:r>
    </w:p>
    <w:p w:rsidR="0007543A" w:rsidRPr="0007543A" w:rsidRDefault="0007543A" w:rsidP="00EA68C2">
      <w:pPr>
        <w:pStyle w:val="ListParagraph"/>
        <w:numPr>
          <w:ilvl w:val="0"/>
          <w:numId w:val="114"/>
        </w:numPr>
        <w:spacing w:after="120" w:line="276" w:lineRule="auto"/>
        <w:jc w:val="both"/>
        <w:rPr>
          <w:rFonts w:eastAsiaTheme="minorEastAsia"/>
          <w:lang w:val="nb-NO"/>
        </w:rPr>
      </w:pPr>
      <w:r w:rsidRPr="0007543A">
        <w:rPr>
          <w:rFonts w:eastAsiaTheme="minorEastAsia"/>
          <w:lang w:val="nb-NO"/>
        </w:rPr>
        <w:t>Ekzistenca e tarifave të drejta kundrejt shërbimit</w:t>
      </w:r>
      <w:r>
        <w:rPr>
          <w:rFonts w:eastAsiaTheme="minorEastAsia"/>
          <w:lang w:val="nb-NO"/>
        </w:rPr>
        <w:t>.</w:t>
      </w:r>
    </w:p>
    <w:p w:rsidR="005936B9" w:rsidRDefault="005936B9" w:rsidP="005936B9">
      <w:pPr>
        <w:pStyle w:val="ListParagraph"/>
        <w:spacing w:before="240" w:after="240" w:line="276" w:lineRule="auto"/>
        <w:ind w:left="0"/>
        <w:jc w:val="both"/>
        <w:rPr>
          <w:b/>
          <w:lang w:val="nb-NO"/>
        </w:rPr>
      </w:pPr>
      <w:r w:rsidRPr="005936B9">
        <w:rPr>
          <w:b/>
          <w:lang w:val="nb-NO"/>
        </w:rPr>
        <w:t>Arritjet konkrete p</w:t>
      </w:r>
      <w:r w:rsidR="00FA59AB">
        <w:rPr>
          <w:b/>
          <w:lang w:val="nb-NO"/>
        </w:rPr>
        <w:t>ë</w:t>
      </w:r>
      <w:r w:rsidRPr="005936B9">
        <w:rPr>
          <w:b/>
          <w:lang w:val="nb-NO"/>
        </w:rPr>
        <w:t>r vitin 2017</w:t>
      </w:r>
    </w:p>
    <w:p w:rsid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Plani i investimeve në këtë sektor për vitin 2017 është 3.533.000.000 lekë, ndërsa me financim të huaj është 4.987.000.000 lekë</w:t>
      </w:r>
      <w:r>
        <w:rPr>
          <w:rFonts w:eastAsiaTheme="minorEastAsia"/>
          <w:lang w:val="nb-NO"/>
        </w:rPr>
        <w:t>;</w:t>
      </w:r>
    </w:p>
    <w:p w:rsidR="0007543A" w:rsidRPr="0007543A" w:rsidRDefault="0007543A" w:rsidP="0007543A">
      <w:pPr>
        <w:spacing w:before="240" w:after="240" w:line="276" w:lineRule="auto"/>
        <w:ind w:left="360"/>
        <w:jc w:val="both"/>
        <w:rPr>
          <w:rFonts w:eastAsiaTheme="minorEastAsia"/>
          <w:i/>
          <w:lang w:val="nb-NO"/>
        </w:rPr>
      </w:pPr>
      <w:r w:rsidRPr="0007543A">
        <w:rPr>
          <w:rFonts w:eastAsiaTheme="minorEastAsia"/>
          <w:i/>
          <w:lang w:val="nb-NO"/>
        </w:rPr>
        <w:t>Uj</w:t>
      </w:r>
      <w:r w:rsidR="00EA68C2">
        <w:rPr>
          <w:rFonts w:eastAsiaTheme="minorEastAsia"/>
          <w:i/>
          <w:lang w:val="nb-NO"/>
        </w:rPr>
        <w:t>ë</w:t>
      </w:r>
      <w:r w:rsidRPr="0007543A">
        <w:rPr>
          <w:rFonts w:eastAsiaTheme="minorEastAsia"/>
          <w:i/>
          <w:lang w:val="nb-NO"/>
        </w:rPr>
        <w:t>sjell</w:t>
      </w:r>
      <w:r w:rsidR="00EA68C2">
        <w:rPr>
          <w:rFonts w:eastAsiaTheme="minorEastAsia"/>
          <w:i/>
          <w:lang w:val="nb-NO"/>
        </w:rPr>
        <w:t>ë</w:t>
      </w:r>
      <w:r w:rsidRPr="0007543A">
        <w:rPr>
          <w:rFonts w:eastAsiaTheme="minorEastAsia"/>
          <w:i/>
          <w:lang w:val="nb-NO"/>
        </w:rPr>
        <w:t>s:</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Në territorin urban mbulohet më shërbim ujësjellësi në masën 90%</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lastRenderedPageBreak/>
        <w:t>Në territorin rural mbulohet me shërbim ujësjellësi në masën 62.3%</w:t>
      </w:r>
      <w:r>
        <w:rPr>
          <w:rFonts w:eastAsiaTheme="minorEastAsia"/>
          <w:lang w:val="nb-NO"/>
        </w:rPr>
        <w:t>;</w:t>
      </w:r>
    </w:p>
    <w:p w:rsid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Në gjithë territorin (urban+rural) mbulohet me shërbim ujësjellësi në masën 79.4%</w:t>
      </w:r>
      <w:r>
        <w:rPr>
          <w:rFonts w:eastAsiaTheme="minorEastAsia"/>
          <w:lang w:val="nb-NO"/>
        </w:rPr>
        <w:t>;</w:t>
      </w:r>
    </w:p>
    <w:p w:rsidR="0007543A" w:rsidRPr="0007543A" w:rsidRDefault="0007543A" w:rsidP="0007543A">
      <w:pPr>
        <w:spacing w:before="240" w:after="240" w:line="276" w:lineRule="auto"/>
        <w:ind w:left="360"/>
        <w:jc w:val="both"/>
        <w:rPr>
          <w:rFonts w:eastAsiaTheme="minorEastAsia"/>
          <w:i/>
          <w:lang w:val="nb-NO"/>
        </w:rPr>
      </w:pPr>
      <w:r w:rsidRPr="0007543A">
        <w:rPr>
          <w:rFonts w:eastAsiaTheme="minorEastAsia"/>
          <w:i/>
          <w:lang w:val="nb-NO"/>
        </w:rPr>
        <w:t>Kanalizime:</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Niveli i shërbimit vetëm K.U.Z</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Në territorin urban mbulohet me shërbim KUZ në masën 70.2%</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Në territorin rural mbulohet me shërbim KUZ në masën 6.6%</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Në gjithë territorin (urban+rural) mbulohet mbulohet më shërbim KUZ në masën 50.6%</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Niveli i shërbimit të Trajtimit të Ujrave të Ndotura në masën 13%</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Furnizimi me ujë në rang republike (mesatarisht) është me 12.04 orë/ditë</w:t>
      </w:r>
      <w:r>
        <w:rPr>
          <w:rFonts w:eastAsiaTheme="minorEastAsia"/>
          <w:lang w:val="nb-NO"/>
        </w:rPr>
        <w:t>;</w:t>
      </w:r>
    </w:p>
    <w:p w:rsidR="0007543A" w:rsidRPr="0007543A" w:rsidRDefault="0007543A" w:rsidP="0007543A">
      <w:pPr>
        <w:pStyle w:val="ListParagraph"/>
        <w:numPr>
          <w:ilvl w:val="0"/>
          <w:numId w:val="114"/>
        </w:numPr>
        <w:spacing w:before="240" w:after="240" w:line="276" w:lineRule="auto"/>
        <w:jc w:val="both"/>
        <w:rPr>
          <w:rFonts w:eastAsiaTheme="minorEastAsia"/>
          <w:lang w:val="nb-NO"/>
        </w:rPr>
      </w:pPr>
      <w:r w:rsidRPr="0007543A">
        <w:rPr>
          <w:rFonts w:eastAsiaTheme="minorEastAsia"/>
          <w:lang w:val="nb-NO"/>
        </w:rPr>
        <w:t>Norma e arkëtimit (mesatarisht) është në masën 89.51%.</w:t>
      </w:r>
    </w:p>
    <w:p w:rsidR="005936B9" w:rsidRPr="005936B9" w:rsidRDefault="005936B9" w:rsidP="0007543A">
      <w:pPr>
        <w:spacing w:before="240" w:after="240" w:line="276" w:lineRule="auto"/>
        <w:jc w:val="both"/>
        <w:rPr>
          <w:rFonts w:eastAsiaTheme="minorEastAsia"/>
          <w:b/>
          <w:lang w:val="nb-NO"/>
        </w:rPr>
      </w:pPr>
      <w:r w:rsidRPr="005936B9">
        <w:rPr>
          <w:rFonts w:eastAsiaTheme="minorEastAsia"/>
          <w:b/>
          <w:lang w:val="nb-NO"/>
        </w:rPr>
        <w:t>Prioritetet p</w:t>
      </w:r>
      <w:r w:rsidR="00FA59AB">
        <w:rPr>
          <w:rFonts w:eastAsiaTheme="minorEastAsia"/>
          <w:b/>
          <w:lang w:val="nb-NO"/>
        </w:rPr>
        <w:t>ë</w:t>
      </w:r>
      <w:r w:rsidRPr="005936B9">
        <w:rPr>
          <w:rFonts w:eastAsiaTheme="minorEastAsia"/>
          <w:b/>
          <w:lang w:val="nb-NO"/>
        </w:rPr>
        <w:t>r vitin 2018</w:t>
      </w:r>
    </w:p>
    <w:p w:rsidR="005936B9" w:rsidRPr="0061635A" w:rsidRDefault="005936B9" w:rsidP="0007543A">
      <w:pPr>
        <w:spacing w:before="240" w:after="240" w:line="276" w:lineRule="auto"/>
        <w:jc w:val="both"/>
        <w:rPr>
          <w:rFonts w:eastAsiaTheme="minorEastAsia"/>
          <w:lang w:val="nb-NO"/>
        </w:rPr>
      </w:pPr>
      <w:r w:rsidRPr="0061635A">
        <w:rPr>
          <w:rFonts w:eastAsiaTheme="minorEastAsia"/>
          <w:lang w:val="nb-NO"/>
        </w:rPr>
        <w:t>Si rezultat i investimeve dhe mirëmenaxhimit (aksionit për ujin), pritshmëritë deri në fund të vitit 2018 janë:</w:t>
      </w:r>
    </w:p>
    <w:p w:rsidR="005936B9" w:rsidRPr="0061635A" w:rsidRDefault="005936B9" w:rsidP="0007543A">
      <w:pPr>
        <w:pStyle w:val="ListParagraph"/>
        <w:numPr>
          <w:ilvl w:val="0"/>
          <w:numId w:val="120"/>
        </w:numPr>
        <w:spacing w:after="120" w:line="276" w:lineRule="auto"/>
        <w:jc w:val="both"/>
        <w:rPr>
          <w:rFonts w:eastAsiaTheme="minorEastAsia"/>
          <w:lang w:val="nb-NO"/>
        </w:rPr>
      </w:pPr>
      <w:r w:rsidRPr="0061635A">
        <w:rPr>
          <w:rFonts w:eastAsiaTheme="minorEastAsia"/>
          <w:lang w:val="nb-NO"/>
        </w:rPr>
        <w:t>Shtimi i 200 mijë lidhjeve/kontratave për ujin e pijshëm</w:t>
      </w:r>
      <w:r w:rsidR="00FA59AB">
        <w:rPr>
          <w:rFonts w:eastAsiaTheme="minorEastAsia"/>
          <w:lang w:val="nb-NO"/>
        </w:rPr>
        <w:t>;</w:t>
      </w:r>
    </w:p>
    <w:p w:rsidR="005936B9" w:rsidRPr="0061635A" w:rsidRDefault="005936B9" w:rsidP="0007543A">
      <w:pPr>
        <w:pStyle w:val="ListParagraph"/>
        <w:numPr>
          <w:ilvl w:val="0"/>
          <w:numId w:val="120"/>
        </w:numPr>
        <w:spacing w:after="120" w:line="276" w:lineRule="auto"/>
        <w:jc w:val="both"/>
        <w:rPr>
          <w:rFonts w:eastAsiaTheme="minorEastAsia"/>
          <w:lang w:val="nb-NO"/>
        </w:rPr>
      </w:pPr>
      <w:r w:rsidRPr="0061635A">
        <w:rPr>
          <w:rFonts w:eastAsiaTheme="minorEastAsia"/>
          <w:lang w:val="nb-NO"/>
        </w:rPr>
        <w:t>Shtimi i 100 mijë lidhjeve në sistemin e kanalizimeve</w:t>
      </w:r>
      <w:r w:rsidR="00FA59AB">
        <w:rPr>
          <w:rFonts w:eastAsiaTheme="minorEastAsia"/>
          <w:lang w:val="nb-NO"/>
        </w:rPr>
        <w:t>;</w:t>
      </w:r>
    </w:p>
    <w:p w:rsidR="005936B9" w:rsidRPr="0061635A" w:rsidRDefault="005936B9" w:rsidP="0007543A">
      <w:pPr>
        <w:pStyle w:val="ListParagraph"/>
        <w:numPr>
          <w:ilvl w:val="0"/>
          <w:numId w:val="120"/>
        </w:numPr>
        <w:spacing w:after="120" w:line="276" w:lineRule="auto"/>
        <w:jc w:val="both"/>
        <w:rPr>
          <w:rFonts w:eastAsiaTheme="minorEastAsia"/>
          <w:lang w:val="nb-NO"/>
        </w:rPr>
      </w:pPr>
      <w:r w:rsidRPr="0061635A">
        <w:rPr>
          <w:rFonts w:eastAsiaTheme="minorEastAsia"/>
          <w:lang w:val="nb-NO"/>
        </w:rPr>
        <w:t>Zgjatja e orarit të furnizimit me ujë nga 12 orë/ditë – 14 orë/ditë</w:t>
      </w:r>
      <w:r w:rsidR="00FA59AB">
        <w:rPr>
          <w:rFonts w:eastAsiaTheme="minorEastAsia"/>
          <w:lang w:val="nb-NO"/>
        </w:rPr>
        <w:t>;</w:t>
      </w:r>
    </w:p>
    <w:p w:rsidR="005936B9" w:rsidRPr="0061635A" w:rsidRDefault="005936B9" w:rsidP="0007543A">
      <w:pPr>
        <w:pStyle w:val="ListParagraph"/>
        <w:numPr>
          <w:ilvl w:val="0"/>
          <w:numId w:val="120"/>
        </w:numPr>
        <w:spacing w:after="120" w:line="276" w:lineRule="auto"/>
        <w:jc w:val="both"/>
        <w:rPr>
          <w:rFonts w:eastAsiaTheme="minorEastAsia"/>
          <w:lang w:val="nb-NO"/>
        </w:rPr>
      </w:pPr>
      <w:r w:rsidRPr="0061635A">
        <w:rPr>
          <w:rFonts w:eastAsiaTheme="minorEastAsia"/>
          <w:lang w:val="nb-NO"/>
        </w:rPr>
        <w:t>Norma e arketimit 95% nga 91%</w:t>
      </w:r>
      <w:r w:rsidR="00FA59AB">
        <w:rPr>
          <w:rFonts w:eastAsiaTheme="minorEastAsia"/>
          <w:lang w:val="nb-NO"/>
        </w:rPr>
        <w:t>;</w:t>
      </w:r>
    </w:p>
    <w:p w:rsidR="00BD6D02" w:rsidRPr="00EA68C2" w:rsidRDefault="005936B9" w:rsidP="003C5B4B">
      <w:pPr>
        <w:pStyle w:val="ListParagraph"/>
        <w:numPr>
          <w:ilvl w:val="0"/>
          <w:numId w:val="120"/>
        </w:numPr>
        <w:spacing w:after="120" w:line="276" w:lineRule="auto"/>
        <w:jc w:val="both"/>
        <w:rPr>
          <w:rFonts w:eastAsiaTheme="minorEastAsia"/>
          <w:lang w:val="nb-NO"/>
        </w:rPr>
      </w:pPr>
      <w:r w:rsidRPr="0061635A">
        <w:rPr>
          <w:rFonts w:eastAsiaTheme="minorEastAsia"/>
          <w:lang w:val="nb-NO"/>
        </w:rPr>
        <w:t xml:space="preserve">Raporti i mbulimit të </w:t>
      </w:r>
      <w:r w:rsidR="0007543A">
        <w:rPr>
          <w:rFonts w:eastAsiaTheme="minorEastAsia"/>
          <w:lang w:val="nb-NO"/>
        </w:rPr>
        <w:t>Kostove të Operimit (KTO)</w:t>
      </w:r>
      <w:r w:rsidRPr="0061635A">
        <w:rPr>
          <w:rFonts w:eastAsiaTheme="minorEastAsia"/>
          <w:lang w:val="nb-NO"/>
        </w:rPr>
        <w:t xml:space="preserve"> me të ardhurat 90% nga 81.2% </w:t>
      </w:r>
      <w:r w:rsidR="00FA59AB">
        <w:rPr>
          <w:rFonts w:eastAsiaTheme="minorEastAsia"/>
          <w:lang w:val="nb-NO"/>
        </w:rPr>
        <w:t>.</w:t>
      </w:r>
    </w:p>
    <w:p w:rsidR="00BD6D02" w:rsidRPr="00D94792" w:rsidRDefault="00BD6D02" w:rsidP="003C5B4B">
      <w:pPr>
        <w:spacing w:line="276" w:lineRule="auto"/>
        <w:rPr>
          <w:lang w:val="sq-AL"/>
        </w:rPr>
      </w:pPr>
    </w:p>
    <w:p w:rsidR="00B0121D" w:rsidRPr="002A4958" w:rsidRDefault="00CB089C" w:rsidP="002A4958">
      <w:pPr>
        <w:rPr>
          <w:b/>
          <w:sz w:val="28"/>
        </w:rPr>
      </w:pPr>
      <w:bookmarkStart w:id="69" w:name="_Toc495672768"/>
      <w:bookmarkStart w:id="70" w:name="_Toc495996994"/>
      <w:r w:rsidRPr="002A4958">
        <w:rPr>
          <w:b/>
          <w:sz w:val="28"/>
        </w:rPr>
        <w:t xml:space="preserve">5.2 </w:t>
      </w:r>
      <w:r w:rsidR="00B0121D" w:rsidRPr="002A4958">
        <w:rPr>
          <w:b/>
          <w:sz w:val="28"/>
        </w:rPr>
        <w:t>REFORMA NË DREJTËSI</w:t>
      </w:r>
      <w:bookmarkEnd w:id="69"/>
      <w:bookmarkEnd w:id="70"/>
    </w:p>
    <w:p w:rsidR="00C66251" w:rsidRDefault="00C66251" w:rsidP="00C66251">
      <w:pPr>
        <w:pStyle w:val="Bulleted"/>
        <w:numPr>
          <w:ilvl w:val="0"/>
          <w:numId w:val="0"/>
        </w:numPr>
        <w:spacing w:line="276" w:lineRule="auto"/>
        <w:jc w:val="both"/>
        <w:rPr>
          <w:rFonts w:ascii="Times New Roman" w:hAnsi="Times New Roman"/>
          <w:sz w:val="24"/>
          <w:szCs w:val="24"/>
          <w:lang w:val="sq-AL"/>
        </w:rPr>
      </w:pPr>
      <w:bookmarkStart w:id="71" w:name="_Toc495672769"/>
    </w:p>
    <w:p w:rsidR="00C66251" w:rsidRPr="00C66251" w:rsidRDefault="00C66251" w:rsidP="00C66251">
      <w:pPr>
        <w:pStyle w:val="Bulleted"/>
        <w:numPr>
          <w:ilvl w:val="0"/>
          <w:numId w:val="0"/>
        </w:numPr>
        <w:spacing w:line="276" w:lineRule="auto"/>
        <w:jc w:val="both"/>
        <w:rPr>
          <w:rFonts w:ascii="Times New Roman" w:hAnsi="Times New Roman"/>
          <w:sz w:val="24"/>
          <w:szCs w:val="24"/>
          <w:lang w:val="sq-AL"/>
        </w:rPr>
      </w:pPr>
      <w:r w:rsidRPr="00C66251">
        <w:rPr>
          <w:rFonts w:ascii="Times New Roman" w:hAnsi="Times New Roman"/>
          <w:sz w:val="24"/>
          <w:szCs w:val="24"/>
          <w:lang w:val="sq-AL"/>
        </w:rPr>
        <w:t>Reforma në Drejtësi ka synim të përgjithshëm krijimin e një sistemi drejtësie të besueshëm, të drejtë, të pavarur, profesional dhe të orientuar drejt shërbimit të hapur, të përgjegjshëm dhe efiçient, i cili të gëzojë besimin e publikut, të mbështesë zhvillimin e qëndrueshëm social dhe ekonomik të vendit dhe të mundësojë integrimin e tij në familjen evropiane.</w:t>
      </w:r>
    </w:p>
    <w:p w:rsidR="00C66251" w:rsidRPr="00C66251" w:rsidRDefault="00C66251" w:rsidP="00C66251">
      <w:pPr>
        <w:pStyle w:val="Bulleted"/>
        <w:numPr>
          <w:ilvl w:val="0"/>
          <w:numId w:val="0"/>
        </w:numPr>
        <w:spacing w:line="276" w:lineRule="auto"/>
        <w:jc w:val="both"/>
        <w:rPr>
          <w:rFonts w:ascii="Times New Roman" w:hAnsi="Times New Roman"/>
          <w:sz w:val="24"/>
          <w:szCs w:val="24"/>
          <w:lang w:val="sq-AL"/>
        </w:rPr>
      </w:pPr>
      <w:r w:rsidRPr="00C66251">
        <w:rPr>
          <w:rFonts w:ascii="Times New Roman" w:hAnsi="Times New Roman"/>
          <w:sz w:val="24"/>
          <w:szCs w:val="24"/>
          <w:lang w:val="sq-AL"/>
        </w:rPr>
        <w:t xml:space="preserve">Reforma në drejtesi është një ndër prioritetet kyçe të Qeverisë Shqiptare dhe një ndër çështjet më të përshtatshme që duhen trajtuar në kudër të pesë përparësive kyçe për hapjen e negociatave të anëtarësimit me BE-në. </w:t>
      </w:r>
    </w:p>
    <w:p w:rsidR="00C66251" w:rsidRPr="00C66251" w:rsidRDefault="00C66251" w:rsidP="00C66251">
      <w:pPr>
        <w:pStyle w:val="Bulleted"/>
        <w:numPr>
          <w:ilvl w:val="0"/>
          <w:numId w:val="0"/>
        </w:numPr>
        <w:spacing w:line="276" w:lineRule="auto"/>
        <w:jc w:val="both"/>
        <w:rPr>
          <w:rFonts w:ascii="Times New Roman" w:hAnsi="Times New Roman"/>
          <w:sz w:val="24"/>
          <w:szCs w:val="24"/>
          <w:lang w:val="sq-AL"/>
        </w:rPr>
      </w:pPr>
      <w:r w:rsidRPr="00C66251">
        <w:rPr>
          <w:rFonts w:ascii="Times New Roman" w:hAnsi="Times New Roman"/>
          <w:sz w:val="24"/>
          <w:szCs w:val="24"/>
          <w:lang w:val="sq-AL"/>
        </w:rPr>
        <w:t>Këto sfida reflektohen gjithashtu në përqasjen e qeverisë ndaj çështjeve përkatëse për trajtimin e pesë përparësive kyçe për hapjen e procesit të anëtarësimit me BE-në dhe lidhen me reformën e gjyqësorit dhe luftën kundër korrupsionit.</w:t>
      </w:r>
    </w:p>
    <w:p w:rsidR="00C66251" w:rsidRPr="00C66251" w:rsidRDefault="00C66251" w:rsidP="00C66251">
      <w:pPr>
        <w:spacing w:line="276" w:lineRule="auto"/>
      </w:pPr>
    </w:p>
    <w:p w:rsidR="00EA68C2" w:rsidRDefault="00EA68C2" w:rsidP="003A48E3">
      <w:pPr>
        <w:pStyle w:val="Bulleted"/>
        <w:numPr>
          <w:ilvl w:val="0"/>
          <w:numId w:val="0"/>
        </w:numPr>
        <w:spacing w:line="276" w:lineRule="auto"/>
        <w:ind w:left="357" w:hanging="357"/>
        <w:jc w:val="both"/>
        <w:rPr>
          <w:rFonts w:ascii="Times New Roman" w:hAnsi="Times New Roman"/>
          <w:b/>
          <w:sz w:val="24"/>
          <w:szCs w:val="24"/>
          <w:lang w:val="en-US"/>
        </w:rPr>
      </w:pPr>
    </w:p>
    <w:p w:rsidR="00EA68C2" w:rsidRDefault="00EA68C2" w:rsidP="003A48E3">
      <w:pPr>
        <w:pStyle w:val="Bulleted"/>
        <w:numPr>
          <w:ilvl w:val="0"/>
          <w:numId w:val="0"/>
        </w:numPr>
        <w:spacing w:line="276" w:lineRule="auto"/>
        <w:ind w:left="357" w:hanging="357"/>
        <w:jc w:val="both"/>
        <w:rPr>
          <w:rFonts w:ascii="Times New Roman" w:hAnsi="Times New Roman"/>
          <w:b/>
          <w:sz w:val="24"/>
          <w:szCs w:val="24"/>
          <w:lang w:val="en-US"/>
        </w:rPr>
      </w:pPr>
    </w:p>
    <w:p w:rsidR="00C66251" w:rsidRPr="00EA68C2" w:rsidRDefault="00C66251" w:rsidP="00EA68C2">
      <w:pPr>
        <w:pStyle w:val="Bulleted"/>
        <w:numPr>
          <w:ilvl w:val="0"/>
          <w:numId w:val="0"/>
        </w:numPr>
        <w:spacing w:after="120" w:line="276" w:lineRule="auto"/>
        <w:ind w:left="360" w:hanging="360"/>
        <w:jc w:val="both"/>
        <w:rPr>
          <w:rFonts w:ascii="Times New Roman" w:hAnsi="Times New Roman"/>
          <w:b/>
          <w:sz w:val="24"/>
          <w:szCs w:val="24"/>
          <w:lang w:val="en-US"/>
        </w:rPr>
      </w:pPr>
      <w:r w:rsidRPr="00C66251">
        <w:rPr>
          <w:rFonts w:ascii="Times New Roman" w:hAnsi="Times New Roman"/>
          <w:b/>
          <w:sz w:val="24"/>
          <w:szCs w:val="24"/>
          <w:lang w:val="en-US"/>
        </w:rPr>
        <w:lastRenderedPageBreak/>
        <w:t>Synimet e Reformës në Drejtësi n</w:t>
      </w:r>
      <w:r w:rsidR="00122326">
        <w:rPr>
          <w:rFonts w:ascii="Times New Roman" w:hAnsi="Times New Roman"/>
          <w:b/>
          <w:sz w:val="24"/>
          <w:szCs w:val="24"/>
          <w:lang w:val="en-US"/>
        </w:rPr>
        <w:t>ë</w:t>
      </w:r>
      <w:r w:rsidRPr="00C66251">
        <w:rPr>
          <w:rFonts w:ascii="Times New Roman" w:hAnsi="Times New Roman"/>
          <w:b/>
          <w:sz w:val="24"/>
          <w:szCs w:val="24"/>
          <w:lang w:val="en-US"/>
        </w:rPr>
        <w:t xml:space="preserve"> periudhën afatmesme/afatgjat</w:t>
      </w:r>
      <w:r w:rsidR="00122326">
        <w:rPr>
          <w:rFonts w:ascii="Times New Roman" w:hAnsi="Times New Roman"/>
          <w:b/>
          <w:sz w:val="24"/>
          <w:szCs w:val="24"/>
          <w:lang w:val="en-US"/>
        </w:rPr>
        <w:t>ë</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sz w:val="24"/>
          <w:szCs w:val="24"/>
          <w:lang w:val="sq-AL"/>
        </w:rPr>
        <w:t>Të forcoj</w:t>
      </w:r>
      <w:r w:rsidR="00BB1B1C">
        <w:rPr>
          <w:rFonts w:ascii="Times New Roman" w:hAnsi="Times New Roman"/>
          <w:sz w:val="24"/>
          <w:szCs w:val="24"/>
          <w:lang w:val="sq-AL"/>
        </w:rPr>
        <w:t>ë</w:t>
      </w:r>
      <w:r w:rsidRPr="00C66251">
        <w:rPr>
          <w:rFonts w:ascii="Times New Roman" w:hAnsi="Times New Roman"/>
          <w:sz w:val="24"/>
          <w:szCs w:val="24"/>
          <w:lang w:val="sq-AL"/>
        </w:rPr>
        <w:t xml:space="preserve"> llogaridhënien e gjyqtarëve dhe prokurorëve dhe të luftojë korrupsionin brenda  sistemit të drejtësisë;</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sz w:val="24"/>
          <w:szCs w:val="24"/>
          <w:lang w:val="sq-AL"/>
        </w:rPr>
        <w:t>Të demonstrojë progres të mëtejshëm me synim krijimin e precedentëve solidë të hetimeve, ndjekjes penale dhe dënimeve në luftën kundër korrupsionit dhe krimit të organizuar në të gjitha nivelet;</w:t>
      </w:r>
    </w:p>
    <w:p w:rsidR="00BB1B1C" w:rsidRPr="00EA68C2" w:rsidRDefault="00C66251" w:rsidP="003A48E3">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sz w:val="24"/>
          <w:szCs w:val="24"/>
          <w:lang w:val="sq-AL"/>
        </w:rPr>
        <w:t>Të përmirësojë mekanizmat institucionale për të nxitur përpjekjet për ta sjellë legjislacionin ekzistues për drejtësinë për të mitur në përputhje me standarde ndërkombëtare; të bëjë progres të mëtejshëm me zbatimin e strategjisë 2012-2020 për të drejtat e pronësisë dhe proceset e regjistrimit, kthimit dhe kompensimit të pronave.</w:t>
      </w:r>
    </w:p>
    <w:p w:rsidR="00C66251" w:rsidRPr="00C66251" w:rsidRDefault="00C66251" w:rsidP="00EA68C2">
      <w:pPr>
        <w:spacing w:after="120" w:line="276" w:lineRule="auto"/>
        <w:jc w:val="both"/>
        <w:rPr>
          <w:b/>
        </w:rPr>
      </w:pPr>
      <w:r w:rsidRPr="00C66251">
        <w:rPr>
          <w:b/>
        </w:rPr>
        <w:t>Objektiva s</w:t>
      </w:r>
      <w:r w:rsidR="00EA68C2">
        <w:rPr>
          <w:b/>
        </w:rPr>
        <w:t>trategjikë të nivelit të lartë:</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1</w:t>
      </w:r>
      <w:r w:rsidRPr="00C66251">
        <w:rPr>
          <w:rFonts w:ascii="Times New Roman" w:hAnsi="Times New Roman"/>
          <w:sz w:val="24"/>
          <w:szCs w:val="24"/>
          <w:lang w:val="sq-AL"/>
        </w:rPr>
        <w:t>: Forcimi i pavarësisë, efikasitetit, efektivitetit dhe llogaridhënies së institucioneve të sistemit të drejtësisë.</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2</w:t>
      </w:r>
      <w:r w:rsidRPr="00C66251">
        <w:rPr>
          <w:rFonts w:ascii="Times New Roman" w:hAnsi="Times New Roman"/>
          <w:bCs/>
          <w:iCs/>
          <w:sz w:val="24"/>
          <w:szCs w:val="24"/>
          <w:lang w:val="sq-AL"/>
        </w:rPr>
        <w:t>: Konsolidimi i arsimit ligjor dhe trajnimit, si dhe specializimi i magjistratëve dhe personelit të gjykatave.</w:t>
      </w:r>
    </w:p>
    <w:p w:rsidR="00C66251" w:rsidRPr="00C66251" w:rsidRDefault="00C66251" w:rsidP="00BB1B1C">
      <w:pPr>
        <w:pStyle w:val="Bulleted"/>
        <w:spacing w:after="120" w:line="276" w:lineRule="auto"/>
        <w:ind w:left="720" w:hanging="360"/>
        <w:jc w:val="both"/>
        <w:rPr>
          <w:rFonts w:ascii="Times New Roman" w:hAnsi="Times New Roman"/>
          <w:bCs/>
          <w:iCs/>
          <w:sz w:val="24"/>
          <w:szCs w:val="24"/>
          <w:lang w:val="sq-AL"/>
        </w:rPr>
      </w:pPr>
      <w:r w:rsidRPr="00C66251">
        <w:rPr>
          <w:rFonts w:ascii="Times New Roman" w:hAnsi="Times New Roman"/>
          <w:b/>
          <w:bCs/>
          <w:iCs/>
          <w:sz w:val="24"/>
          <w:szCs w:val="24"/>
          <w:lang w:val="sq-AL"/>
        </w:rPr>
        <w:t>Objektivi 3:</w:t>
      </w:r>
      <w:r w:rsidRPr="00C66251">
        <w:rPr>
          <w:rFonts w:ascii="Times New Roman" w:hAnsi="Times New Roman"/>
          <w:bCs/>
          <w:iCs/>
          <w:sz w:val="24"/>
          <w:szCs w:val="24"/>
          <w:lang w:val="sq-AL"/>
        </w:rPr>
        <w:t xml:space="preserve"> Përmirësimi i operimit të sistemit gjyqësor duke forcuar efikasitetin, transparencën dhe qasjen e tij në përputhje me standardet evropiane.</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4:</w:t>
      </w:r>
      <w:r w:rsidRPr="00C66251">
        <w:rPr>
          <w:rFonts w:ascii="Times New Roman" w:hAnsi="Times New Roman"/>
          <w:sz w:val="24"/>
          <w:szCs w:val="24"/>
          <w:lang w:val="sq-AL"/>
        </w:rPr>
        <w:t xml:space="preserve"> Rritja e efikasitetit të sistemit gjyqësor penal dhe masave antikorrupsion përmes konsolidimit të misionit, statusit dhe funksioneve të institucioneve të drejtësisë penale.</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5:</w:t>
      </w:r>
      <w:r w:rsidRPr="00C66251">
        <w:rPr>
          <w:rFonts w:ascii="Times New Roman" w:hAnsi="Times New Roman"/>
          <w:sz w:val="24"/>
          <w:szCs w:val="24"/>
          <w:lang w:val="sq-AL"/>
        </w:rPr>
        <w:t xml:space="preserve"> Përmirësimi i  funksionimit të sistemit të drejtësisë duke siguruar sisteme moderne elektronike dhe lehtësira për zhvillimin e bashkëpunimit të fuqishëm ndërkombëtar.</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6:</w:t>
      </w:r>
      <w:r w:rsidRPr="00C66251">
        <w:rPr>
          <w:rFonts w:ascii="Times New Roman" w:hAnsi="Times New Roman"/>
          <w:sz w:val="24"/>
          <w:szCs w:val="24"/>
          <w:lang w:val="sq-AL"/>
        </w:rPr>
        <w:t xml:space="preserve"> Shtimi i mbrojtjes së të drejtave të njeriut në sistemin ndëshkimor.</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7:</w:t>
      </w:r>
      <w:r w:rsidRPr="00C66251">
        <w:rPr>
          <w:rFonts w:ascii="Times New Roman" w:hAnsi="Times New Roman"/>
          <w:sz w:val="24"/>
          <w:szCs w:val="24"/>
          <w:lang w:val="sq-AL"/>
        </w:rPr>
        <w:t xml:space="preserve"> Përmirësimi i funksionimit të Ministrisë së Drejtësisë dhe institucioneve të saj vartëse.</w:t>
      </w:r>
    </w:p>
    <w:p w:rsidR="00C66251" w:rsidRPr="00C66251" w:rsidRDefault="00C66251" w:rsidP="00BB1B1C">
      <w:pPr>
        <w:pStyle w:val="Bulleted"/>
        <w:spacing w:after="120" w:line="276" w:lineRule="auto"/>
        <w:ind w:left="720" w:hanging="360"/>
        <w:jc w:val="both"/>
        <w:rPr>
          <w:rFonts w:ascii="Times New Roman" w:hAnsi="Times New Roman"/>
          <w:sz w:val="24"/>
          <w:szCs w:val="24"/>
          <w:lang w:val="sq-AL"/>
        </w:rPr>
      </w:pPr>
      <w:r w:rsidRPr="00C66251">
        <w:rPr>
          <w:rFonts w:ascii="Times New Roman" w:hAnsi="Times New Roman"/>
          <w:b/>
          <w:sz w:val="24"/>
          <w:szCs w:val="24"/>
          <w:lang w:val="sq-AL"/>
        </w:rPr>
        <w:t>Objektivi 8:</w:t>
      </w:r>
      <w:r w:rsidRPr="00C66251">
        <w:rPr>
          <w:rFonts w:ascii="Times New Roman" w:hAnsi="Times New Roman"/>
          <w:sz w:val="24"/>
          <w:szCs w:val="24"/>
          <w:lang w:val="sq-AL"/>
        </w:rPr>
        <w:t xml:space="preserve"> Përmirësimi i cilësisë së shërbimit të profesioneve ligjore dhe vendosja e një kuadri ligjor për arbitrazhin.</w:t>
      </w:r>
    </w:p>
    <w:p w:rsidR="00C66251" w:rsidRPr="00C66251" w:rsidRDefault="00C66251" w:rsidP="00C66251">
      <w:pPr>
        <w:pStyle w:val="Bulleted"/>
        <w:numPr>
          <w:ilvl w:val="0"/>
          <w:numId w:val="0"/>
        </w:numPr>
        <w:spacing w:line="276" w:lineRule="auto"/>
        <w:ind w:left="714"/>
        <w:jc w:val="both"/>
        <w:rPr>
          <w:rFonts w:ascii="Times New Roman" w:hAnsi="Times New Roman"/>
          <w:sz w:val="24"/>
          <w:szCs w:val="24"/>
          <w:lang w:val="sq-AL"/>
        </w:rPr>
      </w:pPr>
    </w:p>
    <w:p w:rsidR="00C66251" w:rsidRPr="00C66251" w:rsidRDefault="00C66251" w:rsidP="003A48E3">
      <w:pPr>
        <w:pStyle w:val="Bulleted"/>
        <w:numPr>
          <w:ilvl w:val="0"/>
          <w:numId w:val="0"/>
        </w:numPr>
        <w:spacing w:line="276" w:lineRule="auto"/>
        <w:ind w:left="357" w:hanging="357"/>
        <w:jc w:val="both"/>
        <w:rPr>
          <w:rFonts w:ascii="Times New Roman" w:hAnsi="Times New Roman"/>
          <w:b/>
          <w:sz w:val="24"/>
          <w:szCs w:val="24"/>
        </w:rPr>
      </w:pPr>
      <w:r w:rsidRPr="00C66251">
        <w:rPr>
          <w:rFonts w:ascii="Times New Roman" w:hAnsi="Times New Roman"/>
          <w:b/>
          <w:sz w:val="24"/>
          <w:szCs w:val="24"/>
        </w:rPr>
        <w:t>Arritjet për vitin 2017</w:t>
      </w:r>
    </w:p>
    <w:p w:rsidR="00C66251" w:rsidRPr="00C66251" w:rsidRDefault="00C66251" w:rsidP="00C66251">
      <w:pPr>
        <w:pStyle w:val="Bulleted"/>
        <w:numPr>
          <w:ilvl w:val="0"/>
          <w:numId w:val="0"/>
        </w:numPr>
        <w:spacing w:line="276" w:lineRule="auto"/>
        <w:ind w:left="360"/>
        <w:jc w:val="both"/>
        <w:rPr>
          <w:rFonts w:ascii="Times New Roman" w:hAnsi="Times New Roman"/>
          <w:b/>
          <w:sz w:val="24"/>
          <w:szCs w:val="24"/>
        </w:rPr>
      </w:pPr>
    </w:p>
    <w:p w:rsidR="00C66251" w:rsidRPr="00C66251" w:rsidRDefault="00C66251" w:rsidP="00C66251">
      <w:pPr>
        <w:pStyle w:val="ListParagraph"/>
        <w:spacing w:line="276" w:lineRule="auto"/>
        <w:ind w:left="360"/>
        <w:contextualSpacing/>
        <w:jc w:val="both"/>
      </w:pPr>
      <w:r w:rsidRPr="00C66251">
        <w:t>Gjatë vitit 2017, Parlamenti i Shqipërisë ka miratuar një s</w:t>
      </w:r>
      <w:r w:rsidR="00122326">
        <w:t>ë</w:t>
      </w:r>
      <w:r w:rsidRPr="00C66251">
        <w:t>r</w:t>
      </w:r>
      <w:r w:rsidR="00122326">
        <w:t>ë</w:t>
      </w:r>
      <w:r w:rsidRPr="00C66251">
        <w:t xml:space="preserve"> ligjesh si frut i bashkëpunimit </w:t>
      </w:r>
      <w:proofErr w:type="gramStart"/>
      <w:r w:rsidRPr="00C66251">
        <w:t>te</w:t>
      </w:r>
      <w:proofErr w:type="gramEnd"/>
      <w:r w:rsidRPr="00C66251">
        <w:t xml:space="preserve"> aktor</w:t>
      </w:r>
      <w:r w:rsidR="00122326">
        <w:t>ë</w:t>
      </w:r>
      <w:r w:rsidRPr="00C66251">
        <w:t>ve për ndryshimet ligjore si pasoj</w:t>
      </w:r>
      <w:r w:rsidR="00122326">
        <w:t>ë</w:t>
      </w:r>
      <w:r w:rsidRPr="00C66251">
        <w:t xml:space="preserve"> e reformimit t</w:t>
      </w:r>
      <w:r w:rsidR="00122326">
        <w:t>ë</w:t>
      </w:r>
      <w:r w:rsidRPr="00C66251">
        <w:t xml:space="preserve"> Sistemit t</w:t>
      </w:r>
      <w:r w:rsidR="00122326">
        <w:t>ë</w:t>
      </w:r>
      <w:r w:rsidRPr="00C66251">
        <w:t xml:space="preserve"> Drejtësisë. Në vijim</w:t>
      </w:r>
      <w:r>
        <w:t>,</w:t>
      </w:r>
      <w:r w:rsidRPr="00C66251">
        <w:t xml:space="preserve"> </w:t>
      </w:r>
      <w:r>
        <w:t>parashtrohet</w:t>
      </w:r>
      <w:r w:rsidRPr="00C66251">
        <w:t xml:space="preserve"> lista e ligjeve </w:t>
      </w:r>
      <w:r>
        <w:t>t</w:t>
      </w:r>
      <w:r w:rsidR="00122326">
        <w:t>ë</w:t>
      </w:r>
      <w:r>
        <w:t xml:space="preserve"> miratuara:</w:t>
      </w:r>
    </w:p>
    <w:p w:rsidR="00C66251" w:rsidRPr="00C66251" w:rsidRDefault="00C66251" w:rsidP="00C66251">
      <w:pPr>
        <w:spacing w:line="276" w:lineRule="auto"/>
        <w:jc w:val="both"/>
        <w:rPr>
          <w:rFonts w:eastAsiaTheme="minorHAnsi"/>
        </w:rPr>
      </w:pPr>
      <w:r w:rsidRPr="00C66251">
        <w:t> </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Ligji nr. 7905, datë 21/03/1995 për “ Kodi i procedurës penale i Republikës së Shqipërisë </w:t>
      </w:r>
      <w:r w:rsidRPr="00C66251">
        <w:rPr>
          <w:b/>
          <w:bCs/>
          <w:color w:val="000000"/>
        </w:rPr>
        <w:t>(miratuar 30 Mars 2017; Hyrja në fuqi 1 gusht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Ligji nr. 7491, datë 29/04/1991 “Kodi i procedurës civile i Republikës së Shqipërisë, </w:t>
      </w:r>
      <w:r w:rsidRPr="00C66251">
        <w:rPr>
          <w:b/>
          <w:bCs/>
          <w:color w:val="000000"/>
        </w:rPr>
        <w:t>(miratuar më 30 Mars 2017; Hyrja në fuqi 5 Nëntor 2017)</w:t>
      </w:r>
      <w:r w:rsidRPr="00C66251">
        <w:rPr>
          <w:color w:val="000000"/>
        </w:rPr>
        <w:t xml:space="preserve"> </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Kodi i drejtësisë për të miturit i Republikës së Shqipërisë </w:t>
      </w:r>
      <w:r w:rsidRPr="00C66251">
        <w:rPr>
          <w:b/>
          <w:bCs/>
          <w:color w:val="000000"/>
        </w:rPr>
        <w:t>(miratuar më 30 Mars 2017; hyn në fuqi më 1 Janar 2018)</w:t>
      </w:r>
    </w:p>
    <w:p w:rsidR="00C66251" w:rsidRPr="00C66251" w:rsidRDefault="00C66251" w:rsidP="002C5B1B">
      <w:pPr>
        <w:pStyle w:val="ListParagraph"/>
        <w:numPr>
          <w:ilvl w:val="0"/>
          <w:numId w:val="45"/>
        </w:numPr>
        <w:spacing w:line="276" w:lineRule="auto"/>
        <w:ind w:left="1080"/>
        <w:contextualSpacing/>
        <w:jc w:val="both"/>
      </w:pPr>
      <w:r w:rsidRPr="00C66251">
        <w:rPr>
          <w:color w:val="000000"/>
        </w:rPr>
        <w:t xml:space="preserve">Ligji n. 7895, datë 27/01/1995 “Kodi penal i Republikës së Shqipërisë” </w:t>
      </w:r>
      <w:r w:rsidRPr="00C66251">
        <w:rPr>
          <w:b/>
          <w:bCs/>
          <w:color w:val="000000"/>
        </w:rPr>
        <w:t>(miratuar më 30 Mars 2017; hyn në fuqi 20 Maj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lastRenderedPageBreak/>
        <w:t xml:space="preserve">Ligji nr. 9049, datë 10/4/2003 “Ligji për deklarimin dhe kontrollin e pasurive të detyrimeve financiare të zgjedhurve  dhe të disa nëpunësve publikë” </w:t>
      </w:r>
      <w:r w:rsidRPr="00C66251">
        <w:rPr>
          <w:b/>
          <w:bCs/>
          <w:color w:val="000000"/>
        </w:rPr>
        <w:t>(miratuar më 6 prill; hyn në fuqi më 6 Maj 2017</w:t>
      </w:r>
      <w:r w:rsidRPr="00C66251">
        <w:rPr>
          <w:color w:val="000000"/>
        </w:rPr>
        <w:t>)</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Ligji nr.  9157 datë 4.12.2003 “Për përgjimin e komunikimeve elektronike”, </w:t>
      </w:r>
      <w:r w:rsidRPr="00C66251">
        <w:rPr>
          <w:b/>
          <w:bCs/>
          <w:color w:val="000000"/>
        </w:rPr>
        <w:t>(miratuar më 27 prill 2017; hyn në fuqi 6 qershor 2017)</w:t>
      </w:r>
    </w:p>
    <w:p w:rsidR="00C66251" w:rsidRPr="00C66251" w:rsidRDefault="00C66251" w:rsidP="002C5B1B">
      <w:pPr>
        <w:pStyle w:val="ListParagraph"/>
        <w:numPr>
          <w:ilvl w:val="0"/>
          <w:numId w:val="45"/>
        </w:numPr>
        <w:spacing w:line="276" w:lineRule="auto"/>
        <w:ind w:left="1080"/>
        <w:contextualSpacing/>
        <w:jc w:val="both"/>
      </w:pPr>
      <w:r w:rsidRPr="00C66251">
        <w:rPr>
          <w:color w:val="000000"/>
        </w:rPr>
        <w:t xml:space="preserve">Ligji nr. 49/2012 “Për organizimin dhe funksionimin e gjykatave administrative dhe gjykimin e mosmarrëveshjeve administrative në Republikën e Shqipërisë” </w:t>
      </w:r>
      <w:r w:rsidRPr="00C66251">
        <w:rPr>
          <w:b/>
          <w:bCs/>
          <w:color w:val="000000"/>
        </w:rPr>
        <w:t>(miratuar më 30 Mars 2017; hyn në fuqi më  6 Maj 2017)</w:t>
      </w:r>
      <w:r w:rsidRPr="00C66251">
        <w:rPr>
          <w:color w:val="000000"/>
        </w:rPr>
        <w:t xml:space="preserve"> </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Ligji 152/2013 “Për nëpunësin civil”, (miratuar më</w:t>
      </w:r>
      <w:r w:rsidRPr="00C66251">
        <w:rPr>
          <w:b/>
          <w:bCs/>
          <w:color w:val="000000"/>
        </w:rPr>
        <w:t xml:space="preserve"> 30 Mars 2017; hyri në fuqi më 6 Maj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Ligji nr. 8678, datë 14/05/2001 “Për organizimin dhe funksionimin e Ministrisë së Drejtësisë”,” </w:t>
      </w:r>
      <w:r w:rsidRPr="00C66251">
        <w:rPr>
          <w:b/>
          <w:bCs/>
          <w:color w:val="000000"/>
        </w:rPr>
        <w:t>(miratuar më 30 Mars 2017; hyri në fuqi më 6 Maj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Ligji nr. 10192/2014 “Për parandalimin dhe goditjen e krimit të organizuar, trafikimit dhe korrupsionit nëpërmjet masave parandaluese kundër pasurisë” (ligji Antimafia) </w:t>
      </w:r>
      <w:r w:rsidRPr="00C66251">
        <w:rPr>
          <w:b/>
          <w:bCs/>
          <w:color w:val="000000"/>
        </w:rPr>
        <w:t>(miratuar më 27 prill 2017; hyri në fuqi më 22 qershor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 xml:space="preserve">Ligji nr. 10173, datë 22.10.2009 Për mbrojtjen e dëshmitarëve dhe bashkëpunëtorëve të drejtësisë”, i ndryshuar  </w:t>
      </w:r>
      <w:r w:rsidRPr="00C66251">
        <w:rPr>
          <w:b/>
          <w:bCs/>
          <w:color w:val="000000"/>
        </w:rPr>
        <w:t>(miratuar më 30 Mars 2017; hyri në fuqi më 1 gusht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Ligji</w:t>
      </w:r>
      <w:proofErr w:type="gramStart"/>
      <w:r w:rsidRPr="00C66251">
        <w:rPr>
          <w:color w:val="000000"/>
        </w:rPr>
        <w:t>  nr</w:t>
      </w:r>
      <w:proofErr w:type="gramEnd"/>
      <w:r w:rsidRPr="00C66251">
        <w:rPr>
          <w:color w:val="000000"/>
        </w:rPr>
        <w:t xml:space="preserve">.  9917 datë 19.05.2008 “Për parandalimin e pastrimit të parave dhe financimit të terrorizmit”, i ndryshuar” </w:t>
      </w:r>
      <w:r w:rsidRPr="00C66251">
        <w:rPr>
          <w:b/>
          <w:bCs/>
          <w:color w:val="000000"/>
        </w:rPr>
        <w:t>(miratuar më 6 prill 2017; hyri në fuqi më 6 Maj 2017)</w:t>
      </w:r>
    </w:p>
    <w:p w:rsidR="00C66251" w:rsidRPr="00C66251" w:rsidRDefault="00C66251" w:rsidP="002C5B1B">
      <w:pPr>
        <w:pStyle w:val="ListParagraph"/>
        <w:numPr>
          <w:ilvl w:val="0"/>
          <w:numId w:val="45"/>
        </w:numPr>
        <w:spacing w:line="276" w:lineRule="auto"/>
        <w:ind w:left="1080"/>
        <w:contextualSpacing/>
        <w:jc w:val="both"/>
        <w:rPr>
          <w:color w:val="000000"/>
        </w:rPr>
      </w:pPr>
      <w:r w:rsidRPr="00C66251">
        <w:rPr>
          <w:color w:val="000000"/>
        </w:rPr>
        <w:t>Ligji Nr. 157  datë 10.10.2013 “Për Masat kundër Financimit të Terrorizmit”</w:t>
      </w:r>
      <w:r w:rsidRPr="00C66251">
        <w:rPr>
          <w:b/>
          <w:bCs/>
          <w:color w:val="000000"/>
        </w:rPr>
        <w:t xml:space="preserve"> (miratuar më 6 prill 2017; hyri në fuqi më 6 Maj 2017)</w:t>
      </w:r>
    </w:p>
    <w:p w:rsidR="00C66251" w:rsidRPr="00C66251" w:rsidRDefault="00C66251" w:rsidP="00C66251">
      <w:pPr>
        <w:pStyle w:val="ListParagraph"/>
        <w:spacing w:line="276" w:lineRule="auto"/>
        <w:ind w:left="0"/>
        <w:jc w:val="both"/>
        <w:rPr>
          <w:rFonts w:eastAsiaTheme="minorHAnsi"/>
        </w:rPr>
      </w:pPr>
      <w:r w:rsidRPr="00C66251">
        <w:rPr>
          <w:color w:val="000000"/>
        </w:rPr>
        <w:t> </w:t>
      </w:r>
    </w:p>
    <w:p w:rsidR="00C66251" w:rsidRPr="00C66251" w:rsidRDefault="00C66251" w:rsidP="00C66251">
      <w:pPr>
        <w:pStyle w:val="ListParagraph"/>
        <w:spacing w:line="276" w:lineRule="auto"/>
        <w:contextualSpacing/>
        <w:jc w:val="both"/>
        <w:rPr>
          <w:color w:val="000000"/>
        </w:rPr>
      </w:pPr>
      <w:r w:rsidRPr="00C66251">
        <w:rPr>
          <w:color w:val="000000"/>
        </w:rPr>
        <w:t>Po në vijim gjatë viti 2017, strukturat përkatëse (</w:t>
      </w:r>
      <w:r w:rsidRPr="00C66251">
        <w:rPr>
          <w:i/>
          <w:iCs/>
          <w:color w:val="000000"/>
        </w:rPr>
        <w:t>Kuvendi/Sekretari Përgjithshëm i Kuvendit etj</w:t>
      </w:r>
      <w:r w:rsidRPr="00C66251">
        <w:rPr>
          <w:color w:val="000000"/>
        </w:rPr>
        <w:t>) kanë zgjedhur të gjithë organet e rivlerësimit kalimtar (në vijim të ndryshimeve Kushtetuese</w:t>
      </w:r>
      <w:proofErr w:type="gramStart"/>
      <w:r w:rsidRPr="00C66251">
        <w:rPr>
          <w:color w:val="000000"/>
        </w:rPr>
        <w:t>) :</w:t>
      </w:r>
      <w:proofErr w:type="gramEnd"/>
    </w:p>
    <w:p w:rsidR="00C66251" w:rsidRPr="00C66251" w:rsidRDefault="00C66251" w:rsidP="002C5B1B">
      <w:pPr>
        <w:pStyle w:val="ListParagraph"/>
        <w:numPr>
          <w:ilvl w:val="0"/>
          <w:numId w:val="43"/>
        </w:numPr>
        <w:spacing w:line="276" w:lineRule="auto"/>
        <w:ind w:left="1080"/>
        <w:contextualSpacing/>
        <w:jc w:val="both"/>
        <w:rPr>
          <w:color w:val="000000"/>
        </w:rPr>
      </w:pPr>
      <w:r w:rsidRPr="00C66251">
        <w:t>Anëtarë të Komisionit të Pavarur të Kualifikimeve</w:t>
      </w:r>
    </w:p>
    <w:p w:rsidR="00C66251" w:rsidRPr="00C66251" w:rsidRDefault="00C66251" w:rsidP="002C5B1B">
      <w:pPr>
        <w:pStyle w:val="ListParagraph"/>
        <w:numPr>
          <w:ilvl w:val="0"/>
          <w:numId w:val="43"/>
        </w:numPr>
        <w:spacing w:line="276" w:lineRule="auto"/>
        <w:ind w:left="1080"/>
        <w:contextualSpacing/>
        <w:jc w:val="both"/>
        <w:rPr>
          <w:rStyle w:val="shorttext"/>
          <w:color w:val="000000"/>
        </w:rPr>
      </w:pPr>
      <w:r w:rsidRPr="00C66251">
        <w:rPr>
          <w:rStyle w:val="shorttext"/>
        </w:rPr>
        <w:t>Komisionerët Publikë</w:t>
      </w:r>
    </w:p>
    <w:p w:rsidR="00C66251" w:rsidRPr="00C66251" w:rsidRDefault="00C66251" w:rsidP="002C5B1B">
      <w:pPr>
        <w:pStyle w:val="ListParagraph"/>
        <w:numPr>
          <w:ilvl w:val="0"/>
          <w:numId w:val="43"/>
        </w:numPr>
        <w:spacing w:line="276" w:lineRule="auto"/>
        <w:ind w:left="1080"/>
        <w:contextualSpacing/>
        <w:jc w:val="both"/>
        <w:rPr>
          <w:color w:val="000000"/>
        </w:rPr>
      </w:pPr>
      <w:r w:rsidRPr="00C66251">
        <w:rPr>
          <w:rStyle w:val="shorttext"/>
        </w:rPr>
        <w:t>Anëtarët e Komisionit të Posaçëm të Apelimit</w:t>
      </w:r>
    </w:p>
    <w:p w:rsidR="00C66251" w:rsidRPr="00C66251" w:rsidRDefault="00C66251" w:rsidP="00C66251">
      <w:pPr>
        <w:pStyle w:val="ListParagraph"/>
        <w:spacing w:line="276" w:lineRule="auto"/>
        <w:ind w:left="360"/>
        <w:jc w:val="both"/>
        <w:rPr>
          <w:rFonts w:eastAsiaTheme="minorHAnsi"/>
        </w:rPr>
      </w:pPr>
      <w:r w:rsidRPr="00C66251">
        <w:rPr>
          <w:color w:val="000000"/>
        </w:rPr>
        <w:t> </w:t>
      </w:r>
    </w:p>
    <w:p w:rsidR="00C66251" w:rsidRPr="00C66251" w:rsidRDefault="00C66251" w:rsidP="00C66251">
      <w:pPr>
        <w:pStyle w:val="ListParagraph"/>
        <w:spacing w:line="276" w:lineRule="auto"/>
        <w:contextualSpacing/>
        <w:jc w:val="both"/>
        <w:rPr>
          <w:color w:val="000000"/>
        </w:rPr>
      </w:pPr>
      <w:r w:rsidRPr="00C66251">
        <w:rPr>
          <w:color w:val="000000"/>
        </w:rPr>
        <w:t xml:space="preserve">Gjatë vitit 2017, Qeveria Shqiptare ka realizuar rikonstruktimin e ndërtesës se ish “Lidhjes se Shkrimtareve”, godine e cila do te shërbejë për akomodimin e stafit sipas strukturës përkatëse të dy Komisioneve Kushtetues për procesin e Rivlerësimit te Gjyqtarëve dhe Prokurorëve të Republikës së Shqipërisë (Komisioni i Pavarur i Kualifikimit dhe Komisioni Posaçëm i Apelimit). Po gjatë këtij viti, ka filluar procesi i rekrutimit </w:t>
      </w:r>
      <w:proofErr w:type="gramStart"/>
      <w:r w:rsidRPr="00C66251">
        <w:rPr>
          <w:color w:val="000000"/>
        </w:rPr>
        <w:t>te</w:t>
      </w:r>
      <w:proofErr w:type="gramEnd"/>
      <w:r w:rsidRPr="00C66251">
        <w:rPr>
          <w:color w:val="000000"/>
        </w:rPr>
        <w:t xml:space="preserve"> stafit</w:t>
      </w:r>
      <w:r w:rsidRPr="00C66251">
        <w:t xml:space="preserve">. </w:t>
      </w:r>
    </w:p>
    <w:p w:rsidR="00C66251" w:rsidRPr="00C66251" w:rsidRDefault="00C66251" w:rsidP="00C66251">
      <w:pPr>
        <w:spacing w:line="276" w:lineRule="auto"/>
        <w:jc w:val="both"/>
        <w:rPr>
          <w:rFonts w:eastAsiaTheme="minorHAnsi"/>
        </w:rPr>
      </w:pPr>
    </w:p>
    <w:p w:rsidR="00C66251" w:rsidRPr="00C66251" w:rsidRDefault="00C66251" w:rsidP="00C66251">
      <w:pPr>
        <w:spacing w:line="276" w:lineRule="auto"/>
        <w:ind w:left="720"/>
        <w:contextualSpacing/>
        <w:jc w:val="both"/>
        <w:rPr>
          <w:color w:val="000000"/>
        </w:rPr>
      </w:pPr>
      <w:r w:rsidRPr="00C66251">
        <w:rPr>
          <w:color w:val="000000"/>
        </w:rPr>
        <w:t xml:space="preserve">Gjatë viti 2017, </w:t>
      </w:r>
      <w:r w:rsidRPr="00C66251">
        <w:t xml:space="preserve">Kuvendi është akoma duke përzgjedhur anëtarët e Këshillit të Lartë Gjyqësor dhe Këshillit të Lartë të Prokurorisë. Për më tej, Kuvendi, për shkak të mungesës së numrit minimal të kandidaturave, ka rishpallur thirrjen. </w:t>
      </w:r>
    </w:p>
    <w:p w:rsidR="00C66251" w:rsidRPr="00C66251" w:rsidRDefault="00C66251" w:rsidP="00C66251">
      <w:pPr>
        <w:pStyle w:val="Bulleted"/>
        <w:numPr>
          <w:ilvl w:val="0"/>
          <w:numId w:val="0"/>
        </w:numPr>
        <w:spacing w:line="276" w:lineRule="auto"/>
        <w:ind w:left="360"/>
        <w:jc w:val="both"/>
        <w:rPr>
          <w:rFonts w:ascii="Times New Roman" w:hAnsi="Times New Roman"/>
          <w:b/>
          <w:sz w:val="24"/>
          <w:szCs w:val="24"/>
        </w:rPr>
      </w:pPr>
    </w:p>
    <w:p w:rsidR="00C66251" w:rsidRPr="00C66251" w:rsidRDefault="00C66251" w:rsidP="00EA68C2">
      <w:pPr>
        <w:spacing w:after="120" w:line="276" w:lineRule="auto"/>
        <w:jc w:val="both"/>
        <w:rPr>
          <w:b/>
        </w:rPr>
      </w:pPr>
      <w:r w:rsidRPr="003A48E3">
        <w:rPr>
          <w:b/>
        </w:rPr>
        <w:t>Objektivat</w:t>
      </w:r>
      <w:r w:rsidR="00EA68C2">
        <w:rPr>
          <w:b/>
        </w:rPr>
        <w:t xml:space="preserve"> që synohen të arrihen në 2018:</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Forcimi i statusit të gjithë gjyqtarëve dhe prokurorëve të gjitha niveleve, përfshirë ndihmës- magjistratët /këshilltarët ligjorë në përputhje me standardet evropiane që sigurojnë emërim dhe zhvillim të karrierës që janë të bazuara në meritë.</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Krijimi i një inspektorati të vetëm të pavarur përgjegjës për të hetuar shkeljet disiplinore të gjyqtarëve dhe prokurorëve dhe për të zhvilluar shërbime të tjera inspektimi në gjykata dhe prokurori në përputhje me standardet evropiane.</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lastRenderedPageBreak/>
        <w:t>Rritja e funksionimit të  KLGJ dhe zgjerimi i objektit të  kompetencave të  tij, duke i bërë  gjykatat më të larta pjesë  të objektit të  saj dhe duke zgjeruar funksionet, p.sh. në lidhje me IT, buxhetin gjyqësor, administrimin e gjykatave, raportimin dhe marrëdhëniet me publikun në bazë të standardeve Evropiane dhe  ndërkombëtare.</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Krijimi i KLP dhe ngritja e kapaciteteve në bazë të standardeve moderne evropiane dhe zbatimi i ndryshimeve të fundit ligjore.</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Krijimi i një strukture të specializuar anti-korrupsion në nivel kombëtar, të  përbërë nga policia, prokuroria dhe gjykata.</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Krijimi i një platforme të IT për funksionimin e sistemeve elektronike të gjyqësorit.</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Vendosja e sistemit të menaxhimit të çështjeve të gjykatave (ICMIS), në efiçencë të plotë.</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Krijimi i sistemit të  menaxhimit të  çështjeve për procesimin e çështjeve MLA me Ministria e Drejtësisë (në  vazhdim)./ Përfshirja e Prokurorisë së Përgjithshme në  sistemin e mësipërm të  menaxhimit të  çështjeve. Kosto përfshin 80,000 euro të financuara nga projekti LURIS.</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Përmirësimi i ndërlidhjeve ndërmjet ALBIS dhe sistemeve të  tjera elektronike të gjyqësorit.</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Ndërtimi i një ndërtese të re të përshtatshme për trajtimin e të  ndaluarve me probleme të  shëndetit mendor.</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rPr>
      </w:pPr>
      <w:r w:rsidRPr="00C66251">
        <w:rPr>
          <w:rFonts w:ascii="Times New Roman" w:hAnsi="Times New Roman"/>
          <w:sz w:val="24"/>
          <w:szCs w:val="24"/>
        </w:rPr>
        <w:t>Thellimi dhe zgjerimi i objektit të  aktiviteteve trajnuese të Shkollës së Magjistraturës, në lidhje me:</w:t>
      </w:r>
    </w:p>
    <w:p w:rsidR="00C66251" w:rsidRPr="00C66251" w:rsidRDefault="00C66251" w:rsidP="00BB1B1C">
      <w:pPr>
        <w:pStyle w:val="Bulleted"/>
        <w:numPr>
          <w:ilvl w:val="1"/>
          <w:numId w:val="44"/>
        </w:numPr>
        <w:spacing w:after="120" w:line="276" w:lineRule="auto"/>
        <w:jc w:val="both"/>
        <w:rPr>
          <w:rFonts w:ascii="Times New Roman" w:hAnsi="Times New Roman"/>
          <w:sz w:val="24"/>
          <w:szCs w:val="24"/>
        </w:rPr>
      </w:pPr>
      <w:r w:rsidRPr="00C66251">
        <w:rPr>
          <w:rFonts w:ascii="Times New Roman" w:hAnsi="Times New Roman"/>
          <w:sz w:val="24"/>
          <w:szCs w:val="24"/>
        </w:rPr>
        <w:t xml:space="preserve">Trajnimin fillestar të   kandidatë ve për gjyqtarë dhe prokurorë (specializim, profesionalizëm më </w:t>
      </w:r>
      <w:proofErr w:type="gramStart"/>
      <w:r w:rsidRPr="00C66251">
        <w:rPr>
          <w:rFonts w:ascii="Times New Roman" w:hAnsi="Times New Roman"/>
          <w:sz w:val="24"/>
          <w:szCs w:val="24"/>
        </w:rPr>
        <w:t>i  thellë</w:t>
      </w:r>
      <w:proofErr w:type="gramEnd"/>
      <w:r w:rsidRPr="00C66251">
        <w:rPr>
          <w:rFonts w:ascii="Times New Roman" w:hAnsi="Times New Roman"/>
          <w:sz w:val="24"/>
          <w:szCs w:val="24"/>
        </w:rPr>
        <w:t>, dhe më shumë profesionalizëm dhe etikë).</w:t>
      </w:r>
    </w:p>
    <w:p w:rsidR="00C66251" w:rsidRPr="00C66251" w:rsidRDefault="00C66251" w:rsidP="00BB1B1C">
      <w:pPr>
        <w:pStyle w:val="Bulleted"/>
        <w:numPr>
          <w:ilvl w:val="1"/>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Trajnimi i vazhdueshëm për gjyqtarët dhe prokurorët, përfshirë ligjin e BE-së.</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eastAsia="sq-AL"/>
        </w:rPr>
      </w:pPr>
      <w:r w:rsidRPr="00C66251">
        <w:rPr>
          <w:rFonts w:ascii="Times New Roman" w:hAnsi="Times New Roman"/>
          <w:sz w:val="24"/>
          <w:szCs w:val="24"/>
          <w:lang w:eastAsia="sq-AL"/>
        </w:rPr>
        <w:t>Ndërtimi i ambienteve të reja për Shkollën e Magjistraturës, përfshirë mobilimin.</w:t>
      </w:r>
    </w:p>
    <w:p w:rsidR="00C66251" w:rsidRPr="00C66251" w:rsidRDefault="00C66251" w:rsidP="00BB1B1C">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Rritja e kapaciteteve të Departamentit të Kodifikimit në MD duke komanduar gjyqtarë dhe prokurorë në departamentin e kodifikimit dhe duke shtuar ekspertizë të jashtme për projekt ligje të ndryshme.</w:t>
      </w:r>
    </w:p>
    <w:p w:rsidR="001D0435" w:rsidRPr="00EA68C2" w:rsidRDefault="00C66251" w:rsidP="00EA68C2">
      <w:pPr>
        <w:pStyle w:val="Bulleted"/>
        <w:numPr>
          <w:ilvl w:val="0"/>
          <w:numId w:val="44"/>
        </w:numPr>
        <w:spacing w:after="120" w:line="276" w:lineRule="auto"/>
        <w:jc w:val="both"/>
        <w:rPr>
          <w:rFonts w:ascii="Times New Roman" w:hAnsi="Times New Roman"/>
          <w:sz w:val="24"/>
          <w:szCs w:val="24"/>
          <w:lang w:val="sq-AL"/>
        </w:rPr>
      </w:pPr>
      <w:r w:rsidRPr="00C66251">
        <w:rPr>
          <w:rFonts w:ascii="Times New Roman" w:hAnsi="Times New Roman"/>
          <w:sz w:val="24"/>
          <w:szCs w:val="24"/>
          <w:lang w:val="sq-AL"/>
        </w:rPr>
        <w:t>Projektimi dhe zbatimi i sistemeve të menaxhimit, aktiviteteve operacionale dhe të kontrollit dhe funksionimi financiar i MD dhe institucioneve të tjera (KLGJ, KLP, Inspektoriati i ri, Këshilli i Emërimeve) për të mundësuar që ato të menaxhojnë procesin e reformës.</w:t>
      </w:r>
    </w:p>
    <w:p w:rsidR="001D0435" w:rsidRPr="00C66251" w:rsidRDefault="001D0435" w:rsidP="00C66251">
      <w:pPr>
        <w:pStyle w:val="Bulleted"/>
        <w:numPr>
          <w:ilvl w:val="0"/>
          <w:numId w:val="0"/>
        </w:numPr>
        <w:spacing w:line="276" w:lineRule="auto"/>
        <w:ind w:left="720"/>
        <w:jc w:val="both"/>
        <w:rPr>
          <w:rFonts w:ascii="Times New Roman" w:hAnsi="Times New Roman"/>
          <w:sz w:val="24"/>
          <w:szCs w:val="24"/>
          <w:lang w:val="sq-AL"/>
        </w:rPr>
      </w:pPr>
    </w:p>
    <w:p w:rsidR="00B0121D" w:rsidRPr="002A4958" w:rsidRDefault="00CB089C" w:rsidP="002A4958">
      <w:pPr>
        <w:rPr>
          <w:b/>
          <w:sz w:val="28"/>
          <w:szCs w:val="28"/>
          <w:lang w:val="sq-AL"/>
        </w:rPr>
      </w:pPr>
      <w:bookmarkStart w:id="72" w:name="_Toc495996995"/>
      <w:r w:rsidRPr="002A4958">
        <w:rPr>
          <w:b/>
          <w:sz w:val="28"/>
          <w:szCs w:val="28"/>
          <w:lang w:val="sq-AL"/>
        </w:rPr>
        <w:t xml:space="preserve">5.3 </w:t>
      </w:r>
      <w:r w:rsidR="00B0121D" w:rsidRPr="001D0435">
        <w:rPr>
          <w:b/>
          <w:sz w:val="28"/>
          <w:szCs w:val="28"/>
          <w:lang w:val="sq-AL"/>
        </w:rPr>
        <w:t>REFORMA NË ADMINISTRATËN PUBLIKE</w:t>
      </w:r>
      <w:bookmarkEnd w:id="71"/>
      <w:bookmarkEnd w:id="72"/>
    </w:p>
    <w:p w:rsidR="00C66251" w:rsidRDefault="00C66251" w:rsidP="003C5B4B">
      <w:pPr>
        <w:spacing w:line="276" w:lineRule="auto"/>
        <w:jc w:val="both"/>
        <w:rPr>
          <w:lang w:val="sq-AL"/>
        </w:rPr>
      </w:pPr>
    </w:p>
    <w:p w:rsidR="001D0435" w:rsidRDefault="00DA548F" w:rsidP="001D0435">
      <w:pPr>
        <w:spacing w:line="276" w:lineRule="auto"/>
        <w:jc w:val="both"/>
        <w:rPr>
          <w:lang w:val="sq-AL"/>
        </w:rPr>
      </w:pPr>
      <w:r w:rsidRPr="00D73F43">
        <w:rPr>
          <w:lang w:val="sq-AL"/>
        </w:rPr>
        <w:t>Strategjia Ndërsektoriale e Reformës së Administratës Publike 2015-2020 fokusohet mbi zhvillimin dhe zbatimin e procedurave transparente dhe të paanshme të rekrutimit, menaxhimin e burimeve njerëzore, zhvillimin e karrierës në shërbimin publik, trajnimin e vazhdueshëm, promovimin e etikës në administratën publike, si dhe garantimin e qeverisjen elektronike. Zbatimi i kësaj strategjie, ka sjellë nevojën për reformimin e një sërë fushash të l</w:t>
      </w:r>
      <w:r w:rsidR="001D0435">
        <w:rPr>
          <w:lang w:val="sq-AL"/>
        </w:rPr>
        <w:t>idhura me administratën publike:</w:t>
      </w:r>
    </w:p>
    <w:p w:rsidR="001D0435" w:rsidRPr="001D0435" w:rsidRDefault="001D0435" w:rsidP="001D0435">
      <w:pPr>
        <w:spacing w:line="276" w:lineRule="auto"/>
        <w:jc w:val="both"/>
        <w:rPr>
          <w:lang w:val="sq-AL"/>
        </w:rPr>
      </w:pPr>
    </w:p>
    <w:p w:rsidR="001D0435" w:rsidRPr="00E872A4" w:rsidRDefault="001D0435" w:rsidP="002C5B1B">
      <w:pPr>
        <w:numPr>
          <w:ilvl w:val="0"/>
          <w:numId w:val="103"/>
        </w:numPr>
        <w:pBdr>
          <w:top w:val="nil"/>
          <w:left w:val="nil"/>
          <w:bottom w:val="nil"/>
          <w:right w:val="nil"/>
          <w:between w:val="nil"/>
        </w:pBdr>
        <w:spacing w:line="276" w:lineRule="auto"/>
        <w:contextualSpacing/>
        <w:jc w:val="both"/>
        <w:rPr>
          <w:rFonts w:eastAsia="Times New Roman"/>
          <w:highlight w:val="white"/>
          <w:lang w:val="sq-AL"/>
        </w:rPr>
      </w:pPr>
      <w:r w:rsidRPr="00E872A4">
        <w:rPr>
          <w:rFonts w:eastAsia="Times New Roman"/>
          <w:i/>
          <w:highlight w:val="white"/>
          <w:lang w:val="sq-AL"/>
        </w:rPr>
        <w:t>Sistemit të politikbërjes dhe cilësisë së legjislacionit</w:t>
      </w:r>
      <w:r w:rsidRPr="00E872A4">
        <w:rPr>
          <w:rFonts w:eastAsia="Times New Roman"/>
          <w:highlight w:val="white"/>
          <w:lang w:val="sq-AL"/>
        </w:rPr>
        <w:t xml:space="preserve">; </w:t>
      </w:r>
    </w:p>
    <w:p w:rsidR="001D0435" w:rsidRPr="00E872A4" w:rsidRDefault="001D0435" w:rsidP="002C5B1B">
      <w:pPr>
        <w:numPr>
          <w:ilvl w:val="0"/>
          <w:numId w:val="103"/>
        </w:numPr>
        <w:pBdr>
          <w:top w:val="nil"/>
          <w:left w:val="nil"/>
          <w:bottom w:val="nil"/>
          <w:right w:val="nil"/>
          <w:between w:val="nil"/>
        </w:pBdr>
        <w:spacing w:line="276" w:lineRule="auto"/>
        <w:contextualSpacing/>
        <w:jc w:val="both"/>
        <w:rPr>
          <w:rFonts w:eastAsia="Times New Roman"/>
          <w:highlight w:val="white"/>
          <w:lang w:val="sq-AL"/>
        </w:rPr>
      </w:pPr>
      <w:r w:rsidRPr="00E872A4">
        <w:rPr>
          <w:rFonts w:eastAsia="Times New Roman"/>
          <w:i/>
          <w:highlight w:val="white"/>
          <w:lang w:val="sq-AL"/>
        </w:rPr>
        <w:t>Mënyrës së organizimit të administratës publike</w:t>
      </w:r>
      <w:r w:rsidRPr="00E872A4">
        <w:rPr>
          <w:rFonts w:eastAsia="Times New Roman"/>
          <w:highlight w:val="white"/>
          <w:lang w:val="sq-AL"/>
        </w:rPr>
        <w:t>;</w:t>
      </w:r>
    </w:p>
    <w:p w:rsidR="001D0435" w:rsidRPr="00E872A4" w:rsidRDefault="001D0435" w:rsidP="002C5B1B">
      <w:pPr>
        <w:numPr>
          <w:ilvl w:val="0"/>
          <w:numId w:val="103"/>
        </w:numPr>
        <w:pBdr>
          <w:top w:val="nil"/>
          <w:left w:val="nil"/>
          <w:bottom w:val="nil"/>
          <w:right w:val="nil"/>
          <w:between w:val="nil"/>
        </w:pBdr>
        <w:spacing w:line="276" w:lineRule="auto"/>
        <w:contextualSpacing/>
        <w:jc w:val="both"/>
        <w:rPr>
          <w:rFonts w:eastAsia="Times New Roman"/>
          <w:i/>
          <w:highlight w:val="white"/>
          <w:lang w:val="sq-AL"/>
        </w:rPr>
      </w:pPr>
      <w:r w:rsidRPr="00E872A4">
        <w:rPr>
          <w:rFonts w:eastAsia="Times New Roman"/>
          <w:i/>
          <w:highlight w:val="white"/>
          <w:lang w:val="sq-AL"/>
        </w:rPr>
        <w:t>Shërbimit Civil dhe Menaxhimit të Burimeve Njerëzore;</w:t>
      </w:r>
    </w:p>
    <w:p w:rsidR="001D0435" w:rsidRPr="00E872A4" w:rsidRDefault="001D0435" w:rsidP="002C5B1B">
      <w:pPr>
        <w:numPr>
          <w:ilvl w:val="0"/>
          <w:numId w:val="103"/>
        </w:numPr>
        <w:pBdr>
          <w:top w:val="nil"/>
          <w:left w:val="nil"/>
          <w:bottom w:val="nil"/>
          <w:right w:val="nil"/>
          <w:between w:val="nil"/>
        </w:pBdr>
        <w:spacing w:line="276" w:lineRule="auto"/>
        <w:contextualSpacing/>
        <w:jc w:val="both"/>
        <w:rPr>
          <w:rFonts w:eastAsia="Times New Roman"/>
          <w:i/>
          <w:highlight w:val="white"/>
          <w:lang w:val="sq-AL"/>
        </w:rPr>
      </w:pPr>
      <w:r w:rsidRPr="00E872A4">
        <w:rPr>
          <w:rFonts w:eastAsia="Times New Roman"/>
          <w:i/>
          <w:highlight w:val="white"/>
          <w:lang w:val="sq-AL"/>
        </w:rPr>
        <w:t>Procedurave administrative dhe mbikëqyrjes.</w:t>
      </w:r>
    </w:p>
    <w:p w:rsidR="00DA548F" w:rsidRDefault="00DA548F" w:rsidP="003C5B4B">
      <w:pPr>
        <w:spacing w:line="276" w:lineRule="auto"/>
        <w:jc w:val="both"/>
        <w:rPr>
          <w:lang w:val="sq-AL"/>
        </w:rPr>
      </w:pPr>
    </w:p>
    <w:p w:rsidR="00DA548F" w:rsidRPr="001D0435" w:rsidRDefault="00DA548F" w:rsidP="001D0435">
      <w:pPr>
        <w:spacing w:line="276" w:lineRule="auto"/>
        <w:jc w:val="both"/>
        <w:rPr>
          <w:b/>
          <w:lang w:val="sq-AL"/>
        </w:rPr>
      </w:pPr>
      <w:r w:rsidRPr="001D0435">
        <w:rPr>
          <w:b/>
          <w:lang w:val="sq-AL"/>
        </w:rPr>
        <w:t>Arritjet p</w:t>
      </w:r>
      <w:r w:rsidR="00DB7941" w:rsidRPr="001D0435">
        <w:rPr>
          <w:b/>
          <w:lang w:val="sq-AL"/>
        </w:rPr>
        <w:t>ë</w:t>
      </w:r>
      <w:r w:rsidRPr="001D0435">
        <w:rPr>
          <w:b/>
          <w:lang w:val="sq-AL"/>
        </w:rPr>
        <w:t>r vitin 2017</w:t>
      </w:r>
    </w:p>
    <w:p w:rsidR="00DA548F" w:rsidRDefault="00DA548F" w:rsidP="003C5B4B">
      <w:pPr>
        <w:spacing w:line="276" w:lineRule="auto"/>
        <w:jc w:val="both"/>
        <w:rPr>
          <w:lang w:val="sq-AL"/>
        </w:rPr>
      </w:pPr>
    </w:p>
    <w:p w:rsidR="00DA548F" w:rsidRDefault="001D0435" w:rsidP="002C5B1B">
      <w:pPr>
        <w:pStyle w:val="ListParagraph"/>
        <w:numPr>
          <w:ilvl w:val="0"/>
          <w:numId w:val="104"/>
        </w:numPr>
        <w:spacing w:after="120" w:line="276" w:lineRule="auto"/>
        <w:jc w:val="both"/>
        <w:rPr>
          <w:lang w:val="sq-AL"/>
        </w:rPr>
      </w:pPr>
      <w:r w:rsidRPr="001D0435">
        <w:rPr>
          <w:lang w:val="sq-AL"/>
        </w:rPr>
        <w:t>Riorganizimi strukturor i aparateve të ministrive të linjës, si rezultat i formimit të kabinetit të ri qeveritar dhe krijimit të 11 ministrive të linjës dhe 2 ministrave të shtetit. Riorganizimi strukturor i aparateve të ministrive të linjës u mbështet në një qasje të re dhe sistemike, që fokusohet jo thjesht në elementë të caktuar të sistemit të qeverisjes apo në bashkime dhe ndryshime mekanike, por në një qasje funksionale që merr në konsideratë ndërveprimin e elementëve me njëri-tjetrin dhe ndërveprimin e sistemit me realitetin shqipta</w:t>
      </w:r>
      <w:r>
        <w:rPr>
          <w:lang w:val="sq-AL"/>
        </w:rPr>
        <w:t>r e nevojën e qytetarëve të saj;</w:t>
      </w:r>
    </w:p>
    <w:p w:rsidR="001D0435" w:rsidRDefault="001D0435" w:rsidP="002C5B1B">
      <w:pPr>
        <w:pStyle w:val="ListParagraph"/>
        <w:numPr>
          <w:ilvl w:val="0"/>
          <w:numId w:val="104"/>
        </w:numPr>
        <w:spacing w:after="120" w:line="276" w:lineRule="auto"/>
        <w:jc w:val="both"/>
        <w:rPr>
          <w:lang w:val="sq-AL"/>
        </w:rPr>
      </w:pPr>
      <w:r w:rsidRPr="001D0435">
        <w:rPr>
          <w:lang w:val="sq-AL"/>
        </w:rPr>
        <w:t xml:space="preserve">Sistemit Informatik të Menaxhimit të Burimeve Njerëzore </w:t>
      </w:r>
      <w:r>
        <w:rPr>
          <w:lang w:val="sq-AL"/>
        </w:rPr>
        <w:t>(</w:t>
      </w:r>
      <w:r w:rsidRPr="001D0435">
        <w:rPr>
          <w:lang w:val="sq-AL"/>
        </w:rPr>
        <w:t>HRMIS</w:t>
      </w:r>
      <w:r>
        <w:rPr>
          <w:lang w:val="sq-AL"/>
        </w:rPr>
        <w:t>)</w:t>
      </w:r>
      <w:r w:rsidRPr="001D0435">
        <w:rPr>
          <w:lang w:val="sq-AL"/>
        </w:rPr>
        <w:t xml:space="preserve"> përmban aktualisht 36400 pozicione pune dhe dosjet personale për mbi 17800 punonjës. Në një hark kohor një vjeçar janë trajnuar mbi 300 punonjës në njësitë e menaxhimit të burimeve njerëzore, duke përfshirë këtu institucionet e pavarura d</w:t>
      </w:r>
      <w:r>
        <w:rPr>
          <w:lang w:val="sq-AL"/>
        </w:rPr>
        <w:t>he njësitë e qeverisjes vendore;</w:t>
      </w:r>
    </w:p>
    <w:p w:rsidR="001D0435" w:rsidRDefault="001D0435" w:rsidP="002C5B1B">
      <w:pPr>
        <w:pStyle w:val="ListParagraph"/>
        <w:numPr>
          <w:ilvl w:val="0"/>
          <w:numId w:val="104"/>
        </w:numPr>
        <w:spacing w:after="120" w:line="276" w:lineRule="auto"/>
        <w:jc w:val="both"/>
        <w:rPr>
          <w:lang w:val="sq-AL"/>
        </w:rPr>
      </w:pPr>
      <w:r w:rsidRPr="001D0435">
        <w:rPr>
          <w:lang w:val="sq-AL"/>
        </w:rPr>
        <w:t>Në kuadër të përmirësimit të cilësisë së përshkrimeve të punës dhe standartizimit të tyre, janë përgatitur përshkrime pune të unifikuara për ato grupe pozicionesh (funksionet horizontale) që janë të njëjta në të gjithë institucionet e administratës s</w:t>
      </w:r>
      <w:r>
        <w:rPr>
          <w:lang w:val="sq-AL"/>
        </w:rPr>
        <w:t>htetërore (8 grupe të ndryshme);</w:t>
      </w:r>
    </w:p>
    <w:p w:rsidR="001D0435" w:rsidRDefault="001D0435" w:rsidP="002C5B1B">
      <w:pPr>
        <w:pStyle w:val="ListParagraph"/>
        <w:numPr>
          <w:ilvl w:val="0"/>
          <w:numId w:val="104"/>
        </w:numPr>
        <w:spacing w:after="120" w:line="276" w:lineRule="auto"/>
        <w:jc w:val="both"/>
        <w:rPr>
          <w:lang w:val="sq-AL"/>
        </w:rPr>
      </w:pPr>
      <w:r w:rsidRPr="001D0435">
        <w:rPr>
          <w:lang w:val="sq-AL"/>
        </w:rPr>
        <w:t xml:space="preserve">Procesi i rekrutimit në shërbimin civil është përmirësuar në funksion të sigurimit dhe përdorimit të mekanizmave që garantojnë transparencë në çdo fazë të këtij procesi. Gjenerimi automatik i tezave me shkrim, garantimi i anonimatit, vlerësimi i automatizuar i tezave që përmbajnë pyetje me alternativa, rregjistrimi audio i intervistës me gojë, janë të gjithë elementë që synojnë shmangien e vlerësimit subjektiv të kandidatëve dhe transparencë në procesin e vlerësimit të tyre. Në këtë kuadër, gjatë vitit 2017, janë zhvilluar disa trajnime, </w:t>
      </w:r>
      <w:r w:rsidR="00FA59AB">
        <w:rPr>
          <w:lang w:val="sq-AL"/>
        </w:rPr>
        <w:t>ë</w:t>
      </w:r>
      <w:r w:rsidRPr="001D0435">
        <w:rPr>
          <w:lang w:val="sq-AL"/>
        </w:rPr>
        <w:t>orkshops, seminare me asistencën e projekteve të financuara nga BE. Deri më tani, sipas të dhënave për vitin 2017 (referuar periudhës 5 mujore Shkurt-Qershor 2017),  janë plotësuar 427 vende vakante në institucionet e administratës shtetërore, pjesë e shërbimit civil, ku ndër to 160 pozicione janë plotësuar me kandidatë brenda shërbimit civil, pra lëvizje paralele ose ngritje në detyrë. Pra, në total përqindja e plotësimit të vakancave në raport me shpalljet në faqen zyrtare të DAP është 68.29%</w:t>
      </w:r>
      <w:r>
        <w:rPr>
          <w:lang w:val="sq-AL"/>
        </w:rPr>
        <w:t>;</w:t>
      </w:r>
    </w:p>
    <w:p w:rsidR="001D0435" w:rsidRDefault="001D0435" w:rsidP="002C5B1B">
      <w:pPr>
        <w:pStyle w:val="ListParagraph"/>
        <w:numPr>
          <w:ilvl w:val="0"/>
          <w:numId w:val="104"/>
        </w:numPr>
        <w:spacing w:after="120" w:line="276" w:lineRule="auto"/>
        <w:jc w:val="both"/>
        <w:rPr>
          <w:lang w:val="sq-AL"/>
        </w:rPr>
      </w:pPr>
      <w:r w:rsidRPr="001D0435">
        <w:rPr>
          <w:lang w:val="sq-AL"/>
        </w:rPr>
        <w:t>Zhvillimi i karrierës është i përcaktuar qartë në legjislacion ndërkohë që zbatohet edhe në praktikë. Trendi i mobilitetit brenda shërbimit civil nëpërmjet procedurave të lëvizjes paralele dhe ngritjes në detyrë është rritur, sic tregohet qartë në raportet vjetore të DAP. Gjatë vitit 2015 ka patur 75 lëvizje paralele dhe 101 ngritje në detyrë, ndërsa gjatë vitit 2016 ka patur 146 lëvizje paralele dhe 188 ngritje në detyrë. Për vitin 2017, përgjatë periudhës 5 mujore Shkurt-Qershor, ka patur 95 lëvizje paralele dhe 65 ngritje në detyrë</w:t>
      </w:r>
      <w:r>
        <w:rPr>
          <w:lang w:val="sq-AL"/>
        </w:rPr>
        <w:t>;</w:t>
      </w:r>
    </w:p>
    <w:p w:rsidR="001D0435" w:rsidRDefault="001D0435" w:rsidP="002C5B1B">
      <w:pPr>
        <w:pStyle w:val="ListParagraph"/>
        <w:numPr>
          <w:ilvl w:val="0"/>
          <w:numId w:val="104"/>
        </w:numPr>
        <w:spacing w:after="120" w:line="276" w:lineRule="auto"/>
        <w:jc w:val="both"/>
        <w:rPr>
          <w:lang w:val="sq-AL"/>
        </w:rPr>
      </w:pPr>
      <w:r w:rsidRPr="001D0435">
        <w:rPr>
          <w:lang w:val="sq-AL"/>
        </w:rPr>
        <w:t>Në shifra konkrete, kemi një ulje të vazhdueshme të numrit të largimeve nga shërbimi civil për shkak të masave disiplinore; kështu në 2015 ka patur 97 vendime me masë disiplinore “largim nga shërbimin civil, 55 të tilla përgjatë vitit 2016 dhe 20 masa disiplinore “largim nga shërbimi civi” deri në gjysmën e parë të vitit 2017. Kjo vjen edhe si pasojë e njohjes së legjislacionit të shërbimit civil dhe punës së vazhdueshme të përfaqësuesve të DAP në këto komisione, për ndërgjegjësimin e anëtarëve të komisioneve disiplinore për respektimin e të gjithë elementëve të procedurës formale të këtij procesi, si dhe të trajnimeve të zhvilluara nga DAP dhe ASPA në këtë drejtim</w:t>
      </w:r>
      <w:r>
        <w:rPr>
          <w:lang w:val="sq-AL"/>
        </w:rPr>
        <w:t>;</w:t>
      </w:r>
    </w:p>
    <w:p w:rsidR="001D0435" w:rsidRPr="00E872A4" w:rsidRDefault="001D0435" w:rsidP="00EA68C2">
      <w:pPr>
        <w:shd w:val="clear" w:color="auto" w:fill="FFFFFF"/>
        <w:spacing w:before="240" w:line="331" w:lineRule="auto"/>
        <w:jc w:val="both"/>
        <w:rPr>
          <w:rFonts w:eastAsia="Times New Roman"/>
          <w:lang w:val="sq-AL"/>
        </w:rPr>
      </w:pPr>
      <w:r w:rsidRPr="00E872A4">
        <w:rPr>
          <w:rFonts w:eastAsia="Times New Roman"/>
          <w:lang w:val="sq-AL"/>
        </w:rPr>
        <w:t xml:space="preserve">Në kuadër të </w:t>
      </w:r>
      <w:r w:rsidRPr="00E872A4">
        <w:rPr>
          <w:rFonts w:eastAsia="Times New Roman"/>
          <w:i/>
          <w:u w:val="single"/>
          <w:lang w:val="sq-AL"/>
        </w:rPr>
        <w:t>zbatimit të Ligjit të ri për Shërbimin Civil</w:t>
      </w:r>
      <w:r w:rsidR="00EA68C2" w:rsidRPr="00EA68C2">
        <w:rPr>
          <w:rFonts w:eastAsia="Times New Roman"/>
          <w:i/>
          <w:lang w:val="sq-AL"/>
        </w:rPr>
        <w:t xml:space="preserve"> </w:t>
      </w:r>
      <w:r w:rsidR="00EA68C2">
        <w:rPr>
          <w:rFonts w:eastAsia="Times New Roman"/>
          <w:lang w:val="sq-AL"/>
        </w:rPr>
        <w:t>janë arritur këto rezultate:</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Metodologjia për zhvillimin e testeve me shkrim bazuar në kompetencat e kërkuara;</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Testet e integritetit për rekrutimin në shërbimin civil;</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lastRenderedPageBreak/>
        <w:t>Rishikimi i përshkrimeve të punës; u propozuan 15 grupime (familje), u përgatitën 28 përshkrime të përgjithshme të punës;</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Seti me indikatorët për DAP dhe Ligjin për Shërbimin Civil;</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Kuadri raportues për performancën e DAP-it;</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Kompetencat bazë për Menaxherët e Nivelit të Lartë;</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Manuali për Menaxhimin e Burimeve Njerëzore;</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Udhëzues praktik për nëpunësit e rinj civilë;</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Plan komunikimi për Reformën në Administratën Publike;</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Udhëzime për zbatimin e parimeve kryesore dhe standardeve për nëpunësit publikë;</w:t>
      </w:r>
    </w:p>
    <w:p w:rsidR="001D0435" w:rsidRPr="00E872A4" w:rsidRDefault="001D0435" w:rsidP="002C5B1B">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 xml:space="preserve">Fushatë  informuese për procesin e rekrutimit në tërësi (përfshirë hartimin dhe shpërndarjen e materialeve orientuese- </w:t>
      </w:r>
      <w:r w:rsidRPr="00E872A4">
        <w:rPr>
          <w:rFonts w:eastAsia="Times New Roman"/>
          <w:i/>
          <w:lang w:val="sq-AL"/>
        </w:rPr>
        <w:t>procesi i aplikimit; vendet vakante dhe kriteret,</w:t>
      </w:r>
      <w:r w:rsidRPr="00E872A4">
        <w:rPr>
          <w:rFonts w:eastAsia="Times New Roman"/>
          <w:lang w:val="sq-AL"/>
        </w:rPr>
        <w:t>etj.)</w:t>
      </w:r>
    </w:p>
    <w:p w:rsidR="001D0435" w:rsidRPr="00EA68C2" w:rsidRDefault="001D0435" w:rsidP="001D0435">
      <w:pPr>
        <w:numPr>
          <w:ilvl w:val="0"/>
          <w:numId w:val="108"/>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Fushatë informuese për progresin e reformës në administratën publike;</w:t>
      </w:r>
    </w:p>
    <w:p w:rsidR="001D0435" w:rsidRPr="00E872A4" w:rsidRDefault="001D0435" w:rsidP="001D0435">
      <w:pPr>
        <w:shd w:val="clear" w:color="auto" w:fill="FFFFFF"/>
        <w:spacing w:before="240" w:line="331" w:lineRule="auto"/>
        <w:jc w:val="both"/>
        <w:rPr>
          <w:rFonts w:eastAsia="Times New Roman"/>
          <w:lang w:val="sq-AL"/>
        </w:rPr>
      </w:pPr>
      <w:r w:rsidRPr="00EA68C2">
        <w:rPr>
          <w:rFonts w:eastAsia="Times New Roman"/>
          <w:lang w:val="sq-AL"/>
        </w:rPr>
        <w:t>Në kuadër të</w:t>
      </w:r>
      <w:r w:rsidRPr="00E872A4">
        <w:rPr>
          <w:rFonts w:eastAsia="Times New Roman"/>
          <w:i/>
          <w:lang w:val="sq-AL"/>
        </w:rPr>
        <w:t xml:space="preserve"> </w:t>
      </w:r>
      <w:r w:rsidRPr="00EA68C2">
        <w:rPr>
          <w:rFonts w:eastAsia="Times New Roman"/>
          <w:lang w:val="sq-AL"/>
        </w:rPr>
        <w:t xml:space="preserve">zbatimit të </w:t>
      </w:r>
      <w:r w:rsidRPr="00E872A4">
        <w:rPr>
          <w:rFonts w:eastAsia="Times New Roman"/>
          <w:i/>
          <w:u w:val="single"/>
          <w:lang w:val="sq-AL"/>
        </w:rPr>
        <w:t>Kodit të Procedurave Administrative (KPA)</w:t>
      </w:r>
      <w:r w:rsidR="00EA68C2" w:rsidRPr="00EA68C2">
        <w:rPr>
          <w:rFonts w:eastAsia="Times New Roman"/>
          <w:lang w:val="sq-AL"/>
        </w:rPr>
        <w:t xml:space="preserve"> jan</w:t>
      </w:r>
      <w:r w:rsidR="00EA68C2">
        <w:rPr>
          <w:rFonts w:eastAsia="Times New Roman"/>
          <w:lang w:val="sq-AL"/>
        </w:rPr>
        <w:t>ë</w:t>
      </w:r>
      <w:r w:rsidR="00EA68C2" w:rsidRPr="00EA68C2">
        <w:rPr>
          <w:rFonts w:eastAsia="Times New Roman"/>
          <w:lang w:val="sq-AL"/>
        </w:rPr>
        <w:t xml:space="preserve"> arritur k</w:t>
      </w:r>
      <w:r w:rsidR="00EA68C2">
        <w:rPr>
          <w:rFonts w:eastAsia="Times New Roman"/>
          <w:lang w:val="sq-AL"/>
        </w:rPr>
        <w:t>ë</w:t>
      </w:r>
      <w:r w:rsidR="00EA68C2" w:rsidRPr="00EA68C2">
        <w:rPr>
          <w:rFonts w:eastAsia="Times New Roman"/>
          <w:lang w:val="sq-AL"/>
        </w:rPr>
        <w:t>to rezultate</w:t>
      </w:r>
      <w:r w:rsidRPr="00EA68C2">
        <w:rPr>
          <w:rFonts w:eastAsia="Times New Roman"/>
          <w:lang w:val="sq-AL"/>
        </w:rPr>
        <w:t>:</w:t>
      </w:r>
    </w:p>
    <w:p w:rsidR="001D0435" w:rsidRPr="00EA68C2" w:rsidRDefault="001D0435" w:rsidP="00EA68C2">
      <w:pPr>
        <w:numPr>
          <w:ilvl w:val="0"/>
          <w:numId w:val="106"/>
        </w:numPr>
        <w:pBdr>
          <w:top w:val="nil"/>
          <w:left w:val="nil"/>
          <w:bottom w:val="nil"/>
          <w:right w:val="nil"/>
          <w:between w:val="nil"/>
        </w:pBdr>
        <w:spacing w:line="331" w:lineRule="auto"/>
        <w:contextualSpacing/>
        <w:jc w:val="both"/>
        <w:rPr>
          <w:rFonts w:eastAsia="Times New Roman"/>
          <w:lang w:val="sq-AL"/>
        </w:rPr>
      </w:pPr>
      <w:r w:rsidRPr="00EA68C2">
        <w:rPr>
          <w:rFonts w:eastAsia="Times New Roman"/>
          <w:lang w:val="sq-AL"/>
        </w:rPr>
        <w:t>14 ligje të vlerësuara përsa i përket përpuethshmërisë së tyre me KPA-në e ri dhe ofrimi i rekomandimeve;</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Metodologjia për vlerësimin e ligjeve specifike përkundrejt pajtueshmërisë së tyre me KPA-në e ri;</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Plani i zbatimit për Agjendën Dixhitale për Shqipërinë (kuadri institucional, ligjor, financiar);</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Metodologjia për të përcaktuar standardet e cilësisë për ofrimin e shërbimeve publike;</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4 materiale orientuese lidhur me dispozitat e Kodit të Ri të Procedurave Administrative, duke patur si synim publikun e gjerë;</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Udhëzime për përdorimin e delegimit të pushtetit vendimmarrës;</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Modele dhe forma standarde për përdorim nga qytetarët dhe administrata publike;</w:t>
      </w:r>
    </w:p>
    <w:p w:rsidR="001D0435" w:rsidRPr="00E872A4" w:rsidRDefault="001D0435" w:rsidP="002C5B1B">
      <w:pPr>
        <w:numPr>
          <w:ilvl w:val="0"/>
          <w:numId w:val="106"/>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Prezantimi dhe zhvillimi i disa cështjeve ndërkombëtare ligjore për zbatimin e disa neneve specifike.</w:t>
      </w:r>
    </w:p>
    <w:p w:rsidR="001D0435" w:rsidRPr="00E872A4" w:rsidRDefault="001D0435" w:rsidP="001D0435">
      <w:pPr>
        <w:shd w:val="clear" w:color="auto" w:fill="FFFFFF"/>
        <w:spacing w:before="240" w:line="331" w:lineRule="auto"/>
        <w:jc w:val="both"/>
        <w:rPr>
          <w:rFonts w:eastAsia="Times New Roman"/>
          <w:lang w:val="sq-AL"/>
        </w:rPr>
      </w:pPr>
      <w:r w:rsidRPr="00E872A4">
        <w:rPr>
          <w:rFonts w:eastAsia="Times New Roman"/>
          <w:i/>
          <w:lang w:val="sq-AL"/>
        </w:rPr>
        <w:t xml:space="preserve">Në kuadër të </w:t>
      </w:r>
      <w:r w:rsidRPr="00E872A4">
        <w:rPr>
          <w:rFonts w:eastAsia="Times New Roman"/>
          <w:i/>
          <w:u w:val="single"/>
          <w:lang w:val="sq-AL"/>
        </w:rPr>
        <w:t>forcimit të Kapaciteteve për Menaxhimin e Shërbimit Civil (ASPA)</w:t>
      </w:r>
      <w:r w:rsidRPr="00EA68C2">
        <w:rPr>
          <w:rFonts w:eastAsia="Times New Roman"/>
          <w:lang w:val="sq-AL"/>
        </w:rPr>
        <w:t xml:space="preserve"> </w:t>
      </w:r>
      <w:r w:rsidR="00EA68C2" w:rsidRPr="00EA68C2">
        <w:rPr>
          <w:rFonts w:eastAsia="Times New Roman"/>
          <w:lang w:val="sq-AL"/>
        </w:rPr>
        <w:t>jan</w:t>
      </w:r>
      <w:r w:rsidR="00EA68C2">
        <w:rPr>
          <w:rFonts w:eastAsia="Times New Roman"/>
          <w:lang w:val="sq-AL"/>
        </w:rPr>
        <w:t>ë</w:t>
      </w:r>
      <w:r w:rsidR="00EA68C2" w:rsidRPr="00EA68C2">
        <w:rPr>
          <w:rFonts w:eastAsia="Times New Roman"/>
          <w:lang w:val="sq-AL"/>
        </w:rPr>
        <w:t xml:space="preserve"> arritur k</w:t>
      </w:r>
      <w:r w:rsidR="00EA68C2">
        <w:rPr>
          <w:rFonts w:eastAsia="Times New Roman"/>
          <w:lang w:val="sq-AL"/>
        </w:rPr>
        <w:t>ë</w:t>
      </w:r>
      <w:r w:rsidR="00EA68C2" w:rsidRPr="00EA68C2">
        <w:rPr>
          <w:rFonts w:eastAsia="Times New Roman"/>
          <w:lang w:val="sq-AL"/>
        </w:rPr>
        <w:t>to rezultate</w:t>
      </w:r>
      <w:r w:rsidRPr="00E872A4">
        <w:rPr>
          <w:rFonts w:eastAsia="Times New Roman"/>
          <w:lang w:val="sq-AL"/>
        </w:rPr>
        <w:t>:</w:t>
      </w:r>
    </w:p>
    <w:p w:rsidR="001D0435" w:rsidRPr="00E872A4" w:rsidRDefault="001D0435" w:rsidP="002C5B1B">
      <w:pPr>
        <w:numPr>
          <w:ilvl w:val="0"/>
          <w:numId w:val="105"/>
        </w:numPr>
        <w:pBdr>
          <w:top w:val="nil"/>
          <w:left w:val="nil"/>
          <w:bottom w:val="nil"/>
          <w:right w:val="nil"/>
          <w:between w:val="nil"/>
        </w:pBdr>
        <w:spacing w:before="240" w:line="331" w:lineRule="auto"/>
        <w:contextualSpacing/>
        <w:jc w:val="both"/>
        <w:rPr>
          <w:rFonts w:eastAsia="Times New Roman"/>
          <w:lang w:val="sq-AL"/>
        </w:rPr>
      </w:pPr>
      <w:r w:rsidRPr="00E872A4">
        <w:rPr>
          <w:rFonts w:eastAsia="Times New Roman"/>
          <w:lang w:val="sq-AL"/>
        </w:rPr>
        <w:t>Rishikimi funksional i ASPA-s;</w:t>
      </w:r>
    </w:p>
    <w:p w:rsidR="001D0435" w:rsidRPr="00E872A4" w:rsidRDefault="001D0435" w:rsidP="002C5B1B">
      <w:pPr>
        <w:numPr>
          <w:ilvl w:val="0"/>
          <w:numId w:val="105"/>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Manuali i procedurës për ASPA-n;</w:t>
      </w:r>
    </w:p>
    <w:p w:rsidR="001D0435" w:rsidRPr="00E872A4" w:rsidRDefault="001D0435" w:rsidP="002C5B1B">
      <w:pPr>
        <w:numPr>
          <w:ilvl w:val="0"/>
          <w:numId w:val="105"/>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Plani i veprimit për trajnimin e stafit të ASPA-s si dhe trajnimi i tyre;</w:t>
      </w:r>
    </w:p>
    <w:p w:rsidR="001D0435" w:rsidRPr="00E872A4" w:rsidRDefault="001D0435" w:rsidP="002C5B1B">
      <w:pPr>
        <w:numPr>
          <w:ilvl w:val="0"/>
          <w:numId w:val="105"/>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Katalogu i përgjithshëm i trajnimeve të ASPA;</w:t>
      </w:r>
    </w:p>
    <w:p w:rsidR="001D0435" w:rsidRPr="00E872A4" w:rsidRDefault="001D0435" w:rsidP="002C5B1B">
      <w:pPr>
        <w:numPr>
          <w:ilvl w:val="0"/>
          <w:numId w:val="105"/>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Katalogu i  për modulin e trajnimit për MBNJ;</w:t>
      </w:r>
    </w:p>
    <w:p w:rsidR="001D0435" w:rsidRPr="00E872A4" w:rsidRDefault="001D0435" w:rsidP="002C5B1B">
      <w:pPr>
        <w:numPr>
          <w:ilvl w:val="0"/>
          <w:numId w:val="105"/>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Katalogu për modulin e trajnimit për KPA;</w:t>
      </w:r>
    </w:p>
    <w:p w:rsidR="001D0435" w:rsidRPr="00E872A4" w:rsidRDefault="001D0435" w:rsidP="002C5B1B">
      <w:pPr>
        <w:numPr>
          <w:ilvl w:val="0"/>
          <w:numId w:val="105"/>
        </w:numPr>
        <w:pBdr>
          <w:top w:val="nil"/>
          <w:left w:val="nil"/>
          <w:bottom w:val="nil"/>
          <w:right w:val="nil"/>
          <w:between w:val="nil"/>
        </w:pBdr>
        <w:spacing w:line="331" w:lineRule="auto"/>
        <w:contextualSpacing/>
        <w:jc w:val="both"/>
        <w:rPr>
          <w:rFonts w:eastAsia="Times New Roman"/>
          <w:lang w:val="sq-AL"/>
        </w:rPr>
      </w:pPr>
      <w:r w:rsidRPr="00E872A4">
        <w:rPr>
          <w:rFonts w:eastAsia="Times New Roman"/>
          <w:lang w:val="sq-AL"/>
        </w:rPr>
        <w:t>Katalogu i trajnimit për Trupën e Nivelit të Lartë Drejtues (TND).</w:t>
      </w:r>
    </w:p>
    <w:p w:rsidR="001D0435" w:rsidRPr="00E872A4" w:rsidRDefault="001D0435" w:rsidP="001D0435">
      <w:pPr>
        <w:jc w:val="both"/>
        <w:rPr>
          <w:rFonts w:eastAsia="Times New Roman"/>
          <w:lang w:val="sq-AL"/>
        </w:rPr>
      </w:pP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 xml:space="preserve">Shkolla Shqiptare e Administratës Publike </w:t>
      </w:r>
      <w:r w:rsidRPr="00E872A4">
        <w:rPr>
          <w:rFonts w:eastAsia="Times New Roman"/>
          <w:lang w:val="sq-AL"/>
        </w:rPr>
        <w:t xml:space="preserve">ka vijuar me zhvillimin e trajnimeve të nëpunësve civil në fusha të ndryshme, duke përshirë Reformën në Administratën Publike. Gjithashtu ASPA ka vazhduar në përmbushjen e objektivave të saj në organizimin dhe zhvillimin e trjanimeve të detyrueshme të nëpunësve civil në njësitë e qeverisjes vendore. Me mbështetjen e Këshillit të Evropës, ASPA ka hartuar planin e </w:t>
      </w:r>
      <w:r w:rsidRPr="00E872A4">
        <w:rPr>
          <w:rFonts w:eastAsia="Times New Roman"/>
          <w:lang w:val="sq-AL"/>
        </w:rPr>
        <w:lastRenderedPageBreak/>
        <w:t>trajnimeve për njësitë e qeverisjes vendore duke u bazuar në Vlerësimin e Nevojave për Trajnim. Gjatë vitit 2017, janë zhvilluar 134 kurse trajnimi për 524 ditë trajnimi, ku janë trajnuar në total 2760 nëpunës civilë.</w:t>
      </w:r>
    </w:p>
    <w:p w:rsidR="001D0435" w:rsidRPr="00E872A4" w:rsidRDefault="001D0435" w:rsidP="00A66D0D">
      <w:pPr>
        <w:spacing w:line="276" w:lineRule="auto"/>
        <w:jc w:val="both"/>
        <w:rPr>
          <w:rFonts w:eastAsia="Times New Roman"/>
          <w:lang w:val="sq-AL"/>
        </w:rPr>
      </w:pPr>
      <w:r w:rsidRPr="00E872A4">
        <w:rPr>
          <w:rFonts w:eastAsia="Times New Roman"/>
          <w:u w:val="single"/>
          <w:lang w:val="sq-AL"/>
        </w:rPr>
        <w:t>Gjithashtu, janë përgatitur kurrikulat për Programin e Trajnimit të  Nivelit të Lartë të Drejtues</w:t>
      </w:r>
      <w:r w:rsidRPr="00E872A4">
        <w:rPr>
          <w:rFonts w:eastAsia="Times New Roman"/>
          <w:lang w:val="sq-AL"/>
        </w:rPr>
        <w:t xml:space="preserve"> dhe gjatë vitit 2017 janë pilotuar dy nga pesë kurrikulat e trajnimit. Ndërkohë, e-library është funksionale me mbi 30 kurrikula.</w:t>
      </w: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 </w:t>
      </w:r>
    </w:p>
    <w:p w:rsidR="001D0435" w:rsidRPr="001D0435" w:rsidRDefault="001D0435" w:rsidP="001D0435">
      <w:pPr>
        <w:pBdr>
          <w:top w:val="nil"/>
          <w:left w:val="nil"/>
          <w:bottom w:val="nil"/>
          <w:right w:val="nil"/>
          <w:between w:val="nil"/>
        </w:pBdr>
        <w:spacing w:line="276" w:lineRule="auto"/>
        <w:contextualSpacing/>
        <w:jc w:val="both"/>
        <w:rPr>
          <w:rFonts w:eastAsia="Times New Roman"/>
          <w:b/>
          <w:lang w:val="sq-AL"/>
        </w:rPr>
      </w:pPr>
      <w:r w:rsidRPr="001D0435">
        <w:rPr>
          <w:rFonts w:eastAsia="Times New Roman"/>
          <w:b/>
          <w:lang w:val="sq-AL"/>
        </w:rPr>
        <w:t>Synimet për vitin 2018</w:t>
      </w:r>
    </w:p>
    <w:p w:rsidR="001D0435" w:rsidRPr="00E872A4" w:rsidRDefault="001D0435" w:rsidP="001D0435">
      <w:pPr>
        <w:jc w:val="both"/>
        <w:rPr>
          <w:rFonts w:eastAsia="Times New Roman"/>
          <w:b/>
          <w:u w:val="single"/>
          <w:lang w:val="sq-AL"/>
        </w:rPr>
      </w:pPr>
      <w:r w:rsidRPr="00E872A4">
        <w:rPr>
          <w:rFonts w:eastAsia="Times New Roman"/>
          <w:b/>
          <w:u w:val="single"/>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Përcaktimi i Planit të ri të Veprimit të SNRAP</w:t>
      </w:r>
      <w:r w:rsidRPr="00E872A4">
        <w:rPr>
          <w:rFonts w:eastAsia="Times New Roman"/>
          <w:u w:val="single"/>
          <w:lang w:val="sq-AL"/>
        </w:rPr>
        <w:t xml:space="preserve"> </w:t>
      </w:r>
      <w:r w:rsidRPr="00E872A4">
        <w:rPr>
          <w:rFonts w:eastAsia="Times New Roman"/>
          <w:lang w:val="sq-AL"/>
        </w:rPr>
        <w:t xml:space="preserve">dhe aktiviteteve për periudhën 2018-2020 është një ndër synimet e tre-mujorit të parë të vitit 2018. Nëpërmjet vlerësimit afat-mesëm të Stratëgjisë (proces ky i kryer gjatë vitit 2016) do të shërbejë si një bazë për të bërë një vlerësim më të saktë të nevojave financiare për zbatimin e strategjisë për periudhën e ardhshme 3-vjecare, duke orientuar kështu nevojat financiare në kuadër të Programit Buxhetor Afatmesëm. Gjithashtu, synohet vlerësimi i rëdësisë së objektivave të strategjisë dhe të </w:t>
      </w:r>
      <w:r w:rsidRPr="00E872A4">
        <w:rPr>
          <w:rFonts w:eastAsia="Times New Roman"/>
          <w:i/>
          <w:lang w:val="sq-AL"/>
        </w:rPr>
        <w:t xml:space="preserve">“gjendjes aktuale” </w:t>
      </w:r>
      <w:r w:rsidRPr="00E872A4">
        <w:rPr>
          <w:rFonts w:eastAsia="Times New Roman"/>
          <w:lang w:val="sq-AL"/>
        </w:rPr>
        <w:t>me qëllim që Plani i Ri i Veprimit të reflektojë ndryshime të mundshme të aktiviteteve të cilat kërkojnë vemendje të veçantë dhe që nuk janë mbuluar siç duhet në strategji. Ky vlerësim ka një rëndësi të veçantë edhe në kuadër të rishikimit të atyre aktiviteteve të cilat kanë shënuar vonesa në implementimin apo që nuk kanë një produkt final të qartë. Ndër të tjera, Plani i Ri i Veprimit duhet të marrë në konsideratë prioritetet e reja të qeverisë dhe të hartohet edhe në përputhje me to. Vemendje e veçantë do t´i kushtohet afateve kohore dhe burimeve të financimit për realizimin e masave.</w:t>
      </w:r>
    </w:p>
    <w:p w:rsidR="001D0435" w:rsidRPr="00E872A4" w:rsidRDefault="001D0435" w:rsidP="00A66D0D">
      <w:pPr>
        <w:spacing w:line="276" w:lineRule="auto"/>
        <w:jc w:val="both"/>
        <w:rPr>
          <w:rFonts w:eastAsia="Times New Roman"/>
          <w:highlight w:val="yellow"/>
          <w:lang w:val="sq-AL"/>
        </w:rPr>
      </w:pP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 xml:space="preserve">Ndjekja e procesit të reformimit dhe ristrukturimit të institucioneve të varësisë, </w:t>
      </w:r>
      <w:r w:rsidRPr="00E872A4">
        <w:rPr>
          <w:rFonts w:eastAsia="Times New Roman"/>
          <w:lang w:val="sq-AL"/>
        </w:rPr>
        <w:t>në kuadër të projektit për bashkëqeverisjen me qytetarët. Ky proces parashikon rishikimin e funksioneve të të gjithë institucioneve të varësisë, përfshirë inspektoratet dhe agjencitë, me qëllim riorganizmin e tyre për të rritur frytshmërinë dhe efikasitetin në punë. Gjithashtu ky proces synon ndërtimin e institucioneve qendrore të admin</w:t>
      </w:r>
      <w:r w:rsidR="00EA68C2">
        <w:rPr>
          <w:rFonts w:eastAsia="Times New Roman"/>
          <w:lang w:val="sq-AL"/>
        </w:rPr>
        <w:t>istratës shtetërore, me qëllim:</w:t>
      </w:r>
    </w:p>
    <w:p w:rsidR="001D0435" w:rsidRPr="00E872A4" w:rsidRDefault="001D0435" w:rsidP="00A66D0D">
      <w:pPr>
        <w:numPr>
          <w:ilvl w:val="0"/>
          <w:numId w:val="107"/>
        </w:numPr>
        <w:pBdr>
          <w:top w:val="nil"/>
          <w:left w:val="nil"/>
          <w:bottom w:val="nil"/>
          <w:right w:val="nil"/>
          <w:between w:val="nil"/>
        </w:pBdr>
        <w:spacing w:line="276" w:lineRule="auto"/>
        <w:jc w:val="both"/>
        <w:rPr>
          <w:rFonts w:eastAsia="Times New Roman"/>
          <w:lang w:val="sq-AL"/>
        </w:rPr>
      </w:pPr>
      <w:r w:rsidRPr="00E872A4">
        <w:rPr>
          <w:rFonts w:eastAsia="Times New Roman"/>
          <w:color w:val="222222"/>
          <w:highlight w:val="white"/>
          <w:lang w:val="sq-AL"/>
        </w:rPr>
        <w:t>Pozicionimin e duhur të institucioneve pranë sistemeve të reja ministrore, bazuar mbi funksionet e tyre dhe fushat e përgjegjësive të ministrive të reja;</w:t>
      </w:r>
    </w:p>
    <w:p w:rsidR="001D0435" w:rsidRPr="00E872A4" w:rsidRDefault="001D0435" w:rsidP="00A66D0D">
      <w:pPr>
        <w:numPr>
          <w:ilvl w:val="0"/>
          <w:numId w:val="107"/>
        </w:numPr>
        <w:pBdr>
          <w:top w:val="nil"/>
          <w:left w:val="nil"/>
          <w:bottom w:val="nil"/>
          <w:right w:val="nil"/>
          <w:between w:val="nil"/>
        </w:pBdr>
        <w:spacing w:line="276" w:lineRule="auto"/>
        <w:jc w:val="both"/>
        <w:rPr>
          <w:rFonts w:eastAsia="Times New Roman"/>
          <w:color w:val="222222"/>
          <w:highlight w:val="white"/>
          <w:lang w:val="sq-AL"/>
        </w:rPr>
      </w:pPr>
      <w:r w:rsidRPr="00E872A4">
        <w:rPr>
          <w:rFonts w:eastAsia="Times New Roman"/>
          <w:color w:val="222222"/>
          <w:highlight w:val="white"/>
          <w:lang w:val="sq-AL"/>
        </w:rPr>
        <w:t>Rajonalizimin dhe decentralizmin: Organizimi mbi bazë rajonesh (rajonalizimi) i institucioneve monitoruese. Këtu bëhet fjalë për degët e ministrive në territor (psh. drejtoritë arsimore rajonale), pa përfshirë zyrat e shërbimit të cilat do të vazhdojnë të jenë të shpërndara në të gjithë territorin, etj.;</w:t>
      </w:r>
    </w:p>
    <w:p w:rsidR="001D0435" w:rsidRPr="00E872A4" w:rsidRDefault="001D0435" w:rsidP="00A66D0D">
      <w:pPr>
        <w:numPr>
          <w:ilvl w:val="0"/>
          <w:numId w:val="107"/>
        </w:numPr>
        <w:pBdr>
          <w:top w:val="nil"/>
          <w:left w:val="nil"/>
          <w:bottom w:val="nil"/>
          <w:right w:val="nil"/>
          <w:between w:val="nil"/>
        </w:pBdr>
        <w:spacing w:line="276" w:lineRule="auto"/>
        <w:jc w:val="both"/>
        <w:rPr>
          <w:rFonts w:eastAsia="Times New Roman"/>
          <w:color w:val="222222"/>
          <w:highlight w:val="white"/>
          <w:lang w:val="sq-AL"/>
        </w:rPr>
      </w:pPr>
      <w:r w:rsidRPr="00E872A4">
        <w:rPr>
          <w:rFonts w:eastAsia="Times New Roman"/>
          <w:color w:val="222222"/>
          <w:highlight w:val="white"/>
          <w:lang w:val="sq-AL"/>
        </w:rPr>
        <w:t>Orientimin me në qendër qytetarin;</w:t>
      </w:r>
    </w:p>
    <w:p w:rsidR="001D0435" w:rsidRPr="00E872A4" w:rsidRDefault="001D0435" w:rsidP="00A66D0D">
      <w:pPr>
        <w:numPr>
          <w:ilvl w:val="0"/>
          <w:numId w:val="107"/>
        </w:numPr>
        <w:pBdr>
          <w:top w:val="nil"/>
          <w:left w:val="nil"/>
          <w:bottom w:val="nil"/>
          <w:right w:val="nil"/>
          <w:between w:val="nil"/>
        </w:pBdr>
        <w:spacing w:line="276" w:lineRule="auto"/>
        <w:jc w:val="both"/>
        <w:rPr>
          <w:rFonts w:eastAsia="Times New Roman"/>
          <w:color w:val="222222"/>
          <w:highlight w:val="white"/>
          <w:lang w:val="sq-AL"/>
        </w:rPr>
      </w:pPr>
      <w:r w:rsidRPr="00E872A4">
        <w:rPr>
          <w:rFonts w:eastAsia="Times New Roman"/>
          <w:color w:val="222222"/>
          <w:highlight w:val="white"/>
          <w:lang w:val="sq-AL"/>
        </w:rPr>
        <w:t>Thjeshtimin e ndërveprimit me qytetarët dhe bizneset, duke organizuar ndarjen e punës brenda institucioneve, de-rregullimin dhe ristrukturimin;</w:t>
      </w:r>
    </w:p>
    <w:p w:rsidR="001D0435" w:rsidRPr="00E872A4" w:rsidRDefault="001D0435" w:rsidP="00A66D0D">
      <w:pPr>
        <w:numPr>
          <w:ilvl w:val="0"/>
          <w:numId w:val="107"/>
        </w:numPr>
        <w:pBdr>
          <w:top w:val="nil"/>
          <w:left w:val="nil"/>
          <w:bottom w:val="nil"/>
          <w:right w:val="nil"/>
          <w:between w:val="nil"/>
        </w:pBdr>
        <w:spacing w:line="276" w:lineRule="auto"/>
        <w:jc w:val="both"/>
        <w:rPr>
          <w:rFonts w:eastAsia="Times New Roman"/>
          <w:color w:val="222222"/>
          <w:highlight w:val="white"/>
          <w:lang w:val="sq-AL"/>
        </w:rPr>
      </w:pPr>
      <w:r w:rsidRPr="00E872A4">
        <w:rPr>
          <w:rFonts w:eastAsia="Times New Roman"/>
          <w:color w:val="222222"/>
          <w:highlight w:val="white"/>
          <w:lang w:val="sq-AL"/>
        </w:rPr>
        <w:t>Shpërndarjen në nivel vendor të qendrave të ofrimit të shërbimeve me qëllim rr</w:t>
      </w:r>
      <w:r>
        <w:rPr>
          <w:rFonts w:eastAsia="Times New Roman"/>
          <w:color w:val="222222"/>
          <w:highlight w:val="white"/>
          <w:lang w:val="sq-AL"/>
        </w:rPr>
        <w:t>itjen e aksesit ndaj shërbimeve.</w:t>
      </w:r>
    </w:p>
    <w:p w:rsidR="001D0435" w:rsidRPr="00E872A4" w:rsidRDefault="001D0435" w:rsidP="00A66D0D">
      <w:pPr>
        <w:numPr>
          <w:ilvl w:val="0"/>
          <w:numId w:val="107"/>
        </w:numPr>
        <w:pBdr>
          <w:top w:val="nil"/>
          <w:left w:val="nil"/>
          <w:bottom w:val="nil"/>
          <w:right w:val="nil"/>
          <w:between w:val="nil"/>
        </w:pBdr>
        <w:spacing w:line="276" w:lineRule="auto"/>
        <w:jc w:val="both"/>
        <w:rPr>
          <w:rFonts w:eastAsia="Times New Roman"/>
          <w:color w:val="222222"/>
          <w:highlight w:val="white"/>
          <w:lang w:val="sq-AL"/>
        </w:rPr>
      </w:pPr>
      <w:r w:rsidRPr="00E872A4">
        <w:rPr>
          <w:rFonts w:eastAsia="Times New Roman"/>
          <w:color w:val="222222"/>
          <w:highlight w:val="white"/>
          <w:lang w:val="sq-AL"/>
        </w:rPr>
        <w:t xml:space="preserve">Forcimin e menaxhimit dhe ekzekutimit më tepër në nivel agjencie dhe fuqizimin </w:t>
      </w:r>
      <w:r>
        <w:rPr>
          <w:rFonts w:eastAsia="Times New Roman"/>
          <w:color w:val="222222"/>
          <w:highlight w:val="white"/>
          <w:lang w:val="sq-AL"/>
        </w:rPr>
        <w:t>m</w:t>
      </w:r>
      <w:r w:rsidRPr="00E872A4">
        <w:rPr>
          <w:rFonts w:eastAsia="Times New Roman"/>
          <w:color w:val="222222"/>
          <w:highlight w:val="white"/>
          <w:lang w:val="sq-AL"/>
        </w:rPr>
        <w:t>e qasje në bazë të performancës.</w:t>
      </w:r>
      <w:r w:rsidRPr="00E872A4">
        <w:rPr>
          <w:rFonts w:eastAsia="Times New Roman"/>
          <w:i/>
          <w:u w:val="single"/>
          <w:lang w:val="sq-AL"/>
        </w:rPr>
        <w:t xml:space="preserve"> </w:t>
      </w:r>
    </w:p>
    <w:p w:rsidR="001D0435" w:rsidRPr="00EA68C2" w:rsidRDefault="001D0435" w:rsidP="00A66D0D">
      <w:pPr>
        <w:spacing w:line="276" w:lineRule="auto"/>
        <w:jc w:val="both"/>
        <w:rPr>
          <w:rFonts w:eastAsia="Times New Roman"/>
          <w:lang w:val="sq-AL"/>
        </w:rPr>
      </w:pPr>
      <w:r w:rsidRPr="00E872A4">
        <w:rPr>
          <w:rFonts w:eastAsia="Times New Roman"/>
          <w:i/>
          <w:u w:val="single"/>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Përmirësimi i mëtejshëm i cilësisë së përshkrimeve të punës</w:t>
      </w:r>
      <w:r w:rsidRPr="00E872A4">
        <w:rPr>
          <w:rFonts w:eastAsia="Times New Roman"/>
          <w:lang w:val="sq-AL"/>
        </w:rPr>
        <w:t>, duke tentuar një unifikim të përmbajtjes së tyre, për punë të ngjashme në institucione te ndryshme, duke përmirësuar dhe formuluar qartë  misionin, qëllimin, objektivat, detyrat dhe kriteret e çdo pozicioni, njësie organizative të punës, në institucionet qëndrore të administratës shtetërore, në kuadër edhe të reformës strukturore që po realizohet aktualisht.</w:t>
      </w: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Për herë të parë do të synohet të hartohen krahas strukturës edhe Manuali Operacional i Përshkrimeve të Punës për çdo pozicion duke lidhur në mënyrë të integruar gjithë zinxhirin hierarkik nga Ministri deri tek </w:t>
      </w:r>
      <w:r w:rsidRPr="00E872A4">
        <w:rPr>
          <w:rFonts w:eastAsia="Times New Roman"/>
          <w:lang w:val="sq-AL"/>
        </w:rPr>
        <w:lastRenderedPageBreak/>
        <w:t>specialisti më i fundit në strukturë. Ky Manual synon të integrojë jo vetëm punën në ministri por edhe marrëdhënien dhe ndërveprimin e saj me ministritë e tjera dhe institucionin e Kryeministrit.</w:t>
      </w: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Përmirësimi i procesit të përzgjedhjes dhe vlerësimit të kandidatëve</w:t>
      </w:r>
      <w:r w:rsidRPr="00E872A4">
        <w:rPr>
          <w:rFonts w:eastAsia="Times New Roman"/>
          <w:lang w:val="sq-AL"/>
        </w:rPr>
        <w:t xml:space="preserve"> që konkurojnë për t’u bërë pj</w:t>
      </w:r>
      <w:r w:rsidR="00EA68C2">
        <w:rPr>
          <w:rFonts w:eastAsia="Times New Roman"/>
          <w:lang w:val="sq-AL"/>
        </w:rPr>
        <w:t>esë e administratës shtetërore:</w:t>
      </w:r>
    </w:p>
    <w:p w:rsidR="001D0435" w:rsidRPr="00E872A4" w:rsidRDefault="001D0435" w:rsidP="00A66D0D">
      <w:pPr>
        <w:numPr>
          <w:ilvl w:val="0"/>
          <w:numId w:val="110"/>
        </w:numPr>
        <w:pBdr>
          <w:top w:val="nil"/>
          <w:left w:val="nil"/>
          <w:bottom w:val="nil"/>
          <w:right w:val="nil"/>
          <w:between w:val="nil"/>
        </w:pBdr>
        <w:spacing w:line="276" w:lineRule="auto"/>
        <w:contextualSpacing/>
        <w:jc w:val="both"/>
        <w:rPr>
          <w:rFonts w:eastAsia="Times New Roman"/>
          <w:lang w:val="sq-AL"/>
        </w:rPr>
      </w:pPr>
      <w:r w:rsidRPr="00E872A4">
        <w:rPr>
          <w:rFonts w:eastAsia="Times New Roman"/>
          <w:lang w:val="sq-AL"/>
        </w:rPr>
        <w:t>rritja e kapaciteteve vlerësuese të anëtarëve të komiteteve të pranimit;</w:t>
      </w:r>
    </w:p>
    <w:p w:rsidR="001D0435" w:rsidRPr="00E872A4" w:rsidRDefault="001D0435" w:rsidP="00A66D0D">
      <w:pPr>
        <w:numPr>
          <w:ilvl w:val="0"/>
          <w:numId w:val="110"/>
        </w:numPr>
        <w:pBdr>
          <w:top w:val="nil"/>
          <w:left w:val="nil"/>
          <w:bottom w:val="nil"/>
          <w:right w:val="nil"/>
          <w:between w:val="nil"/>
        </w:pBdr>
        <w:spacing w:line="276" w:lineRule="auto"/>
        <w:contextualSpacing/>
        <w:jc w:val="both"/>
        <w:rPr>
          <w:rFonts w:eastAsia="Times New Roman"/>
          <w:lang w:val="sq-AL"/>
        </w:rPr>
      </w:pPr>
      <w:r w:rsidRPr="00E872A4">
        <w:rPr>
          <w:rFonts w:eastAsia="Times New Roman"/>
          <w:lang w:val="sq-AL"/>
        </w:rPr>
        <w:t>përmirësimi i cilësisë së pyetjeve në testimet me shkrim, nëpërmjet zhvillimit dhe pasurimit të mëtejshëm të bankës së pyetjeve;</w:t>
      </w:r>
    </w:p>
    <w:p w:rsidR="001D0435" w:rsidRPr="00E872A4" w:rsidRDefault="001D0435" w:rsidP="00A66D0D">
      <w:pPr>
        <w:numPr>
          <w:ilvl w:val="0"/>
          <w:numId w:val="110"/>
        </w:numPr>
        <w:pBdr>
          <w:top w:val="nil"/>
          <w:left w:val="nil"/>
          <w:bottom w:val="nil"/>
          <w:right w:val="nil"/>
          <w:between w:val="nil"/>
        </w:pBdr>
        <w:spacing w:line="276" w:lineRule="auto"/>
        <w:contextualSpacing/>
        <w:jc w:val="both"/>
        <w:rPr>
          <w:rFonts w:eastAsia="Times New Roman"/>
          <w:lang w:val="sq-AL"/>
        </w:rPr>
      </w:pPr>
      <w:r w:rsidRPr="00E872A4">
        <w:rPr>
          <w:rFonts w:eastAsia="Times New Roman"/>
          <w:lang w:val="sq-AL"/>
        </w:rPr>
        <w:t>përmirësimi i cilësisë së intervistës me gojë, nëpërmjet përfshirjes së pyetjeve që vlerësojnë aftësitë individuale të kandidatëve si dhe integritetin e tyre.</w:t>
      </w:r>
    </w:p>
    <w:p w:rsidR="001D0435" w:rsidRPr="00E872A4" w:rsidRDefault="001D0435" w:rsidP="00A66D0D">
      <w:pPr>
        <w:spacing w:line="276" w:lineRule="auto"/>
        <w:jc w:val="both"/>
        <w:rPr>
          <w:rFonts w:eastAsia="Times New Roman"/>
          <w:lang w:val="sq-AL"/>
        </w:rPr>
      </w:pP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Forcimi i kapaciteteve të DAP dhe njësive të burimeve njerëzore</w:t>
      </w:r>
      <w:r w:rsidRPr="00E872A4">
        <w:rPr>
          <w:rFonts w:eastAsia="Times New Roman"/>
          <w:i/>
          <w:lang w:val="sq-AL"/>
        </w:rPr>
        <w:t xml:space="preserve"> </w:t>
      </w:r>
      <w:r w:rsidRPr="00E872A4">
        <w:rPr>
          <w:rFonts w:eastAsia="Times New Roman"/>
          <w:lang w:val="sq-AL"/>
        </w:rPr>
        <w:t>në institucionet e administratës shtetërore, për të çuar përpara reformën në shërbimin civil, nëpërmjet trainimeve të vazhdueshme për kuptimin e politikave të menaxhimit të burimeve njerëzore, ndërlidhjen dhe efektet e tyre. Fokus i veçantë do të kushtohet planifikimit të burimeve njerëzore në shërbimin civil.</w:t>
      </w: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 </w:t>
      </w:r>
    </w:p>
    <w:p w:rsidR="001D0435" w:rsidRPr="00E872A4" w:rsidRDefault="001D0435" w:rsidP="00EA68C2">
      <w:pPr>
        <w:spacing w:after="120" w:line="276" w:lineRule="auto"/>
        <w:jc w:val="both"/>
        <w:rPr>
          <w:rFonts w:eastAsia="Times New Roman"/>
          <w:lang w:val="sq-AL"/>
        </w:rPr>
      </w:pPr>
      <w:r w:rsidRPr="00E872A4">
        <w:rPr>
          <w:rFonts w:eastAsia="Times New Roman"/>
          <w:i/>
          <w:u w:val="single"/>
          <w:lang w:val="sq-AL"/>
        </w:rPr>
        <w:t>Zbatimi i mekanizmave ligjorë</w:t>
      </w:r>
      <w:r w:rsidRPr="00E872A4">
        <w:rPr>
          <w:rFonts w:eastAsia="Times New Roman"/>
          <w:lang w:val="sq-AL"/>
        </w:rPr>
        <w:t xml:space="preserve"> për të testuar dhe verifikuar paraprakisht integritetin e kandidatëve për vende pune dhe në vijimësi integritetin e punonjësve, në ad</w:t>
      </w:r>
      <w:r w:rsidR="00EA68C2">
        <w:rPr>
          <w:rFonts w:eastAsia="Times New Roman"/>
          <w:lang w:val="sq-AL"/>
        </w:rPr>
        <w:t>ministratën publike, nëpërmjet:</w:t>
      </w:r>
    </w:p>
    <w:p w:rsidR="001D0435" w:rsidRPr="00E872A4" w:rsidRDefault="001D0435" w:rsidP="00EA68C2">
      <w:pPr>
        <w:spacing w:after="120" w:line="276" w:lineRule="auto"/>
        <w:ind w:left="446"/>
        <w:jc w:val="both"/>
        <w:rPr>
          <w:rFonts w:eastAsia="Times New Roman"/>
          <w:lang w:val="sq-AL"/>
        </w:rPr>
      </w:pPr>
      <w:r w:rsidRPr="00E872A4">
        <w:rPr>
          <w:rFonts w:eastAsia="Times New Roman"/>
          <w:lang w:val="sq-AL"/>
        </w:rPr>
        <w:t>(i) përdorimit të pyetjeve që vlerësojnë integritetin e kandidatëve, duke bërë pjesë të procesit të përzgjedhjes testimin e elementëve që lidhen me ndershmërinë dhe integritetin e individëve, të cilët punësohen në sektorin publik si parakusht për parandalimin e korrupsionit;</w:t>
      </w:r>
    </w:p>
    <w:p w:rsidR="001D0435" w:rsidRPr="00E872A4" w:rsidRDefault="001D0435" w:rsidP="00EA68C2">
      <w:pPr>
        <w:spacing w:after="120" w:line="276" w:lineRule="auto"/>
        <w:ind w:left="446"/>
        <w:jc w:val="both"/>
        <w:rPr>
          <w:rFonts w:eastAsia="Times New Roman"/>
          <w:lang w:val="sq-AL"/>
        </w:rPr>
      </w:pPr>
      <w:r w:rsidRPr="00E872A4">
        <w:rPr>
          <w:rFonts w:eastAsia="Times New Roman"/>
          <w:lang w:val="sq-AL"/>
        </w:rPr>
        <w:t xml:space="preserve">(ii) </w:t>
      </w:r>
      <w:r w:rsidR="00EA68C2">
        <w:rPr>
          <w:rFonts w:eastAsia="Times New Roman"/>
          <w:lang w:val="sq-AL"/>
        </w:rPr>
        <w:t>v</w:t>
      </w:r>
      <w:r w:rsidRPr="00E872A4">
        <w:rPr>
          <w:rFonts w:eastAsia="Times New Roman"/>
          <w:lang w:val="sq-AL"/>
        </w:rPr>
        <w:t>erifikimit paraprak të të gjithë punonjësve që emërohen në pozicione të shërbimit civil, trupin diplomatik, si dhe në çdo nivel drejtues në administratën publike, bazuar në ligjin 138/2015.</w:t>
      </w:r>
    </w:p>
    <w:p w:rsidR="001D0435" w:rsidRPr="002371BA" w:rsidRDefault="001D0435" w:rsidP="00A66D0D">
      <w:pPr>
        <w:spacing w:line="276" w:lineRule="auto"/>
        <w:jc w:val="both"/>
        <w:rPr>
          <w:rFonts w:eastAsia="Times New Roman"/>
          <w:sz w:val="16"/>
          <w:szCs w:val="16"/>
          <w:lang w:val="sq-AL"/>
        </w:rPr>
      </w:pP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Vlerësimi i performancës së nëpunësve civilë si dhe i kapaciteteve ekzistuese, nëpërmjet</w:t>
      </w:r>
      <w:r w:rsidR="002371BA">
        <w:rPr>
          <w:rFonts w:eastAsia="Times New Roman"/>
          <w:lang w:val="sq-AL"/>
        </w:rPr>
        <w:t>:</w:t>
      </w:r>
    </w:p>
    <w:p w:rsidR="001D0435" w:rsidRPr="00E872A4" w:rsidRDefault="001D0435" w:rsidP="00A66D0D">
      <w:pPr>
        <w:numPr>
          <w:ilvl w:val="0"/>
          <w:numId w:val="109"/>
        </w:numPr>
        <w:pBdr>
          <w:top w:val="nil"/>
          <w:left w:val="nil"/>
          <w:bottom w:val="nil"/>
          <w:right w:val="nil"/>
          <w:between w:val="nil"/>
        </w:pBdr>
        <w:spacing w:line="276" w:lineRule="auto"/>
        <w:contextualSpacing/>
        <w:jc w:val="both"/>
        <w:rPr>
          <w:rFonts w:eastAsia="Times New Roman"/>
          <w:lang w:val="sq-AL"/>
        </w:rPr>
      </w:pPr>
      <w:r w:rsidRPr="00E872A4">
        <w:rPr>
          <w:rFonts w:eastAsia="Times New Roman"/>
          <w:lang w:val="sq-AL"/>
        </w:rPr>
        <w:t>përcaktimit të saktë të objektivave për periudhën e vlerësimit;</w:t>
      </w:r>
    </w:p>
    <w:p w:rsidR="001D0435" w:rsidRPr="00E872A4" w:rsidRDefault="001D0435" w:rsidP="00A66D0D">
      <w:pPr>
        <w:numPr>
          <w:ilvl w:val="0"/>
          <w:numId w:val="109"/>
        </w:numPr>
        <w:pBdr>
          <w:top w:val="nil"/>
          <w:left w:val="nil"/>
          <w:bottom w:val="nil"/>
          <w:right w:val="nil"/>
          <w:between w:val="nil"/>
        </w:pBdr>
        <w:spacing w:line="276" w:lineRule="auto"/>
        <w:contextualSpacing/>
        <w:jc w:val="both"/>
        <w:rPr>
          <w:rFonts w:eastAsia="Times New Roman"/>
          <w:lang w:val="sq-AL"/>
        </w:rPr>
      </w:pPr>
      <w:r w:rsidRPr="00E872A4">
        <w:rPr>
          <w:rFonts w:eastAsia="Times New Roman"/>
          <w:lang w:val="sq-AL"/>
        </w:rPr>
        <w:t>përcaktimit të saktë të indikatorëve për matjen e realizimit të objektivave;</w:t>
      </w:r>
    </w:p>
    <w:p w:rsidR="001D0435" w:rsidRPr="00E872A4" w:rsidRDefault="001D0435" w:rsidP="00A66D0D">
      <w:pPr>
        <w:numPr>
          <w:ilvl w:val="0"/>
          <w:numId w:val="109"/>
        </w:numPr>
        <w:pBdr>
          <w:top w:val="nil"/>
          <w:left w:val="nil"/>
          <w:bottom w:val="nil"/>
          <w:right w:val="nil"/>
          <w:between w:val="nil"/>
        </w:pBdr>
        <w:spacing w:line="276" w:lineRule="auto"/>
        <w:contextualSpacing/>
        <w:jc w:val="both"/>
        <w:rPr>
          <w:rFonts w:eastAsia="Times New Roman"/>
          <w:lang w:val="sq-AL"/>
        </w:rPr>
      </w:pPr>
      <w:r w:rsidRPr="00E872A4">
        <w:rPr>
          <w:rFonts w:eastAsia="Times New Roman"/>
          <w:lang w:val="sq-AL"/>
        </w:rPr>
        <w:t>trajnimit të zyrtarëve të ngarkuar me këtë proces, në lidhje me të gjithë hapat e procesit të vlerësimit.</w:t>
      </w:r>
    </w:p>
    <w:p w:rsidR="001D0435" w:rsidRPr="00E872A4" w:rsidRDefault="001D0435" w:rsidP="00A66D0D">
      <w:pPr>
        <w:spacing w:line="276" w:lineRule="auto"/>
        <w:ind w:left="1360"/>
        <w:jc w:val="both"/>
        <w:rPr>
          <w:rFonts w:eastAsia="Times New Roman"/>
          <w:lang w:val="sq-AL"/>
        </w:rPr>
      </w:pPr>
      <w:r w:rsidRPr="00E872A4">
        <w:rPr>
          <w:rFonts w:eastAsia="Times New Roman"/>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Zbatimi i mëtejshëm i vendimeve gjyqësore të formës së prerë</w:t>
      </w:r>
      <w:r w:rsidRPr="00E872A4">
        <w:rPr>
          <w:rFonts w:eastAsia="Times New Roman"/>
          <w:lang w:val="sq-AL"/>
        </w:rPr>
        <w:t xml:space="preserve"> dhe rikthimi në detyrë i nëpunësve civilë gjyqfitues. Zbatimi i vendimeve gjyqësore të formës së prerë i cili lidhet edhe me detyrimin për rikthim në punë të nëpunësve civilë gjyqfitues, mbetet ende një ndër çështjet që kërkon vëmendje të shtuar nga DAP dhe institucionet e administratës shtetërore. Kjo për faktin se zbatimi i këtyre vendimeve është një proces jo shterues, në këndvështrim të detyrimit ligjor që DAP-i ka si njësi përgjegjëse. Në kë</w:t>
      </w:r>
      <w:r w:rsidR="002371BA">
        <w:rPr>
          <w:rFonts w:eastAsia="Times New Roman"/>
          <w:lang w:val="sq-AL"/>
        </w:rPr>
        <w:t>të aspekt fokusi do të jetë në:</w:t>
      </w:r>
    </w:p>
    <w:p w:rsidR="001D0435" w:rsidRPr="00E872A4" w:rsidRDefault="001D0435" w:rsidP="00A66D0D">
      <w:pPr>
        <w:spacing w:line="276" w:lineRule="auto"/>
        <w:ind w:left="1080" w:hanging="360"/>
        <w:jc w:val="both"/>
        <w:rPr>
          <w:rFonts w:eastAsia="Times New Roman"/>
          <w:lang w:val="sq-AL"/>
        </w:rPr>
      </w:pPr>
      <w:r w:rsidRPr="00E872A4">
        <w:rPr>
          <w:rFonts w:eastAsia="Times New Roman"/>
          <w:lang w:val="sq-AL"/>
        </w:rPr>
        <w:t>(i) rritjen e cilësisë së administrimit të dokumentacionit të nevojshëm (dosjeve personale të nëpunësve të larguar), me qëllim zbatimin e saktë të detyrimeve ligjore që burojnë nga këto vendime;</w:t>
      </w:r>
    </w:p>
    <w:p w:rsidR="001D0435" w:rsidRPr="00E872A4" w:rsidRDefault="001D0435" w:rsidP="00A66D0D">
      <w:pPr>
        <w:spacing w:line="276" w:lineRule="auto"/>
        <w:ind w:left="1080" w:hanging="360"/>
        <w:jc w:val="both"/>
        <w:rPr>
          <w:rFonts w:eastAsia="Times New Roman"/>
          <w:lang w:val="sq-AL"/>
        </w:rPr>
      </w:pPr>
      <w:r w:rsidRPr="00E872A4">
        <w:rPr>
          <w:rFonts w:eastAsia="Times New Roman"/>
          <w:lang w:val="sq-AL"/>
        </w:rPr>
        <w:t>(ii) vlerësimin rast pas rasti të secilit vendim dhe detyrimeve që burojnë prej tij</w:t>
      </w:r>
    </w:p>
    <w:p w:rsidR="001D0435" w:rsidRPr="00E872A4" w:rsidRDefault="001D0435" w:rsidP="00A66D0D">
      <w:pPr>
        <w:spacing w:line="276" w:lineRule="auto"/>
        <w:ind w:left="1080" w:hanging="360"/>
        <w:jc w:val="both"/>
        <w:rPr>
          <w:rFonts w:eastAsia="Times New Roman"/>
          <w:lang w:val="sq-AL"/>
        </w:rPr>
      </w:pPr>
      <w:r w:rsidRPr="00E872A4">
        <w:rPr>
          <w:rFonts w:eastAsia="Times New Roman"/>
          <w:lang w:val="sq-AL"/>
        </w:rPr>
        <w:t>(iii) përmirësimin e mëtejshëm të sistemit online të raportimit të të dhënave gjyqësore, nga institucionet e administratës shtetërore.</w:t>
      </w:r>
    </w:p>
    <w:p w:rsidR="001D0435" w:rsidRPr="00E872A4" w:rsidRDefault="001D0435" w:rsidP="00A66D0D">
      <w:pPr>
        <w:spacing w:line="276" w:lineRule="auto"/>
        <w:ind w:left="1800"/>
        <w:jc w:val="both"/>
        <w:rPr>
          <w:rFonts w:eastAsia="Times New Roman"/>
          <w:lang w:val="sq-AL"/>
        </w:rPr>
      </w:pPr>
      <w:r w:rsidRPr="00E872A4">
        <w:rPr>
          <w:rFonts w:eastAsia="Times New Roman"/>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Zhvillimi i mëtejshëm i metodave inovative</w:t>
      </w:r>
      <w:r w:rsidRPr="00E872A4">
        <w:rPr>
          <w:rFonts w:eastAsia="Times New Roman"/>
          <w:lang w:val="sq-AL"/>
        </w:rPr>
        <w:t xml:space="preserve"> për të përmirësuar dhe lehtësuar komunikimin dhe ndërveprimin mes institucioneve publike dhe qytetarëve, nëpërmjet:</w:t>
      </w:r>
    </w:p>
    <w:p w:rsidR="001D0435" w:rsidRPr="00E872A4" w:rsidRDefault="001D0435" w:rsidP="00A66D0D">
      <w:pPr>
        <w:spacing w:line="276" w:lineRule="auto"/>
        <w:jc w:val="both"/>
        <w:rPr>
          <w:rFonts w:eastAsia="Times New Roman"/>
          <w:lang w:val="sq-AL"/>
        </w:rPr>
      </w:pPr>
    </w:p>
    <w:p w:rsidR="001D0435" w:rsidRPr="00E872A4" w:rsidRDefault="001D0435" w:rsidP="00A66D0D">
      <w:pPr>
        <w:spacing w:line="276" w:lineRule="auto"/>
        <w:ind w:left="1080" w:hanging="360"/>
        <w:jc w:val="both"/>
        <w:rPr>
          <w:rFonts w:eastAsia="Times New Roman"/>
          <w:lang w:val="sq-AL"/>
        </w:rPr>
      </w:pPr>
      <w:r w:rsidRPr="00E872A4">
        <w:rPr>
          <w:rFonts w:eastAsia="Times New Roman"/>
          <w:lang w:val="sq-AL"/>
        </w:rPr>
        <w:lastRenderedPageBreak/>
        <w:t>(i) transformimit të faqes zyrtare të DAP në një portal për të gjithë administratën publike, ku informacioni të jetë i thjeshtë për t’u aksesuar dhe i lehtë për t’u kuptuar nga të gjithë, qofshin këta qytetarë, nëpunës civilë apo kandidatë potencialë;</w:t>
      </w:r>
    </w:p>
    <w:p w:rsidR="001D0435" w:rsidRPr="00E872A4" w:rsidRDefault="001D0435" w:rsidP="00A66D0D">
      <w:pPr>
        <w:spacing w:line="276" w:lineRule="auto"/>
        <w:ind w:left="1080" w:hanging="360"/>
        <w:jc w:val="both"/>
        <w:rPr>
          <w:rFonts w:eastAsia="Times New Roman"/>
          <w:lang w:val="sq-AL"/>
        </w:rPr>
      </w:pPr>
      <w:r w:rsidRPr="00E872A4">
        <w:rPr>
          <w:rFonts w:eastAsia="Times New Roman"/>
          <w:lang w:val="sq-AL"/>
        </w:rPr>
        <w:t>(ii) forcimit të mekanizmave raportues online mes institucioneve, me qëllim përmirësimin e shkëmbimit të informacionit për menaxhimin e burimeve njerëzore.</w:t>
      </w: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Zhvillimin e Sistemit Informatik të Menaxhimit të Burimeve Njerëzore</w:t>
      </w:r>
      <w:r w:rsidRPr="00E872A4">
        <w:rPr>
          <w:rFonts w:eastAsia="Times New Roman"/>
          <w:lang w:val="sq-AL"/>
        </w:rPr>
        <w:t xml:space="preserve"> (SMIBNJ/HRMIS) duke e shtrirë në të gjithë institucionet e administratës shtetëore si dhe finalizimin e bashkërendimit të këtij sistemi me sistemin e thesarit.</w:t>
      </w:r>
    </w:p>
    <w:p w:rsidR="001D0435" w:rsidRPr="00E872A4" w:rsidRDefault="001D0435" w:rsidP="00A66D0D">
      <w:pPr>
        <w:spacing w:line="276" w:lineRule="auto"/>
        <w:jc w:val="both"/>
        <w:rPr>
          <w:rFonts w:eastAsia="Times New Roman"/>
          <w:i/>
          <w:lang w:val="sq-AL"/>
        </w:rPr>
      </w:pPr>
      <w:r w:rsidRPr="00E872A4">
        <w:rPr>
          <w:rFonts w:eastAsia="Times New Roman"/>
          <w:lang w:val="sq-AL"/>
        </w:rPr>
        <w:t xml:space="preserve"> </w:t>
      </w:r>
    </w:p>
    <w:p w:rsidR="001D0435" w:rsidRPr="00E872A4" w:rsidRDefault="001D0435" w:rsidP="00A66D0D">
      <w:pPr>
        <w:spacing w:line="276" w:lineRule="auto"/>
        <w:jc w:val="both"/>
        <w:rPr>
          <w:rFonts w:eastAsia="Times New Roman"/>
          <w:lang w:val="sq-AL"/>
        </w:rPr>
      </w:pPr>
      <w:r w:rsidRPr="00E872A4">
        <w:rPr>
          <w:rFonts w:eastAsia="Times New Roman"/>
          <w:i/>
          <w:u w:val="single"/>
          <w:lang w:val="sq-AL"/>
        </w:rPr>
        <w:t>Forcimi i vazhdueshëm dhe fuqizimi i ASPA</w:t>
      </w:r>
      <w:r w:rsidRPr="00E872A4">
        <w:rPr>
          <w:rFonts w:eastAsia="Times New Roman"/>
          <w:i/>
          <w:lang w:val="sq-AL"/>
        </w:rPr>
        <w:t xml:space="preserve"> si institucioni qendror i trajnimit dhe kryerjen e studimeve dhe hulumtimeve në fushën e administratës publike. Do të punohet në drejtim të </w:t>
      </w:r>
      <w:r w:rsidRPr="00E872A4">
        <w:rPr>
          <w:rFonts w:eastAsia="Times New Roman"/>
          <w:lang w:val="sq-AL"/>
        </w:rPr>
        <w:t xml:space="preserve"> -rritjes së cilë</w:t>
      </w:r>
      <w:r>
        <w:rPr>
          <w:rFonts w:eastAsia="Times New Roman"/>
          <w:lang w:val="sq-AL"/>
        </w:rPr>
        <w:t xml:space="preserve">sisë së trainimeve të ofruara, </w:t>
      </w:r>
      <w:r w:rsidRPr="00E872A4">
        <w:rPr>
          <w:rFonts w:eastAsia="Times New Roman"/>
          <w:lang w:val="sq-AL"/>
        </w:rPr>
        <w:t xml:space="preserve">zhvillimit të metodologjsë së trajnimit në kombinimin e përqasjes klasike në klasë dhe në vendin e punës, me përqasjen inovative nëpërmjet platformave të </w:t>
      </w:r>
      <w:r w:rsidRPr="00E872A4">
        <w:rPr>
          <w:rFonts w:eastAsia="Times New Roman"/>
          <w:i/>
          <w:lang w:val="sq-AL"/>
        </w:rPr>
        <w:t>e-learning</w:t>
      </w:r>
      <w:r w:rsidRPr="00E872A4">
        <w:rPr>
          <w:rFonts w:eastAsia="Times New Roman"/>
          <w:lang w:val="sq-AL"/>
        </w:rPr>
        <w:t xml:space="preserve"> dhe </w:t>
      </w:r>
      <w:r w:rsidRPr="00E872A4">
        <w:rPr>
          <w:rFonts w:eastAsia="Times New Roman"/>
          <w:i/>
          <w:lang w:val="sq-AL"/>
        </w:rPr>
        <w:t>e-training</w:t>
      </w:r>
      <w:r>
        <w:rPr>
          <w:rFonts w:eastAsia="Times New Roman"/>
          <w:lang w:val="sq-AL"/>
        </w:rPr>
        <w:t xml:space="preserve"> dhe </w:t>
      </w:r>
      <w:r w:rsidRPr="00E872A4">
        <w:rPr>
          <w:rFonts w:eastAsia="Times New Roman"/>
          <w:lang w:val="sq-AL"/>
        </w:rPr>
        <w:t>krijimin e një njësie të dedikuar për ngritjen e kapaciteteve të burimeve njerëzore në nivel vendor, e cila do të jetë përgjegjëse për zhvillimin e kurrikulave dhe programeve të trajnimit të përshtatura me nevojat e administratës në nivel vendor.</w:t>
      </w:r>
    </w:p>
    <w:p w:rsidR="001D0435" w:rsidRPr="00E872A4" w:rsidRDefault="001D0435" w:rsidP="00A66D0D">
      <w:pPr>
        <w:spacing w:line="276" w:lineRule="auto"/>
        <w:jc w:val="both"/>
        <w:rPr>
          <w:rFonts w:eastAsia="Times New Roman"/>
          <w:lang w:val="sq-AL"/>
        </w:rPr>
      </w:pPr>
      <w:r w:rsidRPr="00E872A4">
        <w:rPr>
          <w:rFonts w:eastAsia="Times New Roman"/>
          <w:lang w:val="sq-AL"/>
        </w:rPr>
        <w:t xml:space="preserve"> </w:t>
      </w:r>
    </w:p>
    <w:p w:rsidR="00B0121D" w:rsidRPr="00D94792" w:rsidRDefault="00B0121D" w:rsidP="003C5B4B">
      <w:pPr>
        <w:spacing w:line="276" w:lineRule="auto"/>
        <w:rPr>
          <w:lang w:val="sq-AL"/>
        </w:rPr>
      </w:pPr>
    </w:p>
    <w:p w:rsidR="00B0121D" w:rsidRPr="002A4958" w:rsidRDefault="00CB089C" w:rsidP="002A4958">
      <w:pPr>
        <w:rPr>
          <w:b/>
          <w:sz w:val="28"/>
          <w:lang w:val="sq-AL"/>
        </w:rPr>
      </w:pPr>
      <w:bookmarkStart w:id="73" w:name="_Toc495672770"/>
      <w:bookmarkStart w:id="74" w:name="_Toc495996996"/>
      <w:r w:rsidRPr="002A4958">
        <w:rPr>
          <w:b/>
          <w:sz w:val="28"/>
          <w:lang w:val="sq-AL"/>
        </w:rPr>
        <w:t xml:space="preserve">5.4 </w:t>
      </w:r>
      <w:r w:rsidR="00B0121D" w:rsidRPr="002A4958">
        <w:rPr>
          <w:b/>
          <w:sz w:val="28"/>
          <w:lang w:val="sq-AL"/>
        </w:rPr>
        <w:t xml:space="preserve">REFORMA </w:t>
      </w:r>
      <w:r w:rsidR="005838CF" w:rsidRPr="002A4958">
        <w:rPr>
          <w:b/>
          <w:sz w:val="28"/>
          <w:lang w:val="sq-AL"/>
        </w:rPr>
        <w:t>E MENAXHIMIT T</w:t>
      </w:r>
      <w:r w:rsidR="00DB7941" w:rsidRPr="002A4958">
        <w:rPr>
          <w:b/>
          <w:sz w:val="28"/>
          <w:lang w:val="sq-AL"/>
        </w:rPr>
        <w:t>Ë</w:t>
      </w:r>
      <w:r w:rsidR="005838CF" w:rsidRPr="002A4958">
        <w:rPr>
          <w:b/>
          <w:sz w:val="28"/>
          <w:lang w:val="sq-AL"/>
        </w:rPr>
        <w:t xml:space="preserve"> FINANCAVE PUBLIKE</w:t>
      </w:r>
      <w:bookmarkEnd w:id="73"/>
      <w:bookmarkEnd w:id="74"/>
    </w:p>
    <w:bookmarkEnd w:id="8"/>
    <w:bookmarkEnd w:id="9"/>
    <w:p w:rsidR="001D419A" w:rsidRDefault="001D419A" w:rsidP="003C5B4B">
      <w:pPr>
        <w:spacing w:line="276" w:lineRule="auto"/>
        <w:jc w:val="both"/>
        <w:rPr>
          <w:lang w:val="sq-AL"/>
        </w:rPr>
      </w:pPr>
    </w:p>
    <w:p w:rsidR="00C1265E" w:rsidRDefault="001D419A" w:rsidP="003C5B4B">
      <w:pPr>
        <w:spacing w:line="276" w:lineRule="auto"/>
        <w:jc w:val="both"/>
        <w:rPr>
          <w:lang w:val="sq-AL"/>
        </w:rPr>
      </w:pPr>
      <w:r w:rsidRPr="004A6CEB">
        <w:rPr>
          <w:lang w:val="sq-AL"/>
        </w:rPr>
        <w:t xml:space="preserve">Strategjia e “Menaxhimit të Financave Publike (MFP) për periudhën 2014-2020” është një dokument, i cili reflekton angazhimin e Qeverisë Shqiptare ndaj qytetarëve për zbatimin e një sërë reformave të rëndësishme për mirëmenaxhimin e financave publike. </w:t>
      </w:r>
    </w:p>
    <w:p w:rsidR="00C1265E" w:rsidRDefault="00C1265E" w:rsidP="003C5B4B">
      <w:pPr>
        <w:spacing w:line="276" w:lineRule="auto"/>
        <w:jc w:val="both"/>
        <w:rPr>
          <w:lang w:val="sq-AL"/>
        </w:rPr>
      </w:pPr>
    </w:p>
    <w:p w:rsidR="003A2CC4" w:rsidRPr="003A2CC4" w:rsidRDefault="003A2CC4" w:rsidP="002C5B1B">
      <w:pPr>
        <w:pStyle w:val="ListParagraph"/>
        <w:numPr>
          <w:ilvl w:val="0"/>
          <w:numId w:val="10"/>
        </w:numPr>
        <w:spacing w:line="276" w:lineRule="auto"/>
        <w:jc w:val="both"/>
        <w:rPr>
          <w:b/>
          <w:lang w:val="sq-AL"/>
        </w:rPr>
      </w:pPr>
      <w:r w:rsidRPr="003A2CC4">
        <w:rPr>
          <w:b/>
          <w:lang w:val="sq-AL"/>
        </w:rPr>
        <w:t>Arritjet p</w:t>
      </w:r>
      <w:r w:rsidR="00DB7941">
        <w:rPr>
          <w:b/>
          <w:lang w:val="sq-AL"/>
        </w:rPr>
        <w:t>ë</w:t>
      </w:r>
      <w:r w:rsidRPr="003A2CC4">
        <w:rPr>
          <w:b/>
          <w:lang w:val="sq-AL"/>
        </w:rPr>
        <w:t>r vitin 2017</w:t>
      </w:r>
    </w:p>
    <w:p w:rsidR="003A2CC4" w:rsidRDefault="003A2CC4" w:rsidP="003C5B4B">
      <w:pPr>
        <w:spacing w:line="276" w:lineRule="auto"/>
        <w:jc w:val="both"/>
        <w:rPr>
          <w:lang w:val="sq-AL"/>
        </w:rPr>
      </w:pPr>
    </w:p>
    <w:p w:rsidR="001D419A" w:rsidRPr="004A6CEB" w:rsidRDefault="001D419A" w:rsidP="002371BA">
      <w:pPr>
        <w:spacing w:after="120" w:line="276" w:lineRule="auto"/>
        <w:jc w:val="both"/>
        <w:rPr>
          <w:lang w:val="sq-AL"/>
        </w:rPr>
      </w:pPr>
      <w:r w:rsidRPr="004A6CEB">
        <w:rPr>
          <w:lang w:val="sq-AL"/>
        </w:rPr>
        <w:t>Gjatë vitit 2017, Qeveria ka bërë progres për përmbushjen e kësaj reforme, ku arritjet</w:t>
      </w:r>
      <w:r w:rsidR="002371BA">
        <w:rPr>
          <w:lang w:val="sq-AL"/>
        </w:rPr>
        <w:t xml:space="preserve"> kryesore veçohen si më poshtë:</w:t>
      </w:r>
    </w:p>
    <w:p w:rsidR="001D419A" w:rsidRPr="008D3152" w:rsidRDefault="001D419A" w:rsidP="002371BA">
      <w:pPr>
        <w:pStyle w:val="ListParagraph"/>
        <w:numPr>
          <w:ilvl w:val="0"/>
          <w:numId w:val="32"/>
        </w:numPr>
        <w:spacing w:after="120" w:line="276" w:lineRule="auto"/>
        <w:ind w:left="284" w:hanging="284"/>
        <w:jc w:val="both"/>
        <w:rPr>
          <w:lang w:val="sq-AL"/>
        </w:rPr>
      </w:pPr>
      <w:r w:rsidRPr="008D3152">
        <w:rPr>
          <w:lang w:val="sq-AL"/>
        </w:rPr>
        <w:t>Miratimi i Ligjit nr. 68, date 27.04.2017 "</w:t>
      </w:r>
      <w:r w:rsidRPr="008D3152">
        <w:rPr>
          <w:i/>
          <w:lang w:val="sq-AL"/>
        </w:rPr>
        <w:t>Për Financat Vendore</w:t>
      </w:r>
      <w:r w:rsidRPr="008D3152">
        <w:rPr>
          <w:lang w:val="sq-AL"/>
        </w:rPr>
        <w:t>", i cili synon rritjen e autonomisë fiskale dhe sigurimin e një menaxhimi financiar efektiv dhe efiçent në njësitë e qeverisjes vendore;</w:t>
      </w:r>
    </w:p>
    <w:p w:rsidR="001D419A" w:rsidRPr="008D3152" w:rsidRDefault="001D419A" w:rsidP="002371BA">
      <w:pPr>
        <w:pStyle w:val="ListParagraph"/>
        <w:numPr>
          <w:ilvl w:val="0"/>
          <w:numId w:val="32"/>
        </w:numPr>
        <w:spacing w:after="120" w:line="276" w:lineRule="auto"/>
        <w:ind w:left="284" w:hanging="284"/>
        <w:jc w:val="both"/>
        <w:rPr>
          <w:lang w:val="sq-AL"/>
        </w:rPr>
      </w:pPr>
      <w:r w:rsidRPr="008D3152">
        <w:rPr>
          <w:lang w:val="sq-AL"/>
        </w:rPr>
        <w:t xml:space="preserve">Miratimi i Ligjit nr. 47 date 13.04.2017 </w:t>
      </w:r>
      <w:r w:rsidRPr="008D3152">
        <w:rPr>
          <w:bCs/>
          <w:lang w:val="sq-AL"/>
        </w:rPr>
        <w:t>“</w:t>
      </w:r>
      <w:r w:rsidRPr="008D3152">
        <w:rPr>
          <w:bCs/>
          <w:i/>
          <w:lang w:val="sq-AL"/>
        </w:rPr>
        <w:t>Për Prokurimet Publike”</w:t>
      </w:r>
      <w:r w:rsidRPr="008D3152">
        <w:rPr>
          <w:bCs/>
          <w:lang w:val="sq-AL"/>
        </w:rPr>
        <w:t xml:space="preserve">, i ndryshuar </w:t>
      </w:r>
      <w:r w:rsidRPr="008D3152">
        <w:rPr>
          <w:lang w:val="sq-AL"/>
        </w:rPr>
        <w:t xml:space="preserve">i cili synon </w:t>
      </w:r>
      <w:r w:rsidRPr="008D3152">
        <w:rPr>
          <w:bCs/>
          <w:lang w:val="sq-AL"/>
        </w:rPr>
        <w:t>të siguroj</w:t>
      </w:r>
      <w:r>
        <w:rPr>
          <w:bCs/>
          <w:lang w:val="sq-AL"/>
        </w:rPr>
        <w:t>ë</w:t>
      </w:r>
      <w:r w:rsidRPr="008D3152">
        <w:rPr>
          <w:bCs/>
          <w:lang w:val="sq-AL"/>
        </w:rPr>
        <w:t xml:space="preserve"> Pavarësinë e Komisionit të Prokurimit Publik n</w:t>
      </w:r>
      <w:r>
        <w:rPr>
          <w:bCs/>
          <w:lang w:val="sq-AL"/>
        </w:rPr>
        <w:t>ë</w:t>
      </w:r>
      <w:r w:rsidRPr="008D3152">
        <w:rPr>
          <w:bCs/>
          <w:lang w:val="sq-AL"/>
        </w:rPr>
        <w:t>p</w:t>
      </w:r>
      <w:r>
        <w:rPr>
          <w:bCs/>
          <w:lang w:val="sq-AL"/>
        </w:rPr>
        <w:t>ë</w:t>
      </w:r>
      <w:r w:rsidRPr="008D3152">
        <w:rPr>
          <w:bCs/>
          <w:lang w:val="sq-AL"/>
        </w:rPr>
        <w:t>rmjet em</w:t>
      </w:r>
      <w:r>
        <w:rPr>
          <w:bCs/>
          <w:lang w:val="sq-AL"/>
        </w:rPr>
        <w:t>ë</w:t>
      </w:r>
      <w:r w:rsidRPr="008D3152">
        <w:rPr>
          <w:bCs/>
          <w:lang w:val="sq-AL"/>
        </w:rPr>
        <w:t>rimit t</w:t>
      </w:r>
      <w:r>
        <w:rPr>
          <w:bCs/>
          <w:lang w:val="sq-AL"/>
        </w:rPr>
        <w:t>ë</w:t>
      </w:r>
      <w:r w:rsidRPr="008D3152">
        <w:rPr>
          <w:bCs/>
          <w:lang w:val="sq-AL"/>
        </w:rPr>
        <w:t xml:space="preserve"> antar</w:t>
      </w:r>
      <w:r>
        <w:rPr>
          <w:bCs/>
          <w:lang w:val="sq-AL"/>
        </w:rPr>
        <w:t>ë</w:t>
      </w:r>
      <w:r w:rsidRPr="008D3152">
        <w:rPr>
          <w:bCs/>
          <w:lang w:val="sq-AL"/>
        </w:rPr>
        <w:t>ve</w:t>
      </w:r>
      <w:r w:rsidRPr="008D3152">
        <w:rPr>
          <w:color w:val="222222"/>
          <w:lang w:val="sq-AL"/>
        </w:rPr>
        <w:t xml:space="preserve"> KPP-së nga Parlamenti pas një proçedure konkurruese përzgjedhëse.</w:t>
      </w:r>
      <w:r w:rsidRPr="008D3152">
        <w:rPr>
          <w:lang w:val="sq-AL"/>
        </w:rPr>
        <w:t xml:space="preserve"> Gjithashtu janë duke u përgatitur aktet nënligjore për ndjekjen e proçedurës së përzgjedhjes nga Kryeministria për kandidatët që do të paraqiten për miratim në Kuvend.</w:t>
      </w:r>
    </w:p>
    <w:p w:rsidR="001D419A" w:rsidRPr="003B7196" w:rsidRDefault="001D419A" w:rsidP="002371BA">
      <w:pPr>
        <w:pStyle w:val="ListParagraph"/>
        <w:numPr>
          <w:ilvl w:val="0"/>
          <w:numId w:val="32"/>
        </w:numPr>
        <w:spacing w:after="120" w:line="276" w:lineRule="auto"/>
        <w:ind w:left="284" w:hanging="284"/>
        <w:jc w:val="both"/>
        <w:rPr>
          <w:lang w:val="sq-AL"/>
        </w:rPr>
      </w:pPr>
      <w:r w:rsidRPr="008D3152">
        <w:rPr>
          <w:lang w:val="sq-AL"/>
        </w:rPr>
        <w:t>Në Janar 2017 INSTAT ka përpiluar dhe transmetuar në EUROSTAT, dy tabela të të dhënave të SFQ-së sipas kërkesave të Standarteve Europiane të Kontabilitetit 2010, duke vijuar me përmirësimin e cilësisë dhe sasisë së të dhënave të nevojshme të Statistikave Financiare Qeveritare (SFQ) dhe Sistemit të Llogarive Europiane (ESA) 2010. Gjithashtu tabelat periodike dyvjeçare të EDP-së janë raportuar në Prill 2017 në n</w:t>
      </w:r>
      <w:r>
        <w:rPr>
          <w:lang w:val="sq-AL"/>
        </w:rPr>
        <w:t>ë</w:t>
      </w:r>
      <w:r w:rsidRPr="008D3152">
        <w:rPr>
          <w:lang w:val="sq-AL"/>
        </w:rPr>
        <w:t xml:space="preserve"> EUROSTAT me të dhënat e periudh</w:t>
      </w:r>
      <w:r w:rsidR="008F7E3C">
        <w:rPr>
          <w:lang w:val="sq-AL"/>
        </w:rPr>
        <w:t>ë</w:t>
      </w:r>
      <w:r w:rsidRPr="008D3152">
        <w:rPr>
          <w:lang w:val="sq-AL"/>
        </w:rPr>
        <w:t>s 2013-2016.</w:t>
      </w:r>
    </w:p>
    <w:p w:rsidR="001D419A" w:rsidRPr="00252263" w:rsidRDefault="001D419A" w:rsidP="002371BA">
      <w:pPr>
        <w:pStyle w:val="ListParagraph"/>
        <w:numPr>
          <w:ilvl w:val="0"/>
          <w:numId w:val="32"/>
        </w:numPr>
        <w:spacing w:after="120" w:line="276" w:lineRule="auto"/>
        <w:ind w:left="284" w:hanging="284"/>
        <w:jc w:val="both"/>
        <w:rPr>
          <w:lang w:val="sq-AL"/>
        </w:rPr>
      </w:pPr>
      <w:r w:rsidRPr="00252263">
        <w:rPr>
          <w:lang w:val="sq-AL"/>
        </w:rPr>
        <w:t>Më 1 Qershor 2017 hyri në fuqi Kodi i Ri Doganor i miratuar me ligjin “</w:t>
      </w:r>
      <w:r w:rsidRPr="00252263">
        <w:rPr>
          <w:i/>
          <w:lang w:val="sq-AL"/>
        </w:rPr>
        <w:t>Kodi Doganor i Republikës së Shqipërisë</w:t>
      </w:r>
      <w:r w:rsidRPr="00252263">
        <w:rPr>
          <w:lang w:val="sq-AL"/>
        </w:rPr>
        <w:t xml:space="preserve">”, datë 31.07.2014, i cili synon harmonizimin me standardet e BE-së dhe përshtatjen me mjedisin e sotëm tregtar. Risitë e Kodit të Ri doganor lidhen me: (i) zhvillimin e teknologjive të reja; </w:t>
      </w:r>
      <w:r w:rsidRPr="00252263">
        <w:rPr>
          <w:lang w:val="sq-AL"/>
        </w:rPr>
        <w:lastRenderedPageBreak/>
        <w:t>(ii) proçedurat pa letër; (iii) përmirësimin, thjeshtimin e rregullave dhe proçedurave doganore; (iv) uljen e kostove; (v) rritjen e sigurisë ligjore për operatorët ekonomikë dhe (vi) vetëvlerësimin, zhdoganimin e centralizuar etj.;</w:t>
      </w:r>
    </w:p>
    <w:p w:rsidR="001D419A" w:rsidRPr="00252263" w:rsidRDefault="001D419A" w:rsidP="002371BA">
      <w:pPr>
        <w:pStyle w:val="ListParagraph"/>
        <w:numPr>
          <w:ilvl w:val="0"/>
          <w:numId w:val="32"/>
        </w:numPr>
        <w:spacing w:after="120" w:line="276" w:lineRule="auto"/>
        <w:ind w:left="284" w:hanging="284"/>
        <w:jc w:val="both"/>
        <w:rPr>
          <w:lang w:val="sq-AL"/>
        </w:rPr>
      </w:pPr>
      <w:r w:rsidRPr="00252263">
        <w:rPr>
          <w:lang w:val="sq-AL"/>
        </w:rPr>
        <w:t xml:space="preserve">Në ndjekje të Planit Strategjik për periudhën 2017-2021, Drejtoria e Përgjithshme e Tatimeve (DPT) ka ndërmarrë shumë aktivitete ndërgjegjësimi me qëllim garantimin e asistencës për përmbushjen vullnetare si:  krijimi i një faqe interneti të re informative për të gjitha kategoritë e taksapaguesve, krijimi i një shërbimi të ri të ndihmës së tatimpaguesit në Qendrën Kombëtare të Regjistrimit dhe në qendrat ADISA në Fier, Gjirokastër, Krujë dhe Kavajë; si dhe krijimi i një qendre telefonike funksionale; dizenjimi i  broshurave informative etj.; </w:t>
      </w:r>
    </w:p>
    <w:p w:rsidR="001D419A" w:rsidRPr="00252263" w:rsidRDefault="001D419A" w:rsidP="002371BA">
      <w:pPr>
        <w:pStyle w:val="ListParagraph"/>
        <w:numPr>
          <w:ilvl w:val="0"/>
          <w:numId w:val="32"/>
        </w:numPr>
        <w:spacing w:after="120" w:line="276" w:lineRule="auto"/>
        <w:ind w:left="284" w:hanging="284"/>
        <w:jc w:val="both"/>
        <w:rPr>
          <w:lang w:val="sq-AL"/>
        </w:rPr>
      </w:pPr>
      <w:r w:rsidRPr="00252263">
        <w:rPr>
          <w:lang w:val="sq-AL"/>
        </w:rPr>
        <w:t>Gjatë vitit 2017 është bërë rishikimi i Instrumentit të Planifikimit Financiar për përgatitjen e Programit Buxhetor Afatmesëm për njësitë e qeverisjes  vendore</w:t>
      </w:r>
      <w:r w:rsidR="008F7E3C">
        <w:rPr>
          <w:lang w:val="sq-AL"/>
        </w:rPr>
        <w:t>.</w:t>
      </w:r>
      <w:r w:rsidRPr="00252263">
        <w:rPr>
          <w:lang w:val="sq-AL"/>
        </w:rPr>
        <w:t xml:space="preserve"> Qëllimi kryesor i këtij mjeti është t'i shërbejë njësive të qeverisjes vendore si një udhëzues për përgatitjen e PBA-së. Përveç kësaj është krijuar një Manual mbi Instrumentin e Planifikimit Financiar (FPT) dhe “Help Desk” është  bërë funksional në Ministrinë e Financave dhe Ekonomisë për të ndihmuar bashkitë qe ta implemtojnë këtë instrument dhe të plotesojnë saktesisht formatet që lidhen me planifikimin. Për më tepër për herë të parë u përgatit dhe u publikua  Programit Buxhetor Afat–Mesëm për Njësitë e Qeverisjes Vendore; </w:t>
      </w:r>
    </w:p>
    <w:p w:rsidR="008F7E3C" w:rsidRDefault="001D419A" w:rsidP="002371BA">
      <w:pPr>
        <w:pStyle w:val="ListParagraph"/>
        <w:numPr>
          <w:ilvl w:val="0"/>
          <w:numId w:val="32"/>
        </w:numPr>
        <w:spacing w:after="120" w:line="276" w:lineRule="auto"/>
        <w:ind w:left="284" w:hanging="284"/>
        <w:jc w:val="both"/>
        <w:rPr>
          <w:lang w:val="sq-AL"/>
        </w:rPr>
      </w:pPr>
      <w:r w:rsidRPr="00382351">
        <w:rPr>
          <w:lang w:val="sq-AL"/>
        </w:rPr>
        <w:t>Përmirësimi i komunikimit midis K</w:t>
      </w:r>
      <w:r w:rsidR="00D44B54">
        <w:rPr>
          <w:lang w:val="sq-AL"/>
        </w:rPr>
        <w:t>ontrollit</w:t>
      </w:r>
      <w:r w:rsidRPr="00382351">
        <w:rPr>
          <w:lang w:val="sq-AL"/>
        </w:rPr>
        <w:t xml:space="preserve"> të Lartë të Shtetit (KLSH) dhe aktorëve kyç si Parlamenti, media dhe publiku i gjerë në kuadër të Transparencës dhe Përgjegjeshmërisë së qeverisë.</w:t>
      </w:r>
    </w:p>
    <w:p w:rsidR="008F7E3C" w:rsidRPr="00D44B54" w:rsidRDefault="008F7E3C" w:rsidP="002371BA">
      <w:pPr>
        <w:pStyle w:val="ListParagraph"/>
        <w:numPr>
          <w:ilvl w:val="0"/>
          <w:numId w:val="32"/>
        </w:numPr>
        <w:spacing w:after="120" w:line="276" w:lineRule="auto"/>
        <w:ind w:left="284" w:hanging="284"/>
        <w:jc w:val="both"/>
        <w:rPr>
          <w:lang w:val="sq-AL"/>
        </w:rPr>
      </w:pPr>
      <w:r w:rsidRPr="00D44B54">
        <w:rPr>
          <w:lang w:val="sq-AL"/>
        </w:rPr>
        <w:t>Monitorimi i performancës së sistemeve të kontrollit të brendshëm të nj</w:t>
      </w:r>
      <w:r w:rsidR="00DB7941">
        <w:rPr>
          <w:lang w:val="sq-AL"/>
        </w:rPr>
        <w:t>ë</w:t>
      </w:r>
      <w:r w:rsidRPr="00D44B54">
        <w:rPr>
          <w:lang w:val="sq-AL"/>
        </w:rPr>
        <w:t>sive publike (16 institucione të monitoruara për vitin 2017), duke analizuar n</w:t>
      </w:r>
      <w:r w:rsidR="00DB7941">
        <w:rPr>
          <w:lang w:val="sq-AL"/>
        </w:rPr>
        <w:t>ë</w:t>
      </w:r>
      <w:r w:rsidRPr="00D44B54">
        <w:rPr>
          <w:lang w:val="sq-AL"/>
        </w:rPr>
        <w:t xml:space="preserve"> detaje element</w:t>
      </w:r>
      <w:r w:rsidR="00DB7941">
        <w:rPr>
          <w:lang w:val="sq-AL"/>
        </w:rPr>
        <w:t>ë</w:t>
      </w:r>
      <w:r w:rsidRPr="00D44B54">
        <w:rPr>
          <w:lang w:val="sq-AL"/>
        </w:rPr>
        <w:t>t e kontrollit t</w:t>
      </w:r>
      <w:r w:rsidR="00DB7941">
        <w:rPr>
          <w:lang w:val="sq-AL"/>
        </w:rPr>
        <w:t>ë</w:t>
      </w:r>
      <w:r w:rsidRPr="00D44B54">
        <w:rPr>
          <w:lang w:val="sq-AL"/>
        </w:rPr>
        <w:t xml:space="preserve"> brendsh</w:t>
      </w:r>
      <w:r w:rsidR="00DB7941">
        <w:rPr>
          <w:lang w:val="sq-AL"/>
        </w:rPr>
        <w:t>ë</w:t>
      </w:r>
      <w:r w:rsidRPr="00D44B54">
        <w:rPr>
          <w:lang w:val="sq-AL"/>
        </w:rPr>
        <w:t>m q</w:t>
      </w:r>
      <w:r w:rsidR="00DB7941">
        <w:rPr>
          <w:lang w:val="sq-AL"/>
        </w:rPr>
        <w:t>ë</w:t>
      </w:r>
      <w:r w:rsidRPr="00D44B54">
        <w:rPr>
          <w:lang w:val="sq-AL"/>
        </w:rPr>
        <w:t xml:space="preserve"> ndikojn</w:t>
      </w:r>
      <w:r w:rsidR="00DB7941">
        <w:rPr>
          <w:lang w:val="sq-AL"/>
        </w:rPr>
        <w:t>ë</w:t>
      </w:r>
      <w:r w:rsidRPr="00D44B54">
        <w:rPr>
          <w:lang w:val="sq-AL"/>
        </w:rPr>
        <w:t xml:space="preserve"> n</w:t>
      </w:r>
      <w:r w:rsidR="00DB7941">
        <w:rPr>
          <w:lang w:val="sq-AL"/>
        </w:rPr>
        <w:t>ë</w:t>
      </w:r>
      <w:r w:rsidRPr="00D44B54">
        <w:rPr>
          <w:lang w:val="sq-AL"/>
        </w:rPr>
        <w:t xml:space="preserve"> menaxhimin e fondeve buxhetore;</w:t>
      </w:r>
    </w:p>
    <w:p w:rsidR="008F7E3C" w:rsidRPr="00D44B54" w:rsidRDefault="008F7E3C" w:rsidP="002371BA">
      <w:pPr>
        <w:pStyle w:val="ListParagraph"/>
        <w:numPr>
          <w:ilvl w:val="0"/>
          <w:numId w:val="32"/>
        </w:numPr>
        <w:spacing w:after="120" w:line="276" w:lineRule="auto"/>
        <w:ind w:left="360"/>
        <w:jc w:val="both"/>
        <w:rPr>
          <w:rFonts w:eastAsia="Times New Roman"/>
          <w:lang w:val="sq-AL"/>
        </w:rPr>
      </w:pPr>
      <w:r w:rsidRPr="00D44B54">
        <w:rPr>
          <w:bCs/>
          <w:lang w:val="sq-AL"/>
        </w:rPr>
        <w:t xml:space="preserve">Zhvillimi i trajnimeve të vijueshme profesionale për audituesit e brendshëm në bashkëpunim me ASPA, ka dhënë impaktin pozitiv në rritjen profesionale të audituesve për të kryer vlerësime, analiza si dhe dhënë këshilla e </w:t>
      </w:r>
      <w:r w:rsidRPr="00D44B54">
        <w:rPr>
          <w:rFonts w:eastAsia="Times New Roman"/>
          <w:lang w:val="sq-AL"/>
        </w:rPr>
        <w:t xml:space="preserve">rekomandimeve të vlefshme për përmirësimin e sistemeve të kontrollit të brendshëm dhe arritjen e objektivave të njësive publike. </w:t>
      </w:r>
    </w:p>
    <w:p w:rsidR="008F7E3C" w:rsidRPr="00D44B54" w:rsidRDefault="008F7E3C" w:rsidP="002371BA">
      <w:pPr>
        <w:pStyle w:val="ListParagraph"/>
        <w:numPr>
          <w:ilvl w:val="0"/>
          <w:numId w:val="32"/>
        </w:numPr>
        <w:spacing w:after="120" w:line="276" w:lineRule="auto"/>
        <w:ind w:left="360"/>
        <w:jc w:val="both"/>
        <w:rPr>
          <w:rFonts w:eastAsia="Times New Roman"/>
          <w:lang w:val="sq-AL"/>
        </w:rPr>
      </w:pPr>
      <w:r w:rsidRPr="00D44B54">
        <w:rPr>
          <w:rFonts w:eastAsia="Times New Roman"/>
          <w:lang w:val="sq-AL"/>
        </w:rPr>
        <w:t>Organizimi i një procesi të ri certifikimi për sezonin 2016-2017 për të fituar titullin “Auditues i Brendshëm në sektorin publik” me mbështetjen e ekspertëve të SIGMA. Ky proces i fokusuar t</w:t>
      </w:r>
      <w:r w:rsidR="00DB7941">
        <w:rPr>
          <w:rFonts w:eastAsia="Times New Roman"/>
          <w:lang w:val="sq-AL"/>
        </w:rPr>
        <w:t>ë</w:t>
      </w:r>
      <w:r w:rsidRPr="00D44B54">
        <w:rPr>
          <w:rFonts w:eastAsia="Times New Roman"/>
          <w:lang w:val="sq-AL"/>
        </w:rPr>
        <w:t>r</w:t>
      </w:r>
      <w:r w:rsidR="00DB7941">
        <w:rPr>
          <w:rFonts w:eastAsia="Times New Roman"/>
          <w:lang w:val="sq-AL"/>
        </w:rPr>
        <w:t>ë</w:t>
      </w:r>
      <w:r w:rsidRPr="00D44B54">
        <w:rPr>
          <w:rFonts w:eastAsia="Times New Roman"/>
          <w:lang w:val="sq-AL"/>
        </w:rPr>
        <w:t>sisht n</w:t>
      </w:r>
      <w:r w:rsidR="00DB7941">
        <w:rPr>
          <w:rFonts w:eastAsia="Times New Roman"/>
          <w:lang w:val="sq-AL"/>
        </w:rPr>
        <w:t>ë</w:t>
      </w:r>
      <w:r w:rsidRPr="00D44B54">
        <w:rPr>
          <w:rFonts w:eastAsia="Times New Roman"/>
          <w:lang w:val="sq-AL"/>
        </w:rPr>
        <w:t xml:space="preserve"> marrjen e njohurive bashk</w:t>
      </w:r>
      <w:r w:rsidR="00DB7941">
        <w:rPr>
          <w:rFonts w:eastAsia="Times New Roman"/>
          <w:lang w:val="sq-AL"/>
        </w:rPr>
        <w:t>ë</w:t>
      </w:r>
      <w:r w:rsidRPr="00D44B54">
        <w:rPr>
          <w:rFonts w:eastAsia="Times New Roman"/>
          <w:lang w:val="sq-AL"/>
        </w:rPr>
        <w:t>kohore n</w:t>
      </w:r>
      <w:r w:rsidR="00DB7941">
        <w:rPr>
          <w:rFonts w:eastAsia="Times New Roman"/>
          <w:lang w:val="sq-AL"/>
        </w:rPr>
        <w:t>ë</w:t>
      </w:r>
      <w:r w:rsidRPr="00D44B54">
        <w:rPr>
          <w:rFonts w:eastAsia="Times New Roman"/>
          <w:lang w:val="sq-AL"/>
        </w:rPr>
        <w:t xml:space="preserve"> fush</w:t>
      </w:r>
      <w:r w:rsidR="00DB7941">
        <w:rPr>
          <w:rFonts w:eastAsia="Times New Roman"/>
          <w:lang w:val="sq-AL"/>
        </w:rPr>
        <w:t>ë</w:t>
      </w:r>
      <w:r w:rsidRPr="00D44B54">
        <w:rPr>
          <w:rFonts w:eastAsia="Times New Roman"/>
          <w:lang w:val="sq-AL"/>
        </w:rPr>
        <w:t>n e auditimit t</w:t>
      </w:r>
      <w:r w:rsidR="00DB7941">
        <w:rPr>
          <w:rFonts w:eastAsia="Times New Roman"/>
          <w:lang w:val="sq-AL"/>
        </w:rPr>
        <w:t>ë</w:t>
      </w:r>
      <w:r w:rsidRPr="00D44B54">
        <w:rPr>
          <w:rFonts w:eastAsia="Times New Roman"/>
          <w:lang w:val="sq-AL"/>
        </w:rPr>
        <w:t xml:space="preserve"> brendsh</w:t>
      </w:r>
      <w:r w:rsidR="00DB7941">
        <w:rPr>
          <w:rFonts w:eastAsia="Times New Roman"/>
          <w:lang w:val="sq-AL"/>
        </w:rPr>
        <w:t>ë</w:t>
      </w:r>
      <w:r w:rsidRPr="00D44B54">
        <w:rPr>
          <w:rFonts w:eastAsia="Times New Roman"/>
          <w:lang w:val="sq-AL"/>
        </w:rPr>
        <w:t>m, do t</w:t>
      </w:r>
      <w:r w:rsidR="00DB7941">
        <w:rPr>
          <w:rFonts w:eastAsia="Times New Roman"/>
          <w:lang w:val="sq-AL"/>
        </w:rPr>
        <w:t>ë</w:t>
      </w:r>
      <w:r w:rsidRPr="00D44B54">
        <w:rPr>
          <w:rFonts w:eastAsia="Times New Roman"/>
          <w:lang w:val="sq-AL"/>
        </w:rPr>
        <w:t xml:space="preserve"> ndikoj</w:t>
      </w:r>
      <w:r w:rsidR="00DB7941">
        <w:rPr>
          <w:rFonts w:eastAsia="Times New Roman"/>
          <w:lang w:val="sq-AL"/>
        </w:rPr>
        <w:t>ë</w:t>
      </w:r>
      <w:r w:rsidRPr="00D44B54">
        <w:rPr>
          <w:rFonts w:eastAsia="Times New Roman"/>
          <w:lang w:val="sq-AL"/>
        </w:rPr>
        <w:t xml:space="preserve"> pozitivisht n</w:t>
      </w:r>
      <w:r w:rsidR="00DB7941">
        <w:rPr>
          <w:rFonts w:eastAsia="Times New Roman"/>
          <w:lang w:val="sq-AL"/>
        </w:rPr>
        <w:t>ë</w:t>
      </w:r>
      <w:r w:rsidRPr="00D44B54">
        <w:rPr>
          <w:rFonts w:eastAsia="Times New Roman"/>
          <w:lang w:val="sq-AL"/>
        </w:rPr>
        <w:t xml:space="preserve"> kryerjen e detyr</w:t>
      </w:r>
      <w:r w:rsidR="00DB7941">
        <w:rPr>
          <w:rFonts w:eastAsia="Times New Roman"/>
          <w:lang w:val="sq-AL"/>
        </w:rPr>
        <w:t>ë</w:t>
      </w:r>
      <w:r w:rsidRPr="00D44B54">
        <w:rPr>
          <w:rFonts w:eastAsia="Times New Roman"/>
          <w:lang w:val="sq-AL"/>
        </w:rPr>
        <w:t>s me profesionaliz</w:t>
      </w:r>
      <w:r w:rsidR="00DB7941">
        <w:rPr>
          <w:rFonts w:eastAsia="Times New Roman"/>
          <w:lang w:val="sq-AL"/>
        </w:rPr>
        <w:t>ë</w:t>
      </w:r>
      <w:r w:rsidRPr="00D44B54">
        <w:rPr>
          <w:rFonts w:eastAsia="Times New Roman"/>
          <w:lang w:val="sq-AL"/>
        </w:rPr>
        <w:t>m nga ana e audituesve duk</w:t>
      </w:r>
      <w:r w:rsidR="00DB7941">
        <w:rPr>
          <w:rFonts w:eastAsia="Times New Roman"/>
          <w:lang w:val="sq-AL"/>
        </w:rPr>
        <w:t>ë</w:t>
      </w:r>
      <w:r w:rsidRPr="00D44B54">
        <w:rPr>
          <w:rFonts w:eastAsia="Times New Roman"/>
          <w:lang w:val="sq-AL"/>
        </w:rPr>
        <w:t xml:space="preserve"> rrjedhuar k</w:t>
      </w:r>
      <w:r w:rsidR="00DB7941">
        <w:rPr>
          <w:rFonts w:eastAsia="Times New Roman"/>
          <w:lang w:val="sq-AL"/>
        </w:rPr>
        <w:t>ë</w:t>
      </w:r>
      <w:r w:rsidRPr="00D44B54">
        <w:rPr>
          <w:rFonts w:eastAsia="Times New Roman"/>
          <w:lang w:val="sq-AL"/>
        </w:rPr>
        <w:t>sisoj n</w:t>
      </w:r>
      <w:r w:rsidR="00DB7941">
        <w:rPr>
          <w:rFonts w:eastAsia="Times New Roman"/>
          <w:lang w:val="sq-AL"/>
        </w:rPr>
        <w:t>ë</w:t>
      </w:r>
      <w:r w:rsidRPr="00D44B54">
        <w:rPr>
          <w:rFonts w:eastAsia="Times New Roman"/>
          <w:lang w:val="sq-AL"/>
        </w:rPr>
        <w:t xml:space="preserve"> rekomandime sa m</w:t>
      </w:r>
      <w:r w:rsidR="00DB7941">
        <w:rPr>
          <w:rFonts w:eastAsia="Times New Roman"/>
          <w:lang w:val="sq-AL"/>
        </w:rPr>
        <w:t>ë</w:t>
      </w:r>
      <w:r w:rsidRPr="00D44B54">
        <w:rPr>
          <w:rFonts w:eastAsia="Times New Roman"/>
          <w:lang w:val="sq-AL"/>
        </w:rPr>
        <w:t xml:space="preserve"> vlefshme p</w:t>
      </w:r>
      <w:r w:rsidR="00DB7941">
        <w:rPr>
          <w:rFonts w:eastAsia="Times New Roman"/>
          <w:lang w:val="sq-AL"/>
        </w:rPr>
        <w:t>ë</w:t>
      </w:r>
      <w:r w:rsidRPr="00D44B54">
        <w:rPr>
          <w:rFonts w:eastAsia="Times New Roman"/>
          <w:lang w:val="sq-AL"/>
        </w:rPr>
        <w:t>r drejtuesit n</w:t>
      </w:r>
      <w:r w:rsidR="00DB7941">
        <w:rPr>
          <w:rFonts w:eastAsia="Times New Roman"/>
          <w:lang w:val="sq-AL"/>
        </w:rPr>
        <w:t>ë</w:t>
      </w:r>
      <w:r w:rsidRPr="00D44B54">
        <w:rPr>
          <w:rFonts w:eastAsia="Times New Roman"/>
          <w:lang w:val="sq-AL"/>
        </w:rPr>
        <w:t xml:space="preserve"> kuad</w:t>
      </w:r>
      <w:r w:rsidR="00DB7941">
        <w:rPr>
          <w:rFonts w:eastAsia="Times New Roman"/>
          <w:lang w:val="sq-AL"/>
        </w:rPr>
        <w:t>ë</w:t>
      </w:r>
      <w:r w:rsidRPr="00D44B54">
        <w:rPr>
          <w:rFonts w:eastAsia="Times New Roman"/>
          <w:lang w:val="sq-AL"/>
        </w:rPr>
        <w:t>r edhe t</w:t>
      </w:r>
      <w:r w:rsidR="00DB7941">
        <w:rPr>
          <w:rFonts w:eastAsia="Times New Roman"/>
          <w:lang w:val="sq-AL"/>
        </w:rPr>
        <w:t>ë</w:t>
      </w:r>
      <w:r w:rsidRPr="00D44B54">
        <w:rPr>
          <w:rFonts w:eastAsia="Times New Roman"/>
          <w:lang w:val="sq-AL"/>
        </w:rPr>
        <w:t xml:space="preserve"> menaxhimit t</w:t>
      </w:r>
      <w:r w:rsidR="00DB7941">
        <w:rPr>
          <w:rFonts w:eastAsia="Times New Roman"/>
          <w:lang w:val="sq-AL"/>
        </w:rPr>
        <w:t>ë</w:t>
      </w:r>
      <w:r w:rsidRPr="00D44B54">
        <w:rPr>
          <w:rFonts w:eastAsia="Times New Roman"/>
          <w:lang w:val="sq-AL"/>
        </w:rPr>
        <w:t xml:space="preserve"> fondeve buxhetore.</w:t>
      </w:r>
    </w:p>
    <w:p w:rsidR="008F7E3C" w:rsidRPr="003A2CC4" w:rsidRDefault="008F7E3C" w:rsidP="003C5B4B">
      <w:pPr>
        <w:pStyle w:val="ListParagraph"/>
        <w:spacing w:after="200" w:line="276" w:lineRule="auto"/>
        <w:ind w:left="284"/>
        <w:contextualSpacing/>
        <w:jc w:val="both"/>
        <w:rPr>
          <w:b/>
          <w:lang w:val="sq-AL"/>
        </w:rPr>
      </w:pPr>
    </w:p>
    <w:p w:rsidR="003A2CC4" w:rsidRPr="003A2CC4" w:rsidRDefault="003A2CC4" w:rsidP="002C5B1B">
      <w:pPr>
        <w:pStyle w:val="ListParagraph"/>
        <w:numPr>
          <w:ilvl w:val="0"/>
          <w:numId w:val="10"/>
        </w:numPr>
        <w:spacing w:line="276" w:lineRule="auto"/>
        <w:jc w:val="both"/>
        <w:rPr>
          <w:b/>
          <w:lang w:val="sq-AL"/>
        </w:rPr>
      </w:pPr>
      <w:r w:rsidRPr="003A2CC4">
        <w:rPr>
          <w:b/>
          <w:lang w:val="sq-AL"/>
        </w:rPr>
        <w:t>Prioritetet p</w:t>
      </w:r>
      <w:r w:rsidR="00DB7941">
        <w:rPr>
          <w:b/>
          <w:lang w:val="sq-AL"/>
        </w:rPr>
        <w:t>ë</w:t>
      </w:r>
      <w:r w:rsidRPr="003A2CC4">
        <w:rPr>
          <w:b/>
          <w:lang w:val="sq-AL"/>
        </w:rPr>
        <w:t>r vitin 2018</w:t>
      </w:r>
    </w:p>
    <w:p w:rsidR="003A2CC4" w:rsidRPr="003A2CC4" w:rsidRDefault="003A2CC4" w:rsidP="003C5B4B">
      <w:pPr>
        <w:pStyle w:val="ListParagraph"/>
        <w:spacing w:line="276" w:lineRule="auto"/>
        <w:ind w:left="360"/>
        <w:jc w:val="both"/>
        <w:rPr>
          <w:lang w:val="sq-AL"/>
        </w:rPr>
      </w:pPr>
    </w:p>
    <w:p w:rsidR="001D419A" w:rsidRPr="002371BA" w:rsidRDefault="001D419A" w:rsidP="002371BA">
      <w:pPr>
        <w:spacing w:after="120" w:line="276" w:lineRule="auto"/>
        <w:jc w:val="both"/>
        <w:rPr>
          <w:lang w:val="sq-AL"/>
        </w:rPr>
      </w:pPr>
      <w:r w:rsidRPr="003A2CC4">
        <w:rPr>
          <w:lang w:val="sq-AL"/>
        </w:rPr>
        <w:t>Për vitin 2018,</w:t>
      </w:r>
      <w:r w:rsidRPr="008D3152">
        <w:rPr>
          <w:lang w:val="sq-AL"/>
        </w:rPr>
        <w:t xml:space="preserve"> synohet progres i mëtejshëm në realizimin e objektivave të cilat janë pjesë</w:t>
      </w:r>
      <w:r w:rsidR="002371BA">
        <w:rPr>
          <w:lang w:val="sq-AL"/>
        </w:rPr>
        <w:t xml:space="preserve"> e shtyllave të strategjisë si:</w:t>
      </w:r>
    </w:p>
    <w:p w:rsidR="001D419A" w:rsidRPr="001A53FD" w:rsidRDefault="001D419A" w:rsidP="002371BA">
      <w:pPr>
        <w:numPr>
          <w:ilvl w:val="0"/>
          <w:numId w:val="11"/>
        </w:numPr>
        <w:spacing w:after="120" w:line="276" w:lineRule="auto"/>
        <w:ind w:left="432" w:hanging="432"/>
        <w:jc w:val="both"/>
        <w:rPr>
          <w:bCs/>
          <w:lang w:val="sq-AL"/>
        </w:rPr>
      </w:pPr>
      <w:r w:rsidRPr="001A53FD">
        <w:rPr>
          <w:bCs/>
          <w:lang w:val="sq-AL"/>
        </w:rPr>
        <w:t>Forcimi i kapaciteteve të Institutit të Statistikave në fushën e llogarive kombëtare të qeverisë</w:t>
      </w:r>
      <w:r w:rsidRPr="00527AD3">
        <w:rPr>
          <w:lang w:val="sq-AL"/>
        </w:rPr>
        <w:t xml:space="preserve"> duke synuar përmirësimin e cilësisë dhe sasisë së të dhënave të nevojshme të Statistikave Financiare Qeveritare (SFQ) dhe transmetimin e tabelave të reja me të dhënat e SFQ-së në EUROSTAT sipas kërkesave të Standarteve Europiane të Kontabilitetit 2010;  </w:t>
      </w:r>
    </w:p>
    <w:p w:rsidR="001D419A" w:rsidRPr="001A53FD" w:rsidRDefault="001D419A" w:rsidP="002371BA">
      <w:pPr>
        <w:pStyle w:val="ListParagraph"/>
        <w:numPr>
          <w:ilvl w:val="0"/>
          <w:numId w:val="11"/>
        </w:numPr>
        <w:spacing w:after="120" w:line="276" w:lineRule="auto"/>
        <w:ind w:left="432" w:hanging="432"/>
        <w:jc w:val="both"/>
        <w:rPr>
          <w:lang w:val="sq-AL"/>
        </w:rPr>
      </w:pPr>
      <w:r w:rsidRPr="001A53FD">
        <w:rPr>
          <w:lang w:val="sq-AL"/>
        </w:rPr>
        <w:t xml:space="preserve">Rishikimi dhe përditësimi i SKZHI-së gjithëpërfshirëse dhe strategjive sektoriale në proçesin e PBA-së. Gjithasthu, përmirësimi i procesit të planifikimit të investimeve kapitale, vlerësimit dhe </w:t>
      </w:r>
      <w:r w:rsidRPr="001A53FD">
        <w:rPr>
          <w:lang w:val="sq-AL"/>
        </w:rPr>
        <w:lastRenderedPageBreak/>
        <w:t>përfshirjes  në buxhet</w:t>
      </w:r>
      <w:r w:rsidRPr="00527AD3">
        <w:rPr>
          <w:lang w:val="sq-AL"/>
        </w:rPr>
        <w:t xml:space="preserve">. </w:t>
      </w:r>
      <w:r w:rsidRPr="001A53FD">
        <w:rPr>
          <w:lang w:val="sq-AL"/>
        </w:rPr>
        <w:t>Finalizimi dhe miratimi i udhëzimeve dhe kritereve që do të përdoren për vlerësimin teknik të projekteve të mëdha.</w:t>
      </w:r>
    </w:p>
    <w:p w:rsidR="001D419A" w:rsidRPr="001A53FD" w:rsidRDefault="001D419A" w:rsidP="002371BA">
      <w:pPr>
        <w:pStyle w:val="ListParagraph"/>
        <w:numPr>
          <w:ilvl w:val="0"/>
          <w:numId w:val="11"/>
        </w:numPr>
        <w:spacing w:after="120" w:line="276" w:lineRule="auto"/>
        <w:ind w:left="432" w:hanging="432"/>
        <w:jc w:val="both"/>
        <w:rPr>
          <w:color w:val="1F497D"/>
          <w:lang w:val="sq-AL"/>
        </w:rPr>
      </w:pPr>
      <w:r w:rsidRPr="001A53FD">
        <w:rPr>
          <w:lang w:val="sq-AL"/>
        </w:rPr>
        <w:t>Miratimi i akteve nënligjore të ligjit nr.68, datë 27 Prill 2017 “</w:t>
      </w:r>
      <w:r w:rsidRPr="001A53FD">
        <w:rPr>
          <w:i/>
          <w:lang w:val="sq-AL"/>
        </w:rPr>
        <w:t>Për Financat Vendore</w:t>
      </w:r>
      <w:r w:rsidRPr="001A53FD">
        <w:rPr>
          <w:lang w:val="sq-AL"/>
        </w:rPr>
        <w:t>” p</w:t>
      </w:r>
      <w:r>
        <w:rPr>
          <w:lang w:val="sq-AL"/>
        </w:rPr>
        <w:t>ë</w:t>
      </w:r>
      <w:r w:rsidRPr="001A53FD">
        <w:rPr>
          <w:lang w:val="sq-AL"/>
        </w:rPr>
        <w:t>r t</w:t>
      </w:r>
      <w:r>
        <w:rPr>
          <w:lang w:val="sq-AL"/>
        </w:rPr>
        <w:t>ë</w:t>
      </w:r>
      <w:r w:rsidRPr="001A53FD">
        <w:rPr>
          <w:lang w:val="sq-AL"/>
        </w:rPr>
        <w:t xml:space="preserve"> siguruar forcimin e zbatimit të ligjit mbi financat vendore dhe praktikave te Menaxhimit të Financave Vendore duke miratuar aktet nënligjore, përmirësimin dhe unifikimin e formateve të buxhetit n</w:t>
      </w:r>
      <w:r>
        <w:rPr>
          <w:lang w:val="sq-AL"/>
        </w:rPr>
        <w:t>ë</w:t>
      </w:r>
      <w:r w:rsidRPr="001A53FD">
        <w:rPr>
          <w:lang w:val="sq-AL"/>
        </w:rPr>
        <w:t xml:space="preserve"> qeverisjen lokale</w:t>
      </w:r>
    </w:p>
    <w:p w:rsidR="001D419A" w:rsidRPr="001A53FD" w:rsidRDefault="001D419A" w:rsidP="002371BA">
      <w:pPr>
        <w:pStyle w:val="ListParagraph"/>
        <w:numPr>
          <w:ilvl w:val="0"/>
          <w:numId w:val="11"/>
        </w:numPr>
        <w:spacing w:after="120" w:line="276" w:lineRule="auto"/>
        <w:ind w:left="432" w:hanging="432"/>
        <w:jc w:val="both"/>
        <w:rPr>
          <w:color w:val="1F497D"/>
          <w:lang w:val="sq-AL"/>
        </w:rPr>
      </w:pPr>
      <w:r w:rsidRPr="001A53FD">
        <w:rPr>
          <w:rFonts w:eastAsia="SimSun"/>
          <w:bCs/>
          <w:lang w:val="sq-AL"/>
        </w:rPr>
        <w:t>Ngritja e kadastrës fiskale, fillimisht</w:t>
      </w:r>
      <w:r w:rsidRPr="00527AD3">
        <w:rPr>
          <w:lang w:val="sq-AL"/>
        </w:rPr>
        <w:t> për 2018 pritet të bëhet funksionale kadastra për katër bashki (Tiranë, Durrës, Fier dhe Korçë) vetëm mbi taksimin e ndërtesave. Në vijim, në 2019 synohet realizimi i një databazë kombëtare të centralizuar për të gjitha pronat dhe mbulim tërësisht të territorit të Shqipërisë. Synimi  i këtij plani  është ngritja e një sistemi të integruar të të dhënave  mbi pasuritë e paluajtshme. Ky sistem do të shërbejë për të përmirësuar administrimin dhe përformancën e taksimit të pasurisë si dhe krijimin e bazës së nëvojshme për të kaluar në një metodologji moderne llogaritje të taksës kalimin ne sistemin e taksimit ku baza e takses te jete vlera e prones.</w:t>
      </w:r>
    </w:p>
    <w:p w:rsidR="001D419A" w:rsidRPr="001A53FD" w:rsidRDefault="001D419A" w:rsidP="002371BA">
      <w:pPr>
        <w:pStyle w:val="ListParagraph"/>
        <w:numPr>
          <w:ilvl w:val="0"/>
          <w:numId w:val="11"/>
        </w:numPr>
        <w:spacing w:after="120" w:line="276" w:lineRule="auto"/>
        <w:ind w:left="432" w:hanging="432"/>
        <w:jc w:val="both"/>
        <w:rPr>
          <w:lang w:val="sq-AL"/>
        </w:rPr>
      </w:pPr>
      <w:r w:rsidRPr="001A53FD">
        <w:rPr>
          <w:lang w:val="sq-AL"/>
        </w:rPr>
        <w:t>Rishikimi i metodologjisë dhe udhëzimeve standarde për përgatitjen e PBA-s</w:t>
      </w:r>
      <w:r>
        <w:rPr>
          <w:lang w:val="sq-AL"/>
        </w:rPr>
        <w:t>ë</w:t>
      </w:r>
      <w:r w:rsidRPr="001A53FD">
        <w:rPr>
          <w:lang w:val="sq-AL"/>
        </w:rPr>
        <w:t xml:space="preserve"> duke synuar forcimin e rolit udhëheqës të dokumentit të PBA-së dhe cilësinë e proçesit strategjik të përgatitjes së buxhetit; përmirësimin dhe asistimin në përgatitjen e metodologjive të PBA-së dhe Buxhetit Vjetor; si dhe pilotimin e metodologjive të avancuara të PBA-së dhe të buxhetimit në Ministritë e Linjës të përzgjedhura;</w:t>
      </w:r>
    </w:p>
    <w:p w:rsidR="001D419A" w:rsidRPr="001A53FD" w:rsidRDefault="001D419A" w:rsidP="002371BA">
      <w:pPr>
        <w:pStyle w:val="ListParagraph"/>
        <w:numPr>
          <w:ilvl w:val="0"/>
          <w:numId w:val="11"/>
        </w:numPr>
        <w:spacing w:after="120" w:line="276" w:lineRule="auto"/>
        <w:ind w:left="432" w:hanging="432"/>
        <w:jc w:val="both"/>
        <w:rPr>
          <w:lang w:val="sq-AL"/>
        </w:rPr>
      </w:pPr>
      <w:r w:rsidRPr="001A53FD">
        <w:rPr>
          <w:rFonts w:eastAsia="SimSun"/>
          <w:bCs/>
          <w:lang w:val="sq-AL"/>
        </w:rPr>
        <w:t>Forcimi i sistemit të rishikimit të Prokurimeve Publike, me qëllim shqyrtimin te ankesave nga Komisioni i Prokurimit Publik brenda afateve kohore të përcaktuara në ligj;</w:t>
      </w:r>
    </w:p>
    <w:p w:rsidR="008F7E3C" w:rsidRPr="008F7E3C" w:rsidRDefault="001D419A" w:rsidP="002371BA">
      <w:pPr>
        <w:pStyle w:val="ListParagraph"/>
        <w:numPr>
          <w:ilvl w:val="0"/>
          <w:numId w:val="11"/>
        </w:numPr>
        <w:spacing w:after="120" w:line="276" w:lineRule="auto"/>
        <w:ind w:left="432" w:hanging="432"/>
        <w:jc w:val="both"/>
        <w:rPr>
          <w:lang w:val="sq-AL"/>
        </w:rPr>
      </w:pPr>
      <w:r w:rsidRPr="001A53FD">
        <w:rPr>
          <w:rFonts w:eastAsia="SimSun"/>
          <w:bCs/>
          <w:lang w:val="sq-AL"/>
        </w:rPr>
        <w:t>Forcimi i kapaciteteve të KLSH-së dhe përdorimi i teknologjisë së informacionit për futjen e qasjeve të reja të auditimit si edhe ndryshimet e Manualit të Auditimit për të përfshirë aktivitetet për zbulimin e korrupsionit dhe mashtrimit.</w:t>
      </w:r>
    </w:p>
    <w:p w:rsidR="008F7E3C" w:rsidRPr="00D44B54" w:rsidRDefault="008F7E3C" w:rsidP="002371BA">
      <w:pPr>
        <w:pStyle w:val="ListParagraph"/>
        <w:numPr>
          <w:ilvl w:val="0"/>
          <w:numId w:val="11"/>
        </w:numPr>
        <w:spacing w:after="120" w:line="276" w:lineRule="auto"/>
        <w:ind w:left="432" w:hanging="432"/>
        <w:jc w:val="both"/>
        <w:rPr>
          <w:lang w:val="sq-AL"/>
        </w:rPr>
      </w:pPr>
      <w:r w:rsidRPr="00D44B54">
        <w:rPr>
          <w:lang w:val="sq-AL"/>
        </w:rPr>
        <w:t>Në kuadër të hartimit të projektbuxhetit për vitin 2018, Drejtoria e Përgjithshme e Harmonizimit të Kontrollit të Brendshëm Financiar Publik me qëllimin kryesor mirëmenaxhimin e fondeve publike, do të monitorojë në vazhdimësi veprimtarinë e insti</w:t>
      </w:r>
      <w:r w:rsidR="00D44B54" w:rsidRPr="00D44B54">
        <w:rPr>
          <w:lang w:val="sq-AL"/>
        </w:rPr>
        <w:t>tucioneve mbi bazë performance; do t</w:t>
      </w:r>
      <w:r w:rsidR="00DB7941">
        <w:rPr>
          <w:lang w:val="sq-AL"/>
        </w:rPr>
        <w:t>ë</w:t>
      </w:r>
      <w:r w:rsidR="00D44B54" w:rsidRPr="00D44B54">
        <w:rPr>
          <w:lang w:val="sq-AL"/>
        </w:rPr>
        <w:t xml:space="preserve"> zhvilloj</w:t>
      </w:r>
      <w:r w:rsidR="00DB7941">
        <w:rPr>
          <w:lang w:val="sq-AL"/>
        </w:rPr>
        <w:t>ë</w:t>
      </w:r>
      <w:r w:rsidRPr="00D44B54">
        <w:rPr>
          <w:lang w:val="sq-AL"/>
        </w:rPr>
        <w:t xml:space="preserve"> </w:t>
      </w:r>
      <w:r w:rsidR="00D44B54" w:rsidRPr="00D44B54">
        <w:rPr>
          <w:lang w:val="sq-AL"/>
        </w:rPr>
        <w:t>n</w:t>
      </w:r>
      <w:r w:rsidR="00DB7941">
        <w:rPr>
          <w:lang w:val="sq-AL"/>
        </w:rPr>
        <w:t>ë</w:t>
      </w:r>
      <w:r w:rsidR="00D44B54" w:rsidRPr="00D44B54">
        <w:rPr>
          <w:lang w:val="sq-AL"/>
        </w:rPr>
        <w:t xml:space="preserve"> vijim </w:t>
      </w:r>
      <w:r w:rsidRPr="00D44B54">
        <w:rPr>
          <w:lang w:val="sq-AL"/>
        </w:rPr>
        <w:t>kapaci</w:t>
      </w:r>
      <w:r w:rsidR="00D44B54" w:rsidRPr="00D44B54">
        <w:rPr>
          <w:lang w:val="sq-AL"/>
        </w:rPr>
        <w:t>tetet</w:t>
      </w:r>
      <w:r w:rsidRPr="00D44B54">
        <w:rPr>
          <w:lang w:val="sq-AL"/>
        </w:rPr>
        <w:t xml:space="preserve"> </w:t>
      </w:r>
      <w:r w:rsidR="00D44B54" w:rsidRPr="00D44B54">
        <w:rPr>
          <w:lang w:val="sq-AL"/>
        </w:rPr>
        <w:t>e</w:t>
      </w:r>
      <w:r w:rsidRPr="00D44B54">
        <w:rPr>
          <w:lang w:val="sq-AL"/>
        </w:rPr>
        <w:t xml:space="preserve"> administratës publike, lidhur me p</w:t>
      </w:r>
      <w:r w:rsidR="00DB7941">
        <w:rPr>
          <w:lang w:val="sq-AL"/>
        </w:rPr>
        <w:t>ë</w:t>
      </w:r>
      <w:r w:rsidRPr="00D44B54">
        <w:rPr>
          <w:lang w:val="sq-AL"/>
        </w:rPr>
        <w:t>rcaktimin dhe matjen e indikator</w:t>
      </w:r>
      <w:r w:rsidR="00DB7941">
        <w:rPr>
          <w:lang w:val="sq-AL"/>
        </w:rPr>
        <w:t>ë</w:t>
      </w:r>
      <w:r w:rsidRPr="00D44B54">
        <w:rPr>
          <w:lang w:val="sq-AL"/>
        </w:rPr>
        <w:t>ve t</w:t>
      </w:r>
      <w:r w:rsidR="00DB7941">
        <w:rPr>
          <w:lang w:val="sq-AL"/>
        </w:rPr>
        <w:t>ë</w:t>
      </w:r>
      <w:r w:rsidRPr="00D44B54">
        <w:rPr>
          <w:lang w:val="sq-AL"/>
        </w:rPr>
        <w:t xml:space="preserve"> sip</w:t>
      </w:r>
      <w:r w:rsidR="00DB7941">
        <w:rPr>
          <w:lang w:val="sq-AL"/>
        </w:rPr>
        <w:t>ë</w:t>
      </w:r>
      <w:r w:rsidRPr="00D44B54">
        <w:rPr>
          <w:lang w:val="sq-AL"/>
        </w:rPr>
        <w:t>rp</w:t>
      </w:r>
      <w:r w:rsidR="00DB7941">
        <w:rPr>
          <w:lang w:val="sq-AL"/>
        </w:rPr>
        <w:t>ë</w:t>
      </w:r>
      <w:r w:rsidRPr="00D44B54">
        <w:rPr>
          <w:lang w:val="sq-AL"/>
        </w:rPr>
        <w:t>rmendur, përmes trajnimeve të ndryshme të organizuara në bashkëpunim me ASPA-n.</w:t>
      </w:r>
    </w:p>
    <w:p w:rsidR="008F7E3C" w:rsidRPr="00D44B54" w:rsidRDefault="008F7E3C" w:rsidP="002371BA">
      <w:pPr>
        <w:pStyle w:val="ListParagraph"/>
        <w:numPr>
          <w:ilvl w:val="0"/>
          <w:numId w:val="11"/>
        </w:numPr>
        <w:spacing w:after="120" w:line="276" w:lineRule="auto"/>
        <w:ind w:left="432" w:hanging="432"/>
        <w:jc w:val="both"/>
        <w:rPr>
          <w:lang w:val="sq-AL"/>
        </w:rPr>
      </w:pPr>
      <w:r w:rsidRPr="00D44B54">
        <w:rPr>
          <w:lang w:val="sq-AL"/>
        </w:rPr>
        <w:t>Implementimi i një sistemi modern t</w:t>
      </w:r>
      <w:r w:rsidR="00DB7941">
        <w:rPr>
          <w:lang w:val="sq-AL"/>
        </w:rPr>
        <w:t>ë</w:t>
      </w:r>
      <w:r w:rsidRPr="00D44B54">
        <w:rPr>
          <w:lang w:val="sq-AL"/>
        </w:rPr>
        <w:t xml:space="preserve"> menaxhimit financiar dhe kontrollit në 6 institucione pilot të përzgjedhura, bazuar në përvojën e fituar nga projekti i mëparshëm.</w:t>
      </w:r>
    </w:p>
    <w:p w:rsidR="00BD6D02" w:rsidRPr="00BD6D02" w:rsidRDefault="008F7E3C" w:rsidP="002371BA">
      <w:pPr>
        <w:pStyle w:val="ListParagraph"/>
        <w:numPr>
          <w:ilvl w:val="0"/>
          <w:numId w:val="11"/>
        </w:numPr>
        <w:spacing w:after="120" w:line="276" w:lineRule="auto"/>
        <w:ind w:left="432" w:hanging="432"/>
        <w:jc w:val="both"/>
        <w:rPr>
          <w:lang w:val="sq-AL"/>
        </w:rPr>
      </w:pPr>
      <w:r w:rsidRPr="00D44B54">
        <w:rPr>
          <w:rFonts w:eastAsia="Times New Roman"/>
          <w:iCs/>
        </w:rPr>
        <w:t>Monitorimi dhe vlerësimi në mënyrë periodike i veprimtarisë së auditimit të brendshëm, për përputhjen me standardet ndërkom</w:t>
      </w:r>
      <w:r w:rsidR="00D44B54" w:rsidRPr="00D44B54">
        <w:rPr>
          <w:rFonts w:eastAsia="Times New Roman"/>
          <w:iCs/>
        </w:rPr>
        <w:t xml:space="preserve">bëtare të pranuara të auditimit si dhe </w:t>
      </w:r>
      <w:r w:rsidR="00D44B54" w:rsidRPr="00D44B54">
        <w:rPr>
          <w:rFonts w:eastAsia="Times New Roman"/>
          <w:lang w:val="sq-AL"/>
        </w:rPr>
        <w:t>n</w:t>
      </w:r>
      <w:r w:rsidRPr="00D44B54">
        <w:rPr>
          <w:rFonts w:eastAsia="Times New Roman"/>
          <w:lang w:val="sq-AL"/>
        </w:rPr>
        <w:t xml:space="preserve">gritja e vazhdueshme profesionale e audituesve të brendshëm të sektorit publik përmes organizimit të trajnimeve të vijueshme profesionale. </w:t>
      </w:r>
    </w:p>
    <w:p w:rsidR="008F7E3C" w:rsidRPr="00D44B54" w:rsidRDefault="008F7E3C" w:rsidP="00BD6D02">
      <w:pPr>
        <w:pStyle w:val="ListParagraph"/>
        <w:spacing w:after="200" w:line="276" w:lineRule="auto"/>
        <w:ind w:left="426"/>
        <w:contextualSpacing/>
        <w:jc w:val="both"/>
        <w:rPr>
          <w:lang w:val="sq-AL"/>
        </w:rPr>
      </w:pPr>
      <w:r w:rsidRPr="00D44B54">
        <w:rPr>
          <w:rFonts w:eastAsia="Times New Roman"/>
          <w:lang w:val="sq-AL"/>
        </w:rPr>
        <w:t xml:space="preserve">    </w:t>
      </w:r>
    </w:p>
    <w:p w:rsidR="00E5677F" w:rsidRPr="002A4958" w:rsidRDefault="00E5677F" w:rsidP="002A4958">
      <w:pPr>
        <w:rPr>
          <w:b/>
          <w:sz w:val="28"/>
          <w:lang w:val="sq-AL"/>
        </w:rPr>
      </w:pPr>
      <w:bookmarkStart w:id="75" w:name="_Toc495996997"/>
      <w:r w:rsidRPr="002A4958">
        <w:rPr>
          <w:b/>
          <w:sz w:val="28"/>
          <w:lang w:val="sq-AL"/>
        </w:rPr>
        <w:t>5.5 REFORMA ADMINISTRATIVE DHE TERRITORIALE</w:t>
      </w:r>
      <w:bookmarkEnd w:id="75"/>
    </w:p>
    <w:p w:rsidR="00E5677F" w:rsidRPr="00553A4F" w:rsidRDefault="00E5677F" w:rsidP="00E5677F">
      <w:pPr>
        <w:autoSpaceDE w:val="0"/>
        <w:autoSpaceDN w:val="0"/>
        <w:ind w:right="-43"/>
        <w:jc w:val="both"/>
        <w:rPr>
          <w:rFonts w:eastAsia="Calibri"/>
          <w:sz w:val="16"/>
          <w:szCs w:val="16"/>
          <w:lang w:eastAsia="sq-AL"/>
        </w:rPr>
      </w:pPr>
    </w:p>
    <w:p w:rsidR="00E5677F" w:rsidRPr="00553A4F" w:rsidRDefault="00E5677F" w:rsidP="00E5677F">
      <w:pPr>
        <w:spacing w:line="276" w:lineRule="auto"/>
        <w:contextualSpacing/>
        <w:jc w:val="both"/>
        <w:rPr>
          <w:rFonts w:eastAsia="Calibri"/>
          <w:lang w:eastAsia="sq-AL"/>
        </w:rPr>
      </w:pPr>
      <w:r w:rsidRPr="00553A4F">
        <w:t xml:space="preserve">Buxheti vendor i vitit 2018, do të shoqërohet me një model të ndryshimit të financimit dhe menaxhimit financiar në qeverisjen vendore, në funksion të thellimit të zbatimit të reformës administrativo-territoriale. </w:t>
      </w:r>
      <w:r w:rsidRPr="00553A4F">
        <w:rPr>
          <w:rFonts w:eastAsia="Calibri"/>
          <w:lang w:eastAsia="sq-AL"/>
        </w:rPr>
        <w:t>Arritjet kryesore të kësaj reforme të shoqëruara me efekte pozitive në buxhetin vendor, do të jenë në drejtim të:</w:t>
      </w:r>
    </w:p>
    <w:p w:rsidR="00E5677F" w:rsidRPr="00553A4F" w:rsidRDefault="00E5677F" w:rsidP="00E5677F">
      <w:pPr>
        <w:spacing w:line="276" w:lineRule="auto"/>
        <w:contextualSpacing/>
        <w:jc w:val="both"/>
      </w:pPr>
    </w:p>
    <w:p w:rsidR="00133E91" w:rsidRPr="00133E91" w:rsidRDefault="00133E91" w:rsidP="002C5B1B">
      <w:pPr>
        <w:numPr>
          <w:ilvl w:val="0"/>
          <w:numId w:val="12"/>
        </w:numPr>
        <w:spacing w:line="276" w:lineRule="auto"/>
        <w:jc w:val="both"/>
        <w:rPr>
          <w:rFonts w:eastAsia="Times New Roman"/>
          <w:i/>
          <w:lang w:eastAsia="sq-AL"/>
        </w:rPr>
      </w:pPr>
      <w:r w:rsidRPr="00133E91">
        <w:rPr>
          <w:rFonts w:eastAsia="Times New Roman"/>
          <w:i/>
          <w:kern w:val="24"/>
        </w:rPr>
        <w:lastRenderedPageBreak/>
        <w:t xml:space="preserve">Rritjes së transfertës së pakushtëzuar në 16.5 miliardë lekë, nga 13.5 miliardë lekë që ishte në buxhetin e vitit 2017, pra </w:t>
      </w:r>
      <w:r w:rsidRPr="00133E91">
        <w:rPr>
          <w:i/>
        </w:rPr>
        <w:t>3 miliardë lekë më shumë (ose rreth 22 % më e lartë) se në vitin 2017.</w:t>
      </w:r>
    </w:p>
    <w:p w:rsidR="00133E91" w:rsidRPr="00133E91" w:rsidRDefault="00133E91" w:rsidP="002C5B1B">
      <w:pPr>
        <w:numPr>
          <w:ilvl w:val="0"/>
          <w:numId w:val="12"/>
        </w:numPr>
        <w:spacing w:line="276" w:lineRule="auto"/>
        <w:jc w:val="both"/>
        <w:rPr>
          <w:rFonts w:eastAsia="Times New Roman"/>
          <w:i/>
          <w:lang w:eastAsia="sq-AL"/>
        </w:rPr>
      </w:pPr>
      <w:r w:rsidRPr="00133E91">
        <w:rPr>
          <w:rFonts w:eastAsia="Times New Roman"/>
          <w:i/>
          <w:kern w:val="24"/>
        </w:rPr>
        <w:t>Rritjes së të ardhurave nga burimet e veta vendore me rreth 2 miliardë lekë më shumë se plani i vitit 2017.</w:t>
      </w:r>
    </w:p>
    <w:p w:rsidR="00133E91" w:rsidRPr="00133E91" w:rsidRDefault="00133E91" w:rsidP="002C5B1B">
      <w:pPr>
        <w:numPr>
          <w:ilvl w:val="0"/>
          <w:numId w:val="12"/>
        </w:numPr>
        <w:spacing w:line="276" w:lineRule="auto"/>
        <w:jc w:val="both"/>
        <w:rPr>
          <w:rFonts w:eastAsia="Times New Roman"/>
          <w:i/>
          <w:lang w:eastAsia="sq-AL"/>
        </w:rPr>
      </w:pPr>
      <w:r w:rsidRPr="00133E91">
        <w:rPr>
          <w:rFonts w:eastAsia="Times New Roman"/>
          <w:i/>
          <w:lang w:eastAsia="sq-AL"/>
        </w:rPr>
        <w:t xml:space="preserve">Reformimit të taksës së pronës nëpërmjet një taksimi </w:t>
      </w:r>
      <w:proofErr w:type="gramStart"/>
      <w:r w:rsidRPr="00133E91">
        <w:rPr>
          <w:rFonts w:eastAsia="Times New Roman"/>
          <w:i/>
          <w:lang w:eastAsia="sq-AL"/>
        </w:rPr>
        <w:t>sa</w:t>
      </w:r>
      <w:proofErr w:type="gramEnd"/>
      <w:r w:rsidRPr="00133E91">
        <w:rPr>
          <w:rFonts w:eastAsia="Times New Roman"/>
          <w:i/>
          <w:lang w:eastAsia="sq-AL"/>
        </w:rPr>
        <w:t xml:space="preserve"> më të drejtë me objektiv rritjen e të ardhurave për njësitë e vetëqeverisjes vendore.</w:t>
      </w:r>
    </w:p>
    <w:p w:rsidR="00133E91" w:rsidRPr="00133E91" w:rsidRDefault="00133E91" w:rsidP="002C5B1B">
      <w:pPr>
        <w:numPr>
          <w:ilvl w:val="0"/>
          <w:numId w:val="12"/>
        </w:numPr>
        <w:spacing w:line="276" w:lineRule="auto"/>
        <w:jc w:val="both"/>
        <w:rPr>
          <w:rFonts w:eastAsia="Times New Roman"/>
          <w:i/>
          <w:lang w:eastAsia="sq-AL"/>
        </w:rPr>
      </w:pPr>
      <w:r w:rsidRPr="00133E91">
        <w:rPr>
          <w:rFonts w:eastAsia="Times New Roman"/>
          <w:i/>
          <w:lang w:eastAsia="sq-AL"/>
        </w:rPr>
        <w:t xml:space="preserve">Rritjes së buxhetit në tërësi për pushtetin vendor, nga </w:t>
      </w:r>
      <w:r w:rsidRPr="00133E91">
        <w:rPr>
          <w:rFonts w:eastAsia="Times New Roman"/>
          <w:b/>
          <w:bCs/>
          <w:i/>
          <w:lang w:eastAsia="sq-AL"/>
        </w:rPr>
        <w:t xml:space="preserve">2.1 për qind </w:t>
      </w:r>
      <w:r w:rsidRPr="00133E91">
        <w:rPr>
          <w:rFonts w:eastAsia="Times New Roman"/>
          <w:bCs/>
          <w:i/>
          <w:lang w:eastAsia="sq-AL"/>
        </w:rPr>
        <w:t>të</w:t>
      </w:r>
      <w:r w:rsidRPr="00133E91">
        <w:rPr>
          <w:rFonts w:eastAsia="Times New Roman"/>
          <w:i/>
          <w:lang w:eastAsia="sq-AL"/>
        </w:rPr>
        <w:t xml:space="preserve"> PBB-së që zinte para reformës në </w:t>
      </w:r>
      <w:r w:rsidRPr="00133E91">
        <w:rPr>
          <w:rFonts w:eastAsia="Times New Roman"/>
          <w:b/>
          <w:bCs/>
          <w:i/>
          <w:lang w:eastAsia="sq-AL"/>
        </w:rPr>
        <w:t xml:space="preserve">2.8 për qind </w:t>
      </w:r>
      <w:r w:rsidRPr="00133E91">
        <w:rPr>
          <w:rFonts w:eastAsia="Times New Roman"/>
          <w:bCs/>
          <w:i/>
          <w:lang w:eastAsia="sq-AL"/>
        </w:rPr>
        <w:t>të</w:t>
      </w:r>
      <w:r w:rsidRPr="00133E91">
        <w:rPr>
          <w:rFonts w:eastAsia="Times New Roman"/>
          <w:i/>
          <w:lang w:eastAsia="sq-AL"/>
        </w:rPr>
        <w:t xml:space="preserve"> PBB-së në projekt-buxhetin e vitit 2018.</w:t>
      </w:r>
    </w:p>
    <w:p w:rsidR="00133E91" w:rsidRPr="00133E91" w:rsidRDefault="00133E91" w:rsidP="002C5B1B">
      <w:pPr>
        <w:numPr>
          <w:ilvl w:val="0"/>
          <w:numId w:val="12"/>
        </w:numPr>
        <w:spacing w:line="276" w:lineRule="auto"/>
        <w:jc w:val="both"/>
        <w:rPr>
          <w:rFonts w:eastAsia="Times New Roman"/>
          <w:i/>
          <w:lang w:eastAsia="sq-AL"/>
        </w:rPr>
      </w:pPr>
      <w:r w:rsidRPr="00133E91">
        <w:rPr>
          <w:rFonts w:eastAsia="Times New Roman"/>
          <w:i/>
          <w:lang w:eastAsia="sq-AL"/>
        </w:rPr>
        <w:t>Uljes së kostove për qytetarët, duke qenë se fragmentarizimi i njësive vendore kishte një kosto të konsiderueshme. Këto kursime do të rrisin fondin për investime publike.</w:t>
      </w:r>
    </w:p>
    <w:p w:rsidR="00133E91" w:rsidRPr="00133E91" w:rsidRDefault="00133E91" w:rsidP="002C5B1B">
      <w:pPr>
        <w:numPr>
          <w:ilvl w:val="0"/>
          <w:numId w:val="12"/>
        </w:numPr>
        <w:spacing w:line="276" w:lineRule="auto"/>
        <w:jc w:val="both"/>
        <w:rPr>
          <w:rFonts w:eastAsia="Times New Roman"/>
          <w:i/>
          <w:lang w:eastAsia="sq-AL"/>
        </w:rPr>
      </w:pPr>
      <w:r w:rsidRPr="00133E91">
        <w:rPr>
          <w:rFonts w:eastAsia="Calibri"/>
          <w:i/>
          <w:iCs/>
        </w:rPr>
        <w:t>Përmirësimit të procesit të decentralizmit të financave publike;</w:t>
      </w:r>
    </w:p>
    <w:p w:rsidR="00133E91" w:rsidRPr="00133E91" w:rsidRDefault="00133E91" w:rsidP="002C5B1B">
      <w:pPr>
        <w:numPr>
          <w:ilvl w:val="0"/>
          <w:numId w:val="12"/>
        </w:numPr>
        <w:spacing w:line="276" w:lineRule="auto"/>
        <w:jc w:val="both"/>
        <w:rPr>
          <w:rFonts w:eastAsia="Times New Roman"/>
          <w:i/>
          <w:lang w:eastAsia="sq-AL"/>
        </w:rPr>
      </w:pPr>
      <w:r w:rsidRPr="00133E91">
        <w:rPr>
          <w:i/>
        </w:rPr>
        <w:t>Rritjes së eficiencës në ofrimin e shërbimeve publike në nivel vendor,</w:t>
      </w:r>
      <w:r w:rsidRPr="00133E91">
        <w:rPr>
          <w:rFonts w:eastAsia="Times New Roman"/>
          <w:i/>
          <w:lang w:eastAsia="sq-AL"/>
        </w:rPr>
        <w:t xml:space="preserve"> duke patur administrim dhe qeverisje më të mirë.</w:t>
      </w:r>
    </w:p>
    <w:p w:rsidR="00133E91" w:rsidRPr="00133E91" w:rsidRDefault="00133E91" w:rsidP="002C5B1B">
      <w:pPr>
        <w:numPr>
          <w:ilvl w:val="0"/>
          <w:numId w:val="12"/>
        </w:numPr>
        <w:spacing w:line="276" w:lineRule="auto"/>
        <w:jc w:val="both"/>
        <w:rPr>
          <w:i/>
        </w:rPr>
      </w:pPr>
      <w:r w:rsidRPr="00133E91">
        <w:rPr>
          <w:i/>
        </w:rPr>
        <w:t>Zhvillimit ekonomik lokal dhe në uljen e pabarazive midis njësive të vetëqeverisjes vendore.</w:t>
      </w:r>
    </w:p>
    <w:p w:rsidR="00133E91" w:rsidRPr="00133E91" w:rsidRDefault="00133E91" w:rsidP="002C5B1B">
      <w:pPr>
        <w:numPr>
          <w:ilvl w:val="0"/>
          <w:numId w:val="12"/>
        </w:numPr>
        <w:spacing w:line="276" w:lineRule="auto"/>
        <w:jc w:val="both"/>
        <w:rPr>
          <w:i/>
        </w:rPr>
      </w:pPr>
      <w:r w:rsidRPr="00133E91">
        <w:rPr>
          <w:i/>
        </w:rPr>
        <w:t>Nxitjes së zhvillimit vendor, ndërkohë që ndarja territoriale para reformës shoqërohej me një ngadalësim në zhvilllimin vendor, për shkak të varësisë së njësive të vetëqeverisjes vendore ndaj të ardhurave nga buxheti i shtetit.</w:t>
      </w:r>
    </w:p>
    <w:p w:rsidR="00133E91" w:rsidRPr="00133E91" w:rsidRDefault="00133E91" w:rsidP="002C5B1B">
      <w:pPr>
        <w:numPr>
          <w:ilvl w:val="0"/>
          <w:numId w:val="12"/>
        </w:numPr>
        <w:autoSpaceDE w:val="0"/>
        <w:autoSpaceDN w:val="0"/>
        <w:adjustRightInd w:val="0"/>
        <w:spacing w:line="276" w:lineRule="auto"/>
        <w:jc w:val="both"/>
        <w:rPr>
          <w:rFonts w:eastAsia="Calibri"/>
          <w:i/>
          <w:iCs/>
        </w:rPr>
      </w:pPr>
      <w:r w:rsidRPr="00133E91">
        <w:rPr>
          <w:rFonts w:eastAsia="Calibri"/>
          <w:i/>
          <w:iCs/>
        </w:rPr>
        <w:t>Rritjes së cilësisë dhe modernizimit të shërbimeve publike në nivel të qeverisjes vendore, bazuar në standardet evropiane;</w:t>
      </w:r>
    </w:p>
    <w:p w:rsidR="00133E91" w:rsidRPr="00133E91" w:rsidRDefault="00133E91" w:rsidP="002C5B1B">
      <w:pPr>
        <w:numPr>
          <w:ilvl w:val="0"/>
          <w:numId w:val="12"/>
        </w:numPr>
        <w:autoSpaceDE w:val="0"/>
        <w:autoSpaceDN w:val="0"/>
        <w:adjustRightInd w:val="0"/>
        <w:spacing w:line="276" w:lineRule="auto"/>
        <w:jc w:val="both"/>
        <w:rPr>
          <w:rFonts w:eastAsia="Calibri"/>
          <w:i/>
          <w:iCs/>
        </w:rPr>
      </w:pPr>
      <w:r w:rsidRPr="00133E91">
        <w:rPr>
          <w:rFonts w:eastAsia="Calibri"/>
          <w:i/>
          <w:iCs/>
        </w:rPr>
        <w:t>Rritjes së transparences dhe llogaridhënies së qeverisjes vendore në raport me komunitetin;</w:t>
      </w:r>
    </w:p>
    <w:p w:rsidR="00133E91" w:rsidRPr="00133E91" w:rsidRDefault="00133E91" w:rsidP="002C5B1B">
      <w:pPr>
        <w:numPr>
          <w:ilvl w:val="0"/>
          <w:numId w:val="12"/>
        </w:numPr>
        <w:autoSpaceDE w:val="0"/>
        <w:autoSpaceDN w:val="0"/>
        <w:adjustRightInd w:val="0"/>
        <w:spacing w:line="276" w:lineRule="auto"/>
        <w:jc w:val="both"/>
        <w:rPr>
          <w:rFonts w:eastAsia="Calibri"/>
          <w:i/>
          <w:iCs/>
        </w:rPr>
      </w:pPr>
      <w:r w:rsidRPr="00133E91">
        <w:rPr>
          <w:rFonts w:eastAsia="Calibri"/>
          <w:i/>
          <w:iCs/>
        </w:rPr>
        <w:t xml:space="preserve">Menaxhimit më të mirë të shpenzimeve administrative me qëllim ofrimin e më shumë shërbimeve publike cilësore me një kosto </w:t>
      </w:r>
      <w:proofErr w:type="gramStart"/>
      <w:r w:rsidRPr="00133E91">
        <w:rPr>
          <w:rFonts w:eastAsia="Calibri"/>
          <w:i/>
          <w:iCs/>
        </w:rPr>
        <w:t>sa</w:t>
      </w:r>
      <w:proofErr w:type="gramEnd"/>
      <w:r w:rsidRPr="00133E91">
        <w:rPr>
          <w:rFonts w:eastAsia="Calibri"/>
          <w:i/>
          <w:iCs/>
        </w:rPr>
        <w:t xml:space="preserve"> më të ulët.</w:t>
      </w:r>
    </w:p>
    <w:p w:rsidR="00B0121D" w:rsidRPr="00133E91" w:rsidRDefault="00133E91" w:rsidP="002C5B1B">
      <w:pPr>
        <w:numPr>
          <w:ilvl w:val="0"/>
          <w:numId w:val="12"/>
        </w:numPr>
        <w:autoSpaceDE w:val="0"/>
        <w:autoSpaceDN w:val="0"/>
        <w:adjustRightInd w:val="0"/>
        <w:spacing w:line="276" w:lineRule="auto"/>
        <w:jc w:val="both"/>
        <w:rPr>
          <w:rFonts w:eastAsia="Calibri"/>
          <w:i/>
          <w:iCs/>
        </w:rPr>
      </w:pPr>
      <w:r w:rsidRPr="00133E91">
        <w:rPr>
          <w:rFonts w:eastAsia="Calibri"/>
          <w:i/>
          <w:iCs/>
        </w:rPr>
        <w:t>Forcimit të rregullave dhe procedurave për menaxhimin e financave publike në nivel vendor duke siguruar më shumë disiplinë fiskale dhe krijimin e një balance midis autonomisë dhe disiplinës fiskale.</w:t>
      </w:r>
    </w:p>
    <w:p w:rsidR="00E1102D" w:rsidRPr="00D94792" w:rsidRDefault="00E1102D" w:rsidP="003C5B4B">
      <w:pPr>
        <w:suppressAutoHyphens/>
        <w:autoSpaceDN w:val="0"/>
        <w:spacing w:after="120" w:line="276" w:lineRule="auto"/>
        <w:jc w:val="both"/>
        <w:rPr>
          <w:rFonts w:eastAsia="Times New Roman"/>
          <w:b/>
          <w:kern w:val="3"/>
          <w:lang w:val="sq-AL"/>
        </w:rPr>
      </w:pPr>
    </w:p>
    <w:p w:rsidR="00B0121D" w:rsidRPr="00D94792" w:rsidRDefault="00B0121D" w:rsidP="002C5B1B">
      <w:pPr>
        <w:pStyle w:val="Heading1"/>
        <w:numPr>
          <w:ilvl w:val="0"/>
          <w:numId w:val="15"/>
        </w:numPr>
        <w:tabs>
          <w:tab w:val="clear" w:pos="5954"/>
          <w:tab w:val="center" w:pos="709"/>
        </w:tabs>
        <w:spacing w:line="276" w:lineRule="auto"/>
        <w:jc w:val="both"/>
        <w:rPr>
          <w:bCs/>
          <w:iCs/>
          <w:sz w:val="28"/>
          <w:szCs w:val="28"/>
          <w:lang w:val="sq-AL"/>
        </w:rPr>
      </w:pPr>
      <w:bookmarkStart w:id="76" w:name="_Toc495672771"/>
      <w:bookmarkStart w:id="77" w:name="_Toc496520391"/>
      <w:r w:rsidRPr="00D94792">
        <w:rPr>
          <w:bCs/>
          <w:iCs/>
          <w:sz w:val="28"/>
          <w:szCs w:val="28"/>
          <w:lang w:val="sq-AL"/>
        </w:rPr>
        <w:t>POLITIKAT E TAKSAVE PËR VITIN 201</w:t>
      </w:r>
      <w:r w:rsidR="009A68B1" w:rsidRPr="00D94792">
        <w:rPr>
          <w:bCs/>
          <w:iCs/>
          <w:sz w:val="28"/>
          <w:szCs w:val="28"/>
          <w:lang w:val="sq-AL"/>
        </w:rPr>
        <w:t>8</w:t>
      </w:r>
      <w:bookmarkEnd w:id="76"/>
      <w:bookmarkEnd w:id="77"/>
      <w:r w:rsidRPr="00D94792">
        <w:rPr>
          <w:bCs/>
          <w:iCs/>
          <w:sz w:val="28"/>
          <w:szCs w:val="28"/>
          <w:lang w:val="sq-AL"/>
        </w:rPr>
        <w:t xml:space="preserve"> </w:t>
      </w:r>
    </w:p>
    <w:p w:rsidR="00B0121D" w:rsidRPr="00D94792" w:rsidRDefault="00B0121D" w:rsidP="003C5B4B">
      <w:pPr>
        <w:spacing w:line="276" w:lineRule="auto"/>
        <w:rPr>
          <w:lang w:val="sq-AL"/>
        </w:rPr>
      </w:pPr>
    </w:p>
    <w:p w:rsidR="00A635B4" w:rsidRPr="009C5122" w:rsidRDefault="00CB089C" w:rsidP="00A635B4">
      <w:pPr>
        <w:spacing w:after="120" w:line="276" w:lineRule="auto"/>
        <w:jc w:val="both"/>
        <w:textAlignment w:val="baseline"/>
        <w:outlineLvl w:val="0"/>
        <w:rPr>
          <w:rFonts w:eastAsia="Times New Roman"/>
          <w:b/>
          <w:bCs/>
          <w:color w:val="000000"/>
          <w:kern w:val="36"/>
          <w:sz w:val="48"/>
          <w:szCs w:val="48"/>
        </w:rPr>
      </w:pPr>
      <w:r w:rsidRPr="00D94792">
        <w:rPr>
          <w:sz w:val="26"/>
          <w:szCs w:val="26"/>
          <w:lang w:val="sq-AL"/>
        </w:rPr>
        <w:t xml:space="preserve"> </w:t>
      </w:r>
      <w:bookmarkStart w:id="78" w:name="_Toc496520392"/>
      <w:r w:rsidR="00A635B4">
        <w:rPr>
          <w:rFonts w:eastAsia="Times New Roman"/>
          <w:b/>
          <w:bCs/>
          <w:color w:val="000000"/>
          <w:kern w:val="36"/>
          <w:sz w:val="26"/>
          <w:szCs w:val="26"/>
        </w:rPr>
        <w:t xml:space="preserve">6.1 </w:t>
      </w:r>
      <w:r w:rsidR="00A635B4" w:rsidRPr="009C5122">
        <w:rPr>
          <w:rFonts w:eastAsia="Times New Roman"/>
          <w:b/>
          <w:bCs/>
          <w:color w:val="000000"/>
          <w:kern w:val="36"/>
          <w:sz w:val="26"/>
          <w:szCs w:val="26"/>
        </w:rPr>
        <w:t>PAKETA E RE FISKALE</w:t>
      </w:r>
      <w:bookmarkEnd w:id="78"/>
    </w:p>
    <w:p w:rsidR="00A635B4" w:rsidRPr="009C5122" w:rsidRDefault="00A635B4" w:rsidP="00A635B4">
      <w:pPr>
        <w:spacing w:line="276" w:lineRule="auto"/>
        <w:jc w:val="both"/>
        <w:rPr>
          <w:rFonts w:eastAsia="Times New Roman"/>
        </w:rPr>
      </w:pPr>
      <w:r w:rsidRPr="009C5122">
        <w:rPr>
          <w:rFonts w:eastAsia="Times New Roman"/>
          <w:color w:val="000000"/>
        </w:rPr>
        <w:t>Paketa Fiskale 2018 parashikon disa ndryshime në legjislacioni</w:t>
      </w:r>
      <w:r w:rsidR="007E7316">
        <w:rPr>
          <w:rFonts w:eastAsia="Times New Roman"/>
          <w:color w:val="000000"/>
        </w:rPr>
        <w:t>n</w:t>
      </w:r>
      <w:r w:rsidRPr="009C5122">
        <w:rPr>
          <w:rFonts w:eastAsia="Times New Roman"/>
          <w:color w:val="000000"/>
        </w:rPr>
        <w:t xml:space="preserve"> Fiskal. Ndër ndryshimet kryesore renditen: </w:t>
      </w:r>
    </w:p>
    <w:p w:rsidR="00A635B4" w:rsidRPr="009C5122" w:rsidRDefault="00A635B4" w:rsidP="00A635B4">
      <w:pPr>
        <w:spacing w:line="276" w:lineRule="auto"/>
        <w:jc w:val="both"/>
        <w:rPr>
          <w:rFonts w:eastAsia="Times New Roman"/>
        </w:rPr>
      </w:pPr>
    </w:p>
    <w:p w:rsidR="00A635B4" w:rsidRPr="009C5122" w:rsidRDefault="00A635B4" w:rsidP="00A635B4">
      <w:pPr>
        <w:spacing w:line="276" w:lineRule="auto"/>
        <w:jc w:val="both"/>
        <w:rPr>
          <w:rFonts w:eastAsia="Times New Roman"/>
        </w:rPr>
      </w:pPr>
      <w:r w:rsidRPr="009C5122">
        <w:rPr>
          <w:rFonts w:eastAsia="Times New Roman"/>
          <w:b/>
          <w:bCs/>
          <w:color w:val="000000"/>
        </w:rPr>
        <w:t>1. Ligji Nr. 92/2014 “Për Tatimin Mbi Vlerën e Shtuar”.</w:t>
      </w:r>
    </w:p>
    <w:p w:rsidR="00A635B4" w:rsidRPr="009C5122" w:rsidRDefault="00425EE9" w:rsidP="00425EE9">
      <w:pPr>
        <w:numPr>
          <w:ilvl w:val="0"/>
          <w:numId w:val="56"/>
        </w:numPr>
        <w:spacing w:line="276" w:lineRule="auto"/>
        <w:jc w:val="both"/>
        <w:textAlignment w:val="baseline"/>
        <w:rPr>
          <w:rFonts w:ascii="Noto Sans Symbols" w:eastAsia="Times New Roman" w:hAnsi="Noto Sans Symbols"/>
          <w:color w:val="000000"/>
        </w:rPr>
      </w:pPr>
      <w:r w:rsidRPr="00425EE9">
        <w:rPr>
          <w:rFonts w:eastAsia="Times New Roman"/>
          <w:color w:val="000000"/>
        </w:rPr>
        <w:t xml:space="preserve">Propozohet ulja e pragut të regjistrimit në skemën e TVSH-së. </w:t>
      </w:r>
      <w:proofErr w:type="gramStart"/>
      <w:r w:rsidRPr="00425EE9">
        <w:rPr>
          <w:rFonts w:eastAsia="Times New Roman"/>
          <w:color w:val="000000"/>
        </w:rPr>
        <w:t>Ky</w:t>
      </w:r>
      <w:proofErr w:type="gramEnd"/>
      <w:r w:rsidRPr="00425EE9">
        <w:rPr>
          <w:rFonts w:eastAsia="Times New Roman"/>
          <w:color w:val="000000"/>
        </w:rPr>
        <w:t xml:space="preserve"> ndryshim pritet të japë një efekt prej +1-1.5 Miliard Lekë për vitin 2018. Argumentat që mbështesin këtë propozim kanë të bëjnë kryesisht me formalizimin dhe kontrollin e zinxhirit të transaksioneve nga kompanite e m</w:t>
      </w:r>
      <w:r>
        <w:rPr>
          <w:rFonts w:eastAsia="Times New Roman"/>
          <w:color w:val="000000"/>
        </w:rPr>
        <w:t>ë</w:t>
      </w:r>
      <w:r w:rsidRPr="00425EE9">
        <w:rPr>
          <w:rFonts w:eastAsia="Times New Roman"/>
          <w:color w:val="000000"/>
        </w:rPr>
        <w:t>dha tek biznesi i vog</w:t>
      </w:r>
      <w:r>
        <w:rPr>
          <w:rFonts w:eastAsia="Times New Roman"/>
          <w:color w:val="000000"/>
        </w:rPr>
        <w:t>ë</w:t>
      </w:r>
      <w:r w:rsidRPr="00425EE9">
        <w:rPr>
          <w:rFonts w:eastAsia="Times New Roman"/>
          <w:color w:val="000000"/>
        </w:rPr>
        <w:t>l, duke synuar formalizim t</w:t>
      </w:r>
      <w:r>
        <w:rPr>
          <w:rFonts w:eastAsia="Times New Roman"/>
          <w:color w:val="000000"/>
        </w:rPr>
        <w:t>ë</w:t>
      </w:r>
      <w:r w:rsidRPr="00425EE9">
        <w:rPr>
          <w:rFonts w:eastAsia="Times New Roman"/>
          <w:color w:val="000000"/>
        </w:rPr>
        <w:t xml:space="preserve"> qarkullimit t</w:t>
      </w:r>
      <w:r>
        <w:rPr>
          <w:rFonts w:eastAsia="Times New Roman"/>
          <w:color w:val="000000"/>
        </w:rPr>
        <w:t>ë</w:t>
      </w:r>
      <w:r w:rsidRPr="00425EE9">
        <w:rPr>
          <w:rFonts w:eastAsia="Times New Roman"/>
          <w:color w:val="000000"/>
        </w:rPr>
        <w:t xml:space="preserve"> mallrave dhe sh</w:t>
      </w:r>
      <w:r>
        <w:rPr>
          <w:rFonts w:eastAsia="Times New Roman"/>
          <w:color w:val="000000"/>
        </w:rPr>
        <w:t>ë</w:t>
      </w:r>
      <w:r w:rsidRPr="00425EE9">
        <w:rPr>
          <w:rFonts w:eastAsia="Times New Roman"/>
          <w:color w:val="000000"/>
        </w:rPr>
        <w:t>rbimeve dhe nj</w:t>
      </w:r>
      <w:r>
        <w:rPr>
          <w:rFonts w:eastAsia="Times New Roman"/>
          <w:color w:val="000000"/>
        </w:rPr>
        <w:t>ë</w:t>
      </w:r>
      <w:r w:rsidRPr="00425EE9">
        <w:rPr>
          <w:rFonts w:eastAsia="Times New Roman"/>
          <w:color w:val="000000"/>
        </w:rPr>
        <w:t xml:space="preserve"> mbulim t</w:t>
      </w:r>
      <w:r>
        <w:rPr>
          <w:rFonts w:eastAsia="Times New Roman"/>
          <w:color w:val="000000"/>
        </w:rPr>
        <w:t>ë</w:t>
      </w:r>
      <w:r w:rsidRPr="00425EE9">
        <w:rPr>
          <w:rFonts w:eastAsia="Times New Roman"/>
          <w:color w:val="000000"/>
        </w:rPr>
        <w:t>r</w:t>
      </w:r>
      <w:r>
        <w:rPr>
          <w:rFonts w:eastAsia="Times New Roman"/>
          <w:color w:val="000000"/>
        </w:rPr>
        <w:t>ë</w:t>
      </w:r>
      <w:r w:rsidRPr="00425EE9">
        <w:rPr>
          <w:rFonts w:eastAsia="Times New Roman"/>
          <w:color w:val="000000"/>
        </w:rPr>
        <w:t>sor t</w:t>
      </w:r>
      <w:r>
        <w:rPr>
          <w:rFonts w:eastAsia="Times New Roman"/>
          <w:color w:val="000000"/>
        </w:rPr>
        <w:t>ë</w:t>
      </w:r>
      <w:r w:rsidRPr="00425EE9">
        <w:rPr>
          <w:rFonts w:eastAsia="Times New Roman"/>
          <w:color w:val="000000"/>
        </w:rPr>
        <w:t xml:space="preserve"> TVSH. Kjo vjen n</w:t>
      </w:r>
      <w:r>
        <w:rPr>
          <w:rFonts w:eastAsia="Times New Roman"/>
          <w:color w:val="000000"/>
        </w:rPr>
        <w:t>ë</w:t>
      </w:r>
      <w:r w:rsidRPr="00425EE9">
        <w:rPr>
          <w:rFonts w:eastAsia="Times New Roman"/>
          <w:color w:val="000000"/>
        </w:rPr>
        <w:t xml:space="preserve"> frym</w:t>
      </w:r>
      <w:r>
        <w:rPr>
          <w:rFonts w:eastAsia="Times New Roman"/>
          <w:color w:val="000000"/>
        </w:rPr>
        <w:t>ë</w:t>
      </w:r>
      <w:r w:rsidRPr="00425EE9">
        <w:rPr>
          <w:rFonts w:eastAsia="Times New Roman"/>
          <w:color w:val="000000"/>
        </w:rPr>
        <w:t>n e krijimit t</w:t>
      </w:r>
      <w:r>
        <w:rPr>
          <w:rFonts w:eastAsia="Times New Roman"/>
          <w:color w:val="000000"/>
        </w:rPr>
        <w:t>ë</w:t>
      </w:r>
      <w:r w:rsidRPr="00425EE9">
        <w:rPr>
          <w:rFonts w:eastAsia="Times New Roman"/>
          <w:color w:val="000000"/>
        </w:rPr>
        <w:t xml:space="preserve"> nj</w:t>
      </w:r>
      <w:r>
        <w:rPr>
          <w:rFonts w:eastAsia="Times New Roman"/>
          <w:color w:val="000000"/>
        </w:rPr>
        <w:t>ë</w:t>
      </w:r>
      <w:r w:rsidRPr="00425EE9">
        <w:rPr>
          <w:rFonts w:eastAsia="Times New Roman"/>
          <w:color w:val="000000"/>
        </w:rPr>
        <w:t xml:space="preserve"> mjedisi </w:t>
      </w:r>
      <w:proofErr w:type="gramStart"/>
      <w:r w:rsidRPr="00425EE9">
        <w:rPr>
          <w:rFonts w:eastAsia="Times New Roman"/>
          <w:color w:val="000000"/>
        </w:rPr>
        <w:t>sa</w:t>
      </w:r>
      <w:proofErr w:type="gramEnd"/>
      <w:r w:rsidRPr="00425EE9">
        <w:rPr>
          <w:rFonts w:eastAsia="Times New Roman"/>
          <w:color w:val="000000"/>
        </w:rPr>
        <w:t xml:space="preserve"> m</w:t>
      </w:r>
      <w:r>
        <w:rPr>
          <w:rFonts w:eastAsia="Times New Roman"/>
          <w:color w:val="000000"/>
        </w:rPr>
        <w:t>ë</w:t>
      </w:r>
      <w:r w:rsidRPr="00425EE9">
        <w:rPr>
          <w:rFonts w:eastAsia="Times New Roman"/>
          <w:color w:val="000000"/>
        </w:rPr>
        <w:t xml:space="preserve"> t</w:t>
      </w:r>
      <w:r>
        <w:rPr>
          <w:rFonts w:eastAsia="Times New Roman"/>
          <w:color w:val="000000"/>
        </w:rPr>
        <w:t>ë</w:t>
      </w:r>
      <w:r w:rsidRPr="00425EE9">
        <w:rPr>
          <w:rFonts w:eastAsia="Times New Roman"/>
          <w:color w:val="000000"/>
        </w:rPr>
        <w:t xml:space="preserve"> ndersh</w:t>
      </w:r>
      <w:r>
        <w:rPr>
          <w:rFonts w:eastAsia="Times New Roman"/>
          <w:color w:val="000000"/>
        </w:rPr>
        <w:t>ë</w:t>
      </w:r>
      <w:r w:rsidRPr="00425EE9">
        <w:rPr>
          <w:rFonts w:eastAsia="Times New Roman"/>
          <w:color w:val="000000"/>
        </w:rPr>
        <w:t>m dhe konkurues t</w:t>
      </w:r>
      <w:r>
        <w:rPr>
          <w:rFonts w:eastAsia="Times New Roman"/>
          <w:color w:val="000000"/>
        </w:rPr>
        <w:t>ë</w:t>
      </w:r>
      <w:r w:rsidRPr="00425EE9">
        <w:rPr>
          <w:rFonts w:eastAsia="Times New Roman"/>
          <w:color w:val="000000"/>
        </w:rPr>
        <w:t xml:space="preserve"> t</w:t>
      </w:r>
      <w:r>
        <w:rPr>
          <w:rFonts w:eastAsia="Times New Roman"/>
          <w:color w:val="000000"/>
        </w:rPr>
        <w:t>ë</w:t>
      </w:r>
      <w:r w:rsidRPr="00425EE9">
        <w:rPr>
          <w:rFonts w:eastAsia="Times New Roman"/>
          <w:color w:val="000000"/>
        </w:rPr>
        <w:t xml:space="preserve"> b</w:t>
      </w:r>
      <w:r>
        <w:rPr>
          <w:rFonts w:eastAsia="Times New Roman"/>
          <w:color w:val="000000"/>
        </w:rPr>
        <w:t>ërit biznes</w:t>
      </w:r>
      <w:r w:rsidR="00A635B4">
        <w:rPr>
          <w:rFonts w:eastAsia="Times New Roman"/>
          <w:color w:val="000000"/>
        </w:rPr>
        <w:t>.</w:t>
      </w:r>
    </w:p>
    <w:p w:rsidR="00A635B4" w:rsidRPr="00C25382" w:rsidRDefault="00A635B4" w:rsidP="00A635B4">
      <w:pPr>
        <w:spacing w:line="276" w:lineRule="auto"/>
        <w:ind w:left="720"/>
        <w:jc w:val="both"/>
        <w:textAlignment w:val="baseline"/>
        <w:rPr>
          <w:rFonts w:eastAsia="Times New Roman"/>
          <w:color w:val="000000"/>
        </w:rPr>
      </w:pPr>
    </w:p>
    <w:p w:rsidR="00A635B4" w:rsidRPr="009C5122" w:rsidRDefault="00A635B4" w:rsidP="00A635B4">
      <w:pPr>
        <w:spacing w:line="276" w:lineRule="auto"/>
        <w:jc w:val="both"/>
        <w:rPr>
          <w:rFonts w:eastAsia="Times New Roman"/>
        </w:rPr>
      </w:pPr>
      <w:r w:rsidRPr="009C5122">
        <w:rPr>
          <w:rFonts w:eastAsia="Times New Roman"/>
          <w:b/>
          <w:bCs/>
          <w:color w:val="000000"/>
        </w:rPr>
        <w:t xml:space="preserve">2. Ligji për Akcizat në Republikën e Shqipërisë nr. 61/2012, i ndryshuar. </w:t>
      </w:r>
    </w:p>
    <w:p w:rsidR="00A635B4" w:rsidRPr="009C5122" w:rsidRDefault="00A635B4" w:rsidP="002C5B1B">
      <w:pPr>
        <w:numPr>
          <w:ilvl w:val="0"/>
          <w:numId w:val="57"/>
        </w:numPr>
        <w:spacing w:line="276" w:lineRule="auto"/>
        <w:jc w:val="both"/>
        <w:textAlignment w:val="baseline"/>
        <w:rPr>
          <w:rFonts w:ascii="Noto Sans Symbols" w:eastAsia="Times New Roman" w:hAnsi="Noto Sans Symbols"/>
          <w:color w:val="000000"/>
        </w:rPr>
      </w:pPr>
      <w:r w:rsidRPr="009C5122">
        <w:rPr>
          <w:rFonts w:eastAsia="Times New Roman"/>
          <w:color w:val="000000"/>
        </w:rPr>
        <w:t>Propozohet për vitin 2018 rritja e akcizës së cigareve të bëhet m</w:t>
      </w:r>
      <w:r>
        <w:rPr>
          <w:rFonts w:eastAsia="Times New Roman"/>
          <w:color w:val="000000"/>
        </w:rPr>
        <w:t>e</w:t>
      </w:r>
      <w:r w:rsidRPr="009C5122">
        <w:rPr>
          <w:rFonts w:eastAsia="Times New Roman"/>
          <w:color w:val="000000"/>
        </w:rPr>
        <w:t xml:space="preserve"> 350 lek</w:t>
      </w:r>
      <w:r>
        <w:rPr>
          <w:rFonts w:eastAsia="Times New Roman"/>
          <w:color w:val="000000"/>
        </w:rPr>
        <w:t>ë</w:t>
      </w:r>
      <w:r w:rsidRPr="009C5122">
        <w:rPr>
          <w:rFonts w:eastAsia="Times New Roman"/>
          <w:color w:val="000000"/>
        </w:rPr>
        <w:t xml:space="preserve"> për 1000 cigare nga 250 lekë për cigare që është planifikuar në kalendarin aktual.</w:t>
      </w:r>
      <w:r>
        <w:rPr>
          <w:rFonts w:eastAsia="Times New Roman"/>
          <w:color w:val="000000"/>
        </w:rPr>
        <w:t xml:space="preserve"> </w:t>
      </w:r>
      <w:proofErr w:type="gramStart"/>
      <w:r w:rsidRPr="009C5122">
        <w:rPr>
          <w:rFonts w:eastAsia="Times New Roman"/>
          <w:color w:val="000000"/>
        </w:rPr>
        <w:t>Ky</w:t>
      </w:r>
      <w:proofErr w:type="gramEnd"/>
      <w:r w:rsidRPr="009C5122">
        <w:rPr>
          <w:rFonts w:eastAsia="Times New Roman"/>
          <w:color w:val="000000"/>
        </w:rPr>
        <w:t xml:space="preserve"> ndryshim parashikon një efekt me + 1 </w:t>
      </w:r>
      <w:r>
        <w:rPr>
          <w:rFonts w:eastAsia="Times New Roman"/>
          <w:color w:val="000000"/>
        </w:rPr>
        <w:t>Miliard</w:t>
      </w:r>
      <w:r w:rsidRPr="009C5122">
        <w:rPr>
          <w:rFonts w:eastAsia="Times New Roman"/>
          <w:color w:val="000000"/>
        </w:rPr>
        <w:t xml:space="preserve"> Lekë. Ky propozim bazohet në argumentat e mëposhtëm: </w:t>
      </w:r>
    </w:p>
    <w:p w:rsidR="00A635B4" w:rsidRPr="009C5122" w:rsidRDefault="00A635B4" w:rsidP="002C5B1B">
      <w:pPr>
        <w:numPr>
          <w:ilvl w:val="0"/>
          <w:numId w:val="58"/>
        </w:numPr>
        <w:spacing w:line="276" w:lineRule="auto"/>
        <w:ind w:left="1080"/>
        <w:jc w:val="both"/>
        <w:textAlignment w:val="baseline"/>
        <w:rPr>
          <w:rFonts w:ascii="Noto Sans Symbols" w:eastAsia="Times New Roman" w:hAnsi="Noto Sans Symbols"/>
          <w:color w:val="000000"/>
        </w:rPr>
      </w:pPr>
      <w:r>
        <w:rPr>
          <w:rFonts w:eastAsia="Times New Roman"/>
          <w:color w:val="000000"/>
        </w:rPr>
        <w:lastRenderedPageBreak/>
        <w:t>Nevojën e ekuilibrimit të ngarkesës fiskale të cigareve me vendet e rajonit, për të shmangur tregtinë ilegale të tyre.</w:t>
      </w:r>
    </w:p>
    <w:p w:rsidR="009C674A" w:rsidRPr="002371BA" w:rsidRDefault="00A635B4" w:rsidP="002371BA">
      <w:pPr>
        <w:numPr>
          <w:ilvl w:val="0"/>
          <w:numId w:val="58"/>
        </w:numPr>
        <w:spacing w:line="276" w:lineRule="auto"/>
        <w:ind w:left="1080"/>
        <w:jc w:val="both"/>
        <w:textAlignment w:val="baseline"/>
        <w:rPr>
          <w:rFonts w:ascii="Noto Sans Symbols" w:eastAsia="Times New Roman" w:hAnsi="Noto Sans Symbols"/>
          <w:color w:val="000000"/>
        </w:rPr>
      </w:pPr>
      <w:r w:rsidRPr="009C5122">
        <w:rPr>
          <w:rFonts w:eastAsia="Times New Roman"/>
          <w:color w:val="000000"/>
        </w:rPr>
        <w:t>Përafrimin e mëtejshëm me Direktivën e BE 2011/64 e cila përcakton se nga 1 janar 2014 niveli minimal i akcizës për cigaret do të jetë  të paktën 60% e çmimit mesatar të ponderuar të shitjes për cigaret</w:t>
      </w:r>
      <w:r>
        <w:rPr>
          <w:rFonts w:eastAsia="Times New Roman"/>
          <w:color w:val="000000"/>
        </w:rPr>
        <w:t>.</w:t>
      </w:r>
      <w:r w:rsidRPr="009C5122">
        <w:rPr>
          <w:rFonts w:eastAsia="Times New Roman"/>
          <w:color w:val="000000"/>
        </w:rPr>
        <w:t xml:space="preserve"> </w:t>
      </w:r>
    </w:p>
    <w:p w:rsidR="009C674A" w:rsidRPr="009C5122" w:rsidRDefault="009C674A" w:rsidP="00A635B4">
      <w:pPr>
        <w:spacing w:line="276" w:lineRule="auto"/>
        <w:ind w:left="1080"/>
        <w:jc w:val="both"/>
        <w:textAlignment w:val="baseline"/>
        <w:rPr>
          <w:rFonts w:ascii="Noto Sans Symbols" w:eastAsia="Times New Roman" w:hAnsi="Noto Sans Symbols"/>
          <w:color w:val="000000"/>
        </w:rPr>
      </w:pPr>
    </w:p>
    <w:p w:rsidR="00A635B4" w:rsidRPr="009C5122" w:rsidRDefault="00A635B4" w:rsidP="00A635B4">
      <w:pPr>
        <w:spacing w:line="276" w:lineRule="auto"/>
        <w:jc w:val="both"/>
        <w:rPr>
          <w:rFonts w:eastAsia="Times New Roman"/>
        </w:rPr>
      </w:pPr>
      <w:r w:rsidRPr="009C674A">
        <w:rPr>
          <w:rFonts w:eastAsia="Times New Roman"/>
          <w:b/>
          <w:color w:val="000000"/>
        </w:rPr>
        <w:t>3.</w:t>
      </w:r>
      <w:r w:rsidRPr="009C5122">
        <w:rPr>
          <w:rFonts w:eastAsia="Times New Roman"/>
          <w:color w:val="000000"/>
        </w:rPr>
        <w:t xml:space="preserve"> </w:t>
      </w:r>
      <w:r w:rsidRPr="009C5122">
        <w:rPr>
          <w:rFonts w:eastAsia="Times New Roman"/>
          <w:b/>
          <w:bCs/>
          <w:color w:val="000000"/>
        </w:rPr>
        <w:t>Ligji Nr.9632/2006, “Për Sistemin e Taksave Vendore”, Të Ndryshuar</w:t>
      </w:r>
    </w:p>
    <w:p w:rsidR="00A635B4" w:rsidRPr="009C5122" w:rsidRDefault="00A635B4" w:rsidP="002C5B1B">
      <w:pPr>
        <w:numPr>
          <w:ilvl w:val="0"/>
          <w:numId w:val="59"/>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Propozohet amendim në ligjin aktual </w:t>
      </w:r>
      <w:r>
        <w:rPr>
          <w:rFonts w:eastAsia="Times New Roman"/>
          <w:color w:val="000000"/>
        </w:rPr>
        <w:t xml:space="preserve">me qëllim </w:t>
      </w:r>
      <w:r w:rsidRPr="009C5122">
        <w:rPr>
          <w:rFonts w:eastAsia="Times New Roman"/>
          <w:color w:val="000000"/>
        </w:rPr>
        <w:t>ndryshimin e metodologjisë për llogaritjen e taksës së pronës</w:t>
      </w:r>
      <w:r>
        <w:rPr>
          <w:rFonts w:eastAsia="Times New Roman"/>
          <w:color w:val="000000"/>
        </w:rPr>
        <w:t>, duke kaluar nga taksimi i sipërfaqes me nje kuotë fikse, në taksimin e vlerës së pronës sipas sistemit ad valorem.</w:t>
      </w:r>
      <w:r w:rsidRPr="009C5122">
        <w:rPr>
          <w:rFonts w:eastAsia="Times New Roman"/>
          <w:color w:val="000000"/>
        </w:rPr>
        <w:t xml:space="preserve"> Ky propozim bazohet në argumentat e mëposhtëm: </w:t>
      </w:r>
    </w:p>
    <w:p w:rsidR="00A635B4" w:rsidRPr="00C25382" w:rsidRDefault="00A635B4" w:rsidP="009C674A">
      <w:pPr>
        <w:numPr>
          <w:ilvl w:val="0"/>
          <w:numId w:val="122"/>
        </w:numPr>
        <w:spacing w:line="276" w:lineRule="auto"/>
        <w:jc w:val="both"/>
        <w:textAlignment w:val="baseline"/>
        <w:rPr>
          <w:rFonts w:ascii="Noto Sans Symbols" w:eastAsia="Times New Roman" w:hAnsi="Noto Sans Symbols"/>
          <w:color w:val="000000"/>
        </w:rPr>
      </w:pPr>
      <w:r>
        <w:rPr>
          <w:rFonts w:eastAsia="Times New Roman"/>
          <w:color w:val="000000"/>
        </w:rPr>
        <w:t xml:space="preserve">Taksa mbi pasurinë duhet të reformohet. </w:t>
      </w:r>
      <w:proofErr w:type="gramStart"/>
      <w:r>
        <w:rPr>
          <w:rFonts w:eastAsia="Times New Roman"/>
          <w:color w:val="000000"/>
        </w:rPr>
        <w:t>Ky</w:t>
      </w:r>
      <w:proofErr w:type="gramEnd"/>
      <w:r>
        <w:rPr>
          <w:rFonts w:eastAsia="Times New Roman"/>
          <w:color w:val="000000"/>
        </w:rPr>
        <w:t xml:space="preserve"> fakt është konstatuar dhe kërkuar edhe nga Misionet e FMN-së në mënyrë të vazhdueshme. Taksimi i pasurisë bazuar në vlerën e saj, ë</w:t>
      </w:r>
      <w:r w:rsidRPr="009C5122">
        <w:rPr>
          <w:rFonts w:eastAsia="Times New Roman"/>
          <w:color w:val="000000"/>
        </w:rPr>
        <w:t>shtë metoda më e drejtë e taksimit. Pasuritë e paluajtshme kanë vlera të ndryshme, e për pasojë taksimi mbi bazën e vlerës gjykohet më i drejti. Referuar vendeve të rajonit, Shqipëria është i vetmi vend në Ballkan që takson ende mbi bazën e sipërfaqes</w:t>
      </w:r>
      <w:r>
        <w:rPr>
          <w:rFonts w:eastAsia="Times New Roman"/>
          <w:color w:val="000000"/>
        </w:rPr>
        <w:t>.</w:t>
      </w:r>
    </w:p>
    <w:p w:rsidR="00A635B4" w:rsidRPr="00C25382" w:rsidRDefault="00A635B4" w:rsidP="009C674A">
      <w:pPr>
        <w:numPr>
          <w:ilvl w:val="0"/>
          <w:numId w:val="122"/>
        </w:numPr>
        <w:spacing w:line="276" w:lineRule="auto"/>
        <w:jc w:val="both"/>
        <w:textAlignment w:val="baseline"/>
        <w:rPr>
          <w:rFonts w:ascii="Noto Sans Symbols" w:eastAsia="Times New Roman" w:hAnsi="Noto Sans Symbols"/>
          <w:color w:val="000000"/>
        </w:rPr>
      </w:pPr>
      <w:r>
        <w:rPr>
          <w:rFonts w:eastAsia="Times New Roman"/>
          <w:color w:val="000000"/>
        </w:rPr>
        <w:t>Të ardhurat nga taksa e pasurisë në vendin tonë, janë më të ultat në Rajon. Shqipëria arkëton 0.2% të PBB-së nga taksa e pronës, ndërkohë që vendet përreth nesh arkëtojnë të paktën dyfishin.</w:t>
      </w:r>
    </w:p>
    <w:p w:rsidR="00A635B4" w:rsidRPr="00C25382" w:rsidRDefault="00A635B4" w:rsidP="009C674A">
      <w:pPr>
        <w:numPr>
          <w:ilvl w:val="0"/>
          <w:numId w:val="122"/>
        </w:numPr>
        <w:spacing w:line="276" w:lineRule="auto"/>
        <w:jc w:val="both"/>
        <w:textAlignment w:val="baseline"/>
        <w:rPr>
          <w:rFonts w:ascii="Noto Sans Symbols" w:eastAsia="Times New Roman" w:hAnsi="Noto Sans Symbols"/>
          <w:color w:val="000000"/>
        </w:rPr>
      </w:pPr>
      <w:r>
        <w:rPr>
          <w:rFonts w:eastAsia="Times New Roman"/>
          <w:color w:val="000000"/>
        </w:rPr>
        <w:t>Kalimi në sistemin e taksimit të vlerës së pronës do të krijoj</w:t>
      </w:r>
      <w:r w:rsidR="007E7316">
        <w:rPr>
          <w:rFonts w:eastAsia="Times New Roman"/>
          <w:color w:val="000000"/>
        </w:rPr>
        <w:t>ë</w:t>
      </w:r>
      <w:r>
        <w:rPr>
          <w:rFonts w:eastAsia="Times New Roman"/>
          <w:color w:val="000000"/>
        </w:rPr>
        <w:t xml:space="preserve"> Kadastr</w:t>
      </w:r>
      <w:r w:rsidR="007E7316">
        <w:rPr>
          <w:rFonts w:eastAsia="Times New Roman"/>
          <w:color w:val="000000"/>
        </w:rPr>
        <w:t>ë</w:t>
      </w:r>
      <w:r>
        <w:rPr>
          <w:rFonts w:eastAsia="Times New Roman"/>
          <w:color w:val="000000"/>
        </w:rPr>
        <w:t xml:space="preserve">n Fiskale, një elemet i domosdoshëm </w:t>
      </w:r>
      <w:proofErr w:type="gramStart"/>
      <w:r>
        <w:rPr>
          <w:rFonts w:eastAsia="Times New Roman"/>
          <w:color w:val="000000"/>
        </w:rPr>
        <w:t>jo</w:t>
      </w:r>
      <w:proofErr w:type="gramEnd"/>
      <w:r>
        <w:rPr>
          <w:rFonts w:eastAsia="Times New Roman"/>
          <w:color w:val="000000"/>
        </w:rPr>
        <w:t xml:space="preserve"> vetëm për financat publike të një shteti por edhe më gjerë.</w:t>
      </w:r>
    </w:p>
    <w:p w:rsidR="00A635B4" w:rsidRPr="00C25382" w:rsidRDefault="00A635B4" w:rsidP="009C674A">
      <w:pPr>
        <w:numPr>
          <w:ilvl w:val="0"/>
          <w:numId w:val="122"/>
        </w:numPr>
        <w:spacing w:line="276" w:lineRule="auto"/>
        <w:jc w:val="both"/>
        <w:textAlignment w:val="baseline"/>
        <w:rPr>
          <w:rFonts w:ascii="Noto Sans Symbols" w:eastAsia="Times New Roman" w:hAnsi="Noto Sans Symbols"/>
          <w:color w:val="000000"/>
        </w:rPr>
      </w:pPr>
      <w:r>
        <w:rPr>
          <w:rFonts w:eastAsia="Times New Roman"/>
          <w:color w:val="000000"/>
        </w:rPr>
        <w:t xml:space="preserve">Pushtetet vendore do të kenë mundësinë që të menaxhojnë vetë të ardhurat nga kjo taksë, duke rritur njëkohësisht përfitimet dhe shërbimet për paguesit e taksës, </w:t>
      </w:r>
      <w:proofErr w:type="gramStart"/>
      <w:r>
        <w:rPr>
          <w:rFonts w:eastAsia="Times New Roman"/>
          <w:color w:val="000000"/>
        </w:rPr>
        <w:t>qofshin</w:t>
      </w:r>
      <w:proofErr w:type="gramEnd"/>
      <w:r>
        <w:rPr>
          <w:rFonts w:eastAsia="Times New Roman"/>
          <w:color w:val="000000"/>
        </w:rPr>
        <w:t xml:space="preserve"> qytetarët apo bizneset. </w:t>
      </w:r>
    </w:p>
    <w:p w:rsidR="00A635B4" w:rsidRDefault="00A635B4" w:rsidP="00A635B4">
      <w:pPr>
        <w:spacing w:line="276" w:lineRule="auto"/>
        <w:jc w:val="both"/>
        <w:textAlignment w:val="baseline"/>
        <w:rPr>
          <w:rFonts w:ascii="Noto Sans Symbols" w:eastAsia="Times New Roman" w:hAnsi="Noto Sans Symbols"/>
          <w:color w:val="000000"/>
        </w:rPr>
      </w:pPr>
    </w:p>
    <w:p w:rsidR="00E2188E" w:rsidRPr="00E2188E" w:rsidRDefault="00E2188E" w:rsidP="002C5B1B">
      <w:pPr>
        <w:pStyle w:val="ListParagraph"/>
        <w:numPr>
          <w:ilvl w:val="0"/>
          <w:numId w:val="62"/>
        </w:numPr>
        <w:spacing w:after="240" w:line="276" w:lineRule="auto"/>
        <w:jc w:val="both"/>
        <w:rPr>
          <w:rFonts w:eastAsia="Times New Roman"/>
          <w:b/>
          <w:bCs/>
          <w:smallCaps/>
          <w:vanish/>
          <w:color w:val="000000"/>
          <w:sz w:val="26"/>
          <w:szCs w:val="26"/>
        </w:rPr>
      </w:pPr>
    </w:p>
    <w:p w:rsidR="00E2188E" w:rsidRPr="00E2188E" w:rsidRDefault="00E2188E" w:rsidP="002C5B1B">
      <w:pPr>
        <w:pStyle w:val="ListParagraph"/>
        <w:numPr>
          <w:ilvl w:val="0"/>
          <w:numId w:val="62"/>
        </w:numPr>
        <w:spacing w:after="240" w:line="276" w:lineRule="auto"/>
        <w:jc w:val="both"/>
        <w:rPr>
          <w:rFonts w:eastAsia="Times New Roman"/>
          <w:b/>
          <w:bCs/>
          <w:smallCaps/>
          <w:vanish/>
          <w:color w:val="000000"/>
          <w:sz w:val="26"/>
          <w:szCs w:val="26"/>
        </w:rPr>
      </w:pPr>
    </w:p>
    <w:p w:rsidR="00E2188E" w:rsidRPr="00E2188E" w:rsidRDefault="00E2188E" w:rsidP="002C5B1B">
      <w:pPr>
        <w:pStyle w:val="ListParagraph"/>
        <w:numPr>
          <w:ilvl w:val="0"/>
          <w:numId w:val="62"/>
        </w:numPr>
        <w:spacing w:after="240" w:line="276" w:lineRule="auto"/>
        <w:jc w:val="both"/>
        <w:rPr>
          <w:rFonts w:eastAsia="Times New Roman"/>
          <w:b/>
          <w:bCs/>
          <w:smallCaps/>
          <w:vanish/>
          <w:color w:val="000000"/>
          <w:sz w:val="26"/>
          <w:szCs w:val="26"/>
        </w:rPr>
      </w:pPr>
    </w:p>
    <w:p w:rsidR="00E2188E" w:rsidRPr="00E2188E" w:rsidRDefault="00E2188E" w:rsidP="002C5B1B">
      <w:pPr>
        <w:pStyle w:val="ListParagraph"/>
        <w:numPr>
          <w:ilvl w:val="0"/>
          <w:numId w:val="62"/>
        </w:numPr>
        <w:spacing w:after="240" w:line="276" w:lineRule="auto"/>
        <w:jc w:val="both"/>
        <w:rPr>
          <w:rFonts w:eastAsia="Times New Roman"/>
          <w:b/>
          <w:bCs/>
          <w:smallCaps/>
          <w:vanish/>
          <w:color w:val="000000"/>
          <w:sz w:val="26"/>
          <w:szCs w:val="26"/>
        </w:rPr>
      </w:pPr>
    </w:p>
    <w:p w:rsidR="00E2188E" w:rsidRPr="00E2188E" w:rsidRDefault="00E2188E" w:rsidP="002C5B1B">
      <w:pPr>
        <w:pStyle w:val="ListParagraph"/>
        <w:numPr>
          <w:ilvl w:val="0"/>
          <w:numId w:val="62"/>
        </w:numPr>
        <w:spacing w:after="240" w:line="276" w:lineRule="auto"/>
        <w:jc w:val="both"/>
        <w:rPr>
          <w:rFonts w:eastAsia="Times New Roman"/>
          <w:b/>
          <w:bCs/>
          <w:smallCaps/>
          <w:vanish/>
          <w:color w:val="000000"/>
          <w:sz w:val="26"/>
          <w:szCs w:val="26"/>
        </w:rPr>
      </w:pPr>
    </w:p>
    <w:p w:rsidR="00E2188E" w:rsidRPr="00E2188E" w:rsidRDefault="00E2188E" w:rsidP="002C5B1B">
      <w:pPr>
        <w:pStyle w:val="ListParagraph"/>
        <w:numPr>
          <w:ilvl w:val="0"/>
          <w:numId w:val="62"/>
        </w:numPr>
        <w:spacing w:after="240" w:line="276" w:lineRule="auto"/>
        <w:jc w:val="both"/>
        <w:rPr>
          <w:rFonts w:eastAsia="Times New Roman"/>
          <w:b/>
          <w:bCs/>
          <w:smallCaps/>
          <w:vanish/>
          <w:color w:val="000000"/>
          <w:sz w:val="26"/>
          <w:szCs w:val="26"/>
        </w:rPr>
      </w:pPr>
    </w:p>
    <w:p w:rsidR="00E2188E" w:rsidRPr="00E2188E" w:rsidRDefault="00E2188E" w:rsidP="002C5B1B">
      <w:pPr>
        <w:pStyle w:val="ListParagraph"/>
        <w:numPr>
          <w:ilvl w:val="1"/>
          <w:numId w:val="62"/>
        </w:numPr>
        <w:spacing w:after="240" w:line="276" w:lineRule="auto"/>
        <w:jc w:val="both"/>
        <w:rPr>
          <w:rFonts w:eastAsia="Times New Roman"/>
          <w:b/>
          <w:bCs/>
          <w:smallCaps/>
          <w:vanish/>
          <w:color w:val="000000"/>
          <w:sz w:val="26"/>
          <w:szCs w:val="26"/>
        </w:rPr>
      </w:pPr>
    </w:p>
    <w:p w:rsidR="00A635B4" w:rsidRPr="00E51CE6" w:rsidRDefault="00E51CE6" w:rsidP="00E51CE6">
      <w:pPr>
        <w:spacing w:after="240" w:line="276" w:lineRule="auto"/>
        <w:ind w:left="360"/>
        <w:jc w:val="both"/>
        <w:rPr>
          <w:rFonts w:eastAsia="Times New Roman"/>
          <w:b/>
          <w:bCs/>
          <w:color w:val="000000"/>
          <w:sz w:val="26"/>
          <w:szCs w:val="26"/>
        </w:rPr>
      </w:pPr>
      <w:r>
        <w:rPr>
          <w:rFonts w:eastAsia="Times New Roman"/>
          <w:b/>
          <w:bCs/>
          <w:color w:val="000000"/>
          <w:sz w:val="26"/>
          <w:szCs w:val="26"/>
        </w:rPr>
        <w:t>6.2</w:t>
      </w:r>
      <w:r w:rsidRPr="00E51CE6">
        <w:rPr>
          <w:rFonts w:eastAsia="Times New Roman"/>
          <w:b/>
          <w:bCs/>
          <w:color w:val="000000"/>
          <w:sz w:val="26"/>
          <w:szCs w:val="26"/>
        </w:rPr>
        <w:t xml:space="preserve"> </w:t>
      </w:r>
      <w:r w:rsidR="00A635B4" w:rsidRPr="00E51CE6">
        <w:rPr>
          <w:rFonts w:eastAsia="Times New Roman"/>
          <w:b/>
          <w:bCs/>
          <w:smallCaps/>
          <w:color w:val="000000"/>
          <w:sz w:val="26"/>
          <w:szCs w:val="26"/>
        </w:rPr>
        <w:t xml:space="preserve">PËRJASHTIMET NGA TAKSAT </w:t>
      </w:r>
      <w:proofErr w:type="gramStart"/>
      <w:r w:rsidR="00A635B4" w:rsidRPr="00E51CE6">
        <w:rPr>
          <w:rFonts w:eastAsia="Times New Roman"/>
          <w:b/>
          <w:bCs/>
          <w:smallCaps/>
          <w:color w:val="000000"/>
          <w:sz w:val="26"/>
          <w:szCs w:val="26"/>
        </w:rPr>
        <w:t>( “</w:t>
      </w:r>
      <w:proofErr w:type="gramEnd"/>
      <w:r w:rsidR="00A635B4" w:rsidRPr="00E51CE6">
        <w:rPr>
          <w:rFonts w:eastAsia="Times New Roman"/>
          <w:b/>
          <w:bCs/>
          <w:smallCaps/>
          <w:color w:val="000000"/>
          <w:sz w:val="26"/>
          <w:szCs w:val="26"/>
        </w:rPr>
        <w:t xml:space="preserve">TAX EXPENDITURES”) </w:t>
      </w:r>
    </w:p>
    <w:p w:rsidR="00A635B4" w:rsidRPr="009C5122" w:rsidRDefault="00A635B4" w:rsidP="00A635B4">
      <w:pPr>
        <w:spacing w:line="276" w:lineRule="auto"/>
        <w:jc w:val="both"/>
        <w:rPr>
          <w:rFonts w:eastAsia="Times New Roman"/>
        </w:rPr>
      </w:pPr>
      <w:proofErr w:type="gramStart"/>
      <w:r w:rsidRPr="009C5122">
        <w:rPr>
          <w:rFonts w:eastAsia="Times New Roman"/>
          <w:color w:val="000000"/>
        </w:rPr>
        <w:t>Përjashtimet  e</w:t>
      </w:r>
      <w:proofErr w:type="gramEnd"/>
      <w:r w:rsidRPr="009C5122">
        <w:rPr>
          <w:rFonts w:eastAsia="Times New Roman"/>
          <w:color w:val="000000"/>
        </w:rPr>
        <w:t xml:space="preserve"> taksave, apo “tax expenditures” konsiderohen humbje nga të ardhurat fiskale të parashikuara në legjislacionin fiskal në fuqi, si rezultat i lehtësirave fiskale ose normave preferenciale të vendosura për kategori të caktuara taksapaguesish ose aktivitetesh.</w:t>
      </w:r>
    </w:p>
    <w:p w:rsidR="00A635B4" w:rsidRDefault="00A635B4" w:rsidP="00A635B4">
      <w:pPr>
        <w:spacing w:line="276" w:lineRule="auto"/>
        <w:jc w:val="both"/>
        <w:rPr>
          <w:rFonts w:eastAsia="Times New Roman"/>
          <w:color w:val="000000"/>
        </w:rPr>
      </w:pPr>
    </w:p>
    <w:p w:rsidR="00A635B4" w:rsidRPr="009C5122" w:rsidRDefault="00A635B4" w:rsidP="00A635B4">
      <w:pPr>
        <w:spacing w:line="276" w:lineRule="auto"/>
        <w:jc w:val="both"/>
        <w:rPr>
          <w:rFonts w:eastAsia="Times New Roman"/>
        </w:rPr>
      </w:pPr>
      <w:r w:rsidRPr="009C5122">
        <w:rPr>
          <w:rFonts w:eastAsia="Times New Roman"/>
          <w:color w:val="000000"/>
        </w:rPr>
        <w:t>“Përjashtimet e taksave” janë vlerësuar duke përdorur metodën “Të ardhura të munguara”. Analiza e përjashtimeve ligjore dhe përcaktimi i benchmark-ut (përjashtime që janë normë në të gjithë vendet) u krye me asistencë të F</w:t>
      </w:r>
      <w:r>
        <w:rPr>
          <w:rFonts w:eastAsia="Times New Roman"/>
          <w:color w:val="000000"/>
        </w:rPr>
        <w:t>MN-së</w:t>
      </w:r>
      <w:r w:rsidR="00535887">
        <w:rPr>
          <w:rFonts w:eastAsia="Times New Roman"/>
          <w:color w:val="000000"/>
        </w:rPr>
        <w:t>.</w:t>
      </w:r>
      <w:r w:rsidRPr="009C5122">
        <w:rPr>
          <w:rFonts w:eastAsia="Times New Roman"/>
          <w:color w:val="000000"/>
        </w:rPr>
        <w:t xml:space="preserve"> </w:t>
      </w:r>
    </w:p>
    <w:p w:rsidR="00A635B4" w:rsidRDefault="00A635B4" w:rsidP="00A635B4">
      <w:pPr>
        <w:spacing w:line="276" w:lineRule="auto"/>
        <w:jc w:val="both"/>
        <w:rPr>
          <w:rFonts w:eastAsia="Times New Roman"/>
          <w:color w:val="000000"/>
        </w:rPr>
      </w:pPr>
    </w:p>
    <w:p w:rsidR="00A635B4" w:rsidRPr="009C5122" w:rsidRDefault="00A635B4" w:rsidP="00A635B4">
      <w:pPr>
        <w:spacing w:line="276" w:lineRule="auto"/>
        <w:jc w:val="both"/>
        <w:rPr>
          <w:rFonts w:eastAsia="Times New Roman"/>
        </w:rPr>
      </w:pPr>
      <w:r w:rsidRPr="009C5122">
        <w:rPr>
          <w:rFonts w:eastAsia="Times New Roman"/>
          <w:color w:val="000000"/>
        </w:rPr>
        <w:t>Për vlerësimin dhe matjen e “përjashtimeve nga taksat” janë marrë në konsideratë tatimet dhe taksat e mëposhtme:</w:t>
      </w:r>
    </w:p>
    <w:p w:rsidR="00A635B4" w:rsidRPr="009C5122" w:rsidRDefault="00A635B4" w:rsidP="002C5B1B">
      <w:pPr>
        <w:numPr>
          <w:ilvl w:val="0"/>
          <w:numId w:val="55"/>
        </w:numPr>
        <w:spacing w:line="276" w:lineRule="auto"/>
        <w:jc w:val="both"/>
        <w:textAlignment w:val="baseline"/>
        <w:rPr>
          <w:rFonts w:ascii="Noto Sans Symbols" w:eastAsia="Times New Roman" w:hAnsi="Noto Sans Symbols"/>
          <w:color w:val="000000"/>
        </w:rPr>
      </w:pPr>
      <w:r w:rsidRPr="009C5122">
        <w:rPr>
          <w:rFonts w:eastAsia="Times New Roman"/>
          <w:color w:val="000000"/>
        </w:rPr>
        <w:t>Tatimi mbi vlerën e shtuar, përkatësisht në Ligjin nr. 92/2014 “Për Tatimin mbi vlerën e shtuar” në Republikën e Shqipërisë, i ndryshuar.</w:t>
      </w:r>
    </w:p>
    <w:p w:rsidR="00A635B4" w:rsidRPr="009C5122" w:rsidRDefault="00A635B4" w:rsidP="002C5B1B">
      <w:pPr>
        <w:numPr>
          <w:ilvl w:val="0"/>
          <w:numId w:val="55"/>
        </w:numPr>
        <w:spacing w:line="276" w:lineRule="auto"/>
        <w:jc w:val="both"/>
        <w:textAlignment w:val="baseline"/>
        <w:rPr>
          <w:rFonts w:ascii="Noto Sans Symbols" w:eastAsia="Times New Roman" w:hAnsi="Noto Sans Symbols"/>
          <w:color w:val="000000"/>
        </w:rPr>
      </w:pPr>
      <w:r w:rsidRPr="009C5122">
        <w:rPr>
          <w:rFonts w:eastAsia="Times New Roman"/>
          <w:color w:val="000000"/>
        </w:rPr>
        <w:t xml:space="preserve">Tatimi mbi të ardhurat, përkatësisht në </w:t>
      </w:r>
      <w:hyperlink r:id="rId19" w:history="1">
        <w:r w:rsidRPr="009C5122">
          <w:rPr>
            <w:rFonts w:eastAsia="Times New Roman"/>
            <w:color w:val="000000"/>
          </w:rPr>
          <w:t>Ligjin nr. 8438, datë 28.12.1998, "Për Tatimin m​bi të Ardhurat", i ndryshuar.​​​​</w:t>
        </w:r>
      </w:hyperlink>
      <w:r w:rsidRPr="009C5122">
        <w:rPr>
          <w:rFonts w:eastAsia="Times New Roman"/>
          <w:color w:val="000000"/>
        </w:rPr>
        <w:t>​</w:t>
      </w:r>
    </w:p>
    <w:p w:rsidR="00A635B4" w:rsidRPr="009C5122" w:rsidRDefault="00A635B4" w:rsidP="002C5B1B">
      <w:pPr>
        <w:numPr>
          <w:ilvl w:val="0"/>
          <w:numId w:val="55"/>
        </w:numPr>
        <w:spacing w:line="276" w:lineRule="auto"/>
        <w:jc w:val="both"/>
        <w:textAlignment w:val="baseline"/>
        <w:rPr>
          <w:rFonts w:ascii="Noto Sans Symbols" w:eastAsia="Times New Roman" w:hAnsi="Noto Sans Symbols"/>
          <w:color w:val="000000"/>
        </w:rPr>
      </w:pPr>
      <w:r w:rsidRPr="009C5122">
        <w:rPr>
          <w:rFonts w:eastAsia="Times New Roman"/>
          <w:color w:val="000000"/>
        </w:rPr>
        <w:t>Akciza, përkatësisht në Ligjin nr. 61/2012 “Për Akcizën në Republikën e Shqipërisë”</w:t>
      </w:r>
    </w:p>
    <w:p w:rsidR="00A635B4" w:rsidRPr="009C5122" w:rsidRDefault="00A635B4" w:rsidP="002C5B1B">
      <w:pPr>
        <w:numPr>
          <w:ilvl w:val="0"/>
          <w:numId w:val="55"/>
        </w:numPr>
        <w:spacing w:line="276" w:lineRule="auto"/>
        <w:jc w:val="both"/>
        <w:textAlignment w:val="baseline"/>
        <w:rPr>
          <w:rFonts w:ascii="Noto Sans Symbols" w:eastAsia="Times New Roman" w:hAnsi="Noto Sans Symbols"/>
          <w:color w:val="000000"/>
        </w:rPr>
      </w:pPr>
      <w:r w:rsidRPr="009C5122">
        <w:rPr>
          <w:rFonts w:eastAsia="Times New Roman"/>
          <w:color w:val="000000"/>
        </w:rPr>
        <w:t>Taksat Doganore, përkatësisht në Ligjin nr.102/2014, “Kodi Doganor në Republikën e Shqipërisë”.</w:t>
      </w:r>
    </w:p>
    <w:p w:rsidR="00A635B4" w:rsidRPr="009C5122" w:rsidRDefault="00A635B4" w:rsidP="00A635B4">
      <w:pPr>
        <w:spacing w:line="276" w:lineRule="auto"/>
        <w:jc w:val="both"/>
        <w:rPr>
          <w:rFonts w:eastAsia="Times New Roman"/>
        </w:rPr>
      </w:pPr>
    </w:p>
    <w:p w:rsidR="00A635B4" w:rsidRPr="009C5122" w:rsidRDefault="00A635B4" w:rsidP="00A635B4">
      <w:pPr>
        <w:spacing w:line="276" w:lineRule="auto"/>
        <w:jc w:val="both"/>
        <w:rPr>
          <w:rFonts w:eastAsia="Times New Roman"/>
        </w:rPr>
      </w:pPr>
      <w:r w:rsidRPr="009C5122">
        <w:rPr>
          <w:rFonts w:eastAsia="Times New Roman"/>
          <w:color w:val="000000"/>
        </w:rPr>
        <w:t>Janë identifikuar në total për TVSH-në, 78 përjashtime, ku ndër këto 35 përjashtime të veprimtarive me interes të përgjithshëm, 42 përjashtime në import dhe 2 përjashtime të tjera. Për T.V.SH.-në në import janë identifikuar 23 përjashtime si pjesë</w:t>
      </w:r>
      <w:r w:rsidR="00535887">
        <w:rPr>
          <w:rFonts w:eastAsia="Times New Roman"/>
          <w:color w:val="000000"/>
        </w:rPr>
        <w:t xml:space="preserve"> e</w:t>
      </w:r>
      <w:r w:rsidRPr="009C5122">
        <w:rPr>
          <w:rFonts w:eastAsia="Times New Roman"/>
          <w:color w:val="000000"/>
        </w:rPr>
        <w:t xml:space="preserve"> benchmark-ut, në vlerën  1,856 milion lekë dhe 19 përjashtime janë përcaktuar si Tax Expenditure, me vlerën 10,728 milion lekë. Për T.V.SH.-në </w:t>
      </w:r>
      <w:proofErr w:type="gramStart"/>
      <w:r w:rsidRPr="009C5122">
        <w:rPr>
          <w:rFonts w:eastAsia="Times New Roman"/>
          <w:color w:val="000000"/>
        </w:rPr>
        <w:t>brenda</w:t>
      </w:r>
      <w:proofErr w:type="gramEnd"/>
      <w:r w:rsidRPr="009C5122">
        <w:rPr>
          <w:rFonts w:eastAsia="Times New Roman"/>
          <w:color w:val="000000"/>
        </w:rPr>
        <w:t xml:space="preserve"> vendit janë llogaritur </w:t>
      </w:r>
      <w:r w:rsidRPr="009C5122">
        <w:rPr>
          <w:rFonts w:eastAsia="Times New Roman"/>
          <w:color w:val="000000"/>
        </w:rPr>
        <w:lastRenderedPageBreak/>
        <w:t xml:space="preserve">si pjesë e benchmark-ut shërbimet finaciare dhe ndërmjetësime të tjera financiare, me vlerën 5.6 </w:t>
      </w:r>
      <w:r>
        <w:rPr>
          <w:rFonts w:eastAsia="Times New Roman"/>
          <w:color w:val="000000"/>
        </w:rPr>
        <w:t>miliard</w:t>
      </w:r>
      <w:r w:rsidRPr="009C5122">
        <w:rPr>
          <w:rFonts w:eastAsia="Times New Roman"/>
          <w:color w:val="000000"/>
        </w:rPr>
        <w:t xml:space="preserve"> lekë. Ndërkohë sipas sektorëve është </w:t>
      </w:r>
      <w:proofErr w:type="gramStart"/>
      <w:r w:rsidRPr="009C5122">
        <w:rPr>
          <w:rFonts w:eastAsia="Times New Roman"/>
          <w:color w:val="000000"/>
        </w:rPr>
        <w:t>llogaritur ”</w:t>
      </w:r>
      <w:proofErr w:type="gramEnd"/>
      <w:r w:rsidRPr="009C5122">
        <w:rPr>
          <w:rFonts w:eastAsia="Times New Roman"/>
          <w:color w:val="000000"/>
        </w:rPr>
        <w:t xml:space="preserve">Tax Expenditure”, me vlerën 6.8 </w:t>
      </w:r>
      <w:r>
        <w:rPr>
          <w:rFonts w:eastAsia="Times New Roman"/>
          <w:color w:val="000000"/>
        </w:rPr>
        <w:t>miliard</w:t>
      </w:r>
      <w:r w:rsidRPr="009C5122">
        <w:rPr>
          <w:rFonts w:eastAsia="Times New Roman"/>
          <w:color w:val="000000"/>
        </w:rPr>
        <w:t xml:space="preserve"> lekë.</w:t>
      </w:r>
    </w:p>
    <w:p w:rsidR="00A635B4" w:rsidRDefault="00A635B4" w:rsidP="00A635B4">
      <w:pPr>
        <w:spacing w:line="276" w:lineRule="auto"/>
        <w:jc w:val="both"/>
        <w:rPr>
          <w:rFonts w:eastAsia="Times New Roman"/>
          <w:color w:val="000000"/>
        </w:rPr>
      </w:pPr>
    </w:p>
    <w:p w:rsidR="00A635B4" w:rsidRPr="009C5122" w:rsidRDefault="00A635B4" w:rsidP="00A635B4">
      <w:pPr>
        <w:spacing w:line="276" w:lineRule="auto"/>
        <w:jc w:val="both"/>
        <w:rPr>
          <w:rFonts w:eastAsia="Times New Roman"/>
        </w:rPr>
      </w:pPr>
      <w:r w:rsidRPr="009C5122">
        <w:rPr>
          <w:rFonts w:eastAsia="Times New Roman"/>
          <w:color w:val="000000"/>
        </w:rPr>
        <w:t>Bazuar në Ligjin e të Ardhurave Personale janë identifikuar 13 përjashtime në të ardhurat personale dhe 10 përjashtime nga tatimi mbi fitimin e korporatës, në vlerën 303 milion lekë. Në ligjin mbi akcizën, janë identifikuar 16 përjashtime nga akciza, 9 janë pjesë e benchmark, me vlerën 210 milion lekë dhe 4 përjashtime janë identifikuar si Tax Expenditure, në vlerën 304 milion lekë. Në Kodin Doganor, janë identifikuar 34 përjashtime nga taksat doganore. 9 janë pjesë e benchmark, me vlerën 86 milionë lekë dhe 21 janë identifikuar si Tax Expenditure, me vlerën 73 milionë lekë</w:t>
      </w:r>
    </w:p>
    <w:p w:rsidR="00A635B4" w:rsidRPr="009C5122" w:rsidRDefault="00A635B4" w:rsidP="00A635B4">
      <w:pPr>
        <w:spacing w:line="276" w:lineRule="auto"/>
        <w:jc w:val="both"/>
        <w:rPr>
          <w:rFonts w:eastAsia="Times New Roman"/>
        </w:rPr>
      </w:pPr>
    </w:p>
    <w:p w:rsidR="00A635B4" w:rsidRPr="009C5122" w:rsidRDefault="00A635B4" w:rsidP="00A635B4">
      <w:pPr>
        <w:spacing w:line="276" w:lineRule="auto"/>
        <w:jc w:val="both"/>
        <w:rPr>
          <w:rFonts w:eastAsia="Times New Roman"/>
        </w:rPr>
      </w:pPr>
      <w:r w:rsidRPr="009C5122">
        <w:rPr>
          <w:rFonts w:eastAsia="Times New Roman"/>
          <w:color w:val="000000"/>
        </w:rPr>
        <w:t>Tabela e mëposhtme pasqyron një përmbledhje të përjashtimeve të taksave, si përqindje e Prodhimit të Brendshëm Bruto, bazuar në të dhënat e marra nga Administrata Tatimore dhe Administrata Doganore për vitin 2016.</w:t>
      </w:r>
    </w:p>
    <w:p w:rsidR="00A635B4" w:rsidRPr="009C5122" w:rsidRDefault="00A635B4" w:rsidP="00A635B4">
      <w:pPr>
        <w:spacing w:line="276" w:lineRule="auto"/>
        <w:ind w:left="360"/>
        <w:jc w:val="both"/>
        <w:rPr>
          <w:rFonts w:eastAsia="Times New Roman"/>
        </w:rPr>
      </w:pPr>
      <w:r w:rsidRPr="009C5122">
        <w:rPr>
          <w:rFonts w:eastAsia="Times New Roman"/>
          <w:color w:val="000000"/>
        </w:rPr>
        <w:t>                                               </w:t>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p>
    <w:p w:rsidR="00F77E64" w:rsidRPr="00F77E64" w:rsidRDefault="00F77E64" w:rsidP="00F77E64">
      <w:pPr>
        <w:pStyle w:val="Caption"/>
        <w:keepNext/>
        <w:rPr>
          <w:color w:val="auto"/>
          <w:sz w:val="22"/>
        </w:rPr>
      </w:pPr>
      <w:r w:rsidRPr="00F77E64">
        <w:rPr>
          <w:color w:val="auto"/>
          <w:sz w:val="22"/>
        </w:rPr>
        <w:t xml:space="preserve">       </w:t>
      </w:r>
      <w:r w:rsidRPr="00BD6D02">
        <w:rPr>
          <w:color w:val="auto"/>
          <w:sz w:val="24"/>
          <w:szCs w:val="24"/>
        </w:rPr>
        <w:t>Tab</w:t>
      </w:r>
      <w:r w:rsidR="00BD6D02" w:rsidRPr="00BD6D02">
        <w:rPr>
          <w:color w:val="auto"/>
          <w:sz w:val="24"/>
          <w:szCs w:val="24"/>
        </w:rPr>
        <w:t>ela</w:t>
      </w:r>
      <w:r w:rsidRPr="00BD6D02">
        <w:rPr>
          <w:color w:val="auto"/>
          <w:sz w:val="24"/>
          <w:szCs w:val="24"/>
        </w:rPr>
        <w:t xml:space="preserve"> 1</w:t>
      </w:r>
      <w:r w:rsidR="00BD6D02">
        <w:rPr>
          <w:color w:val="auto"/>
          <w:sz w:val="24"/>
          <w:szCs w:val="24"/>
        </w:rPr>
        <w:t>3</w:t>
      </w:r>
      <w:r w:rsidRPr="00BD6D02">
        <w:rPr>
          <w:color w:val="auto"/>
          <w:sz w:val="24"/>
          <w:szCs w:val="24"/>
        </w:rPr>
        <w:t xml:space="preserve">: </w:t>
      </w:r>
      <w:r w:rsidRPr="00BD6D02">
        <w:rPr>
          <w:b w:val="0"/>
          <w:color w:val="auto"/>
          <w:sz w:val="24"/>
          <w:szCs w:val="24"/>
        </w:rPr>
        <w:t>Përmbledhje e përjashtimit të taksave</w:t>
      </w:r>
      <w:r>
        <w:rPr>
          <w:color w:val="auto"/>
          <w:sz w:val="22"/>
        </w:rPr>
        <w:tab/>
      </w:r>
      <w:r>
        <w:rPr>
          <w:color w:val="auto"/>
          <w:sz w:val="22"/>
        </w:rPr>
        <w:tab/>
      </w:r>
      <w:r>
        <w:rPr>
          <w:color w:val="auto"/>
          <w:sz w:val="22"/>
        </w:rPr>
        <w:tab/>
      </w:r>
      <w:r>
        <w:rPr>
          <w:color w:val="auto"/>
          <w:sz w:val="22"/>
        </w:rPr>
        <w:tab/>
      </w:r>
      <w:r w:rsidRPr="00F77E64">
        <w:rPr>
          <w:b w:val="0"/>
          <w:i/>
          <w:color w:val="auto"/>
          <w:sz w:val="22"/>
        </w:rPr>
        <w:t>(në milion lekë)</w:t>
      </w:r>
    </w:p>
    <w:tbl>
      <w:tblPr>
        <w:tblW w:w="9523" w:type="dxa"/>
        <w:jc w:val="center"/>
        <w:tblCellMar>
          <w:top w:w="15" w:type="dxa"/>
          <w:left w:w="15" w:type="dxa"/>
          <w:bottom w:w="15" w:type="dxa"/>
          <w:right w:w="15" w:type="dxa"/>
        </w:tblCellMar>
        <w:tblLook w:val="04A0" w:firstRow="1" w:lastRow="0" w:firstColumn="1" w:lastColumn="0" w:noHBand="0" w:noVBand="1"/>
      </w:tblPr>
      <w:tblGrid>
        <w:gridCol w:w="5118"/>
        <w:gridCol w:w="2834"/>
        <w:gridCol w:w="1571"/>
      </w:tblGrid>
      <w:tr w:rsidR="00A635B4" w:rsidRPr="009C5122" w:rsidTr="00A635B4">
        <w:trPr>
          <w:trHeight w:val="433"/>
          <w:jc w:val="center"/>
        </w:trPr>
        <w:tc>
          <w:tcPr>
            <w:tcW w:w="0" w:type="auto"/>
            <w:tcBorders>
              <w:top w:val="single" w:sz="4" w:space="0" w:color="000000"/>
              <w:bottom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18"/>
                <w:szCs w:val="18"/>
              </w:rPr>
              <w:t xml:space="preserve">LLOJI </w:t>
            </w:r>
            <w:r>
              <w:rPr>
                <w:rFonts w:eastAsia="Times New Roman"/>
                <w:b/>
                <w:bCs/>
                <w:color w:val="000000"/>
                <w:sz w:val="18"/>
                <w:szCs w:val="18"/>
              </w:rPr>
              <w:t xml:space="preserve">I </w:t>
            </w:r>
            <w:r w:rsidRPr="009C5122">
              <w:rPr>
                <w:rFonts w:eastAsia="Times New Roman"/>
                <w:b/>
                <w:bCs/>
                <w:color w:val="000000"/>
                <w:sz w:val="18"/>
                <w:szCs w:val="18"/>
              </w:rPr>
              <w:t>TAKSËS</w:t>
            </w:r>
          </w:p>
        </w:tc>
        <w:tc>
          <w:tcPr>
            <w:tcW w:w="0" w:type="auto"/>
            <w:tcBorders>
              <w:top w:val="single" w:sz="4" w:space="0" w:color="000000"/>
              <w:bottom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18"/>
                <w:szCs w:val="18"/>
              </w:rPr>
              <w:t xml:space="preserve">TAX EXPENDITURE </w:t>
            </w:r>
          </w:p>
          <w:p w:rsidR="00A635B4" w:rsidRPr="009C5122" w:rsidRDefault="00A635B4" w:rsidP="00304F33">
            <w:pPr>
              <w:spacing w:line="276" w:lineRule="auto"/>
              <w:jc w:val="both"/>
              <w:rPr>
                <w:rFonts w:eastAsia="Times New Roman"/>
              </w:rPr>
            </w:pPr>
            <w:r w:rsidRPr="009C5122">
              <w:rPr>
                <w:rFonts w:eastAsia="Times New Roman"/>
                <w:color w:val="000000"/>
                <w:sz w:val="18"/>
                <w:szCs w:val="18"/>
              </w:rPr>
              <w:t>(në milion lekë)</w:t>
            </w:r>
          </w:p>
        </w:tc>
        <w:tc>
          <w:tcPr>
            <w:tcW w:w="0" w:type="auto"/>
            <w:tcBorders>
              <w:top w:val="single" w:sz="4" w:space="0" w:color="000000"/>
              <w:bottom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18"/>
                <w:szCs w:val="18"/>
              </w:rPr>
              <w:t>Në % GDP</w:t>
            </w:r>
          </w:p>
        </w:tc>
      </w:tr>
      <w:tr w:rsidR="00A635B4" w:rsidRPr="009C5122" w:rsidTr="00A635B4">
        <w:trPr>
          <w:trHeight w:val="216"/>
          <w:jc w:val="center"/>
        </w:trPr>
        <w:tc>
          <w:tcPr>
            <w:tcW w:w="0" w:type="auto"/>
            <w:tcBorders>
              <w:top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TVSH</w:t>
            </w:r>
          </w:p>
        </w:tc>
        <w:tc>
          <w:tcPr>
            <w:tcW w:w="0" w:type="auto"/>
            <w:tcBorders>
              <w:top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17,611</w:t>
            </w:r>
          </w:p>
        </w:tc>
        <w:tc>
          <w:tcPr>
            <w:tcW w:w="0" w:type="auto"/>
            <w:tcBorders>
              <w:top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1.2%</w:t>
            </w:r>
          </w:p>
        </w:tc>
      </w:tr>
      <w:tr w:rsidR="00A635B4" w:rsidRPr="009C5122" w:rsidTr="00A635B4">
        <w:trPr>
          <w:trHeight w:val="216"/>
          <w:jc w:val="center"/>
        </w:trPr>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i/>
                <w:iCs/>
                <w:color w:val="000000"/>
                <w:sz w:val="18"/>
                <w:szCs w:val="18"/>
              </w:rPr>
              <w:t>a)TVSH Brenda Vendit</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i/>
                <w:iCs/>
                <w:color w:val="000000"/>
                <w:sz w:val="18"/>
                <w:szCs w:val="18"/>
              </w:rPr>
              <w:t>6,883</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i/>
                <w:iCs/>
                <w:color w:val="000000"/>
                <w:sz w:val="18"/>
                <w:szCs w:val="18"/>
              </w:rPr>
              <w:t>0.5%</w:t>
            </w:r>
          </w:p>
        </w:tc>
      </w:tr>
      <w:tr w:rsidR="00A635B4" w:rsidRPr="009C5122" w:rsidTr="00A635B4">
        <w:trPr>
          <w:trHeight w:val="216"/>
          <w:jc w:val="center"/>
        </w:trPr>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i/>
                <w:iCs/>
                <w:color w:val="000000"/>
                <w:sz w:val="18"/>
                <w:szCs w:val="18"/>
              </w:rPr>
              <w:t>b)TVSH ne Import</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i/>
                <w:iCs/>
                <w:color w:val="000000"/>
                <w:sz w:val="18"/>
                <w:szCs w:val="18"/>
              </w:rPr>
              <w:t>10,728</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i/>
                <w:iCs/>
                <w:color w:val="000000"/>
                <w:sz w:val="18"/>
                <w:szCs w:val="18"/>
              </w:rPr>
              <w:t>0.7%</w:t>
            </w:r>
          </w:p>
        </w:tc>
      </w:tr>
      <w:tr w:rsidR="00A635B4" w:rsidRPr="009C5122" w:rsidTr="00A635B4">
        <w:trPr>
          <w:trHeight w:val="216"/>
          <w:jc w:val="center"/>
        </w:trPr>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Tatim Fitim 15%</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303</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0.1%</w:t>
            </w:r>
          </w:p>
        </w:tc>
      </w:tr>
      <w:tr w:rsidR="00A635B4" w:rsidRPr="009C5122" w:rsidTr="00A635B4">
        <w:trPr>
          <w:trHeight w:val="411"/>
          <w:jc w:val="center"/>
        </w:trPr>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Tatim mbi te Ardhurat Personale* (nëse 23%)</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698</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0.0%</w:t>
            </w:r>
          </w:p>
        </w:tc>
      </w:tr>
      <w:tr w:rsidR="00A635B4" w:rsidRPr="009C5122" w:rsidTr="00A635B4">
        <w:trPr>
          <w:trHeight w:val="216"/>
          <w:jc w:val="center"/>
        </w:trPr>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Taksa Doganore</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75</w:t>
            </w:r>
          </w:p>
        </w:tc>
        <w:tc>
          <w:tcPr>
            <w:tcW w:w="0" w:type="auto"/>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0.0%</w:t>
            </w:r>
          </w:p>
        </w:tc>
      </w:tr>
      <w:tr w:rsidR="00A635B4" w:rsidRPr="009C5122" w:rsidTr="00A635B4">
        <w:trPr>
          <w:trHeight w:val="216"/>
          <w:jc w:val="center"/>
        </w:trPr>
        <w:tc>
          <w:tcPr>
            <w:tcW w:w="0" w:type="auto"/>
            <w:tcBorders>
              <w:bottom w:val="single" w:sz="4"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Akciza</w:t>
            </w:r>
          </w:p>
        </w:tc>
        <w:tc>
          <w:tcPr>
            <w:tcW w:w="0" w:type="auto"/>
            <w:tcBorders>
              <w:bottom w:val="single" w:sz="4"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304</w:t>
            </w:r>
          </w:p>
        </w:tc>
        <w:tc>
          <w:tcPr>
            <w:tcW w:w="0" w:type="auto"/>
            <w:tcBorders>
              <w:bottom w:val="single" w:sz="4"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18"/>
                <w:szCs w:val="18"/>
              </w:rPr>
              <w:t>0.0%</w:t>
            </w:r>
          </w:p>
        </w:tc>
      </w:tr>
      <w:tr w:rsidR="00A635B4" w:rsidRPr="009C5122" w:rsidTr="00A635B4">
        <w:trPr>
          <w:trHeight w:val="216"/>
          <w:jc w:val="center"/>
        </w:trPr>
        <w:tc>
          <w:tcPr>
            <w:tcW w:w="0" w:type="auto"/>
            <w:tcBorders>
              <w:top w:val="single" w:sz="4" w:space="0" w:color="000000"/>
              <w:bottom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18"/>
                <w:szCs w:val="18"/>
              </w:rPr>
              <w:t xml:space="preserve">Totali </w:t>
            </w:r>
          </w:p>
        </w:tc>
        <w:tc>
          <w:tcPr>
            <w:tcW w:w="0" w:type="auto"/>
            <w:tcBorders>
              <w:top w:val="single" w:sz="4" w:space="0" w:color="000000"/>
              <w:bottom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18"/>
                <w:szCs w:val="18"/>
              </w:rPr>
              <w:t>18,641</w:t>
            </w:r>
          </w:p>
        </w:tc>
        <w:tc>
          <w:tcPr>
            <w:tcW w:w="0" w:type="auto"/>
            <w:tcBorders>
              <w:top w:val="single" w:sz="4" w:space="0" w:color="000000"/>
              <w:bottom w:val="single" w:sz="8" w:space="0" w:color="000000"/>
            </w:tcBorders>
            <w:shd w:val="clear" w:color="auto" w:fill="FFFFFF"/>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18"/>
                <w:szCs w:val="18"/>
              </w:rPr>
              <w:t>1.2%</w:t>
            </w:r>
          </w:p>
        </w:tc>
      </w:tr>
    </w:tbl>
    <w:p w:rsidR="00A635B4" w:rsidRPr="009C5122" w:rsidRDefault="00A635B4" w:rsidP="00A635B4">
      <w:pPr>
        <w:spacing w:before="100" w:after="280" w:line="276" w:lineRule="auto"/>
        <w:jc w:val="both"/>
        <w:rPr>
          <w:rFonts w:eastAsia="Times New Roman"/>
        </w:rPr>
      </w:pPr>
      <w:r w:rsidRPr="009C5122">
        <w:rPr>
          <w:rFonts w:eastAsia="Times New Roman"/>
          <w:b/>
          <w:bCs/>
          <w:color w:val="000000"/>
          <w:sz w:val="20"/>
          <w:szCs w:val="20"/>
        </w:rPr>
        <w:t>Burimi:</w:t>
      </w:r>
      <w:r w:rsidRPr="009C5122">
        <w:rPr>
          <w:rFonts w:eastAsia="Times New Roman"/>
          <w:b/>
          <w:bCs/>
          <w:i/>
          <w:iCs/>
          <w:color w:val="000000"/>
          <w:sz w:val="20"/>
          <w:szCs w:val="20"/>
        </w:rPr>
        <w:t xml:space="preserve"> </w:t>
      </w:r>
      <w:r w:rsidRPr="009C5122">
        <w:rPr>
          <w:rFonts w:eastAsia="Times New Roman"/>
          <w:i/>
          <w:iCs/>
          <w:color w:val="000000"/>
          <w:sz w:val="20"/>
          <w:szCs w:val="20"/>
        </w:rPr>
        <w:t>Ministria e Financave dhe Ekonomisë (2017)</w:t>
      </w:r>
    </w:p>
    <w:p w:rsidR="00A635B4" w:rsidRDefault="00A635B4" w:rsidP="00A635B4">
      <w:pPr>
        <w:spacing w:line="276" w:lineRule="auto"/>
        <w:jc w:val="both"/>
        <w:textAlignment w:val="baseline"/>
        <w:rPr>
          <w:rFonts w:ascii="Noto Sans Symbols" w:eastAsia="Times New Roman" w:hAnsi="Noto Sans Symbols"/>
          <w:color w:val="000000"/>
        </w:rPr>
      </w:pPr>
    </w:p>
    <w:p w:rsidR="00A635B4" w:rsidRPr="00E51CE6" w:rsidRDefault="00E51CE6" w:rsidP="00E51CE6">
      <w:pPr>
        <w:spacing w:after="240" w:line="276" w:lineRule="auto"/>
        <w:jc w:val="both"/>
        <w:rPr>
          <w:rFonts w:eastAsia="Times New Roman"/>
          <w:b/>
          <w:bCs/>
          <w:smallCaps/>
          <w:color w:val="000000"/>
          <w:kern w:val="36"/>
          <w:sz w:val="28"/>
          <w:szCs w:val="28"/>
        </w:rPr>
      </w:pPr>
      <w:r>
        <w:rPr>
          <w:rFonts w:eastAsia="Times New Roman"/>
          <w:b/>
          <w:bCs/>
          <w:color w:val="000000"/>
          <w:sz w:val="26"/>
          <w:szCs w:val="26"/>
        </w:rPr>
        <w:t>6.3</w:t>
      </w:r>
      <w:r w:rsidRPr="00E51CE6">
        <w:rPr>
          <w:rFonts w:eastAsia="Times New Roman"/>
          <w:b/>
          <w:bCs/>
          <w:color w:val="000000"/>
          <w:sz w:val="26"/>
          <w:szCs w:val="26"/>
        </w:rPr>
        <w:t xml:space="preserve"> </w:t>
      </w:r>
      <w:r w:rsidR="00A635B4" w:rsidRPr="00E51CE6">
        <w:rPr>
          <w:rFonts w:eastAsia="Times New Roman"/>
          <w:b/>
          <w:bCs/>
          <w:smallCaps/>
          <w:color w:val="000000"/>
          <w:kern w:val="36"/>
          <w:sz w:val="28"/>
          <w:szCs w:val="28"/>
        </w:rPr>
        <w:t>RISQ</w:t>
      </w:r>
      <w:r w:rsidR="00BD6D02">
        <w:rPr>
          <w:rFonts w:eastAsia="Times New Roman"/>
          <w:b/>
          <w:bCs/>
          <w:smallCaps/>
          <w:color w:val="000000"/>
          <w:kern w:val="36"/>
          <w:sz w:val="28"/>
          <w:szCs w:val="28"/>
        </w:rPr>
        <w:t>ET FISKALE DHE MASAT MBROJTËSE</w:t>
      </w:r>
    </w:p>
    <w:p w:rsidR="00A635B4" w:rsidRPr="009C5122" w:rsidRDefault="00A635B4" w:rsidP="00A635B4">
      <w:pPr>
        <w:spacing w:line="276" w:lineRule="auto"/>
        <w:jc w:val="both"/>
        <w:rPr>
          <w:rFonts w:eastAsia="Times New Roman"/>
        </w:rPr>
      </w:pPr>
      <w:r w:rsidRPr="009C5122">
        <w:rPr>
          <w:rFonts w:eastAsia="Times New Roman"/>
          <w:color w:val="000000"/>
        </w:rPr>
        <w:t>Në kr</w:t>
      </w:r>
      <w:r w:rsidR="007E7316">
        <w:rPr>
          <w:rFonts w:eastAsia="Times New Roman"/>
          <w:color w:val="000000"/>
        </w:rPr>
        <w:t xml:space="preserve">ahun e të ardhurave </w:t>
      </w:r>
      <w:proofErr w:type="gramStart"/>
      <w:r w:rsidR="007E7316">
        <w:rPr>
          <w:rFonts w:eastAsia="Times New Roman"/>
          <w:color w:val="000000"/>
        </w:rPr>
        <w:t>buxhetore  </w:t>
      </w:r>
      <w:r w:rsidRPr="009C5122">
        <w:rPr>
          <w:rFonts w:eastAsia="Times New Roman"/>
          <w:color w:val="000000"/>
        </w:rPr>
        <w:t>risqet</w:t>
      </w:r>
      <w:proofErr w:type="gramEnd"/>
      <w:r w:rsidRPr="009C5122">
        <w:rPr>
          <w:rFonts w:eastAsia="Times New Roman"/>
          <w:color w:val="000000"/>
        </w:rPr>
        <w:t xml:space="preserve"> fiskale për vitin 2017 konsistojnë në: </w:t>
      </w:r>
    </w:p>
    <w:p w:rsidR="00A635B4" w:rsidRPr="009C5122" w:rsidRDefault="00A635B4" w:rsidP="002C5B1B">
      <w:pPr>
        <w:numPr>
          <w:ilvl w:val="0"/>
          <w:numId w:val="61"/>
        </w:numPr>
        <w:spacing w:before="120" w:after="120" w:line="276" w:lineRule="auto"/>
        <w:ind w:left="1080" w:right="518"/>
        <w:jc w:val="both"/>
        <w:textAlignment w:val="baseline"/>
        <w:rPr>
          <w:rFonts w:ascii="Noto Sans Symbols" w:eastAsia="Times New Roman" w:hAnsi="Noto Sans Symbols"/>
          <w:color w:val="000000"/>
        </w:rPr>
      </w:pPr>
      <w:r>
        <w:rPr>
          <w:rFonts w:eastAsia="Times New Roman"/>
          <w:color w:val="000000"/>
        </w:rPr>
        <w:t xml:space="preserve">Rritja </w:t>
      </w:r>
      <w:r w:rsidRPr="009C5122">
        <w:rPr>
          <w:rFonts w:eastAsia="Times New Roman"/>
          <w:color w:val="000000"/>
        </w:rPr>
        <w:t>me rreth 18% i çmimit të karburanteve. Parashikimet e agje</w:t>
      </w:r>
      <w:r>
        <w:rPr>
          <w:rFonts w:eastAsia="Times New Roman"/>
          <w:color w:val="000000"/>
        </w:rPr>
        <w:t>n</w:t>
      </w:r>
      <w:r w:rsidR="007E7316">
        <w:rPr>
          <w:rFonts w:eastAsia="Times New Roman"/>
          <w:color w:val="000000"/>
        </w:rPr>
        <w:t>c</w:t>
      </w:r>
      <w:r>
        <w:rPr>
          <w:rFonts w:eastAsia="Times New Roman"/>
          <w:color w:val="000000"/>
        </w:rPr>
        <w:t>ive të specializuara ndërkombë</w:t>
      </w:r>
      <w:r w:rsidRPr="009C5122">
        <w:rPr>
          <w:rFonts w:eastAsia="Times New Roman"/>
          <w:color w:val="000000"/>
        </w:rPr>
        <w:t xml:space="preserve">tare minimizojnë mundësitë që kjo rritje të mos ndodhë në këtë nivel. Në planifikimin e të ardhurave, është vlerësuar kompensimi i ndonjë oshilacioni të mundshëm të çmimeve, nëpërmjet disiplinimit maksimal të rasteve të përjashtimeve dhe rimbursimeve përtej normave ligjore dhe parashikimeve. </w:t>
      </w:r>
    </w:p>
    <w:p w:rsidR="00A635B4" w:rsidRPr="009C5122" w:rsidRDefault="007E7316" w:rsidP="002C5B1B">
      <w:pPr>
        <w:numPr>
          <w:ilvl w:val="0"/>
          <w:numId w:val="61"/>
        </w:numPr>
        <w:spacing w:before="120" w:after="120" w:line="276" w:lineRule="auto"/>
        <w:ind w:left="1080" w:right="518"/>
        <w:jc w:val="both"/>
        <w:textAlignment w:val="baseline"/>
        <w:rPr>
          <w:rFonts w:ascii="Noto Sans Symbols" w:eastAsia="Times New Roman" w:hAnsi="Noto Sans Symbols"/>
          <w:color w:val="000000"/>
        </w:rPr>
      </w:pPr>
      <w:r>
        <w:rPr>
          <w:rFonts w:eastAsia="Times New Roman"/>
          <w:color w:val="000000"/>
        </w:rPr>
        <w:t>Ë</w:t>
      </w:r>
      <w:r w:rsidR="00A635B4" w:rsidRPr="009C5122">
        <w:rPr>
          <w:rFonts w:eastAsia="Times New Roman"/>
          <w:color w:val="000000"/>
        </w:rPr>
        <w:t xml:space="preserve">shtë parashikuar një rritje me 200 ton e importit të cigareve me një efekt </w:t>
      </w:r>
      <w:r w:rsidR="00A635B4">
        <w:rPr>
          <w:rFonts w:eastAsia="Times New Roman"/>
          <w:color w:val="000000"/>
        </w:rPr>
        <w:t xml:space="preserve">në të ardhura nga TVSH, Akciza dhe Taksa Doganore prej </w:t>
      </w:r>
      <w:r w:rsidR="00A635B4" w:rsidRPr="009C5122">
        <w:rPr>
          <w:rFonts w:eastAsia="Times New Roman"/>
          <w:color w:val="000000"/>
        </w:rPr>
        <w:t xml:space="preserve">1.8 </w:t>
      </w:r>
      <w:r w:rsidR="00A635B4">
        <w:rPr>
          <w:rFonts w:eastAsia="Times New Roman"/>
          <w:color w:val="000000"/>
        </w:rPr>
        <w:t>miliard</w:t>
      </w:r>
      <w:r w:rsidR="00A635B4" w:rsidRPr="009C5122">
        <w:rPr>
          <w:rFonts w:eastAsia="Times New Roman"/>
          <w:color w:val="000000"/>
        </w:rPr>
        <w:t xml:space="preserve"> lekë</w:t>
      </w:r>
      <w:r w:rsidR="00A635B4">
        <w:rPr>
          <w:rFonts w:eastAsia="Times New Roman"/>
          <w:color w:val="000000"/>
        </w:rPr>
        <w:t>,</w:t>
      </w:r>
      <w:r w:rsidR="00A635B4" w:rsidRPr="009C5122">
        <w:rPr>
          <w:rFonts w:eastAsia="Times New Roman"/>
          <w:color w:val="000000"/>
        </w:rPr>
        <w:t xml:space="preserve"> bazuar në performancën e vitit 2017</w:t>
      </w:r>
      <w:r w:rsidR="00A635B4">
        <w:rPr>
          <w:rFonts w:eastAsia="Times New Roman"/>
          <w:color w:val="000000"/>
        </w:rPr>
        <w:t>.</w:t>
      </w:r>
      <w:r w:rsidR="00A635B4" w:rsidRPr="009C5122">
        <w:rPr>
          <w:rFonts w:eastAsia="Times New Roman"/>
          <w:color w:val="000000"/>
        </w:rPr>
        <w:t xml:space="preserve"> </w:t>
      </w:r>
      <w:proofErr w:type="gramStart"/>
      <w:r w:rsidR="00A635B4" w:rsidRPr="009C5122">
        <w:rPr>
          <w:rFonts w:eastAsia="Times New Roman"/>
          <w:color w:val="000000"/>
        </w:rPr>
        <w:t>Ky</w:t>
      </w:r>
      <w:proofErr w:type="gramEnd"/>
      <w:r w:rsidR="00A635B4" w:rsidRPr="009C5122">
        <w:rPr>
          <w:rFonts w:eastAsia="Times New Roman"/>
          <w:color w:val="000000"/>
        </w:rPr>
        <w:t xml:space="preserve"> parashikim mund të mos realizohet në 100% të tij dhe mund të ketë rriskun e rritjes së importit të cigareve me 1</w:t>
      </w:r>
      <w:r w:rsidR="009C674A">
        <w:rPr>
          <w:rFonts w:eastAsia="Times New Roman"/>
          <w:color w:val="000000"/>
        </w:rPr>
        <w:t>0</w:t>
      </w:r>
      <w:r w:rsidR="00A635B4" w:rsidRPr="009C5122">
        <w:rPr>
          <w:rFonts w:eastAsia="Times New Roman"/>
          <w:color w:val="000000"/>
        </w:rPr>
        <w:t xml:space="preserve">0 ton dhe jo me 200 ton sa është parashikuar, me një </w:t>
      </w:r>
      <w:r w:rsidR="00A635B4">
        <w:rPr>
          <w:rFonts w:eastAsia="Times New Roman"/>
          <w:color w:val="000000"/>
        </w:rPr>
        <w:t xml:space="preserve">efekt </w:t>
      </w:r>
      <w:r w:rsidR="00A635B4" w:rsidRPr="009C5122">
        <w:rPr>
          <w:rFonts w:eastAsia="Times New Roman"/>
          <w:color w:val="000000"/>
        </w:rPr>
        <w:t xml:space="preserve">negativ rreth 0.4 </w:t>
      </w:r>
      <w:r w:rsidR="00A635B4">
        <w:rPr>
          <w:rFonts w:eastAsia="Times New Roman"/>
          <w:color w:val="000000"/>
        </w:rPr>
        <w:t>miliard</w:t>
      </w:r>
      <w:r w:rsidR="00A635B4" w:rsidRPr="009C5122">
        <w:rPr>
          <w:rFonts w:eastAsia="Times New Roman"/>
          <w:color w:val="000000"/>
        </w:rPr>
        <w:t xml:space="preserve"> lekë. </w:t>
      </w:r>
    </w:p>
    <w:p w:rsidR="00A635B4" w:rsidRPr="009C5122" w:rsidRDefault="00A635B4" w:rsidP="002C5B1B">
      <w:pPr>
        <w:numPr>
          <w:ilvl w:val="0"/>
          <w:numId w:val="61"/>
        </w:numPr>
        <w:spacing w:before="120" w:after="120" w:line="276" w:lineRule="auto"/>
        <w:ind w:left="1080" w:right="518"/>
        <w:jc w:val="both"/>
        <w:textAlignment w:val="baseline"/>
        <w:rPr>
          <w:rFonts w:ascii="Noto Sans Symbols" w:eastAsia="Times New Roman" w:hAnsi="Noto Sans Symbols"/>
          <w:color w:val="000000"/>
        </w:rPr>
      </w:pPr>
      <w:r w:rsidRPr="009C5122">
        <w:rPr>
          <w:rFonts w:eastAsia="Times New Roman"/>
          <w:color w:val="000000"/>
        </w:rPr>
        <w:t>Është parashikuar rritje e imp</w:t>
      </w:r>
      <w:r>
        <w:rPr>
          <w:rFonts w:eastAsia="Times New Roman"/>
          <w:color w:val="000000"/>
        </w:rPr>
        <w:t>ortit</w:t>
      </w:r>
      <w:r w:rsidRPr="009C5122">
        <w:rPr>
          <w:rFonts w:eastAsia="Times New Roman"/>
          <w:color w:val="000000"/>
        </w:rPr>
        <w:t xml:space="preserve"> dhe Prodhimit </w:t>
      </w:r>
      <w:proofErr w:type="gramStart"/>
      <w:r w:rsidRPr="009C5122">
        <w:rPr>
          <w:rFonts w:eastAsia="Times New Roman"/>
          <w:color w:val="000000"/>
        </w:rPr>
        <w:t>vendas</w:t>
      </w:r>
      <w:proofErr w:type="gramEnd"/>
      <w:r w:rsidRPr="009C5122">
        <w:rPr>
          <w:rFonts w:eastAsia="Times New Roman"/>
          <w:color w:val="000000"/>
        </w:rPr>
        <w:t xml:space="preserve"> të karburan</w:t>
      </w:r>
      <w:r>
        <w:rPr>
          <w:rFonts w:eastAsia="Times New Roman"/>
          <w:color w:val="000000"/>
        </w:rPr>
        <w:t>tit me 7% bazuar në performancën</w:t>
      </w:r>
      <w:r w:rsidRPr="009C5122">
        <w:rPr>
          <w:rFonts w:eastAsia="Times New Roman"/>
          <w:color w:val="000000"/>
        </w:rPr>
        <w:t xml:space="preserve"> e vitit 2017. Në rast se nuk verifikohet kjo rritje mund të shkojë në 5% me një efekt negativ në të ardhurat me -0.5 </w:t>
      </w:r>
      <w:r>
        <w:rPr>
          <w:rFonts w:eastAsia="Times New Roman"/>
          <w:color w:val="000000"/>
        </w:rPr>
        <w:t>miliard</w:t>
      </w:r>
      <w:r w:rsidRPr="009C5122">
        <w:rPr>
          <w:rFonts w:eastAsia="Times New Roman"/>
          <w:color w:val="000000"/>
        </w:rPr>
        <w:t xml:space="preserve"> lekë. </w:t>
      </w:r>
    </w:p>
    <w:p w:rsidR="00A635B4" w:rsidRPr="009C5122" w:rsidRDefault="00A635B4" w:rsidP="00A635B4">
      <w:pPr>
        <w:spacing w:line="276" w:lineRule="auto"/>
        <w:jc w:val="both"/>
        <w:rPr>
          <w:rFonts w:eastAsia="Times New Roman"/>
        </w:rPr>
      </w:pPr>
    </w:p>
    <w:p w:rsidR="00F77E64" w:rsidRPr="00BD6D02" w:rsidRDefault="00F77E64" w:rsidP="00F77E64">
      <w:pPr>
        <w:pStyle w:val="Caption"/>
        <w:keepNext/>
        <w:rPr>
          <w:color w:val="auto"/>
          <w:sz w:val="24"/>
          <w:szCs w:val="24"/>
        </w:rPr>
      </w:pPr>
      <w:r w:rsidRPr="00BD6D02">
        <w:rPr>
          <w:color w:val="auto"/>
          <w:sz w:val="24"/>
          <w:szCs w:val="24"/>
        </w:rPr>
        <w:lastRenderedPageBreak/>
        <w:t>Tabela 1</w:t>
      </w:r>
      <w:r w:rsidR="00BD6D02" w:rsidRPr="00BD6D02">
        <w:rPr>
          <w:color w:val="auto"/>
          <w:sz w:val="24"/>
          <w:szCs w:val="24"/>
        </w:rPr>
        <w:t>4</w:t>
      </w:r>
      <w:r w:rsidRPr="00BD6D02">
        <w:rPr>
          <w:color w:val="auto"/>
          <w:sz w:val="24"/>
          <w:szCs w:val="24"/>
        </w:rPr>
        <w:t xml:space="preserve">: </w:t>
      </w:r>
      <w:r w:rsidRPr="00BD6D02">
        <w:rPr>
          <w:b w:val="0"/>
          <w:color w:val="auto"/>
          <w:sz w:val="24"/>
          <w:szCs w:val="24"/>
        </w:rPr>
        <w:t>Kategoritë e Risqeve sipas llojit të taksës</w:t>
      </w:r>
    </w:p>
    <w:tbl>
      <w:tblPr>
        <w:tblW w:w="0" w:type="auto"/>
        <w:tblCellMar>
          <w:top w:w="15" w:type="dxa"/>
          <w:left w:w="15" w:type="dxa"/>
          <w:bottom w:w="15" w:type="dxa"/>
          <w:right w:w="15" w:type="dxa"/>
        </w:tblCellMar>
        <w:tblLook w:val="04A0" w:firstRow="1" w:lastRow="0" w:firstColumn="1" w:lastColumn="0" w:noHBand="0" w:noVBand="1"/>
      </w:tblPr>
      <w:tblGrid>
        <w:gridCol w:w="5313"/>
        <w:gridCol w:w="1064"/>
        <w:gridCol w:w="1540"/>
        <w:gridCol w:w="1064"/>
        <w:gridCol w:w="1214"/>
      </w:tblGrid>
      <w:tr w:rsidR="00A635B4" w:rsidRPr="009C5122" w:rsidTr="00304F33">
        <w:trPr>
          <w:trHeight w:val="1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xml:space="preserve">Risqet </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Pr>
                <w:rFonts w:eastAsia="Times New Roman"/>
                <w:b/>
                <w:bCs/>
                <w:color w:val="000000"/>
                <w:sz w:val="20"/>
                <w:szCs w:val="20"/>
              </w:rPr>
              <w:t>Efektet negative në të</w:t>
            </w:r>
            <w:r w:rsidRPr="009C5122">
              <w:rPr>
                <w:rFonts w:eastAsia="Times New Roman"/>
                <w:b/>
                <w:bCs/>
                <w:color w:val="000000"/>
                <w:sz w:val="20"/>
                <w:szCs w:val="20"/>
              </w:rPr>
              <w:t xml:space="preserve"> ardhurat </w:t>
            </w:r>
          </w:p>
        </w:tc>
      </w:tr>
      <w:tr w:rsidR="00A635B4" w:rsidRPr="009C5122" w:rsidTr="00304F33">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35B4" w:rsidRPr="009C5122" w:rsidRDefault="00A635B4" w:rsidP="00304F33">
            <w:pPr>
              <w:spacing w:line="276" w:lineRule="auto"/>
              <w:jc w:val="both"/>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Pr>
                <w:rFonts w:eastAsia="Times New Roman"/>
                <w:b/>
                <w:bCs/>
                <w:color w:val="000000"/>
                <w:sz w:val="20"/>
                <w:szCs w:val="20"/>
              </w:rPr>
              <w:t>Akcizë</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Pr>
                <w:rFonts w:eastAsia="Times New Roman"/>
                <w:b/>
                <w:bCs/>
                <w:color w:val="000000"/>
                <w:sz w:val="20"/>
                <w:szCs w:val="20"/>
              </w:rPr>
              <w:t xml:space="preserve">Taksë </w:t>
            </w:r>
            <w:r w:rsidRPr="009C5122">
              <w:rPr>
                <w:rFonts w:eastAsia="Times New Roman"/>
                <w:b/>
                <w:bCs/>
                <w:color w:val="000000"/>
                <w:sz w:val="20"/>
                <w:szCs w:val="20"/>
              </w:rPr>
              <w:t xml:space="preserve">Doganore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xml:space="preserve">TVSH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Total</w:t>
            </w:r>
          </w:p>
        </w:tc>
      </w:tr>
      <w:tr w:rsidR="00A635B4" w:rsidRPr="009C5122" w:rsidTr="00304F3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xml:space="preserve">Rritja e cmimeve Brend  jo 18% sipas parashikimit por 10%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(400)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(400)</w:t>
            </w:r>
          </w:p>
        </w:tc>
      </w:tr>
      <w:tr w:rsidR="00A635B4" w:rsidRPr="009C5122" w:rsidTr="00304F3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Pr>
                <w:rFonts w:eastAsia="Times New Roman"/>
                <w:color w:val="000000"/>
                <w:sz w:val="20"/>
                <w:szCs w:val="20"/>
              </w:rPr>
              <w:t>Rritja e Import +Prodhim vendi të</w:t>
            </w:r>
            <w:r w:rsidRPr="009C5122">
              <w:rPr>
                <w:rFonts w:eastAsia="Times New Roman"/>
                <w:color w:val="000000"/>
                <w:sz w:val="20"/>
                <w:szCs w:val="20"/>
              </w:rPr>
              <w:t xml:space="preserve"> ka</w:t>
            </w:r>
            <w:r>
              <w:rPr>
                <w:rFonts w:eastAsia="Times New Roman"/>
                <w:color w:val="000000"/>
                <w:sz w:val="20"/>
                <w:szCs w:val="20"/>
              </w:rPr>
              <w:t>rburantit jo me 7% sipas ecurisë</w:t>
            </w:r>
            <w:r w:rsidRPr="009C5122">
              <w:rPr>
                <w:rFonts w:eastAsia="Times New Roman"/>
                <w:color w:val="000000"/>
                <w:sz w:val="20"/>
                <w:szCs w:val="20"/>
              </w:rPr>
              <w:t xml:space="preserve"> 2017 por 5%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(289)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(213)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(502)</w:t>
            </w:r>
          </w:p>
        </w:tc>
      </w:tr>
      <w:tr w:rsidR="00A635B4" w:rsidRPr="009C5122" w:rsidTr="00304F3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Pr>
                <w:rFonts w:eastAsia="Times New Roman"/>
                <w:color w:val="000000"/>
                <w:sz w:val="20"/>
                <w:szCs w:val="20"/>
              </w:rPr>
              <w:t>Rritja e importit të</w:t>
            </w:r>
            <w:r w:rsidRPr="009C5122">
              <w:rPr>
                <w:rFonts w:eastAsia="Times New Roman"/>
                <w:color w:val="000000"/>
                <w:sz w:val="20"/>
                <w:szCs w:val="20"/>
              </w:rPr>
              <w:t xml:space="preserve"> cigareve jo me 200 ton sipas parashikimit por +100 ton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(274)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color w:val="000000"/>
                <w:sz w:val="20"/>
                <w:szCs w:val="20"/>
              </w:rPr>
              <w:t>           (362)</w:t>
            </w:r>
          </w:p>
        </w:tc>
      </w:tr>
      <w:tr w:rsidR="00A635B4" w:rsidRPr="009C5122" w:rsidTr="00304F33">
        <w:trPr>
          <w:trHeight w:val="1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xml:space="preserve">Total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(563)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(689)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A635B4" w:rsidRPr="009C5122" w:rsidRDefault="00A635B4" w:rsidP="00304F33">
            <w:pPr>
              <w:spacing w:line="276" w:lineRule="auto"/>
              <w:jc w:val="both"/>
              <w:rPr>
                <w:rFonts w:eastAsia="Times New Roman"/>
              </w:rPr>
            </w:pPr>
            <w:r w:rsidRPr="009C5122">
              <w:rPr>
                <w:rFonts w:eastAsia="Times New Roman"/>
                <w:b/>
                <w:bCs/>
                <w:color w:val="000000"/>
                <w:sz w:val="20"/>
                <w:szCs w:val="20"/>
              </w:rPr>
              <w:t>        (1,263)</w:t>
            </w:r>
          </w:p>
        </w:tc>
      </w:tr>
    </w:tbl>
    <w:p w:rsidR="008F7E3C" w:rsidRDefault="008F7E3C" w:rsidP="00A635B4">
      <w:pPr>
        <w:pStyle w:val="Heading1"/>
        <w:tabs>
          <w:tab w:val="clear" w:pos="5954"/>
          <w:tab w:val="left" w:pos="426"/>
          <w:tab w:val="left" w:pos="993"/>
          <w:tab w:val="center" w:pos="1276"/>
        </w:tabs>
        <w:spacing w:after="120" w:line="276" w:lineRule="auto"/>
        <w:ind w:left="504" w:right="0"/>
        <w:jc w:val="left"/>
        <w:rPr>
          <w:rFonts w:eastAsia="MS Mincho"/>
          <w:bCs/>
          <w:lang w:val="sq-AL" w:eastAsia="sq-AL"/>
        </w:rPr>
      </w:pPr>
    </w:p>
    <w:p w:rsidR="009048CE" w:rsidRPr="009048CE" w:rsidRDefault="009048CE" w:rsidP="003C5B4B">
      <w:pPr>
        <w:pStyle w:val="ColorfulList-Accent11"/>
        <w:spacing w:before="150" w:after="150" w:line="276" w:lineRule="auto"/>
        <w:ind w:left="0" w:right="525"/>
        <w:jc w:val="both"/>
        <w:rPr>
          <w:rFonts w:ascii="Times New Roman" w:eastAsia="MS Mincho" w:hAnsi="Times New Roman"/>
          <w:b/>
          <w:bCs/>
          <w:sz w:val="24"/>
          <w:szCs w:val="24"/>
          <w:lang w:val="sq-AL" w:eastAsia="sq-AL"/>
        </w:rPr>
      </w:pPr>
      <w:r w:rsidRPr="009048CE">
        <w:rPr>
          <w:rFonts w:ascii="Times New Roman" w:eastAsia="MS Mincho" w:hAnsi="Times New Roman"/>
          <w:b/>
          <w:bCs/>
          <w:sz w:val="24"/>
          <w:szCs w:val="24"/>
          <w:lang w:val="sq-AL" w:eastAsia="sq-AL"/>
        </w:rPr>
        <w:t>Në krahun e shpenzimeve buxhetore, risqet kryesore konsistojnë në:</w:t>
      </w:r>
    </w:p>
    <w:p w:rsidR="009048CE" w:rsidRDefault="009048CE" w:rsidP="002C5B1B">
      <w:pPr>
        <w:numPr>
          <w:ilvl w:val="0"/>
          <w:numId w:val="111"/>
        </w:numPr>
        <w:spacing w:before="150" w:after="150" w:line="276" w:lineRule="auto"/>
        <w:ind w:left="540" w:right="525"/>
        <w:contextualSpacing/>
        <w:jc w:val="both"/>
        <w:rPr>
          <w:bCs/>
          <w:lang w:val="sq-AL" w:eastAsia="sq-AL"/>
        </w:rPr>
      </w:pPr>
      <w:r w:rsidRPr="009048CE">
        <w:rPr>
          <w:b/>
          <w:bCs/>
          <w:lang w:val="sq-AL" w:eastAsia="sq-AL"/>
        </w:rPr>
        <w:t>Ngjarjet e karakterizuara nga forca madhore</w:t>
      </w:r>
      <w:r w:rsidRPr="009048CE">
        <w:rPr>
          <w:bCs/>
          <w:lang w:val="sq-AL" w:eastAsia="sq-AL"/>
        </w:rPr>
        <w:t xml:space="preserve"> (fatkeqësitë natyrore), me impakt të konsiderueshëm dhe të paparashikueshëm në buxhetin e sht</w:t>
      </w:r>
      <w:r w:rsidR="009C674A">
        <w:rPr>
          <w:bCs/>
          <w:lang w:val="sq-AL" w:eastAsia="sq-AL"/>
        </w:rPr>
        <w:t>e</w:t>
      </w:r>
      <w:r w:rsidRPr="009048CE">
        <w:rPr>
          <w:bCs/>
          <w:lang w:val="sq-AL" w:eastAsia="sq-AL"/>
        </w:rPr>
        <w:t xml:space="preserve">tit, të tilla si: përmbytje masive, zjarre, tërmete, etj. Për të përballuar të tilla raste, në buxhetin e vitit 2018 është parashikuar një fond prej rreth </w:t>
      </w:r>
      <w:r w:rsidR="00DB22CA" w:rsidRPr="001B4E03">
        <w:rPr>
          <w:bCs/>
          <w:lang w:val="sq-AL" w:eastAsia="sq-AL"/>
        </w:rPr>
        <w:t>130</w:t>
      </w:r>
      <w:r w:rsidRPr="001B4E03">
        <w:rPr>
          <w:bCs/>
          <w:lang w:val="sq-AL" w:eastAsia="sq-AL"/>
        </w:rPr>
        <w:t xml:space="preserve"> milionë lekë në programin “Emergjencat Civile” në Ministrinë e Brendshme, si dhe Fondi Rezervë i Buxhetit të Shtetit në shumën 1</w:t>
      </w:r>
      <w:r w:rsidR="001B4E03" w:rsidRPr="001B4E03">
        <w:rPr>
          <w:bCs/>
          <w:lang w:val="sq-AL" w:eastAsia="sq-AL"/>
        </w:rPr>
        <w:t>.5</w:t>
      </w:r>
      <w:r w:rsidRPr="001B4E03">
        <w:rPr>
          <w:bCs/>
          <w:lang w:val="sq-AL" w:eastAsia="sq-AL"/>
        </w:rPr>
        <w:t xml:space="preserve"> miliardë lekë.</w:t>
      </w:r>
    </w:p>
    <w:p w:rsidR="00BD6D02" w:rsidRPr="001B4E03" w:rsidRDefault="00BD6D02" w:rsidP="00BD6D02">
      <w:pPr>
        <w:spacing w:before="150" w:after="150" w:line="276" w:lineRule="auto"/>
        <w:ind w:left="540" w:right="525"/>
        <w:contextualSpacing/>
        <w:jc w:val="both"/>
        <w:rPr>
          <w:bCs/>
          <w:lang w:val="sq-AL" w:eastAsia="sq-AL"/>
        </w:rPr>
      </w:pPr>
    </w:p>
    <w:p w:rsidR="009048CE" w:rsidRPr="009048CE" w:rsidRDefault="009048CE" w:rsidP="002C5B1B">
      <w:pPr>
        <w:numPr>
          <w:ilvl w:val="0"/>
          <w:numId w:val="111"/>
        </w:numPr>
        <w:spacing w:before="150" w:after="150" w:line="276" w:lineRule="auto"/>
        <w:ind w:left="540" w:right="525"/>
        <w:contextualSpacing/>
        <w:jc w:val="both"/>
        <w:rPr>
          <w:bCs/>
          <w:lang w:val="sq-AL" w:eastAsia="sq-AL"/>
        </w:rPr>
      </w:pPr>
      <w:r w:rsidRPr="009048CE">
        <w:rPr>
          <w:b/>
          <w:bCs/>
          <w:lang w:val="sq-AL" w:eastAsia="sq-AL"/>
        </w:rPr>
        <w:t>Mos-ofrimi në kohë dhe konform standar</w:t>
      </w:r>
      <w:r w:rsidR="00BD6D02">
        <w:rPr>
          <w:b/>
          <w:bCs/>
          <w:lang w:val="sq-AL" w:eastAsia="sq-AL"/>
        </w:rPr>
        <w:t>d</w:t>
      </w:r>
      <w:r w:rsidRPr="009048CE">
        <w:rPr>
          <w:b/>
          <w:bCs/>
          <w:lang w:val="sq-AL" w:eastAsia="sq-AL"/>
        </w:rPr>
        <w:t>eve të shërbimeve publike</w:t>
      </w:r>
      <w:r w:rsidRPr="009048CE">
        <w:rPr>
          <w:bCs/>
          <w:lang w:val="sq-AL" w:eastAsia="sq-AL"/>
        </w:rPr>
        <w:t>, të domosdoshme për qytetarin, nga ana e ndërmarrjeve publike me kapital shtetëror (KESH, OST, OSHEE, Ndërmarrjet e Ujësjellës Kanalizimeve, etj). Konkretisht:</w:t>
      </w:r>
    </w:p>
    <w:p w:rsidR="009048CE" w:rsidRPr="009048CE" w:rsidRDefault="009048CE" w:rsidP="002C5B1B">
      <w:pPr>
        <w:numPr>
          <w:ilvl w:val="0"/>
          <w:numId w:val="112"/>
        </w:numPr>
        <w:spacing w:before="150" w:after="150" w:line="276" w:lineRule="auto"/>
        <w:ind w:right="525"/>
        <w:contextualSpacing/>
        <w:jc w:val="both"/>
        <w:rPr>
          <w:bCs/>
          <w:lang w:val="sq-AL" w:eastAsia="sq-AL"/>
        </w:rPr>
      </w:pPr>
      <w:r w:rsidRPr="009048CE">
        <w:rPr>
          <w:bCs/>
          <w:u w:val="single"/>
          <w:lang w:val="sq-AL" w:eastAsia="sq-AL"/>
        </w:rPr>
        <w:t>Për sektori</w:t>
      </w:r>
      <w:r w:rsidRPr="009048CE">
        <w:rPr>
          <w:rFonts w:eastAsia="MS Mincho"/>
          <w:bCs/>
          <w:u w:val="single"/>
          <w:lang w:val="sq-AL" w:eastAsia="sq-AL"/>
        </w:rPr>
        <w:t>n</w:t>
      </w:r>
      <w:r w:rsidRPr="009048CE">
        <w:rPr>
          <w:bCs/>
          <w:u w:val="single"/>
          <w:lang w:val="sq-AL" w:eastAsia="sq-AL"/>
        </w:rPr>
        <w:t xml:space="preserve"> e Furnizimit me Ujë</w:t>
      </w:r>
      <w:r w:rsidRPr="009048CE">
        <w:rPr>
          <w:bCs/>
          <w:lang w:val="sq-AL" w:eastAsia="sq-AL"/>
        </w:rPr>
        <w:t xml:space="preserve"> të pijshëm, në këtë Projektbuxhet është planifikuar subvencionimi i ndërmarrjeve të këtij sektori në masën 1 miliardë lekë, me qëllim garantimin e ofrimit të shërbimit konform standardeve.</w:t>
      </w:r>
    </w:p>
    <w:p w:rsidR="009048CE" w:rsidRPr="009048CE" w:rsidRDefault="009048CE" w:rsidP="002C5B1B">
      <w:pPr>
        <w:numPr>
          <w:ilvl w:val="0"/>
          <w:numId w:val="112"/>
        </w:numPr>
        <w:spacing w:before="150" w:after="150" w:line="276" w:lineRule="auto"/>
        <w:ind w:right="525"/>
        <w:contextualSpacing/>
        <w:jc w:val="both"/>
        <w:rPr>
          <w:bCs/>
          <w:lang w:val="sq-AL" w:eastAsia="sq-AL"/>
        </w:rPr>
      </w:pPr>
      <w:r w:rsidRPr="009048CE">
        <w:rPr>
          <w:bCs/>
          <w:u w:val="single"/>
          <w:lang w:val="sq-AL" w:eastAsia="sq-AL"/>
        </w:rPr>
        <w:t>Për sektorin e Energjisë</w:t>
      </w:r>
      <w:r w:rsidRPr="009048CE">
        <w:rPr>
          <w:bCs/>
          <w:lang w:val="sq-AL" w:eastAsia="sq-AL"/>
        </w:rPr>
        <w:t xml:space="preserve"> janë </w:t>
      </w:r>
      <w:r w:rsidRPr="00BD6D02">
        <w:rPr>
          <w:bCs/>
          <w:lang w:val="sq-AL" w:eastAsia="sq-AL"/>
        </w:rPr>
        <w:t xml:space="preserve">planifikuar </w:t>
      </w:r>
      <w:r w:rsidR="0057579A" w:rsidRPr="00BD6D02">
        <w:rPr>
          <w:bCs/>
          <w:lang w:val="sq-AL" w:eastAsia="sq-AL"/>
        </w:rPr>
        <w:t>50.8</w:t>
      </w:r>
      <w:r w:rsidRPr="00BD6D02">
        <w:rPr>
          <w:bCs/>
          <w:lang w:val="sq-AL" w:eastAsia="sq-AL"/>
        </w:rPr>
        <w:t xml:space="preserve"> miliardë lekë në formë</w:t>
      </w:r>
      <w:r w:rsidR="009C674A">
        <w:rPr>
          <w:bCs/>
          <w:lang w:val="sq-AL" w:eastAsia="sq-AL"/>
        </w:rPr>
        <w:t>n</w:t>
      </w:r>
      <w:r w:rsidRPr="009048CE">
        <w:rPr>
          <w:bCs/>
          <w:lang w:val="sq-AL" w:eastAsia="sq-AL"/>
        </w:rPr>
        <w:t xml:space="preserve"> e garancisë shtetërore për çdo kredi të mundshme që ndërmarrjet publike të këtij sektori mund të marrin nga institucionet kredituese financiare. Kjo garanci ka formën e një detyrim</w:t>
      </w:r>
      <w:r w:rsidR="009C674A">
        <w:rPr>
          <w:bCs/>
          <w:lang w:val="sq-AL" w:eastAsia="sq-AL"/>
        </w:rPr>
        <w:t>i</w:t>
      </w:r>
      <w:r w:rsidRPr="009048CE">
        <w:rPr>
          <w:bCs/>
          <w:lang w:val="sq-AL" w:eastAsia="sq-AL"/>
        </w:rPr>
        <w:t xml:space="preserve"> kontigjent, për të parandaluar risqet eventuale të </w:t>
      </w:r>
      <w:r w:rsidR="007E7316">
        <w:rPr>
          <w:bCs/>
          <w:lang w:val="sq-AL" w:eastAsia="sq-AL"/>
        </w:rPr>
        <w:t xml:space="preserve">mospagesës së </w:t>
      </w:r>
      <w:r w:rsidRPr="009048CE">
        <w:rPr>
          <w:bCs/>
          <w:lang w:val="sq-AL" w:eastAsia="sq-AL"/>
        </w:rPr>
        <w:t>kredisë. Ndërkohë, përsa i përket probabilitetit të materializimit gjatë vitit 2018 të risqeve eventuale që lidhen me sektorin e Energjisë, ai kushtëzohet gjerësisht nga karakteristikat e situatës financiare të operatorëve të sektorit, dhe përkatësisht:</w:t>
      </w:r>
    </w:p>
    <w:p w:rsidR="009048CE" w:rsidRPr="009048CE" w:rsidRDefault="009048CE" w:rsidP="002C5B1B">
      <w:pPr>
        <w:numPr>
          <w:ilvl w:val="2"/>
          <w:numId w:val="33"/>
        </w:numPr>
        <w:spacing w:before="150" w:after="150" w:line="276" w:lineRule="auto"/>
        <w:ind w:left="1800" w:right="525" w:hanging="270"/>
        <w:contextualSpacing/>
        <w:jc w:val="both"/>
        <w:rPr>
          <w:i/>
          <w:lang w:val="sq-AL"/>
        </w:rPr>
      </w:pPr>
      <w:r w:rsidRPr="009048CE">
        <w:rPr>
          <w:i/>
          <w:lang w:val="sq-AL"/>
        </w:rPr>
        <w:t>Situata e pafavorshme financiare e OSHEE sh.a gjatë gjysmës së dytë të vitit 2017, kushtëzuar nga kushtet e vështira klimaterike të thatësirës së tejzgjatur, e cila mund të rishfaqet gjatë vitit 2018.</w:t>
      </w:r>
    </w:p>
    <w:p w:rsidR="009048CE" w:rsidRPr="009048CE" w:rsidRDefault="009048CE" w:rsidP="002C5B1B">
      <w:pPr>
        <w:numPr>
          <w:ilvl w:val="2"/>
          <w:numId w:val="33"/>
        </w:numPr>
        <w:spacing w:before="150" w:after="150" w:line="276" w:lineRule="auto"/>
        <w:ind w:left="1800" w:right="525" w:hanging="270"/>
        <w:contextualSpacing/>
        <w:jc w:val="both"/>
        <w:rPr>
          <w:i/>
          <w:lang w:val="sq-AL"/>
        </w:rPr>
      </w:pPr>
      <w:r w:rsidRPr="009048CE">
        <w:rPr>
          <w:i/>
          <w:lang w:val="sq-AL"/>
        </w:rPr>
        <w:t xml:space="preserve">Për rrjedhojë, pozicioni i pafavorshëm financiar i OSHEE sh.a ndikon edhe në situatën e kompanive të tjera të sektorit, sidomos të KESH sh.a, përmes pamundësisë së  arkëtimit të detyrimeve të kësaj të fundit nga OSHEE sh.a. </w:t>
      </w:r>
    </w:p>
    <w:p w:rsidR="00BD6D02" w:rsidRPr="00BD6D02" w:rsidRDefault="009048CE" w:rsidP="002C5B1B">
      <w:pPr>
        <w:numPr>
          <w:ilvl w:val="2"/>
          <w:numId w:val="33"/>
        </w:numPr>
        <w:spacing w:before="150" w:after="150" w:line="276" w:lineRule="auto"/>
        <w:ind w:left="1800" w:right="525" w:hanging="270"/>
        <w:contextualSpacing/>
        <w:jc w:val="both"/>
        <w:rPr>
          <w:i/>
          <w:lang w:val="sq-AL"/>
        </w:rPr>
      </w:pPr>
      <w:r w:rsidRPr="009048CE">
        <w:rPr>
          <w:i/>
          <w:lang w:val="sq-AL"/>
        </w:rPr>
        <w:t>Nga ana tjetër, edhe KESH sh.a, në vijim të një situate hidrike problematike të vitit 2017 që ka kushtëzuar rënien e prodhmit të energjisë në vend, nuk mund t’i sigurojë OSHEE sh.a sasinë e nevojshme të energjisë duke e detyruar këtë të fundit që t’i drejtohet importit të energjisë me çmimin e tregut, logjikisht më i shtrenjtë se sa ai i prodhimit vendas.</w:t>
      </w:r>
    </w:p>
    <w:p w:rsidR="009C674A" w:rsidRPr="002371BA" w:rsidRDefault="009048CE" w:rsidP="002371BA">
      <w:pPr>
        <w:spacing w:after="200" w:line="276" w:lineRule="auto"/>
        <w:ind w:left="1080"/>
        <w:jc w:val="both"/>
        <w:rPr>
          <w:lang w:val="sq-AL"/>
        </w:rPr>
      </w:pPr>
      <w:r w:rsidRPr="009048CE">
        <w:rPr>
          <w:lang w:val="sq-AL"/>
        </w:rPr>
        <w:t xml:space="preserve">Për pasojë, vunerabiliteti i sektorit të Energjisë nga situata metereologjike në vend, përbën faktorin kryesor të riskut. Në rastet e një situate ndjeshëm negative, ky vulnerabilitet efektiv shkakton një efekt domino në të gjithë operatorët e sektorit, me një impakt të ndjeshëm në </w:t>
      </w:r>
      <w:r w:rsidRPr="009048CE">
        <w:rPr>
          <w:lang w:val="sq-AL"/>
        </w:rPr>
        <w:lastRenderedPageBreak/>
        <w:t>situatën financiare të secilës prej kompanive, duke vënë kësisoj në pikëpyetje ecurinë e masave të ndërmarra në kuadër të reformës</w:t>
      </w:r>
      <w:r w:rsidR="002371BA">
        <w:rPr>
          <w:lang w:val="sq-AL"/>
        </w:rPr>
        <w:t xml:space="preserve"> për rimëkëmbjen energjitike.</w:t>
      </w:r>
    </w:p>
    <w:p w:rsidR="009048CE" w:rsidRPr="00BD6D02" w:rsidRDefault="009048CE" w:rsidP="002C5B1B">
      <w:pPr>
        <w:numPr>
          <w:ilvl w:val="0"/>
          <w:numId w:val="111"/>
        </w:numPr>
        <w:spacing w:before="150" w:after="150" w:line="276" w:lineRule="auto"/>
        <w:ind w:left="540" w:right="525"/>
        <w:contextualSpacing/>
        <w:jc w:val="both"/>
        <w:rPr>
          <w:b/>
          <w:bCs/>
          <w:lang w:val="sq-AL" w:eastAsia="sq-AL"/>
        </w:rPr>
      </w:pPr>
      <w:r w:rsidRPr="009048CE">
        <w:rPr>
          <w:b/>
          <w:bCs/>
          <w:lang w:val="sq-AL" w:eastAsia="sq-AL"/>
        </w:rPr>
        <w:t xml:space="preserve">Vendimet gjyqësore me karakter </w:t>
      </w:r>
      <w:r w:rsidRPr="00BD6D02">
        <w:rPr>
          <w:b/>
          <w:bCs/>
          <w:lang w:val="sq-AL" w:eastAsia="sq-AL"/>
        </w:rPr>
        <w:t>kombëtar dhe ndërkombëtar, dhe konkretisht:</w:t>
      </w:r>
    </w:p>
    <w:p w:rsidR="009048CE" w:rsidRPr="009048CE" w:rsidRDefault="009048CE" w:rsidP="002371BA">
      <w:pPr>
        <w:numPr>
          <w:ilvl w:val="1"/>
          <w:numId w:val="29"/>
        </w:numPr>
        <w:spacing w:after="120" w:line="276" w:lineRule="auto"/>
        <w:ind w:left="1080" w:right="518" w:hanging="446"/>
        <w:jc w:val="both"/>
        <w:rPr>
          <w:rFonts w:eastAsia="MS Mincho"/>
          <w:bCs/>
          <w:lang w:val="sq-AL" w:eastAsia="sq-AL"/>
        </w:rPr>
      </w:pPr>
      <w:r w:rsidRPr="009048CE">
        <w:rPr>
          <w:rFonts w:eastAsia="MS Mincho"/>
          <w:bCs/>
          <w:u w:val="single"/>
          <w:lang w:val="sq-AL" w:eastAsia="sq-AL"/>
        </w:rPr>
        <w:t xml:space="preserve">Vendimet gjyqësore administrative </w:t>
      </w:r>
      <w:r w:rsidRPr="009048CE">
        <w:rPr>
          <w:bCs/>
          <w:u w:val="single"/>
          <w:lang w:val="sq-AL" w:eastAsia="sq-AL"/>
        </w:rPr>
        <w:t>të formës së prerë</w:t>
      </w:r>
      <w:r w:rsidRPr="009048CE">
        <w:rPr>
          <w:bCs/>
          <w:lang w:val="sq-AL" w:eastAsia="sq-AL"/>
        </w:rPr>
        <w:t>, kryesisht për largime të padrejta nga puna të ish-punonjësve, proçese gjyqësore me karakter shpronësimi, etj, implikojnë kosto buxhetore të paparashikuara dhe shpeshherë në masë të konsiderueshme. Planifikimi në buxhetin e vitit 2018 i fondeve të nevojshme për shlyerjen e këtyre detyrimeve është realizuar brenda buxheteve respektive të institucioneve buxhetore përgjegjëse</w:t>
      </w:r>
      <w:r w:rsidRPr="009048CE">
        <w:rPr>
          <w:rFonts w:eastAsia="MS Mincho"/>
          <w:bCs/>
          <w:lang w:val="sq-AL" w:eastAsia="sq-AL"/>
        </w:rPr>
        <w:t xml:space="preserve">. Sidoqoftë, për t’i paraprirë një stoku eventual të akumulimit të tyre në kohë, kushtëzuar nga fatura financiare relativisht të larta, Ministria e Financave </w:t>
      </w:r>
      <w:r w:rsidR="0087762F">
        <w:rPr>
          <w:rFonts w:eastAsia="MS Mincho"/>
          <w:bCs/>
          <w:lang w:val="sq-AL" w:eastAsia="sq-AL"/>
        </w:rPr>
        <w:t xml:space="preserve">dhe Ekonomisë </w:t>
      </w:r>
      <w:r w:rsidRPr="009048CE">
        <w:rPr>
          <w:rFonts w:eastAsia="MS Mincho"/>
          <w:bCs/>
          <w:lang w:val="sq-AL" w:eastAsia="sq-AL"/>
        </w:rPr>
        <w:t>vazhdimisht i është apeluar aftësisë menaxhuese të vetë institucioneve buxhetore, përmes aplikimit për këtë qëllim të k</w:t>
      </w:r>
      <w:r w:rsidR="009C674A">
        <w:rPr>
          <w:rFonts w:eastAsia="MS Mincho"/>
          <w:bCs/>
          <w:lang w:val="sq-AL" w:eastAsia="sq-AL"/>
        </w:rPr>
        <w:t>ë</w:t>
      </w:r>
      <w:r w:rsidRPr="009048CE">
        <w:rPr>
          <w:rFonts w:eastAsia="MS Mincho"/>
          <w:bCs/>
          <w:lang w:val="sq-AL" w:eastAsia="sq-AL"/>
        </w:rPr>
        <w:t xml:space="preserve">steve apo instrumentave të tjerë zbutës në kohë të barrës së tyre buxhetore. </w:t>
      </w:r>
    </w:p>
    <w:p w:rsidR="009048CE" w:rsidRPr="009048CE" w:rsidRDefault="009048CE" w:rsidP="002371BA">
      <w:pPr>
        <w:numPr>
          <w:ilvl w:val="1"/>
          <w:numId w:val="29"/>
        </w:numPr>
        <w:spacing w:after="120" w:line="276" w:lineRule="auto"/>
        <w:ind w:left="1080" w:right="518" w:hanging="446"/>
        <w:jc w:val="both"/>
        <w:rPr>
          <w:rFonts w:eastAsia="MS Mincho"/>
          <w:bCs/>
          <w:lang w:val="sq-AL" w:eastAsia="sq-AL"/>
        </w:rPr>
      </w:pPr>
      <w:r w:rsidRPr="009048CE">
        <w:rPr>
          <w:rFonts w:eastAsia="MS Mincho"/>
          <w:bCs/>
          <w:u w:val="single"/>
          <w:lang w:val="sq-AL" w:eastAsia="sq-AL"/>
        </w:rPr>
        <w:t>Vendimet e formës së prerë të Gjykatës së të Drejtave të Njeriut në Strasburg (GJEDNJ)</w:t>
      </w:r>
      <w:r w:rsidRPr="009048CE">
        <w:rPr>
          <w:rFonts w:eastAsia="MS Mincho"/>
          <w:bCs/>
          <w:lang w:val="sq-AL" w:eastAsia="sq-AL"/>
        </w:rPr>
        <w:t>, ku historiku i çështjeve dhe vendimeve që i përkasin shtetasve shqiptarë ka treguar se ato janë kryesisht çështje dhe vendime që lidhen me kthimin dhe kompensimin e pronave tek ish-pro</w:t>
      </w:r>
      <w:r w:rsidR="009C674A">
        <w:rPr>
          <w:rFonts w:eastAsia="MS Mincho"/>
          <w:bCs/>
          <w:lang w:val="sq-AL" w:eastAsia="sq-AL"/>
        </w:rPr>
        <w:t xml:space="preserve">narët. Risqeve financiare që </w:t>
      </w:r>
      <w:r w:rsidRPr="009048CE">
        <w:rPr>
          <w:rFonts w:eastAsia="MS Mincho"/>
          <w:bCs/>
          <w:lang w:val="sq-AL" w:eastAsia="sq-AL"/>
        </w:rPr>
        <w:t xml:space="preserve">burojnë nga vendimet e GJEDNJ-së, sipas Avokaturës së Shtetit që është edhe institucioni përgjegjës, kanë qenë dhe mbeten të karakterizuara nga një aftësi e dobët parashikuese, përsa kohë që kjo Gjykatë nuk funksionon me një kalendar të përcaktuar për komunikimin e çështjeve dhe nxjerrjen e vendimeve. Për rrjedhojë, me qëllim minimizimin e riskut buxhetor që ato mbartin e duke konsideruar paparashikueshmërinë e natyrës së tyre, edhe në buxhetin e vitit 2018 kjo kosto financiare eventuale do të përballohet në kuadër të Fondit Rezervë të Buxhetit të Shtetit për vitin 2018. </w:t>
      </w:r>
    </w:p>
    <w:p w:rsidR="009048CE" w:rsidRPr="002371BA" w:rsidRDefault="009048CE" w:rsidP="003C5B4B">
      <w:pPr>
        <w:numPr>
          <w:ilvl w:val="1"/>
          <w:numId w:val="29"/>
        </w:numPr>
        <w:spacing w:after="120" w:line="276" w:lineRule="auto"/>
        <w:ind w:left="1080" w:right="518" w:hanging="446"/>
        <w:jc w:val="both"/>
        <w:rPr>
          <w:rFonts w:eastAsia="MS Mincho"/>
          <w:bCs/>
          <w:lang w:val="sq-AL" w:eastAsia="sq-AL"/>
        </w:rPr>
      </w:pPr>
      <w:r w:rsidRPr="009048CE">
        <w:rPr>
          <w:rFonts w:eastAsia="MS Mincho"/>
          <w:bCs/>
          <w:u w:val="single"/>
          <w:lang w:val="sq-AL" w:eastAsia="sq-AL"/>
        </w:rPr>
        <w:t>Vendimet e formës së prerë të Gjykatës Ndërkombëtare të Arbitrazhit</w:t>
      </w:r>
      <w:r w:rsidRPr="009048CE">
        <w:rPr>
          <w:rFonts w:eastAsia="MS Mincho"/>
          <w:bCs/>
          <w:lang w:val="sq-AL" w:eastAsia="sq-AL"/>
        </w:rPr>
        <w:t xml:space="preserve">, që kanë të bëjnë me zgjidhjen e konflikteve në marrëveshjevet dy apo shumëpalëshe, në ngarkim të shtetit shqiptar, përbëjnë gjithashtu një risk real për buxhetin e shtetit. Në pjesën më të madhe, efektet financiare që rrjedhin nga zbatimi i këtyre vendimeve janë përballuar nga buxheti i vëtë institucioneve buxhetore (kryesisht ministri linje) që kanë përfaqësuar Qeverinë shqiptare, por nuk kanë munguar as rastet kur është nevojitur përdorimi i Fondit Rezervë të Buxhetit të Shtetit për këtë qëllim. Kjo për dy arsye kryesore, vlera e konsiderueshme monetare që i karakterizon (shoqëruar shpesh me një kamatvonesë </w:t>
      </w:r>
      <w:r w:rsidR="009C674A">
        <w:rPr>
          <w:rFonts w:eastAsia="MS Mincho"/>
          <w:bCs/>
          <w:lang w:val="sq-AL" w:eastAsia="sq-AL"/>
        </w:rPr>
        <w:t>të lartë</w:t>
      </w:r>
      <w:r w:rsidRPr="009048CE">
        <w:rPr>
          <w:rFonts w:eastAsia="MS Mincho"/>
          <w:bCs/>
          <w:lang w:val="sq-AL" w:eastAsia="sq-AL"/>
        </w:rPr>
        <w:t>), si edhe karakteri i paparashikueshëm në kohë i materializimit të  tyre, që në të dy rastet jo rrallëherë ka vënë në vështirësi serioze institucionet buxhetore respektive.</w:t>
      </w:r>
    </w:p>
    <w:p w:rsidR="009048CE" w:rsidRPr="009048CE" w:rsidRDefault="009048CE" w:rsidP="003C5B4B">
      <w:pPr>
        <w:spacing w:before="240" w:line="276" w:lineRule="auto"/>
        <w:ind w:left="360"/>
        <w:jc w:val="both"/>
        <w:rPr>
          <w:b/>
          <w:lang w:val="sq-AL"/>
        </w:rPr>
      </w:pPr>
      <w:r w:rsidRPr="009048CE">
        <w:rPr>
          <w:b/>
          <w:lang w:val="sq-AL"/>
        </w:rPr>
        <w:t>Deklarata e Risqeve Fiskale (DRF) – Instrument për parashikimin dhe parandalimin e tyre:</w:t>
      </w:r>
    </w:p>
    <w:p w:rsidR="009048CE" w:rsidRPr="009048CE" w:rsidRDefault="009C674A" w:rsidP="003C5B4B">
      <w:pPr>
        <w:spacing w:before="240" w:line="276" w:lineRule="auto"/>
        <w:ind w:left="360"/>
        <w:jc w:val="both"/>
        <w:rPr>
          <w:lang w:val="sq-AL"/>
        </w:rPr>
      </w:pPr>
      <w:r>
        <w:rPr>
          <w:lang w:val="sq-AL"/>
        </w:rPr>
        <w:t>M</w:t>
      </w:r>
      <w:r w:rsidR="009048CE" w:rsidRPr="009048CE">
        <w:rPr>
          <w:lang w:val="sq-AL"/>
        </w:rPr>
        <w:t>e qëllim ndjekjen intensive të performancës së zbatimit të buxhetit të shtetit, duke monitoruar dhe raportuar risqet që shoqërojnë zbatimin e tij, në fund të vitit 2017 do të prezantohet dhe publikohet “Deklarata e Risqeve Fiskale</w:t>
      </w:r>
      <w:r>
        <w:rPr>
          <w:lang w:val="sq-AL"/>
        </w:rPr>
        <w:t xml:space="preserve"> (DRF)</w:t>
      </w:r>
      <w:r w:rsidR="009048CE" w:rsidRPr="009048CE">
        <w:rPr>
          <w:lang w:val="sq-AL"/>
        </w:rPr>
        <w:t>”. Ky do të jetë një dokument vjetor i Ministrisë së Financave</w:t>
      </w:r>
      <w:r>
        <w:rPr>
          <w:lang w:val="sq-AL"/>
        </w:rPr>
        <w:t xml:space="preserve"> dhe Ekonomisë</w:t>
      </w:r>
      <w:r w:rsidR="009048CE" w:rsidRPr="009048CE">
        <w:rPr>
          <w:lang w:val="sq-AL"/>
        </w:rPr>
        <w:t xml:space="preserve"> i cili ka për qëllim që, në bazë të analizave të thelluara</w:t>
      </w:r>
      <w:r>
        <w:rPr>
          <w:lang w:val="sq-AL"/>
        </w:rPr>
        <w:t>,</w:t>
      </w:r>
      <w:r w:rsidR="009048CE" w:rsidRPr="009048CE">
        <w:rPr>
          <w:lang w:val="sq-AL"/>
        </w:rPr>
        <w:t xml:space="preserve"> </w:t>
      </w:r>
      <w:r>
        <w:rPr>
          <w:lang w:val="sq-AL"/>
        </w:rPr>
        <w:t>të zbusë</w:t>
      </w:r>
      <w:r w:rsidR="009048CE" w:rsidRPr="009048CE">
        <w:rPr>
          <w:lang w:val="sq-AL"/>
        </w:rPr>
        <w:t xml:space="preserve"> dhe/apo parandalo</w:t>
      </w:r>
      <w:r>
        <w:rPr>
          <w:lang w:val="sq-AL"/>
        </w:rPr>
        <w:t>jë</w:t>
      </w:r>
      <w:r w:rsidR="009048CE" w:rsidRPr="009048CE">
        <w:rPr>
          <w:lang w:val="sq-AL"/>
        </w:rPr>
        <w:t xml:space="preserve"> risqet fiskale, pasuar nga një vendimarrje koherente. Fokusi i DRF është të sigurojë që të gjitha risqet kryesore fiskale janë identifikuar, vlerësuar dhe raportuar në mënyrë sistematike dhe gjithëpërfshirëse, gjë që do të realizohet përmes mbledhjes, përpunimit dhe raportimit të të dhënave fiskale të besueshme. Në vija të përgjithshme, risqet të cilat do të identifikohen dhe raportohen në këtë deklaratë janë të natyrës:</w:t>
      </w:r>
    </w:p>
    <w:p w:rsidR="009048CE" w:rsidRPr="009048CE" w:rsidRDefault="009048CE" w:rsidP="002371BA">
      <w:pPr>
        <w:numPr>
          <w:ilvl w:val="1"/>
          <w:numId w:val="29"/>
        </w:numPr>
        <w:spacing w:after="120" w:line="276" w:lineRule="auto"/>
        <w:ind w:left="907" w:right="29"/>
        <w:jc w:val="both"/>
        <w:rPr>
          <w:rFonts w:eastAsia="MS Mincho"/>
          <w:bCs/>
          <w:lang w:val="sq-AL" w:eastAsia="sq-AL"/>
        </w:rPr>
      </w:pPr>
      <w:r w:rsidRPr="009048CE">
        <w:rPr>
          <w:rFonts w:eastAsia="MS Mincho"/>
          <w:bCs/>
          <w:lang w:val="sq-AL" w:eastAsia="sq-AL"/>
        </w:rPr>
        <w:lastRenderedPageBreak/>
        <w:t>“Explicite”, apo risqet të cilat kanë lidhje me supozimet dhe zhvillimet makroekonomike, të ardhurat e qeverisë, shpenzimet dhe menaxhimi i borxhit, etj.</w:t>
      </w:r>
    </w:p>
    <w:p w:rsidR="009048CE" w:rsidRDefault="009048CE" w:rsidP="002371BA">
      <w:pPr>
        <w:numPr>
          <w:ilvl w:val="1"/>
          <w:numId w:val="29"/>
        </w:numPr>
        <w:spacing w:after="120" w:line="276" w:lineRule="auto"/>
        <w:ind w:left="907" w:right="29"/>
        <w:jc w:val="both"/>
        <w:rPr>
          <w:rFonts w:eastAsia="MS Mincho"/>
          <w:bCs/>
          <w:lang w:val="sq-AL" w:eastAsia="sq-AL"/>
        </w:rPr>
      </w:pPr>
      <w:r w:rsidRPr="009048CE">
        <w:rPr>
          <w:rFonts w:eastAsia="MS Mincho"/>
          <w:bCs/>
          <w:lang w:val="sq-AL" w:eastAsia="sq-AL"/>
        </w:rPr>
        <w:t>“Implicite”, apo detyrimet kontingjente, PPP-të, ato të vetëqeverisjes vendore, ndërmarrjet publike me kapital shtetëror, risqe të tjera si vendime gjyqësore, fatkeqësi natyrore dhe sektori financiar apo risqet afatgjata.</w:t>
      </w:r>
    </w:p>
    <w:p w:rsidR="00BD6D02" w:rsidRPr="00BD6D02" w:rsidRDefault="00BD6D02" w:rsidP="00BD6D02">
      <w:pPr>
        <w:spacing w:before="150" w:after="150" w:line="276" w:lineRule="auto"/>
        <w:ind w:left="1800" w:right="35"/>
        <w:contextualSpacing/>
        <w:jc w:val="both"/>
        <w:rPr>
          <w:rFonts w:eastAsia="MS Mincho"/>
          <w:bCs/>
          <w:lang w:val="sq-AL" w:eastAsia="sq-AL"/>
        </w:rPr>
      </w:pPr>
    </w:p>
    <w:p w:rsidR="00E51CE6" w:rsidRPr="00E51CE6" w:rsidRDefault="00E51CE6" w:rsidP="002C5B1B">
      <w:pPr>
        <w:pStyle w:val="ListParagraph"/>
        <w:keepNext/>
        <w:numPr>
          <w:ilvl w:val="0"/>
          <w:numId w:val="8"/>
        </w:numPr>
        <w:tabs>
          <w:tab w:val="center" w:pos="709"/>
        </w:tabs>
        <w:spacing w:before="240" w:line="276" w:lineRule="auto"/>
        <w:ind w:right="-1"/>
        <w:jc w:val="both"/>
        <w:outlineLvl w:val="0"/>
        <w:rPr>
          <w:rFonts w:eastAsia="SimSun"/>
          <w:b/>
          <w:vanish/>
          <w:sz w:val="26"/>
          <w:szCs w:val="26"/>
          <w:lang w:val="sq-AL"/>
        </w:rPr>
      </w:pPr>
      <w:bookmarkStart w:id="79" w:name="_Toc496009630"/>
      <w:bookmarkStart w:id="80" w:name="_Toc496009860"/>
      <w:bookmarkStart w:id="81" w:name="_Toc496010041"/>
      <w:bookmarkStart w:id="82" w:name="_Toc496010197"/>
      <w:bookmarkStart w:id="83" w:name="_Toc496010365"/>
      <w:bookmarkStart w:id="84" w:name="_Toc496010446"/>
      <w:bookmarkStart w:id="85" w:name="_Toc496036972"/>
      <w:bookmarkStart w:id="86" w:name="_Toc496044557"/>
      <w:bookmarkStart w:id="87" w:name="_Toc496044693"/>
      <w:bookmarkStart w:id="88" w:name="_Toc496044728"/>
      <w:bookmarkStart w:id="89" w:name="_Toc496046065"/>
      <w:bookmarkStart w:id="90" w:name="_Toc496202969"/>
      <w:bookmarkStart w:id="91" w:name="_Toc496209131"/>
      <w:bookmarkStart w:id="92" w:name="_Toc466295701"/>
      <w:bookmarkStart w:id="93" w:name="_Toc496520393"/>
      <w:bookmarkEnd w:id="79"/>
      <w:bookmarkEnd w:id="80"/>
      <w:bookmarkEnd w:id="81"/>
      <w:bookmarkEnd w:id="82"/>
      <w:bookmarkEnd w:id="83"/>
      <w:bookmarkEnd w:id="84"/>
      <w:bookmarkEnd w:id="85"/>
      <w:bookmarkEnd w:id="86"/>
      <w:bookmarkEnd w:id="87"/>
      <w:bookmarkEnd w:id="88"/>
      <w:bookmarkEnd w:id="89"/>
      <w:bookmarkEnd w:id="90"/>
      <w:bookmarkEnd w:id="91"/>
      <w:bookmarkEnd w:id="93"/>
    </w:p>
    <w:p w:rsidR="009048CE" w:rsidRPr="009048CE" w:rsidRDefault="00E51CE6" w:rsidP="00E51CE6">
      <w:pPr>
        <w:pStyle w:val="Heading1"/>
        <w:tabs>
          <w:tab w:val="clear" w:pos="5954"/>
          <w:tab w:val="center" w:pos="709"/>
        </w:tabs>
        <w:spacing w:before="240" w:line="276" w:lineRule="auto"/>
        <w:jc w:val="both"/>
        <w:rPr>
          <w:caps w:val="0"/>
          <w:sz w:val="26"/>
          <w:szCs w:val="26"/>
          <w:lang w:val="sq-AL"/>
        </w:rPr>
      </w:pPr>
      <w:bookmarkStart w:id="94" w:name="_Toc496520394"/>
      <w:r>
        <w:rPr>
          <w:caps w:val="0"/>
          <w:sz w:val="26"/>
          <w:szCs w:val="26"/>
          <w:lang w:val="sq-AL"/>
        </w:rPr>
        <w:t xml:space="preserve">7. </w:t>
      </w:r>
      <w:r w:rsidR="009048CE" w:rsidRPr="009048CE">
        <w:rPr>
          <w:caps w:val="0"/>
          <w:sz w:val="26"/>
          <w:szCs w:val="26"/>
          <w:lang w:val="sq-AL"/>
        </w:rPr>
        <w:t>MONITORIMI I DETYRIMEVE TE REJA</w:t>
      </w:r>
      <w:bookmarkEnd w:id="92"/>
      <w:r w:rsidR="009048CE" w:rsidRPr="009048CE">
        <w:rPr>
          <w:caps w:val="0"/>
          <w:sz w:val="26"/>
          <w:szCs w:val="26"/>
          <w:lang w:val="sq-AL"/>
        </w:rPr>
        <w:t xml:space="preserve"> TË PRAPAMBETURA</w:t>
      </w:r>
      <w:bookmarkEnd w:id="94"/>
    </w:p>
    <w:p w:rsidR="009048CE" w:rsidRPr="009048CE" w:rsidRDefault="009048CE" w:rsidP="003C5B4B">
      <w:pPr>
        <w:spacing w:before="240" w:line="276" w:lineRule="auto"/>
        <w:ind w:left="360"/>
        <w:jc w:val="both"/>
        <w:rPr>
          <w:lang w:val="sq-AL"/>
        </w:rPr>
      </w:pPr>
      <w:r w:rsidRPr="009048CE">
        <w:rPr>
          <w:lang w:val="sq-AL"/>
        </w:rPr>
        <w:t>Një nga çështjet problematike në sistemin tonë buxhetor, u vërtetua se ishte akumulimi i detyrimeve të prapambetura të krijuara përpara vitit 2014. Qeveria jo vetëm e adresoi me prioritet çështjen e shlyerjes së tyre, por me angazhimin maksimal si të Ministrisë së Financave</w:t>
      </w:r>
      <w:r w:rsidR="009C674A">
        <w:rPr>
          <w:lang w:val="sq-AL"/>
        </w:rPr>
        <w:t xml:space="preserve"> dhe Ekonomisë</w:t>
      </w:r>
      <w:r w:rsidRPr="009048CE">
        <w:rPr>
          <w:lang w:val="sq-AL"/>
        </w:rPr>
        <w:t xml:space="preserve">, ashtu edhe të institucioneve buxhetore të përfshira në këtë proces, u arrrit që brenda dy viteve (2014-2015) të shlyen të gjitha detyrimet e prapambetura të raportuara, në vlerën 67 miliardë lekë. </w:t>
      </w:r>
    </w:p>
    <w:p w:rsidR="009048CE" w:rsidRPr="009048CE" w:rsidRDefault="009048CE" w:rsidP="003C5B4B">
      <w:pPr>
        <w:spacing w:line="276" w:lineRule="auto"/>
        <w:ind w:left="360"/>
        <w:jc w:val="both"/>
        <w:rPr>
          <w:lang w:val="sq-AL"/>
        </w:rPr>
      </w:pPr>
      <w:r w:rsidRPr="009048CE">
        <w:rPr>
          <w:lang w:val="sq-AL"/>
        </w:rPr>
        <w:t>Ndërkohë që, përsa i përket proçesit follo</w:t>
      </w:r>
      <w:r w:rsidR="009C674A">
        <w:rPr>
          <w:lang w:val="sq-AL"/>
        </w:rPr>
        <w:t>w</w:t>
      </w:r>
      <w:r w:rsidRPr="009048CE">
        <w:rPr>
          <w:lang w:val="sq-AL"/>
        </w:rPr>
        <w:t>-up të monitorimit dhe raportimit të detyrimeve të reja të prapambetura (ne</w:t>
      </w:r>
      <w:r w:rsidR="009C674A">
        <w:rPr>
          <w:lang w:val="sq-AL"/>
        </w:rPr>
        <w:t>w</w:t>
      </w:r>
      <w:r w:rsidRPr="009048CE">
        <w:rPr>
          <w:lang w:val="sq-AL"/>
        </w:rPr>
        <w:t xml:space="preserve"> arrears), vlen për t’u theksuar këtu se tashmë ky është një proçes i konsoliduar në kohë dhe cilësi. Duke nisur nga janari 2016 është kryer një monitorim periodik intensiv i të gjitha detyrimeve të pashlyera të institucioneve buxhetore, mbi bazën e një skeduli katërmujor. Ndërkohë, bazuar edhe në rekomandimin specifik të Fondit Monetar Ndërkombëtar, duke nisur nga shtatori 2017 ky monitorim dhe raportim do të kryhet mbi bazë tremujore, gjë që synon intensifikimin e rolit mbikqyrës të Ministrisë së Financave dhe Ekonomisë në këtë drejtim. Kjo, me qëllim përmbushjen e angazhimit të Qeverisë për zerimin e të gjitha detyrimeve të prapambetura deri në vitin 2020, </w:t>
      </w:r>
    </w:p>
    <w:p w:rsidR="009048CE" w:rsidRPr="008F324F" w:rsidRDefault="009048CE" w:rsidP="003C5B4B">
      <w:pPr>
        <w:spacing w:line="276" w:lineRule="auto"/>
        <w:ind w:left="360"/>
        <w:jc w:val="both"/>
        <w:rPr>
          <w:lang w:val="sq-AL"/>
        </w:rPr>
      </w:pPr>
      <w:r w:rsidRPr="009048CE">
        <w:rPr>
          <w:lang w:val="sq-AL"/>
        </w:rPr>
        <w:t>Me këtë fokus, gjatë vitit 2016</w:t>
      </w:r>
      <w:r w:rsidR="009C674A">
        <w:rPr>
          <w:lang w:val="sq-AL"/>
        </w:rPr>
        <w:t>,</w:t>
      </w:r>
      <w:r w:rsidRPr="009048CE">
        <w:rPr>
          <w:lang w:val="sq-AL"/>
        </w:rPr>
        <w:t xml:space="preserve"> Ministria e Financave</w:t>
      </w:r>
      <w:r w:rsidR="009C674A">
        <w:rPr>
          <w:lang w:val="sq-AL"/>
        </w:rPr>
        <w:t xml:space="preserve"> dhe Ekonomisë</w:t>
      </w:r>
      <w:r w:rsidRPr="009048CE">
        <w:rPr>
          <w:lang w:val="sq-AL"/>
        </w:rPr>
        <w:t xml:space="preserve"> filloi t’u sigurojë institucioneve të drejtën e përdorimit direkt të Sistemit Informatik Financiar të Qeverisë</w:t>
      </w:r>
      <w:r w:rsidR="00BF27DE">
        <w:rPr>
          <w:lang w:val="sq-AL"/>
        </w:rPr>
        <w:t xml:space="preserve"> (SIFQ)</w:t>
      </w:r>
      <w:r w:rsidRPr="009048CE">
        <w:rPr>
          <w:lang w:val="sq-AL"/>
        </w:rPr>
        <w:t>, duke bërë të mundur regjistrimin e angazhimeve/kontratave shumëvjecare në përputhje me tavanet trevjeçare të miratuara. Aktualis</w:t>
      </w:r>
      <w:r w:rsidR="00BF27DE">
        <w:rPr>
          <w:lang w:val="sq-AL"/>
        </w:rPr>
        <w:t>ht operojnë në sistem 15 insti</w:t>
      </w:r>
      <w:r w:rsidRPr="009048CE">
        <w:rPr>
          <w:lang w:val="sq-AL"/>
        </w:rPr>
        <w:t xml:space="preserve">tucione buxhetore (të cilat përbëjnë rreth 84% të totalit të buxhetit të shtetit). Duke konsideruar ecurinë e deritanishme të ritmeve të dizenjimit të sistemit </w:t>
      </w:r>
      <w:r w:rsidR="00BF27DE">
        <w:rPr>
          <w:lang w:val="sq-AL"/>
        </w:rPr>
        <w:t>të ri të Programimit Buxhetor Afatmesëm (AFMIS)</w:t>
      </w:r>
      <w:r w:rsidRPr="009048CE">
        <w:rPr>
          <w:lang w:val="sq-AL"/>
        </w:rPr>
        <w:t xml:space="preserve">, i cili parashikohet të fillojë operimin në vitin 2019, synohet që në vitin 2020 rreth 100 </w:t>
      </w:r>
      <w:r w:rsidR="00BF27DE">
        <w:rPr>
          <w:lang w:val="sq-AL"/>
        </w:rPr>
        <w:t>i</w:t>
      </w:r>
      <w:r w:rsidRPr="009048CE">
        <w:rPr>
          <w:lang w:val="sq-AL"/>
        </w:rPr>
        <w:t xml:space="preserve">nstitucione buxhetore të tjera të keë mundësinë e veprimeve online në SIFQ. Mbi këtë bazë, respektimi i angazhimeve buxhetore e financiare të institucioneve do të monitorohet dhe kontrollohet tërësisht nëpërmjet </w:t>
      </w:r>
      <w:r w:rsidR="00BF27DE">
        <w:rPr>
          <w:lang w:val="sq-AL"/>
        </w:rPr>
        <w:t>SIFQ</w:t>
      </w:r>
      <w:r w:rsidRPr="009048CE">
        <w:rPr>
          <w:lang w:val="sq-AL"/>
        </w:rPr>
        <w:t>.</w:t>
      </w:r>
      <w:r w:rsidRPr="008F324F">
        <w:rPr>
          <w:lang w:val="sq-AL"/>
        </w:rPr>
        <w:t xml:space="preserve"> </w:t>
      </w:r>
    </w:p>
    <w:p w:rsidR="006B22C2" w:rsidRDefault="006B22C2" w:rsidP="003C5B4B">
      <w:pPr>
        <w:spacing w:line="276" w:lineRule="auto"/>
        <w:ind w:left="360"/>
        <w:jc w:val="both"/>
        <w:rPr>
          <w:lang w:val="sq-AL"/>
        </w:rPr>
      </w:pPr>
    </w:p>
    <w:p w:rsidR="006B22C2" w:rsidRPr="006B22C2" w:rsidRDefault="006B22C2" w:rsidP="003C5B4B">
      <w:pPr>
        <w:spacing w:line="276" w:lineRule="auto"/>
        <w:ind w:left="360"/>
        <w:jc w:val="both"/>
        <w:rPr>
          <w:lang w:val="sq-AL"/>
        </w:rPr>
      </w:pPr>
      <w:r w:rsidRPr="006B22C2">
        <w:rPr>
          <w:lang w:val="sq-AL"/>
        </w:rPr>
        <w:t>Në këtë kontekst, Ministri</w:t>
      </w:r>
      <w:r w:rsidR="00BF27DE">
        <w:rPr>
          <w:lang w:val="sq-AL"/>
        </w:rPr>
        <w:t>a</w:t>
      </w:r>
      <w:r w:rsidRPr="006B22C2">
        <w:rPr>
          <w:lang w:val="sq-AL"/>
        </w:rPr>
        <w:t xml:space="preserve"> e Financave dhe Ekonomisë i ka sugjeruar të gjitha njësive të auditimit të brendshëm në sektorin publik që në “Planin strategjik dhe vjetor të veprimtarisë audituese për vitet 2018 – 2020” të përfshijnë angazhime auditimi për analizimin dhe vlerësimin e situatës së detyrimeve të prapambetura të njësive publike. Detyrimet e prapambetura janë përcaktuar si fushë me risk të lartë që duhet të trajtohet me përparësi nga auditimi i brendshëm i njësive publike për të paraqituar gjendjen aktuale dhe për të dhënë rekomandime sa më të vlefshme shlyerjen e tyre në afate të përcaktuara.</w:t>
      </w:r>
    </w:p>
    <w:p w:rsidR="006B22C2" w:rsidRPr="00D94792" w:rsidRDefault="006B22C2" w:rsidP="003C5B4B">
      <w:pPr>
        <w:spacing w:line="276" w:lineRule="auto"/>
        <w:ind w:left="360"/>
        <w:jc w:val="both"/>
        <w:rPr>
          <w:lang w:val="sq-AL"/>
        </w:rPr>
      </w:pPr>
    </w:p>
    <w:p w:rsidR="00B0121D" w:rsidRPr="00D94792" w:rsidRDefault="00B0121D" w:rsidP="003C5B4B">
      <w:pPr>
        <w:spacing w:line="276" w:lineRule="auto"/>
        <w:rPr>
          <w:lang w:val="sq-AL"/>
        </w:rPr>
      </w:pPr>
    </w:p>
    <w:p w:rsidR="00B0121D" w:rsidRPr="00045EA6" w:rsidRDefault="00B0121D" w:rsidP="002C5B1B">
      <w:pPr>
        <w:pStyle w:val="Heading1"/>
        <w:numPr>
          <w:ilvl w:val="1"/>
          <w:numId w:val="8"/>
        </w:numPr>
        <w:tabs>
          <w:tab w:val="clear" w:pos="5954"/>
          <w:tab w:val="center" w:pos="709"/>
        </w:tabs>
        <w:spacing w:line="276" w:lineRule="auto"/>
        <w:jc w:val="both"/>
        <w:rPr>
          <w:caps w:val="0"/>
          <w:sz w:val="26"/>
          <w:szCs w:val="26"/>
          <w:lang w:val="sq-AL"/>
        </w:rPr>
      </w:pPr>
      <w:bookmarkStart w:id="95" w:name="_Toc495672777"/>
      <w:bookmarkStart w:id="96" w:name="_Toc496520395"/>
      <w:r w:rsidRPr="00045EA6">
        <w:rPr>
          <w:caps w:val="0"/>
          <w:sz w:val="26"/>
          <w:szCs w:val="26"/>
          <w:lang w:val="sq-AL"/>
        </w:rPr>
        <w:t>MOSREALIZIMI NË KOHË I INVESTIMEVE PUBLIKE</w:t>
      </w:r>
      <w:bookmarkEnd w:id="95"/>
      <w:bookmarkEnd w:id="96"/>
      <w:r w:rsidRPr="00045EA6">
        <w:rPr>
          <w:caps w:val="0"/>
          <w:sz w:val="26"/>
          <w:szCs w:val="26"/>
          <w:lang w:val="sq-AL"/>
        </w:rPr>
        <w:t xml:space="preserve"> </w:t>
      </w:r>
    </w:p>
    <w:p w:rsidR="00B0121D" w:rsidRPr="00D94792" w:rsidRDefault="00B0121D" w:rsidP="003C5B4B">
      <w:pPr>
        <w:spacing w:line="276" w:lineRule="auto"/>
        <w:rPr>
          <w:lang w:val="sq-AL"/>
        </w:rPr>
      </w:pPr>
    </w:p>
    <w:p w:rsidR="00045EA6" w:rsidRDefault="00045EA6" w:rsidP="002371BA">
      <w:pPr>
        <w:spacing w:line="276" w:lineRule="auto"/>
        <w:jc w:val="both"/>
        <w:rPr>
          <w:rFonts w:eastAsiaTheme="minorHAnsi"/>
          <w:sz w:val="22"/>
          <w:szCs w:val="22"/>
          <w:lang w:val="sq-AL"/>
        </w:rPr>
      </w:pPr>
      <w:r>
        <w:rPr>
          <w:lang w:val="sq-AL"/>
        </w:rPr>
        <w:t xml:space="preserve">Qeveria ka marrë një sërë masash për të siguruar realizimin në kohë të investimeve, nëpërmjet monitorimit rigoroz të tyre dhe rialokimeve të pjesshme brenda programeve, nga projektet me ecuri më të ngadaltë në ato projekte të cilat kanë avancuar përtej fondeve të alokuara. </w:t>
      </w:r>
    </w:p>
    <w:p w:rsidR="00045EA6" w:rsidRDefault="00045EA6" w:rsidP="00045EA6">
      <w:pPr>
        <w:spacing w:line="276" w:lineRule="auto"/>
        <w:jc w:val="both"/>
        <w:rPr>
          <w:lang w:val="sq-AL"/>
        </w:rPr>
      </w:pPr>
    </w:p>
    <w:p w:rsidR="00045EA6" w:rsidRDefault="00045EA6" w:rsidP="002371BA">
      <w:pPr>
        <w:spacing w:line="276" w:lineRule="auto"/>
        <w:jc w:val="both"/>
        <w:rPr>
          <w:lang w:val="sq-AL"/>
        </w:rPr>
      </w:pPr>
      <w:r>
        <w:rPr>
          <w:lang w:val="sq-AL"/>
        </w:rPr>
        <w:lastRenderedPageBreak/>
        <w:t>N</w:t>
      </w:r>
      <w:r w:rsidR="00BD6D02">
        <w:rPr>
          <w:lang w:val="sq-AL"/>
        </w:rPr>
        <w:t>ë</w:t>
      </w:r>
      <w:r>
        <w:rPr>
          <w:lang w:val="sq-AL"/>
        </w:rPr>
        <w:t xml:space="preserve"> k</w:t>
      </w:r>
      <w:r w:rsidR="00BD6D02">
        <w:rPr>
          <w:lang w:val="sq-AL"/>
        </w:rPr>
        <w:t>ë</w:t>
      </w:r>
      <w:r>
        <w:rPr>
          <w:lang w:val="sq-AL"/>
        </w:rPr>
        <w:t>t</w:t>
      </w:r>
      <w:r w:rsidR="00BD6D02">
        <w:rPr>
          <w:lang w:val="sq-AL"/>
        </w:rPr>
        <w:t xml:space="preserve">ë </w:t>
      </w:r>
      <w:r>
        <w:rPr>
          <w:lang w:val="sq-AL"/>
        </w:rPr>
        <w:t xml:space="preserve">kontekst, me Aktin Normativ </w:t>
      </w:r>
      <w:r w:rsidRPr="00045EA6">
        <w:rPr>
          <w:lang w:val="sq-AL"/>
        </w:rPr>
        <w:t>Nr.2 datë 16.08.2017</w:t>
      </w:r>
      <w:r>
        <w:rPr>
          <w:lang w:val="sq-AL"/>
        </w:rPr>
        <w:t xml:space="preserve"> janë bërë edhe rialokimet ndërmjet programeve apo edhe institucioneve në përputhje me ecurinë e zbatimit të projekteve, si dhe përditësime të tavaneve të financimit të investimeve sipas burimit te financimit, konkretisht përmes uljes së tavanit të financimit të huaj, ku realizimi i projekteve ka patur një performancë relativisht më të dobët dhe rritjes së tavanit të financimit të brendshëm. Kjo bazuar në ecurinë më të mirë që ka patur realizimi i projekteve me financim të brendshëm në raport me projektet me financim të huaj gjatë 6-mujorit të parë 2017. </w:t>
      </w:r>
    </w:p>
    <w:p w:rsidR="00045EA6" w:rsidRDefault="00045EA6" w:rsidP="00045EA6">
      <w:pPr>
        <w:spacing w:line="276" w:lineRule="auto"/>
        <w:jc w:val="both"/>
        <w:rPr>
          <w:lang w:val="sq-AL"/>
        </w:rPr>
      </w:pPr>
    </w:p>
    <w:p w:rsidR="00045EA6" w:rsidRDefault="00045EA6" w:rsidP="002371BA">
      <w:pPr>
        <w:spacing w:line="276" w:lineRule="auto"/>
        <w:jc w:val="both"/>
        <w:rPr>
          <w:lang w:val="sq-AL"/>
        </w:rPr>
      </w:pPr>
      <w:r>
        <w:rPr>
          <w:lang w:val="sq-AL"/>
        </w:rPr>
        <w:t xml:space="preserve">Në referim të treguesve të monitorimit lidhur me realizimin e investimeve për muajin shtator 2017, realizimi i investimeve paraqitet më i lartë në raport me realizimin e investimeve për të njëjtën periudhë të vitit 2016. </w:t>
      </w:r>
    </w:p>
    <w:p w:rsidR="00045EA6" w:rsidRDefault="00045EA6" w:rsidP="00045EA6">
      <w:pPr>
        <w:spacing w:line="276" w:lineRule="auto"/>
        <w:ind w:left="360"/>
        <w:jc w:val="both"/>
        <w:rPr>
          <w:lang w:val="sq-AL"/>
        </w:rPr>
      </w:pPr>
    </w:p>
    <w:p w:rsidR="00045EA6" w:rsidRDefault="00045EA6" w:rsidP="002371BA">
      <w:pPr>
        <w:spacing w:line="276" w:lineRule="auto"/>
        <w:jc w:val="both"/>
        <w:rPr>
          <w:lang w:val="sq-AL"/>
        </w:rPr>
      </w:pPr>
      <w:r>
        <w:rPr>
          <w:lang w:val="sq-AL"/>
        </w:rPr>
        <w:t xml:space="preserve">Edhe për vitin 2017 do të vazhdohet me aplikimin dhe përmirësimin e masave të mëposhtme për kryerjen në kohë të investimeve publike: </w:t>
      </w:r>
    </w:p>
    <w:p w:rsidR="004A28C7" w:rsidRDefault="004A28C7" w:rsidP="004A28C7">
      <w:pPr>
        <w:spacing w:line="276" w:lineRule="auto"/>
        <w:jc w:val="both"/>
        <w:rPr>
          <w:lang w:val="sq-AL"/>
        </w:rPr>
      </w:pPr>
    </w:p>
    <w:p w:rsidR="00045EA6" w:rsidRDefault="00045EA6" w:rsidP="002C5B1B">
      <w:pPr>
        <w:numPr>
          <w:ilvl w:val="0"/>
          <w:numId w:val="101"/>
        </w:numPr>
        <w:spacing w:line="276" w:lineRule="auto"/>
        <w:jc w:val="both"/>
        <w:rPr>
          <w:i/>
          <w:iCs/>
          <w:lang w:val="sq-AL"/>
        </w:rPr>
      </w:pPr>
      <w:r>
        <w:rPr>
          <w:i/>
          <w:iCs/>
          <w:lang w:val="sq-AL"/>
        </w:rPr>
        <w:t>Sistem monitorimi (mujor) i cili do të verifikojë problematikën dhe do të propozojë masat për zgjidhje brenda një kohe më të shkurtër;</w:t>
      </w:r>
    </w:p>
    <w:p w:rsidR="00045EA6" w:rsidRDefault="00045EA6" w:rsidP="002C5B1B">
      <w:pPr>
        <w:numPr>
          <w:ilvl w:val="0"/>
          <w:numId w:val="101"/>
        </w:numPr>
        <w:spacing w:line="276" w:lineRule="auto"/>
        <w:jc w:val="both"/>
        <w:rPr>
          <w:i/>
          <w:iCs/>
          <w:lang w:val="sq-AL"/>
        </w:rPr>
      </w:pPr>
      <w:r>
        <w:rPr>
          <w:i/>
          <w:iCs/>
          <w:lang w:val="sq-AL"/>
        </w:rPr>
        <w:t>Monitorimi i veçantë (javor) i portofolit të investimeve publike për projektet prioritare me impakt të gjerë, duke veçuar këtu projektet me impakt të ndjeshëm buxhetor, të cilat do të monitorohen sipas ecurisë së tyre në bazë javore për të siguruar realizimin e tyre në terma financiar dhe rrjedhimisht në plotësimin e objektivave të vendosura nga institucionet e linjës;</w:t>
      </w:r>
    </w:p>
    <w:p w:rsidR="00045EA6" w:rsidRDefault="00045EA6" w:rsidP="002C5B1B">
      <w:pPr>
        <w:numPr>
          <w:ilvl w:val="0"/>
          <w:numId w:val="101"/>
        </w:numPr>
        <w:spacing w:line="276" w:lineRule="auto"/>
        <w:jc w:val="both"/>
        <w:rPr>
          <w:i/>
          <w:iCs/>
          <w:lang w:val="sq-AL"/>
        </w:rPr>
      </w:pPr>
      <w:r>
        <w:rPr>
          <w:i/>
          <w:iCs/>
          <w:lang w:val="sq-AL"/>
        </w:rPr>
        <w:t>Rialokime të fondeve buxhetore nga projektet me performancë të ulët në projektet me performancë më të lartë, duke konsideruar gjithashtu dhe mundësinë e rishikimit të ligjit të buxhetit 2017 për këtë qëllim.</w:t>
      </w:r>
    </w:p>
    <w:p w:rsidR="00045EA6" w:rsidRPr="00045EA6" w:rsidRDefault="00045EA6" w:rsidP="002C5B1B">
      <w:pPr>
        <w:numPr>
          <w:ilvl w:val="0"/>
          <w:numId w:val="101"/>
        </w:numPr>
        <w:spacing w:line="276" w:lineRule="auto"/>
        <w:jc w:val="both"/>
        <w:rPr>
          <w:i/>
          <w:iCs/>
          <w:lang w:val="sq-AL"/>
        </w:rPr>
      </w:pPr>
      <w:r w:rsidRPr="00045EA6">
        <w:rPr>
          <w:i/>
          <w:iCs/>
          <w:lang w:val="sq-AL"/>
        </w:rPr>
        <w:t>Çeljen e planeve të investimeve brenda muajit Janar dhe përgatitjen e dokumentacionit të prokurimit brenda muajit Shkurt për projektet e reja.</w:t>
      </w:r>
    </w:p>
    <w:p w:rsidR="00045EA6" w:rsidRPr="00045EA6" w:rsidRDefault="00045EA6" w:rsidP="00045EA6">
      <w:pPr>
        <w:spacing w:line="276" w:lineRule="auto"/>
        <w:jc w:val="both"/>
        <w:rPr>
          <w:lang w:val="sq-AL"/>
        </w:rPr>
      </w:pPr>
    </w:p>
    <w:p w:rsidR="00045EA6" w:rsidRDefault="00045EA6" w:rsidP="002371BA">
      <w:pPr>
        <w:spacing w:line="276" w:lineRule="auto"/>
        <w:jc w:val="both"/>
        <w:rPr>
          <w:lang w:val="sq-AL"/>
        </w:rPr>
      </w:pPr>
      <w:r w:rsidRPr="00045EA6">
        <w:rPr>
          <w:lang w:val="sq-AL"/>
        </w:rPr>
        <w:t>Po kështu, të gjithë institucionet buxhetore do të kenë përgatitur paraprakisht listën e nevojave të tyre sa u përket investimeve prioritare, që në fillim të vitit 2018, me synim për të arritur plotësimin e kushteve dhe afateve për zbatimin në kohë të këtyre investimeve, dhe për faktorizimin e tyre në ekonomi.</w:t>
      </w:r>
    </w:p>
    <w:p w:rsidR="00B0121D" w:rsidRPr="00D94792" w:rsidRDefault="00B0121D" w:rsidP="003C5B4B">
      <w:pPr>
        <w:spacing w:line="276" w:lineRule="auto"/>
        <w:rPr>
          <w:lang w:val="sq-AL"/>
        </w:rPr>
      </w:pPr>
    </w:p>
    <w:p w:rsidR="00B0121D" w:rsidRPr="00C179AC" w:rsidRDefault="00B0121D" w:rsidP="002C5B1B">
      <w:pPr>
        <w:pStyle w:val="Heading1"/>
        <w:numPr>
          <w:ilvl w:val="1"/>
          <w:numId w:val="8"/>
        </w:numPr>
        <w:tabs>
          <w:tab w:val="clear" w:pos="5954"/>
          <w:tab w:val="center" w:pos="709"/>
        </w:tabs>
        <w:spacing w:line="276" w:lineRule="auto"/>
        <w:jc w:val="both"/>
        <w:rPr>
          <w:sz w:val="26"/>
          <w:szCs w:val="26"/>
          <w:lang w:val="sq-AL"/>
        </w:rPr>
      </w:pPr>
      <w:bookmarkStart w:id="97" w:name="_Toc495672778"/>
      <w:bookmarkStart w:id="98" w:name="_Toc496520396"/>
      <w:r w:rsidRPr="00C179AC">
        <w:rPr>
          <w:sz w:val="26"/>
          <w:szCs w:val="26"/>
          <w:lang w:val="sq-AL"/>
        </w:rPr>
        <w:t>MENAXHIMI I BORXHIT PUBLIK</w:t>
      </w:r>
      <w:bookmarkEnd w:id="97"/>
      <w:bookmarkEnd w:id="98"/>
      <w:r w:rsidRPr="00C179AC">
        <w:rPr>
          <w:sz w:val="26"/>
          <w:szCs w:val="26"/>
          <w:lang w:val="sq-AL"/>
        </w:rPr>
        <w:t xml:space="preserve"> </w:t>
      </w:r>
    </w:p>
    <w:p w:rsidR="00B0121D" w:rsidRPr="00D94792" w:rsidRDefault="00B0121D" w:rsidP="003C5B4B">
      <w:pPr>
        <w:shd w:val="clear" w:color="auto" w:fill="FFFFFF"/>
        <w:spacing w:line="276" w:lineRule="auto"/>
        <w:ind w:left="360"/>
        <w:jc w:val="both"/>
        <w:rPr>
          <w:lang w:val="sq-AL"/>
        </w:rPr>
      </w:pPr>
    </w:p>
    <w:p w:rsidR="0057579A" w:rsidRPr="0057579A" w:rsidRDefault="0057579A" w:rsidP="0057579A">
      <w:pPr>
        <w:spacing w:line="276" w:lineRule="auto"/>
        <w:ind w:right="-46"/>
        <w:jc w:val="both"/>
        <w:rPr>
          <w:rFonts w:eastAsia="Calibri"/>
          <w:noProof/>
          <w:lang w:eastAsia="ja-JP"/>
        </w:rPr>
      </w:pPr>
      <w:bookmarkStart w:id="99" w:name="_Toc495672779"/>
      <w:r w:rsidRPr="0057579A">
        <w:rPr>
          <w:rFonts w:eastAsia="Calibri"/>
          <w:noProof/>
          <w:lang w:eastAsia="ja-JP"/>
        </w:rPr>
        <w:t>Borxhi publik gjatë vitit 2017 u karakterizua nga një ecuri pozitive, duke qenë në përputhje me buxhetin e planifikuar për vitin 2017 dhe objektivat e Strategjisë Afatmesme të Menaxhimit të Borxhit (SAMB).</w:t>
      </w:r>
    </w:p>
    <w:p w:rsidR="0057579A" w:rsidRPr="0057579A" w:rsidRDefault="0057579A" w:rsidP="0057579A">
      <w:pPr>
        <w:spacing w:line="276" w:lineRule="auto"/>
        <w:ind w:right="-46"/>
        <w:jc w:val="both"/>
        <w:rPr>
          <w:rFonts w:eastAsia="Calibri"/>
          <w:noProof/>
          <w:lang w:eastAsia="ja-JP"/>
        </w:rPr>
      </w:pPr>
    </w:p>
    <w:p w:rsidR="0057579A" w:rsidRPr="0057579A" w:rsidRDefault="0057579A" w:rsidP="0057579A">
      <w:pPr>
        <w:spacing w:line="276" w:lineRule="auto"/>
        <w:ind w:right="-46"/>
        <w:jc w:val="both"/>
        <w:rPr>
          <w:rFonts w:eastAsia="Calibri"/>
          <w:noProof/>
          <w:lang w:eastAsia="ja-JP"/>
        </w:rPr>
      </w:pPr>
      <w:r w:rsidRPr="0057579A">
        <w:rPr>
          <w:lang w:val="sq-AL"/>
        </w:rPr>
        <w:t>Në përputhje me buxhetin e vitit 2017, gjatë nëntëmujorit u realizua me sukses huamarrja, e cila mundësoi rifinancimin e borxhit ekzistues dhe mbulimin e nevojave të Qeverisë për likuiditet.</w:t>
      </w:r>
      <w:r w:rsidRPr="0057579A">
        <w:rPr>
          <w:rFonts w:eastAsia="Calibri"/>
          <w:noProof/>
          <w:lang w:eastAsia="ja-JP"/>
        </w:rPr>
        <w:t xml:space="preserve"> Nëpërmjet burimeve të brendshme dhe të huaja, huamarrja është realizuar përkatësisht në nivelin 68% dhe 92% të planit vjetor</w:t>
      </w:r>
      <w:r w:rsidRPr="0057579A">
        <w:rPr>
          <w:rStyle w:val="FootnoteReference"/>
          <w:rFonts w:eastAsia="Calibri"/>
          <w:noProof/>
          <w:lang w:eastAsia="ja-JP"/>
        </w:rPr>
        <w:footnoteReference w:id="4"/>
      </w:r>
      <w:r w:rsidRPr="0057579A">
        <w:rPr>
          <w:rFonts w:eastAsia="Calibri"/>
          <w:noProof/>
          <w:lang w:eastAsia="ja-JP"/>
        </w:rPr>
        <w:t xml:space="preserve">. </w:t>
      </w:r>
    </w:p>
    <w:p w:rsidR="0057579A" w:rsidRPr="0057579A" w:rsidRDefault="0057579A" w:rsidP="0057579A">
      <w:pPr>
        <w:shd w:val="clear" w:color="auto" w:fill="FFFFFF"/>
        <w:spacing w:line="276" w:lineRule="auto"/>
        <w:jc w:val="both"/>
        <w:rPr>
          <w:lang w:val="sq-AL"/>
        </w:rPr>
      </w:pP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t xml:space="preserve">Në linjë me objektivat e Strategjisë Afatmesme të Menaxhimit të Borxhit, gjatë vitit 2017 u menaxhua ulja e mëtejshme e ekspozimit ndaj risqeve duke mbajtur nën kontroll kostot e borxhit, si edhe u vijua me aktivitetet e planifikuara në kuadër të zhvillimit të tregut primar të titujve shtetërorë. </w:t>
      </w:r>
    </w:p>
    <w:p w:rsidR="002371BA" w:rsidRDefault="002371BA" w:rsidP="0057579A">
      <w:pPr>
        <w:spacing w:line="276" w:lineRule="auto"/>
        <w:ind w:right="-46"/>
        <w:jc w:val="both"/>
        <w:rPr>
          <w:rFonts w:eastAsia="Calibri"/>
          <w:noProof/>
          <w:lang w:eastAsia="ja-JP"/>
        </w:rPr>
      </w:pP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t>Në kuadër të uljes së ekspozimit ndaj risqeve, huamarrja e brendshme neto u realizua nëpërmjet titujve afatgjatë, ndërkohë që u ul përq</w:t>
      </w:r>
      <w:r w:rsidR="00181F5A">
        <w:rPr>
          <w:rFonts w:eastAsia="Calibri"/>
          <w:noProof/>
          <w:lang w:eastAsia="ja-JP"/>
        </w:rPr>
        <w:t>ë</w:t>
      </w:r>
      <w:r w:rsidRPr="0057579A">
        <w:rPr>
          <w:rFonts w:eastAsia="Calibri"/>
          <w:noProof/>
          <w:lang w:eastAsia="ja-JP"/>
        </w:rPr>
        <w:t xml:space="preserve">ndrimi i portofolit të titujve afatshkurtër. </w:t>
      </w: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lastRenderedPageBreak/>
        <w:t xml:space="preserve">Në drejtim të mbajtjes nën kontroll të kostove të borxhit, u shfrytëzuan normat e interesit të titujve shtetërorë afatgjatë, të cilat vijojnë të jenë në nivele relativisht të ulta, si edhe burimet e huaja të financimit me terma të favorshme </w:t>
      </w:r>
      <w:r w:rsidRPr="0057579A">
        <w:rPr>
          <w:rFonts w:eastAsia="Calibri"/>
          <w:i/>
          <w:noProof/>
          <w:lang w:eastAsia="ja-JP"/>
        </w:rPr>
        <w:t>(të tilla si Mbështetja Buxhetore).</w:t>
      </w:r>
    </w:p>
    <w:p w:rsidR="0057579A" w:rsidRPr="0057579A" w:rsidRDefault="0057579A" w:rsidP="0057579A">
      <w:pPr>
        <w:spacing w:line="276" w:lineRule="auto"/>
        <w:ind w:right="-46"/>
        <w:jc w:val="both"/>
        <w:rPr>
          <w:rFonts w:eastAsia="Calibri"/>
          <w:noProof/>
          <w:lang w:eastAsia="ja-JP"/>
        </w:rPr>
      </w:pP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t>Në vazhdim të angazhimit të marrë në lidhje me përmirësimin e mëtejshëm të tregut primar të titujve shtetërorë, si edhe hedhjen e hapave për funksionimin e tregut sekondar, përgjatë vitit 2017 janë realizuar objektiva të tilla si:</w:t>
      </w:r>
    </w:p>
    <w:p w:rsidR="0057579A" w:rsidRPr="0057579A" w:rsidRDefault="0057579A" w:rsidP="0057579A">
      <w:pPr>
        <w:spacing w:line="276" w:lineRule="auto"/>
        <w:ind w:right="-46"/>
        <w:jc w:val="both"/>
        <w:rPr>
          <w:rFonts w:eastAsia="Calibri"/>
          <w:noProof/>
          <w:sz w:val="12"/>
          <w:szCs w:val="10"/>
          <w:lang w:eastAsia="ja-JP"/>
        </w:rPr>
      </w:pP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t xml:space="preserve">i)  Konsolidimi i ankandeve të instrumenteve afatshkurtra; </w:t>
      </w: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t xml:space="preserve">ii) Fokusimi në krijimin e madhësive </w:t>
      </w:r>
      <w:r w:rsidRPr="0057579A">
        <w:rPr>
          <w:rFonts w:eastAsia="Calibri"/>
          <w:i/>
          <w:noProof/>
          <w:lang w:eastAsia="ja-JP"/>
        </w:rPr>
        <w:t>benchmark</w:t>
      </w:r>
      <w:r w:rsidRPr="0057579A">
        <w:rPr>
          <w:rFonts w:eastAsia="Calibri"/>
          <w:noProof/>
          <w:lang w:eastAsia="ja-JP"/>
        </w:rPr>
        <w:t xml:space="preserve"> për titujt afatgjatë;</w:t>
      </w:r>
    </w:p>
    <w:p w:rsidR="0057579A" w:rsidRPr="0057579A" w:rsidRDefault="0057579A" w:rsidP="0057579A">
      <w:pPr>
        <w:spacing w:line="276" w:lineRule="auto"/>
        <w:ind w:right="-46"/>
        <w:jc w:val="both"/>
        <w:rPr>
          <w:rFonts w:eastAsia="Calibri"/>
          <w:noProof/>
          <w:lang w:eastAsia="ja-JP"/>
        </w:rPr>
      </w:pPr>
      <w:r w:rsidRPr="0057579A">
        <w:rPr>
          <w:rFonts w:eastAsia="Calibri"/>
          <w:noProof/>
          <w:lang w:eastAsia="ja-JP"/>
        </w:rPr>
        <w:t>iii) Komunikimi i vazhdueshëm me aktorët kryesorë të tregut të titujve shtetërorë.</w:t>
      </w:r>
    </w:p>
    <w:p w:rsidR="0057579A" w:rsidRPr="0057579A" w:rsidRDefault="0057579A" w:rsidP="0057579A">
      <w:pPr>
        <w:shd w:val="clear" w:color="auto" w:fill="FFFFFF"/>
        <w:spacing w:line="276" w:lineRule="auto"/>
        <w:jc w:val="both"/>
        <w:rPr>
          <w:lang w:val="sq-AL"/>
        </w:rPr>
      </w:pPr>
    </w:p>
    <w:p w:rsidR="0057579A" w:rsidRPr="0057579A" w:rsidRDefault="0057579A" w:rsidP="0057579A">
      <w:pPr>
        <w:shd w:val="clear" w:color="auto" w:fill="FFFFFF"/>
        <w:spacing w:line="276" w:lineRule="auto"/>
        <w:jc w:val="both"/>
        <w:rPr>
          <w:lang w:val="sq-AL"/>
        </w:rPr>
      </w:pPr>
      <w:r w:rsidRPr="0057579A">
        <w:rPr>
          <w:lang w:val="sq-AL"/>
        </w:rPr>
        <w:t xml:space="preserve">Gjatë vitit 2018, menaxhimi i borxhit do të ketë në fokus reduktimin e mëtejshëm të ekspozimit ndaj risqeve të portofolit të borxhit </w:t>
      </w:r>
      <w:r w:rsidRPr="0057579A">
        <w:rPr>
          <w:i/>
          <w:lang w:val="sq-AL"/>
        </w:rPr>
        <w:t>(kryesisht portofolit të borxhit të brendshëm)</w:t>
      </w:r>
      <w:r w:rsidRPr="0057579A">
        <w:rPr>
          <w:lang w:val="sq-AL"/>
        </w:rPr>
        <w:t>, si edhe ruajtjen e raporteve të pranueshme ndërmjet kostos dhe riskut. Ndërkohë, do të vazhdojnë të ndërmerren aktivitete të cilat do të synojnë zhvillimin e mëtejshëm të tregut primar dhe nxitjen e aktivitetit të tregut sekondar për titujt shtetërorë.</w:t>
      </w:r>
    </w:p>
    <w:p w:rsidR="0057579A" w:rsidRPr="0057579A" w:rsidRDefault="0057579A" w:rsidP="0057579A">
      <w:pPr>
        <w:shd w:val="clear" w:color="auto" w:fill="FFFFFF"/>
        <w:spacing w:line="276" w:lineRule="auto"/>
        <w:jc w:val="both"/>
        <w:rPr>
          <w:rFonts w:eastAsia="Times New Roman"/>
          <w:bCs/>
          <w:noProof/>
          <w:szCs w:val="28"/>
        </w:rPr>
      </w:pPr>
      <w:r w:rsidRPr="0057579A">
        <w:rPr>
          <w:noProof/>
        </w:rPr>
        <w:t>Për sa më sipër,</w:t>
      </w:r>
      <w:r w:rsidRPr="0057579A">
        <w:rPr>
          <w:rFonts w:eastAsia="Batang"/>
          <w:noProof/>
          <w:lang w:val="sq-AL"/>
        </w:rPr>
        <w:t xml:space="preserve"> financimi i </w:t>
      </w:r>
      <w:r w:rsidRPr="0057579A">
        <w:rPr>
          <w:noProof/>
          <w:lang w:val="sq-AL"/>
        </w:rPr>
        <w:t xml:space="preserve">brendshëm në terma neto do të orientohet kryesisht në drejtim të titujve afatgjatë, duke shfrytëzuar normat e interesit në nivele ende të ulta, të cilat e bëjnë zbatimin e kësaj strategjie financimi më pak të kushtueshme dhe garantojnë përmirësim të raportit ndërmjet kostos dhe riskut. Prioritet do të ketë emetimi i titujve afatgjatë me norma interesi fikse. Megjithatë, edhe titujt me norma interesi të ndryshueshme do të vijojnë të emetohen në vlera të cilat do të rishikohen dhe bëhen transparente nëpërmjet publikimit periodik të kalendareve të huamarrjes, në varësi të ecurisë së realizimit të objektivave, kushteve të tregut dhe preferencave të kreditorëve. </w:t>
      </w:r>
      <w:r w:rsidRPr="0057579A">
        <w:rPr>
          <w:rFonts w:eastAsia="Times New Roman"/>
          <w:bCs/>
          <w:noProof/>
          <w:szCs w:val="28"/>
        </w:rPr>
        <w:t>Nëpërmjet titutjve afatshkurtër kryesisht do të synohet rifinancimi me sukses i titujve ekzistues që maturohen dhe menaxhimi aktiv i nevojave për likuiditet.</w:t>
      </w:r>
    </w:p>
    <w:p w:rsidR="0057579A" w:rsidRPr="0057579A" w:rsidRDefault="0057579A" w:rsidP="0057579A">
      <w:pPr>
        <w:shd w:val="clear" w:color="auto" w:fill="FFFFFF"/>
        <w:spacing w:line="276" w:lineRule="auto"/>
        <w:jc w:val="both"/>
        <w:rPr>
          <w:noProof/>
        </w:rPr>
      </w:pPr>
    </w:p>
    <w:p w:rsidR="0057579A" w:rsidRPr="0057579A" w:rsidRDefault="0057579A" w:rsidP="0057579A">
      <w:pPr>
        <w:autoSpaceDE w:val="0"/>
        <w:autoSpaceDN w:val="0"/>
        <w:adjustRightInd w:val="0"/>
        <w:spacing w:line="276" w:lineRule="auto"/>
        <w:ind w:right="-1"/>
        <w:contextualSpacing/>
        <w:jc w:val="both"/>
        <w:rPr>
          <w:noProof/>
          <w:lang w:val="sq-AL"/>
        </w:rPr>
      </w:pPr>
      <w:r w:rsidRPr="0057579A">
        <w:rPr>
          <w:noProof/>
          <w:lang w:val="sq-AL"/>
        </w:rPr>
        <w:t xml:space="preserve">Financimi i huaj do të mbështetet në financimin me terma pjesërisht të buta të projekteve ekzistuese, projekteve të reja të konsideruara si prioritare nga Qeveria për zhvillimin e vendit, si edhe në disbursimin e kredive të akorduara nga institucionet ndërkombëtare financiare për të mbështetur politikat zhvillimore të vendit. </w:t>
      </w:r>
    </w:p>
    <w:p w:rsidR="002371BA" w:rsidRDefault="002371BA" w:rsidP="0057579A">
      <w:pPr>
        <w:autoSpaceDE w:val="0"/>
        <w:autoSpaceDN w:val="0"/>
        <w:adjustRightInd w:val="0"/>
        <w:spacing w:line="276" w:lineRule="auto"/>
        <w:ind w:right="-1"/>
        <w:contextualSpacing/>
        <w:jc w:val="both"/>
        <w:rPr>
          <w:noProof/>
          <w:lang w:val="sq-AL"/>
        </w:rPr>
      </w:pPr>
    </w:p>
    <w:p w:rsidR="0057579A" w:rsidRPr="0057579A" w:rsidRDefault="0057579A" w:rsidP="0057579A">
      <w:pPr>
        <w:autoSpaceDE w:val="0"/>
        <w:autoSpaceDN w:val="0"/>
        <w:adjustRightInd w:val="0"/>
        <w:spacing w:line="276" w:lineRule="auto"/>
        <w:ind w:right="-1"/>
        <w:contextualSpacing/>
        <w:jc w:val="both"/>
        <w:rPr>
          <w:noProof/>
        </w:rPr>
      </w:pPr>
      <w:r w:rsidRPr="0057579A">
        <w:rPr>
          <w:noProof/>
          <w:lang w:val="sq-AL"/>
        </w:rPr>
        <w:t>Gjatë vitit 2018, përveç sa më sipër, mund të ketë dhe një shtesë financimi të huaj në formën e huave tregtare ose nëpërmjet daljes në tregjet ndërkombëtare me Eurobond mbi baza oportuniste. Kjo shtesë financimi do të vlerësohet gjatë vitit në varësi të nevojës për të ulur presionin në tregun e brendshëm, me qëllim shmangien e kufizimeve që burojnë nga kapaciteti i limituar i tregut të brendshëm</w:t>
      </w:r>
      <w:r w:rsidRPr="0057579A">
        <w:rPr>
          <w:rStyle w:val="FootnoteReference"/>
          <w:noProof/>
          <w:lang w:val="sq-AL"/>
        </w:rPr>
        <w:footnoteReference w:id="5"/>
      </w:r>
      <w:r w:rsidRPr="0057579A">
        <w:rPr>
          <w:noProof/>
          <w:lang w:val="sq-AL"/>
        </w:rPr>
        <w:t>, si edhe nevojës për të shërbyer detyrimet e borxhit në valutë, të cilat gjatë vitit 2018 vlerësohen rreth 20% më të larta se ato të vitit aktual.</w:t>
      </w:r>
    </w:p>
    <w:p w:rsidR="0057579A" w:rsidRPr="0057579A" w:rsidRDefault="0057579A" w:rsidP="0057579A">
      <w:pPr>
        <w:shd w:val="clear" w:color="auto" w:fill="FFFFFF"/>
        <w:spacing w:line="276" w:lineRule="auto"/>
        <w:jc w:val="both"/>
        <w:rPr>
          <w:lang w:val="sq-AL"/>
        </w:rPr>
      </w:pPr>
    </w:p>
    <w:p w:rsidR="0057579A" w:rsidRPr="0057579A" w:rsidRDefault="0057579A" w:rsidP="0057579A">
      <w:pPr>
        <w:spacing w:line="276" w:lineRule="auto"/>
        <w:jc w:val="both"/>
        <w:rPr>
          <w:lang w:val="sq-AL"/>
        </w:rPr>
      </w:pPr>
      <w:r w:rsidRPr="0057579A">
        <w:rPr>
          <w:lang w:val="sq-AL"/>
        </w:rPr>
        <w:t xml:space="preserve">Gjatë vitit 2018, duke marrë në konsideratë nivelin më të ulët historik të normave të interesit aktuale, pjerrësinë pozitive të kurbës së yield-it, si edhe direktivat e bankave mëma ndaj bankave të nivelit të dytë, për të mbajtur nivele të pranueshme ekspozimi ndaj borxhit sovran, pritet që të ketë një rritje të normave të interesit. Niveli i rritjes së normave në tregun e brendshëm pritet të jetë gradual dhe nën nivelin mesatar të tre viteve të fundit. </w:t>
      </w:r>
    </w:p>
    <w:p w:rsidR="0057579A" w:rsidRPr="0057579A" w:rsidRDefault="0057579A" w:rsidP="0057579A">
      <w:pPr>
        <w:spacing w:line="276" w:lineRule="auto"/>
        <w:jc w:val="both"/>
        <w:rPr>
          <w:lang w:val="sq-AL"/>
        </w:rPr>
      </w:pPr>
      <w:r w:rsidRPr="0057579A">
        <w:rPr>
          <w:rFonts w:eastAsia="Times New Roman"/>
          <w:lang w:val="sq-AL"/>
        </w:rPr>
        <w:lastRenderedPageBreak/>
        <w:t xml:space="preserve">Në tregun e jashtëm, situata nuk paraqitet shumë e qartë për shkak të divergjencave në politikat monetare të BQE dhe Rezervës Federale. BQE synon të vijojë me politikat lehtësuese, ndërkohë që Rezerva Federale pritet të rrisë normat e interesit me qëllim normalizimin e politikave monetare. Në këto kushte, vlerësimet aktuale për periudhën afatmesme parashikojnë një rritje të moderuar të normave të interesit, kryesisht në segmentin e instrumenteve me norma interesi tregtare. </w:t>
      </w:r>
      <w:r w:rsidRPr="0057579A">
        <w:rPr>
          <w:lang w:val="sq-AL"/>
        </w:rPr>
        <w:t>Efektet mbi shërbimin e borxhit të huaj priten të jenë të moderuara pasi rreth gjysma e këtij borxhi është huazuar me norma interesi fikse dhe koncesionale.</w:t>
      </w:r>
    </w:p>
    <w:p w:rsidR="0057579A" w:rsidRDefault="0057579A" w:rsidP="0057579A">
      <w:pPr>
        <w:spacing w:line="276" w:lineRule="auto"/>
        <w:jc w:val="both"/>
        <w:rPr>
          <w:lang w:val="sq-AL"/>
        </w:rPr>
      </w:pPr>
      <w:r w:rsidRPr="0057579A">
        <w:rPr>
          <w:lang w:val="sq-AL"/>
        </w:rPr>
        <w:t>Kostot e përgjithshme të borxhit priten të kenë një rritje të moderuar, që buron kryesisht nga rritja e borxhit në vlerë absolute. Efektet e ndonjë rritjeje të mundshme të normave gjatë vitit 2018 do të jenë minimale dhe do të materializohen kryesisht në vitet pasardhëse.</w:t>
      </w:r>
    </w:p>
    <w:p w:rsidR="002371BA" w:rsidRDefault="002371BA" w:rsidP="0057579A">
      <w:pPr>
        <w:spacing w:line="276" w:lineRule="auto"/>
        <w:jc w:val="both"/>
        <w:rPr>
          <w:lang w:val="sq-AL"/>
        </w:rPr>
      </w:pPr>
    </w:p>
    <w:p w:rsidR="002371BA" w:rsidRDefault="002371BA" w:rsidP="0057579A">
      <w:pPr>
        <w:spacing w:line="276" w:lineRule="auto"/>
        <w:jc w:val="both"/>
        <w:rPr>
          <w:lang w:val="sq-AL"/>
        </w:rPr>
      </w:pPr>
    </w:p>
    <w:p w:rsidR="002371BA" w:rsidRDefault="002371BA" w:rsidP="0057579A">
      <w:pPr>
        <w:spacing w:line="276" w:lineRule="auto"/>
        <w:jc w:val="both"/>
        <w:rPr>
          <w:lang w:val="sq-AL"/>
        </w:rPr>
      </w:pPr>
    </w:p>
    <w:p w:rsidR="002371BA" w:rsidRDefault="002371BA" w:rsidP="002371BA">
      <w:pPr>
        <w:spacing w:line="276" w:lineRule="auto"/>
        <w:jc w:val="center"/>
        <w:rPr>
          <w:b/>
          <w:sz w:val="28"/>
          <w:szCs w:val="28"/>
          <w:lang w:val="sq-AL"/>
        </w:rPr>
      </w:pPr>
    </w:p>
    <w:p w:rsidR="002371BA" w:rsidRDefault="002371BA" w:rsidP="002371BA">
      <w:pPr>
        <w:spacing w:line="276" w:lineRule="auto"/>
        <w:jc w:val="center"/>
        <w:rPr>
          <w:b/>
          <w:sz w:val="28"/>
          <w:szCs w:val="28"/>
          <w:lang w:val="sq-AL"/>
        </w:rPr>
      </w:pPr>
    </w:p>
    <w:p w:rsidR="002371BA" w:rsidRDefault="002371BA" w:rsidP="002371BA">
      <w:pPr>
        <w:spacing w:line="276" w:lineRule="auto"/>
        <w:jc w:val="center"/>
        <w:rPr>
          <w:b/>
          <w:sz w:val="28"/>
          <w:szCs w:val="28"/>
          <w:lang w:val="sq-AL"/>
        </w:rPr>
      </w:pPr>
    </w:p>
    <w:p w:rsidR="002371BA" w:rsidRPr="002371BA" w:rsidRDefault="002371BA" w:rsidP="002371BA">
      <w:pPr>
        <w:spacing w:line="276" w:lineRule="auto"/>
        <w:jc w:val="center"/>
        <w:rPr>
          <w:b/>
          <w:sz w:val="28"/>
          <w:szCs w:val="28"/>
          <w:lang w:val="sq-AL"/>
        </w:rPr>
      </w:pPr>
      <w:r w:rsidRPr="002371BA">
        <w:rPr>
          <w:b/>
          <w:sz w:val="28"/>
          <w:szCs w:val="28"/>
          <w:lang w:val="sq-AL"/>
        </w:rPr>
        <w:t>K</w:t>
      </w:r>
      <w:r>
        <w:rPr>
          <w:b/>
          <w:sz w:val="28"/>
          <w:szCs w:val="28"/>
          <w:lang w:val="sq-AL"/>
        </w:rPr>
        <w:t>Ë</w:t>
      </w:r>
      <w:r w:rsidRPr="002371BA">
        <w:rPr>
          <w:b/>
          <w:sz w:val="28"/>
          <w:szCs w:val="28"/>
          <w:lang w:val="sq-AL"/>
        </w:rPr>
        <w:t>SHILLI I MINISTRAVE</w:t>
      </w:r>
    </w:p>
    <w:p w:rsidR="0057579A" w:rsidRPr="00C576E4" w:rsidRDefault="0057579A" w:rsidP="0057579A">
      <w:pPr>
        <w:rPr>
          <w:lang w:val="sq-AL"/>
        </w:rPr>
      </w:pPr>
    </w:p>
    <w:p w:rsidR="00944D7D" w:rsidRDefault="00944D7D" w:rsidP="003C5B4B">
      <w:pPr>
        <w:spacing w:line="276" w:lineRule="auto"/>
        <w:jc w:val="both"/>
        <w:rPr>
          <w:lang w:val="sq-AL"/>
        </w:rPr>
      </w:pPr>
    </w:p>
    <w:p w:rsidR="00944D7D" w:rsidRDefault="00944D7D"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Default="002371BA" w:rsidP="003C5B4B">
      <w:pPr>
        <w:spacing w:line="276" w:lineRule="auto"/>
        <w:jc w:val="both"/>
        <w:rPr>
          <w:lang w:val="sq-AL"/>
        </w:rPr>
      </w:pPr>
    </w:p>
    <w:p w:rsidR="002371BA" w:rsidRPr="00C576E4" w:rsidRDefault="002371BA" w:rsidP="003C5B4B">
      <w:pPr>
        <w:spacing w:line="276" w:lineRule="auto"/>
        <w:jc w:val="both"/>
        <w:rPr>
          <w:lang w:val="sq-AL"/>
        </w:rPr>
      </w:pPr>
    </w:p>
    <w:p w:rsidR="00B0121D" w:rsidRDefault="00B0121D" w:rsidP="002C5B1B">
      <w:pPr>
        <w:pStyle w:val="Heading1"/>
        <w:numPr>
          <w:ilvl w:val="0"/>
          <w:numId w:val="8"/>
        </w:numPr>
        <w:tabs>
          <w:tab w:val="clear" w:pos="5954"/>
          <w:tab w:val="center" w:pos="426"/>
        </w:tabs>
        <w:spacing w:line="276" w:lineRule="auto"/>
        <w:jc w:val="both"/>
        <w:rPr>
          <w:bCs/>
          <w:iCs/>
          <w:caps w:val="0"/>
          <w:sz w:val="28"/>
          <w:lang w:val="sq-AL"/>
        </w:rPr>
      </w:pPr>
      <w:bookmarkStart w:id="100" w:name="_Toc495997003"/>
      <w:bookmarkStart w:id="101" w:name="_Toc496520397"/>
      <w:r w:rsidRPr="00D94792">
        <w:rPr>
          <w:bCs/>
          <w:iCs/>
          <w:caps w:val="0"/>
          <w:sz w:val="28"/>
          <w:lang w:val="sq-AL"/>
        </w:rPr>
        <w:lastRenderedPageBreak/>
        <w:t>SHTOJCA ILUSTRUESE</w:t>
      </w:r>
      <w:bookmarkEnd w:id="99"/>
      <w:bookmarkEnd w:id="100"/>
      <w:bookmarkEnd w:id="101"/>
      <w:r w:rsidRPr="00D94792">
        <w:rPr>
          <w:bCs/>
          <w:iCs/>
          <w:caps w:val="0"/>
          <w:sz w:val="28"/>
          <w:lang w:val="sq-AL"/>
        </w:rPr>
        <w:t xml:space="preserve">  </w:t>
      </w:r>
    </w:p>
    <w:p w:rsidR="002A4958" w:rsidRPr="002A4958" w:rsidRDefault="002A4958" w:rsidP="002A4958">
      <w:pPr>
        <w:rPr>
          <w:lang w:val="sq-AL"/>
        </w:rPr>
      </w:pPr>
    </w:p>
    <w:p w:rsidR="00B0121D" w:rsidRPr="002A4958" w:rsidRDefault="00BB2A22" w:rsidP="002A4958">
      <w:pPr>
        <w:spacing w:line="276" w:lineRule="auto"/>
        <w:jc w:val="both"/>
        <w:outlineLvl w:val="0"/>
        <w:rPr>
          <w:b/>
          <w:sz w:val="26"/>
          <w:szCs w:val="26"/>
          <w:lang w:val="sq-AL"/>
        </w:rPr>
      </w:pPr>
      <w:bookmarkStart w:id="102" w:name="_Toc495672780"/>
      <w:bookmarkStart w:id="103" w:name="_Toc495997004"/>
      <w:bookmarkStart w:id="104" w:name="_Toc496520398"/>
      <w:r w:rsidRPr="002A4958">
        <w:rPr>
          <w:b/>
          <w:sz w:val="26"/>
          <w:szCs w:val="26"/>
          <w:lang w:val="sq-AL"/>
        </w:rPr>
        <w:t xml:space="preserve">8.1 </w:t>
      </w:r>
      <w:r w:rsidR="00B0121D" w:rsidRPr="002A4958">
        <w:rPr>
          <w:b/>
          <w:sz w:val="26"/>
          <w:szCs w:val="26"/>
          <w:lang w:val="sq-AL"/>
        </w:rPr>
        <w:t>TREGUESIT E PËRZGJEDHUR MAKROEKONOMIKË DHE FISKALË</w:t>
      </w:r>
      <w:bookmarkEnd w:id="102"/>
      <w:bookmarkEnd w:id="103"/>
      <w:bookmarkEnd w:id="104"/>
      <w:r w:rsidR="00B0121D" w:rsidRPr="002A4958">
        <w:rPr>
          <w:b/>
          <w:sz w:val="26"/>
          <w:szCs w:val="26"/>
          <w:lang w:val="sq-AL"/>
        </w:rPr>
        <w:t xml:space="preserve"> </w:t>
      </w:r>
    </w:p>
    <w:p w:rsidR="00B0121D" w:rsidRPr="00D94792" w:rsidRDefault="00B0121D" w:rsidP="003C5B4B">
      <w:pPr>
        <w:spacing w:line="276" w:lineRule="auto"/>
        <w:rPr>
          <w:lang w:val="sq-AL"/>
        </w:rPr>
      </w:pPr>
    </w:p>
    <w:p w:rsidR="00F77E64" w:rsidRPr="0055742A" w:rsidRDefault="00F77E64" w:rsidP="00F77E64">
      <w:pPr>
        <w:pStyle w:val="Caption"/>
        <w:keepNext/>
        <w:rPr>
          <w:b w:val="0"/>
          <w:color w:val="auto"/>
          <w:sz w:val="22"/>
        </w:rPr>
      </w:pPr>
      <w:r w:rsidRPr="00F77E64">
        <w:rPr>
          <w:color w:val="auto"/>
          <w:sz w:val="22"/>
        </w:rPr>
        <w:t xml:space="preserve">                 Tab</w:t>
      </w:r>
      <w:r w:rsidR="002F7120">
        <w:rPr>
          <w:color w:val="auto"/>
          <w:sz w:val="22"/>
        </w:rPr>
        <w:t>ela</w:t>
      </w:r>
      <w:r w:rsidRPr="00F77E64">
        <w:rPr>
          <w:color w:val="auto"/>
          <w:sz w:val="22"/>
        </w:rPr>
        <w:t xml:space="preserve"> </w:t>
      </w:r>
      <w:r>
        <w:rPr>
          <w:color w:val="auto"/>
          <w:sz w:val="22"/>
        </w:rPr>
        <w:t>1</w:t>
      </w:r>
      <w:r w:rsidR="004A28C7">
        <w:rPr>
          <w:color w:val="auto"/>
          <w:sz w:val="22"/>
        </w:rPr>
        <w:t>5</w:t>
      </w:r>
      <w:r w:rsidRPr="00F77E64">
        <w:rPr>
          <w:color w:val="auto"/>
          <w:sz w:val="22"/>
        </w:rPr>
        <w:t xml:space="preserve">: </w:t>
      </w:r>
      <w:r w:rsidRPr="0055742A">
        <w:rPr>
          <w:b w:val="0"/>
          <w:color w:val="auto"/>
          <w:sz w:val="22"/>
        </w:rPr>
        <w:t xml:space="preserve">Rritja e ekonomike krahasuar </w:t>
      </w:r>
      <w:proofErr w:type="gramStart"/>
      <w:r w:rsidRPr="0055742A">
        <w:rPr>
          <w:b w:val="0"/>
          <w:color w:val="auto"/>
          <w:sz w:val="22"/>
        </w:rPr>
        <w:t>me  vendet</w:t>
      </w:r>
      <w:proofErr w:type="gramEnd"/>
      <w:r w:rsidRPr="0055742A">
        <w:rPr>
          <w:b w:val="0"/>
          <w:color w:val="auto"/>
          <w:sz w:val="22"/>
        </w:rPr>
        <w:t xml:space="preserve"> e rajonit ( në % të PBB)</w:t>
      </w:r>
    </w:p>
    <w:p w:rsidR="001A297C" w:rsidRPr="00D94792" w:rsidRDefault="001A297C" w:rsidP="003C5B4B">
      <w:pPr>
        <w:spacing w:line="276" w:lineRule="auto"/>
        <w:jc w:val="center"/>
        <w:rPr>
          <w:lang w:val="sq-AL"/>
        </w:rPr>
      </w:pPr>
      <w:r w:rsidRPr="00D94792">
        <w:rPr>
          <w:noProof/>
        </w:rPr>
        <w:drawing>
          <wp:inline distT="0" distB="0" distL="0" distR="0" wp14:anchorId="77BE48D5" wp14:editId="59FD1933">
            <wp:extent cx="5541010" cy="1617345"/>
            <wp:effectExtent l="0" t="0" r="254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010" cy="1617345"/>
                    </a:xfrm>
                    <a:prstGeom prst="rect">
                      <a:avLst/>
                    </a:prstGeom>
                    <a:noFill/>
                    <a:ln>
                      <a:noFill/>
                    </a:ln>
                  </pic:spPr>
                </pic:pic>
              </a:graphicData>
            </a:graphic>
          </wp:inline>
        </w:drawing>
      </w:r>
    </w:p>
    <w:p w:rsidR="00B0121D" w:rsidRPr="0055742A" w:rsidRDefault="001A297C" w:rsidP="003C5B4B">
      <w:pPr>
        <w:spacing w:line="276" w:lineRule="auto"/>
        <w:rPr>
          <w:i/>
          <w:sz w:val="20"/>
          <w:szCs w:val="20"/>
          <w:lang w:val="sq-AL"/>
        </w:rPr>
      </w:pPr>
      <w:r w:rsidRPr="00D94792">
        <w:rPr>
          <w:i/>
          <w:sz w:val="20"/>
          <w:szCs w:val="20"/>
          <w:lang w:val="sq-AL"/>
        </w:rPr>
        <w:t xml:space="preserve">               Burimi: Të dhëna zyrtare të vendeve përkat</w:t>
      </w:r>
      <w:r w:rsidRPr="00D94792">
        <w:rPr>
          <w:rFonts w:ascii="Segoe UI Symbol" w:hAnsi="Segoe UI Symbol"/>
          <w:i/>
          <w:sz w:val="20"/>
          <w:szCs w:val="20"/>
          <w:lang w:val="sq-AL"/>
        </w:rPr>
        <w:t>ë</w:t>
      </w:r>
      <w:r w:rsidR="0055742A">
        <w:rPr>
          <w:i/>
          <w:sz w:val="20"/>
          <w:szCs w:val="20"/>
          <w:lang w:val="sq-AL"/>
        </w:rPr>
        <w:t xml:space="preserve">se </w:t>
      </w:r>
    </w:p>
    <w:p w:rsidR="00B0121D" w:rsidRPr="00D94792" w:rsidRDefault="00B0121D" w:rsidP="003C5B4B">
      <w:pPr>
        <w:spacing w:line="276" w:lineRule="auto"/>
        <w:rPr>
          <w:noProof/>
          <w:lang w:val="sq-AL"/>
        </w:rPr>
      </w:pPr>
    </w:p>
    <w:p w:rsidR="00F77E64" w:rsidRPr="0055742A" w:rsidRDefault="00F77E64" w:rsidP="00F77E64">
      <w:pPr>
        <w:pStyle w:val="Caption"/>
        <w:keepNext/>
        <w:rPr>
          <w:b w:val="0"/>
          <w:color w:val="auto"/>
          <w:sz w:val="22"/>
        </w:rPr>
      </w:pPr>
      <w:r w:rsidRPr="00F77E64">
        <w:rPr>
          <w:color w:val="auto"/>
          <w:sz w:val="22"/>
        </w:rPr>
        <w:t xml:space="preserve">          </w:t>
      </w:r>
      <w:r>
        <w:rPr>
          <w:color w:val="auto"/>
          <w:sz w:val="22"/>
        </w:rPr>
        <w:t xml:space="preserve">                    </w:t>
      </w:r>
      <w:r w:rsidRPr="00F77E64">
        <w:rPr>
          <w:color w:val="auto"/>
          <w:sz w:val="22"/>
        </w:rPr>
        <w:t xml:space="preserve">Grafiku 7: </w:t>
      </w:r>
      <w:r w:rsidRPr="0055742A">
        <w:rPr>
          <w:b w:val="0"/>
          <w:color w:val="auto"/>
          <w:sz w:val="22"/>
        </w:rPr>
        <w:t>Ndryshimi vjetor i inflacionit (%)</w:t>
      </w:r>
    </w:p>
    <w:p w:rsidR="0055742A" w:rsidRDefault="001A297C" w:rsidP="0055742A">
      <w:pPr>
        <w:spacing w:line="276" w:lineRule="auto"/>
        <w:jc w:val="center"/>
        <w:rPr>
          <w:lang w:val="sq-AL"/>
        </w:rPr>
      </w:pPr>
      <w:r w:rsidRPr="00D94792">
        <w:rPr>
          <w:noProof/>
        </w:rPr>
        <w:drawing>
          <wp:inline distT="0" distB="0" distL="0" distR="0" wp14:anchorId="5DBCA340" wp14:editId="28CFB368">
            <wp:extent cx="5208104" cy="2407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2637" cy="2423886"/>
                    </a:xfrm>
                    <a:prstGeom prst="rect">
                      <a:avLst/>
                    </a:prstGeom>
                    <a:noFill/>
                    <a:ln>
                      <a:noFill/>
                    </a:ln>
                  </pic:spPr>
                </pic:pic>
              </a:graphicData>
            </a:graphic>
          </wp:inline>
        </w:drawing>
      </w:r>
    </w:p>
    <w:p w:rsidR="0055742A" w:rsidRDefault="0055742A" w:rsidP="0055742A">
      <w:pPr>
        <w:spacing w:line="276" w:lineRule="auto"/>
        <w:jc w:val="center"/>
        <w:rPr>
          <w:lang w:val="sq-AL"/>
        </w:rPr>
      </w:pPr>
    </w:p>
    <w:p w:rsidR="001A297C" w:rsidRPr="00D94792" w:rsidRDefault="00E1102D" w:rsidP="00E1102D">
      <w:pPr>
        <w:spacing w:line="276" w:lineRule="auto"/>
        <w:ind w:left="1440" w:firstLine="720"/>
        <w:rPr>
          <w:b/>
          <w:lang w:val="sq-AL"/>
        </w:rPr>
      </w:pPr>
      <w:r>
        <w:rPr>
          <w:b/>
          <w:lang w:val="sq-AL"/>
        </w:rPr>
        <w:t>Grafiku 8:</w:t>
      </w:r>
      <w:r w:rsidR="0055742A">
        <w:rPr>
          <w:b/>
          <w:lang w:val="sq-AL"/>
        </w:rPr>
        <w:t xml:space="preserve"> </w:t>
      </w:r>
      <w:r w:rsidR="001A297C" w:rsidRPr="0055742A">
        <w:rPr>
          <w:lang w:val="sq-AL"/>
        </w:rPr>
        <w:t>Treguesi i Ndjeshmërisë Ekonomike</w:t>
      </w:r>
    </w:p>
    <w:p w:rsidR="00B0121D" w:rsidRPr="00D94792" w:rsidRDefault="00B0121D" w:rsidP="003C5B4B">
      <w:pPr>
        <w:spacing w:line="276" w:lineRule="auto"/>
        <w:rPr>
          <w:lang w:val="sq-AL"/>
        </w:rPr>
      </w:pPr>
    </w:p>
    <w:p w:rsidR="00B0121D" w:rsidRPr="00D94792" w:rsidRDefault="001A297C" w:rsidP="003C5B4B">
      <w:pPr>
        <w:spacing w:line="276" w:lineRule="auto"/>
        <w:jc w:val="center"/>
        <w:rPr>
          <w:lang w:val="sq-AL"/>
        </w:rPr>
      </w:pPr>
      <w:r w:rsidRPr="00D94792">
        <w:rPr>
          <w:noProof/>
        </w:rPr>
        <w:drawing>
          <wp:inline distT="0" distB="0" distL="0" distR="0" wp14:anchorId="43225880" wp14:editId="17A9F76D">
            <wp:extent cx="5263763" cy="2245360"/>
            <wp:effectExtent l="0" t="0" r="13335" b="25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28C7" w:rsidRDefault="004A28C7" w:rsidP="00E1102D">
      <w:pPr>
        <w:spacing w:line="276" w:lineRule="auto"/>
        <w:ind w:left="1440" w:firstLine="720"/>
        <w:rPr>
          <w:b/>
          <w:lang w:val="sq-AL"/>
        </w:rPr>
      </w:pPr>
    </w:p>
    <w:p w:rsidR="00B0121D" w:rsidRPr="0055742A" w:rsidRDefault="00E1102D" w:rsidP="004A28C7">
      <w:pPr>
        <w:spacing w:line="276" w:lineRule="auto"/>
        <w:ind w:left="1440" w:firstLine="720"/>
        <w:rPr>
          <w:lang w:val="sq-AL"/>
        </w:rPr>
      </w:pPr>
      <w:r>
        <w:rPr>
          <w:b/>
          <w:lang w:val="sq-AL"/>
        </w:rPr>
        <w:t xml:space="preserve">Grafiku 9: </w:t>
      </w:r>
      <w:r w:rsidRPr="0055742A">
        <w:rPr>
          <w:lang w:val="sq-AL"/>
        </w:rPr>
        <w:t>Rritja e volumit t</w:t>
      </w:r>
      <w:r w:rsidR="00122326" w:rsidRPr="0055742A">
        <w:rPr>
          <w:lang w:val="sq-AL"/>
        </w:rPr>
        <w:t>ë</w:t>
      </w:r>
      <w:r w:rsidRPr="0055742A">
        <w:rPr>
          <w:lang w:val="sq-AL"/>
        </w:rPr>
        <w:t xml:space="preserve"> tregtis</w:t>
      </w:r>
      <w:r w:rsidR="00122326" w:rsidRPr="0055742A">
        <w:rPr>
          <w:lang w:val="sq-AL"/>
        </w:rPr>
        <w:t>ë</w:t>
      </w:r>
      <w:r w:rsidRPr="0055742A">
        <w:rPr>
          <w:lang w:val="sq-AL"/>
        </w:rPr>
        <w:t xml:space="preserve"> me pakic</w:t>
      </w:r>
      <w:r w:rsidR="00122326" w:rsidRPr="0055742A">
        <w:rPr>
          <w:lang w:val="sq-AL"/>
        </w:rPr>
        <w:t>ë</w:t>
      </w:r>
    </w:p>
    <w:p w:rsidR="00B0121D" w:rsidRPr="00D94792" w:rsidRDefault="00B0121D" w:rsidP="003C5B4B">
      <w:pPr>
        <w:spacing w:line="276" w:lineRule="auto"/>
        <w:rPr>
          <w:lang w:val="sq-AL"/>
        </w:rPr>
      </w:pPr>
    </w:p>
    <w:p w:rsidR="004A28C7" w:rsidRPr="00D94792" w:rsidRDefault="001A297C" w:rsidP="002371BA">
      <w:pPr>
        <w:spacing w:line="276" w:lineRule="auto"/>
        <w:jc w:val="center"/>
        <w:rPr>
          <w:lang w:val="sq-AL"/>
        </w:rPr>
      </w:pPr>
      <w:r w:rsidRPr="00D94792">
        <w:rPr>
          <w:noProof/>
        </w:rPr>
        <w:lastRenderedPageBreak/>
        <w:drawing>
          <wp:inline distT="0" distB="0" distL="0" distR="0" wp14:anchorId="6E85CAAA" wp14:editId="1DBCD332">
            <wp:extent cx="5303520" cy="21189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6293" cy="2120103"/>
                    </a:xfrm>
                    <a:prstGeom prst="rect">
                      <a:avLst/>
                    </a:prstGeom>
                    <a:noFill/>
                    <a:ln>
                      <a:noFill/>
                    </a:ln>
                  </pic:spPr>
                </pic:pic>
              </a:graphicData>
            </a:graphic>
          </wp:inline>
        </w:drawing>
      </w:r>
    </w:p>
    <w:p w:rsidR="00B0121D" w:rsidRPr="00D94792" w:rsidRDefault="00B0121D" w:rsidP="003C5B4B">
      <w:pPr>
        <w:spacing w:line="276" w:lineRule="auto"/>
        <w:rPr>
          <w:lang w:val="sq-AL"/>
        </w:rPr>
      </w:pPr>
    </w:p>
    <w:p w:rsidR="00B0121D" w:rsidRPr="00E1102D" w:rsidRDefault="00E1102D" w:rsidP="0055742A">
      <w:pPr>
        <w:spacing w:line="276" w:lineRule="auto"/>
        <w:jc w:val="center"/>
        <w:rPr>
          <w:b/>
          <w:lang w:val="sq-AL"/>
        </w:rPr>
      </w:pPr>
      <w:r w:rsidRPr="00E1102D">
        <w:rPr>
          <w:b/>
          <w:lang w:val="sq-AL"/>
        </w:rPr>
        <w:t>Tabela 1</w:t>
      </w:r>
      <w:r w:rsidR="004A28C7">
        <w:rPr>
          <w:b/>
          <w:lang w:val="sq-AL"/>
        </w:rPr>
        <w:t>6</w:t>
      </w:r>
      <w:r w:rsidRPr="00E1102D">
        <w:rPr>
          <w:b/>
          <w:lang w:val="sq-AL"/>
        </w:rPr>
        <w:t xml:space="preserve">: </w:t>
      </w:r>
      <w:r w:rsidRPr="0055742A">
        <w:rPr>
          <w:lang w:val="sq-AL"/>
        </w:rPr>
        <w:t>Tregtia e Jashtme</w:t>
      </w:r>
    </w:p>
    <w:p w:rsidR="00B0121D" w:rsidRPr="00D94792" w:rsidRDefault="001A297C" w:rsidP="003C5B4B">
      <w:pPr>
        <w:spacing w:line="276" w:lineRule="auto"/>
        <w:jc w:val="center"/>
        <w:rPr>
          <w:lang w:val="sq-AL"/>
        </w:rPr>
      </w:pPr>
      <w:r w:rsidRPr="00D94792">
        <w:rPr>
          <w:noProof/>
        </w:rPr>
        <w:drawing>
          <wp:inline distT="0" distB="0" distL="0" distR="0" wp14:anchorId="6FFEED51" wp14:editId="21E3398F">
            <wp:extent cx="5303520" cy="1745423"/>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2550" cy="1748395"/>
                    </a:xfrm>
                    <a:prstGeom prst="rect">
                      <a:avLst/>
                    </a:prstGeom>
                    <a:noFill/>
                    <a:ln>
                      <a:noFill/>
                    </a:ln>
                  </pic:spPr>
                </pic:pic>
              </a:graphicData>
            </a:graphic>
          </wp:inline>
        </w:drawing>
      </w:r>
    </w:p>
    <w:p w:rsidR="001A297C" w:rsidRPr="00D94792" w:rsidRDefault="001A297C" w:rsidP="003C5B4B">
      <w:pPr>
        <w:spacing w:line="276" w:lineRule="auto"/>
        <w:rPr>
          <w:i/>
          <w:sz w:val="20"/>
          <w:szCs w:val="20"/>
          <w:lang w:val="sq-AL"/>
        </w:rPr>
      </w:pPr>
      <w:r w:rsidRPr="00D94792">
        <w:rPr>
          <w:i/>
          <w:sz w:val="20"/>
          <w:szCs w:val="20"/>
          <w:lang w:val="sq-AL"/>
        </w:rPr>
        <w:t xml:space="preserve">                  </w:t>
      </w:r>
      <w:r w:rsidRPr="004A28C7">
        <w:rPr>
          <w:b/>
          <w:i/>
          <w:sz w:val="20"/>
          <w:szCs w:val="20"/>
          <w:lang w:val="sq-AL"/>
        </w:rPr>
        <w:t>Burimi:</w:t>
      </w:r>
      <w:r w:rsidRPr="00D94792">
        <w:rPr>
          <w:i/>
          <w:sz w:val="20"/>
          <w:szCs w:val="20"/>
          <w:lang w:val="sq-AL"/>
        </w:rPr>
        <w:t xml:space="preserve"> INSTAT</w:t>
      </w:r>
    </w:p>
    <w:p w:rsidR="0055742A" w:rsidRDefault="0055742A" w:rsidP="00E1102D">
      <w:pPr>
        <w:spacing w:line="276" w:lineRule="auto"/>
        <w:jc w:val="center"/>
        <w:rPr>
          <w:b/>
          <w:lang w:val="sq-AL"/>
        </w:rPr>
      </w:pPr>
    </w:p>
    <w:p w:rsidR="00B0121D" w:rsidRPr="00E1102D" w:rsidRDefault="00E1102D" w:rsidP="00E1102D">
      <w:pPr>
        <w:spacing w:line="276" w:lineRule="auto"/>
        <w:jc w:val="center"/>
        <w:rPr>
          <w:b/>
          <w:lang w:val="sq-AL"/>
        </w:rPr>
      </w:pPr>
      <w:r w:rsidRPr="00E1102D">
        <w:rPr>
          <w:b/>
          <w:lang w:val="sq-AL"/>
        </w:rPr>
        <w:t xml:space="preserve">Grafiku 10: </w:t>
      </w:r>
      <w:r w:rsidRPr="0055742A">
        <w:rPr>
          <w:lang w:val="sq-AL"/>
        </w:rPr>
        <w:t>Dinamikat e rritjes s</w:t>
      </w:r>
      <w:r w:rsidR="00122326" w:rsidRPr="0055742A">
        <w:rPr>
          <w:lang w:val="sq-AL"/>
        </w:rPr>
        <w:t>ë</w:t>
      </w:r>
      <w:r w:rsidRPr="0055742A">
        <w:rPr>
          <w:lang w:val="sq-AL"/>
        </w:rPr>
        <w:t xml:space="preserve"> stokut total t</w:t>
      </w:r>
      <w:r w:rsidR="00122326" w:rsidRPr="0055742A">
        <w:rPr>
          <w:lang w:val="sq-AL"/>
        </w:rPr>
        <w:t>ë</w:t>
      </w:r>
      <w:r w:rsidRPr="0055742A">
        <w:rPr>
          <w:lang w:val="sq-AL"/>
        </w:rPr>
        <w:t xml:space="preserve"> Depozitave dhe Kredive</w:t>
      </w:r>
    </w:p>
    <w:p w:rsidR="0076343C" w:rsidRPr="00D94792" w:rsidRDefault="001A297C" w:rsidP="003C5B4B">
      <w:pPr>
        <w:spacing w:line="276" w:lineRule="auto"/>
        <w:jc w:val="center"/>
        <w:rPr>
          <w:lang w:val="sq-AL"/>
        </w:rPr>
      </w:pPr>
      <w:r w:rsidRPr="00D94792">
        <w:rPr>
          <w:noProof/>
        </w:rPr>
        <w:drawing>
          <wp:inline distT="0" distB="0" distL="0" distR="0" wp14:anchorId="2523E39D" wp14:editId="6CDFCE81">
            <wp:extent cx="5383033" cy="175387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7372" cy="1755284"/>
                    </a:xfrm>
                    <a:prstGeom prst="rect">
                      <a:avLst/>
                    </a:prstGeom>
                    <a:noFill/>
                    <a:ln>
                      <a:noFill/>
                    </a:ln>
                  </pic:spPr>
                </pic:pic>
              </a:graphicData>
            </a:graphic>
          </wp:inline>
        </w:drawing>
      </w:r>
    </w:p>
    <w:p w:rsidR="00B0121D" w:rsidRPr="00D94792" w:rsidRDefault="00B0121D" w:rsidP="003C5B4B">
      <w:pPr>
        <w:spacing w:line="276" w:lineRule="auto"/>
        <w:rPr>
          <w:lang w:val="sq-AL"/>
        </w:rPr>
      </w:pPr>
    </w:p>
    <w:p w:rsidR="00BD2DE1" w:rsidRPr="00D94792" w:rsidRDefault="00BD2DE1" w:rsidP="003C5B4B">
      <w:pPr>
        <w:spacing w:line="276" w:lineRule="auto"/>
        <w:rPr>
          <w:lang w:val="sq-AL"/>
        </w:rPr>
      </w:pPr>
    </w:p>
    <w:p w:rsidR="00BD2DE1" w:rsidRPr="00D94792" w:rsidRDefault="001A297C" w:rsidP="003C5B4B">
      <w:pPr>
        <w:spacing w:line="276" w:lineRule="auto"/>
        <w:jc w:val="center"/>
        <w:rPr>
          <w:lang w:val="sq-AL"/>
        </w:rPr>
      </w:pPr>
      <w:r w:rsidRPr="00D94792">
        <w:rPr>
          <w:noProof/>
        </w:rPr>
        <w:drawing>
          <wp:inline distT="0" distB="0" distL="0" distR="0" wp14:anchorId="61022E36" wp14:editId="2BB3B77E">
            <wp:extent cx="5287617" cy="2050974"/>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4025" cy="2053460"/>
                    </a:xfrm>
                    <a:prstGeom prst="rect">
                      <a:avLst/>
                    </a:prstGeom>
                    <a:noFill/>
                    <a:ln>
                      <a:noFill/>
                    </a:ln>
                  </pic:spPr>
                </pic:pic>
              </a:graphicData>
            </a:graphic>
          </wp:inline>
        </w:drawing>
      </w:r>
    </w:p>
    <w:p w:rsidR="00BD2DE1" w:rsidRPr="00D94792" w:rsidRDefault="00BD2DE1" w:rsidP="003C5B4B">
      <w:pPr>
        <w:spacing w:line="276" w:lineRule="auto"/>
        <w:rPr>
          <w:lang w:val="sq-AL"/>
        </w:rPr>
      </w:pPr>
    </w:p>
    <w:p w:rsidR="00BD2DE1" w:rsidRPr="00D94792" w:rsidRDefault="00BD2DE1" w:rsidP="003C5B4B">
      <w:pPr>
        <w:spacing w:line="276" w:lineRule="auto"/>
        <w:rPr>
          <w:lang w:val="sq-AL"/>
        </w:rPr>
      </w:pPr>
    </w:p>
    <w:p w:rsidR="00A635B4" w:rsidRPr="009C5122" w:rsidRDefault="00A635B4" w:rsidP="00A635B4">
      <w:pPr>
        <w:spacing w:line="276" w:lineRule="auto"/>
        <w:jc w:val="both"/>
        <w:outlineLvl w:val="0"/>
        <w:rPr>
          <w:rFonts w:eastAsia="Times New Roman"/>
          <w:b/>
          <w:bCs/>
          <w:kern w:val="36"/>
          <w:sz w:val="48"/>
          <w:szCs w:val="48"/>
        </w:rPr>
      </w:pPr>
      <w:bookmarkStart w:id="105" w:name="_Toc374447187"/>
      <w:bookmarkStart w:id="106" w:name="_Toc374620506"/>
      <w:bookmarkStart w:id="107" w:name="_Toc495672782"/>
      <w:bookmarkStart w:id="108" w:name="_Toc496520399"/>
      <w:r w:rsidRPr="00A635B4">
        <w:rPr>
          <w:b/>
          <w:sz w:val="26"/>
          <w:szCs w:val="26"/>
          <w:lang w:val="sq-AL"/>
        </w:rPr>
        <w:t>8</w:t>
      </w:r>
      <w:r w:rsidRPr="00A635B4">
        <w:rPr>
          <w:rFonts w:eastAsia="Times New Roman"/>
          <w:b/>
          <w:bCs/>
          <w:smallCaps/>
          <w:color w:val="000000"/>
          <w:kern w:val="36"/>
          <w:sz w:val="26"/>
          <w:szCs w:val="26"/>
        </w:rPr>
        <w:t>.2</w:t>
      </w:r>
      <w:r>
        <w:rPr>
          <w:rFonts w:eastAsia="Times New Roman"/>
          <w:b/>
          <w:bCs/>
          <w:smallCaps/>
          <w:color w:val="000000"/>
          <w:kern w:val="36"/>
          <w:sz w:val="26"/>
          <w:szCs w:val="26"/>
        </w:rPr>
        <w:t xml:space="preserve">  Zhvillimet fiskale gjatë 9</w:t>
      </w:r>
      <w:r w:rsidRPr="009C5122">
        <w:rPr>
          <w:rFonts w:eastAsia="Times New Roman"/>
          <w:b/>
          <w:bCs/>
          <w:smallCaps/>
          <w:color w:val="000000"/>
          <w:kern w:val="36"/>
          <w:sz w:val="26"/>
          <w:szCs w:val="26"/>
        </w:rPr>
        <w:t>-mujorit 2017</w:t>
      </w:r>
      <w:bookmarkEnd w:id="108"/>
      <w:r w:rsidRPr="009C5122">
        <w:rPr>
          <w:rFonts w:eastAsia="Times New Roman"/>
          <w:smallCaps/>
          <w:color w:val="000000"/>
          <w:kern w:val="36"/>
          <w:sz w:val="26"/>
          <w:szCs w:val="26"/>
        </w:rPr>
        <w:t xml:space="preserve"> </w:t>
      </w:r>
    </w:p>
    <w:p w:rsidR="004A28C7" w:rsidRPr="00A66D0D" w:rsidRDefault="00A635B4" w:rsidP="00A66D0D">
      <w:pPr>
        <w:pStyle w:val="NormalWeb"/>
        <w:spacing w:line="276" w:lineRule="auto"/>
        <w:jc w:val="both"/>
        <w:rPr>
          <w:lang w:val="it-IT"/>
        </w:rPr>
      </w:pPr>
      <w:r w:rsidRPr="00AD0135">
        <w:rPr>
          <w:rStyle w:val="Strong"/>
          <w:i/>
          <w:lang w:val="it-IT"/>
        </w:rPr>
        <w:t>Të ardhurat nga “Tatime dhe Dogana”</w:t>
      </w:r>
      <w:r w:rsidRPr="00AD0135">
        <w:rPr>
          <w:rStyle w:val="Strong"/>
          <w:lang w:val="it-IT"/>
        </w:rPr>
        <w:t xml:space="preserve"> </w:t>
      </w:r>
      <w:r w:rsidRPr="00AD0135">
        <w:rPr>
          <w:lang w:val="it-IT"/>
        </w:rPr>
        <w:t xml:space="preserve">(përfshirë kontributet e mbledhura nga DPT)  për </w:t>
      </w:r>
      <w:r>
        <w:rPr>
          <w:lang w:val="it-IT"/>
        </w:rPr>
        <w:t xml:space="preserve">9 </w:t>
      </w:r>
      <w:r w:rsidRPr="00AD0135">
        <w:rPr>
          <w:lang w:val="it-IT"/>
        </w:rPr>
        <w:t xml:space="preserve">mujorin 2017, u realizuan në vlerën </w:t>
      </w:r>
      <w:r>
        <w:rPr>
          <w:lang w:val="it-IT"/>
        </w:rPr>
        <w:t>279.8</w:t>
      </w:r>
      <w:r w:rsidRPr="00AD0135">
        <w:rPr>
          <w:lang w:val="it-IT"/>
        </w:rPr>
        <w:t xml:space="preserve"> </w:t>
      </w:r>
      <w:r>
        <w:rPr>
          <w:lang w:val="it-IT"/>
        </w:rPr>
        <w:t>miliard</w:t>
      </w:r>
      <w:r w:rsidRPr="00AD0135">
        <w:rPr>
          <w:lang w:val="it-IT"/>
        </w:rPr>
        <w:t xml:space="preserve"> lekë, </w:t>
      </w:r>
      <w:r>
        <w:rPr>
          <w:lang w:val="it-IT"/>
        </w:rPr>
        <w:t>20.2</w:t>
      </w:r>
      <w:r w:rsidRPr="00AD0135">
        <w:rPr>
          <w:lang w:val="it-IT"/>
        </w:rPr>
        <w:t xml:space="preserve"> </w:t>
      </w:r>
      <w:r>
        <w:rPr>
          <w:lang w:val="it-IT"/>
        </w:rPr>
        <w:t>miliard</w:t>
      </w:r>
      <w:r w:rsidRPr="00AD0135">
        <w:rPr>
          <w:lang w:val="it-IT"/>
        </w:rPr>
        <w:t xml:space="preserve"> lekë ose </w:t>
      </w:r>
      <w:r>
        <w:rPr>
          <w:lang w:val="it-IT"/>
        </w:rPr>
        <w:t>7.8</w:t>
      </w:r>
      <w:r w:rsidRPr="00AD0135">
        <w:rPr>
          <w:lang w:val="it-IT"/>
        </w:rPr>
        <w:t xml:space="preserve">%  më shumë se </w:t>
      </w:r>
      <w:r>
        <w:rPr>
          <w:lang w:val="it-IT"/>
        </w:rPr>
        <w:t>9</w:t>
      </w:r>
      <w:r w:rsidRPr="00AD0135">
        <w:rPr>
          <w:lang w:val="it-IT"/>
        </w:rPr>
        <w:t xml:space="preserve"> mujori i vitit 2016 dhe  </w:t>
      </w:r>
      <w:r>
        <w:rPr>
          <w:lang w:val="it-IT"/>
        </w:rPr>
        <w:t>1.5</w:t>
      </w:r>
      <w:r w:rsidRPr="00AD0135">
        <w:rPr>
          <w:lang w:val="it-IT"/>
        </w:rPr>
        <w:t xml:space="preserve"> </w:t>
      </w:r>
      <w:r>
        <w:rPr>
          <w:lang w:val="it-IT"/>
        </w:rPr>
        <w:t>miliard</w:t>
      </w:r>
      <w:r w:rsidRPr="00AD0135">
        <w:rPr>
          <w:lang w:val="it-IT"/>
        </w:rPr>
        <w:t xml:space="preserve"> lekë ose </w:t>
      </w:r>
      <w:r>
        <w:rPr>
          <w:lang w:val="it-IT"/>
        </w:rPr>
        <w:t>0.6</w:t>
      </w:r>
      <w:r w:rsidR="00A66D0D">
        <w:rPr>
          <w:lang w:val="it-IT"/>
        </w:rPr>
        <w:t xml:space="preserve">% më shumë se plani. </w:t>
      </w:r>
    </w:p>
    <w:p w:rsidR="004A28C7" w:rsidRDefault="004A28C7" w:rsidP="00A635B4">
      <w:pPr>
        <w:tabs>
          <w:tab w:val="left" w:pos="2511"/>
          <w:tab w:val="center" w:pos="4680"/>
        </w:tabs>
        <w:spacing w:line="276" w:lineRule="auto"/>
        <w:jc w:val="both"/>
        <w:rPr>
          <w:rFonts w:eastAsia="Times New Roman"/>
          <w:b/>
          <w:sz w:val="22"/>
          <w:szCs w:val="20"/>
          <w:lang w:val="sq-AL"/>
        </w:rPr>
      </w:pPr>
    </w:p>
    <w:p w:rsidR="00A635B4" w:rsidRPr="004A28C7" w:rsidRDefault="00F77E64" w:rsidP="00A635B4">
      <w:pPr>
        <w:tabs>
          <w:tab w:val="left" w:pos="2511"/>
          <w:tab w:val="center" w:pos="4680"/>
        </w:tabs>
        <w:spacing w:line="276" w:lineRule="auto"/>
        <w:jc w:val="both"/>
        <w:rPr>
          <w:rFonts w:eastAsia="Calibri"/>
          <w:i/>
          <w:sz w:val="22"/>
          <w:szCs w:val="20"/>
          <w:lang w:val="sq-AL"/>
        </w:rPr>
      </w:pPr>
      <w:r w:rsidRPr="004A28C7">
        <w:rPr>
          <w:rFonts w:eastAsia="Times New Roman"/>
          <w:b/>
          <w:lang w:val="sq-AL"/>
        </w:rPr>
        <w:t>Tabela</w:t>
      </w:r>
      <w:r w:rsidR="00C04EF4" w:rsidRPr="004A28C7">
        <w:rPr>
          <w:rFonts w:eastAsia="Times New Roman"/>
          <w:b/>
          <w:lang w:val="sq-AL"/>
        </w:rPr>
        <w:t xml:space="preserve"> </w:t>
      </w:r>
      <w:r w:rsidRPr="004A28C7">
        <w:rPr>
          <w:rFonts w:eastAsia="Times New Roman"/>
          <w:b/>
          <w:lang w:val="sq-AL"/>
        </w:rPr>
        <w:t>1</w:t>
      </w:r>
      <w:r w:rsidR="004A28C7" w:rsidRPr="004A28C7">
        <w:rPr>
          <w:rFonts w:eastAsia="Times New Roman"/>
          <w:b/>
          <w:lang w:val="sq-AL"/>
        </w:rPr>
        <w:t>7</w:t>
      </w:r>
      <w:r w:rsidRPr="004A28C7">
        <w:rPr>
          <w:rFonts w:eastAsia="Times New Roman"/>
          <w:b/>
          <w:lang w:val="sq-AL"/>
        </w:rPr>
        <w:t xml:space="preserve">: </w:t>
      </w:r>
      <w:r w:rsidR="00A635B4" w:rsidRPr="004A28C7">
        <w:rPr>
          <w:rFonts w:eastAsia="Times New Roman"/>
          <w:b/>
          <w:lang w:val="sq-AL"/>
        </w:rPr>
        <w:t xml:space="preserve"> </w:t>
      </w:r>
      <w:r w:rsidR="00A635B4" w:rsidRPr="004A28C7">
        <w:rPr>
          <w:rFonts w:eastAsia="Times New Roman"/>
          <w:lang w:val="sq-AL"/>
        </w:rPr>
        <w:t>Performanca DPD+DPT Janar- Shtator 2017</w:t>
      </w:r>
      <w:r w:rsidR="00A635B4" w:rsidRPr="00F77E64">
        <w:rPr>
          <w:rFonts w:eastAsia="Times New Roman"/>
          <w:b/>
          <w:sz w:val="22"/>
          <w:lang w:val="sq-AL"/>
        </w:rPr>
        <w:t xml:space="preserve">              </w:t>
      </w:r>
      <w:r w:rsidR="00A635B4" w:rsidRPr="00F77E64">
        <w:rPr>
          <w:rFonts w:eastAsia="Times New Roman"/>
          <w:b/>
          <w:sz w:val="22"/>
          <w:lang w:val="sq-AL"/>
        </w:rPr>
        <w:tab/>
      </w:r>
      <w:r w:rsidR="00A635B4" w:rsidRPr="00F77E64">
        <w:rPr>
          <w:rFonts w:eastAsia="Times New Roman"/>
          <w:b/>
          <w:sz w:val="22"/>
          <w:lang w:val="sq-AL"/>
        </w:rPr>
        <w:tab/>
        <w:t xml:space="preserve">                    </w:t>
      </w:r>
      <w:r w:rsidR="00A635B4" w:rsidRPr="004A28C7">
        <w:rPr>
          <w:rFonts w:eastAsia="Calibri"/>
          <w:i/>
          <w:sz w:val="22"/>
          <w:szCs w:val="20"/>
          <w:lang w:val="sq-AL"/>
        </w:rPr>
        <w:t>(në milion lekë)</w:t>
      </w:r>
    </w:p>
    <w:tbl>
      <w:tblPr>
        <w:tblW w:w="10463" w:type="dxa"/>
        <w:tblCellMar>
          <w:left w:w="0" w:type="dxa"/>
          <w:right w:w="0" w:type="dxa"/>
        </w:tblCellMar>
        <w:tblLook w:val="0600" w:firstRow="0" w:lastRow="0" w:firstColumn="0" w:lastColumn="0" w:noHBand="1" w:noVBand="1"/>
      </w:tblPr>
      <w:tblGrid>
        <w:gridCol w:w="2404"/>
        <w:gridCol w:w="1172"/>
        <w:gridCol w:w="1361"/>
        <w:gridCol w:w="1172"/>
        <w:gridCol w:w="918"/>
        <w:gridCol w:w="1409"/>
        <w:gridCol w:w="1045"/>
        <w:gridCol w:w="982"/>
      </w:tblGrid>
      <w:tr w:rsidR="00A635B4" w:rsidRPr="005D3A17" w:rsidTr="00304F33">
        <w:trPr>
          <w:trHeight w:val="673"/>
        </w:trPr>
        <w:tc>
          <w:tcPr>
            <w:tcW w:w="2404"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Lloji i taksave</w:t>
            </w:r>
          </w:p>
        </w:tc>
        <w:tc>
          <w:tcPr>
            <w:tcW w:w="1172"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 xml:space="preserve">Fakt </w:t>
            </w:r>
            <w:r w:rsidRPr="005D3A17">
              <w:rPr>
                <w:rFonts w:eastAsia="Calibri"/>
                <w:b/>
                <w:bCs/>
                <w:i/>
                <w:sz w:val="16"/>
                <w:szCs w:val="16"/>
              </w:rPr>
              <w:t>9</w:t>
            </w:r>
            <w:r w:rsidRPr="005D3A17">
              <w:rPr>
                <w:rFonts w:eastAsia="Calibri"/>
                <w:b/>
                <w:bCs/>
                <w:i/>
                <w:sz w:val="16"/>
                <w:szCs w:val="16"/>
                <w:lang w:val="sq-AL"/>
              </w:rPr>
              <w:t>-mujor 2016</w:t>
            </w:r>
          </w:p>
        </w:tc>
        <w:tc>
          <w:tcPr>
            <w:tcW w:w="1361"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 xml:space="preserve">Fakt </w:t>
            </w:r>
            <w:r w:rsidRPr="005D3A17">
              <w:rPr>
                <w:rFonts w:eastAsia="Calibri"/>
                <w:b/>
                <w:bCs/>
                <w:i/>
                <w:sz w:val="16"/>
                <w:szCs w:val="16"/>
              </w:rPr>
              <w:t>9</w:t>
            </w:r>
            <w:r w:rsidRPr="005D3A17">
              <w:rPr>
                <w:rFonts w:eastAsia="Calibri"/>
                <w:b/>
                <w:bCs/>
                <w:i/>
                <w:sz w:val="16"/>
                <w:szCs w:val="16"/>
                <w:lang w:val="sq-AL"/>
              </w:rPr>
              <w:t>-mujor 2017</w:t>
            </w:r>
          </w:p>
        </w:tc>
        <w:tc>
          <w:tcPr>
            <w:tcW w:w="1172"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Plan</w:t>
            </w:r>
            <w:r w:rsidRPr="005D3A17">
              <w:rPr>
                <w:rFonts w:eastAsia="Calibri"/>
                <w:b/>
                <w:bCs/>
                <w:i/>
                <w:sz w:val="16"/>
                <w:szCs w:val="16"/>
              </w:rPr>
              <w:t xml:space="preserve"> 9</w:t>
            </w:r>
            <w:r w:rsidRPr="005D3A17">
              <w:rPr>
                <w:rFonts w:eastAsia="Calibri"/>
                <w:b/>
                <w:bCs/>
                <w:i/>
                <w:sz w:val="16"/>
                <w:szCs w:val="16"/>
                <w:lang w:val="sq-AL"/>
              </w:rPr>
              <w:t>-mujor  2017</w:t>
            </w:r>
          </w:p>
        </w:tc>
        <w:tc>
          <w:tcPr>
            <w:tcW w:w="918"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Diferenca 2017/2016</w:t>
            </w:r>
          </w:p>
        </w:tc>
        <w:tc>
          <w:tcPr>
            <w:tcW w:w="1409"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Ndryshimi në % 2017/2016</w:t>
            </w:r>
          </w:p>
        </w:tc>
        <w:tc>
          <w:tcPr>
            <w:tcW w:w="1045"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center"/>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Diferenca Fakt/ Plan 2017</w:t>
            </w:r>
          </w:p>
        </w:tc>
        <w:tc>
          <w:tcPr>
            <w:tcW w:w="982" w:type="dxa"/>
            <w:tcBorders>
              <w:top w:val="single" w:sz="4" w:space="0" w:color="000000"/>
              <w:left w:val="nil"/>
              <w:bottom w:val="single" w:sz="8" w:space="0" w:color="000000"/>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sz w:val="16"/>
                <w:szCs w:val="16"/>
                <w:lang w:val="sq-AL"/>
              </w:rPr>
              <w:t>Ndryshimi në %  Fakt/Plan 2017</w:t>
            </w:r>
          </w:p>
        </w:tc>
      </w:tr>
      <w:tr w:rsidR="00A635B4" w:rsidRPr="005D3A17" w:rsidTr="00304F33">
        <w:trPr>
          <w:trHeight w:val="230"/>
        </w:trPr>
        <w:tc>
          <w:tcPr>
            <w:tcW w:w="240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Tvsh në import</w:t>
            </w:r>
          </w:p>
        </w:tc>
        <w:tc>
          <w:tcPr>
            <w:tcW w:w="1172"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71,341</w:t>
            </w:r>
          </w:p>
        </w:tc>
        <w:tc>
          <w:tcPr>
            <w:tcW w:w="1361"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75,597</w:t>
            </w:r>
          </w:p>
        </w:tc>
        <w:tc>
          <w:tcPr>
            <w:tcW w:w="1172"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75,138</w:t>
            </w:r>
          </w:p>
        </w:tc>
        <w:tc>
          <w:tcPr>
            <w:tcW w:w="918"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4,256</w:t>
            </w:r>
          </w:p>
        </w:tc>
        <w:tc>
          <w:tcPr>
            <w:tcW w:w="1409"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5.97%</w:t>
            </w:r>
          </w:p>
        </w:tc>
        <w:tc>
          <w:tcPr>
            <w:tcW w:w="104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459</w:t>
            </w:r>
          </w:p>
        </w:tc>
        <w:tc>
          <w:tcPr>
            <w:tcW w:w="982"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0.61%</w:t>
            </w:r>
          </w:p>
        </w:tc>
      </w:tr>
      <w:tr w:rsidR="00A635B4" w:rsidRPr="005D3A17" w:rsidTr="00304F33">
        <w:trPr>
          <w:trHeight w:val="356"/>
        </w:trPr>
        <w:tc>
          <w:tcPr>
            <w:tcW w:w="2404"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Tvsh brenda vendit</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24,941</w:t>
            </w:r>
          </w:p>
        </w:tc>
        <w:tc>
          <w:tcPr>
            <w:tcW w:w="1361"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26,323</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26,430</w:t>
            </w:r>
          </w:p>
        </w:tc>
        <w:tc>
          <w:tcPr>
            <w:tcW w:w="918"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1,382</w:t>
            </w:r>
          </w:p>
        </w:tc>
        <w:tc>
          <w:tcPr>
            <w:tcW w:w="1409"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5.54%</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-107</w:t>
            </w:r>
          </w:p>
        </w:tc>
        <w:tc>
          <w:tcPr>
            <w:tcW w:w="98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-0.40%</w:t>
            </w:r>
          </w:p>
        </w:tc>
      </w:tr>
      <w:tr w:rsidR="00A635B4" w:rsidRPr="005D3A17" w:rsidTr="00304F33">
        <w:trPr>
          <w:trHeight w:val="230"/>
        </w:trPr>
        <w:tc>
          <w:tcPr>
            <w:tcW w:w="2404"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Tatimi mbi fitimi</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21,733</w:t>
            </w:r>
          </w:p>
        </w:tc>
        <w:tc>
          <w:tcPr>
            <w:tcW w:w="1361"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23,465</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23,440</w:t>
            </w:r>
          </w:p>
        </w:tc>
        <w:tc>
          <w:tcPr>
            <w:tcW w:w="918"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1,732</w:t>
            </w:r>
          </w:p>
        </w:tc>
        <w:tc>
          <w:tcPr>
            <w:tcW w:w="1409"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7.97%</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25</w:t>
            </w:r>
          </w:p>
        </w:tc>
        <w:tc>
          <w:tcPr>
            <w:tcW w:w="98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0.11%</w:t>
            </w:r>
          </w:p>
        </w:tc>
      </w:tr>
      <w:tr w:rsidR="00A635B4" w:rsidRPr="005D3A17" w:rsidTr="00304F33">
        <w:trPr>
          <w:trHeight w:val="368"/>
        </w:trPr>
        <w:tc>
          <w:tcPr>
            <w:tcW w:w="2404"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Akciza</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30,979</w:t>
            </w:r>
          </w:p>
        </w:tc>
        <w:tc>
          <w:tcPr>
            <w:tcW w:w="1361"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33,921</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33,911</w:t>
            </w:r>
          </w:p>
        </w:tc>
        <w:tc>
          <w:tcPr>
            <w:tcW w:w="918"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2,942</w:t>
            </w:r>
          </w:p>
        </w:tc>
        <w:tc>
          <w:tcPr>
            <w:tcW w:w="1409"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9.50%</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10</w:t>
            </w:r>
          </w:p>
        </w:tc>
        <w:tc>
          <w:tcPr>
            <w:tcW w:w="98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0.03%</w:t>
            </w:r>
          </w:p>
        </w:tc>
      </w:tr>
      <w:tr w:rsidR="00A635B4" w:rsidRPr="005D3A17" w:rsidTr="00304F33">
        <w:trPr>
          <w:trHeight w:val="294"/>
        </w:trPr>
        <w:tc>
          <w:tcPr>
            <w:tcW w:w="2404"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it-IT"/>
              </w:rPr>
              <w:t>Tatimi mbi të ardhurat personale</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24,407</w:t>
            </w:r>
          </w:p>
        </w:tc>
        <w:tc>
          <w:tcPr>
            <w:tcW w:w="1361"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24,528</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25,474</w:t>
            </w:r>
          </w:p>
        </w:tc>
        <w:tc>
          <w:tcPr>
            <w:tcW w:w="918"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121</w:t>
            </w:r>
          </w:p>
        </w:tc>
        <w:tc>
          <w:tcPr>
            <w:tcW w:w="1409"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0.50%</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-946</w:t>
            </w:r>
          </w:p>
        </w:tc>
        <w:tc>
          <w:tcPr>
            <w:tcW w:w="98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-3.71%</w:t>
            </w:r>
          </w:p>
        </w:tc>
      </w:tr>
      <w:tr w:rsidR="00A635B4" w:rsidRPr="005D3A17" w:rsidTr="00304F33">
        <w:trPr>
          <w:trHeight w:val="334"/>
        </w:trPr>
        <w:tc>
          <w:tcPr>
            <w:tcW w:w="2404"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Taksat nacionale</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24,125</w:t>
            </w:r>
          </w:p>
        </w:tc>
        <w:tc>
          <w:tcPr>
            <w:tcW w:w="1361"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28,261</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27,971</w:t>
            </w:r>
          </w:p>
        </w:tc>
        <w:tc>
          <w:tcPr>
            <w:tcW w:w="918"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4,136</w:t>
            </w:r>
          </w:p>
        </w:tc>
        <w:tc>
          <w:tcPr>
            <w:tcW w:w="1409"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17.14%</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290</w:t>
            </w:r>
          </w:p>
        </w:tc>
        <w:tc>
          <w:tcPr>
            <w:tcW w:w="98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1.04%</w:t>
            </w:r>
          </w:p>
        </w:tc>
      </w:tr>
      <w:tr w:rsidR="00A635B4" w:rsidRPr="005D3A17" w:rsidTr="00304F33">
        <w:trPr>
          <w:trHeight w:val="299"/>
        </w:trPr>
        <w:tc>
          <w:tcPr>
            <w:tcW w:w="2404"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Renta</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2,014</w:t>
            </w:r>
          </w:p>
        </w:tc>
        <w:tc>
          <w:tcPr>
            <w:tcW w:w="1361"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1,738</w:t>
            </w:r>
          </w:p>
        </w:tc>
        <w:tc>
          <w:tcPr>
            <w:tcW w:w="117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1,674</w:t>
            </w:r>
          </w:p>
        </w:tc>
        <w:tc>
          <w:tcPr>
            <w:tcW w:w="918"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-276</w:t>
            </w:r>
          </w:p>
        </w:tc>
        <w:tc>
          <w:tcPr>
            <w:tcW w:w="1409"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-13.70%</w:t>
            </w:r>
          </w:p>
        </w:tc>
        <w:tc>
          <w:tcPr>
            <w:tcW w:w="1045"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64</w:t>
            </w:r>
          </w:p>
        </w:tc>
        <w:tc>
          <w:tcPr>
            <w:tcW w:w="982" w:type="dxa"/>
            <w:tcBorders>
              <w:top w:val="nil"/>
              <w:left w:val="nil"/>
              <w:bottom w:val="nil"/>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3.82%</w:t>
            </w:r>
          </w:p>
        </w:tc>
      </w:tr>
      <w:tr w:rsidR="00A635B4" w:rsidRPr="005D3A17" w:rsidTr="00304F33">
        <w:trPr>
          <w:trHeight w:val="288"/>
        </w:trPr>
        <w:tc>
          <w:tcPr>
            <w:tcW w:w="2404"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lang w:val="sq-AL"/>
              </w:rPr>
              <w:t>Taksë doganore</w:t>
            </w:r>
          </w:p>
        </w:tc>
        <w:tc>
          <w:tcPr>
            <w:tcW w:w="1172"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4,437</w:t>
            </w:r>
          </w:p>
        </w:tc>
        <w:tc>
          <w:tcPr>
            <w:tcW w:w="136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4,774</w:t>
            </w:r>
          </w:p>
        </w:tc>
        <w:tc>
          <w:tcPr>
            <w:tcW w:w="1172"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4,769</w:t>
            </w:r>
          </w:p>
        </w:tc>
        <w:tc>
          <w:tcPr>
            <w:tcW w:w="91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337</w:t>
            </w:r>
          </w:p>
        </w:tc>
        <w:tc>
          <w:tcPr>
            <w:tcW w:w="1409"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7.60%</w:t>
            </w:r>
          </w:p>
        </w:tc>
        <w:tc>
          <w:tcPr>
            <w:tcW w:w="1045"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5</w:t>
            </w:r>
          </w:p>
        </w:tc>
        <w:tc>
          <w:tcPr>
            <w:tcW w:w="982"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sz w:val="16"/>
                <w:szCs w:val="16"/>
              </w:rPr>
              <w:t>0.10%</w:t>
            </w:r>
          </w:p>
        </w:tc>
      </w:tr>
      <w:tr w:rsidR="00A635B4" w:rsidRPr="005D3A17" w:rsidTr="00304F33">
        <w:trPr>
          <w:trHeight w:val="230"/>
        </w:trPr>
        <w:tc>
          <w:tcPr>
            <w:tcW w:w="2404"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lang w:val="sq-AL"/>
              </w:rPr>
              <w:t>TOTALI TATIME + DOGANA</w:t>
            </w:r>
          </w:p>
        </w:tc>
        <w:tc>
          <w:tcPr>
            <w:tcW w:w="1172"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203,977</w:t>
            </w:r>
          </w:p>
        </w:tc>
        <w:tc>
          <w:tcPr>
            <w:tcW w:w="1361"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218,607</w:t>
            </w:r>
          </w:p>
        </w:tc>
        <w:tc>
          <w:tcPr>
            <w:tcW w:w="1172"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218,807</w:t>
            </w:r>
          </w:p>
        </w:tc>
        <w:tc>
          <w:tcPr>
            <w:tcW w:w="918"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14,630</w:t>
            </w:r>
          </w:p>
        </w:tc>
        <w:tc>
          <w:tcPr>
            <w:tcW w:w="1409"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7.17%</w:t>
            </w:r>
          </w:p>
        </w:tc>
        <w:tc>
          <w:tcPr>
            <w:tcW w:w="1045"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-200</w:t>
            </w:r>
          </w:p>
        </w:tc>
        <w:tc>
          <w:tcPr>
            <w:tcW w:w="982" w:type="dxa"/>
            <w:tcBorders>
              <w:top w:val="single" w:sz="4" w:space="0" w:color="auto"/>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-0.09%</w:t>
            </w:r>
          </w:p>
        </w:tc>
      </w:tr>
      <w:tr w:rsidR="00A635B4" w:rsidRPr="005D3A17" w:rsidTr="00304F33">
        <w:trPr>
          <w:trHeight w:val="230"/>
        </w:trPr>
        <w:tc>
          <w:tcPr>
            <w:tcW w:w="2404"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i/>
                <w:iCs/>
                <w:sz w:val="16"/>
                <w:szCs w:val="16"/>
                <w:lang w:val="sq-AL"/>
              </w:rPr>
              <w:t>Kontributet e mbledhura (DPT)</w:t>
            </w:r>
          </w:p>
        </w:tc>
        <w:tc>
          <w:tcPr>
            <w:tcW w:w="1172"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55,562</w:t>
            </w:r>
          </w:p>
        </w:tc>
        <w:tc>
          <w:tcPr>
            <w:tcW w:w="1361"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61,150</w:t>
            </w:r>
          </w:p>
        </w:tc>
        <w:tc>
          <w:tcPr>
            <w:tcW w:w="1172"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59,420</w:t>
            </w:r>
          </w:p>
        </w:tc>
        <w:tc>
          <w:tcPr>
            <w:tcW w:w="918"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5,588</w:t>
            </w:r>
          </w:p>
        </w:tc>
        <w:tc>
          <w:tcPr>
            <w:tcW w:w="1409"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10.06%</w:t>
            </w:r>
          </w:p>
        </w:tc>
        <w:tc>
          <w:tcPr>
            <w:tcW w:w="1045"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1,730</w:t>
            </w:r>
          </w:p>
        </w:tc>
        <w:tc>
          <w:tcPr>
            <w:tcW w:w="982" w:type="dxa"/>
            <w:tcBorders>
              <w:top w:val="nil"/>
              <w:left w:val="nil"/>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2.91%</w:t>
            </w:r>
          </w:p>
        </w:tc>
      </w:tr>
      <w:tr w:rsidR="00A635B4" w:rsidRPr="00C200C6" w:rsidTr="00304F33">
        <w:trPr>
          <w:trHeight w:val="415"/>
        </w:trPr>
        <w:tc>
          <w:tcPr>
            <w:tcW w:w="2404"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lang w:val="it-IT"/>
              </w:rPr>
              <w:t>TOTALI TATIME + DOGANA (përfshirë kontributet)</w:t>
            </w:r>
          </w:p>
        </w:tc>
        <w:tc>
          <w:tcPr>
            <w:tcW w:w="1172"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259,539</w:t>
            </w:r>
          </w:p>
        </w:tc>
        <w:tc>
          <w:tcPr>
            <w:tcW w:w="1361"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279,757</w:t>
            </w:r>
          </w:p>
        </w:tc>
        <w:tc>
          <w:tcPr>
            <w:tcW w:w="1172"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278,227</w:t>
            </w:r>
          </w:p>
        </w:tc>
        <w:tc>
          <w:tcPr>
            <w:tcW w:w="918"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20,218</w:t>
            </w:r>
          </w:p>
        </w:tc>
        <w:tc>
          <w:tcPr>
            <w:tcW w:w="1409"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7.79%</w:t>
            </w:r>
          </w:p>
        </w:tc>
        <w:tc>
          <w:tcPr>
            <w:tcW w:w="1045"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5D3A17"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1,530</w:t>
            </w:r>
          </w:p>
        </w:tc>
        <w:tc>
          <w:tcPr>
            <w:tcW w:w="982" w:type="dxa"/>
            <w:tcBorders>
              <w:left w:val="nil"/>
              <w:bottom w:val="single" w:sz="4" w:space="0" w:color="auto"/>
              <w:right w:val="nil"/>
            </w:tcBorders>
            <w:shd w:val="clear" w:color="auto" w:fill="D9D9D9" w:themeFill="background1" w:themeFillShade="D9"/>
            <w:tcMar>
              <w:top w:w="15" w:type="dxa"/>
              <w:left w:w="15" w:type="dxa"/>
              <w:bottom w:w="0" w:type="dxa"/>
              <w:right w:w="15" w:type="dxa"/>
            </w:tcMar>
            <w:vAlign w:val="bottom"/>
            <w:hideMark/>
          </w:tcPr>
          <w:p w:rsidR="00A635B4" w:rsidRPr="00C200C6" w:rsidRDefault="00A635B4" w:rsidP="00304F33">
            <w:pPr>
              <w:tabs>
                <w:tab w:val="left" w:pos="2511"/>
                <w:tab w:val="center" w:pos="4680"/>
              </w:tabs>
              <w:spacing w:line="276" w:lineRule="auto"/>
              <w:jc w:val="both"/>
              <w:rPr>
                <w:rFonts w:eastAsia="Calibri"/>
                <w:i/>
                <w:sz w:val="16"/>
                <w:szCs w:val="16"/>
              </w:rPr>
            </w:pPr>
            <w:r w:rsidRPr="005D3A17">
              <w:rPr>
                <w:rFonts w:eastAsia="Calibri"/>
                <w:b/>
                <w:bCs/>
                <w:i/>
                <w:iCs/>
                <w:sz w:val="16"/>
                <w:szCs w:val="16"/>
              </w:rPr>
              <w:t>0.55%</w:t>
            </w:r>
          </w:p>
        </w:tc>
      </w:tr>
    </w:tbl>
    <w:p w:rsidR="00A635B4" w:rsidRDefault="00A635B4" w:rsidP="00A635B4">
      <w:pPr>
        <w:tabs>
          <w:tab w:val="left" w:pos="2511"/>
          <w:tab w:val="center" w:pos="4680"/>
        </w:tabs>
        <w:spacing w:line="276" w:lineRule="auto"/>
        <w:jc w:val="both"/>
        <w:rPr>
          <w:i/>
          <w:sz w:val="20"/>
          <w:szCs w:val="20"/>
          <w:lang w:val="sq-AL"/>
        </w:rPr>
      </w:pPr>
      <w:r w:rsidRPr="00654734">
        <w:rPr>
          <w:b/>
          <w:sz w:val="20"/>
          <w:szCs w:val="20"/>
          <w:lang w:val="sq-AL"/>
        </w:rPr>
        <w:t xml:space="preserve"> 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 xml:space="preserve">dhe Ekonomisë </w:t>
      </w:r>
      <w:r w:rsidRPr="00654734">
        <w:rPr>
          <w:i/>
          <w:sz w:val="20"/>
          <w:szCs w:val="20"/>
          <w:lang w:val="sq-AL"/>
        </w:rPr>
        <w:t>(2017)</w:t>
      </w:r>
    </w:p>
    <w:p w:rsidR="00A635B4" w:rsidRDefault="00A635B4" w:rsidP="00A635B4">
      <w:pPr>
        <w:tabs>
          <w:tab w:val="left" w:pos="2511"/>
          <w:tab w:val="center" w:pos="4680"/>
        </w:tabs>
        <w:spacing w:line="276" w:lineRule="auto"/>
        <w:jc w:val="both"/>
        <w:rPr>
          <w:rFonts w:eastAsia="Calibri"/>
          <w:b/>
          <w:i/>
          <w:lang w:val="sq-AL"/>
        </w:rPr>
      </w:pPr>
    </w:p>
    <w:p w:rsidR="00A635B4" w:rsidRPr="00654734" w:rsidRDefault="00A635B4" w:rsidP="00A635B4">
      <w:pPr>
        <w:tabs>
          <w:tab w:val="left" w:pos="2511"/>
          <w:tab w:val="center" w:pos="4680"/>
        </w:tabs>
        <w:spacing w:line="276" w:lineRule="auto"/>
        <w:jc w:val="both"/>
        <w:rPr>
          <w:rFonts w:eastAsia="Times New Roman"/>
          <w:i/>
          <w:lang w:val="sq-AL"/>
        </w:rPr>
      </w:pPr>
      <w:r w:rsidRPr="00654734">
        <w:rPr>
          <w:rFonts w:eastAsia="Calibri"/>
          <w:b/>
          <w:i/>
          <w:lang w:val="sq-AL"/>
        </w:rPr>
        <w:t>D</w:t>
      </w:r>
      <w:r w:rsidRPr="00654734">
        <w:rPr>
          <w:rFonts w:eastAsia="Times New Roman"/>
          <w:b/>
          <w:bCs/>
          <w:i/>
          <w:lang w:val="sq-AL"/>
        </w:rPr>
        <w:t>rejtoria e Përgjithshme e Doganave</w:t>
      </w:r>
    </w:p>
    <w:p w:rsidR="00A635B4" w:rsidRPr="00654734" w:rsidRDefault="00A635B4" w:rsidP="00A635B4">
      <w:pPr>
        <w:tabs>
          <w:tab w:val="left" w:pos="2511"/>
          <w:tab w:val="center" w:pos="4680"/>
        </w:tabs>
        <w:spacing w:before="100" w:line="276" w:lineRule="auto"/>
        <w:jc w:val="both"/>
        <w:rPr>
          <w:rFonts w:eastAsia="Times New Roman"/>
          <w:lang w:val="sq-AL"/>
        </w:rPr>
      </w:pPr>
      <w:r w:rsidRPr="00654734">
        <w:rPr>
          <w:rFonts w:eastAsia="Times New Roman"/>
          <w:lang w:val="sq-AL"/>
        </w:rPr>
        <w:t>Drejtoria</w:t>
      </w:r>
      <w:r>
        <w:rPr>
          <w:rFonts w:eastAsia="Times New Roman"/>
          <w:lang w:val="sq-AL"/>
        </w:rPr>
        <w:t xml:space="preserve"> e Përgjithshme e Doganave për 9</w:t>
      </w:r>
      <w:r w:rsidRPr="00654734">
        <w:rPr>
          <w:rFonts w:eastAsia="Times New Roman"/>
          <w:lang w:val="sq-AL"/>
        </w:rPr>
        <w:t xml:space="preserve">-mujorin e vitit 2017, ka performuar në masën </w:t>
      </w:r>
      <w:r>
        <w:rPr>
          <w:rFonts w:eastAsia="Times New Roman"/>
          <w:lang w:val="sq-AL"/>
        </w:rPr>
        <w:t>100.5%, ose në vlerën 538 milion</w:t>
      </w:r>
      <w:r w:rsidRPr="00654734">
        <w:rPr>
          <w:rFonts w:eastAsia="Times New Roman"/>
          <w:lang w:val="sq-AL"/>
        </w:rPr>
        <w:t xml:space="preserve"> lekë. Krahasuar me të njëjtën periudhë të vitit 2016, ka një tejkalim për këtë periudhë në</w:t>
      </w:r>
      <w:r>
        <w:rPr>
          <w:rFonts w:eastAsia="Times New Roman"/>
          <w:lang w:val="sq-AL"/>
        </w:rPr>
        <w:t xml:space="preserve"> masën 6.7%, ose në vlerën 7.3</w:t>
      </w:r>
      <w:r w:rsidRPr="00654734">
        <w:rPr>
          <w:rFonts w:eastAsia="Times New Roman"/>
          <w:lang w:val="sq-AL"/>
        </w:rPr>
        <w:t xml:space="preserve"> </w:t>
      </w:r>
      <w:r>
        <w:rPr>
          <w:rFonts w:eastAsia="Times New Roman"/>
          <w:lang w:val="sq-AL"/>
        </w:rPr>
        <w:t>miliard</w:t>
      </w:r>
      <w:r w:rsidRPr="00654734">
        <w:rPr>
          <w:rFonts w:eastAsia="Times New Roman"/>
          <w:lang w:val="sq-AL"/>
        </w:rPr>
        <w:t xml:space="preserve"> lekë. </w:t>
      </w:r>
    </w:p>
    <w:p w:rsidR="00E1102D" w:rsidRDefault="00F77E64" w:rsidP="00A635B4">
      <w:pPr>
        <w:tabs>
          <w:tab w:val="left" w:pos="2511"/>
          <w:tab w:val="center" w:pos="4680"/>
        </w:tabs>
        <w:spacing w:line="276" w:lineRule="auto"/>
        <w:jc w:val="both"/>
        <w:rPr>
          <w:rFonts w:eastAsia="Times New Roman"/>
          <w:b/>
          <w:sz w:val="20"/>
          <w:szCs w:val="20"/>
          <w:lang w:val="sq-AL"/>
        </w:rPr>
      </w:pPr>
      <w:r w:rsidRPr="00F77E64">
        <w:rPr>
          <w:rFonts w:eastAsia="Times New Roman"/>
          <w:b/>
          <w:sz w:val="20"/>
          <w:szCs w:val="20"/>
          <w:lang w:val="sq-AL"/>
        </w:rPr>
        <w:t xml:space="preserve"> </w:t>
      </w:r>
    </w:p>
    <w:p w:rsidR="00A635B4" w:rsidRDefault="00F77E64" w:rsidP="00A635B4">
      <w:pPr>
        <w:tabs>
          <w:tab w:val="left" w:pos="2511"/>
          <w:tab w:val="center" w:pos="4680"/>
        </w:tabs>
        <w:spacing w:line="276" w:lineRule="auto"/>
        <w:jc w:val="both"/>
        <w:rPr>
          <w:rFonts w:eastAsia="Times New Roman"/>
          <w:i/>
          <w:sz w:val="20"/>
          <w:lang w:val="sq-AL"/>
        </w:rPr>
      </w:pPr>
      <w:r w:rsidRPr="004A28C7">
        <w:rPr>
          <w:rFonts w:eastAsia="Times New Roman"/>
          <w:b/>
          <w:lang w:val="sq-AL"/>
        </w:rPr>
        <w:t xml:space="preserve">Grafiku </w:t>
      </w:r>
      <w:r w:rsidR="00E1102D" w:rsidRPr="004A28C7">
        <w:rPr>
          <w:rFonts w:eastAsia="Times New Roman"/>
          <w:b/>
          <w:lang w:val="sq-AL"/>
        </w:rPr>
        <w:t>11</w:t>
      </w:r>
      <w:r w:rsidRPr="004A28C7">
        <w:rPr>
          <w:rFonts w:eastAsia="Times New Roman"/>
          <w:b/>
          <w:lang w:val="sq-AL"/>
        </w:rPr>
        <w:t>:</w:t>
      </w:r>
      <w:r w:rsidR="00A635B4" w:rsidRPr="004A28C7">
        <w:rPr>
          <w:rFonts w:eastAsia="Times New Roman"/>
          <w:lang w:val="sq-AL"/>
        </w:rPr>
        <w:t xml:space="preserve"> Performanca e DPD-së Janar-Shtator  2017/2016</w:t>
      </w:r>
      <w:r w:rsidR="00A635B4">
        <w:rPr>
          <w:rFonts w:eastAsia="Times New Roman"/>
          <w:i/>
          <w:sz w:val="20"/>
          <w:lang w:val="sq-AL"/>
        </w:rPr>
        <w:t xml:space="preserve">                           </w:t>
      </w:r>
      <w:r w:rsidR="004A28C7">
        <w:rPr>
          <w:rFonts w:eastAsia="Times New Roman"/>
          <w:i/>
          <w:sz w:val="20"/>
          <w:lang w:val="sq-AL"/>
        </w:rPr>
        <w:t xml:space="preserve">               </w:t>
      </w:r>
      <w:r w:rsidR="00A635B4">
        <w:rPr>
          <w:rFonts w:eastAsia="Times New Roman"/>
          <w:i/>
          <w:sz w:val="20"/>
          <w:lang w:val="sq-AL"/>
        </w:rPr>
        <w:t xml:space="preserve"> </w:t>
      </w:r>
      <w:r w:rsidR="00A635B4" w:rsidRPr="00654734">
        <w:rPr>
          <w:rFonts w:eastAsia="Times New Roman"/>
          <w:i/>
          <w:sz w:val="20"/>
          <w:lang w:val="sq-AL"/>
        </w:rPr>
        <w:t xml:space="preserve"> (në milion lekë)</w:t>
      </w:r>
    </w:p>
    <w:p w:rsidR="00A635B4" w:rsidRDefault="00A635B4" w:rsidP="00A635B4">
      <w:pPr>
        <w:tabs>
          <w:tab w:val="left" w:pos="2511"/>
          <w:tab w:val="center" w:pos="4680"/>
        </w:tabs>
        <w:spacing w:line="276" w:lineRule="auto"/>
        <w:jc w:val="both"/>
        <w:rPr>
          <w:b/>
          <w:sz w:val="20"/>
          <w:szCs w:val="20"/>
          <w:lang w:val="sq-AL"/>
        </w:rPr>
      </w:pPr>
      <w:r w:rsidRPr="00824B9C">
        <w:rPr>
          <w:rFonts w:eastAsia="Times New Roman"/>
          <w:i/>
          <w:noProof/>
          <w:sz w:val="20"/>
        </w:rPr>
        <w:drawing>
          <wp:inline distT="0" distB="0" distL="0" distR="0" wp14:anchorId="28932980" wp14:editId="559BB684">
            <wp:extent cx="5943600" cy="2200275"/>
            <wp:effectExtent l="0" t="0" r="0" b="952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35B4" w:rsidRDefault="00A635B4" w:rsidP="00A635B4">
      <w:pPr>
        <w:tabs>
          <w:tab w:val="left" w:pos="2511"/>
          <w:tab w:val="center" w:pos="4680"/>
        </w:tabs>
        <w:spacing w:line="276" w:lineRule="auto"/>
        <w:jc w:val="both"/>
        <w:rPr>
          <w:rFonts w:eastAsia="Times New Roman"/>
          <w:i/>
          <w:sz w:val="20"/>
          <w:lang w:val="sq-AL"/>
        </w:rPr>
      </w:pPr>
      <w:r w:rsidRPr="00654734">
        <w:rPr>
          <w:b/>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dhe Ekonomisë</w:t>
      </w:r>
      <w:r w:rsidRPr="00654734">
        <w:rPr>
          <w:i/>
          <w:sz w:val="20"/>
          <w:szCs w:val="20"/>
          <w:lang w:val="sq-AL"/>
        </w:rPr>
        <w:t>(2017)</w:t>
      </w:r>
    </w:p>
    <w:p w:rsidR="00A635B4" w:rsidRDefault="00A635B4" w:rsidP="00A635B4">
      <w:pPr>
        <w:tabs>
          <w:tab w:val="left" w:pos="2511"/>
          <w:tab w:val="center" w:pos="4680"/>
        </w:tabs>
        <w:spacing w:line="276" w:lineRule="auto"/>
        <w:jc w:val="both"/>
        <w:rPr>
          <w:rFonts w:eastAsia="Times New Roman"/>
          <w:b/>
          <w:i/>
          <w:sz w:val="20"/>
          <w:szCs w:val="20"/>
          <w:lang w:val="sq-AL"/>
        </w:rPr>
      </w:pPr>
    </w:p>
    <w:p w:rsidR="00A635B4" w:rsidRDefault="00A635B4" w:rsidP="00A635B4">
      <w:pPr>
        <w:tabs>
          <w:tab w:val="left" w:pos="2511"/>
          <w:tab w:val="center" w:pos="4680"/>
        </w:tabs>
        <w:spacing w:line="276" w:lineRule="auto"/>
        <w:jc w:val="both"/>
        <w:rPr>
          <w:rFonts w:eastAsia="Times New Roman"/>
          <w:b/>
          <w:i/>
          <w:sz w:val="20"/>
          <w:szCs w:val="20"/>
          <w:lang w:val="sq-AL"/>
        </w:rPr>
      </w:pPr>
    </w:p>
    <w:p w:rsidR="002371BA" w:rsidRDefault="002371BA" w:rsidP="00A635B4">
      <w:pPr>
        <w:tabs>
          <w:tab w:val="left" w:pos="2511"/>
          <w:tab w:val="center" w:pos="4680"/>
        </w:tabs>
        <w:spacing w:line="276" w:lineRule="auto"/>
        <w:jc w:val="both"/>
        <w:rPr>
          <w:rFonts w:eastAsia="Times New Roman"/>
          <w:b/>
          <w:i/>
          <w:sz w:val="20"/>
          <w:szCs w:val="20"/>
          <w:lang w:val="sq-AL"/>
        </w:rPr>
      </w:pPr>
    </w:p>
    <w:p w:rsidR="002371BA" w:rsidRDefault="002371BA" w:rsidP="00A635B4">
      <w:pPr>
        <w:tabs>
          <w:tab w:val="left" w:pos="2511"/>
          <w:tab w:val="center" w:pos="4680"/>
        </w:tabs>
        <w:spacing w:line="276" w:lineRule="auto"/>
        <w:jc w:val="both"/>
        <w:rPr>
          <w:rFonts w:eastAsia="Times New Roman"/>
          <w:b/>
          <w:i/>
          <w:sz w:val="20"/>
          <w:szCs w:val="20"/>
          <w:lang w:val="sq-AL"/>
        </w:rPr>
      </w:pPr>
    </w:p>
    <w:p w:rsidR="002371BA" w:rsidRDefault="002371BA" w:rsidP="00A635B4">
      <w:pPr>
        <w:tabs>
          <w:tab w:val="left" w:pos="2511"/>
          <w:tab w:val="center" w:pos="4680"/>
        </w:tabs>
        <w:spacing w:line="276" w:lineRule="auto"/>
        <w:jc w:val="both"/>
        <w:rPr>
          <w:rFonts w:eastAsia="Times New Roman"/>
          <w:b/>
          <w:i/>
          <w:sz w:val="20"/>
          <w:szCs w:val="20"/>
          <w:lang w:val="sq-AL"/>
        </w:rPr>
      </w:pPr>
    </w:p>
    <w:p w:rsidR="00A635B4" w:rsidRPr="00C04EF4" w:rsidRDefault="00C04EF4" w:rsidP="00A635B4">
      <w:pPr>
        <w:tabs>
          <w:tab w:val="left" w:pos="2511"/>
          <w:tab w:val="center" w:pos="4680"/>
        </w:tabs>
        <w:spacing w:line="276" w:lineRule="auto"/>
        <w:jc w:val="both"/>
        <w:rPr>
          <w:rFonts w:eastAsia="Times New Roman"/>
          <w:sz w:val="20"/>
          <w:szCs w:val="20"/>
          <w:lang w:val="sq-AL"/>
        </w:rPr>
      </w:pPr>
      <w:r w:rsidRPr="00C04EF4">
        <w:rPr>
          <w:rFonts w:eastAsia="Times New Roman"/>
          <w:b/>
          <w:sz w:val="20"/>
          <w:szCs w:val="20"/>
          <w:lang w:val="sq-AL"/>
        </w:rPr>
        <w:lastRenderedPageBreak/>
        <w:t>Tabela 1</w:t>
      </w:r>
      <w:r w:rsidR="004A28C7">
        <w:rPr>
          <w:rFonts w:eastAsia="Times New Roman"/>
          <w:b/>
          <w:sz w:val="20"/>
          <w:szCs w:val="20"/>
          <w:lang w:val="sq-AL"/>
        </w:rPr>
        <w:t>8</w:t>
      </w:r>
      <w:r w:rsidRPr="00C04EF4">
        <w:rPr>
          <w:rFonts w:eastAsia="Times New Roman"/>
          <w:b/>
          <w:sz w:val="20"/>
          <w:szCs w:val="20"/>
          <w:lang w:val="sq-AL"/>
        </w:rPr>
        <w:t>:</w:t>
      </w:r>
      <w:r w:rsidR="00A635B4" w:rsidRPr="00C04EF4">
        <w:rPr>
          <w:rFonts w:eastAsia="Times New Roman"/>
          <w:b/>
          <w:sz w:val="20"/>
          <w:szCs w:val="20"/>
          <w:lang w:val="sq-AL"/>
        </w:rPr>
        <w:t xml:space="preserve"> </w:t>
      </w:r>
      <w:r w:rsidR="00A635B4" w:rsidRPr="00C04EF4">
        <w:rPr>
          <w:rFonts w:eastAsia="Times New Roman"/>
          <w:sz w:val="20"/>
          <w:szCs w:val="20"/>
          <w:lang w:val="sq-AL"/>
        </w:rPr>
        <w:t xml:space="preserve">Performanca e DPD-së sipas taksave </w:t>
      </w:r>
      <w:r w:rsidR="00A635B4" w:rsidRPr="00C04EF4">
        <w:rPr>
          <w:rFonts w:eastAsia="Times New Roman"/>
          <w:sz w:val="20"/>
          <w:lang w:val="sq-AL"/>
        </w:rPr>
        <w:t>Janar-Shtator 2017</w:t>
      </w:r>
      <w:r w:rsidR="00A635B4" w:rsidRPr="00C04EF4">
        <w:rPr>
          <w:rFonts w:eastAsia="Times New Roman"/>
          <w:b/>
          <w:sz w:val="20"/>
          <w:szCs w:val="20"/>
          <w:lang w:val="sq-AL"/>
        </w:rPr>
        <w:tab/>
        <w:t xml:space="preserve">                                  </w:t>
      </w:r>
      <w:r w:rsidR="00A635B4" w:rsidRPr="00C04EF4">
        <w:rPr>
          <w:rFonts w:eastAsia="Times New Roman"/>
          <w:sz w:val="20"/>
          <w:szCs w:val="20"/>
          <w:lang w:val="sq-AL"/>
        </w:rPr>
        <w:t>(në milion lekë)</w:t>
      </w:r>
    </w:p>
    <w:tbl>
      <w:tblPr>
        <w:tblW w:w="9333" w:type="dxa"/>
        <w:tblInd w:w="93" w:type="dxa"/>
        <w:tblLook w:val="04A0" w:firstRow="1" w:lastRow="0" w:firstColumn="1" w:lastColumn="0" w:noHBand="0" w:noVBand="1"/>
      </w:tblPr>
      <w:tblGrid>
        <w:gridCol w:w="2842"/>
        <w:gridCol w:w="1641"/>
        <w:gridCol w:w="1519"/>
        <w:gridCol w:w="1739"/>
        <w:gridCol w:w="1592"/>
      </w:tblGrid>
      <w:tr w:rsidR="00A635B4" w:rsidRPr="00824B9C" w:rsidTr="00304F33">
        <w:trPr>
          <w:trHeight w:val="508"/>
        </w:trPr>
        <w:tc>
          <w:tcPr>
            <w:tcW w:w="2842"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rPr>
            </w:pPr>
            <w:r w:rsidRPr="00824B9C">
              <w:rPr>
                <w:rFonts w:eastAsia="Times New Roman"/>
                <w:b/>
                <w:bCs/>
                <w:color w:val="000000"/>
              </w:rPr>
              <w:t> </w:t>
            </w:r>
          </w:p>
        </w:tc>
        <w:tc>
          <w:tcPr>
            <w:tcW w:w="1641"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0"/>
                <w:szCs w:val="20"/>
              </w:rPr>
            </w:pPr>
            <w:r w:rsidRPr="00824B9C">
              <w:rPr>
                <w:rFonts w:eastAsia="Times New Roman"/>
                <w:b/>
                <w:bCs/>
                <w:color w:val="000000"/>
                <w:sz w:val="20"/>
                <w:szCs w:val="20"/>
              </w:rPr>
              <w:t>Plan</w:t>
            </w:r>
          </w:p>
        </w:tc>
        <w:tc>
          <w:tcPr>
            <w:tcW w:w="1519"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0"/>
                <w:szCs w:val="20"/>
              </w:rPr>
            </w:pPr>
            <w:r w:rsidRPr="00824B9C">
              <w:rPr>
                <w:rFonts w:eastAsia="Times New Roman"/>
                <w:b/>
                <w:bCs/>
                <w:color w:val="000000"/>
                <w:sz w:val="20"/>
                <w:szCs w:val="20"/>
              </w:rPr>
              <w:t>Fakt</w:t>
            </w:r>
          </w:p>
        </w:tc>
        <w:tc>
          <w:tcPr>
            <w:tcW w:w="1739" w:type="dxa"/>
            <w:tcBorders>
              <w:top w:val="single" w:sz="8" w:space="0" w:color="auto"/>
              <w:left w:val="nil"/>
              <w:bottom w:val="double" w:sz="6" w:space="0" w:color="auto"/>
              <w:right w:val="nil"/>
            </w:tcBorders>
            <w:shd w:val="clear" w:color="000000" w:fill="FFFFFF"/>
            <w:vAlign w:val="center"/>
            <w:hideMark/>
          </w:tcPr>
          <w:p w:rsidR="00A635B4" w:rsidRPr="00824B9C" w:rsidRDefault="00A635B4" w:rsidP="00304F33">
            <w:pPr>
              <w:spacing w:line="276" w:lineRule="auto"/>
              <w:jc w:val="both"/>
              <w:rPr>
                <w:rFonts w:eastAsia="Times New Roman"/>
                <w:b/>
                <w:bCs/>
                <w:color w:val="000000"/>
                <w:sz w:val="20"/>
                <w:szCs w:val="20"/>
              </w:rPr>
            </w:pPr>
            <w:r w:rsidRPr="00824B9C">
              <w:rPr>
                <w:rFonts w:eastAsia="Times New Roman"/>
                <w:b/>
                <w:bCs/>
                <w:color w:val="000000"/>
                <w:sz w:val="20"/>
                <w:szCs w:val="20"/>
              </w:rPr>
              <w:t xml:space="preserve">Diferenca                 Fakt/ Plan </w:t>
            </w:r>
          </w:p>
        </w:tc>
        <w:tc>
          <w:tcPr>
            <w:tcW w:w="1592" w:type="dxa"/>
            <w:tcBorders>
              <w:top w:val="single" w:sz="8" w:space="0" w:color="auto"/>
              <w:left w:val="nil"/>
              <w:bottom w:val="double" w:sz="6" w:space="0" w:color="auto"/>
              <w:right w:val="nil"/>
            </w:tcBorders>
            <w:shd w:val="clear" w:color="000000" w:fill="FFFFFF"/>
            <w:vAlign w:val="center"/>
            <w:hideMark/>
          </w:tcPr>
          <w:p w:rsidR="00A635B4" w:rsidRPr="00824B9C" w:rsidRDefault="00A635B4" w:rsidP="00304F33">
            <w:pPr>
              <w:spacing w:line="276" w:lineRule="auto"/>
              <w:jc w:val="both"/>
              <w:rPr>
                <w:rFonts w:eastAsia="Times New Roman"/>
                <w:b/>
                <w:bCs/>
                <w:color w:val="000000"/>
                <w:sz w:val="20"/>
                <w:szCs w:val="20"/>
              </w:rPr>
            </w:pPr>
            <w:r w:rsidRPr="00824B9C">
              <w:rPr>
                <w:rFonts w:eastAsia="Times New Roman"/>
                <w:b/>
                <w:bCs/>
                <w:color w:val="000000"/>
                <w:sz w:val="20"/>
                <w:szCs w:val="20"/>
              </w:rPr>
              <w:t>Fakt/ Plan (%)</w:t>
            </w:r>
          </w:p>
        </w:tc>
      </w:tr>
      <w:tr w:rsidR="00A635B4" w:rsidRPr="00824B9C" w:rsidTr="00304F33">
        <w:trPr>
          <w:trHeight w:val="305"/>
        </w:trPr>
        <w:tc>
          <w:tcPr>
            <w:tcW w:w="284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Taksë doganore</w:t>
            </w:r>
          </w:p>
        </w:tc>
        <w:tc>
          <w:tcPr>
            <w:tcW w:w="1641"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4,769</w:t>
            </w:r>
          </w:p>
        </w:tc>
        <w:tc>
          <w:tcPr>
            <w:tcW w:w="151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4,774</w:t>
            </w:r>
          </w:p>
        </w:tc>
        <w:tc>
          <w:tcPr>
            <w:tcW w:w="173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5</w:t>
            </w:r>
          </w:p>
        </w:tc>
        <w:tc>
          <w:tcPr>
            <w:tcW w:w="159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0.10%</w:t>
            </w:r>
          </w:p>
        </w:tc>
      </w:tr>
      <w:tr w:rsidR="00A635B4" w:rsidRPr="00824B9C" w:rsidTr="00304F33">
        <w:trPr>
          <w:trHeight w:val="290"/>
        </w:trPr>
        <w:tc>
          <w:tcPr>
            <w:tcW w:w="284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TVSH</w:t>
            </w:r>
          </w:p>
        </w:tc>
        <w:tc>
          <w:tcPr>
            <w:tcW w:w="1641"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75,138</w:t>
            </w:r>
          </w:p>
        </w:tc>
        <w:tc>
          <w:tcPr>
            <w:tcW w:w="151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75,597</w:t>
            </w:r>
          </w:p>
        </w:tc>
        <w:tc>
          <w:tcPr>
            <w:tcW w:w="173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459</w:t>
            </w:r>
          </w:p>
        </w:tc>
        <w:tc>
          <w:tcPr>
            <w:tcW w:w="159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0.61%</w:t>
            </w:r>
          </w:p>
        </w:tc>
      </w:tr>
      <w:tr w:rsidR="00A635B4" w:rsidRPr="00824B9C" w:rsidTr="00304F33">
        <w:trPr>
          <w:trHeight w:val="290"/>
        </w:trPr>
        <w:tc>
          <w:tcPr>
            <w:tcW w:w="284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Akcizë</w:t>
            </w:r>
          </w:p>
        </w:tc>
        <w:tc>
          <w:tcPr>
            <w:tcW w:w="1641"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33,911</w:t>
            </w:r>
          </w:p>
        </w:tc>
        <w:tc>
          <w:tcPr>
            <w:tcW w:w="151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33,921</w:t>
            </w:r>
          </w:p>
        </w:tc>
        <w:tc>
          <w:tcPr>
            <w:tcW w:w="173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10</w:t>
            </w:r>
          </w:p>
        </w:tc>
        <w:tc>
          <w:tcPr>
            <w:tcW w:w="159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0.03%</w:t>
            </w:r>
          </w:p>
        </w:tc>
      </w:tr>
      <w:tr w:rsidR="00A635B4" w:rsidRPr="00824B9C" w:rsidTr="00304F33">
        <w:trPr>
          <w:trHeight w:val="290"/>
        </w:trPr>
        <w:tc>
          <w:tcPr>
            <w:tcW w:w="284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a. Akcizë e arkëtuar</w:t>
            </w:r>
          </w:p>
        </w:tc>
        <w:tc>
          <w:tcPr>
            <w:tcW w:w="1641"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ascii="Calibri" w:eastAsia="Times New Roman" w:hAnsi="Calibri"/>
                <w:color w:val="000000"/>
              </w:rPr>
            </w:pPr>
            <w:r w:rsidRPr="00824B9C">
              <w:rPr>
                <w:rFonts w:ascii="Calibri" w:eastAsia="Times New Roman" w:hAnsi="Calibri"/>
                <w:color w:val="000000"/>
              </w:rPr>
              <w:t> </w:t>
            </w:r>
          </w:p>
        </w:tc>
        <w:tc>
          <w:tcPr>
            <w:tcW w:w="151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34,365</w:t>
            </w:r>
          </w:p>
        </w:tc>
        <w:tc>
          <w:tcPr>
            <w:tcW w:w="173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 </w:t>
            </w:r>
          </w:p>
        </w:tc>
        <w:tc>
          <w:tcPr>
            <w:tcW w:w="159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ascii="Calibri" w:eastAsia="Times New Roman" w:hAnsi="Calibri"/>
                <w:color w:val="000000"/>
              </w:rPr>
            </w:pPr>
            <w:r w:rsidRPr="00824B9C">
              <w:rPr>
                <w:rFonts w:ascii="Calibri" w:eastAsia="Times New Roman" w:hAnsi="Calibri"/>
                <w:color w:val="000000"/>
              </w:rPr>
              <w:t> </w:t>
            </w:r>
          </w:p>
        </w:tc>
      </w:tr>
      <w:tr w:rsidR="00A635B4" w:rsidRPr="00824B9C" w:rsidTr="00304F33">
        <w:trPr>
          <w:trHeight w:val="290"/>
        </w:trPr>
        <w:tc>
          <w:tcPr>
            <w:tcW w:w="284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b. Akcizë e rimbursuar</w:t>
            </w:r>
          </w:p>
        </w:tc>
        <w:tc>
          <w:tcPr>
            <w:tcW w:w="1641"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ascii="Calibri" w:eastAsia="Times New Roman" w:hAnsi="Calibri"/>
                <w:color w:val="000000"/>
              </w:rPr>
            </w:pPr>
            <w:r w:rsidRPr="00824B9C">
              <w:rPr>
                <w:rFonts w:ascii="Calibri" w:eastAsia="Times New Roman" w:hAnsi="Calibri"/>
                <w:color w:val="000000"/>
              </w:rPr>
              <w:t> </w:t>
            </w:r>
          </w:p>
        </w:tc>
        <w:tc>
          <w:tcPr>
            <w:tcW w:w="151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444</w:t>
            </w:r>
          </w:p>
        </w:tc>
        <w:tc>
          <w:tcPr>
            <w:tcW w:w="173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 </w:t>
            </w:r>
          </w:p>
        </w:tc>
        <w:tc>
          <w:tcPr>
            <w:tcW w:w="159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ascii="Calibri" w:eastAsia="Times New Roman" w:hAnsi="Calibri"/>
                <w:color w:val="000000"/>
              </w:rPr>
            </w:pPr>
            <w:r w:rsidRPr="00824B9C">
              <w:rPr>
                <w:rFonts w:ascii="Calibri" w:eastAsia="Times New Roman" w:hAnsi="Calibri"/>
                <w:color w:val="000000"/>
              </w:rPr>
              <w:t> </w:t>
            </w:r>
          </w:p>
        </w:tc>
      </w:tr>
      <w:tr w:rsidR="00A635B4" w:rsidRPr="00824B9C" w:rsidTr="00304F33">
        <w:trPr>
          <w:trHeight w:val="305"/>
        </w:trPr>
        <w:tc>
          <w:tcPr>
            <w:tcW w:w="284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Renta minerare</w:t>
            </w:r>
          </w:p>
        </w:tc>
        <w:tc>
          <w:tcPr>
            <w:tcW w:w="1641"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1,674</w:t>
            </w:r>
          </w:p>
        </w:tc>
        <w:tc>
          <w:tcPr>
            <w:tcW w:w="151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1,738</w:t>
            </w:r>
          </w:p>
        </w:tc>
        <w:tc>
          <w:tcPr>
            <w:tcW w:w="1739"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64</w:t>
            </w:r>
          </w:p>
        </w:tc>
        <w:tc>
          <w:tcPr>
            <w:tcW w:w="1592" w:type="dxa"/>
            <w:tcBorders>
              <w:top w:val="nil"/>
              <w:left w:val="nil"/>
              <w:bottom w:val="nil"/>
              <w:right w:val="nil"/>
            </w:tcBorders>
            <w:shd w:val="clear" w:color="000000" w:fill="FFFFFF"/>
            <w:noWrap/>
            <w:vAlign w:val="center"/>
            <w:hideMark/>
          </w:tcPr>
          <w:p w:rsidR="00A635B4" w:rsidRPr="00824B9C" w:rsidRDefault="00A635B4" w:rsidP="00304F33">
            <w:pPr>
              <w:spacing w:line="276" w:lineRule="auto"/>
              <w:jc w:val="both"/>
              <w:rPr>
                <w:rFonts w:eastAsia="Times New Roman"/>
                <w:color w:val="000000"/>
                <w:sz w:val="20"/>
                <w:szCs w:val="20"/>
              </w:rPr>
            </w:pPr>
            <w:r w:rsidRPr="00824B9C">
              <w:rPr>
                <w:rFonts w:eastAsia="Times New Roman"/>
                <w:color w:val="000000"/>
                <w:sz w:val="20"/>
                <w:szCs w:val="20"/>
              </w:rPr>
              <w:t>3.82%</w:t>
            </w:r>
          </w:p>
        </w:tc>
      </w:tr>
      <w:tr w:rsidR="00A635B4" w:rsidRPr="00824B9C" w:rsidTr="00304F33">
        <w:trPr>
          <w:trHeight w:val="305"/>
        </w:trPr>
        <w:tc>
          <w:tcPr>
            <w:tcW w:w="2842"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1"/>
                <w:szCs w:val="21"/>
              </w:rPr>
            </w:pPr>
            <w:r w:rsidRPr="00824B9C">
              <w:rPr>
                <w:rFonts w:eastAsia="Times New Roman"/>
                <w:b/>
                <w:bCs/>
                <w:color w:val="000000"/>
                <w:sz w:val="21"/>
                <w:szCs w:val="21"/>
              </w:rPr>
              <w:t>Total</w:t>
            </w:r>
          </w:p>
        </w:tc>
        <w:tc>
          <w:tcPr>
            <w:tcW w:w="1641"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1"/>
                <w:szCs w:val="21"/>
              </w:rPr>
            </w:pPr>
            <w:r w:rsidRPr="00824B9C">
              <w:rPr>
                <w:rFonts w:eastAsia="Times New Roman"/>
                <w:b/>
                <w:bCs/>
                <w:color w:val="000000"/>
                <w:sz w:val="21"/>
                <w:szCs w:val="21"/>
              </w:rPr>
              <w:t>115,492</w:t>
            </w:r>
          </w:p>
        </w:tc>
        <w:tc>
          <w:tcPr>
            <w:tcW w:w="1519"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1"/>
                <w:szCs w:val="21"/>
              </w:rPr>
            </w:pPr>
            <w:r w:rsidRPr="00824B9C">
              <w:rPr>
                <w:rFonts w:eastAsia="Times New Roman"/>
                <w:b/>
                <w:bCs/>
                <w:color w:val="000000"/>
                <w:sz w:val="21"/>
                <w:szCs w:val="21"/>
              </w:rPr>
              <w:t>116,030</w:t>
            </w:r>
          </w:p>
        </w:tc>
        <w:tc>
          <w:tcPr>
            <w:tcW w:w="1739"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1"/>
                <w:szCs w:val="21"/>
              </w:rPr>
            </w:pPr>
            <w:r w:rsidRPr="00824B9C">
              <w:rPr>
                <w:rFonts w:eastAsia="Times New Roman"/>
                <w:b/>
                <w:bCs/>
                <w:color w:val="000000"/>
                <w:sz w:val="21"/>
                <w:szCs w:val="21"/>
              </w:rPr>
              <w:t>538</w:t>
            </w:r>
          </w:p>
        </w:tc>
        <w:tc>
          <w:tcPr>
            <w:tcW w:w="1592" w:type="dxa"/>
            <w:tcBorders>
              <w:top w:val="single" w:sz="8" w:space="0" w:color="auto"/>
              <w:left w:val="nil"/>
              <w:bottom w:val="double" w:sz="6" w:space="0" w:color="auto"/>
              <w:right w:val="nil"/>
            </w:tcBorders>
            <w:shd w:val="clear" w:color="000000" w:fill="FFFFFF"/>
            <w:noWrap/>
            <w:vAlign w:val="center"/>
            <w:hideMark/>
          </w:tcPr>
          <w:p w:rsidR="00A635B4" w:rsidRPr="00824B9C" w:rsidRDefault="00A635B4" w:rsidP="00304F33">
            <w:pPr>
              <w:spacing w:line="276" w:lineRule="auto"/>
              <w:jc w:val="both"/>
              <w:rPr>
                <w:rFonts w:eastAsia="Times New Roman"/>
                <w:b/>
                <w:bCs/>
                <w:color w:val="000000"/>
                <w:sz w:val="21"/>
                <w:szCs w:val="21"/>
              </w:rPr>
            </w:pPr>
            <w:r w:rsidRPr="00824B9C">
              <w:rPr>
                <w:rFonts w:eastAsia="Times New Roman"/>
                <w:b/>
                <w:bCs/>
                <w:color w:val="000000"/>
                <w:sz w:val="21"/>
                <w:szCs w:val="21"/>
              </w:rPr>
              <w:t>0.47%</w:t>
            </w:r>
          </w:p>
        </w:tc>
      </w:tr>
    </w:tbl>
    <w:p w:rsidR="00A635B4" w:rsidRPr="00654734" w:rsidRDefault="00A635B4" w:rsidP="00A635B4">
      <w:pPr>
        <w:tabs>
          <w:tab w:val="left" w:pos="2511"/>
          <w:tab w:val="center" w:pos="4680"/>
        </w:tabs>
        <w:spacing w:line="276" w:lineRule="auto"/>
        <w:jc w:val="both"/>
        <w:rPr>
          <w:rFonts w:eastAsia="Times New Roman"/>
          <w:b/>
          <w:i/>
          <w:sz w:val="20"/>
          <w:szCs w:val="20"/>
          <w:lang w:val="sq-AL"/>
        </w:rPr>
      </w:pPr>
      <w:r w:rsidRPr="00654734">
        <w:rPr>
          <w:b/>
          <w:sz w:val="20"/>
          <w:szCs w:val="20"/>
          <w:lang w:val="sq-AL"/>
        </w:rPr>
        <w:t xml:space="preserve"> 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 xml:space="preserve">dhe Ekonomisë </w:t>
      </w:r>
      <w:r w:rsidRPr="00654734">
        <w:rPr>
          <w:i/>
          <w:sz w:val="20"/>
          <w:szCs w:val="20"/>
          <w:lang w:val="sq-AL"/>
        </w:rPr>
        <w:t>(2017)</w:t>
      </w:r>
    </w:p>
    <w:p w:rsidR="00A635B4" w:rsidRPr="0095448C" w:rsidRDefault="00A635B4" w:rsidP="00A635B4">
      <w:pPr>
        <w:pStyle w:val="NormalWeb"/>
        <w:spacing w:line="276" w:lineRule="auto"/>
        <w:jc w:val="both"/>
        <w:rPr>
          <w:lang w:val="it-IT"/>
        </w:rPr>
      </w:pPr>
      <w:r w:rsidRPr="005F29ED">
        <w:rPr>
          <w:rStyle w:val="Strong"/>
          <w:i/>
          <w:lang w:val="it-IT"/>
        </w:rPr>
        <w:t>Të ardhurat nga taksa doganore</w:t>
      </w:r>
      <w:r>
        <w:rPr>
          <w:lang w:val="it-IT"/>
        </w:rPr>
        <w:t xml:space="preserve"> janë realizuar në vlerën 4.8 miliard lekë, 7.6% ose rreth 337 </w:t>
      </w:r>
      <w:r w:rsidRPr="0095448C">
        <w:rPr>
          <w:lang w:val="it-IT"/>
        </w:rPr>
        <w:t>milion lekë më shumë se 9 mujori i vitit 2016, dhe 0.1% ose 5 milion lekë më shumë se plani.</w:t>
      </w:r>
      <w:r w:rsidRPr="0095448C">
        <w:rPr>
          <w:rFonts w:asciiTheme="minorHAnsi" w:eastAsiaTheme="minorEastAsia" w:hAnsi="Calibri" w:cstheme="minorBidi"/>
          <w:kern w:val="24"/>
          <w:sz w:val="21"/>
          <w:szCs w:val="21"/>
          <w:lang w:val="it-IT"/>
        </w:rPr>
        <w:t xml:space="preserve"> </w:t>
      </w:r>
      <w:r w:rsidRPr="0095448C">
        <w:rPr>
          <w:lang w:val="it-IT"/>
        </w:rPr>
        <w:t>Importi i taksuar është rritur me 5.2% krahasuar me Janar – Shtator 2016.</w:t>
      </w:r>
    </w:p>
    <w:p w:rsidR="00A635B4" w:rsidRPr="00C86610" w:rsidRDefault="00A635B4" w:rsidP="00A635B4">
      <w:pPr>
        <w:spacing w:line="276" w:lineRule="auto"/>
        <w:jc w:val="both"/>
        <w:rPr>
          <w:color w:val="FF0000"/>
          <w:lang w:val="it-IT"/>
        </w:rPr>
      </w:pPr>
      <w:r w:rsidRPr="005F29ED">
        <w:rPr>
          <w:b/>
          <w:i/>
        </w:rPr>
        <w:t>Të ardhurat nga akciza</w:t>
      </w:r>
      <w:r w:rsidRPr="005F29ED">
        <w:t xml:space="preserve"> janë realizuar në vlerën</w:t>
      </w:r>
      <w:r>
        <w:t xml:space="preserve"> 33.9 miliard lekë, 9.5% ose 2.9 miliard lekë më s</w:t>
      </w:r>
      <w:r w:rsidRPr="0041737D">
        <w:t xml:space="preserve">humë se </w:t>
      </w:r>
      <w:r>
        <w:t>9</w:t>
      </w:r>
      <w:r w:rsidRPr="0041737D">
        <w:t xml:space="preserve"> mujori i vitit 2016, dhe </w:t>
      </w:r>
      <w:r>
        <w:t>0.03</w:t>
      </w:r>
      <w:r w:rsidRPr="0041737D">
        <w:t xml:space="preserve">% ose rreth </w:t>
      </w:r>
      <w:r>
        <w:t>1</w:t>
      </w:r>
      <w:r w:rsidRPr="0041737D">
        <w:t xml:space="preserve">0 milion lekë më </w:t>
      </w:r>
      <w:r>
        <w:t>shumë</w:t>
      </w:r>
      <w:r w:rsidRPr="0041737D">
        <w:t xml:space="preserve"> se plani. </w:t>
      </w:r>
      <w:r w:rsidRPr="00227884">
        <w:t xml:space="preserve">Ndikim kryesor ka pasur </w:t>
      </w:r>
      <w:r w:rsidRPr="00227884">
        <w:rPr>
          <w:lang w:val="it-IT"/>
        </w:rPr>
        <w:t xml:space="preserve">importi dhe prodhimi </w:t>
      </w:r>
      <w:proofErr w:type="gramStart"/>
      <w:r w:rsidRPr="00227884">
        <w:rPr>
          <w:lang w:val="it-IT"/>
        </w:rPr>
        <w:t>vendas</w:t>
      </w:r>
      <w:proofErr w:type="gramEnd"/>
      <w:r w:rsidRPr="00227884">
        <w:rPr>
          <w:lang w:val="it-IT"/>
        </w:rPr>
        <w:t xml:space="preserve"> i karburanteve që rezultoi rreth 422 mijë ton, me një </w:t>
      </w:r>
      <w:r w:rsidRPr="00D612DF">
        <w:rPr>
          <w:lang w:val="it-IT"/>
        </w:rPr>
        <w:t>rritje prej</w:t>
      </w:r>
      <w:r w:rsidRPr="00D612DF">
        <w:rPr>
          <w:lang w:val="sq-AL"/>
        </w:rPr>
        <w:t xml:space="preserve"> 40,040 ton</w:t>
      </w:r>
      <w:r w:rsidRPr="00D612DF">
        <w:rPr>
          <w:lang w:val="it-IT"/>
        </w:rPr>
        <w:t xml:space="preserve"> ose + 10.5% krahasuar me 9 mujorin e vitit 2016. Gjithashtu rritje kanë shënuar, importi i Gazit të Lëngët me 24.1%,  importi dhe prodhimi i birrës me 13.7%, importi i pijeve energjike me 15.5%, Importi dhe prodhimi i verës me 15.8%, dhe  importi i cigareve me 3.7%.  Importi i kafes ka shënuar një rënie prej 0.6% krahasuar me Janar- Shtator 2016 ndërkohë që është rritur deklarimi i prodhimit vendas të duhanit nga 0.7 ton në 7.5 ton të deklaruara në periudhën Janar- Shtator 2017.</w:t>
      </w:r>
    </w:p>
    <w:p w:rsidR="00A635B4" w:rsidRPr="00AB4D00" w:rsidRDefault="00A635B4" w:rsidP="00A635B4">
      <w:pPr>
        <w:spacing w:line="276" w:lineRule="auto"/>
        <w:jc w:val="both"/>
        <w:rPr>
          <w:color w:val="FF0000"/>
        </w:rPr>
      </w:pPr>
      <w:r w:rsidRPr="00D3486A">
        <w:rPr>
          <w:b/>
          <w:i/>
        </w:rPr>
        <w:t>Të ardhurat nga renta minerare</w:t>
      </w:r>
      <w:r>
        <w:t xml:space="preserve"> </w:t>
      </w:r>
      <w:r w:rsidRPr="00831650">
        <w:rPr>
          <w:b/>
        </w:rPr>
        <w:t>në eksport</w:t>
      </w:r>
      <w:r>
        <w:t xml:space="preserve"> janë realizuar në vlerën 1.7 miliard lekë, 13.7% ose 276 milion lekë </w:t>
      </w:r>
      <w:r w:rsidRPr="00D612DF">
        <w:t xml:space="preserve">më pak krahasuar me 9 mujorin e vitit 2016, dhe </w:t>
      </w:r>
      <w:r>
        <w:t>3.8</w:t>
      </w:r>
      <w:r w:rsidRPr="00D612DF">
        <w:t xml:space="preserve">% ose </w:t>
      </w:r>
      <w:r>
        <w:t>64</w:t>
      </w:r>
      <w:r w:rsidRPr="00D612DF">
        <w:t xml:space="preserve"> milion lekë më shumë se plani. Ndikim kryesor ka patur rritja e sasisë së mineraleve të eksportuara me 21.7% krahasuar me Janar- Shtator 2016. Të ardhurat nga renta minerare për naftën bruto janë ulur me 777 milion lekë për shkak të rënies së sasisë së eksportuar, me rreth 375 mijë ton e destinuar kjo për përpunim vendas dhe janë rritur me 281 milion lekë për shkak të rritjes së çmimit të naftës bruto në tregjet ndërkombëtare krahasuar me Janar- Shtator 2016, duke sjellë rritje të rentës për njësi nga 2.1 Lek për kg në 2.9 lekë për kg. </w:t>
      </w:r>
    </w:p>
    <w:p w:rsidR="00A635B4" w:rsidRPr="00182F15" w:rsidRDefault="00A635B4" w:rsidP="00A635B4">
      <w:pPr>
        <w:spacing w:line="276" w:lineRule="auto"/>
        <w:jc w:val="both"/>
        <w:rPr>
          <w:color w:val="FF0000"/>
        </w:rPr>
      </w:pPr>
      <w:r w:rsidRPr="00B14CCF">
        <w:rPr>
          <w:b/>
          <w:i/>
        </w:rPr>
        <w:t>Të ardhurat nga TVSH-ja në import</w:t>
      </w:r>
      <w:r w:rsidRPr="00B14CCF">
        <w:t xml:space="preserve"> </w:t>
      </w:r>
      <w:r>
        <w:t xml:space="preserve"> janë realizuar në vlerën 75.6 miliard</w:t>
      </w:r>
      <w:r w:rsidRPr="00B14CCF">
        <w:t xml:space="preserve"> lekë, </w:t>
      </w:r>
      <w:r>
        <w:t xml:space="preserve">6% ose rreth 4.3 miliard </w:t>
      </w:r>
      <w:r w:rsidRPr="008B309A">
        <w:t xml:space="preserve">lekë  më shumë se 9 </w:t>
      </w:r>
      <w:r>
        <w:t>mujori i vitit 2016 dhe 0.6</w:t>
      </w:r>
      <w:r w:rsidRPr="008B309A">
        <w:t xml:space="preserve">% ose </w:t>
      </w:r>
      <w:r>
        <w:t>rreth 459 milion</w:t>
      </w:r>
      <w:r w:rsidRPr="008B309A">
        <w:t xml:space="preserve"> lekë më shumë se plani. Rritja e prodhimit </w:t>
      </w:r>
      <w:proofErr w:type="gramStart"/>
      <w:r w:rsidRPr="008B309A">
        <w:t>vendas</w:t>
      </w:r>
      <w:proofErr w:type="gramEnd"/>
      <w:r w:rsidRPr="008B309A">
        <w:t xml:space="preserve"> të karburantit ka ulur importin e këtij produkti dhe si rrjedhojë të ardhurat nga TVSH- ja në import. Karburanti prodhim vendas </w:t>
      </w:r>
      <w:proofErr w:type="gramStart"/>
      <w:r w:rsidRPr="008B309A">
        <w:t>mbuloi  rreth</w:t>
      </w:r>
      <w:proofErr w:type="gramEnd"/>
      <w:r w:rsidRPr="008B309A">
        <w:t xml:space="preserve"> 30.8% të konsumit gjatë 9 mujorit të vitit 2017 krahasuar me 1.5% që ishte ky tregues vitin e kaluar. </w:t>
      </w:r>
    </w:p>
    <w:p w:rsidR="004A28C7" w:rsidRDefault="004A28C7" w:rsidP="00A635B4">
      <w:pPr>
        <w:spacing w:line="276" w:lineRule="auto"/>
        <w:jc w:val="both"/>
        <w:rPr>
          <w:rFonts w:eastAsia="Calibri"/>
          <w:b/>
          <w:i/>
        </w:rPr>
      </w:pPr>
    </w:p>
    <w:p w:rsidR="00A635B4" w:rsidRPr="00654734" w:rsidRDefault="00A635B4" w:rsidP="00A635B4">
      <w:pPr>
        <w:spacing w:line="276" w:lineRule="auto"/>
        <w:jc w:val="both"/>
        <w:rPr>
          <w:rFonts w:eastAsia="Calibri"/>
          <w:b/>
          <w:i/>
        </w:rPr>
      </w:pPr>
      <w:r w:rsidRPr="00654734">
        <w:rPr>
          <w:rFonts w:eastAsia="Calibri"/>
          <w:b/>
          <w:i/>
        </w:rPr>
        <w:t>Drejtoria e Përgjithshme e Tatimeve</w:t>
      </w:r>
    </w:p>
    <w:p w:rsidR="00A635B4" w:rsidRPr="00BF5E3D" w:rsidRDefault="00A635B4" w:rsidP="00A635B4">
      <w:pPr>
        <w:spacing w:before="80" w:line="276" w:lineRule="auto"/>
        <w:jc w:val="both"/>
        <w:rPr>
          <w:noProof/>
        </w:rPr>
      </w:pPr>
      <w:r w:rsidRPr="00654734">
        <w:rPr>
          <w:rFonts w:eastAsia="Calibri"/>
        </w:rPr>
        <w:t>Të ardhurat e mbledhu</w:t>
      </w:r>
      <w:r>
        <w:rPr>
          <w:rFonts w:eastAsia="Calibri"/>
        </w:rPr>
        <w:t>ra (përfshirë kontributet) për 9</w:t>
      </w:r>
      <w:r w:rsidRPr="00654734">
        <w:rPr>
          <w:rFonts w:eastAsia="Calibri"/>
        </w:rPr>
        <w:t xml:space="preserve"> mujorin e vitit 2017</w:t>
      </w:r>
      <w:r>
        <w:rPr>
          <w:rFonts w:eastAsia="Calibri"/>
        </w:rPr>
        <w:t xml:space="preserve"> janë realizuar në vlerën 163.7 miliard lekë, rreth 13 miliard lekë ose 8.6</w:t>
      </w:r>
      <w:r w:rsidRPr="00654734">
        <w:rPr>
          <w:rFonts w:eastAsia="Calibri"/>
        </w:rPr>
        <w:t xml:space="preserve">% më shumë se e njëjta periudhë e një viti më parë dhe </w:t>
      </w:r>
      <w:r>
        <w:rPr>
          <w:rFonts w:eastAsia="Calibri"/>
        </w:rPr>
        <w:t>tejkalim të parashikimeve me 992 milion lekë ose 0.6</w:t>
      </w:r>
      <w:r w:rsidRPr="00654734">
        <w:rPr>
          <w:rFonts w:eastAsia="Calibri"/>
        </w:rPr>
        <w:t>%.</w:t>
      </w:r>
      <w:r>
        <w:rPr>
          <w:noProof/>
        </w:rPr>
        <w:t xml:space="preserve"> </w:t>
      </w:r>
    </w:p>
    <w:p w:rsidR="00A635B4" w:rsidRDefault="00A635B4" w:rsidP="00A635B4">
      <w:pPr>
        <w:tabs>
          <w:tab w:val="left" w:pos="2511"/>
          <w:tab w:val="center" w:pos="4680"/>
        </w:tabs>
        <w:spacing w:line="276" w:lineRule="auto"/>
        <w:jc w:val="both"/>
        <w:rPr>
          <w:rFonts w:eastAsia="Times New Roman"/>
          <w:b/>
          <w:i/>
          <w:sz w:val="20"/>
          <w:szCs w:val="20"/>
          <w:lang w:val="sq-AL"/>
        </w:rPr>
      </w:pPr>
      <w:r>
        <w:rPr>
          <w:rFonts w:eastAsia="Times New Roman"/>
          <w:b/>
          <w:i/>
          <w:sz w:val="20"/>
          <w:szCs w:val="20"/>
          <w:lang w:val="sq-AL"/>
        </w:rPr>
        <w:t xml:space="preserve">  </w:t>
      </w:r>
    </w:p>
    <w:p w:rsidR="00A635B4" w:rsidRDefault="00A635B4" w:rsidP="00A635B4">
      <w:pPr>
        <w:tabs>
          <w:tab w:val="left" w:pos="2511"/>
          <w:tab w:val="center" w:pos="4680"/>
        </w:tabs>
        <w:spacing w:line="276" w:lineRule="auto"/>
        <w:jc w:val="both"/>
        <w:rPr>
          <w:rFonts w:eastAsia="Times New Roman"/>
          <w:b/>
          <w:i/>
          <w:sz w:val="20"/>
          <w:szCs w:val="20"/>
          <w:lang w:val="sq-AL"/>
        </w:rPr>
      </w:pPr>
    </w:p>
    <w:p w:rsidR="002371BA" w:rsidRDefault="00C04EF4" w:rsidP="00A635B4">
      <w:pPr>
        <w:tabs>
          <w:tab w:val="left" w:pos="2511"/>
          <w:tab w:val="center" w:pos="4680"/>
        </w:tabs>
        <w:spacing w:line="276" w:lineRule="auto"/>
        <w:jc w:val="both"/>
        <w:rPr>
          <w:rFonts w:eastAsia="Times New Roman"/>
          <w:b/>
          <w:sz w:val="20"/>
          <w:szCs w:val="20"/>
          <w:lang w:val="sq-AL"/>
        </w:rPr>
      </w:pPr>
      <w:r w:rsidRPr="00C04EF4">
        <w:rPr>
          <w:rFonts w:eastAsia="Times New Roman"/>
          <w:b/>
          <w:sz w:val="20"/>
          <w:szCs w:val="20"/>
          <w:lang w:val="sq-AL"/>
        </w:rPr>
        <w:t xml:space="preserve"> </w:t>
      </w:r>
    </w:p>
    <w:p w:rsidR="002371BA" w:rsidRDefault="002371BA" w:rsidP="00A635B4">
      <w:pPr>
        <w:tabs>
          <w:tab w:val="left" w:pos="2511"/>
          <w:tab w:val="center" w:pos="4680"/>
        </w:tabs>
        <w:spacing w:line="276" w:lineRule="auto"/>
        <w:jc w:val="both"/>
        <w:rPr>
          <w:rFonts w:eastAsia="Times New Roman"/>
          <w:b/>
          <w:sz w:val="20"/>
          <w:szCs w:val="20"/>
          <w:lang w:val="sq-AL"/>
        </w:rPr>
      </w:pPr>
    </w:p>
    <w:p w:rsidR="002371BA" w:rsidRDefault="002371BA" w:rsidP="00A635B4">
      <w:pPr>
        <w:tabs>
          <w:tab w:val="left" w:pos="2511"/>
          <w:tab w:val="center" w:pos="4680"/>
        </w:tabs>
        <w:spacing w:line="276" w:lineRule="auto"/>
        <w:jc w:val="both"/>
        <w:rPr>
          <w:rFonts w:eastAsia="Times New Roman"/>
          <w:b/>
          <w:sz w:val="20"/>
          <w:szCs w:val="20"/>
          <w:lang w:val="sq-AL"/>
        </w:rPr>
      </w:pPr>
    </w:p>
    <w:p w:rsidR="002371BA" w:rsidRDefault="002371BA" w:rsidP="00A635B4">
      <w:pPr>
        <w:tabs>
          <w:tab w:val="left" w:pos="2511"/>
          <w:tab w:val="center" w:pos="4680"/>
        </w:tabs>
        <w:spacing w:line="276" w:lineRule="auto"/>
        <w:jc w:val="both"/>
        <w:rPr>
          <w:rFonts w:eastAsia="Times New Roman"/>
          <w:b/>
          <w:sz w:val="20"/>
          <w:szCs w:val="20"/>
          <w:lang w:val="sq-AL"/>
        </w:rPr>
      </w:pPr>
    </w:p>
    <w:p w:rsidR="002371BA" w:rsidRDefault="002371BA" w:rsidP="00A635B4">
      <w:pPr>
        <w:tabs>
          <w:tab w:val="left" w:pos="2511"/>
          <w:tab w:val="center" w:pos="4680"/>
        </w:tabs>
        <w:spacing w:line="276" w:lineRule="auto"/>
        <w:jc w:val="both"/>
        <w:rPr>
          <w:rFonts w:eastAsia="Times New Roman"/>
          <w:b/>
          <w:sz w:val="20"/>
          <w:szCs w:val="20"/>
          <w:lang w:val="sq-AL"/>
        </w:rPr>
      </w:pPr>
    </w:p>
    <w:p w:rsidR="00A635B4" w:rsidRPr="00C04EF4" w:rsidRDefault="00C04EF4" w:rsidP="00A635B4">
      <w:pPr>
        <w:tabs>
          <w:tab w:val="left" w:pos="2511"/>
          <w:tab w:val="center" w:pos="4680"/>
        </w:tabs>
        <w:spacing w:line="276" w:lineRule="auto"/>
        <w:jc w:val="both"/>
        <w:rPr>
          <w:lang w:val="it-IT"/>
        </w:rPr>
      </w:pPr>
      <w:r w:rsidRPr="00C04EF4">
        <w:rPr>
          <w:rFonts w:eastAsia="Times New Roman"/>
          <w:b/>
          <w:sz w:val="20"/>
          <w:szCs w:val="20"/>
          <w:lang w:val="sq-AL"/>
        </w:rPr>
        <w:lastRenderedPageBreak/>
        <w:t xml:space="preserve">Grafiku </w:t>
      </w:r>
      <w:r w:rsidR="00E1102D">
        <w:rPr>
          <w:rFonts w:eastAsia="Times New Roman"/>
          <w:b/>
          <w:sz w:val="20"/>
          <w:szCs w:val="20"/>
          <w:lang w:val="sq-AL"/>
        </w:rPr>
        <w:t>12</w:t>
      </w:r>
      <w:r w:rsidRPr="00C04EF4">
        <w:rPr>
          <w:rFonts w:eastAsia="Times New Roman"/>
          <w:b/>
          <w:sz w:val="20"/>
          <w:szCs w:val="20"/>
          <w:lang w:val="sq-AL"/>
        </w:rPr>
        <w:t>:</w:t>
      </w:r>
      <w:r w:rsidR="00A635B4" w:rsidRPr="00C04EF4">
        <w:rPr>
          <w:rFonts w:eastAsia="Times New Roman"/>
          <w:b/>
          <w:sz w:val="20"/>
          <w:szCs w:val="20"/>
          <w:lang w:val="sq-AL"/>
        </w:rPr>
        <w:t xml:space="preserve"> </w:t>
      </w:r>
      <w:r w:rsidR="00A635B4" w:rsidRPr="00C04EF4">
        <w:rPr>
          <w:rFonts w:eastAsia="Times New Roman"/>
          <w:sz w:val="20"/>
          <w:szCs w:val="20"/>
          <w:lang w:val="sq-AL"/>
        </w:rPr>
        <w:t xml:space="preserve"> Performanc</w:t>
      </w:r>
      <w:r w:rsidR="00A635B4" w:rsidRPr="00C04EF4">
        <w:rPr>
          <w:rFonts w:eastAsia="Times New Roman"/>
          <w:sz w:val="20"/>
          <w:lang w:val="sq-AL"/>
        </w:rPr>
        <w:t>a</w:t>
      </w:r>
      <w:r w:rsidR="00A635B4" w:rsidRPr="00C04EF4">
        <w:rPr>
          <w:rFonts w:eastAsia="Times New Roman"/>
          <w:sz w:val="20"/>
          <w:szCs w:val="20"/>
          <w:lang w:val="sq-AL"/>
        </w:rPr>
        <w:t xml:space="preserve"> e DPT-së për periudh</w:t>
      </w:r>
      <w:r w:rsidR="00A635B4" w:rsidRPr="00C04EF4">
        <w:rPr>
          <w:rFonts w:eastAsia="Times New Roman"/>
          <w:sz w:val="20"/>
          <w:lang w:val="sq-AL"/>
        </w:rPr>
        <w:t xml:space="preserve">ën Janar-Shtator 2017                         </w:t>
      </w:r>
      <w:r w:rsidR="00A635B4" w:rsidRPr="00C04EF4">
        <w:rPr>
          <w:rFonts w:eastAsia="Times New Roman"/>
          <w:sz w:val="20"/>
          <w:lang w:val="sq-AL"/>
        </w:rPr>
        <w:tab/>
        <w:t xml:space="preserve">        (në milion lekë)</w:t>
      </w:r>
      <w:r w:rsidR="00A635B4" w:rsidRPr="00C04EF4">
        <w:rPr>
          <w:lang w:val="it-IT"/>
        </w:rPr>
        <w:t xml:space="preserve"> </w:t>
      </w:r>
    </w:p>
    <w:p w:rsidR="00A635B4" w:rsidRDefault="00A635B4" w:rsidP="00A635B4">
      <w:pPr>
        <w:tabs>
          <w:tab w:val="left" w:pos="2511"/>
          <w:tab w:val="center" w:pos="4680"/>
        </w:tabs>
        <w:spacing w:line="276" w:lineRule="auto"/>
        <w:jc w:val="both"/>
        <w:rPr>
          <w:b/>
          <w:sz w:val="20"/>
          <w:szCs w:val="20"/>
          <w:lang w:val="sq-AL"/>
        </w:rPr>
      </w:pPr>
      <w:r w:rsidRPr="00863049">
        <w:rPr>
          <w:noProof/>
        </w:rPr>
        <w:drawing>
          <wp:inline distT="0" distB="0" distL="0" distR="0" wp14:anchorId="4EBCF447" wp14:editId="51B5B813">
            <wp:extent cx="5734050" cy="22764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35B4" w:rsidRPr="004A28C7" w:rsidRDefault="00A635B4" w:rsidP="00A635B4">
      <w:pPr>
        <w:tabs>
          <w:tab w:val="left" w:pos="2511"/>
          <w:tab w:val="center" w:pos="4680"/>
        </w:tabs>
        <w:spacing w:line="276" w:lineRule="auto"/>
        <w:jc w:val="both"/>
        <w:rPr>
          <w:i/>
          <w:lang w:val="it-IT"/>
        </w:rPr>
      </w:pPr>
      <w:r w:rsidRPr="004A28C7">
        <w:rPr>
          <w:b/>
          <w:i/>
          <w:sz w:val="20"/>
          <w:szCs w:val="20"/>
          <w:lang w:val="sq-AL"/>
        </w:rPr>
        <w:t xml:space="preserve">Burimi: </w:t>
      </w:r>
      <w:r w:rsidRPr="004A28C7">
        <w:rPr>
          <w:i/>
          <w:sz w:val="20"/>
          <w:szCs w:val="20"/>
          <w:lang w:val="sq-AL"/>
        </w:rPr>
        <w:t>Ministria e Financave dhe Ekonomisë (2017)</w:t>
      </w:r>
    </w:p>
    <w:p w:rsidR="00A635B4" w:rsidRPr="00E54AEA" w:rsidRDefault="00A635B4" w:rsidP="00A635B4">
      <w:pPr>
        <w:tabs>
          <w:tab w:val="left" w:pos="2511"/>
          <w:tab w:val="center" w:pos="4680"/>
        </w:tabs>
        <w:spacing w:line="276" w:lineRule="auto"/>
        <w:jc w:val="both"/>
        <w:rPr>
          <w:lang w:val="it-IT"/>
        </w:rPr>
      </w:pPr>
    </w:p>
    <w:p w:rsidR="004A28C7" w:rsidRDefault="00C04EF4" w:rsidP="00A635B4">
      <w:pPr>
        <w:tabs>
          <w:tab w:val="left" w:pos="2511"/>
          <w:tab w:val="center" w:pos="4680"/>
        </w:tabs>
        <w:spacing w:line="276" w:lineRule="auto"/>
        <w:jc w:val="both"/>
        <w:rPr>
          <w:rFonts w:eastAsia="Times New Roman"/>
          <w:b/>
          <w:sz w:val="20"/>
          <w:szCs w:val="20"/>
          <w:lang w:val="sq-AL"/>
        </w:rPr>
      </w:pPr>
      <w:r w:rsidRPr="00C04EF4">
        <w:rPr>
          <w:rFonts w:eastAsia="Times New Roman"/>
          <w:b/>
          <w:sz w:val="20"/>
          <w:szCs w:val="20"/>
          <w:lang w:val="sq-AL"/>
        </w:rPr>
        <w:t xml:space="preserve">  </w:t>
      </w:r>
    </w:p>
    <w:p w:rsidR="00A635B4" w:rsidRPr="00C04EF4" w:rsidRDefault="00C04EF4" w:rsidP="00A635B4">
      <w:pPr>
        <w:tabs>
          <w:tab w:val="left" w:pos="2511"/>
          <w:tab w:val="center" w:pos="4680"/>
        </w:tabs>
        <w:spacing w:line="276" w:lineRule="auto"/>
        <w:jc w:val="both"/>
        <w:rPr>
          <w:rFonts w:eastAsia="Times New Roman"/>
          <w:sz w:val="20"/>
          <w:lang w:val="sq-AL"/>
        </w:rPr>
      </w:pPr>
      <w:r w:rsidRPr="00C04EF4">
        <w:rPr>
          <w:rFonts w:eastAsia="Times New Roman"/>
          <w:b/>
          <w:sz w:val="20"/>
          <w:szCs w:val="20"/>
          <w:lang w:val="sq-AL"/>
        </w:rPr>
        <w:t xml:space="preserve"> Tabela </w:t>
      </w:r>
      <w:r w:rsidR="004A28C7">
        <w:rPr>
          <w:rFonts w:eastAsia="Times New Roman"/>
          <w:b/>
          <w:sz w:val="20"/>
          <w:szCs w:val="20"/>
          <w:lang w:val="sq-AL"/>
        </w:rPr>
        <w:t>19</w:t>
      </w:r>
      <w:r w:rsidRPr="00C04EF4">
        <w:rPr>
          <w:rFonts w:eastAsia="Times New Roman"/>
          <w:b/>
          <w:sz w:val="20"/>
          <w:szCs w:val="20"/>
          <w:lang w:val="sq-AL"/>
        </w:rPr>
        <w:t>:</w:t>
      </w:r>
      <w:r w:rsidR="00A635B4" w:rsidRPr="00C04EF4">
        <w:rPr>
          <w:rFonts w:eastAsia="Times New Roman"/>
          <w:sz w:val="20"/>
          <w:szCs w:val="20"/>
          <w:lang w:val="sq-AL"/>
        </w:rPr>
        <w:t xml:space="preserve"> Performanca e DPT sipas taksave </w:t>
      </w:r>
      <w:r w:rsidR="00A635B4" w:rsidRPr="00C04EF4">
        <w:rPr>
          <w:rFonts w:eastAsia="Times New Roman"/>
          <w:sz w:val="20"/>
          <w:lang w:val="sq-AL"/>
        </w:rPr>
        <w:t>Janar-Shtator 2017                                                (në milion lekë)</w:t>
      </w:r>
    </w:p>
    <w:tbl>
      <w:tblPr>
        <w:tblW w:w="8928" w:type="dxa"/>
        <w:tblInd w:w="93" w:type="dxa"/>
        <w:tblLook w:val="04A0" w:firstRow="1" w:lastRow="0" w:firstColumn="1" w:lastColumn="0" w:noHBand="0" w:noVBand="1"/>
      </w:tblPr>
      <w:tblGrid>
        <w:gridCol w:w="2718"/>
        <w:gridCol w:w="1570"/>
        <w:gridCol w:w="1453"/>
        <w:gridCol w:w="1664"/>
        <w:gridCol w:w="1523"/>
      </w:tblGrid>
      <w:tr w:rsidR="00A635B4" w:rsidRPr="002C62D1" w:rsidTr="00304F33">
        <w:trPr>
          <w:trHeight w:val="522"/>
        </w:trPr>
        <w:tc>
          <w:tcPr>
            <w:tcW w:w="2718"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rPr>
            </w:pPr>
            <w:r w:rsidRPr="002C62D1">
              <w:rPr>
                <w:rFonts w:eastAsia="Times New Roman"/>
                <w:b/>
                <w:bCs/>
                <w:color w:val="000000"/>
              </w:rPr>
              <w:t> </w:t>
            </w:r>
          </w:p>
        </w:tc>
        <w:tc>
          <w:tcPr>
            <w:tcW w:w="1570"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0"/>
                <w:szCs w:val="20"/>
              </w:rPr>
            </w:pPr>
            <w:r w:rsidRPr="002C62D1">
              <w:rPr>
                <w:rFonts w:eastAsia="Times New Roman"/>
                <w:b/>
                <w:bCs/>
                <w:color w:val="000000"/>
                <w:sz w:val="20"/>
                <w:szCs w:val="20"/>
              </w:rPr>
              <w:t>Plan</w:t>
            </w:r>
          </w:p>
        </w:tc>
        <w:tc>
          <w:tcPr>
            <w:tcW w:w="1453"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0"/>
                <w:szCs w:val="20"/>
              </w:rPr>
            </w:pPr>
            <w:r w:rsidRPr="002C62D1">
              <w:rPr>
                <w:rFonts w:eastAsia="Times New Roman"/>
                <w:b/>
                <w:bCs/>
                <w:color w:val="000000"/>
                <w:sz w:val="20"/>
                <w:szCs w:val="20"/>
              </w:rPr>
              <w:t>Fakt</w:t>
            </w:r>
          </w:p>
        </w:tc>
        <w:tc>
          <w:tcPr>
            <w:tcW w:w="1664" w:type="dxa"/>
            <w:tcBorders>
              <w:top w:val="single" w:sz="8" w:space="0" w:color="auto"/>
              <w:left w:val="nil"/>
              <w:bottom w:val="double" w:sz="6" w:space="0" w:color="auto"/>
              <w:right w:val="nil"/>
            </w:tcBorders>
            <w:shd w:val="clear" w:color="000000" w:fill="FFFFFF"/>
            <w:vAlign w:val="center"/>
            <w:hideMark/>
          </w:tcPr>
          <w:p w:rsidR="00A635B4" w:rsidRPr="002C62D1" w:rsidRDefault="00A635B4" w:rsidP="00304F33">
            <w:pPr>
              <w:spacing w:line="276" w:lineRule="auto"/>
              <w:jc w:val="both"/>
              <w:rPr>
                <w:rFonts w:eastAsia="Times New Roman"/>
                <w:b/>
                <w:bCs/>
                <w:color w:val="000000"/>
                <w:sz w:val="20"/>
                <w:szCs w:val="20"/>
              </w:rPr>
            </w:pPr>
            <w:r w:rsidRPr="002C62D1">
              <w:rPr>
                <w:rFonts w:eastAsia="Times New Roman"/>
                <w:b/>
                <w:bCs/>
                <w:color w:val="000000"/>
                <w:sz w:val="20"/>
                <w:szCs w:val="20"/>
              </w:rPr>
              <w:t xml:space="preserve">Diferenca                 Fakt/ Plan </w:t>
            </w:r>
          </w:p>
        </w:tc>
        <w:tc>
          <w:tcPr>
            <w:tcW w:w="1523" w:type="dxa"/>
            <w:tcBorders>
              <w:top w:val="single" w:sz="8" w:space="0" w:color="auto"/>
              <w:left w:val="nil"/>
              <w:bottom w:val="double" w:sz="6" w:space="0" w:color="auto"/>
              <w:right w:val="nil"/>
            </w:tcBorders>
            <w:shd w:val="clear" w:color="000000" w:fill="FFFFFF"/>
            <w:vAlign w:val="center"/>
            <w:hideMark/>
          </w:tcPr>
          <w:p w:rsidR="00A635B4" w:rsidRPr="002C62D1" w:rsidRDefault="00A635B4" w:rsidP="00304F33">
            <w:pPr>
              <w:spacing w:line="276" w:lineRule="auto"/>
              <w:jc w:val="both"/>
              <w:rPr>
                <w:rFonts w:eastAsia="Times New Roman"/>
                <w:b/>
                <w:bCs/>
                <w:color w:val="000000"/>
                <w:sz w:val="20"/>
                <w:szCs w:val="20"/>
              </w:rPr>
            </w:pPr>
            <w:r w:rsidRPr="002C62D1">
              <w:rPr>
                <w:rFonts w:eastAsia="Times New Roman"/>
                <w:b/>
                <w:bCs/>
                <w:color w:val="000000"/>
                <w:sz w:val="20"/>
                <w:szCs w:val="20"/>
              </w:rPr>
              <w:t>Fakt/ Plan (%)</w:t>
            </w:r>
          </w:p>
        </w:tc>
      </w:tr>
      <w:tr w:rsidR="00A635B4" w:rsidRPr="002C62D1" w:rsidTr="00304F33">
        <w:trPr>
          <w:trHeight w:val="313"/>
        </w:trPr>
        <w:tc>
          <w:tcPr>
            <w:tcW w:w="2718"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TVSH</w:t>
            </w:r>
          </w:p>
        </w:tc>
        <w:tc>
          <w:tcPr>
            <w:tcW w:w="1570"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26,430</w:t>
            </w:r>
          </w:p>
        </w:tc>
        <w:tc>
          <w:tcPr>
            <w:tcW w:w="145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26,323</w:t>
            </w:r>
          </w:p>
        </w:tc>
        <w:tc>
          <w:tcPr>
            <w:tcW w:w="1664"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-107</w:t>
            </w:r>
          </w:p>
        </w:tc>
        <w:tc>
          <w:tcPr>
            <w:tcW w:w="152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-0.40%</w:t>
            </w:r>
          </w:p>
        </w:tc>
      </w:tr>
      <w:tr w:rsidR="00A635B4" w:rsidRPr="002C62D1" w:rsidTr="00304F33">
        <w:trPr>
          <w:trHeight w:val="298"/>
        </w:trPr>
        <w:tc>
          <w:tcPr>
            <w:tcW w:w="2718"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Tatim Fitimi</w:t>
            </w:r>
          </w:p>
        </w:tc>
        <w:tc>
          <w:tcPr>
            <w:tcW w:w="1570"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23,440</w:t>
            </w:r>
          </w:p>
        </w:tc>
        <w:tc>
          <w:tcPr>
            <w:tcW w:w="145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23,465</w:t>
            </w:r>
          </w:p>
        </w:tc>
        <w:tc>
          <w:tcPr>
            <w:tcW w:w="1664"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25</w:t>
            </w:r>
          </w:p>
        </w:tc>
        <w:tc>
          <w:tcPr>
            <w:tcW w:w="152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0.11%</w:t>
            </w:r>
          </w:p>
        </w:tc>
      </w:tr>
      <w:tr w:rsidR="00A635B4" w:rsidRPr="002C62D1" w:rsidTr="00304F33">
        <w:trPr>
          <w:trHeight w:val="507"/>
        </w:trPr>
        <w:tc>
          <w:tcPr>
            <w:tcW w:w="2718" w:type="dxa"/>
            <w:tcBorders>
              <w:top w:val="nil"/>
              <w:left w:val="nil"/>
              <w:bottom w:val="nil"/>
              <w:right w:val="nil"/>
            </w:tcBorders>
            <w:shd w:val="clear" w:color="000000" w:fill="FFFFFF"/>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 xml:space="preserve">Tatimi mbi te ardhurat Personale </w:t>
            </w:r>
          </w:p>
        </w:tc>
        <w:tc>
          <w:tcPr>
            <w:tcW w:w="1570"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25,474</w:t>
            </w:r>
          </w:p>
        </w:tc>
        <w:tc>
          <w:tcPr>
            <w:tcW w:w="145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24,528</w:t>
            </w:r>
          </w:p>
        </w:tc>
        <w:tc>
          <w:tcPr>
            <w:tcW w:w="1664"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-946</w:t>
            </w:r>
          </w:p>
        </w:tc>
        <w:tc>
          <w:tcPr>
            <w:tcW w:w="152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-3.71%</w:t>
            </w:r>
          </w:p>
        </w:tc>
      </w:tr>
      <w:tr w:rsidR="00A635B4" w:rsidRPr="002C62D1" w:rsidTr="00304F33">
        <w:trPr>
          <w:trHeight w:val="298"/>
        </w:trPr>
        <w:tc>
          <w:tcPr>
            <w:tcW w:w="2718"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Taksa nacionale</w:t>
            </w:r>
          </w:p>
        </w:tc>
        <w:tc>
          <w:tcPr>
            <w:tcW w:w="1570"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27,971</w:t>
            </w:r>
          </w:p>
        </w:tc>
        <w:tc>
          <w:tcPr>
            <w:tcW w:w="145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28,261</w:t>
            </w:r>
          </w:p>
        </w:tc>
        <w:tc>
          <w:tcPr>
            <w:tcW w:w="1664"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290</w:t>
            </w:r>
          </w:p>
        </w:tc>
        <w:tc>
          <w:tcPr>
            <w:tcW w:w="152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1.04%</w:t>
            </w:r>
          </w:p>
        </w:tc>
      </w:tr>
      <w:tr w:rsidR="00A635B4" w:rsidRPr="002C62D1" w:rsidTr="00304F33">
        <w:trPr>
          <w:trHeight w:val="313"/>
        </w:trPr>
        <w:tc>
          <w:tcPr>
            <w:tcW w:w="2718"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Kontributet</w:t>
            </w:r>
          </w:p>
        </w:tc>
        <w:tc>
          <w:tcPr>
            <w:tcW w:w="1570"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59,420</w:t>
            </w:r>
          </w:p>
        </w:tc>
        <w:tc>
          <w:tcPr>
            <w:tcW w:w="145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61,150</w:t>
            </w:r>
          </w:p>
        </w:tc>
        <w:tc>
          <w:tcPr>
            <w:tcW w:w="1664"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1,730</w:t>
            </w:r>
          </w:p>
        </w:tc>
        <w:tc>
          <w:tcPr>
            <w:tcW w:w="1523" w:type="dxa"/>
            <w:tcBorders>
              <w:top w:val="nil"/>
              <w:left w:val="nil"/>
              <w:bottom w:val="nil"/>
              <w:right w:val="nil"/>
            </w:tcBorders>
            <w:shd w:val="clear" w:color="000000" w:fill="FFFFFF"/>
            <w:noWrap/>
            <w:vAlign w:val="center"/>
            <w:hideMark/>
          </w:tcPr>
          <w:p w:rsidR="00A635B4" w:rsidRPr="002C62D1" w:rsidRDefault="00A635B4" w:rsidP="00304F33">
            <w:pPr>
              <w:spacing w:line="276" w:lineRule="auto"/>
              <w:jc w:val="both"/>
              <w:rPr>
                <w:rFonts w:eastAsia="Times New Roman"/>
                <w:color w:val="000000"/>
                <w:sz w:val="20"/>
                <w:szCs w:val="20"/>
              </w:rPr>
            </w:pPr>
            <w:r w:rsidRPr="002C62D1">
              <w:rPr>
                <w:rFonts w:eastAsia="Times New Roman"/>
                <w:color w:val="000000"/>
                <w:sz w:val="20"/>
                <w:szCs w:val="20"/>
              </w:rPr>
              <w:t>2.91%</w:t>
            </w:r>
          </w:p>
        </w:tc>
      </w:tr>
      <w:tr w:rsidR="00A635B4" w:rsidRPr="002C62D1" w:rsidTr="00304F33">
        <w:trPr>
          <w:trHeight w:val="313"/>
        </w:trPr>
        <w:tc>
          <w:tcPr>
            <w:tcW w:w="2718"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1"/>
                <w:szCs w:val="21"/>
              </w:rPr>
            </w:pPr>
            <w:r w:rsidRPr="002C62D1">
              <w:rPr>
                <w:rFonts w:eastAsia="Times New Roman"/>
                <w:b/>
                <w:bCs/>
                <w:color w:val="000000"/>
                <w:sz w:val="21"/>
                <w:szCs w:val="21"/>
              </w:rPr>
              <w:t>Total</w:t>
            </w:r>
          </w:p>
        </w:tc>
        <w:tc>
          <w:tcPr>
            <w:tcW w:w="1570"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1"/>
                <w:szCs w:val="21"/>
              </w:rPr>
            </w:pPr>
            <w:r w:rsidRPr="002C62D1">
              <w:rPr>
                <w:rFonts w:eastAsia="Times New Roman"/>
                <w:b/>
                <w:bCs/>
                <w:color w:val="000000"/>
                <w:sz w:val="21"/>
                <w:szCs w:val="21"/>
              </w:rPr>
              <w:t>162,735</w:t>
            </w:r>
          </w:p>
        </w:tc>
        <w:tc>
          <w:tcPr>
            <w:tcW w:w="1453"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1"/>
                <w:szCs w:val="21"/>
              </w:rPr>
            </w:pPr>
            <w:r w:rsidRPr="002C62D1">
              <w:rPr>
                <w:rFonts w:eastAsia="Times New Roman"/>
                <w:b/>
                <w:bCs/>
                <w:color w:val="000000"/>
                <w:sz w:val="21"/>
                <w:szCs w:val="21"/>
              </w:rPr>
              <w:t>163,727</w:t>
            </w:r>
          </w:p>
        </w:tc>
        <w:tc>
          <w:tcPr>
            <w:tcW w:w="1664"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1"/>
                <w:szCs w:val="21"/>
              </w:rPr>
            </w:pPr>
            <w:r w:rsidRPr="002C62D1">
              <w:rPr>
                <w:rFonts w:eastAsia="Times New Roman"/>
                <w:b/>
                <w:bCs/>
                <w:color w:val="000000"/>
                <w:sz w:val="21"/>
                <w:szCs w:val="21"/>
              </w:rPr>
              <w:t>992</w:t>
            </w:r>
          </w:p>
        </w:tc>
        <w:tc>
          <w:tcPr>
            <w:tcW w:w="1523" w:type="dxa"/>
            <w:tcBorders>
              <w:top w:val="single" w:sz="8" w:space="0" w:color="auto"/>
              <w:left w:val="nil"/>
              <w:bottom w:val="double" w:sz="6" w:space="0" w:color="auto"/>
              <w:right w:val="nil"/>
            </w:tcBorders>
            <w:shd w:val="clear" w:color="000000" w:fill="FFFFFF"/>
            <w:noWrap/>
            <w:vAlign w:val="center"/>
            <w:hideMark/>
          </w:tcPr>
          <w:p w:rsidR="00A635B4" w:rsidRPr="002C62D1" w:rsidRDefault="00A635B4" w:rsidP="00304F33">
            <w:pPr>
              <w:spacing w:line="276" w:lineRule="auto"/>
              <w:jc w:val="both"/>
              <w:rPr>
                <w:rFonts w:eastAsia="Times New Roman"/>
                <w:b/>
                <w:bCs/>
                <w:color w:val="000000"/>
                <w:sz w:val="21"/>
                <w:szCs w:val="21"/>
              </w:rPr>
            </w:pPr>
            <w:r w:rsidRPr="002C62D1">
              <w:rPr>
                <w:rFonts w:eastAsia="Times New Roman"/>
                <w:b/>
                <w:bCs/>
                <w:color w:val="000000"/>
                <w:sz w:val="21"/>
                <w:szCs w:val="21"/>
              </w:rPr>
              <w:t>0.61%</w:t>
            </w:r>
          </w:p>
        </w:tc>
      </w:tr>
    </w:tbl>
    <w:p w:rsidR="00A635B4" w:rsidRPr="004A28C7" w:rsidRDefault="00A635B4" w:rsidP="00A635B4">
      <w:pPr>
        <w:spacing w:line="276" w:lineRule="auto"/>
        <w:jc w:val="both"/>
        <w:rPr>
          <w:i/>
          <w:sz w:val="20"/>
          <w:szCs w:val="20"/>
          <w:lang w:val="sq-AL"/>
        </w:rPr>
      </w:pPr>
      <w:r w:rsidRPr="004A28C7">
        <w:rPr>
          <w:b/>
          <w:i/>
          <w:sz w:val="20"/>
          <w:szCs w:val="20"/>
          <w:lang w:val="sq-AL"/>
        </w:rPr>
        <w:t xml:space="preserve">Burimi: </w:t>
      </w:r>
      <w:r w:rsidRPr="004A28C7">
        <w:rPr>
          <w:i/>
          <w:sz w:val="20"/>
          <w:szCs w:val="20"/>
          <w:lang w:val="sq-AL"/>
        </w:rPr>
        <w:t>Ministria e Financave dhe Ekonomisë(2017)</w:t>
      </w:r>
    </w:p>
    <w:p w:rsidR="0012094F" w:rsidRDefault="0012094F" w:rsidP="00A635B4">
      <w:pPr>
        <w:spacing w:line="276" w:lineRule="auto"/>
        <w:jc w:val="both"/>
        <w:rPr>
          <w:b/>
          <w:i/>
        </w:rPr>
      </w:pPr>
    </w:p>
    <w:p w:rsidR="00C04EF4" w:rsidRPr="004A28C7" w:rsidRDefault="00A635B4" w:rsidP="00A635B4">
      <w:pPr>
        <w:spacing w:line="276" w:lineRule="auto"/>
        <w:jc w:val="both"/>
      </w:pPr>
      <w:r w:rsidRPr="0012094F">
        <w:rPr>
          <w:b/>
          <w:i/>
        </w:rPr>
        <w:t>Të ardhurat nga TVSH-ja brenda vendit</w:t>
      </w:r>
      <w:r w:rsidRPr="0012094F">
        <w:t xml:space="preserve"> janë realizuar në vlerën 26.3 miliard lekë, 5.5% ose 1.4 miliard lekë më shumë se 9 mujori i vitit 2016 dhe me një realizim të planit të periudhës në masën 99.6% ose rreth 107 milion lekë më pak. Rimbursimi i TVSH është realizuar në vlerën 9 miliard lekë, rreth 2.6 miliard lekë ose 39.7% më shumë se 9 mujori i vitit 2016</w:t>
      </w:r>
      <w:r w:rsidR="0012094F" w:rsidRPr="0012094F">
        <w:t>për shkak të rritjes së intensitetit të punimeve dh</w:t>
      </w:r>
      <w:r w:rsidR="0012094F">
        <w:t>e e kërkesave për rimbursim nga investitor</w:t>
      </w:r>
      <w:r w:rsidR="00122326">
        <w:t>ë</w:t>
      </w:r>
      <w:r w:rsidR="0012094F">
        <w:t>t e m</w:t>
      </w:r>
      <w:r w:rsidR="00122326">
        <w:t>ë</w:t>
      </w:r>
      <w:r w:rsidR="0012094F">
        <w:t>dhenj.</w:t>
      </w:r>
    </w:p>
    <w:p w:rsidR="00C04EF4" w:rsidRPr="006B55A3" w:rsidRDefault="00C04EF4" w:rsidP="00A635B4">
      <w:pPr>
        <w:spacing w:line="276" w:lineRule="auto"/>
        <w:jc w:val="both"/>
        <w:rPr>
          <w:color w:val="FF0000"/>
        </w:rPr>
      </w:pPr>
    </w:p>
    <w:p w:rsidR="00A635B4" w:rsidRPr="00C04EF4" w:rsidRDefault="00C04EF4" w:rsidP="00A635B4">
      <w:pPr>
        <w:tabs>
          <w:tab w:val="left" w:pos="2511"/>
          <w:tab w:val="center" w:pos="4680"/>
        </w:tabs>
        <w:spacing w:line="276" w:lineRule="auto"/>
        <w:jc w:val="both"/>
        <w:rPr>
          <w:rFonts w:eastAsia="Times New Roman"/>
          <w:sz w:val="20"/>
          <w:szCs w:val="20"/>
          <w:lang w:val="sq-AL"/>
        </w:rPr>
      </w:pPr>
      <w:r w:rsidRPr="00C04EF4">
        <w:rPr>
          <w:rFonts w:eastAsia="Calibri"/>
          <w:b/>
          <w:sz w:val="20"/>
          <w:szCs w:val="20"/>
          <w:lang w:val="sq-AL"/>
        </w:rPr>
        <w:t xml:space="preserve">  </w:t>
      </w:r>
      <w:r w:rsidRPr="004A28C7">
        <w:rPr>
          <w:rFonts w:eastAsia="Calibri"/>
          <w:b/>
          <w:lang w:val="sq-AL"/>
        </w:rPr>
        <w:t>Grafiku</w:t>
      </w:r>
      <w:r w:rsidR="00E1102D" w:rsidRPr="004A28C7">
        <w:rPr>
          <w:rFonts w:eastAsia="Calibri"/>
          <w:b/>
          <w:lang w:val="sq-AL"/>
        </w:rPr>
        <w:t xml:space="preserve"> 13</w:t>
      </w:r>
      <w:r w:rsidRPr="004A28C7">
        <w:rPr>
          <w:rFonts w:eastAsia="Calibri"/>
          <w:b/>
          <w:lang w:val="sq-AL"/>
        </w:rPr>
        <w:t>:</w:t>
      </w:r>
      <w:r w:rsidR="00A635B4" w:rsidRPr="004A28C7">
        <w:rPr>
          <w:rFonts w:eastAsia="Calibri"/>
          <w:lang w:val="sq-AL"/>
        </w:rPr>
        <w:t xml:space="preserve"> Të ardhurat  nga TVSH brenda vendit  </w:t>
      </w:r>
      <w:r w:rsidR="00A635B4" w:rsidRPr="004A28C7">
        <w:rPr>
          <w:rFonts w:eastAsia="Times New Roman"/>
          <w:lang w:val="sq-AL"/>
        </w:rPr>
        <w:t>Janar-Shtator  ndër vite</w:t>
      </w:r>
      <w:r w:rsidR="004A28C7">
        <w:rPr>
          <w:rFonts w:eastAsia="Times New Roman"/>
          <w:sz w:val="20"/>
          <w:lang w:val="sq-AL"/>
        </w:rPr>
        <w:t xml:space="preserve">          </w:t>
      </w:r>
      <w:r w:rsidR="00A635B4" w:rsidRPr="004A28C7">
        <w:rPr>
          <w:rFonts w:eastAsia="Times New Roman"/>
          <w:sz w:val="20"/>
          <w:szCs w:val="20"/>
          <w:lang w:val="sq-AL"/>
        </w:rPr>
        <w:t xml:space="preserve">     </w:t>
      </w:r>
      <w:r w:rsidR="00A635B4" w:rsidRPr="00C04EF4">
        <w:rPr>
          <w:rFonts w:eastAsia="Times New Roman"/>
          <w:sz w:val="20"/>
          <w:szCs w:val="20"/>
          <w:lang w:val="sq-AL"/>
        </w:rPr>
        <w:t>(në milion lekë)</w:t>
      </w:r>
    </w:p>
    <w:p w:rsidR="00A635B4" w:rsidRDefault="00A635B4" w:rsidP="00A635B4">
      <w:pPr>
        <w:tabs>
          <w:tab w:val="left" w:pos="2511"/>
          <w:tab w:val="center" w:pos="4680"/>
        </w:tabs>
        <w:spacing w:line="276" w:lineRule="auto"/>
        <w:jc w:val="both"/>
        <w:rPr>
          <w:b/>
          <w:sz w:val="20"/>
          <w:szCs w:val="20"/>
          <w:lang w:val="sq-AL"/>
        </w:rPr>
      </w:pPr>
      <w:r w:rsidRPr="005E380C">
        <w:rPr>
          <w:rFonts w:eastAsia="Times New Roman"/>
          <w:i/>
          <w:noProof/>
          <w:sz w:val="20"/>
          <w:szCs w:val="20"/>
        </w:rPr>
        <w:drawing>
          <wp:inline distT="0" distB="0" distL="0" distR="0" wp14:anchorId="4DA9D64D" wp14:editId="43638DBD">
            <wp:extent cx="5943600" cy="1952625"/>
            <wp:effectExtent l="0" t="0" r="0"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35B4" w:rsidRPr="0039757A" w:rsidRDefault="00A635B4" w:rsidP="00A635B4">
      <w:pPr>
        <w:tabs>
          <w:tab w:val="left" w:pos="2511"/>
          <w:tab w:val="center" w:pos="4680"/>
        </w:tabs>
        <w:spacing w:line="276" w:lineRule="auto"/>
        <w:jc w:val="both"/>
        <w:rPr>
          <w:rFonts w:eastAsia="Times New Roman"/>
          <w:i/>
          <w:sz w:val="20"/>
          <w:szCs w:val="20"/>
          <w:lang w:val="sq-AL"/>
        </w:rPr>
      </w:pPr>
      <w:r w:rsidRPr="00654734">
        <w:rPr>
          <w:b/>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dhe Ekonomisë</w:t>
      </w:r>
      <w:r w:rsidRPr="00654734">
        <w:rPr>
          <w:i/>
          <w:sz w:val="20"/>
          <w:szCs w:val="20"/>
          <w:lang w:val="sq-AL"/>
        </w:rPr>
        <w:t>(2017)</w:t>
      </w:r>
    </w:p>
    <w:p w:rsidR="00A635B4" w:rsidRDefault="00A635B4" w:rsidP="00A635B4">
      <w:pPr>
        <w:spacing w:line="276" w:lineRule="auto"/>
        <w:contextualSpacing/>
        <w:jc w:val="both"/>
        <w:rPr>
          <w:rFonts w:eastAsia="Calibri"/>
          <w:b/>
          <w:i/>
          <w:lang w:val="sq-AL"/>
        </w:rPr>
      </w:pPr>
    </w:p>
    <w:p w:rsidR="00A635B4" w:rsidRPr="00654734" w:rsidRDefault="00A635B4" w:rsidP="00A635B4">
      <w:pPr>
        <w:spacing w:line="276" w:lineRule="auto"/>
        <w:contextualSpacing/>
        <w:jc w:val="both"/>
        <w:rPr>
          <w:rFonts w:eastAsia="Calibri"/>
          <w:b/>
          <w:i/>
          <w:lang w:val="sq-AL"/>
        </w:rPr>
      </w:pPr>
    </w:p>
    <w:p w:rsidR="00A635B4" w:rsidRPr="00C04EF4" w:rsidRDefault="00C04EF4" w:rsidP="00A635B4">
      <w:pPr>
        <w:spacing w:line="276" w:lineRule="auto"/>
        <w:jc w:val="both"/>
        <w:rPr>
          <w:rFonts w:eastAsia="Calibri"/>
          <w:sz w:val="20"/>
          <w:szCs w:val="20"/>
          <w:lang w:val="sq-AL"/>
        </w:rPr>
      </w:pPr>
      <w:r w:rsidRPr="00C04EF4">
        <w:rPr>
          <w:rFonts w:eastAsia="Calibri"/>
          <w:b/>
          <w:sz w:val="20"/>
          <w:szCs w:val="20"/>
          <w:lang w:val="sq-AL"/>
        </w:rPr>
        <w:lastRenderedPageBreak/>
        <w:t xml:space="preserve">  </w:t>
      </w:r>
      <w:r w:rsidRPr="004A28C7">
        <w:rPr>
          <w:rFonts w:eastAsia="Calibri"/>
          <w:b/>
          <w:lang w:val="sq-AL"/>
        </w:rPr>
        <w:t xml:space="preserve">Grafiku </w:t>
      </w:r>
      <w:r w:rsidR="00E1102D" w:rsidRPr="004A28C7">
        <w:rPr>
          <w:rFonts w:eastAsia="Calibri"/>
          <w:b/>
          <w:lang w:val="sq-AL"/>
        </w:rPr>
        <w:t>14</w:t>
      </w:r>
      <w:r w:rsidRPr="004A28C7">
        <w:rPr>
          <w:rFonts w:eastAsia="Calibri"/>
          <w:b/>
          <w:lang w:val="sq-AL"/>
        </w:rPr>
        <w:t>:</w:t>
      </w:r>
      <w:r w:rsidR="00A635B4" w:rsidRPr="004A28C7">
        <w:rPr>
          <w:rFonts w:eastAsia="Calibri"/>
          <w:b/>
          <w:lang w:val="sq-AL"/>
        </w:rPr>
        <w:t xml:space="preserve"> </w:t>
      </w:r>
      <w:r w:rsidR="00A635B4" w:rsidRPr="004A28C7">
        <w:rPr>
          <w:rFonts w:eastAsia="Calibri"/>
          <w:lang w:val="sq-AL"/>
        </w:rPr>
        <w:t>Rimbursimi i TVSH-së për periudhën Janar- Shtator  ndër vite</w:t>
      </w:r>
      <w:r w:rsidR="00A635B4" w:rsidRPr="00C04EF4">
        <w:rPr>
          <w:rFonts w:eastAsia="Calibri"/>
          <w:sz w:val="20"/>
          <w:szCs w:val="20"/>
          <w:lang w:val="sq-AL"/>
        </w:rPr>
        <w:t xml:space="preserve">         (në milion lekë)</w:t>
      </w:r>
    </w:p>
    <w:p w:rsidR="00A635B4" w:rsidRDefault="00A635B4" w:rsidP="00A635B4">
      <w:pPr>
        <w:spacing w:line="276" w:lineRule="auto"/>
        <w:jc w:val="both"/>
        <w:rPr>
          <w:b/>
          <w:sz w:val="20"/>
          <w:szCs w:val="20"/>
          <w:lang w:val="sq-AL"/>
        </w:rPr>
      </w:pPr>
      <w:r w:rsidRPr="0039757A">
        <w:rPr>
          <w:rFonts w:eastAsia="Calibri"/>
          <w:i/>
          <w:noProof/>
          <w:sz w:val="20"/>
          <w:szCs w:val="20"/>
        </w:rPr>
        <w:drawing>
          <wp:inline distT="0" distB="0" distL="0" distR="0" wp14:anchorId="16F4928D" wp14:editId="5D416785">
            <wp:extent cx="5581650" cy="2140647"/>
            <wp:effectExtent l="0" t="0" r="0" b="1206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54734">
        <w:rPr>
          <w:b/>
          <w:sz w:val="20"/>
          <w:szCs w:val="20"/>
          <w:lang w:val="sq-AL"/>
        </w:rPr>
        <w:t xml:space="preserve"> </w:t>
      </w:r>
    </w:p>
    <w:p w:rsidR="00A635B4" w:rsidRPr="0039757A" w:rsidRDefault="00A635B4" w:rsidP="00A635B4">
      <w:pPr>
        <w:spacing w:line="276" w:lineRule="auto"/>
        <w:jc w:val="both"/>
        <w:rPr>
          <w:rFonts w:eastAsia="Calibri"/>
          <w:i/>
          <w:sz w:val="20"/>
          <w:szCs w:val="20"/>
          <w:lang w:val="sq-AL"/>
        </w:rPr>
      </w:pPr>
      <w:r w:rsidRPr="00654734">
        <w:rPr>
          <w:b/>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dhe Ekonomisë</w:t>
      </w:r>
      <w:r w:rsidR="004A28C7">
        <w:rPr>
          <w:i/>
          <w:sz w:val="20"/>
          <w:szCs w:val="20"/>
          <w:lang w:val="sq-AL"/>
        </w:rPr>
        <w:t xml:space="preserve"> </w:t>
      </w:r>
      <w:r w:rsidRPr="00654734">
        <w:rPr>
          <w:i/>
          <w:sz w:val="20"/>
          <w:szCs w:val="20"/>
          <w:lang w:val="sq-AL"/>
        </w:rPr>
        <w:t>(2017)</w:t>
      </w:r>
    </w:p>
    <w:p w:rsidR="004A28C7" w:rsidRPr="002371BA" w:rsidRDefault="004A28C7" w:rsidP="00A635B4">
      <w:pPr>
        <w:spacing w:line="276" w:lineRule="auto"/>
        <w:jc w:val="both"/>
        <w:rPr>
          <w:b/>
          <w:i/>
          <w:sz w:val="16"/>
          <w:szCs w:val="16"/>
        </w:rPr>
      </w:pPr>
    </w:p>
    <w:p w:rsidR="00A635B4" w:rsidRPr="004D07CE" w:rsidRDefault="00A635B4" w:rsidP="00A635B4">
      <w:pPr>
        <w:spacing w:line="276" w:lineRule="auto"/>
        <w:jc w:val="both"/>
      </w:pPr>
      <w:r w:rsidRPr="00D84DEA">
        <w:rPr>
          <w:b/>
          <w:i/>
        </w:rPr>
        <w:t>Të ardhurat nga  tatimi mbi fitimin</w:t>
      </w:r>
      <w:r>
        <w:t xml:space="preserve"> janë realizuar në vlerën 23.5</w:t>
      </w:r>
      <w:r w:rsidRPr="00D84DEA">
        <w:t xml:space="preserve"> </w:t>
      </w:r>
      <w:r>
        <w:t>miliard</w:t>
      </w:r>
      <w:r w:rsidRPr="00D84DEA">
        <w:t xml:space="preserve"> lekë, </w:t>
      </w:r>
      <w:r>
        <w:t>8</w:t>
      </w:r>
      <w:r w:rsidRPr="00D84DEA">
        <w:t>%</w:t>
      </w:r>
      <w:r>
        <w:t xml:space="preserve"> ose reth 1.7 miliard lekë</w:t>
      </w:r>
      <w:r w:rsidRPr="00D84DEA">
        <w:t xml:space="preserve"> më shumë se e njëjta periudhë e vitit të kaluar dhe </w:t>
      </w:r>
      <w:r>
        <w:t>0.1</w:t>
      </w:r>
      <w:r w:rsidRPr="00D84DEA">
        <w:t>%</w:t>
      </w:r>
      <w:r>
        <w:t xml:space="preserve"> ose 25 milion lekë</w:t>
      </w:r>
      <w:r w:rsidRPr="00D84DEA">
        <w:t xml:space="preserve"> më shumë se plani. Ndikimin kryesor në këtë rezultat e ka patur rritja e ndërgjegjësimit të taksapaguesve për deklarimin real të transaksioneve </w:t>
      </w:r>
      <w:r>
        <w:t>deri tek konsumatorët fundorë.</w:t>
      </w:r>
      <w:r w:rsidRPr="00654734">
        <w:rPr>
          <w:rFonts w:eastAsia="Calibri"/>
          <w:b/>
          <w:i/>
          <w:sz w:val="20"/>
          <w:szCs w:val="20"/>
          <w:lang w:val="it-IT"/>
        </w:rPr>
        <w:t xml:space="preserve">              </w:t>
      </w:r>
    </w:p>
    <w:p w:rsidR="00A635B4" w:rsidRPr="00654734" w:rsidRDefault="00A635B4" w:rsidP="00A635B4">
      <w:pPr>
        <w:spacing w:line="276" w:lineRule="auto"/>
        <w:jc w:val="both"/>
      </w:pPr>
    </w:p>
    <w:p w:rsidR="00A635B4" w:rsidRPr="00C04EF4" w:rsidRDefault="00C04EF4" w:rsidP="00A635B4">
      <w:pPr>
        <w:spacing w:line="276" w:lineRule="auto"/>
        <w:jc w:val="both"/>
        <w:rPr>
          <w:rFonts w:eastAsia="Times New Roman"/>
          <w:sz w:val="20"/>
          <w:lang w:val="sq-AL"/>
        </w:rPr>
      </w:pPr>
      <w:r w:rsidRPr="004A28C7">
        <w:rPr>
          <w:rFonts w:eastAsia="Calibri"/>
          <w:b/>
          <w:lang w:val="it-IT"/>
        </w:rPr>
        <w:t xml:space="preserve">Grafiku </w:t>
      </w:r>
      <w:r w:rsidR="00E1102D" w:rsidRPr="004A28C7">
        <w:rPr>
          <w:rFonts w:eastAsia="Calibri"/>
          <w:b/>
          <w:lang w:val="it-IT"/>
        </w:rPr>
        <w:t>15</w:t>
      </w:r>
      <w:r w:rsidRPr="004A28C7">
        <w:rPr>
          <w:rFonts w:eastAsia="Calibri"/>
          <w:b/>
          <w:lang w:val="it-IT"/>
        </w:rPr>
        <w:t>:</w:t>
      </w:r>
      <w:r w:rsidR="00A635B4" w:rsidRPr="004A28C7">
        <w:rPr>
          <w:rFonts w:eastAsia="Calibri"/>
          <w:b/>
          <w:lang w:val="it-IT"/>
        </w:rPr>
        <w:t xml:space="preserve"> </w:t>
      </w:r>
      <w:r w:rsidR="00A635B4" w:rsidRPr="004A28C7">
        <w:rPr>
          <w:rFonts w:eastAsia="Calibri"/>
          <w:lang w:val="it-IT"/>
        </w:rPr>
        <w:t xml:space="preserve"> Të ardhurat  e realizuara nga Tatimi  Fitimi  </w:t>
      </w:r>
      <w:r w:rsidR="00A635B4" w:rsidRPr="004A28C7">
        <w:rPr>
          <w:rFonts w:eastAsia="Times New Roman"/>
          <w:lang w:val="sq-AL"/>
        </w:rPr>
        <w:t>Janar-Shtator  ndër vite</w:t>
      </w:r>
      <w:r w:rsidR="00A635B4" w:rsidRPr="00C04EF4">
        <w:rPr>
          <w:rFonts w:eastAsia="Times New Roman"/>
          <w:sz w:val="20"/>
          <w:lang w:val="sq-AL"/>
        </w:rPr>
        <w:t xml:space="preserve">                 (në milion lekë)</w:t>
      </w:r>
    </w:p>
    <w:p w:rsidR="00A635B4" w:rsidRDefault="00A635B4" w:rsidP="00A635B4">
      <w:pPr>
        <w:spacing w:line="276" w:lineRule="auto"/>
        <w:jc w:val="both"/>
        <w:rPr>
          <w:b/>
          <w:sz w:val="20"/>
          <w:szCs w:val="20"/>
          <w:lang w:val="sq-AL"/>
        </w:rPr>
      </w:pPr>
      <w:r w:rsidRPr="004D07CE">
        <w:rPr>
          <w:rFonts w:eastAsia="Times New Roman"/>
          <w:i/>
          <w:noProof/>
          <w:sz w:val="20"/>
        </w:rPr>
        <w:drawing>
          <wp:inline distT="0" distB="0" distL="0" distR="0" wp14:anchorId="00C87E8C" wp14:editId="312D4DAE">
            <wp:extent cx="5943600" cy="19526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35B4" w:rsidRPr="0094161E" w:rsidRDefault="00A635B4" w:rsidP="00A635B4">
      <w:pPr>
        <w:spacing w:line="276" w:lineRule="auto"/>
        <w:jc w:val="both"/>
        <w:rPr>
          <w:rFonts w:eastAsia="Times New Roman"/>
          <w:i/>
          <w:sz w:val="20"/>
          <w:lang w:val="sq-AL"/>
        </w:rPr>
      </w:pPr>
      <w:r w:rsidRPr="00654734">
        <w:rPr>
          <w:b/>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 xml:space="preserve">dhe Ekonomisë </w:t>
      </w:r>
      <w:r w:rsidRPr="00654734">
        <w:rPr>
          <w:i/>
          <w:sz w:val="20"/>
          <w:szCs w:val="20"/>
          <w:lang w:val="sq-AL"/>
        </w:rPr>
        <w:t>(2017)</w:t>
      </w:r>
    </w:p>
    <w:p w:rsidR="00A635B4" w:rsidRPr="002371BA" w:rsidRDefault="00A635B4" w:rsidP="00A635B4">
      <w:pPr>
        <w:spacing w:line="276" w:lineRule="auto"/>
        <w:jc w:val="both"/>
        <w:rPr>
          <w:i/>
          <w:sz w:val="16"/>
          <w:szCs w:val="16"/>
          <w:lang w:val="sq-AL"/>
        </w:rPr>
      </w:pPr>
    </w:p>
    <w:p w:rsidR="00A635B4" w:rsidRPr="00654734" w:rsidRDefault="00A635B4" w:rsidP="00A635B4">
      <w:pPr>
        <w:spacing w:line="276" w:lineRule="auto"/>
        <w:jc w:val="both"/>
        <w:rPr>
          <w:lang w:val="it-IT"/>
        </w:rPr>
      </w:pPr>
      <w:r w:rsidRPr="00CD6AA3">
        <w:rPr>
          <w:b/>
          <w:i/>
          <w:lang w:val="it-IT"/>
        </w:rPr>
        <w:t>Nga tatimi mbi të ardhurat personale</w:t>
      </w:r>
      <w:r>
        <w:rPr>
          <w:lang w:val="it-IT"/>
        </w:rPr>
        <w:t xml:space="preserve"> janë realizuar 24.5 miliard lekë, 0.5% ose 121 milion lekë më shumë </w:t>
      </w:r>
      <w:r w:rsidRPr="00CD6AA3">
        <w:rPr>
          <w:lang w:val="it-IT"/>
        </w:rPr>
        <w:t>se</w:t>
      </w:r>
      <w:r>
        <w:rPr>
          <w:lang w:val="it-IT"/>
        </w:rPr>
        <w:t xml:space="preserve"> 9 mujori i vitit 2016</w:t>
      </w:r>
      <w:r w:rsidRPr="00CD6AA3">
        <w:rPr>
          <w:lang w:val="it-IT"/>
        </w:rPr>
        <w:t xml:space="preserve"> dhe </w:t>
      </w:r>
      <w:r>
        <w:rPr>
          <w:lang w:val="it-IT"/>
        </w:rPr>
        <w:t>3.7</w:t>
      </w:r>
      <w:r w:rsidRPr="00CD6AA3">
        <w:rPr>
          <w:lang w:val="it-IT"/>
        </w:rPr>
        <w:t xml:space="preserve">% </w:t>
      </w:r>
      <w:r>
        <w:rPr>
          <w:lang w:val="it-IT"/>
        </w:rPr>
        <w:t xml:space="preserve">ose 946 milion lekë </w:t>
      </w:r>
      <w:r w:rsidRPr="00CD6AA3">
        <w:rPr>
          <w:lang w:val="it-IT"/>
        </w:rPr>
        <w:t xml:space="preserve">më </w:t>
      </w:r>
      <w:r>
        <w:rPr>
          <w:lang w:val="it-IT"/>
        </w:rPr>
        <w:t xml:space="preserve">pak se </w:t>
      </w:r>
      <w:r w:rsidRPr="00CD6AA3">
        <w:rPr>
          <w:lang w:val="it-IT"/>
        </w:rPr>
        <w:t xml:space="preserve">plani. </w:t>
      </w:r>
      <w:r>
        <w:rPr>
          <w:lang w:val="it-IT"/>
        </w:rPr>
        <w:t xml:space="preserve">Ndikim në deklarimet e kësaj </w:t>
      </w:r>
      <w:r w:rsidRPr="00662BE2">
        <w:rPr>
          <w:lang w:val="it-IT"/>
        </w:rPr>
        <w:t>takse ka pasur reduktimi</w:t>
      </w:r>
      <w:r>
        <w:rPr>
          <w:lang w:val="it-IT"/>
        </w:rPr>
        <w:t xml:space="preserve"> i pagesës së tatimit në burim për shitjet e pasurive të paluajtshme për shkak të ligjit të rivlerësimit në 2% nga 15% që është niveli bazë.</w:t>
      </w:r>
    </w:p>
    <w:p w:rsidR="004A28C7" w:rsidRPr="002371BA" w:rsidRDefault="004A28C7" w:rsidP="00A635B4">
      <w:pPr>
        <w:spacing w:line="276" w:lineRule="auto"/>
        <w:jc w:val="both"/>
        <w:rPr>
          <w:rFonts w:eastAsia="Calibri"/>
          <w:b/>
          <w:sz w:val="16"/>
          <w:szCs w:val="16"/>
        </w:rPr>
      </w:pPr>
    </w:p>
    <w:p w:rsidR="00A635B4" w:rsidRDefault="00C04EF4" w:rsidP="00A635B4">
      <w:pPr>
        <w:spacing w:line="276" w:lineRule="auto"/>
        <w:jc w:val="both"/>
        <w:rPr>
          <w:rFonts w:eastAsia="Times New Roman"/>
          <w:i/>
          <w:sz w:val="20"/>
          <w:lang w:val="sq-AL"/>
        </w:rPr>
      </w:pPr>
      <w:r w:rsidRPr="004A28C7">
        <w:rPr>
          <w:rFonts w:eastAsia="Calibri"/>
          <w:b/>
          <w:sz w:val="22"/>
          <w:szCs w:val="22"/>
        </w:rPr>
        <w:t xml:space="preserve">Grafiku </w:t>
      </w:r>
      <w:r w:rsidR="00E1102D" w:rsidRPr="004A28C7">
        <w:rPr>
          <w:rFonts w:eastAsia="Calibri"/>
          <w:b/>
          <w:sz w:val="22"/>
          <w:szCs w:val="22"/>
        </w:rPr>
        <w:t>16</w:t>
      </w:r>
      <w:r w:rsidRPr="004A28C7">
        <w:rPr>
          <w:rFonts w:eastAsia="Calibri"/>
          <w:b/>
          <w:sz w:val="22"/>
          <w:szCs w:val="22"/>
        </w:rPr>
        <w:t>:</w:t>
      </w:r>
      <w:r w:rsidR="00A635B4" w:rsidRPr="004A28C7">
        <w:rPr>
          <w:rFonts w:eastAsia="Calibri"/>
          <w:sz w:val="22"/>
          <w:szCs w:val="22"/>
        </w:rPr>
        <w:t xml:space="preserve"> Të ardhurat e realizuara nga Tatimi mbi të Ardhurat Personale </w:t>
      </w:r>
      <w:r w:rsidR="00A635B4" w:rsidRPr="004A28C7">
        <w:rPr>
          <w:rFonts w:eastAsia="Times New Roman"/>
          <w:sz w:val="22"/>
          <w:szCs w:val="22"/>
          <w:lang w:val="sq-AL"/>
        </w:rPr>
        <w:t xml:space="preserve">Janar-Shtator </w:t>
      </w:r>
      <w:r w:rsidRPr="004A28C7">
        <w:rPr>
          <w:rFonts w:eastAsia="Times New Roman"/>
          <w:sz w:val="22"/>
          <w:szCs w:val="22"/>
          <w:lang w:val="sq-AL"/>
        </w:rPr>
        <w:t>ndër vite</w:t>
      </w:r>
      <w:r>
        <w:rPr>
          <w:rFonts w:eastAsia="Times New Roman"/>
          <w:sz w:val="20"/>
          <w:lang w:val="sq-AL"/>
        </w:rPr>
        <w:t xml:space="preserve">       </w:t>
      </w:r>
      <w:r w:rsidR="00A635B4" w:rsidRPr="00654734">
        <w:rPr>
          <w:rFonts w:eastAsia="Times New Roman"/>
          <w:i/>
          <w:sz w:val="20"/>
          <w:lang w:val="sq-AL"/>
        </w:rPr>
        <w:t>(në milion lekë)</w:t>
      </w:r>
    </w:p>
    <w:p w:rsidR="00A635B4" w:rsidRDefault="00A635B4" w:rsidP="00A635B4">
      <w:pPr>
        <w:spacing w:line="276" w:lineRule="auto"/>
        <w:jc w:val="both"/>
        <w:rPr>
          <w:b/>
          <w:sz w:val="20"/>
          <w:szCs w:val="20"/>
          <w:lang w:val="sq-AL"/>
        </w:rPr>
      </w:pPr>
      <w:r w:rsidRPr="00F72E10">
        <w:rPr>
          <w:rFonts w:eastAsia="Times New Roman"/>
          <w:i/>
          <w:noProof/>
          <w:sz w:val="20"/>
        </w:rPr>
        <w:drawing>
          <wp:inline distT="0" distB="0" distL="0" distR="0" wp14:anchorId="19F9E029" wp14:editId="3209E96C">
            <wp:extent cx="5800725" cy="17716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35B4" w:rsidRPr="00C544ED" w:rsidRDefault="00A635B4" w:rsidP="00A635B4">
      <w:pPr>
        <w:spacing w:line="276" w:lineRule="auto"/>
        <w:jc w:val="both"/>
        <w:rPr>
          <w:rFonts w:eastAsia="Times New Roman"/>
          <w:i/>
          <w:sz w:val="20"/>
          <w:lang w:val="sq-AL"/>
        </w:rPr>
      </w:pPr>
      <w:r w:rsidRPr="004A28C7">
        <w:rPr>
          <w:b/>
          <w:i/>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 xml:space="preserve">dhe Ekonomisë </w:t>
      </w:r>
      <w:r w:rsidRPr="00654734">
        <w:rPr>
          <w:i/>
          <w:sz w:val="20"/>
          <w:szCs w:val="20"/>
          <w:lang w:val="sq-AL"/>
        </w:rPr>
        <w:t>(2017)</w:t>
      </w:r>
    </w:p>
    <w:p w:rsidR="00A635B4" w:rsidRPr="00C544ED" w:rsidRDefault="00A635B4" w:rsidP="00A635B4">
      <w:pPr>
        <w:spacing w:line="276" w:lineRule="auto"/>
        <w:ind w:left="-180" w:firstLine="180"/>
        <w:jc w:val="both"/>
        <w:rPr>
          <w:rFonts w:eastAsia="Times New Roman"/>
          <w:sz w:val="20"/>
          <w:lang w:val="sq-AL"/>
        </w:rPr>
      </w:pPr>
    </w:p>
    <w:p w:rsidR="00A635B4" w:rsidRPr="00143921" w:rsidRDefault="00A635B4" w:rsidP="00A635B4">
      <w:pPr>
        <w:spacing w:line="276" w:lineRule="auto"/>
        <w:jc w:val="both"/>
      </w:pPr>
      <w:r w:rsidRPr="00654734">
        <w:rPr>
          <w:b/>
          <w:i/>
          <w:lang w:val="it-IT"/>
        </w:rPr>
        <w:t xml:space="preserve">Të ardhurat nga Taksat Nacionale </w:t>
      </w:r>
      <w:r w:rsidRPr="00CD6AA3">
        <w:rPr>
          <w:lang w:val="it-IT"/>
        </w:rPr>
        <w:t xml:space="preserve">janë realizuar </w:t>
      </w:r>
      <w:r>
        <w:rPr>
          <w:lang w:val="it-IT"/>
        </w:rPr>
        <w:t>28.3</w:t>
      </w:r>
      <w:r w:rsidRPr="00CD6AA3">
        <w:rPr>
          <w:lang w:val="it-IT"/>
        </w:rPr>
        <w:t xml:space="preserve"> </w:t>
      </w:r>
      <w:r>
        <w:rPr>
          <w:lang w:val="it-IT"/>
        </w:rPr>
        <w:t xml:space="preserve">miliard lekë, 17.1% ose  4.1 miliard lekë më </w:t>
      </w:r>
      <w:r w:rsidRPr="00066788">
        <w:rPr>
          <w:lang w:val="it-IT"/>
        </w:rPr>
        <w:t xml:space="preserve">shumë se </w:t>
      </w:r>
      <w:r>
        <w:rPr>
          <w:lang w:val="it-IT"/>
        </w:rPr>
        <w:t>9</w:t>
      </w:r>
      <w:r w:rsidRPr="00066788">
        <w:rPr>
          <w:lang w:val="it-IT"/>
        </w:rPr>
        <w:t xml:space="preserve"> mujori i vitit 2016 dhe me  një realizim të planit në masën </w:t>
      </w:r>
      <w:r>
        <w:rPr>
          <w:lang w:val="it-IT"/>
        </w:rPr>
        <w:t>101</w:t>
      </w:r>
      <w:r w:rsidRPr="00066788">
        <w:rPr>
          <w:lang w:val="it-IT"/>
        </w:rPr>
        <w:t>% ose</w:t>
      </w:r>
      <w:r>
        <w:rPr>
          <w:lang w:val="it-IT"/>
        </w:rPr>
        <w:t xml:space="preserve"> 290 milion</w:t>
      </w:r>
      <w:r w:rsidRPr="00066788">
        <w:rPr>
          <w:lang w:val="it-IT"/>
        </w:rPr>
        <w:t xml:space="preserve"> lekë.</w:t>
      </w:r>
      <w:r w:rsidRPr="00066788">
        <w:rPr>
          <w:rFonts w:eastAsiaTheme="minorEastAsia"/>
          <w:kern w:val="24"/>
          <w:sz w:val="21"/>
          <w:szCs w:val="21"/>
          <w:lang w:val="it-IT"/>
        </w:rPr>
        <w:t xml:space="preserve"> </w:t>
      </w:r>
      <w:r w:rsidRPr="00066788">
        <w:rPr>
          <w:lang w:val="it-IT"/>
        </w:rPr>
        <w:t xml:space="preserve">Faktor kryesor me ndikim në këtë realizim kanë qenë të ardhurat nga rivlerësimi i pasurive të paluajtshme rreth 3.6 </w:t>
      </w:r>
      <w:r>
        <w:rPr>
          <w:lang w:val="it-IT"/>
        </w:rPr>
        <w:t>miliard</w:t>
      </w:r>
      <w:r w:rsidRPr="00066788">
        <w:rPr>
          <w:lang w:val="it-IT"/>
        </w:rPr>
        <w:t xml:space="preserve"> lekë.</w:t>
      </w:r>
    </w:p>
    <w:p w:rsidR="004A28C7" w:rsidRDefault="004A28C7" w:rsidP="00A635B4">
      <w:pPr>
        <w:spacing w:line="276" w:lineRule="auto"/>
        <w:jc w:val="both"/>
        <w:rPr>
          <w:rFonts w:eastAsia="Calibri"/>
          <w:b/>
          <w:sz w:val="20"/>
          <w:szCs w:val="20"/>
          <w:lang w:val="it-IT"/>
        </w:rPr>
      </w:pPr>
    </w:p>
    <w:p w:rsidR="004A28C7" w:rsidRDefault="004A28C7" w:rsidP="00A635B4">
      <w:pPr>
        <w:spacing w:line="276" w:lineRule="auto"/>
        <w:jc w:val="both"/>
        <w:rPr>
          <w:rFonts w:eastAsia="Calibri"/>
          <w:b/>
          <w:sz w:val="20"/>
          <w:szCs w:val="20"/>
          <w:lang w:val="it-IT"/>
        </w:rPr>
      </w:pPr>
    </w:p>
    <w:p w:rsidR="00A635B4" w:rsidRPr="00C04EF4" w:rsidRDefault="00C04EF4" w:rsidP="00A635B4">
      <w:pPr>
        <w:spacing w:line="276" w:lineRule="auto"/>
        <w:jc w:val="both"/>
        <w:rPr>
          <w:rFonts w:eastAsia="Times New Roman"/>
          <w:sz w:val="20"/>
          <w:lang w:val="sq-AL"/>
        </w:rPr>
      </w:pPr>
      <w:r w:rsidRPr="004A28C7">
        <w:rPr>
          <w:rFonts w:eastAsia="Calibri"/>
          <w:b/>
          <w:sz w:val="22"/>
          <w:szCs w:val="22"/>
          <w:lang w:val="it-IT"/>
        </w:rPr>
        <w:t xml:space="preserve">Grafiku </w:t>
      </w:r>
      <w:r w:rsidR="00E1102D" w:rsidRPr="004A28C7">
        <w:rPr>
          <w:rFonts w:eastAsia="Calibri"/>
          <w:b/>
          <w:sz w:val="22"/>
          <w:szCs w:val="22"/>
          <w:lang w:val="it-IT"/>
        </w:rPr>
        <w:t>17</w:t>
      </w:r>
      <w:r w:rsidRPr="004A28C7">
        <w:rPr>
          <w:rFonts w:eastAsia="Calibri"/>
          <w:b/>
          <w:sz w:val="22"/>
          <w:szCs w:val="22"/>
          <w:lang w:val="it-IT"/>
        </w:rPr>
        <w:t>:</w:t>
      </w:r>
      <w:r w:rsidR="00A635B4" w:rsidRPr="004A28C7">
        <w:rPr>
          <w:rFonts w:eastAsia="Calibri"/>
          <w:sz w:val="22"/>
          <w:szCs w:val="22"/>
          <w:lang w:val="it-IT"/>
        </w:rPr>
        <w:t xml:space="preserve"> Të ardhurat  e realizuara nga  Taksat Nacionale </w:t>
      </w:r>
      <w:r w:rsidR="00A635B4" w:rsidRPr="004A28C7">
        <w:rPr>
          <w:rFonts w:eastAsia="Times New Roman"/>
          <w:sz w:val="22"/>
          <w:szCs w:val="22"/>
          <w:lang w:val="sq-AL"/>
        </w:rPr>
        <w:t>Janar- Shtator</w:t>
      </w:r>
      <w:r w:rsidRPr="004A28C7">
        <w:rPr>
          <w:rFonts w:eastAsia="Times New Roman"/>
          <w:sz w:val="22"/>
          <w:szCs w:val="22"/>
          <w:lang w:val="sq-AL"/>
        </w:rPr>
        <w:t xml:space="preserve">  ndër vite</w:t>
      </w:r>
      <w:r w:rsidR="004A28C7">
        <w:rPr>
          <w:rFonts w:eastAsia="Times New Roman"/>
          <w:sz w:val="20"/>
          <w:lang w:val="sq-AL"/>
        </w:rPr>
        <w:tab/>
        <w:t xml:space="preserve">  </w:t>
      </w:r>
      <w:r w:rsidRPr="00C04EF4">
        <w:rPr>
          <w:rFonts w:eastAsia="Times New Roman"/>
          <w:sz w:val="20"/>
          <w:lang w:val="sq-AL"/>
        </w:rPr>
        <w:t xml:space="preserve">   </w:t>
      </w:r>
      <w:r w:rsidR="00A635B4" w:rsidRPr="00C04EF4">
        <w:rPr>
          <w:rFonts w:eastAsia="Times New Roman"/>
          <w:sz w:val="20"/>
          <w:lang w:val="sq-AL"/>
        </w:rPr>
        <w:t xml:space="preserve"> (në milion lekë)</w:t>
      </w:r>
    </w:p>
    <w:p w:rsidR="00A635B4" w:rsidRDefault="00A635B4" w:rsidP="00A635B4">
      <w:pPr>
        <w:spacing w:line="276" w:lineRule="auto"/>
        <w:jc w:val="both"/>
        <w:rPr>
          <w:b/>
          <w:sz w:val="20"/>
          <w:szCs w:val="20"/>
          <w:lang w:val="sq-AL"/>
        </w:rPr>
      </w:pPr>
      <w:r w:rsidRPr="00C544ED">
        <w:rPr>
          <w:rFonts w:eastAsia="Times New Roman"/>
          <w:i/>
          <w:noProof/>
          <w:sz w:val="20"/>
        </w:rPr>
        <w:drawing>
          <wp:inline distT="0" distB="0" distL="0" distR="0" wp14:anchorId="3E536213" wp14:editId="414CAC93">
            <wp:extent cx="5943600" cy="2057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35B4" w:rsidRPr="00443A54" w:rsidRDefault="00A635B4" w:rsidP="00A635B4">
      <w:pPr>
        <w:spacing w:line="276" w:lineRule="auto"/>
        <w:jc w:val="both"/>
        <w:rPr>
          <w:rFonts w:eastAsia="Times New Roman"/>
          <w:i/>
          <w:sz w:val="20"/>
          <w:lang w:val="sq-AL"/>
        </w:rPr>
      </w:pPr>
      <w:r w:rsidRPr="004A28C7">
        <w:rPr>
          <w:b/>
          <w:i/>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dhe Ekonomisë</w:t>
      </w:r>
      <w:r w:rsidR="004A28C7">
        <w:rPr>
          <w:i/>
          <w:sz w:val="20"/>
          <w:szCs w:val="20"/>
          <w:lang w:val="sq-AL"/>
        </w:rPr>
        <w:t xml:space="preserve"> </w:t>
      </w:r>
      <w:r w:rsidRPr="00654734">
        <w:rPr>
          <w:i/>
          <w:sz w:val="20"/>
          <w:szCs w:val="20"/>
          <w:lang w:val="sq-AL"/>
        </w:rPr>
        <w:t>(2017)</w:t>
      </w:r>
    </w:p>
    <w:p w:rsidR="00A635B4" w:rsidRPr="00654734" w:rsidRDefault="00A635B4" w:rsidP="00A635B4">
      <w:pPr>
        <w:spacing w:line="276" w:lineRule="auto"/>
        <w:jc w:val="both"/>
        <w:rPr>
          <w:i/>
          <w:sz w:val="20"/>
          <w:szCs w:val="20"/>
          <w:lang w:val="sq-AL"/>
        </w:rPr>
      </w:pPr>
    </w:p>
    <w:p w:rsidR="00A635B4" w:rsidRPr="00DE5905" w:rsidRDefault="00A635B4" w:rsidP="00A635B4">
      <w:pPr>
        <w:spacing w:line="276" w:lineRule="auto"/>
        <w:jc w:val="both"/>
        <w:rPr>
          <w:lang w:val="it-IT"/>
        </w:rPr>
      </w:pPr>
      <w:r w:rsidRPr="00DE5905">
        <w:rPr>
          <w:b/>
          <w:i/>
          <w:lang w:val="it-IT"/>
        </w:rPr>
        <w:t>Të ardhurat nga kontributet e DPT</w:t>
      </w:r>
      <w:r w:rsidRPr="00DE5905">
        <w:rPr>
          <w:lang w:val="it-IT"/>
        </w:rPr>
        <w:t xml:space="preserve"> janë realizuar në vlerën </w:t>
      </w:r>
      <w:r>
        <w:rPr>
          <w:lang w:val="it-IT"/>
        </w:rPr>
        <w:t>61.1 miliard lekë, 10.1</w:t>
      </w:r>
      <w:r w:rsidRPr="00DE5905">
        <w:rPr>
          <w:lang w:val="it-IT"/>
        </w:rPr>
        <w:t xml:space="preserve">% ose rreth </w:t>
      </w:r>
      <w:r>
        <w:rPr>
          <w:lang w:val="it-IT"/>
        </w:rPr>
        <w:t>5.6</w:t>
      </w:r>
      <w:r w:rsidRPr="00DE5905">
        <w:rPr>
          <w:lang w:val="it-IT"/>
        </w:rPr>
        <w:t xml:space="preserve"> </w:t>
      </w:r>
      <w:r>
        <w:rPr>
          <w:lang w:val="it-IT"/>
        </w:rPr>
        <w:t>miliard</w:t>
      </w:r>
      <w:r w:rsidRPr="00DE5905">
        <w:rPr>
          <w:lang w:val="it-IT"/>
        </w:rPr>
        <w:t xml:space="preserve"> lekë më shumë se </w:t>
      </w:r>
      <w:r>
        <w:rPr>
          <w:lang w:val="it-IT"/>
        </w:rPr>
        <w:t>9</w:t>
      </w:r>
      <w:r w:rsidRPr="00DE5905">
        <w:rPr>
          <w:lang w:val="it-IT"/>
        </w:rPr>
        <w:t xml:space="preserve"> mujori i vitit 2016 dhe </w:t>
      </w:r>
      <w:r>
        <w:rPr>
          <w:lang w:val="it-IT"/>
        </w:rPr>
        <w:t>2.9</w:t>
      </w:r>
      <w:r w:rsidRPr="00DE5905">
        <w:rPr>
          <w:lang w:val="it-IT"/>
        </w:rPr>
        <w:t xml:space="preserve">% ose rreth </w:t>
      </w:r>
      <w:r>
        <w:rPr>
          <w:lang w:val="it-IT"/>
        </w:rPr>
        <w:t>1.7</w:t>
      </w:r>
      <w:r w:rsidRPr="00DE5905">
        <w:rPr>
          <w:lang w:val="it-IT"/>
        </w:rPr>
        <w:t xml:space="preserve"> </w:t>
      </w:r>
      <w:r>
        <w:rPr>
          <w:lang w:val="it-IT"/>
        </w:rPr>
        <w:t>miliard</w:t>
      </w:r>
      <w:r w:rsidRPr="00DE5905">
        <w:rPr>
          <w:lang w:val="it-IT"/>
        </w:rPr>
        <w:t xml:space="preserve"> lekë më shumë se plani. Rezultati shumë i lartë me rritje të qëndrueshme buron kryesisht nga situata pozitive e</w:t>
      </w:r>
      <w:r>
        <w:rPr>
          <w:lang w:val="it-IT"/>
        </w:rPr>
        <w:t>konomike dhe rritja si rrjedhojë</w:t>
      </w:r>
      <w:r w:rsidRPr="00DE5905">
        <w:rPr>
          <w:lang w:val="it-IT"/>
        </w:rPr>
        <w:t xml:space="preserve"> e numrit të të punësuarve. </w:t>
      </w:r>
    </w:p>
    <w:p w:rsidR="00A635B4" w:rsidRPr="00654734" w:rsidRDefault="00A635B4" w:rsidP="00A635B4">
      <w:pPr>
        <w:spacing w:line="276" w:lineRule="auto"/>
        <w:jc w:val="both"/>
        <w:rPr>
          <w:lang w:val="it-IT"/>
        </w:rPr>
      </w:pPr>
    </w:p>
    <w:p w:rsidR="00A635B4" w:rsidRPr="00C04EF4" w:rsidRDefault="00C04EF4" w:rsidP="00C04EF4">
      <w:pPr>
        <w:spacing w:line="276" w:lineRule="auto"/>
        <w:jc w:val="both"/>
        <w:rPr>
          <w:rFonts w:eastAsia="Calibri"/>
          <w:b/>
          <w:sz w:val="20"/>
          <w:szCs w:val="20"/>
        </w:rPr>
      </w:pPr>
      <w:r w:rsidRPr="00C04EF4">
        <w:rPr>
          <w:rFonts w:eastAsia="Calibri"/>
          <w:b/>
          <w:sz w:val="20"/>
          <w:szCs w:val="20"/>
        </w:rPr>
        <w:t xml:space="preserve">Grafiku </w:t>
      </w:r>
      <w:r w:rsidR="00E1102D">
        <w:rPr>
          <w:rFonts w:eastAsia="Calibri"/>
          <w:b/>
          <w:sz w:val="20"/>
          <w:szCs w:val="20"/>
        </w:rPr>
        <w:t>18</w:t>
      </w:r>
      <w:r w:rsidRPr="00C04EF4">
        <w:rPr>
          <w:rFonts w:eastAsia="Calibri"/>
          <w:b/>
          <w:sz w:val="20"/>
          <w:szCs w:val="20"/>
        </w:rPr>
        <w:t xml:space="preserve">: </w:t>
      </w:r>
      <w:r w:rsidR="00A635B4" w:rsidRPr="00C04EF4">
        <w:rPr>
          <w:rFonts w:eastAsia="Calibri"/>
          <w:b/>
          <w:sz w:val="20"/>
          <w:szCs w:val="20"/>
        </w:rPr>
        <w:t xml:space="preserve">Të </w:t>
      </w:r>
      <w:proofErr w:type="gramStart"/>
      <w:r w:rsidR="00A635B4" w:rsidRPr="00C04EF4">
        <w:rPr>
          <w:rFonts w:eastAsia="Calibri"/>
          <w:b/>
          <w:sz w:val="20"/>
          <w:szCs w:val="20"/>
        </w:rPr>
        <w:t>ardhurat  e</w:t>
      </w:r>
      <w:proofErr w:type="gramEnd"/>
      <w:r w:rsidR="00A635B4" w:rsidRPr="00C04EF4">
        <w:rPr>
          <w:rFonts w:eastAsia="Calibri"/>
          <w:b/>
          <w:sz w:val="20"/>
          <w:szCs w:val="20"/>
        </w:rPr>
        <w:t xml:space="preserve"> realizuara nga Kontributet  për periudhën Janar-Shtator </w:t>
      </w:r>
      <w:r w:rsidRPr="00C04EF4">
        <w:rPr>
          <w:rFonts w:eastAsia="Calibri"/>
          <w:b/>
          <w:sz w:val="20"/>
          <w:szCs w:val="20"/>
        </w:rPr>
        <w:t xml:space="preserve"> ndër vite</w:t>
      </w:r>
      <w:r w:rsidR="00A635B4" w:rsidRPr="00C04EF4">
        <w:rPr>
          <w:rFonts w:eastAsia="Times New Roman"/>
          <w:b/>
          <w:sz w:val="20"/>
          <w:lang w:val="sq-AL"/>
        </w:rPr>
        <w:t xml:space="preserve">      </w:t>
      </w:r>
      <w:r w:rsidRPr="00C04EF4">
        <w:rPr>
          <w:rFonts w:eastAsia="Times New Roman"/>
          <w:b/>
          <w:sz w:val="20"/>
          <w:lang w:val="sq-AL"/>
        </w:rPr>
        <w:t xml:space="preserve">       </w:t>
      </w:r>
      <w:r w:rsidR="00A635B4" w:rsidRPr="00C04EF4">
        <w:rPr>
          <w:rFonts w:eastAsia="Times New Roman"/>
          <w:i/>
          <w:sz w:val="20"/>
          <w:lang w:val="sq-AL"/>
        </w:rPr>
        <w:t>(në milion lekë)</w:t>
      </w:r>
    </w:p>
    <w:p w:rsidR="00A635B4" w:rsidRDefault="00A635B4" w:rsidP="00A635B4">
      <w:pPr>
        <w:spacing w:line="276" w:lineRule="auto"/>
        <w:jc w:val="both"/>
        <w:rPr>
          <w:rFonts w:eastAsia="Times New Roman"/>
          <w:i/>
          <w:sz w:val="20"/>
          <w:lang w:val="sq-AL"/>
        </w:rPr>
      </w:pPr>
      <w:r w:rsidRPr="004E1C6A">
        <w:rPr>
          <w:rFonts w:eastAsia="Times New Roman"/>
          <w:i/>
          <w:noProof/>
          <w:sz w:val="20"/>
        </w:rPr>
        <w:drawing>
          <wp:inline distT="0" distB="0" distL="0" distR="0" wp14:anchorId="5FDD4506" wp14:editId="35856329">
            <wp:extent cx="5943600" cy="15716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35B4" w:rsidRPr="00654734" w:rsidRDefault="00A635B4" w:rsidP="00A635B4">
      <w:pPr>
        <w:spacing w:line="276" w:lineRule="auto"/>
        <w:jc w:val="both"/>
        <w:rPr>
          <w:rFonts w:eastAsia="Calibri"/>
          <w:b/>
          <w:i/>
          <w:lang w:val="sq-AL"/>
        </w:rPr>
      </w:pPr>
      <w:r w:rsidRPr="00654734">
        <w:rPr>
          <w:b/>
          <w:sz w:val="20"/>
          <w:szCs w:val="20"/>
          <w:lang w:val="sq-AL"/>
        </w:rPr>
        <w:t>Burimi:</w:t>
      </w:r>
      <w:r w:rsidRPr="00654734">
        <w:rPr>
          <w:b/>
          <w:i/>
          <w:sz w:val="20"/>
          <w:szCs w:val="20"/>
          <w:lang w:val="sq-AL"/>
        </w:rPr>
        <w:t xml:space="preserve"> </w:t>
      </w:r>
      <w:r w:rsidRPr="00654734">
        <w:rPr>
          <w:i/>
          <w:sz w:val="20"/>
          <w:szCs w:val="20"/>
          <w:lang w:val="sq-AL"/>
        </w:rPr>
        <w:t xml:space="preserve">Ministria e Financave </w:t>
      </w:r>
      <w:r>
        <w:rPr>
          <w:i/>
          <w:sz w:val="20"/>
          <w:szCs w:val="20"/>
          <w:lang w:val="sq-AL"/>
        </w:rPr>
        <w:t>dhe Ekonomisë</w:t>
      </w:r>
      <w:r w:rsidRPr="00654734">
        <w:rPr>
          <w:i/>
          <w:sz w:val="20"/>
          <w:szCs w:val="20"/>
          <w:lang w:val="sq-AL"/>
        </w:rPr>
        <w:t>(2017)</w:t>
      </w:r>
    </w:p>
    <w:p w:rsidR="00A635B4" w:rsidRDefault="00A635B4" w:rsidP="00A635B4">
      <w:pPr>
        <w:spacing w:line="276" w:lineRule="auto"/>
        <w:jc w:val="both"/>
      </w:pPr>
    </w:p>
    <w:p w:rsidR="00A635B4" w:rsidRPr="00A635B4" w:rsidRDefault="00A635B4" w:rsidP="00A635B4">
      <w:pPr>
        <w:spacing w:line="276" w:lineRule="auto"/>
        <w:jc w:val="both"/>
        <w:rPr>
          <w:sz w:val="26"/>
          <w:szCs w:val="26"/>
        </w:rPr>
      </w:pPr>
    </w:p>
    <w:p w:rsidR="00C47A2A" w:rsidRPr="00186991" w:rsidRDefault="00BB2A22" w:rsidP="00A635B4">
      <w:pPr>
        <w:pStyle w:val="Heading1"/>
        <w:tabs>
          <w:tab w:val="left" w:pos="426"/>
          <w:tab w:val="left" w:pos="993"/>
        </w:tabs>
        <w:spacing w:line="276" w:lineRule="auto"/>
        <w:jc w:val="both"/>
        <w:rPr>
          <w:i/>
          <w:lang w:val="sq-AL"/>
        </w:rPr>
      </w:pPr>
      <w:bookmarkStart w:id="109" w:name="_Toc496520400"/>
      <w:r w:rsidRPr="00A635B4">
        <w:rPr>
          <w:sz w:val="26"/>
          <w:szCs w:val="26"/>
          <w:lang w:val="sq-AL"/>
        </w:rPr>
        <w:t xml:space="preserve">8.3 </w:t>
      </w:r>
      <w:bookmarkStart w:id="110" w:name="_Toc466295710"/>
      <w:bookmarkEnd w:id="105"/>
      <w:bookmarkEnd w:id="106"/>
      <w:bookmarkEnd w:id="107"/>
      <w:r w:rsidR="00C47A2A" w:rsidRPr="00A635B4">
        <w:rPr>
          <w:sz w:val="26"/>
          <w:szCs w:val="26"/>
          <w:lang w:val="sq-AL"/>
        </w:rPr>
        <w:t xml:space="preserve">SHPENZIMEVE BUXHETORE PËR </w:t>
      </w:r>
      <w:r w:rsidR="005E6980">
        <w:rPr>
          <w:sz w:val="26"/>
          <w:szCs w:val="26"/>
          <w:lang w:val="sq-AL"/>
        </w:rPr>
        <w:t>9-Mujorin</w:t>
      </w:r>
      <w:r w:rsidR="00C47A2A" w:rsidRPr="00A635B4">
        <w:rPr>
          <w:sz w:val="26"/>
          <w:szCs w:val="26"/>
          <w:lang w:val="sq-AL"/>
        </w:rPr>
        <w:t xml:space="preserve"> 201</w:t>
      </w:r>
      <w:bookmarkEnd w:id="110"/>
      <w:r w:rsidR="00C47A2A" w:rsidRPr="00A635B4">
        <w:rPr>
          <w:sz w:val="26"/>
          <w:szCs w:val="26"/>
          <w:lang w:val="sq-AL"/>
        </w:rPr>
        <w:t>7</w:t>
      </w:r>
      <w:bookmarkEnd w:id="109"/>
    </w:p>
    <w:p w:rsidR="00C47A2A" w:rsidRPr="00186991" w:rsidRDefault="00C47A2A" w:rsidP="00A635B4">
      <w:pPr>
        <w:spacing w:before="240" w:line="276" w:lineRule="auto"/>
        <w:jc w:val="both"/>
        <w:rPr>
          <w:b/>
          <w:iCs/>
          <w:caps/>
          <w:sz w:val="26"/>
          <w:szCs w:val="26"/>
          <w:lang w:val="sq-AL"/>
        </w:rPr>
      </w:pPr>
      <w:r w:rsidRPr="00186991">
        <w:rPr>
          <w:b/>
          <w:iCs/>
          <w:caps/>
          <w:sz w:val="26"/>
          <w:szCs w:val="26"/>
          <w:lang w:val="sq-AL"/>
        </w:rPr>
        <w:t>BUXHETI QENDROR</w:t>
      </w:r>
    </w:p>
    <w:p w:rsidR="00A635B4" w:rsidRDefault="00A635B4" w:rsidP="00A635B4">
      <w:pPr>
        <w:spacing w:line="276" w:lineRule="auto"/>
        <w:jc w:val="both"/>
        <w:rPr>
          <w:b/>
          <w:bCs/>
          <w:lang w:val="sq-AL"/>
        </w:rPr>
      </w:pPr>
    </w:p>
    <w:p w:rsidR="006F4064" w:rsidRDefault="006F4064" w:rsidP="006F4064">
      <w:pPr>
        <w:spacing w:line="360" w:lineRule="auto"/>
        <w:jc w:val="both"/>
        <w:rPr>
          <w:rFonts w:asciiTheme="minorHAnsi" w:hAnsiTheme="minorHAnsi"/>
          <w:lang w:val="sq-AL"/>
        </w:rPr>
      </w:pPr>
      <w:r w:rsidRPr="00014B13">
        <w:rPr>
          <w:b/>
          <w:bCs/>
          <w:lang w:val="sq-AL"/>
        </w:rPr>
        <w:t>Shpenzimet e përgjithshme publike</w:t>
      </w:r>
      <w:r w:rsidRPr="00014B13">
        <w:rPr>
          <w:bCs/>
          <w:lang w:val="sq-AL"/>
        </w:rPr>
        <w:t xml:space="preserve">, </w:t>
      </w:r>
      <w:r>
        <w:rPr>
          <w:lang w:val="sq-AL"/>
        </w:rPr>
        <w:t>për muajin e nëntë</w:t>
      </w:r>
      <w:r w:rsidRPr="007C451A">
        <w:rPr>
          <w:lang w:val="sq-AL"/>
        </w:rPr>
        <w:t xml:space="preserve"> të </w:t>
      </w:r>
      <w:r>
        <w:rPr>
          <w:lang w:val="sq-AL"/>
        </w:rPr>
        <w:t>vitit 2017, arritën në rreth 320 miliardë</w:t>
      </w:r>
      <w:r w:rsidRPr="007C451A">
        <w:rPr>
          <w:lang w:val="sq-AL"/>
        </w:rPr>
        <w:t xml:space="preserve"> </w:t>
      </w:r>
      <w:r w:rsidR="004A28C7" w:rsidRPr="004A28C7">
        <w:rPr>
          <w:lang w:val="sq-AL"/>
        </w:rPr>
        <w:t>lekë</w:t>
      </w:r>
      <w:r>
        <w:rPr>
          <w:lang w:val="sq-AL"/>
        </w:rPr>
        <w:t xml:space="preserve"> me një realizim në masën rreth 97.8</w:t>
      </w:r>
      <w:r w:rsidRPr="007C451A">
        <w:rPr>
          <w:lang w:val="sq-AL"/>
        </w:rPr>
        <w:t xml:space="preserve"> përqind të planit të periudhës, ndërsa krahasuar me të njëjtën periudhë të </w:t>
      </w:r>
      <w:r>
        <w:rPr>
          <w:lang w:val="sq-AL"/>
        </w:rPr>
        <w:t xml:space="preserve">vitit 2016 ky zë ka </w:t>
      </w:r>
      <w:r w:rsidRPr="005B6363">
        <w:rPr>
          <w:lang w:val="sq-AL"/>
        </w:rPr>
        <w:t>rezultuar 1</w:t>
      </w:r>
      <w:r>
        <w:rPr>
          <w:lang w:val="sq-AL"/>
        </w:rPr>
        <w:t>1</w:t>
      </w:r>
      <w:r w:rsidRPr="005B6363">
        <w:rPr>
          <w:lang w:val="sq-AL"/>
        </w:rPr>
        <w:t>.</w:t>
      </w:r>
      <w:r>
        <w:rPr>
          <w:lang w:val="sq-AL"/>
        </w:rPr>
        <w:t>3</w:t>
      </w:r>
      <w:r w:rsidRPr="005B6363">
        <w:rPr>
          <w:lang w:val="sq-AL"/>
        </w:rPr>
        <w:t xml:space="preserve"> përqind</w:t>
      </w:r>
      <w:r>
        <w:rPr>
          <w:lang w:val="sq-AL"/>
        </w:rPr>
        <w:t xml:space="preserve"> më i lartë ose rreth 32.5 miliardë</w:t>
      </w:r>
      <w:r w:rsidRPr="007C451A">
        <w:rPr>
          <w:lang w:val="sq-AL"/>
        </w:rPr>
        <w:t xml:space="preserve"> </w:t>
      </w:r>
      <w:r w:rsidR="004A28C7" w:rsidRPr="004A28C7">
        <w:rPr>
          <w:lang w:val="sq-AL"/>
        </w:rPr>
        <w:t>lekë</w:t>
      </w:r>
      <w:r w:rsidRPr="007C451A">
        <w:rPr>
          <w:lang w:val="sq-AL"/>
        </w:rPr>
        <w:t xml:space="preserve"> më shumë. </w:t>
      </w:r>
      <w:r w:rsidRPr="007C451A">
        <w:rPr>
          <w:i/>
          <w:lang w:val="sq-AL"/>
        </w:rPr>
        <w:t>Në terma vjetorë,</w:t>
      </w:r>
      <w:r>
        <w:rPr>
          <w:lang w:val="sq-AL"/>
        </w:rPr>
        <w:t xml:space="preserve"> shpenzimet e përgjithshme për 9</w:t>
      </w:r>
      <w:r w:rsidRPr="007C451A">
        <w:rPr>
          <w:lang w:val="sq-AL"/>
        </w:rPr>
        <w:t xml:space="preserve"> mujorin e </w:t>
      </w:r>
      <w:r>
        <w:rPr>
          <w:lang w:val="sq-AL"/>
        </w:rPr>
        <w:t xml:space="preserve">vitit 2017 u realizuan në masën rreth 68.2 përqind të planit vjetor, të ndryshuar me Aktin Normativ Nr.2, datë </w:t>
      </w:r>
      <w:r w:rsidRPr="004756CA">
        <w:rPr>
          <w:lang w:val="sq-AL"/>
        </w:rPr>
        <w:t>16.08.2017</w:t>
      </w:r>
      <w:r>
        <w:rPr>
          <w:lang w:val="sq-AL"/>
        </w:rPr>
        <w:t>.</w:t>
      </w:r>
    </w:p>
    <w:p w:rsidR="006F4064" w:rsidRDefault="006F4064" w:rsidP="006F4064">
      <w:pPr>
        <w:spacing w:line="360" w:lineRule="auto"/>
        <w:jc w:val="both"/>
        <w:rPr>
          <w:b/>
          <w:lang w:val="sq-AL"/>
        </w:rPr>
      </w:pPr>
    </w:p>
    <w:p w:rsidR="006F4064" w:rsidRDefault="006F4064" w:rsidP="006F4064">
      <w:pPr>
        <w:spacing w:line="360" w:lineRule="auto"/>
        <w:jc w:val="both"/>
        <w:rPr>
          <w:lang w:val="sq-AL"/>
        </w:rPr>
      </w:pPr>
      <w:r w:rsidRPr="001F40A8">
        <w:rPr>
          <w:b/>
          <w:lang w:val="sq-AL"/>
        </w:rPr>
        <w:t>Shpenzimet korente dhe ato kapitale</w:t>
      </w:r>
      <w:r>
        <w:rPr>
          <w:lang w:val="sq-AL"/>
        </w:rPr>
        <w:t>,</w:t>
      </w:r>
      <w:r w:rsidRPr="00DD00E8">
        <w:rPr>
          <w:lang w:val="sq-AL"/>
        </w:rPr>
        <w:t xml:space="preserve"> </w:t>
      </w:r>
      <w:r w:rsidRPr="007C451A">
        <w:rPr>
          <w:lang w:val="sq-AL"/>
        </w:rPr>
        <w:t xml:space="preserve">kanë shënuar një realizim optimal, respektivisht në masën </w:t>
      </w:r>
      <w:r>
        <w:rPr>
          <w:lang w:val="sq-AL"/>
        </w:rPr>
        <w:t>99 përqind dhe rreth 90.5</w:t>
      </w:r>
      <w:r w:rsidRPr="007C451A">
        <w:rPr>
          <w:lang w:val="sq-AL"/>
        </w:rPr>
        <w:t xml:space="preserve"> përqind të planit të periudhës. Ndërkohë që, </w:t>
      </w:r>
      <w:r w:rsidRPr="007C451A">
        <w:rPr>
          <w:i/>
          <w:lang w:val="sq-AL"/>
        </w:rPr>
        <w:t>në terma vjetorë</w:t>
      </w:r>
      <w:r w:rsidRPr="007C451A">
        <w:rPr>
          <w:lang w:val="sq-AL"/>
        </w:rPr>
        <w:t xml:space="preserve"> ato j</w:t>
      </w:r>
      <w:r>
        <w:rPr>
          <w:lang w:val="sq-AL"/>
        </w:rPr>
        <w:t>anë realizuar përkatësisht në 71.5 përqind dhe 53.6</w:t>
      </w:r>
      <w:r w:rsidRPr="007C451A">
        <w:rPr>
          <w:lang w:val="sq-AL"/>
        </w:rPr>
        <w:t xml:space="preserve"> përqind të tij</w:t>
      </w:r>
      <w:r w:rsidRPr="00193EF8">
        <w:rPr>
          <w:rFonts w:asciiTheme="minorHAnsi" w:hAnsiTheme="minorHAnsi"/>
          <w:lang w:val="sq-AL"/>
        </w:rPr>
        <w:t xml:space="preserve">. </w:t>
      </w:r>
    </w:p>
    <w:p w:rsidR="006F4064" w:rsidRPr="001F40A8" w:rsidRDefault="006F4064" w:rsidP="006F4064">
      <w:pPr>
        <w:rPr>
          <w:i/>
          <w:sz w:val="8"/>
          <w:lang w:val="sq-AL"/>
        </w:rPr>
      </w:pPr>
    </w:p>
    <w:p w:rsidR="006F4064" w:rsidRPr="004A28C7" w:rsidRDefault="006F4064" w:rsidP="006F4064">
      <w:pPr>
        <w:rPr>
          <w:lang w:val="sq-AL"/>
        </w:rPr>
      </w:pPr>
      <w:r w:rsidRPr="006F4064">
        <w:rPr>
          <w:b/>
          <w:lang w:val="sq-AL"/>
        </w:rPr>
        <w:t xml:space="preserve">Tabela </w:t>
      </w:r>
      <w:r w:rsidR="004A28C7">
        <w:rPr>
          <w:b/>
          <w:lang w:val="sq-AL"/>
        </w:rPr>
        <w:t>20</w:t>
      </w:r>
      <w:r w:rsidRPr="006F4064">
        <w:rPr>
          <w:b/>
          <w:lang w:val="sq-AL"/>
        </w:rPr>
        <w:t xml:space="preserve">: </w:t>
      </w:r>
      <w:r w:rsidRPr="004A28C7">
        <w:rPr>
          <w:lang w:val="sq-AL"/>
        </w:rPr>
        <w:t xml:space="preserve">Treguesit fiskalë të konsoliduar për 9 mujorin e vitit 2017 (në milion </w:t>
      </w:r>
      <w:r w:rsidR="004A28C7">
        <w:rPr>
          <w:lang w:val="sq-AL"/>
        </w:rPr>
        <w:t>lekë</w:t>
      </w:r>
      <w:r w:rsidRPr="004A28C7">
        <w:rPr>
          <w:lang w:val="sq-AL"/>
        </w:rPr>
        <w:t>)</w:t>
      </w:r>
    </w:p>
    <w:p w:rsidR="006F4064" w:rsidRPr="005F670A" w:rsidRDefault="006F4064" w:rsidP="006F4064">
      <w:pPr>
        <w:jc w:val="center"/>
        <w:rPr>
          <w:i/>
          <w:lang w:val="sq-AL"/>
        </w:rPr>
      </w:pPr>
      <w:r w:rsidRPr="002B215F">
        <w:rPr>
          <w:noProof/>
        </w:rPr>
        <w:drawing>
          <wp:inline distT="0" distB="0" distL="0" distR="0" wp14:anchorId="14EDC1DB" wp14:editId="003299A6">
            <wp:extent cx="5929630" cy="149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496" cy="1491748"/>
                    </a:xfrm>
                    <a:prstGeom prst="rect">
                      <a:avLst/>
                    </a:prstGeom>
                    <a:noFill/>
                    <a:ln>
                      <a:noFill/>
                    </a:ln>
                  </pic:spPr>
                </pic:pic>
              </a:graphicData>
            </a:graphic>
          </wp:inline>
        </w:drawing>
      </w:r>
    </w:p>
    <w:p w:rsidR="006F4064" w:rsidRDefault="006F4064" w:rsidP="006F4064">
      <w:pPr>
        <w:ind w:firstLine="450"/>
        <w:rPr>
          <w:i/>
          <w:sz w:val="20"/>
          <w:lang w:val="sq-AL"/>
        </w:rPr>
      </w:pPr>
      <w:r w:rsidRPr="004A28C7">
        <w:rPr>
          <w:b/>
          <w:i/>
          <w:sz w:val="20"/>
          <w:lang w:val="sq-AL"/>
        </w:rPr>
        <w:t>Burimi:</w:t>
      </w:r>
      <w:r>
        <w:rPr>
          <w:i/>
          <w:sz w:val="20"/>
          <w:lang w:val="sq-AL"/>
        </w:rPr>
        <w:t xml:space="preserve"> Ministria e Financave dhe Ekonomisë (2017)</w:t>
      </w:r>
    </w:p>
    <w:p w:rsidR="006F4064" w:rsidRPr="006F4064" w:rsidRDefault="006F4064" w:rsidP="006F4064">
      <w:pPr>
        <w:ind w:firstLine="450"/>
        <w:rPr>
          <w:b/>
          <w:i/>
          <w:sz w:val="20"/>
          <w:lang w:val="sq-AL"/>
        </w:rPr>
      </w:pPr>
    </w:p>
    <w:p w:rsidR="006F4064" w:rsidRPr="006F4064" w:rsidRDefault="006F4064" w:rsidP="006F4064">
      <w:pPr>
        <w:rPr>
          <w:b/>
          <w:lang w:val="sq-AL"/>
        </w:rPr>
      </w:pPr>
      <w:r w:rsidRPr="006F4064">
        <w:rPr>
          <w:b/>
          <w:lang w:val="sq-AL"/>
        </w:rPr>
        <w:t>Tabela 2</w:t>
      </w:r>
      <w:r w:rsidR="004A28C7">
        <w:rPr>
          <w:b/>
          <w:lang w:val="sq-AL"/>
        </w:rPr>
        <w:t>1</w:t>
      </w:r>
      <w:r w:rsidRPr="006F4064">
        <w:rPr>
          <w:b/>
          <w:lang w:val="sq-AL"/>
        </w:rPr>
        <w:t xml:space="preserve">: </w:t>
      </w:r>
      <w:r w:rsidRPr="004A28C7">
        <w:rPr>
          <w:lang w:val="sq-AL"/>
        </w:rPr>
        <w:t>Treguesit fiskalë të konsoliduar për 9 mujorin e vitit 2016 dhe 2017</w:t>
      </w:r>
      <w:r w:rsidR="004A28C7">
        <w:rPr>
          <w:lang w:val="sq-AL"/>
        </w:rPr>
        <w:t xml:space="preserve"> </w:t>
      </w:r>
      <w:r w:rsidRPr="004A28C7">
        <w:rPr>
          <w:lang w:val="sq-AL"/>
        </w:rPr>
        <w:t>(</w:t>
      </w:r>
      <w:r w:rsidR="004A28C7" w:rsidRPr="004A28C7">
        <w:rPr>
          <w:lang w:val="sq-AL"/>
        </w:rPr>
        <w:t xml:space="preserve">në milion </w:t>
      </w:r>
      <w:r w:rsidR="004A28C7">
        <w:rPr>
          <w:lang w:val="sq-AL"/>
        </w:rPr>
        <w:t>lekë</w:t>
      </w:r>
      <w:r>
        <w:rPr>
          <w:b/>
          <w:lang w:val="sq-AL"/>
        </w:rPr>
        <w:t>)</w:t>
      </w:r>
    </w:p>
    <w:p w:rsidR="006F4064" w:rsidRDefault="006F4064" w:rsidP="006F4064">
      <w:pPr>
        <w:jc w:val="center"/>
        <w:rPr>
          <w:i/>
          <w:lang w:val="sq-AL"/>
        </w:rPr>
      </w:pPr>
      <w:r w:rsidRPr="00AE03BD">
        <w:rPr>
          <w:noProof/>
        </w:rPr>
        <w:drawing>
          <wp:inline distT="0" distB="0" distL="0" distR="0" wp14:anchorId="303D136D" wp14:editId="321F1730">
            <wp:extent cx="6247305" cy="14376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2830" cy="1448147"/>
                    </a:xfrm>
                    <a:prstGeom prst="rect">
                      <a:avLst/>
                    </a:prstGeom>
                    <a:noFill/>
                    <a:ln>
                      <a:noFill/>
                    </a:ln>
                  </pic:spPr>
                </pic:pic>
              </a:graphicData>
            </a:graphic>
          </wp:inline>
        </w:drawing>
      </w:r>
    </w:p>
    <w:p w:rsidR="006F4064" w:rsidRDefault="006F4064" w:rsidP="006F4064">
      <w:pPr>
        <w:ind w:firstLine="450"/>
        <w:rPr>
          <w:i/>
          <w:sz w:val="20"/>
          <w:lang w:val="sq-AL"/>
        </w:rPr>
      </w:pPr>
      <w:r w:rsidRPr="004A28C7">
        <w:rPr>
          <w:b/>
          <w:i/>
          <w:sz w:val="20"/>
          <w:lang w:val="sq-AL"/>
        </w:rPr>
        <w:t>Burimi:</w:t>
      </w:r>
      <w:r>
        <w:rPr>
          <w:i/>
          <w:sz w:val="20"/>
          <w:lang w:val="sq-AL"/>
        </w:rPr>
        <w:t xml:space="preserve"> Ministria e Financave dhe Ekonomisë (2017)</w:t>
      </w:r>
    </w:p>
    <w:p w:rsidR="006F4064" w:rsidRDefault="006F4064" w:rsidP="006F4064">
      <w:pPr>
        <w:spacing w:line="360" w:lineRule="auto"/>
        <w:jc w:val="both"/>
        <w:rPr>
          <w:i/>
          <w:sz w:val="12"/>
          <w:lang w:val="sq-AL"/>
        </w:rPr>
      </w:pPr>
    </w:p>
    <w:p w:rsidR="006F4064" w:rsidRPr="004A28C7" w:rsidRDefault="006F4064" w:rsidP="006F4064">
      <w:pPr>
        <w:spacing w:line="360" w:lineRule="auto"/>
        <w:jc w:val="both"/>
        <w:rPr>
          <w:lang w:val="sq-AL"/>
        </w:rPr>
      </w:pPr>
      <w:r>
        <w:rPr>
          <w:b/>
          <w:lang w:val="sq-AL"/>
        </w:rPr>
        <w:t>Shpenzimet kor</w:t>
      </w:r>
      <w:r w:rsidRPr="00010C16">
        <w:rPr>
          <w:b/>
          <w:lang w:val="sq-AL"/>
        </w:rPr>
        <w:t>ente</w:t>
      </w:r>
      <w:r w:rsidRPr="00556B44">
        <w:rPr>
          <w:lang w:val="sq-AL"/>
        </w:rPr>
        <w:t xml:space="preserve"> </w:t>
      </w:r>
      <w:r w:rsidRPr="007C451A">
        <w:rPr>
          <w:lang w:val="sq-AL"/>
        </w:rPr>
        <w:t>për</w:t>
      </w:r>
      <w:r>
        <w:rPr>
          <w:lang w:val="sq-AL"/>
        </w:rPr>
        <w:t xml:space="preserve"> periudhën 9</w:t>
      </w:r>
      <w:r w:rsidRPr="007C451A">
        <w:rPr>
          <w:lang w:val="sq-AL"/>
        </w:rPr>
        <w:t xml:space="preserve"> mujor</w:t>
      </w:r>
      <w:r>
        <w:rPr>
          <w:lang w:val="sq-AL"/>
        </w:rPr>
        <w:t>e</w:t>
      </w:r>
      <w:r w:rsidRPr="007C451A">
        <w:rPr>
          <w:lang w:val="sq-AL"/>
        </w:rPr>
        <w:t xml:space="preserve"> të këti</w:t>
      </w:r>
      <w:r>
        <w:rPr>
          <w:lang w:val="sq-AL"/>
        </w:rPr>
        <w:t>j viti rezultuan në rreth 277.36 miliardë</w:t>
      </w:r>
      <w:r w:rsidRPr="007C451A">
        <w:rPr>
          <w:lang w:val="sq-AL"/>
        </w:rPr>
        <w:t xml:space="preserve"> </w:t>
      </w:r>
      <w:r w:rsidR="004A28C7">
        <w:rPr>
          <w:lang w:val="sq-AL"/>
        </w:rPr>
        <w:t>lekë</w:t>
      </w:r>
      <w:r w:rsidRPr="007C451A">
        <w:rPr>
          <w:lang w:val="sq-AL"/>
        </w:rPr>
        <w:t>, ndërsa krahasuar me të njëjtën periudhë të një vi</w:t>
      </w:r>
      <w:r>
        <w:rPr>
          <w:lang w:val="sq-AL"/>
        </w:rPr>
        <w:t>ti më parë ky zë ka rezultuar 9</w:t>
      </w:r>
      <w:r w:rsidRPr="005B6363">
        <w:rPr>
          <w:lang w:val="sq-AL"/>
        </w:rPr>
        <w:t>.</w:t>
      </w:r>
      <w:r>
        <w:rPr>
          <w:lang w:val="sq-AL"/>
        </w:rPr>
        <w:t>7</w:t>
      </w:r>
      <w:r w:rsidRPr="005B6363">
        <w:rPr>
          <w:lang w:val="sq-AL"/>
        </w:rPr>
        <w:t xml:space="preserve"> përqind më i lartë ose rreth 2</w:t>
      </w:r>
      <w:r>
        <w:rPr>
          <w:lang w:val="sq-AL"/>
        </w:rPr>
        <w:t>4.</w:t>
      </w:r>
      <w:r w:rsidRPr="005B6363">
        <w:rPr>
          <w:lang w:val="sq-AL"/>
        </w:rPr>
        <w:t>4</w:t>
      </w:r>
      <w:r>
        <w:rPr>
          <w:lang w:val="sq-AL"/>
        </w:rPr>
        <w:t>9</w:t>
      </w:r>
      <w:r w:rsidRPr="005B6363">
        <w:rPr>
          <w:lang w:val="sq-AL"/>
        </w:rPr>
        <w:t xml:space="preserve"> miliardë </w:t>
      </w:r>
      <w:r w:rsidR="004A28C7">
        <w:rPr>
          <w:lang w:val="sq-AL"/>
        </w:rPr>
        <w:t>lekë</w:t>
      </w:r>
      <w:r w:rsidRPr="005B6363">
        <w:rPr>
          <w:lang w:val="sq-AL"/>
        </w:rPr>
        <w:t xml:space="preserve"> më shumë.</w:t>
      </w:r>
    </w:p>
    <w:p w:rsidR="002371BA" w:rsidRDefault="002371BA" w:rsidP="006F4064">
      <w:pPr>
        <w:spacing w:line="360" w:lineRule="auto"/>
        <w:jc w:val="both"/>
        <w:rPr>
          <w:b/>
          <w:lang w:val="sq-AL"/>
        </w:rPr>
      </w:pPr>
    </w:p>
    <w:p w:rsidR="006F4064" w:rsidRPr="004A28C7" w:rsidRDefault="006F4064" w:rsidP="006F4064">
      <w:pPr>
        <w:spacing w:line="360" w:lineRule="auto"/>
        <w:jc w:val="both"/>
        <w:rPr>
          <w:lang w:val="sq-AL"/>
        </w:rPr>
      </w:pPr>
      <w:r w:rsidRPr="00010C16">
        <w:rPr>
          <w:b/>
          <w:lang w:val="sq-AL"/>
        </w:rPr>
        <w:t>Shpenzimet kapitale</w:t>
      </w:r>
      <w:r>
        <w:rPr>
          <w:lang w:val="sq-AL"/>
        </w:rPr>
        <w:t xml:space="preserve"> për 9</w:t>
      </w:r>
      <w:r w:rsidRPr="007C451A">
        <w:rPr>
          <w:lang w:val="sq-AL"/>
        </w:rPr>
        <w:t xml:space="preserve"> mujorin e vitit 2017 paraqesi</w:t>
      </w:r>
      <w:r>
        <w:rPr>
          <w:lang w:val="sq-AL"/>
        </w:rPr>
        <w:t>n një realizim në masën rreth 39.7 miliardë</w:t>
      </w:r>
      <w:r w:rsidRPr="007C451A">
        <w:rPr>
          <w:lang w:val="sq-AL"/>
        </w:rPr>
        <w:t xml:space="preserve"> </w:t>
      </w:r>
      <w:r w:rsidR="004A28C7">
        <w:rPr>
          <w:lang w:val="sq-AL"/>
        </w:rPr>
        <w:t>lekë</w:t>
      </w:r>
      <w:r w:rsidRPr="007C451A">
        <w:rPr>
          <w:lang w:val="sq-AL"/>
        </w:rPr>
        <w:t>. Krahasuar me të njëjtën periud</w:t>
      </w:r>
      <w:r>
        <w:rPr>
          <w:lang w:val="sq-AL"/>
        </w:rPr>
        <w:t>hë të vitit 2016, ky zë është 14.6 përqind më i lartë ose rreth 5.04</w:t>
      </w:r>
      <w:r w:rsidRPr="007C451A">
        <w:rPr>
          <w:lang w:val="sq-AL"/>
        </w:rPr>
        <w:t xml:space="preserve"> </w:t>
      </w:r>
      <w:r>
        <w:rPr>
          <w:lang w:val="sq-AL"/>
        </w:rPr>
        <w:t>miliardë</w:t>
      </w:r>
      <w:r w:rsidR="004A28C7">
        <w:rPr>
          <w:lang w:val="sq-AL"/>
        </w:rPr>
        <w:t xml:space="preserve"> </w:t>
      </w:r>
      <w:r w:rsidR="004A28C7" w:rsidRPr="004A28C7">
        <w:rPr>
          <w:lang w:val="sq-AL"/>
        </w:rPr>
        <w:t>lekë</w:t>
      </w:r>
      <w:r w:rsidR="004A28C7">
        <w:rPr>
          <w:lang w:val="sq-AL"/>
        </w:rPr>
        <w:t xml:space="preserve"> më shumë. </w:t>
      </w:r>
    </w:p>
    <w:p w:rsidR="002371BA" w:rsidRDefault="002371BA" w:rsidP="006F4064">
      <w:pPr>
        <w:spacing w:line="360" w:lineRule="auto"/>
        <w:jc w:val="both"/>
        <w:rPr>
          <w:b/>
          <w:lang w:val="sq-AL"/>
        </w:rPr>
      </w:pPr>
    </w:p>
    <w:p w:rsidR="006F4064" w:rsidRDefault="006F4064" w:rsidP="006F4064">
      <w:pPr>
        <w:spacing w:line="360" w:lineRule="auto"/>
        <w:jc w:val="both"/>
        <w:rPr>
          <w:rFonts w:ascii="Calibri" w:hAnsi="Calibri"/>
          <w:lang w:val="sq-AL"/>
        </w:rPr>
      </w:pPr>
      <w:r w:rsidRPr="00967D59">
        <w:rPr>
          <w:b/>
          <w:lang w:val="sq-AL"/>
        </w:rPr>
        <w:t xml:space="preserve">Niveli i </w:t>
      </w:r>
      <w:r>
        <w:rPr>
          <w:b/>
          <w:lang w:val="sq-AL"/>
        </w:rPr>
        <w:t>deficitit</w:t>
      </w:r>
      <w:r>
        <w:rPr>
          <w:lang w:val="sq-AL"/>
        </w:rPr>
        <w:t xml:space="preserve"> në 9</w:t>
      </w:r>
      <w:r w:rsidRPr="007C451A">
        <w:rPr>
          <w:lang w:val="sq-AL"/>
        </w:rPr>
        <w:t xml:space="preserve"> mujorin e par</w:t>
      </w:r>
      <w:r>
        <w:rPr>
          <w:lang w:val="sq-AL"/>
        </w:rPr>
        <w:t xml:space="preserve">ë të vitit 2017 rezultoi rreth 462 milion </w:t>
      </w:r>
      <w:r w:rsidR="004A28C7" w:rsidRPr="004A28C7">
        <w:rPr>
          <w:lang w:val="sq-AL"/>
        </w:rPr>
        <w:t>lekë</w:t>
      </w:r>
      <w:r>
        <w:rPr>
          <w:lang w:val="sq-AL"/>
        </w:rPr>
        <w:t>, ose 11.03 miliardë</w:t>
      </w:r>
      <w:r w:rsidRPr="007C451A">
        <w:rPr>
          <w:lang w:val="sq-AL"/>
        </w:rPr>
        <w:t xml:space="preserve"> </w:t>
      </w:r>
      <w:r w:rsidR="004A28C7" w:rsidRPr="004A28C7">
        <w:rPr>
          <w:lang w:val="sq-AL"/>
        </w:rPr>
        <w:t>lekë</w:t>
      </w:r>
      <w:r w:rsidRPr="007C451A">
        <w:rPr>
          <w:lang w:val="sq-AL"/>
        </w:rPr>
        <w:t xml:space="preserve"> më i ulët se e njëjta per</w:t>
      </w:r>
      <w:r>
        <w:rPr>
          <w:lang w:val="sq-AL"/>
        </w:rPr>
        <w:t>iudhë e një viti më parë, ose 95.6</w:t>
      </w:r>
      <w:r w:rsidRPr="007C451A">
        <w:rPr>
          <w:lang w:val="sq-AL"/>
        </w:rPr>
        <w:t xml:space="preserve"> përqind më pak</w:t>
      </w:r>
      <w:r w:rsidRPr="007C451A">
        <w:rPr>
          <w:rFonts w:ascii="Calibri" w:hAnsi="Calibri"/>
          <w:lang w:val="sq-AL"/>
        </w:rPr>
        <w:t xml:space="preserve">. </w:t>
      </w:r>
    </w:p>
    <w:p w:rsidR="002371BA" w:rsidRDefault="006F4064" w:rsidP="006F4064">
      <w:pPr>
        <w:rPr>
          <w:b/>
          <w:lang w:val="sq-AL"/>
        </w:rPr>
      </w:pPr>
      <w:r>
        <w:rPr>
          <w:b/>
          <w:lang w:val="sq-AL"/>
        </w:rPr>
        <w:t xml:space="preserve">               </w:t>
      </w:r>
    </w:p>
    <w:p w:rsidR="002371BA" w:rsidRDefault="002371BA" w:rsidP="006F4064">
      <w:pPr>
        <w:rPr>
          <w:b/>
          <w:lang w:val="sq-AL"/>
        </w:rPr>
      </w:pPr>
    </w:p>
    <w:p w:rsidR="002371BA" w:rsidRDefault="002371BA" w:rsidP="006F4064">
      <w:pPr>
        <w:rPr>
          <w:b/>
          <w:lang w:val="sq-AL"/>
        </w:rPr>
      </w:pPr>
    </w:p>
    <w:p w:rsidR="002371BA" w:rsidRDefault="002371BA" w:rsidP="006F4064">
      <w:pPr>
        <w:rPr>
          <w:b/>
          <w:lang w:val="sq-AL"/>
        </w:rPr>
      </w:pPr>
    </w:p>
    <w:p w:rsidR="002371BA" w:rsidRDefault="002371BA" w:rsidP="006F4064">
      <w:pPr>
        <w:rPr>
          <w:b/>
          <w:lang w:val="sq-AL"/>
        </w:rPr>
      </w:pPr>
    </w:p>
    <w:p w:rsidR="002371BA" w:rsidRDefault="002371BA" w:rsidP="006F4064">
      <w:pPr>
        <w:rPr>
          <w:b/>
          <w:lang w:val="sq-AL"/>
        </w:rPr>
      </w:pPr>
    </w:p>
    <w:p w:rsidR="002371BA" w:rsidRDefault="002371BA" w:rsidP="006F4064">
      <w:pPr>
        <w:rPr>
          <w:b/>
          <w:lang w:val="sq-AL"/>
        </w:rPr>
      </w:pPr>
    </w:p>
    <w:p w:rsidR="002371BA" w:rsidRDefault="002371BA" w:rsidP="006F4064">
      <w:pPr>
        <w:rPr>
          <w:b/>
          <w:lang w:val="sq-AL"/>
        </w:rPr>
      </w:pPr>
    </w:p>
    <w:p w:rsidR="002371BA" w:rsidRDefault="002371BA" w:rsidP="006F4064">
      <w:pPr>
        <w:rPr>
          <w:b/>
          <w:lang w:val="sq-AL"/>
        </w:rPr>
      </w:pPr>
    </w:p>
    <w:p w:rsidR="006F4064" w:rsidRPr="004A28C7" w:rsidRDefault="006F4064" w:rsidP="006F4064">
      <w:pPr>
        <w:rPr>
          <w:lang w:val="sq-AL"/>
        </w:rPr>
      </w:pPr>
      <w:r>
        <w:rPr>
          <w:b/>
          <w:lang w:val="sq-AL"/>
        </w:rPr>
        <w:lastRenderedPageBreak/>
        <w:t xml:space="preserve"> </w:t>
      </w:r>
      <w:r w:rsidRPr="006F4064">
        <w:rPr>
          <w:b/>
          <w:lang w:val="sq-AL"/>
        </w:rPr>
        <w:t xml:space="preserve">Grafiku 19: </w:t>
      </w:r>
      <w:r w:rsidRPr="004A28C7">
        <w:rPr>
          <w:lang w:val="sq-AL"/>
        </w:rPr>
        <w:t xml:space="preserve">Shpenzimet e përgjithshme dhe ritmi i rritjes së tyre (në miliardë </w:t>
      </w:r>
      <w:r w:rsidR="004A28C7">
        <w:rPr>
          <w:lang w:val="sq-AL"/>
        </w:rPr>
        <w:t>lekë</w:t>
      </w:r>
      <w:r w:rsidRPr="004A28C7">
        <w:rPr>
          <w:lang w:val="sq-AL"/>
        </w:rPr>
        <w:t>)</w:t>
      </w:r>
    </w:p>
    <w:p w:rsidR="006F4064" w:rsidRDefault="006F4064" w:rsidP="006F4064">
      <w:pPr>
        <w:spacing w:line="360" w:lineRule="auto"/>
        <w:jc w:val="center"/>
        <w:rPr>
          <w:i/>
          <w:sz w:val="20"/>
          <w:lang w:val="sq-AL"/>
        </w:rPr>
      </w:pPr>
      <w:r>
        <w:rPr>
          <w:i/>
          <w:noProof/>
          <w:sz w:val="20"/>
        </w:rPr>
        <w:drawing>
          <wp:inline distT="0" distB="0" distL="0" distR="0" wp14:anchorId="6DC96573" wp14:editId="6245E4E3">
            <wp:extent cx="4676140" cy="2554605"/>
            <wp:effectExtent l="38100" t="38100" r="86360" b="933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6140" cy="2554605"/>
                    </a:xfrm>
                    <a:prstGeom prst="rect">
                      <a:avLst/>
                    </a:prstGeom>
                    <a:noFill/>
                    <a:effectLst>
                      <a:outerShdw blurRad="50800" dist="38100" dir="2700000" algn="tl" rotWithShape="0">
                        <a:prstClr val="black">
                          <a:alpha val="40000"/>
                        </a:prstClr>
                      </a:outerShdw>
                    </a:effectLst>
                  </pic:spPr>
                </pic:pic>
              </a:graphicData>
            </a:graphic>
          </wp:inline>
        </w:drawing>
      </w:r>
    </w:p>
    <w:p w:rsidR="006F4064" w:rsidRDefault="006F4064" w:rsidP="006F4064">
      <w:pPr>
        <w:spacing w:line="360" w:lineRule="auto"/>
        <w:ind w:left="720" w:firstLine="720"/>
        <w:rPr>
          <w:i/>
          <w:sz w:val="20"/>
          <w:lang w:val="sq-AL"/>
        </w:rPr>
      </w:pPr>
      <w:r w:rsidRPr="004A28C7">
        <w:rPr>
          <w:b/>
          <w:i/>
          <w:sz w:val="20"/>
          <w:lang w:val="sq-AL"/>
        </w:rPr>
        <w:t>Burimi:</w:t>
      </w:r>
      <w:r>
        <w:rPr>
          <w:i/>
          <w:sz w:val="20"/>
          <w:lang w:val="sq-AL"/>
        </w:rPr>
        <w:t xml:space="preserve"> Ministria e Financave dhe Ekonomisë (2017)</w:t>
      </w:r>
    </w:p>
    <w:p w:rsidR="006F4064" w:rsidRDefault="006F4064" w:rsidP="006F4064">
      <w:pPr>
        <w:spacing w:line="360" w:lineRule="auto"/>
        <w:jc w:val="both"/>
        <w:rPr>
          <w:sz w:val="8"/>
          <w:szCs w:val="8"/>
          <w:lang w:val="sq-AL"/>
        </w:rPr>
      </w:pPr>
    </w:p>
    <w:p w:rsidR="006F4064" w:rsidRDefault="006F4064" w:rsidP="006F4064">
      <w:pPr>
        <w:spacing w:line="360" w:lineRule="auto"/>
        <w:jc w:val="both"/>
        <w:rPr>
          <w:lang w:val="sq-AL"/>
        </w:rPr>
      </w:pPr>
      <w:r>
        <w:rPr>
          <w:b/>
          <w:lang w:val="sq-AL"/>
        </w:rPr>
        <w:t>Shpenzimet kor</w:t>
      </w:r>
      <w:r w:rsidR="004A28C7">
        <w:rPr>
          <w:b/>
          <w:lang w:val="sq-AL"/>
        </w:rPr>
        <w:t>r</w:t>
      </w:r>
      <w:r w:rsidRPr="00014B13">
        <w:rPr>
          <w:b/>
          <w:lang w:val="sq-AL"/>
        </w:rPr>
        <w:t>ente</w:t>
      </w:r>
      <w:r w:rsidRPr="00014B13">
        <w:rPr>
          <w:lang w:val="sq-AL"/>
        </w:rPr>
        <w:t xml:space="preserve"> </w:t>
      </w:r>
      <w:r>
        <w:rPr>
          <w:lang w:val="sq-AL"/>
        </w:rPr>
        <w:t>në raport me planin 9</w:t>
      </w:r>
      <w:r w:rsidRPr="003F1D41">
        <w:rPr>
          <w:lang w:val="sq-AL"/>
        </w:rPr>
        <w:t xml:space="preserve"> mujor të këtij viti,</w:t>
      </w:r>
      <w:r>
        <w:rPr>
          <w:lang w:val="sq-AL"/>
        </w:rPr>
        <w:t xml:space="preserve"> paraqesin një realizim prej 99 </w:t>
      </w:r>
      <w:r w:rsidRPr="003F1D41">
        <w:rPr>
          <w:lang w:val="sq-AL"/>
        </w:rPr>
        <w:t>përqind</w:t>
      </w:r>
      <w:r>
        <w:rPr>
          <w:lang w:val="sq-AL"/>
        </w:rPr>
        <w:t>, duke rezultuar në rreth 277.36 miliardë</w:t>
      </w:r>
      <w:r w:rsidRPr="003F1D41">
        <w:rPr>
          <w:lang w:val="sq-AL"/>
        </w:rPr>
        <w:t xml:space="preserve"> </w:t>
      </w:r>
      <w:r w:rsidR="004A28C7" w:rsidRPr="004A28C7">
        <w:rPr>
          <w:lang w:val="sq-AL"/>
        </w:rPr>
        <w:t>lekë</w:t>
      </w:r>
      <w:r w:rsidRPr="003F1D41">
        <w:rPr>
          <w:lang w:val="sq-AL"/>
        </w:rPr>
        <w:t>. Zërat kryesorë që ndikuan në nivelin e realizimit të shpenz</w:t>
      </w:r>
      <w:r>
        <w:rPr>
          <w:lang w:val="sq-AL"/>
        </w:rPr>
        <w:t>imeve korente kundrejt planit 9</w:t>
      </w:r>
      <w:r w:rsidRPr="003F1D41">
        <w:rPr>
          <w:lang w:val="sq-AL"/>
        </w:rPr>
        <w:t xml:space="preserve"> mujor janë përkatësisht:</w:t>
      </w:r>
      <w:r>
        <w:rPr>
          <w:lang w:val="sq-AL"/>
        </w:rPr>
        <w:t xml:space="preserve"> shpenzimet e personelit me rreth 99.2</w:t>
      </w:r>
      <w:r w:rsidRPr="003F1D41">
        <w:rPr>
          <w:lang w:val="sq-AL"/>
        </w:rPr>
        <w:t xml:space="preserve"> përqind, shpenzimet pë</w:t>
      </w:r>
      <w:r>
        <w:rPr>
          <w:lang w:val="sq-AL"/>
        </w:rPr>
        <w:t>r fondet speciale me rreth 99.2</w:t>
      </w:r>
      <w:r w:rsidRPr="003F1D41">
        <w:rPr>
          <w:lang w:val="sq-AL"/>
        </w:rPr>
        <w:t xml:space="preserve"> përqind, shpenzim</w:t>
      </w:r>
      <w:r>
        <w:rPr>
          <w:lang w:val="sq-AL"/>
        </w:rPr>
        <w:t xml:space="preserve">et operative mirëmbajtje </w:t>
      </w:r>
      <w:r w:rsidRPr="00CC38E9">
        <w:rPr>
          <w:lang w:val="sq-AL"/>
        </w:rPr>
        <w:t>me</w:t>
      </w:r>
      <w:r>
        <w:rPr>
          <w:lang w:val="sq-AL"/>
        </w:rPr>
        <w:t xml:space="preserve"> rreth</w:t>
      </w:r>
      <w:r w:rsidRPr="00CC38E9">
        <w:rPr>
          <w:lang w:val="sq-AL"/>
        </w:rPr>
        <w:t xml:space="preserve"> 9</w:t>
      </w:r>
      <w:r>
        <w:rPr>
          <w:lang w:val="sq-AL"/>
        </w:rPr>
        <w:t>3.8</w:t>
      </w:r>
      <w:r w:rsidRPr="00CC38E9">
        <w:rPr>
          <w:lang w:val="sq-AL"/>
        </w:rPr>
        <w:t xml:space="preserve"> përqind dhe shpenzimet e tjera sociale me </w:t>
      </w:r>
      <w:r>
        <w:rPr>
          <w:lang w:val="sq-AL"/>
        </w:rPr>
        <w:t>97.33</w:t>
      </w:r>
      <w:r w:rsidRPr="00CC38E9">
        <w:rPr>
          <w:lang w:val="sq-AL"/>
        </w:rPr>
        <w:t xml:space="preserve"> përqind.</w:t>
      </w:r>
      <w:r w:rsidRPr="003F1D41">
        <w:rPr>
          <w:lang w:val="sq-AL"/>
        </w:rPr>
        <w:t xml:space="preserve"> </w:t>
      </w:r>
      <w:r w:rsidRPr="00967D59">
        <w:rPr>
          <w:lang w:val="sq-AL"/>
        </w:rPr>
        <w:t>Niveli i realizimit të shpenzimeve publike, është shoqëruar me</w:t>
      </w:r>
      <w:r>
        <w:rPr>
          <w:lang w:val="sq-AL"/>
        </w:rPr>
        <w:t xml:space="preserve"> një nivel deficiti</w:t>
      </w:r>
      <w:r w:rsidRPr="00967D59">
        <w:rPr>
          <w:lang w:val="sq-AL"/>
        </w:rPr>
        <w:t xml:space="preserve"> prej </w:t>
      </w:r>
      <w:r>
        <w:rPr>
          <w:lang w:val="sq-AL"/>
        </w:rPr>
        <w:t>462</w:t>
      </w:r>
      <w:r w:rsidRPr="00967D59">
        <w:rPr>
          <w:lang w:val="sq-AL"/>
        </w:rPr>
        <w:t xml:space="preserve"> </w:t>
      </w:r>
      <w:r>
        <w:rPr>
          <w:lang w:val="sq-AL"/>
        </w:rPr>
        <w:t>milion</w:t>
      </w:r>
      <w:r w:rsidRPr="00967D59">
        <w:rPr>
          <w:lang w:val="sq-AL"/>
        </w:rPr>
        <w:t xml:space="preserve"> </w:t>
      </w:r>
      <w:r w:rsidR="004A28C7" w:rsidRPr="004A28C7">
        <w:rPr>
          <w:lang w:val="sq-AL"/>
        </w:rPr>
        <w:t>lekë</w:t>
      </w:r>
      <w:r w:rsidRPr="00967D59">
        <w:rPr>
          <w:lang w:val="sq-AL"/>
        </w:rPr>
        <w:t>.</w:t>
      </w:r>
    </w:p>
    <w:p w:rsidR="006F4064" w:rsidRDefault="006F4064" w:rsidP="006F4064">
      <w:pPr>
        <w:rPr>
          <w:i/>
          <w:lang w:val="sq-AL"/>
        </w:rPr>
      </w:pPr>
    </w:p>
    <w:p w:rsidR="006F4064" w:rsidRPr="006F4064" w:rsidRDefault="006F4064" w:rsidP="006F4064">
      <w:pPr>
        <w:jc w:val="center"/>
        <w:rPr>
          <w:b/>
          <w:lang w:val="sq-AL"/>
        </w:rPr>
      </w:pPr>
      <w:r w:rsidRPr="006F4064">
        <w:rPr>
          <w:b/>
          <w:lang w:val="sq-AL"/>
        </w:rPr>
        <w:t xml:space="preserve">Grafiku 20: </w:t>
      </w:r>
      <w:r w:rsidRPr="004A28C7">
        <w:rPr>
          <w:lang w:val="sq-AL"/>
        </w:rPr>
        <w:t xml:space="preserve">Shpenzimet Korente dhe ritmi i rritjes së tyre (në miliardë </w:t>
      </w:r>
      <w:r w:rsidR="004A28C7" w:rsidRPr="004A28C7">
        <w:rPr>
          <w:lang w:val="sq-AL"/>
        </w:rPr>
        <w:t>lekë</w:t>
      </w:r>
      <w:r w:rsidRPr="006F4064">
        <w:rPr>
          <w:b/>
          <w:lang w:val="sq-AL"/>
        </w:rPr>
        <w:t>)</w:t>
      </w:r>
    </w:p>
    <w:p w:rsidR="006F4064" w:rsidRPr="00BA5067" w:rsidRDefault="006F4064" w:rsidP="006F4064">
      <w:pPr>
        <w:ind w:firstLine="720"/>
        <w:jc w:val="center"/>
        <w:rPr>
          <w:i/>
          <w:lang w:val="sq-AL"/>
        </w:rPr>
      </w:pPr>
      <w:r>
        <w:rPr>
          <w:i/>
          <w:noProof/>
        </w:rPr>
        <w:drawing>
          <wp:inline distT="0" distB="0" distL="0" distR="0" wp14:anchorId="2E6AB8E6" wp14:editId="416ED2C1">
            <wp:extent cx="5572760" cy="2353176"/>
            <wp:effectExtent l="38100" t="38100" r="85090" b="1047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5485" cy="2358549"/>
                    </a:xfrm>
                    <a:prstGeom prst="rect">
                      <a:avLst/>
                    </a:prstGeom>
                    <a:noFill/>
                    <a:effectLst>
                      <a:outerShdw blurRad="50800" dist="38100" dir="2700000" algn="tl" rotWithShape="0">
                        <a:prstClr val="black">
                          <a:alpha val="40000"/>
                        </a:prstClr>
                      </a:outerShdw>
                    </a:effectLst>
                  </pic:spPr>
                </pic:pic>
              </a:graphicData>
            </a:graphic>
          </wp:inline>
        </w:drawing>
      </w:r>
    </w:p>
    <w:p w:rsidR="006F4064" w:rsidRDefault="006F4064" w:rsidP="006F4064">
      <w:pPr>
        <w:rPr>
          <w:i/>
          <w:sz w:val="20"/>
          <w:lang w:val="sq-AL"/>
        </w:rPr>
      </w:pPr>
      <w:r>
        <w:rPr>
          <w:i/>
          <w:sz w:val="20"/>
          <w:lang w:val="sq-AL"/>
        </w:rPr>
        <w:t xml:space="preserve">            </w:t>
      </w:r>
      <w:r>
        <w:rPr>
          <w:i/>
          <w:sz w:val="20"/>
          <w:lang w:val="sq-AL"/>
        </w:rPr>
        <w:tab/>
      </w:r>
      <w:r>
        <w:rPr>
          <w:i/>
          <w:sz w:val="20"/>
          <w:lang w:val="sq-AL"/>
        </w:rPr>
        <w:tab/>
        <w:t xml:space="preserve"> </w:t>
      </w:r>
      <w:r w:rsidRPr="004A28C7">
        <w:rPr>
          <w:b/>
          <w:i/>
          <w:sz w:val="20"/>
          <w:lang w:val="sq-AL"/>
        </w:rPr>
        <w:t>Burimi:</w:t>
      </w:r>
      <w:r>
        <w:rPr>
          <w:i/>
          <w:sz w:val="20"/>
          <w:lang w:val="sq-AL"/>
        </w:rPr>
        <w:t xml:space="preserve"> Ministria e Financave dhe Ekonomisë (2017)</w:t>
      </w:r>
    </w:p>
    <w:p w:rsidR="006F4064" w:rsidRPr="001F40A8" w:rsidRDefault="006F4064" w:rsidP="006F4064">
      <w:pPr>
        <w:spacing w:line="360" w:lineRule="auto"/>
        <w:jc w:val="both"/>
        <w:rPr>
          <w:i/>
          <w:sz w:val="16"/>
          <w:lang w:val="sq-AL"/>
        </w:rPr>
      </w:pPr>
    </w:p>
    <w:p w:rsidR="006F4064" w:rsidRDefault="006F4064" w:rsidP="006F4064">
      <w:pPr>
        <w:spacing w:line="360" w:lineRule="auto"/>
        <w:jc w:val="both"/>
        <w:rPr>
          <w:lang w:val="sq-AL"/>
        </w:rPr>
      </w:pPr>
      <w:r w:rsidRPr="00014B13">
        <w:rPr>
          <w:i/>
          <w:lang w:val="sq-AL"/>
        </w:rPr>
        <w:t>Shpe</w:t>
      </w:r>
      <w:r>
        <w:rPr>
          <w:i/>
          <w:lang w:val="sq-AL"/>
        </w:rPr>
        <w:t>nzimet e Personelit</w:t>
      </w:r>
      <w:r>
        <w:rPr>
          <w:lang w:val="sq-AL"/>
        </w:rPr>
        <w:t xml:space="preserve"> gjatë muajit Shtator 2017, përfaqësuan rreth </w:t>
      </w:r>
      <w:r w:rsidRPr="00397C4A">
        <w:rPr>
          <w:lang w:val="sq-AL"/>
        </w:rPr>
        <w:t>19.4</w:t>
      </w:r>
      <w:r>
        <w:rPr>
          <w:lang w:val="sq-AL"/>
        </w:rPr>
        <w:t xml:space="preserve"> </w:t>
      </w:r>
      <w:r w:rsidRPr="00967D59">
        <w:rPr>
          <w:lang w:val="sq-AL"/>
        </w:rPr>
        <w:t>përqind</w:t>
      </w:r>
      <w:r w:rsidRPr="003F1D41">
        <w:rPr>
          <w:lang w:val="sq-AL"/>
        </w:rPr>
        <w:t xml:space="preserve"> të totalit të shpenzimeve korente. Niveli i shpenzimeve fak</w:t>
      </w:r>
      <w:r>
        <w:rPr>
          <w:lang w:val="sq-AL"/>
        </w:rPr>
        <w:t>tike të personelit prej rreth 53.86</w:t>
      </w:r>
      <w:r w:rsidRPr="003F1D41">
        <w:rPr>
          <w:lang w:val="sq-AL"/>
        </w:rPr>
        <w:t xml:space="preserve"> </w:t>
      </w:r>
      <w:r>
        <w:rPr>
          <w:lang w:val="sq-AL"/>
        </w:rPr>
        <w:t>miliardë</w:t>
      </w:r>
      <w:r w:rsidRPr="003F1D41">
        <w:rPr>
          <w:lang w:val="sq-AL"/>
        </w:rPr>
        <w:t xml:space="preserve"> </w:t>
      </w:r>
      <w:r w:rsidR="00022850">
        <w:rPr>
          <w:lang w:val="sq-AL"/>
        </w:rPr>
        <w:t>lekë</w:t>
      </w:r>
      <w:r w:rsidRPr="003F1D41">
        <w:rPr>
          <w:lang w:val="sq-AL"/>
        </w:rPr>
        <w:t>, realizon nivelin e parashikuar për</w:t>
      </w:r>
      <w:r>
        <w:rPr>
          <w:lang w:val="sq-AL"/>
        </w:rPr>
        <w:t xml:space="preserve"> këtë zë në planin e periudhës 9 mujore, në masën rreth 99.2</w:t>
      </w:r>
      <w:r w:rsidRPr="003F1D41">
        <w:rPr>
          <w:lang w:val="sq-AL"/>
        </w:rPr>
        <w:t xml:space="preserve"> përqind. Krahasuar me të njëjtën periu</w:t>
      </w:r>
      <w:r>
        <w:rPr>
          <w:lang w:val="sq-AL"/>
        </w:rPr>
        <w:t xml:space="preserve">dhë të vitit 2016, ky zë është 7.5 përqind më i lartë ose </w:t>
      </w:r>
      <w:r w:rsidRPr="00967D59">
        <w:rPr>
          <w:lang w:val="sq-AL"/>
        </w:rPr>
        <w:t xml:space="preserve">rreth </w:t>
      </w:r>
      <w:r>
        <w:rPr>
          <w:lang w:val="sq-AL"/>
        </w:rPr>
        <w:t>3.76</w:t>
      </w:r>
      <w:r w:rsidRPr="003F1D41">
        <w:rPr>
          <w:lang w:val="sq-AL"/>
        </w:rPr>
        <w:t xml:space="preserve"> </w:t>
      </w:r>
      <w:r>
        <w:rPr>
          <w:lang w:val="sq-AL"/>
        </w:rPr>
        <w:t>miliardë</w:t>
      </w:r>
      <w:r w:rsidRPr="003F1D41">
        <w:rPr>
          <w:lang w:val="sq-AL"/>
        </w:rPr>
        <w:t xml:space="preserve"> më shumë.</w:t>
      </w:r>
    </w:p>
    <w:p w:rsidR="006F4064" w:rsidRPr="00AE7116" w:rsidRDefault="006F4064" w:rsidP="006F4064">
      <w:pPr>
        <w:spacing w:line="360" w:lineRule="auto"/>
        <w:jc w:val="both"/>
        <w:rPr>
          <w:sz w:val="12"/>
          <w:szCs w:val="12"/>
          <w:lang w:val="sq-AL"/>
        </w:rPr>
      </w:pPr>
    </w:p>
    <w:p w:rsidR="002371BA" w:rsidRDefault="002371BA" w:rsidP="006F4064">
      <w:pPr>
        <w:jc w:val="center"/>
        <w:rPr>
          <w:b/>
          <w:lang w:val="sq-AL"/>
        </w:rPr>
      </w:pPr>
    </w:p>
    <w:p w:rsidR="006F4064" w:rsidRPr="006F4064" w:rsidRDefault="006F4064" w:rsidP="006F4064">
      <w:pPr>
        <w:jc w:val="center"/>
        <w:rPr>
          <w:b/>
          <w:lang w:val="sq-AL"/>
        </w:rPr>
      </w:pPr>
      <w:r w:rsidRPr="006F4064">
        <w:rPr>
          <w:b/>
          <w:lang w:val="sq-AL"/>
        </w:rPr>
        <w:lastRenderedPageBreak/>
        <w:t xml:space="preserve">Grafiku </w:t>
      </w:r>
      <w:r>
        <w:rPr>
          <w:b/>
          <w:lang w:val="sq-AL"/>
        </w:rPr>
        <w:t>21</w:t>
      </w:r>
      <w:r w:rsidRPr="006F4064">
        <w:rPr>
          <w:b/>
          <w:lang w:val="sq-AL"/>
        </w:rPr>
        <w:t xml:space="preserve">: </w:t>
      </w:r>
      <w:r w:rsidRPr="00022850">
        <w:rPr>
          <w:lang w:val="sq-AL"/>
        </w:rPr>
        <w:t xml:space="preserve">Shpenzimet e Personelit dhe ritmi i rritjes së tyre (në miliardë </w:t>
      </w:r>
      <w:r w:rsidR="00022850" w:rsidRPr="00022850">
        <w:rPr>
          <w:lang w:val="sq-AL"/>
        </w:rPr>
        <w:t>lekë</w:t>
      </w:r>
      <w:r w:rsidRPr="00022850">
        <w:rPr>
          <w:lang w:val="sq-AL"/>
        </w:rPr>
        <w:t>)</w:t>
      </w:r>
    </w:p>
    <w:p w:rsidR="006F4064" w:rsidRDefault="006F4064" w:rsidP="006F4064">
      <w:pPr>
        <w:ind w:left="720"/>
        <w:jc w:val="center"/>
        <w:rPr>
          <w:i/>
          <w:lang w:val="sq-AL"/>
        </w:rPr>
      </w:pPr>
      <w:r>
        <w:rPr>
          <w:i/>
          <w:noProof/>
        </w:rPr>
        <w:drawing>
          <wp:inline distT="0" distB="0" distL="0" distR="0" wp14:anchorId="03A48880" wp14:editId="5A1538F7">
            <wp:extent cx="4953635" cy="2565780"/>
            <wp:effectExtent l="38100" t="38100" r="94615" b="101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1604" cy="2569908"/>
                    </a:xfrm>
                    <a:prstGeom prst="rect">
                      <a:avLst/>
                    </a:prstGeom>
                    <a:noFill/>
                    <a:effectLst>
                      <a:outerShdw blurRad="50800" dist="38100" dir="2700000" algn="tl" rotWithShape="0">
                        <a:prstClr val="black">
                          <a:alpha val="40000"/>
                        </a:prstClr>
                      </a:outerShdw>
                    </a:effectLst>
                  </pic:spPr>
                </pic:pic>
              </a:graphicData>
            </a:graphic>
          </wp:inline>
        </w:drawing>
      </w:r>
    </w:p>
    <w:p w:rsidR="006F4064" w:rsidRDefault="006F4064" w:rsidP="006F4064">
      <w:pPr>
        <w:ind w:left="720" w:firstLine="720"/>
        <w:rPr>
          <w:i/>
          <w:sz w:val="20"/>
          <w:lang w:val="sq-AL"/>
        </w:rPr>
      </w:pPr>
      <w:r w:rsidRPr="004A28C7">
        <w:rPr>
          <w:b/>
          <w:i/>
          <w:sz w:val="20"/>
          <w:lang w:val="sq-AL"/>
        </w:rPr>
        <w:t>Burimi:</w:t>
      </w:r>
      <w:r>
        <w:rPr>
          <w:i/>
          <w:sz w:val="20"/>
          <w:lang w:val="sq-AL"/>
        </w:rPr>
        <w:t xml:space="preserve"> Ministria e Financave dhe Ekonomisë (2017)</w:t>
      </w:r>
    </w:p>
    <w:p w:rsidR="006F4064" w:rsidRPr="001F40A8" w:rsidRDefault="006F4064" w:rsidP="006F4064">
      <w:pPr>
        <w:spacing w:line="360" w:lineRule="auto"/>
        <w:jc w:val="both"/>
        <w:rPr>
          <w:i/>
          <w:sz w:val="16"/>
          <w:szCs w:val="8"/>
          <w:lang w:val="sq-AL"/>
        </w:rPr>
      </w:pPr>
    </w:p>
    <w:p w:rsidR="006F4064" w:rsidRPr="00CC758F" w:rsidRDefault="006F4064" w:rsidP="006F4064">
      <w:pPr>
        <w:spacing w:line="360" w:lineRule="auto"/>
        <w:jc w:val="both"/>
        <w:rPr>
          <w:rFonts w:ascii="Calibri" w:hAnsi="Calibri"/>
          <w:i/>
          <w:lang w:val="sq-AL"/>
        </w:rPr>
      </w:pPr>
      <w:r>
        <w:rPr>
          <w:i/>
          <w:lang w:val="sq-AL"/>
        </w:rPr>
        <w:t>Shpenzimet për Paga</w:t>
      </w:r>
      <w:r w:rsidRPr="00014B13">
        <w:rPr>
          <w:lang w:val="sq-AL"/>
        </w:rPr>
        <w:t xml:space="preserve"> </w:t>
      </w:r>
      <w:r w:rsidRPr="00A32B38">
        <w:rPr>
          <w:lang w:val="sq-AL"/>
        </w:rPr>
        <w:t xml:space="preserve">në </w:t>
      </w:r>
      <w:r>
        <w:rPr>
          <w:lang w:val="sq-AL"/>
        </w:rPr>
        <w:t>fund të 9</w:t>
      </w:r>
      <w:r w:rsidRPr="00A32B38">
        <w:rPr>
          <w:lang w:val="sq-AL"/>
        </w:rPr>
        <w:t xml:space="preserve"> mujorit 20</w:t>
      </w:r>
      <w:r>
        <w:rPr>
          <w:lang w:val="sq-AL"/>
        </w:rPr>
        <w:t>17 u realizuan në masën rreth 46.4 miliardë LEK, duke qenë 7.5</w:t>
      </w:r>
      <w:r w:rsidRPr="00A32B38">
        <w:rPr>
          <w:lang w:val="sq-AL"/>
        </w:rPr>
        <w:t xml:space="preserve"> përqind më të larta se e njëjt</w:t>
      </w:r>
      <w:r>
        <w:rPr>
          <w:lang w:val="sq-AL"/>
        </w:rPr>
        <w:t>a periudhë e vitit 2016, ose rreth 3.25 miliardë</w:t>
      </w:r>
      <w:r w:rsidRPr="00A32B38">
        <w:rPr>
          <w:lang w:val="sq-AL"/>
        </w:rPr>
        <w:t xml:space="preserve"> LEK më shumë. Për rrjedhojë, edhe shpenzimet për sigurim</w:t>
      </w:r>
      <w:r>
        <w:rPr>
          <w:lang w:val="sq-AL"/>
        </w:rPr>
        <w:t>e shoqërore rezultuan në masën rreth 7.3</w:t>
      </w:r>
      <w:r w:rsidRPr="00A32B38">
        <w:rPr>
          <w:lang w:val="sq-AL"/>
        </w:rPr>
        <w:t xml:space="preserve"> përqind më të larta se një vit më parë. Realizimi faktik i këtyre zërave </w:t>
      </w:r>
      <w:r>
        <w:rPr>
          <w:lang w:val="sq-AL"/>
        </w:rPr>
        <w:t>së b</w:t>
      </w:r>
      <w:r w:rsidRPr="00967D59">
        <w:rPr>
          <w:lang w:val="sq-AL"/>
        </w:rPr>
        <w:t xml:space="preserve">ashku, është në nivelin </w:t>
      </w:r>
      <w:r>
        <w:rPr>
          <w:lang w:val="sq-AL"/>
        </w:rPr>
        <w:t>rreth 99.2</w:t>
      </w:r>
      <w:r w:rsidRPr="00967D59">
        <w:rPr>
          <w:lang w:val="sq-AL"/>
        </w:rPr>
        <w:t xml:space="preserve"> përqind krahasu</w:t>
      </w:r>
      <w:r>
        <w:rPr>
          <w:lang w:val="sq-AL"/>
        </w:rPr>
        <w:t>ar me planin e periudhës, ose rreth 71.7</w:t>
      </w:r>
      <w:r w:rsidRPr="00967D59">
        <w:rPr>
          <w:lang w:val="sq-AL"/>
        </w:rPr>
        <w:t xml:space="preserve"> përqind e planit vjetor.</w:t>
      </w:r>
      <w:r w:rsidRPr="003F1D41">
        <w:rPr>
          <w:rFonts w:ascii="Calibri" w:hAnsi="Calibri"/>
          <w:i/>
          <w:lang w:val="sq-AL"/>
        </w:rPr>
        <w:t xml:space="preserve">                </w:t>
      </w:r>
      <w:r>
        <w:rPr>
          <w:i/>
          <w:lang w:val="sq-AL"/>
        </w:rPr>
        <w:t xml:space="preserve">        </w:t>
      </w:r>
    </w:p>
    <w:p w:rsidR="006F4064" w:rsidRPr="001F40A8" w:rsidRDefault="006F4064" w:rsidP="006F4064">
      <w:pPr>
        <w:rPr>
          <w:i/>
          <w:sz w:val="12"/>
          <w:szCs w:val="8"/>
          <w:lang w:val="sq-AL"/>
        </w:rPr>
      </w:pPr>
    </w:p>
    <w:p w:rsidR="006F4064" w:rsidRDefault="006F4064" w:rsidP="006F4064">
      <w:pPr>
        <w:jc w:val="center"/>
        <w:rPr>
          <w:i/>
          <w:lang w:val="sq-AL"/>
        </w:rPr>
      </w:pPr>
      <w:r w:rsidRPr="006F4064">
        <w:rPr>
          <w:b/>
          <w:lang w:val="sq-AL"/>
        </w:rPr>
        <w:t xml:space="preserve">Grafiku </w:t>
      </w:r>
      <w:r>
        <w:rPr>
          <w:b/>
          <w:lang w:val="sq-AL"/>
        </w:rPr>
        <w:t>22</w:t>
      </w:r>
      <w:r w:rsidRPr="006F4064">
        <w:rPr>
          <w:b/>
          <w:lang w:val="sq-AL"/>
        </w:rPr>
        <w:t xml:space="preserve">: </w:t>
      </w:r>
      <w:r w:rsidRPr="004A28C7">
        <w:rPr>
          <w:lang w:val="sq-AL"/>
        </w:rPr>
        <w:t xml:space="preserve">Shpenzimet e Pagave dhe ritmi i rritjes së tyre (në miliardë </w:t>
      </w:r>
      <w:r w:rsidR="004A28C7" w:rsidRPr="004A28C7">
        <w:rPr>
          <w:lang w:val="sq-AL"/>
        </w:rPr>
        <w:t>lekë</w:t>
      </w:r>
      <w:r w:rsidRPr="004A28C7">
        <w:rPr>
          <w:lang w:val="sq-AL"/>
        </w:rPr>
        <w:t>)</w:t>
      </w:r>
    </w:p>
    <w:p w:rsidR="006F4064" w:rsidRDefault="006F4064" w:rsidP="006F4064">
      <w:pPr>
        <w:ind w:left="720"/>
        <w:jc w:val="center"/>
        <w:rPr>
          <w:i/>
          <w:lang w:val="sq-AL"/>
        </w:rPr>
      </w:pPr>
      <w:r>
        <w:rPr>
          <w:i/>
          <w:noProof/>
        </w:rPr>
        <w:drawing>
          <wp:inline distT="0" distB="0" distL="0" distR="0" wp14:anchorId="7B374AD9" wp14:editId="60CAB6DE">
            <wp:extent cx="5746005" cy="2538095"/>
            <wp:effectExtent l="38100" t="38100" r="102870" b="908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755" cy="2542843"/>
                    </a:xfrm>
                    <a:prstGeom prst="rect">
                      <a:avLst/>
                    </a:prstGeom>
                    <a:noFill/>
                    <a:effectLst>
                      <a:outerShdw blurRad="50800" dist="38100" dir="2700000" algn="tl" rotWithShape="0">
                        <a:prstClr val="black">
                          <a:alpha val="40000"/>
                        </a:prstClr>
                      </a:outerShdw>
                    </a:effectLst>
                  </pic:spPr>
                </pic:pic>
              </a:graphicData>
            </a:graphic>
          </wp:inline>
        </w:drawing>
      </w:r>
    </w:p>
    <w:p w:rsidR="006F4064" w:rsidRDefault="006F4064" w:rsidP="006F4064">
      <w:pPr>
        <w:rPr>
          <w:i/>
          <w:sz w:val="20"/>
          <w:lang w:val="sq-AL"/>
        </w:rPr>
      </w:pPr>
      <w:r>
        <w:rPr>
          <w:i/>
          <w:sz w:val="20"/>
          <w:lang w:val="sq-AL"/>
        </w:rPr>
        <w:t xml:space="preserve">              </w:t>
      </w:r>
      <w:r>
        <w:rPr>
          <w:i/>
          <w:sz w:val="20"/>
          <w:lang w:val="sq-AL"/>
        </w:rPr>
        <w:tab/>
      </w:r>
      <w:r>
        <w:rPr>
          <w:i/>
          <w:sz w:val="20"/>
          <w:lang w:val="sq-AL"/>
        </w:rPr>
        <w:tab/>
      </w:r>
      <w:r w:rsidRPr="004A28C7">
        <w:rPr>
          <w:b/>
          <w:i/>
          <w:sz w:val="20"/>
          <w:lang w:val="sq-AL"/>
        </w:rPr>
        <w:t>Burimi:</w:t>
      </w:r>
      <w:r>
        <w:rPr>
          <w:i/>
          <w:sz w:val="20"/>
          <w:lang w:val="sq-AL"/>
        </w:rPr>
        <w:t xml:space="preserve"> Ministria e Financave dhe Ekonomisë (2017)</w:t>
      </w:r>
    </w:p>
    <w:p w:rsidR="006F4064" w:rsidRPr="0085058E" w:rsidRDefault="006F4064" w:rsidP="006F4064">
      <w:pPr>
        <w:ind w:firstLine="720"/>
        <w:rPr>
          <w:i/>
          <w:sz w:val="12"/>
          <w:lang w:val="sq-AL"/>
        </w:rPr>
      </w:pPr>
    </w:p>
    <w:p w:rsidR="006F4064" w:rsidRPr="001F40A8" w:rsidRDefault="006F4064" w:rsidP="006F4064">
      <w:pPr>
        <w:spacing w:line="360" w:lineRule="auto"/>
        <w:jc w:val="both"/>
        <w:rPr>
          <w:i/>
          <w:sz w:val="8"/>
          <w:lang w:val="sq-AL"/>
        </w:rPr>
      </w:pPr>
    </w:p>
    <w:p w:rsidR="006F4064" w:rsidRPr="001B46FE" w:rsidRDefault="006F4064" w:rsidP="006F4064">
      <w:pPr>
        <w:spacing w:line="360" w:lineRule="auto"/>
        <w:jc w:val="both"/>
        <w:rPr>
          <w:i/>
          <w:sz w:val="8"/>
          <w:szCs w:val="8"/>
          <w:lang w:val="sq-AL"/>
        </w:rPr>
      </w:pPr>
      <w:r w:rsidRPr="00014B13">
        <w:rPr>
          <w:i/>
          <w:lang w:val="sq-AL"/>
        </w:rPr>
        <w:t>Shpenzimet për Interesa</w:t>
      </w:r>
      <w:r w:rsidRPr="00014B13">
        <w:rPr>
          <w:lang w:val="sq-AL"/>
        </w:rPr>
        <w:t xml:space="preserve"> </w:t>
      </w:r>
      <w:r>
        <w:rPr>
          <w:lang w:val="sq-AL"/>
        </w:rPr>
        <w:t>gjatë periudhës 9</w:t>
      </w:r>
      <w:r w:rsidRPr="00A32B38">
        <w:rPr>
          <w:lang w:val="sq-AL"/>
        </w:rPr>
        <w:t xml:space="preserve"> mujo</w:t>
      </w:r>
      <w:r>
        <w:rPr>
          <w:lang w:val="sq-AL"/>
        </w:rPr>
        <w:t>re 2017 kanë përfaqësuar rreth 7.8</w:t>
      </w:r>
      <w:r w:rsidRPr="00C81E0F">
        <w:rPr>
          <w:lang w:val="sq-AL"/>
        </w:rPr>
        <w:t xml:space="preserve"> përqind</w:t>
      </w:r>
      <w:r w:rsidRPr="00A32B38">
        <w:rPr>
          <w:lang w:val="sq-AL"/>
        </w:rPr>
        <w:t xml:space="preserve"> të shpenzimeve korente. Niveli faktik i</w:t>
      </w:r>
      <w:r>
        <w:rPr>
          <w:lang w:val="sq-AL"/>
        </w:rPr>
        <w:t xml:space="preserve"> tyre ka rezultuar në masën 99</w:t>
      </w:r>
      <w:r w:rsidRPr="00A32B38">
        <w:rPr>
          <w:lang w:val="sq-AL"/>
        </w:rPr>
        <w:t xml:space="preserve"> përqind të planit të periudhës. Në raport me planin vjetor</w:t>
      </w:r>
      <w:r>
        <w:rPr>
          <w:lang w:val="sq-AL"/>
        </w:rPr>
        <w:t xml:space="preserve">, të ndryshuar, prej 37.9 miliardë </w:t>
      </w:r>
      <w:r w:rsidR="004A28C7" w:rsidRPr="004A28C7">
        <w:rPr>
          <w:lang w:val="sq-AL"/>
        </w:rPr>
        <w:t>lekë</w:t>
      </w:r>
      <w:r>
        <w:rPr>
          <w:lang w:val="sq-AL"/>
        </w:rPr>
        <w:t>, në nivel 9</w:t>
      </w:r>
      <w:r w:rsidRPr="00A32B38">
        <w:rPr>
          <w:lang w:val="sq-AL"/>
        </w:rPr>
        <w:t xml:space="preserve"> mujori këto shpenzime janë realizuar në </w:t>
      </w:r>
      <w:r>
        <w:rPr>
          <w:lang w:val="sq-AL"/>
        </w:rPr>
        <w:t>masën 57</w:t>
      </w:r>
      <w:r w:rsidRPr="00A32B38">
        <w:rPr>
          <w:lang w:val="sq-AL"/>
        </w:rPr>
        <w:t xml:space="preserve"> përqind të tij, ndërsa krahasuar me të njëjtën periudhë </w:t>
      </w:r>
      <w:r w:rsidRPr="00C81E0F">
        <w:rPr>
          <w:lang w:val="sq-AL"/>
        </w:rPr>
        <w:t>të vitit 2016, ky zë ka rezultuar 1</w:t>
      </w:r>
      <w:r>
        <w:rPr>
          <w:lang w:val="sq-AL"/>
        </w:rPr>
        <w:t>6.1</w:t>
      </w:r>
      <w:r w:rsidRPr="00C81E0F">
        <w:rPr>
          <w:lang w:val="sq-AL"/>
        </w:rPr>
        <w:t xml:space="preserve"> përqind më i ulët, me një kursim nom</w:t>
      </w:r>
      <w:r>
        <w:rPr>
          <w:lang w:val="sq-AL"/>
        </w:rPr>
        <w:t>inal në masën rreth 4</w:t>
      </w:r>
      <w:r w:rsidRPr="00C81E0F">
        <w:rPr>
          <w:lang w:val="sq-AL"/>
        </w:rPr>
        <w:t>.</w:t>
      </w:r>
      <w:r>
        <w:rPr>
          <w:lang w:val="sq-AL"/>
        </w:rPr>
        <w:t>13</w:t>
      </w:r>
      <w:r w:rsidRPr="00C81E0F">
        <w:rPr>
          <w:lang w:val="sq-AL"/>
        </w:rPr>
        <w:t xml:space="preserve"> miliardë </w:t>
      </w:r>
      <w:r w:rsidR="004A28C7" w:rsidRPr="004A28C7">
        <w:rPr>
          <w:lang w:val="sq-AL"/>
        </w:rPr>
        <w:t>lekë</w:t>
      </w:r>
      <w:r w:rsidRPr="00C81E0F">
        <w:rPr>
          <w:lang w:val="sq-AL"/>
        </w:rPr>
        <w:t>.</w:t>
      </w:r>
    </w:p>
    <w:p w:rsidR="006F4064" w:rsidRPr="00AE7116" w:rsidRDefault="006F4064" w:rsidP="006F4064">
      <w:pPr>
        <w:rPr>
          <w:i/>
          <w:sz w:val="12"/>
          <w:szCs w:val="12"/>
          <w:lang w:val="sq-AL"/>
        </w:rPr>
      </w:pPr>
    </w:p>
    <w:p w:rsidR="002371BA" w:rsidRDefault="002371BA" w:rsidP="006F4064">
      <w:pPr>
        <w:jc w:val="center"/>
        <w:rPr>
          <w:b/>
          <w:lang w:val="sq-AL"/>
        </w:rPr>
      </w:pPr>
    </w:p>
    <w:p w:rsidR="006F4064" w:rsidRPr="006F4064" w:rsidRDefault="006F4064" w:rsidP="006F4064">
      <w:pPr>
        <w:jc w:val="center"/>
        <w:rPr>
          <w:b/>
          <w:lang w:val="sq-AL"/>
        </w:rPr>
      </w:pPr>
      <w:r w:rsidRPr="006F4064">
        <w:rPr>
          <w:b/>
          <w:lang w:val="sq-AL"/>
        </w:rPr>
        <w:lastRenderedPageBreak/>
        <w:t xml:space="preserve">Grafiku 23: </w:t>
      </w:r>
      <w:r w:rsidRPr="00022850">
        <w:rPr>
          <w:lang w:val="sq-AL"/>
        </w:rPr>
        <w:t xml:space="preserve">Shpenzimet për Interesa (në miliardë </w:t>
      </w:r>
      <w:r w:rsidR="004A28C7" w:rsidRPr="00022850">
        <w:rPr>
          <w:lang w:val="sq-AL"/>
        </w:rPr>
        <w:t>lekë</w:t>
      </w:r>
      <w:r w:rsidRPr="006F4064">
        <w:rPr>
          <w:b/>
          <w:lang w:val="sq-AL"/>
        </w:rPr>
        <w:t>)</w:t>
      </w:r>
    </w:p>
    <w:p w:rsidR="006F4064" w:rsidRPr="00FB39BD" w:rsidRDefault="006F4064" w:rsidP="006F4064">
      <w:pPr>
        <w:ind w:left="720"/>
        <w:jc w:val="center"/>
        <w:rPr>
          <w:i/>
          <w:lang w:val="sq-AL"/>
        </w:rPr>
      </w:pPr>
      <w:r>
        <w:rPr>
          <w:i/>
          <w:noProof/>
        </w:rPr>
        <w:drawing>
          <wp:inline distT="0" distB="0" distL="0" distR="0" wp14:anchorId="7EC5DF9A" wp14:editId="082010C8">
            <wp:extent cx="4919980" cy="2538484"/>
            <wp:effectExtent l="38100" t="38100" r="90170" b="908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5554" cy="2546519"/>
                    </a:xfrm>
                    <a:prstGeom prst="rect">
                      <a:avLst/>
                    </a:prstGeom>
                    <a:noFill/>
                    <a:effectLst>
                      <a:outerShdw blurRad="50800" dist="38100" dir="2700000" algn="tl" rotWithShape="0">
                        <a:prstClr val="black">
                          <a:alpha val="40000"/>
                        </a:prstClr>
                      </a:outerShdw>
                    </a:effectLst>
                  </pic:spPr>
                </pic:pic>
              </a:graphicData>
            </a:graphic>
          </wp:inline>
        </w:drawing>
      </w:r>
    </w:p>
    <w:p w:rsidR="006F4064" w:rsidRDefault="006F4064" w:rsidP="006F4064">
      <w:pPr>
        <w:ind w:left="1440"/>
        <w:rPr>
          <w:i/>
          <w:sz w:val="20"/>
          <w:lang w:val="sq-AL"/>
        </w:rPr>
      </w:pPr>
      <w:r w:rsidRPr="004A28C7">
        <w:rPr>
          <w:b/>
          <w:i/>
          <w:sz w:val="20"/>
          <w:lang w:val="sq-AL"/>
        </w:rPr>
        <w:t>Burimi:</w:t>
      </w:r>
      <w:r>
        <w:rPr>
          <w:i/>
          <w:sz w:val="20"/>
          <w:lang w:val="sq-AL"/>
        </w:rPr>
        <w:t xml:space="preserve"> Ministria e Financave dhe Ekonomisë (2017)</w:t>
      </w:r>
    </w:p>
    <w:p w:rsidR="006F4064" w:rsidRPr="001B46FE" w:rsidRDefault="006F4064" w:rsidP="006F4064">
      <w:pPr>
        <w:ind w:firstLine="720"/>
        <w:rPr>
          <w:i/>
          <w:sz w:val="20"/>
          <w:lang w:val="sq-AL"/>
        </w:rPr>
      </w:pPr>
    </w:p>
    <w:p w:rsidR="006F4064" w:rsidRDefault="006F4064" w:rsidP="006F4064">
      <w:pPr>
        <w:spacing w:line="360" w:lineRule="auto"/>
        <w:jc w:val="both"/>
        <w:rPr>
          <w:lang w:val="sq-AL"/>
        </w:rPr>
      </w:pPr>
      <w:r w:rsidRPr="00014B13">
        <w:rPr>
          <w:i/>
          <w:lang w:val="sq-AL"/>
        </w:rPr>
        <w:t xml:space="preserve">Shpenzimet Operative &amp; Mirëmbajtje, </w:t>
      </w:r>
      <w:r w:rsidRPr="00014B13">
        <w:rPr>
          <w:lang w:val="sq-AL"/>
        </w:rPr>
        <w:t xml:space="preserve">gjatë </w:t>
      </w:r>
      <w:r>
        <w:rPr>
          <w:lang w:val="sq-AL"/>
        </w:rPr>
        <w:t>9</w:t>
      </w:r>
      <w:r w:rsidRPr="00014B13">
        <w:rPr>
          <w:lang w:val="sq-AL"/>
        </w:rPr>
        <w:t xml:space="preserve"> mujorit që lamë pas, kanë </w:t>
      </w:r>
      <w:r>
        <w:rPr>
          <w:lang w:val="sq-AL"/>
        </w:rPr>
        <w:t>shënuar</w:t>
      </w:r>
      <w:r w:rsidRPr="00014B13">
        <w:rPr>
          <w:lang w:val="sq-AL"/>
        </w:rPr>
        <w:t xml:space="preserve"> një realizim në masën</w:t>
      </w:r>
      <w:r>
        <w:rPr>
          <w:lang w:val="sq-AL"/>
        </w:rPr>
        <w:t xml:space="preserve"> rreth 27.9 miliardë </w:t>
      </w:r>
      <w:r w:rsidR="004A28C7" w:rsidRPr="004A28C7">
        <w:rPr>
          <w:lang w:val="sq-AL"/>
        </w:rPr>
        <w:t>lekë</w:t>
      </w:r>
      <w:r>
        <w:rPr>
          <w:lang w:val="sq-AL"/>
        </w:rPr>
        <w:t>, ose 62.12</w:t>
      </w:r>
      <w:r w:rsidRPr="00014B13">
        <w:rPr>
          <w:lang w:val="sq-AL"/>
        </w:rPr>
        <w:t xml:space="preserve"> përqind e planit vjetor. </w:t>
      </w:r>
      <w:r>
        <w:rPr>
          <w:lang w:val="sq-AL"/>
        </w:rPr>
        <w:t xml:space="preserve">Krahasuar me të njëjtën </w:t>
      </w:r>
      <w:r w:rsidRPr="00014B13">
        <w:rPr>
          <w:lang w:val="sq-AL"/>
        </w:rPr>
        <w:t>periudhë të vitit 201</w:t>
      </w:r>
      <w:r>
        <w:rPr>
          <w:lang w:val="sq-AL"/>
        </w:rPr>
        <w:t>6, ky zë ka rezultuar</w:t>
      </w:r>
      <w:r w:rsidRPr="00014B13">
        <w:rPr>
          <w:lang w:val="sq-AL"/>
        </w:rPr>
        <w:t xml:space="preserve"> </w:t>
      </w:r>
      <w:r>
        <w:rPr>
          <w:lang w:val="sq-AL"/>
        </w:rPr>
        <w:t>1.5 përqind më i lartë</w:t>
      </w:r>
      <w:r w:rsidRPr="00014B13">
        <w:rPr>
          <w:lang w:val="sq-AL"/>
        </w:rPr>
        <w:t xml:space="preserve">, </w:t>
      </w:r>
      <w:r>
        <w:rPr>
          <w:lang w:val="sq-AL"/>
        </w:rPr>
        <w:t xml:space="preserve">ose 407 milion </w:t>
      </w:r>
      <w:r w:rsidR="004A28C7" w:rsidRPr="004A28C7">
        <w:rPr>
          <w:lang w:val="sq-AL"/>
        </w:rPr>
        <w:t>lekë</w:t>
      </w:r>
      <w:r w:rsidRPr="003C104F">
        <w:rPr>
          <w:lang w:val="sq-AL"/>
        </w:rPr>
        <w:t xml:space="preserve"> </w:t>
      </w:r>
      <w:r>
        <w:rPr>
          <w:lang w:val="sq-AL"/>
        </w:rPr>
        <w:t>më shumë</w:t>
      </w:r>
      <w:r w:rsidRPr="00E91A54">
        <w:rPr>
          <w:lang w:val="sq-AL"/>
        </w:rPr>
        <w:t>.</w:t>
      </w:r>
      <w:r>
        <w:rPr>
          <w:lang w:val="sq-AL"/>
        </w:rPr>
        <w:t xml:space="preserve">      </w:t>
      </w:r>
    </w:p>
    <w:p w:rsidR="006F4064" w:rsidRDefault="006F4064" w:rsidP="006F4064">
      <w:pPr>
        <w:rPr>
          <w:i/>
          <w:lang w:val="sq-AL"/>
        </w:rPr>
      </w:pPr>
    </w:p>
    <w:p w:rsidR="006F4064" w:rsidRPr="004A28C7" w:rsidRDefault="006F4064" w:rsidP="006F4064">
      <w:pPr>
        <w:jc w:val="center"/>
        <w:rPr>
          <w:lang w:val="sq-AL"/>
        </w:rPr>
      </w:pPr>
      <w:r w:rsidRPr="006F4064">
        <w:rPr>
          <w:b/>
          <w:lang w:val="sq-AL"/>
        </w:rPr>
        <w:t xml:space="preserve">Grafiku </w:t>
      </w:r>
      <w:r>
        <w:rPr>
          <w:b/>
          <w:lang w:val="sq-AL"/>
        </w:rPr>
        <w:t>24</w:t>
      </w:r>
      <w:r w:rsidRPr="006F4064">
        <w:rPr>
          <w:b/>
          <w:lang w:val="sq-AL"/>
        </w:rPr>
        <w:t xml:space="preserve">: </w:t>
      </w:r>
      <w:r w:rsidRPr="004A28C7">
        <w:rPr>
          <w:lang w:val="sq-AL"/>
        </w:rPr>
        <w:t>Shpenzimet Operative dhe ritmi i rritjes së tyre (në miliardë LEK)</w:t>
      </w:r>
    </w:p>
    <w:p w:rsidR="006F4064" w:rsidRDefault="006F4064" w:rsidP="006F4064">
      <w:pPr>
        <w:ind w:left="720"/>
        <w:jc w:val="center"/>
        <w:rPr>
          <w:i/>
          <w:lang w:val="sq-AL"/>
        </w:rPr>
      </w:pPr>
      <w:r>
        <w:rPr>
          <w:i/>
          <w:noProof/>
        </w:rPr>
        <w:drawing>
          <wp:inline distT="0" distB="0" distL="0" distR="0" wp14:anchorId="5130899E" wp14:editId="4E1C5EBF">
            <wp:extent cx="4920018" cy="27362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3392" cy="2738091"/>
                    </a:xfrm>
                    <a:prstGeom prst="rect">
                      <a:avLst/>
                    </a:prstGeom>
                    <a:noFill/>
                  </pic:spPr>
                </pic:pic>
              </a:graphicData>
            </a:graphic>
          </wp:inline>
        </w:drawing>
      </w:r>
    </w:p>
    <w:p w:rsidR="006F4064" w:rsidRPr="00014B13" w:rsidRDefault="006F4064" w:rsidP="006F4064">
      <w:pPr>
        <w:rPr>
          <w:i/>
          <w:sz w:val="20"/>
          <w:lang w:val="sq-AL"/>
        </w:rPr>
      </w:pPr>
      <w:r>
        <w:rPr>
          <w:i/>
          <w:sz w:val="20"/>
          <w:lang w:val="sq-AL"/>
        </w:rPr>
        <w:t xml:space="preserve">                  </w:t>
      </w:r>
      <w:r>
        <w:rPr>
          <w:i/>
          <w:sz w:val="20"/>
          <w:lang w:val="sq-AL"/>
        </w:rPr>
        <w:tab/>
      </w:r>
      <w:r w:rsidRPr="004A28C7">
        <w:rPr>
          <w:b/>
          <w:i/>
          <w:sz w:val="20"/>
          <w:lang w:val="sq-AL"/>
        </w:rPr>
        <w:t xml:space="preserve">Burimi: </w:t>
      </w:r>
      <w:r>
        <w:rPr>
          <w:i/>
          <w:sz w:val="20"/>
          <w:lang w:val="sq-AL"/>
        </w:rPr>
        <w:t>Ministria e Financave dhe Ekonomisë (2017)</w:t>
      </w:r>
    </w:p>
    <w:p w:rsidR="006F4064" w:rsidRPr="00C52A09" w:rsidRDefault="006F4064" w:rsidP="006F4064">
      <w:pPr>
        <w:jc w:val="both"/>
        <w:rPr>
          <w:i/>
          <w:sz w:val="12"/>
          <w:lang w:val="sq-AL"/>
        </w:rPr>
      </w:pPr>
    </w:p>
    <w:p w:rsidR="006F4064" w:rsidRPr="001F40A8" w:rsidRDefault="006F4064" w:rsidP="006F4064">
      <w:pPr>
        <w:spacing w:line="360" w:lineRule="auto"/>
        <w:jc w:val="both"/>
        <w:rPr>
          <w:i/>
          <w:sz w:val="12"/>
          <w:szCs w:val="8"/>
          <w:lang w:val="sq-AL"/>
        </w:rPr>
      </w:pPr>
    </w:p>
    <w:p w:rsidR="006F4064" w:rsidRPr="00AE7116" w:rsidRDefault="006F4064" w:rsidP="006F4064">
      <w:pPr>
        <w:spacing w:line="360" w:lineRule="auto"/>
        <w:jc w:val="both"/>
        <w:rPr>
          <w:lang w:val="sq-AL"/>
        </w:rPr>
      </w:pPr>
      <w:r w:rsidRPr="00014B13">
        <w:rPr>
          <w:i/>
          <w:lang w:val="sq-AL"/>
        </w:rPr>
        <w:t>Shpenzimet për Subvencione,</w:t>
      </w:r>
      <w:r w:rsidRPr="00014B13">
        <w:rPr>
          <w:lang w:val="sq-AL"/>
        </w:rPr>
        <w:t xml:space="preserve"> në fund të periudhës </w:t>
      </w:r>
      <w:r>
        <w:rPr>
          <w:lang w:val="sq-AL"/>
        </w:rPr>
        <w:t>9 mujore</w:t>
      </w:r>
      <w:r w:rsidRPr="00014B13">
        <w:rPr>
          <w:lang w:val="sq-AL"/>
        </w:rPr>
        <w:t xml:space="preserve"> 201</w:t>
      </w:r>
      <w:r>
        <w:rPr>
          <w:lang w:val="sq-AL"/>
        </w:rPr>
        <w:t>7</w:t>
      </w:r>
      <w:r w:rsidRPr="00014B13">
        <w:rPr>
          <w:lang w:val="sq-AL"/>
        </w:rPr>
        <w:t xml:space="preserve">, arritën nivelin </w:t>
      </w:r>
      <w:r>
        <w:rPr>
          <w:lang w:val="sq-AL"/>
        </w:rPr>
        <w:t>rreth 1.3</w:t>
      </w:r>
      <w:r w:rsidRPr="00014B13">
        <w:rPr>
          <w:lang w:val="sq-AL"/>
        </w:rPr>
        <w:t xml:space="preserve"> mili</w:t>
      </w:r>
      <w:r>
        <w:rPr>
          <w:lang w:val="sq-AL"/>
        </w:rPr>
        <w:t>ardë</w:t>
      </w:r>
      <w:r w:rsidRPr="00014B13">
        <w:rPr>
          <w:lang w:val="sq-AL"/>
        </w:rPr>
        <w:t xml:space="preserve"> </w:t>
      </w:r>
      <w:r w:rsidR="004A28C7" w:rsidRPr="004A28C7">
        <w:rPr>
          <w:lang w:val="sq-AL"/>
        </w:rPr>
        <w:t>lekë</w:t>
      </w:r>
      <w:r>
        <w:rPr>
          <w:lang w:val="sq-AL"/>
        </w:rPr>
        <w:t>,</w:t>
      </w:r>
      <w:r w:rsidRPr="00014B13">
        <w:rPr>
          <w:lang w:val="sq-AL"/>
        </w:rPr>
        <w:t xml:space="preserve"> </w:t>
      </w:r>
      <w:r>
        <w:rPr>
          <w:lang w:val="sq-AL"/>
        </w:rPr>
        <w:t>me një realizim në masën 90</w:t>
      </w:r>
      <w:r w:rsidRPr="00014B13">
        <w:rPr>
          <w:lang w:val="sq-AL"/>
        </w:rPr>
        <w:t xml:space="preserve"> përqind </w:t>
      </w:r>
      <w:r>
        <w:rPr>
          <w:lang w:val="sq-AL"/>
        </w:rPr>
        <w:t>ose 143</w:t>
      </w:r>
      <w:r w:rsidRPr="00014B13">
        <w:rPr>
          <w:lang w:val="sq-AL"/>
        </w:rPr>
        <w:t xml:space="preserve"> milion </w:t>
      </w:r>
      <w:r w:rsidR="004A28C7" w:rsidRPr="004A28C7">
        <w:rPr>
          <w:lang w:val="sq-AL"/>
        </w:rPr>
        <w:t>lekë</w:t>
      </w:r>
      <w:r w:rsidRPr="00014B13">
        <w:rPr>
          <w:lang w:val="sq-AL"/>
        </w:rPr>
        <w:t xml:space="preserve"> më pak se plani i periudhës. </w:t>
      </w:r>
      <w:r>
        <w:rPr>
          <w:lang w:val="sq-AL"/>
        </w:rPr>
        <w:t xml:space="preserve">Në raport me planin </w:t>
      </w:r>
      <w:r w:rsidRPr="00014B13">
        <w:rPr>
          <w:lang w:val="sq-AL"/>
        </w:rPr>
        <w:t>vjetor</w:t>
      </w:r>
      <w:r>
        <w:rPr>
          <w:lang w:val="sq-AL"/>
        </w:rPr>
        <w:t>, të ndryshuar,</w:t>
      </w:r>
      <w:r w:rsidRPr="00014B13">
        <w:rPr>
          <w:lang w:val="sq-AL"/>
        </w:rPr>
        <w:t xml:space="preserve"> ky zë </w:t>
      </w:r>
      <w:r>
        <w:rPr>
          <w:lang w:val="sq-AL"/>
        </w:rPr>
        <w:t>është</w:t>
      </w:r>
      <w:r w:rsidRPr="00014B13">
        <w:rPr>
          <w:lang w:val="sq-AL"/>
        </w:rPr>
        <w:t xml:space="preserve"> realizuar në masën </w:t>
      </w:r>
      <w:r>
        <w:rPr>
          <w:lang w:val="sq-AL"/>
        </w:rPr>
        <w:t xml:space="preserve">rreth 55.5 </w:t>
      </w:r>
      <w:r w:rsidRPr="00014B13">
        <w:rPr>
          <w:lang w:val="sq-AL"/>
        </w:rPr>
        <w:t xml:space="preserve">përqind, ndërkohë që </w:t>
      </w:r>
      <w:r w:rsidRPr="00F94173">
        <w:rPr>
          <w:lang w:val="sq-AL"/>
        </w:rPr>
        <w:t xml:space="preserve">kundrejt të njëjtës periudhë të vitit 2016 shpenzimet për subvencione rezultojnë </w:t>
      </w:r>
      <w:r>
        <w:rPr>
          <w:lang w:val="sq-AL"/>
        </w:rPr>
        <w:t>15.5</w:t>
      </w:r>
      <w:r w:rsidRPr="00F94173">
        <w:rPr>
          <w:lang w:val="sq-AL"/>
        </w:rPr>
        <w:t xml:space="preserve"> përqind më të </w:t>
      </w:r>
      <w:r>
        <w:rPr>
          <w:lang w:val="sq-AL"/>
        </w:rPr>
        <w:t>larta</w:t>
      </w:r>
      <w:r w:rsidRPr="00F94173">
        <w:rPr>
          <w:lang w:val="sq-AL"/>
        </w:rPr>
        <w:t xml:space="preserve"> ose </w:t>
      </w:r>
      <w:r>
        <w:rPr>
          <w:lang w:val="sq-AL"/>
        </w:rPr>
        <w:t>174</w:t>
      </w:r>
      <w:r w:rsidRPr="00F94173">
        <w:rPr>
          <w:lang w:val="sq-AL"/>
        </w:rPr>
        <w:t xml:space="preserve"> milion </w:t>
      </w:r>
      <w:r w:rsidR="004A28C7" w:rsidRPr="004A28C7">
        <w:rPr>
          <w:lang w:val="sq-AL"/>
        </w:rPr>
        <w:t>lekë</w:t>
      </w:r>
      <w:r w:rsidRPr="00F94173">
        <w:rPr>
          <w:lang w:val="sq-AL"/>
        </w:rPr>
        <w:t xml:space="preserve"> më </w:t>
      </w:r>
      <w:r>
        <w:rPr>
          <w:lang w:val="sq-AL"/>
        </w:rPr>
        <w:t>shumë.</w:t>
      </w:r>
    </w:p>
    <w:p w:rsidR="006F4064" w:rsidRPr="00AE7116" w:rsidRDefault="006F4064" w:rsidP="006F4064">
      <w:pPr>
        <w:rPr>
          <w:i/>
          <w:sz w:val="12"/>
          <w:szCs w:val="12"/>
          <w:lang w:val="sq-AL"/>
        </w:rPr>
      </w:pPr>
    </w:p>
    <w:p w:rsidR="002371BA" w:rsidRDefault="002371BA" w:rsidP="006F4064">
      <w:pPr>
        <w:jc w:val="center"/>
        <w:rPr>
          <w:b/>
          <w:lang w:val="sq-AL"/>
        </w:rPr>
      </w:pPr>
    </w:p>
    <w:p w:rsidR="002371BA" w:rsidRDefault="002371BA" w:rsidP="006F4064">
      <w:pPr>
        <w:jc w:val="center"/>
        <w:rPr>
          <w:b/>
          <w:lang w:val="sq-AL"/>
        </w:rPr>
      </w:pPr>
    </w:p>
    <w:p w:rsidR="002371BA" w:rsidRDefault="002371BA" w:rsidP="006F4064">
      <w:pPr>
        <w:jc w:val="center"/>
        <w:rPr>
          <w:b/>
          <w:lang w:val="sq-AL"/>
        </w:rPr>
      </w:pPr>
    </w:p>
    <w:p w:rsidR="002371BA" w:rsidRDefault="002371BA" w:rsidP="006F4064">
      <w:pPr>
        <w:jc w:val="center"/>
        <w:rPr>
          <w:b/>
          <w:lang w:val="sq-AL"/>
        </w:rPr>
      </w:pPr>
    </w:p>
    <w:p w:rsidR="006F4064" w:rsidRPr="004A28C7" w:rsidRDefault="006F4064" w:rsidP="006F4064">
      <w:pPr>
        <w:jc w:val="center"/>
        <w:rPr>
          <w:lang w:val="sq-AL"/>
        </w:rPr>
      </w:pPr>
      <w:r w:rsidRPr="006F4064">
        <w:rPr>
          <w:b/>
          <w:lang w:val="sq-AL"/>
        </w:rPr>
        <w:t xml:space="preserve">Grafiku 25: </w:t>
      </w:r>
      <w:r w:rsidRPr="004A28C7">
        <w:rPr>
          <w:lang w:val="sq-AL"/>
        </w:rPr>
        <w:t xml:space="preserve">Shpenzimet për Subvencione dhe ritmi i rritjes së tyre (në miliardë </w:t>
      </w:r>
      <w:r w:rsidR="004A28C7" w:rsidRPr="004A28C7">
        <w:rPr>
          <w:lang w:val="sq-AL"/>
        </w:rPr>
        <w:t>lekë</w:t>
      </w:r>
      <w:r w:rsidRPr="004A28C7">
        <w:rPr>
          <w:lang w:val="sq-AL"/>
        </w:rPr>
        <w:t>)</w:t>
      </w:r>
    </w:p>
    <w:p w:rsidR="006F4064" w:rsidRDefault="006F4064" w:rsidP="002371BA">
      <w:pPr>
        <w:ind w:left="270"/>
        <w:jc w:val="center"/>
        <w:rPr>
          <w:i/>
          <w:lang w:val="sq-AL"/>
        </w:rPr>
      </w:pPr>
      <w:r>
        <w:rPr>
          <w:i/>
          <w:noProof/>
        </w:rPr>
        <w:drawing>
          <wp:inline distT="0" distB="0" distL="0" distR="0" wp14:anchorId="316B91E4" wp14:editId="06C89CC4">
            <wp:extent cx="5706499" cy="255196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922" cy="2563329"/>
                    </a:xfrm>
                    <a:prstGeom prst="rect">
                      <a:avLst/>
                    </a:prstGeom>
                    <a:noFill/>
                  </pic:spPr>
                </pic:pic>
              </a:graphicData>
            </a:graphic>
          </wp:inline>
        </w:drawing>
      </w:r>
    </w:p>
    <w:p w:rsidR="006F4064" w:rsidRPr="00014B13" w:rsidRDefault="006F4064" w:rsidP="006F4064">
      <w:pPr>
        <w:rPr>
          <w:i/>
          <w:sz w:val="16"/>
          <w:szCs w:val="16"/>
          <w:lang w:val="sq-AL"/>
        </w:rPr>
      </w:pPr>
      <w:r>
        <w:rPr>
          <w:i/>
          <w:sz w:val="20"/>
          <w:lang w:val="sq-AL"/>
        </w:rPr>
        <w:t xml:space="preserve">          </w:t>
      </w:r>
      <w:r>
        <w:rPr>
          <w:i/>
          <w:sz w:val="20"/>
          <w:lang w:val="sq-AL"/>
        </w:rPr>
        <w:tab/>
        <w:t xml:space="preserve"> </w:t>
      </w:r>
      <w:r>
        <w:rPr>
          <w:i/>
          <w:sz w:val="20"/>
          <w:lang w:val="sq-AL"/>
        </w:rPr>
        <w:tab/>
      </w:r>
      <w:r w:rsidRPr="004A28C7">
        <w:rPr>
          <w:b/>
          <w:i/>
          <w:sz w:val="20"/>
          <w:lang w:val="sq-AL"/>
        </w:rPr>
        <w:t>Burimi:</w:t>
      </w:r>
      <w:r>
        <w:rPr>
          <w:i/>
          <w:sz w:val="20"/>
          <w:lang w:val="sq-AL"/>
        </w:rPr>
        <w:t xml:space="preserve"> Ministria e Financave dhe Ekonomisë (2017)</w:t>
      </w:r>
    </w:p>
    <w:p w:rsidR="006F4064" w:rsidRPr="001F40A8" w:rsidRDefault="006F4064" w:rsidP="006F4064">
      <w:pPr>
        <w:spacing w:line="360" w:lineRule="auto"/>
        <w:ind w:firstLine="720"/>
        <w:jc w:val="both"/>
        <w:rPr>
          <w:i/>
          <w:sz w:val="12"/>
          <w:szCs w:val="16"/>
          <w:lang w:val="sq-AL"/>
        </w:rPr>
      </w:pPr>
    </w:p>
    <w:p w:rsidR="006F4064" w:rsidRDefault="006F4064" w:rsidP="006F4064">
      <w:pPr>
        <w:spacing w:line="360" w:lineRule="auto"/>
        <w:jc w:val="both"/>
        <w:rPr>
          <w:i/>
          <w:lang w:val="sq-AL"/>
        </w:rPr>
      </w:pPr>
      <w:r w:rsidRPr="00014B13">
        <w:rPr>
          <w:i/>
          <w:lang w:val="sq-AL"/>
        </w:rPr>
        <w:t>Shpenzimet për Fondet Speciale</w:t>
      </w:r>
      <w:r w:rsidRPr="00014B13">
        <w:rPr>
          <w:lang w:val="sq-AL"/>
        </w:rPr>
        <w:t xml:space="preserve"> </w:t>
      </w:r>
      <w:r>
        <w:rPr>
          <w:lang w:val="sq-AL"/>
        </w:rPr>
        <w:t>për 9 mujorin e vitit 2017 rezultuan në nivelin rreth 118.7 miliardë</w:t>
      </w:r>
      <w:r w:rsidRPr="00014B13">
        <w:rPr>
          <w:lang w:val="sq-AL"/>
        </w:rPr>
        <w:t xml:space="preserve"> </w:t>
      </w:r>
      <w:r w:rsidR="004A28C7" w:rsidRPr="004A28C7">
        <w:rPr>
          <w:lang w:val="sq-AL"/>
        </w:rPr>
        <w:t>lekë</w:t>
      </w:r>
      <w:r>
        <w:rPr>
          <w:lang w:val="sq-AL"/>
        </w:rPr>
        <w:t xml:space="preserve">, me një realizim prej rreth 99.2 </w:t>
      </w:r>
      <w:r w:rsidRPr="00014B13">
        <w:rPr>
          <w:lang w:val="sq-AL"/>
        </w:rPr>
        <w:t xml:space="preserve">përqind kundrejt planit të periudhës. Përkatësisht, shpenzimet për Sigurime Shoqërore </w:t>
      </w:r>
      <w:r>
        <w:rPr>
          <w:lang w:val="sq-AL"/>
        </w:rPr>
        <w:t xml:space="preserve">u realizuan në masën rreth 86.9 miliardë </w:t>
      </w:r>
      <w:r w:rsidR="004A28C7" w:rsidRPr="004A28C7">
        <w:rPr>
          <w:lang w:val="sq-AL"/>
        </w:rPr>
        <w:t>lekë</w:t>
      </w:r>
      <w:r>
        <w:rPr>
          <w:lang w:val="sq-AL"/>
        </w:rPr>
        <w:t xml:space="preserve"> dhe</w:t>
      </w:r>
      <w:r w:rsidRPr="00014B13">
        <w:rPr>
          <w:lang w:val="sq-AL"/>
        </w:rPr>
        <w:t xml:space="preserve"> </w:t>
      </w:r>
      <w:r>
        <w:rPr>
          <w:lang w:val="sq-AL"/>
        </w:rPr>
        <w:t xml:space="preserve">shpenzimet për sigurime shëndetësore në rreth 28.1 miliardë </w:t>
      </w:r>
      <w:r w:rsidR="004A28C7" w:rsidRPr="004A28C7">
        <w:rPr>
          <w:lang w:val="sq-AL"/>
        </w:rPr>
        <w:t>lekë</w:t>
      </w:r>
      <w:r w:rsidRPr="00014B13">
        <w:rPr>
          <w:lang w:val="sq-AL"/>
        </w:rPr>
        <w:t>. Kundrejt të njëjtës periudhë të vitit 201</w:t>
      </w:r>
      <w:r>
        <w:rPr>
          <w:lang w:val="sq-AL"/>
        </w:rPr>
        <w:t>6</w:t>
      </w:r>
      <w:r w:rsidRPr="00014B13">
        <w:rPr>
          <w:lang w:val="sq-AL"/>
        </w:rPr>
        <w:t xml:space="preserve">, shpenzimet për sigurime shoqërore janë rreth </w:t>
      </w:r>
      <w:r>
        <w:rPr>
          <w:lang w:val="sq-AL"/>
        </w:rPr>
        <w:t xml:space="preserve">5.16 miliardë </w:t>
      </w:r>
      <w:r w:rsidR="004A28C7" w:rsidRPr="004A28C7">
        <w:rPr>
          <w:lang w:val="sq-AL"/>
        </w:rPr>
        <w:t>lekë</w:t>
      </w:r>
      <w:r w:rsidRPr="00014B13">
        <w:rPr>
          <w:lang w:val="sq-AL"/>
        </w:rPr>
        <w:t xml:space="preserve"> më të larta</w:t>
      </w:r>
      <w:r>
        <w:rPr>
          <w:lang w:val="sq-AL"/>
        </w:rPr>
        <w:t>,</w:t>
      </w:r>
      <w:r w:rsidRPr="00014B13">
        <w:rPr>
          <w:lang w:val="sq-AL"/>
        </w:rPr>
        <w:t xml:space="preserve"> </w:t>
      </w:r>
      <w:r>
        <w:rPr>
          <w:lang w:val="sq-AL"/>
        </w:rPr>
        <w:t>ndërsa shpenzimet për sigurime shëndetësore</w:t>
      </w:r>
      <w:r w:rsidRPr="00014B13">
        <w:rPr>
          <w:lang w:val="sq-AL"/>
        </w:rPr>
        <w:t xml:space="preserve"> </w:t>
      </w:r>
      <w:r>
        <w:rPr>
          <w:lang w:val="sq-AL"/>
        </w:rPr>
        <w:t xml:space="preserve">janë rreth 3.06 miliardë </w:t>
      </w:r>
      <w:r w:rsidR="004A28C7" w:rsidRPr="004A28C7">
        <w:rPr>
          <w:lang w:val="sq-AL"/>
        </w:rPr>
        <w:t>lekë</w:t>
      </w:r>
      <w:r>
        <w:rPr>
          <w:lang w:val="sq-AL"/>
        </w:rPr>
        <w:t xml:space="preserve"> më shumë</w:t>
      </w:r>
      <w:r w:rsidRPr="00014B13">
        <w:rPr>
          <w:lang w:val="sq-AL"/>
        </w:rPr>
        <w:t>.</w:t>
      </w:r>
      <w:r>
        <w:rPr>
          <w:i/>
          <w:lang w:val="sq-AL"/>
        </w:rPr>
        <w:t xml:space="preserve"> </w:t>
      </w:r>
    </w:p>
    <w:p w:rsidR="006F4064" w:rsidRPr="006F4064" w:rsidRDefault="006F4064" w:rsidP="006F4064">
      <w:pPr>
        <w:jc w:val="center"/>
        <w:rPr>
          <w:b/>
          <w:lang w:val="sq-AL"/>
        </w:rPr>
      </w:pPr>
      <w:r w:rsidRPr="006F4064">
        <w:rPr>
          <w:b/>
          <w:lang w:val="sq-AL"/>
        </w:rPr>
        <w:t xml:space="preserve">Grafiku </w:t>
      </w:r>
      <w:r>
        <w:rPr>
          <w:b/>
          <w:lang w:val="sq-AL"/>
        </w:rPr>
        <w:t>26</w:t>
      </w:r>
      <w:r w:rsidRPr="006F4064">
        <w:rPr>
          <w:b/>
          <w:lang w:val="sq-AL"/>
        </w:rPr>
        <w:t xml:space="preserve">: </w:t>
      </w:r>
      <w:r w:rsidRPr="004A28C7">
        <w:rPr>
          <w:lang w:val="sq-AL"/>
        </w:rPr>
        <w:t>Shpenzimet për Sigurime Shoqërore dhe Shëndetësore (në miliardë</w:t>
      </w:r>
      <w:r w:rsidRPr="006F4064">
        <w:rPr>
          <w:b/>
          <w:lang w:val="sq-AL"/>
        </w:rPr>
        <w:t xml:space="preserve"> </w:t>
      </w:r>
      <w:r w:rsidR="004A28C7" w:rsidRPr="004A28C7">
        <w:rPr>
          <w:lang w:val="sq-AL"/>
        </w:rPr>
        <w:t>lekë</w:t>
      </w:r>
      <w:r w:rsidRPr="006F4064">
        <w:rPr>
          <w:b/>
          <w:lang w:val="sq-AL"/>
        </w:rPr>
        <w:t>)</w:t>
      </w:r>
    </w:p>
    <w:p w:rsidR="006F4064" w:rsidRDefault="006F4064" w:rsidP="006F4064">
      <w:pPr>
        <w:ind w:left="810"/>
        <w:jc w:val="center"/>
        <w:rPr>
          <w:i/>
          <w:lang w:val="sq-AL"/>
        </w:rPr>
      </w:pPr>
      <w:r>
        <w:rPr>
          <w:i/>
          <w:noProof/>
        </w:rPr>
        <w:drawing>
          <wp:inline distT="0" distB="0" distL="0" distR="0" wp14:anchorId="5932C2E0" wp14:editId="0B6AE3A5">
            <wp:extent cx="4773295" cy="2456597"/>
            <wp:effectExtent l="38100" t="38100" r="46355" b="584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5670" cy="2457819"/>
                    </a:xfrm>
                    <a:prstGeom prst="rect">
                      <a:avLst/>
                    </a:prstGeom>
                    <a:noFill/>
                    <a:effectLst>
                      <a:outerShdw blurRad="50800" dist="38100" dir="2700000" algn="tl" rotWithShape="0">
                        <a:prstClr val="black">
                          <a:alpha val="40000"/>
                        </a:prstClr>
                      </a:outerShdw>
                    </a:effectLst>
                  </pic:spPr>
                </pic:pic>
              </a:graphicData>
            </a:graphic>
          </wp:inline>
        </w:drawing>
      </w:r>
    </w:p>
    <w:p w:rsidR="006F4064" w:rsidRPr="00014B13" w:rsidRDefault="006F4064" w:rsidP="006F4064">
      <w:pPr>
        <w:rPr>
          <w:i/>
          <w:sz w:val="20"/>
          <w:lang w:val="sq-AL"/>
        </w:rPr>
      </w:pPr>
      <w:r>
        <w:rPr>
          <w:i/>
          <w:sz w:val="20"/>
          <w:lang w:val="sq-AL"/>
        </w:rPr>
        <w:t xml:space="preserve">                                </w:t>
      </w:r>
      <w:r w:rsidRPr="004A28C7">
        <w:rPr>
          <w:b/>
          <w:i/>
          <w:sz w:val="20"/>
          <w:lang w:val="sq-AL"/>
        </w:rPr>
        <w:t>Burimi:</w:t>
      </w:r>
      <w:r>
        <w:rPr>
          <w:i/>
          <w:sz w:val="20"/>
          <w:lang w:val="sq-AL"/>
        </w:rPr>
        <w:t xml:space="preserve"> Ministria e Financave dhe Ekonomisë (2017)</w:t>
      </w:r>
    </w:p>
    <w:p w:rsidR="006F4064" w:rsidRPr="001B46FE" w:rsidRDefault="006F4064" w:rsidP="006F4064">
      <w:pPr>
        <w:spacing w:line="360" w:lineRule="auto"/>
        <w:ind w:firstLine="720"/>
        <w:jc w:val="both"/>
        <w:rPr>
          <w:i/>
          <w:sz w:val="16"/>
          <w:szCs w:val="12"/>
          <w:lang w:val="sq-AL"/>
        </w:rPr>
      </w:pPr>
    </w:p>
    <w:p w:rsidR="006F4064" w:rsidRDefault="006F4064" w:rsidP="006F4064">
      <w:pPr>
        <w:spacing w:line="360" w:lineRule="auto"/>
        <w:jc w:val="both"/>
        <w:rPr>
          <w:lang w:val="sq-AL"/>
        </w:rPr>
      </w:pPr>
      <w:r w:rsidRPr="00014B13">
        <w:rPr>
          <w:i/>
          <w:lang w:val="sq-AL"/>
        </w:rPr>
        <w:t>Shpenzimet për Papunësinë</w:t>
      </w:r>
      <w:r w:rsidRPr="00014B13">
        <w:rPr>
          <w:lang w:val="sq-AL"/>
        </w:rPr>
        <w:t xml:space="preserve"> </w:t>
      </w:r>
      <w:r>
        <w:rPr>
          <w:lang w:val="sq-AL"/>
        </w:rPr>
        <w:t xml:space="preserve">për 9 mujorin 2017 </w:t>
      </w:r>
      <w:r w:rsidRPr="00014B13">
        <w:rPr>
          <w:lang w:val="sq-AL"/>
        </w:rPr>
        <w:t xml:space="preserve">janë realizuar në masën </w:t>
      </w:r>
      <w:r>
        <w:rPr>
          <w:lang w:val="sq-AL"/>
        </w:rPr>
        <w:t>rreth 81.9</w:t>
      </w:r>
      <w:r w:rsidRPr="00014B13">
        <w:rPr>
          <w:lang w:val="sq-AL"/>
        </w:rPr>
        <w:t xml:space="preserve"> përqind </w:t>
      </w:r>
      <w:r>
        <w:rPr>
          <w:lang w:val="sq-AL"/>
        </w:rPr>
        <w:t>e planit të periudhës ose 45.2</w:t>
      </w:r>
      <w:r w:rsidRPr="00014B13">
        <w:rPr>
          <w:lang w:val="sq-AL"/>
        </w:rPr>
        <w:t xml:space="preserve"> përqind </w:t>
      </w:r>
      <w:r>
        <w:rPr>
          <w:lang w:val="sq-AL"/>
        </w:rPr>
        <w:t>e</w:t>
      </w:r>
      <w:r w:rsidRPr="00014B13">
        <w:rPr>
          <w:lang w:val="sq-AL"/>
        </w:rPr>
        <w:t xml:space="preserve"> planit vjetor</w:t>
      </w:r>
      <w:r>
        <w:rPr>
          <w:lang w:val="sq-AL"/>
        </w:rPr>
        <w:t>, të ndryshuar</w:t>
      </w:r>
      <w:r w:rsidRPr="00014B13">
        <w:rPr>
          <w:lang w:val="sq-AL"/>
        </w:rPr>
        <w:t xml:space="preserve">. </w:t>
      </w:r>
      <w:r>
        <w:rPr>
          <w:lang w:val="sq-AL"/>
        </w:rPr>
        <w:t>Kundrejt të njëj</w:t>
      </w:r>
      <w:r w:rsidRPr="00014B13">
        <w:rPr>
          <w:lang w:val="sq-AL"/>
        </w:rPr>
        <w:t>tës periudhë të vitit 201</w:t>
      </w:r>
      <w:r>
        <w:rPr>
          <w:lang w:val="sq-AL"/>
        </w:rPr>
        <w:t>6</w:t>
      </w:r>
      <w:r w:rsidRPr="00014B13">
        <w:rPr>
          <w:lang w:val="sq-AL"/>
        </w:rPr>
        <w:t xml:space="preserve"> </w:t>
      </w:r>
      <w:r>
        <w:rPr>
          <w:lang w:val="sq-AL"/>
        </w:rPr>
        <w:t>shpenzimet për këtë zë</w:t>
      </w:r>
      <w:r w:rsidRPr="00014B13">
        <w:rPr>
          <w:lang w:val="sq-AL"/>
        </w:rPr>
        <w:t xml:space="preserve"> rezultojnë me një </w:t>
      </w:r>
      <w:r>
        <w:rPr>
          <w:lang w:val="sq-AL"/>
        </w:rPr>
        <w:t>ulje</w:t>
      </w:r>
      <w:r w:rsidRPr="00014B13">
        <w:rPr>
          <w:lang w:val="sq-AL"/>
        </w:rPr>
        <w:t xml:space="preserve"> në masën </w:t>
      </w:r>
      <w:r>
        <w:rPr>
          <w:lang w:val="sq-AL"/>
        </w:rPr>
        <w:t>rreth 49.1 përqind, ose 261 milion</w:t>
      </w:r>
      <w:r w:rsidRPr="00014B13">
        <w:rPr>
          <w:lang w:val="sq-AL"/>
        </w:rPr>
        <w:t xml:space="preserve"> </w:t>
      </w:r>
      <w:r w:rsidR="00A72B99" w:rsidRPr="00A72B99">
        <w:rPr>
          <w:lang w:val="sq-AL"/>
        </w:rPr>
        <w:t>lekë</w:t>
      </w:r>
      <w:r w:rsidRPr="00014B13">
        <w:rPr>
          <w:lang w:val="sq-AL"/>
        </w:rPr>
        <w:t xml:space="preserve"> në terma nominalë.</w:t>
      </w:r>
    </w:p>
    <w:p w:rsidR="006F4064" w:rsidRPr="001B46FE" w:rsidRDefault="006F4064" w:rsidP="006F4064">
      <w:pPr>
        <w:spacing w:line="360" w:lineRule="auto"/>
        <w:jc w:val="both"/>
        <w:rPr>
          <w:i/>
          <w:sz w:val="8"/>
          <w:szCs w:val="8"/>
          <w:lang w:val="sq-AL"/>
        </w:rPr>
      </w:pPr>
    </w:p>
    <w:p w:rsidR="006F4064" w:rsidRPr="00A32B38" w:rsidRDefault="006F4064" w:rsidP="006F4064">
      <w:pPr>
        <w:spacing w:line="360" w:lineRule="auto"/>
        <w:jc w:val="both"/>
        <w:rPr>
          <w:lang w:val="sq-AL"/>
        </w:rPr>
      </w:pPr>
      <w:r w:rsidRPr="00014B13">
        <w:rPr>
          <w:i/>
          <w:lang w:val="sq-AL"/>
        </w:rPr>
        <w:lastRenderedPageBreak/>
        <w:t>Shpenzimet për Ndihmën Ekonomike</w:t>
      </w:r>
      <w:r>
        <w:rPr>
          <w:i/>
          <w:lang w:val="sq-AL"/>
        </w:rPr>
        <w:t xml:space="preserve"> dhe Pagesën e Paaftësisë</w:t>
      </w:r>
      <w:r w:rsidRPr="00014B13">
        <w:rPr>
          <w:lang w:val="sq-AL"/>
        </w:rPr>
        <w:t xml:space="preserve"> </w:t>
      </w:r>
      <w:r>
        <w:rPr>
          <w:lang w:val="sq-AL"/>
        </w:rPr>
        <w:t xml:space="preserve">(PAK) në 9 mujorin </w:t>
      </w:r>
      <w:r w:rsidRPr="00DD00E8">
        <w:rPr>
          <w:lang w:val="sq-AL"/>
        </w:rPr>
        <w:t>201</w:t>
      </w:r>
      <w:r>
        <w:rPr>
          <w:lang w:val="sq-AL"/>
        </w:rPr>
        <w:t xml:space="preserve">7 u realizuan në masën rreth 98.1 </w:t>
      </w:r>
      <w:r w:rsidRPr="00014B13">
        <w:rPr>
          <w:lang w:val="sq-AL"/>
        </w:rPr>
        <w:t xml:space="preserve">përqind </w:t>
      </w:r>
      <w:r>
        <w:rPr>
          <w:lang w:val="sq-AL"/>
        </w:rPr>
        <w:t>ose 283</w:t>
      </w:r>
      <w:r w:rsidRPr="00014B13">
        <w:rPr>
          <w:lang w:val="sq-AL"/>
        </w:rPr>
        <w:t xml:space="preserve"> </w:t>
      </w:r>
      <w:r>
        <w:rPr>
          <w:lang w:val="sq-AL"/>
        </w:rPr>
        <w:t xml:space="preserve">milion </w:t>
      </w:r>
      <w:r w:rsidR="00A72B99" w:rsidRPr="004A28C7">
        <w:rPr>
          <w:lang w:val="sq-AL"/>
        </w:rPr>
        <w:t>lekë</w:t>
      </w:r>
      <w:r>
        <w:rPr>
          <w:lang w:val="sq-AL"/>
        </w:rPr>
        <w:t xml:space="preserve"> më pak</w:t>
      </w:r>
      <w:r w:rsidRPr="00014B13">
        <w:rPr>
          <w:lang w:val="sq-AL"/>
        </w:rPr>
        <w:t xml:space="preserve"> </w:t>
      </w:r>
      <w:r>
        <w:rPr>
          <w:lang w:val="sq-AL"/>
        </w:rPr>
        <w:t>kundrejt</w:t>
      </w:r>
      <w:r w:rsidRPr="00014B13">
        <w:rPr>
          <w:lang w:val="sq-AL"/>
        </w:rPr>
        <w:t xml:space="preserve"> planit të periudhës. </w:t>
      </w:r>
      <w:r>
        <w:rPr>
          <w:lang w:val="sq-AL"/>
        </w:rPr>
        <w:t xml:space="preserve">Në raport me </w:t>
      </w:r>
      <w:r w:rsidRPr="00DD00E8">
        <w:rPr>
          <w:lang w:val="sq-AL"/>
        </w:rPr>
        <w:t>plani</w:t>
      </w:r>
      <w:r>
        <w:rPr>
          <w:lang w:val="sq-AL"/>
        </w:rPr>
        <w:t>n</w:t>
      </w:r>
      <w:r w:rsidRPr="00DD00E8">
        <w:rPr>
          <w:lang w:val="sq-AL"/>
        </w:rPr>
        <w:t xml:space="preserve"> vjetor </w:t>
      </w:r>
      <w:r>
        <w:rPr>
          <w:lang w:val="sq-AL"/>
        </w:rPr>
        <w:t xml:space="preserve">ato janë realizuar </w:t>
      </w:r>
      <w:r w:rsidRPr="00014B13">
        <w:rPr>
          <w:lang w:val="sq-AL"/>
        </w:rPr>
        <w:t xml:space="preserve">në masën </w:t>
      </w:r>
      <w:r>
        <w:rPr>
          <w:lang w:val="sq-AL"/>
        </w:rPr>
        <w:t>71</w:t>
      </w:r>
      <w:r w:rsidRPr="00014B13">
        <w:rPr>
          <w:lang w:val="sq-AL"/>
        </w:rPr>
        <w:t xml:space="preserve"> përqind të tij. Kundrejt të një</w:t>
      </w:r>
      <w:r>
        <w:rPr>
          <w:lang w:val="sq-AL"/>
        </w:rPr>
        <w:t>j</w:t>
      </w:r>
      <w:r w:rsidRPr="00014B13">
        <w:rPr>
          <w:lang w:val="sq-AL"/>
        </w:rPr>
        <w:t>tës periudhë të vitit 201</w:t>
      </w:r>
      <w:r>
        <w:rPr>
          <w:lang w:val="sq-AL"/>
        </w:rPr>
        <w:t>6</w:t>
      </w:r>
      <w:r w:rsidRPr="00014B13">
        <w:rPr>
          <w:lang w:val="sq-AL"/>
        </w:rPr>
        <w:t xml:space="preserve"> </w:t>
      </w:r>
      <w:r>
        <w:rPr>
          <w:lang w:val="sq-AL"/>
        </w:rPr>
        <w:t>shpenzimet për këtë zë</w:t>
      </w:r>
      <w:r w:rsidRPr="00014B13">
        <w:rPr>
          <w:lang w:val="sq-AL"/>
        </w:rPr>
        <w:t xml:space="preserve"> rezultojnë me një rritje në masën</w:t>
      </w:r>
      <w:r>
        <w:rPr>
          <w:lang w:val="sq-AL"/>
        </w:rPr>
        <w:t xml:space="preserve"> rreth</w:t>
      </w:r>
      <w:r w:rsidRPr="00014B13">
        <w:rPr>
          <w:lang w:val="sq-AL"/>
        </w:rPr>
        <w:t xml:space="preserve"> </w:t>
      </w:r>
      <w:r>
        <w:rPr>
          <w:lang w:val="sq-AL"/>
        </w:rPr>
        <w:t>11.5 përqind ose 1.5 miliardë</w:t>
      </w:r>
      <w:r w:rsidRPr="00014B13">
        <w:rPr>
          <w:lang w:val="sq-AL"/>
        </w:rPr>
        <w:t xml:space="preserve"> </w:t>
      </w:r>
      <w:r w:rsidR="00A72B99" w:rsidRPr="00A72B99">
        <w:rPr>
          <w:lang w:val="sq-AL"/>
        </w:rPr>
        <w:t>lekë</w:t>
      </w:r>
      <w:r w:rsidRPr="00014B13">
        <w:rPr>
          <w:lang w:val="sq-AL"/>
        </w:rPr>
        <w:t xml:space="preserve"> </w:t>
      </w:r>
      <w:r>
        <w:rPr>
          <w:lang w:val="sq-AL"/>
        </w:rPr>
        <w:t xml:space="preserve">më shumë </w:t>
      </w:r>
      <w:r w:rsidRPr="00014B13">
        <w:rPr>
          <w:lang w:val="sq-AL"/>
        </w:rPr>
        <w:t>në terma nominalë.</w:t>
      </w:r>
    </w:p>
    <w:p w:rsidR="006F4064" w:rsidRPr="006F4064" w:rsidRDefault="006F4064" w:rsidP="006F4064">
      <w:pPr>
        <w:jc w:val="center"/>
        <w:rPr>
          <w:b/>
          <w:lang w:val="sq-AL"/>
        </w:rPr>
      </w:pPr>
      <w:r w:rsidRPr="006F4064">
        <w:rPr>
          <w:b/>
          <w:lang w:val="sq-AL"/>
        </w:rPr>
        <w:t xml:space="preserve">Grafiku </w:t>
      </w:r>
      <w:r>
        <w:rPr>
          <w:b/>
          <w:lang w:val="sq-AL"/>
        </w:rPr>
        <w:t>27</w:t>
      </w:r>
      <w:r w:rsidRPr="006F4064">
        <w:rPr>
          <w:b/>
          <w:lang w:val="sq-AL"/>
        </w:rPr>
        <w:t xml:space="preserve">: </w:t>
      </w:r>
      <w:r w:rsidRPr="00A72B99">
        <w:rPr>
          <w:lang w:val="sq-AL"/>
        </w:rPr>
        <w:t xml:space="preserve">Shpenzimet për Ndihmën Ekonomike, PAK dhe Papunësinë (në miliardë </w:t>
      </w:r>
      <w:r w:rsidR="00A72B99" w:rsidRPr="004A28C7">
        <w:rPr>
          <w:lang w:val="sq-AL"/>
        </w:rPr>
        <w:t>lekë</w:t>
      </w:r>
      <w:r w:rsidRPr="00A72B99">
        <w:rPr>
          <w:lang w:val="sq-AL"/>
        </w:rPr>
        <w:t>)</w:t>
      </w:r>
    </w:p>
    <w:p w:rsidR="006F4064" w:rsidRDefault="006F4064" w:rsidP="006F4064">
      <w:pPr>
        <w:ind w:left="720"/>
        <w:jc w:val="center"/>
        <w:rPr>
          <w:i/>
          <w:lang w:val="sq-AL"/>
        </w:rPr>
      </w:pPr>
      <w:r>
        <w:rPr>
          <w:i/>
          <w:noProof/>
        </w:rPr>
        <w:drawing>
          <wp:inline distT="0" distB="0" distL="0" distR="0" wp14:anchorId="1EABE35F" wp14:editId="433E705B">
            <wp:extent cx="4838065" cy="2395182"/>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100" cy="2406091"/>
                    </a:xfrm>
                    <a:prstGeom prst="rect">
                      <a:avLst/>
                    </a:prstGeom>
                    <a:noFill/>
                  </pic:spPr>
                </pic:pic>
              </a:graphicData>
            </a:graphic>
          </wp:inline>
        </w:drawing>
      </w:r>
    </w:p>
    <w:p w:rsidR="006F4064" w:rsidRDefault="006F4064" w:rsidP="006F4064">
      <w:pPr>
        <w:ind w:firstLine="720"/>
        <w:jc w:val="both"/>
        <w:rPr>
          <w:i/>
          <w:sz w:val="20"/>
          <w:lang w:val="sq-AL"/>
        </w:rPr>
      </w:pPr>
      <w:r>
        <w:rPr>
          <w:lang w:val="sq-AL"/>
        </w:rPr>
        <w:t xml:space="preserve"> </w:t>
      </w:r>
      <w:r>
        <w:rPr>
          <w:lang w:val="sq-AL"/>
        </w:rPr>
        <w:tab/>
      </w:r>
      <w:r>
        <w:rPr>
          <w:i/>
          <w:sz w:val="20"/>
          <w:lang w:val="sq-AL"/>
        </w:rPr>
        <w:t>Burimi: Ministria e Financave dhe Ekonomisë (2017)</w:t>
      </w:r>
    </w:p>
    <w:p w:rsidR="006F4064" w:rsidRPr="00D03020" w:rsidRDefault="006F4064" w:rsidP="006F4064">
      <w:pPr>
        <w:ind w:firstLine="720"/>
        <w:jc w:val="both"/>
        <w:rPr>
          <w:sz w:val="16"/>
          <w:lang w:val="sq-AL"/>
        </w:rPr>
      </w:pPr>
    </w:p>
    <w:p w:rsidR="006F4064" w:rsidRDefault="006F4064" w:rsidP="006F4064">
      <w:pPr>
        <w:spacing w:line="360" w:lineRule="auto"/>
        <w:jc w:val="both"/>
        <w:rPr>
          <w:lang w:val="sq-AL"/>
        </w:rPr>
      </w:pPr>
      <w:r w:rsidRPr="00014B13">
        <w:rPr>
          <w:i/>
          <w:lang w:val="sq-AL"/>
        </w:rPr>
        <w:t>Shpenzimet për Pushtetin Vendor</w:t>
      </w:r>
      <w:r w:rsidRPr="00014B13">
        <w:rPr>
          <w:lang w:val="sq-AL"/>
        </w:rPr>
        <w:t>, gjatë p</w:t>
      </w:r>
      <w:r>
        <w:rPr>
          <w:lang w:val="sq-AL"/>
        </w:rPr>
        <w:t>e</w:t>
      </w:r>
      <w:r w:rsidRPr="00014B13">
        <w:rPr>
          <w:lang w:val="sq-AL"/>
        </w:rPr>
        <w:t xml:space="preserve">riudhës </w:t>
      </w:r>
      <w:r>
        <w:rPr>
          <w:lang w:val="sq-AL"/>
        </w:rPr>
        <w:t>9 mujore kanë përbërë</w:t>
      </w:r>
      <w:r w:rsidRPr="00014B13">
        <w:rPr>
          <w:lang w:val="sq-AL"/>
        </w:rPr>
        <w:t xml:space="preserve"> </w:t>
      </w:r>
      <w:r>
        <w:rPr>
          <w:lang w:val="sq-AL"/>
        </w:rPr>
        <w:t>rreth 13.6 përqind të shpenzimeve korente</w:t>
      </w:r>
      <w:r w:rsidRPr="00014B13">
        <w:rPr>
          <w:lang w:val="sq-AL"/>
        </w:rPr>
        <w:t>. Kundrejt të një</w:t>
      </w:r>
      <w:r>
        <w:rPr>
          <w:lang w:val="sq-AL"/>
        </w:rPr>
        <w:t>j</w:t>
      </w:r>
      <w:r w:rsidRPr="00014B13">
        <w:rPr>
          <w:lang w:val="sq-AL"/>
        </w:rPr>
        <w:t>tës periudhë të vitit 201</w:t>
      </w:r>
      <w:r>
        <w:rPr>
          <w:lang w:val="sq-AL"/>
        </w:rPr>
        <w:t>6</w:t>
      </w:r>
      <w:r w:rsidRPr="00014B13">
        <w:rPr>
          <w:lang w:val="sq-AL"/>
        </w:rPr>
        <w:t xml:space="preserve"> ky nivel rezulton rreth </w:t>
      </w:r>
      <w:r>
        <w:rPr>
          <w:lang w:val="sq-AL"/>
        </w:rPr>
        <w:t>11.75 miliardë më i lartë ose</w:t>
      </w:r>
      <w:r w:rsidRPr="00014B13">
        <w:rPr>
          <w:lang w:val="sq-AL"/>
        </w:rPr>
        <w:t xml:space="preserve"> </w:t>
      </w:r>
      <w:r>
        <w:rPr>
          <w:lang w:val="sq-AL"/>
        </w:rPr>
        <w:t xml:space="preserve">45.1 </w:t>
      </w:r>
      <w:r w:rsidRPr="00014B13">
        <w:rPr>
          <w:lang w:val="sq-AL"/>
        </w:rPr>
        <w:t>përqind më shumë. Kjo rritje vjen në kuadër të përforcimit të rolit të njësive të reja/të riorganizuara të qeverisjes vendore.</w:t>
      </w:r>
    </w:p>
    <w:p w:rsidR="006F4064" w:rsidRPr="00AE7116" w:rsidRDefault="006F4064" w:rsidP="006F4064">
      <w:pPr>
        <w:spacing w:line="360" w:lineRule="auto"/>
        <w:jc w:val="both"/>
        <w:rPr>
          <w:sz w:val="6"/>
          <w:lang w:val="sq-AL"/>
        </w:rPr>
      </w:pPr>
    </w:p>
    <w:p w:rsidR="006F4064" w:rsidRPr="006F4064" w:rsidRDefault="006F4064" w:rsidP="006F4064">
      <w:pPr>
        <w:spacing w:line="360" w:lineRule="auto"/>
        <w:jc w:val="center"/>
        <w:rPr>
          <w:b/>
          <w:lang w:val="sq-AL"/>
        </w:rPr>
      </w:pPr>
      <w:r w:rsidRPr="006F4064">
        <w:rPr>
          <w:b/>
          <w:lang w:val="sq-AL"/>
        </w:rPr>
        <w:t xml:space="preserve">Grafiku </w:t>
      </w:r>
      <w:r>
        <w:rPr>
          <w:b/>
          <w:lang w:val="sq-AL"/>
        </w:rPr>
        <w:t>28</w:t>
      </w:r>
      <w:r w:rsidRPr="006F4064">
        <w:rPr>
          <w:b/>
          <w:lang w:val="sq-AL"/>
        </w:rPr>
        <w:t xml:space="preserve">: </w:t>
      </w:r>
      <w:r w:rsidRPr="00A72B99">
        <w:rPr>
          <w:lang w:val="sq-AL"/>
        </w:rPr>
        <w:t xml:space="preserve">Shpenzimet e Pushtetit Vendor dhe ritmi i rritjes së tyre (në miliardë </w:t>
      </w:r>
      <w:r w:rsidR="00A72B99" w:rsidRPr="00A72B99">
        <w:rPr>
          <w:lang w:val="sq-AL"/>
        </w:rPr>
        <w:t>lekë</w:t>
      </w:r>
      <w:r w:rsidRPr="00A72B99">
        <w:rPr>
          <w:lang w:val="sq-AL"/>
        </w:rPr>
        <w:t>)</w:t>
      </w:r>
    </w:p>
    <w:p w:rsidR="006F4064" w:rsidRDefault="006F4064" w:rsidP="006F4064">
      <w:pPr>
        <w:spacing w:line="360" w:lineRule="auto"/>
        <w:ind w:left="720"/>
        <w:jc w:val="center"/>
        <w:rPr>
          <w:i/>
          <w:lang w:val="sq-AL"/>
        </w:rPr>
      </w:pPr>
      <w:r>
        <w:rPr>
          <w:i/>
          <w:noProof/>
        </w:rPr>
        <w:drawing>
          <wp:inline distT="0" distB="0" distL="0" distR="0" wp14:anchorId="4D69196A" wp14:editId="4892B673">
            <wp:extent cx="5033010" cy="198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0280" cy="1995871"/>
                    </a:xfrm>
                    <a:prstGeom prst="rect">
                      <a:avLst/>
                    </a:prstGeom>
                    <a:noFill/>
                  </pic:spPr>
                </pic:pic>
              </a:graphicData>
            </a:graphic>
          </wp:inline>
        </w:drawing>
      </w:r>
    </w:p>
    <w:p w:rsidR="00A72B99" w:rsidRDefault="006F4064" w:rsidP="00A72B99">
      <w:pPr>
        <w:ind w:left="720" w:firstLine="720"/>
        <w:rPr>
          <w:i/>
          <w:sz w:val="20"/>
          <w:lang w:val="sq-AL"/>
        </w:rPr>
      </w:pPr>
      <w:r>
        <w:rPr>
          <w:i/>
          <w:sz w:val="20"/>
          <w:lang w:val="sq-AL"/>
        </w:rPr>
        <w:t>Burimi: Ministria e</w:t>
      </w:r>
      <w:r w:rsidR="00A72B99">
        <w:rPr>
          <w:i/>
          <w:sz w:val="20"/>
          <w:lang w:val="sq-AL"/>
        </w:rPr>
        <w:t xml:space="preserve"> Financave dhe Ekonomisë (2017)</w:t>
      </w:r>
    </w:p>
    <w:p w:rsidR="00A72B99" w:rsidRPr="00A72B99" w:rsidRDefault="00A72B99" w:rsidP="00A72B99">
      <w:pPr>
        <w:ind w:left="720" w:firstLine="720"/>
        <w:rPr>
          <w:i/>
          <w:sz w:val="20"/>
          <w:lang w:val="sq-AL"/>
        </w:rPr>
      </w:pPr>
    </w:p>
    <w:p w:rsidR="006F4064" w:rsidRPr="00335AF9" w:rsidRDefault="006F4064" w:rsidP="006F4064">
      <w:pPr>
        <w:spacing w:line="360" w:lineRule="auto"/>
        <w:jc w:val="both"/>
        <w:rPr>
          <w:lang w:val="sq-AL"/>
        </w:rPr>
      </w:pPr>
      <w:r w:rsidRPr="00335AF9">
        <w:rPr>
          <w:b/>
          <w:lang w:val="sq-AL"/>
        </w:rPr>
        <w:t xml:space="preserve">Shpenzimet kapitale, </w:t>
      </w:r>
      <w:r w:rsidRPr="00335AF9">
        <w:rPr>
          <w:lang w:val="sq-AL"/>
        </w:rPr>
        <w:t>në vijim të analizës</w:t>
      </w:r>
      <w:r w:rsidRPr="00335AF9">
        <w:rPr>
          <w:b/>
          <w:lang w:val="sq-AL"/>
        </w:rPr>
        <w:t xml:space="preserve"> </w:t>
      </w:r>
      <w:r w:rsidRPr="00335AF9">
        <w:rPr>
          <w:lang w:val="sq-AL"/>
        </w:rPr>
        <w:t xml:space="preserve">së ecurisë së realizimit të investimeve </w:t>
      </w:r>
      <w:r>
        <w:rPr>
          <w:lang w:val="sq-AL"/>
        </w:rPr>
        <w:t>publike, për 9</w:t>
      </w:r>
      <w:r w:rsidRPr="00335AF9">
        <w:rPr>
          <w:lang w:val="sq-AL"/>
        </w:rPr>
        <w:t xml:space="preserve"> mujorin e parë të vitit 2017 është kon</w:t>
      </w:r>
      <w:r>
        <w:rPr>
          <w:lang w:val="sq-AL"/>
        </w:rPr>
        <w:t xml:space="preserve">statuar një realizim </w:t>
      </w:r>
      <w:r w:rsidRPr="00686FA0">
        <w:rPr>
          <w:lang w:val="sq-AL"/>
        </w:rPr>
        <w:t xml:space="preserve">në masën </w:t>
      </w:r>
      <w:r>
        <w:rPr>
          <w:lang w:val="sq-AL"/>
        </w:rPr>
        <w:t>rreth 39.7</w:t>
      </w:r>
      <w:r w:rsidRPr="00686FA0">
        <w:rPr>
          <w:lang w:val="sq-AL"/>
        </w:rPr>
        <w:t xml:space="preserve"> miliardë </w:t>
      </w:r>
      <w:r w:rsidR="00A72B99" w:rsidRPr="004A28C7">
        <w:rPr>
          <w:lang w:val="sq-AL"/>
        </w:rPr>
        <w:t>lekë</w:t>
      </w:r>
      <w:r w:rsidRPr="00686FA0">
        <w:rPr>
          <w:lang w:val="sq-AL"/>
        </w:rPr>
        <w:t xml:space="preserve"> ose </w:t>
      </w:r>
      <w:r>
        <w:rPr>
          <w:lang w:val="sq-AL"/>
        </w:rPr>
        <w:t>rreth 90.5</w:t>
      </w:r>
      <w:r w:rsidRPr="00686FA0">
        <w:rPr>
          <w:lang w:val="sq-AL"/>
        </w:rPr>
        <w:t xml:space="preserve"> përqind në raport me fondet e planifikuara për këtë periudhë. Respektivisht</w:t>
      </w:r>
      <w:r w:rsidRPr="00335AF9">
        <w:rPr>
          <w:lang w:val="sq-AL"/>
        </w:rPr>
        <w:t>, projektet e investimeve me financim të brendshëm kanë shënuar një realizim në masën</w:t>
      </w:r>
      <w:r>
        <w:rPr>
          <w:lang w:val="sq-AL"/>
        </w:rPr>
        <w:t xml:space="preserve"> rreth 25.1 miliardë</w:t>
      </w:r>
      <w:r w:rsidRPr="00335AF9">
        <w:rPr>
          <w:lang w:val="sq-AL"/>
        </w:rPr>
        <w:t xml:space="preserve"> </w:t>
      </w:r>
      <w:r w:rsidR="00A72B99" w:rsidRPr="004A28C7">
        <w:rPr>
          <w:lang w:val="sq-AL"/>
        </w:rPr>
        <w:t>lekë</w:t>
      </w:r>
      <w:r>
        <w:rPr>
          <w:lang w:val="sq-AL"/>
        </w:rPr>
        <w:t xml:space="preserve"> ose 90.65</w:t>
      </w:r>
      <w:r w:rsidRPr="00335AF9">
        <w:rPr>
          <w:lang w:val="sq-AL"/>
        </w:rPr>
        <w:t xml:space="preserve"> përqind të planit të periudhës, </w:t>
      </w:r>
      <w:r>
        <w:rPr>
          <w:lang w:val="sq-AL"/>
        </w:rPr>
        <w:t>i</w:t>
      </w:r>
      <w:r w:rsidRPr="00721594">
        <w:rPr>
          <w:lang w:val="sq-AL"/>
        </w:rPr>
        <w:t>nvestime</w:t>
      </w:r>
      <w:r>
        <w:rPr>
          <w:lang w:val="sq-AL"/>
        </w:rPr>
        <w:t>t</w:t>
      </w:r>
      <w:r w:rsidRPr="00721594">
        <w:rPr>
          <w:lang w:val="sq-AL"/>
        </w:rPr>
        <w:t xml:space="preserve"> nga t</w:t>
      </w:r>
      <w:r w:rsidRPr="00335AF9">
        <w:rPr>
          <w:lang w:val="sq-AL"/>
        </w:rPr>
        <w:t>ë</w:t>
      </w:r>
      <w:r w:rsidRPr="00721594">
        <w:rPr>
          <w:lang w:val="sq-AL"/>
        </w:rPr>
        <w:t xml:space="preserve"> ardhurat e Arsimit t</w:t>
      </w:r>
      <w:r w:rsidRPr="00335AF9">
        <w:rPr>
          <w:lang w:val="sq-AL"/>
        </w:rPr>
        <w:t>ë</w:t>
      </w:r>
      <w:r w:rsidRPr="00721594">
        <w:rPr>
          <w:lang w:val="sq-AL"/>
        </w:rPr>
        <w:t xml:space="preserve"> Lart</w:t>
      </w:r>
      <w:r w:rsidRPr="00335AF9">
        <w:rPr>
          <w:lang w:val="sq-AL"/>
        </w:rPr>
        <w:t>ë</w:t>
      </w:r>
      <w:r w:rsidRPr="00721594">
        <w:rPr>
          <w:lang w:val="sq-AL"/>
        </w:rPr>
        <w:t xml:space="preserve"> </w:t>
      </w:r>
      <w:r>
        <w:rPr>
          <w:lang w:val="sq-AL"/>
        </w:rPr>
        <w:t>shkojn</w:t>
      </w:r>
      <w:r w:rsidRPr="00335AF9">
        <w:rPr>
          <w:lang w:val="sq-AL"/>
        </w:rPr>
        <w:t>ë</w:t>
      </w:r>
      <w:r>
        <w:rPr>
          <w:lang w:val="sq-AL"/>
        </w:rPr>
        <w:t xml:space="preserve"> n</w:t>
      </w:r>
      <w:r w:rsidRPr="00335AF9">
        <w:rPr>
          <w:lang w:val="sq-AL"/>
        </w:rPr>
        <w:t>ë</w:t>
      </w:r>
      <w:r>
        <w:rPr>
          <w:lang w:val="sq-AL"/>
        </w:rPr>
        <w:t xml:space="preserve"> mas</w:t>
      </w:r>
      <w:r w:rsidRPr="00335AF9">
        <w:rPr>
          <w:lang w:val="sq-AL"/>
        </w:rPr>
        <w:t>ë</w:t>
      </w:r>
      <w:r>
        <w:rPr>
          <w:lang w:val="sq-AL"/>
        </w:rPr>
        <w:t>n 416 milion</w:t>
      </w:r>
      <w:r w:rsidRPr="00335AF9">
        <w:rPr>
          <w:lang w:val="sq-AL"/>
        </w:rPr>
        <w:t>ë</w:t>
      </w:r>
      <w:r>
        <w:rPr>
          <w:lang w:val="sq-AL"/>
        </w:rPr>
        <w:t xml:space="preserve"> lek</w:t>
      </w:r>
      <w:r w:rsidRPr="00335AF9">
        <w:rPr>
          <w:lang w:val="sq-AL"/>
        </w:rPr>
        <w:t>ë</w:t>
      </w:r>
      <w:r>
        <w:rPr>
          <w:lang w:val="sq-AL"/>
        </w:rPr>
        <w:t xml:space="preserve">, </w:t>
      </w:r>
      <w:r w:rsidRPr="00335AF9">
        <w:rPr>
          <w:lang w:val="sq-AL"/>
        </w:rPr>
        <w:t xml:space="preserve">ndërkohë që </w:t>
      </w:r>
      <w:r w:rsidRPr="00335AF9">
        <w:rPr>
          <w:lang w:val="sq-AL"/>
        </w:rPr>
        <w:lastRenderedPageBreak/>
        <w:t>ato me financim të huaj</w:t>
      </w:r>
      <w:r>
        <w:rPr>
          <w:lang w:val="sq-AL"/>
        </w:rPr>
        <w:t xml:space="preserve"> janë realizuar në masën rreth 14.2 miliardë</w:t>
      </w:r>
      <w:r w:rsidRPr="00335AF9">
        <w:rPr>
          <w:lang w:val="sq-AL"/>
        </w:rPr>
        <w:t xml:space="preserve"> </w:t>
      </w:r>
      <w:r w:rsidR="00A72B99" w:rsidRPr="004A28C7">
        <w:rPr>
          <w:lang w:val="sq-AL"/>
        </w:rPr>
        <w:t>lekë</w:t>
      </w:r>
      <w:r>
        <w:rPr>
          <w:lang w:val="sq-AL"/>
        </w:rPr>
        <w:t xml:space="preserve"> ose rreth 90.7</w:t>
      </w:r>
      <w:r w:rsidRPr="00CC38E9">
        <w:rPr>
          <w:lang w:val="sq-AL"/>
        </w:rPr>
        <w:t xml:space="preserve"> përqind të planit të periudhës.</w:t>
      </w:r>
      <w:r>
        <w:rPr>
          <w:lang w:val="sq-AL"/>
        </w:rPr>
        <w:t xml:space="preserve"> </w:t>
      </w:r>
    </w:p>
    <w:p w:rsidR="00A72B99" w:rsidRDefault="006F4064" w:rsidP="006F4064">
      <w:pPr>
        <w:spacing w:line="360" w:lineRule="auto"/>
        <w:jc w:val="both"/>
        <w:rPr>
          <w:rFonts w:ascii="Calibri" w:hAnsi="Calibri"/>
          <w:lang w:val="sq-AL"/>
        </w:rPr>
      </w:pPr>
      <w:r w:rsidRPr="002371BA">
        <w:rPr>
          <w:lang w:val="sq-AL"/>
        </w:rPr>
        <w:t>Krahasuar me planin vjetor</w:t>
      </w:r>
      <w:r>
        <w:rPr>
          <w:lang w:val="sq-AL"/>
        </w:rPr>
        <w:t>, për 9</w:t>
      </w:r>
      <w:r w:rsidRPr="002C3274">
        <w:rPr>
          <w:lang w:val="sq-AL"/>
        </w:rPr>
        <w:t xml:space="preserve"> mujorin e parë të vitit 2017 është konstatuar një realizim i përgjithshëm i</w:t>
      </w:r>
      <w:r>
        <w:rPr>
          <w:lang w:val="sq-AL"/>
        </w:rPr>
        <w:t xml:space="preserve"> investimeve publike në masën rreth 39.7 miliardë </w:t>
      </w:r>
      <w:r w:rsidR="00A72B99" w:rsidRPr="004A28C7">
        <w:rPr>
          <w:lang w:val="sq-AL"/>
        </w:rPr>
        <w:t>lekë</w:t>
      </w:r>
      <w:r>
        <w:rPr>
          <w:lang w:val="sq-AL"/>
        </w:rPr>
        <w:t xml:space="preserve"> ose rreth 53.6</w:t>
      </w:r>
      <w:r w:rsidRPr="002C3274">
        <w:rPr>
          <w:lang w:val="sq-AL"/>
        </w:rPr>
        <w:t xml:space="preserve"> përqind e tyre. </w:t>
      </w:r>
      <w:r w:rsidRPr="00283173">
        <w:rPr>
          <w:lang w:val="sq-AL"/>
        </w:rPr>
        <w:t>Financimi i brendsh</w:t>
      </w:r>
      <w:r w:rsidRPr="00E30C8D">
        <w:rPr>
          <w:lang w:val="sq-AL"/>
        </w:rPr>
        <w:t xml:space="preserve">ëm dhe financimi i huaj janë realizuar </w:t>
      </w:r>
      <w:r>
        <w:rPr>
          <w:lang w:val="sq-AL"/>
        </w:rPr>
        <w:t xml:space="preserve">respektivisht </w:t>
      </w:r>
      <w:r w:rsidRPr="00E30C8D">
        <w:rPr>
          <w:lang w:val="sq-AL"/>
        </w:rPr>
        <w:t>në masën</w:t>
      </w:r>
      <w:r>
        <w:rPr>
          <w:lang w:val="sq-AL"/>
        </w:rPr>
        <w:t xml:space="preserve"> rreth</w:t>
      </w:r>
      <w:r w:rsidRPr="00E30C8D">
        <w:rPr>
          <w:lang w:val="sq-AL"/>
        </w:rPr>
        <w:t xml:space="preserve"> </w:t>
      </w:r>
      <w:r>
        <w:rPr>
          <w:lang w:val="sq-AL"/>
        </w:rPr>
        <w:t>52.6</w:t>
      </w:r>
      <w:r w:rsidRPr="00E30C8D">
        <w:rPr>
          <w:lang w:val="sq-AL"/>
        </w:rPr>
        <w:t xml:space="preserve"> përqind </w:t>
      </w:r>
      <w:r>
        <w:rPr>
          <w:lang w:val="sq-AL"/>
        </w:rPr>
        <w:t xml:space="preserve">dhe rreth 55.9 </w:t>
      </w:r>
      <w:r w:rsidRPr="004608D5">
        <w:rPr>
          <w:lang w:val="sq-AL"/>
        </w:rPr>
        <w:t xml:space="preserve">përqind </w:t>
      </w:r>
      <w:r w:rsidRPr="00E30C8D">
        <w:rPr>
          <w:lang w:val="sq-AL"/>
        </w:rPr>
        <w:t>të planit vjetor</w:t>
      </w:r>
      <w:r w:rsidRPr="00E30C8D">
        <w:rPr>
          <w:rFonts w:ascii="Calibri" w:hAnsi="Calibri"/>
          <w:lang w:val="sq-AL"/>
        </w:rPr>
        <w:t>.</w:t>
      </w:r>
    </w:p>
    <w:p w:rsidR="006F4064" w:rsidRPr="002C3274" w:rsidRDefault="006F4064" w:rsidP="006F4064">
      <w:pPr>
        <w:rPr>
          <w:i/>
          <w:sz w:val="8"/>
          <w:szCs w:val="8"/>
          <w:lang w:val="sq-AL"/>
        </w:rPr>
      </w:pPr>
    </w:p>
    <w:p w:rsidR="006F4064" w:rsidRPr="00A72B99" w:rsidRDefault="006F4064" w:rsidP="006F4064">
      <w:pPr>
        <w:jc w:val="center"/>
        <w:rPr>
          <w:lang w:val="sq-AL"/>
        </w:rPr>
      </w:pPr>
      <w:r w:rsidRPr="006F4064">
        <w:rPr>
          <w:b/>
          <w:lang w:val="sq-AL"/>
        </w:rPr>
        <w:t xml:space="preserve">Grafiku 29: </w:t>
      </w:r>
      <w:r w:rsidRPr="00A72B99">
        <w:rPr>
          <w:lang w:val="sq-AL"/>
        </w:rPr>
        <w:t xml:space="preserve">Shpenzimet Kapitale dhe ritmi i rritjes së tyre (në miliardë </w:t>
      </w:r>
      <w:r w:rsidR="00A72B99" w:rsidRPr="00A72B99">
        <w:rPr>
          <w:lang w:val="sq-AL"/>
        </w:rPr>
        <w:t>lekë</w:t>
      </w:r>
      <w:r w:rsidRPr="00A72B99">
        <w:rPr>
          <w:lang w:val="sq-AL"/>
        </w:rPr>
        <w:t>)</w:t>
      </w:r>
    </w:p>
    <w:p w:rsidR="006F4064" w:rsidRPr="007445E9" w:rsidRDefault="006F4064" w:rsidP="006F4064">
      <w:pPr>
        <w:ind w:left="720"/>
        <w:jc w:val="center"/>
        <w:rPr>
          <w:i/>
          <w:lang w:val="sq-AL"/>
        </w:rPr>
      </w:pPr>
      <w:r>
        <w:rPr>
          <w:i/>
          <w:noProof/>
        </w:rPr>
        <w:drawing>
          <wp:inline distT="0" distB="0" distL="0" distR="0" wp14:anchorId="41A50FE3" wp14:editId="51817001">
            <wp:extent cx="4773295" cy="21399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3295" cy="2139950"/>
                    </a:xfrm>
                    <a:prstGeom prst="rect">
                      <a:avLst/>
                    </a:prstGeom>
                    <a:noFill/>
                  </pic:spPr>
                </pic:pic>
              </a:graphicData>
            </a:graphic>
          </wp:inline>
        </w:drawing>
      </w:r>
    </w:p>
    <w:p w:rsidR="006F4064" w:rsidRPr="00AE7116" w:rsidRDefault="006F4064" w:rsidP="006F4064">
      <w:pPr>
        <w:ind w:left="720" w:firstLine="720"/>
        <w:rPr>
          <w:i/>
          <w:lang w:val="sq-AL"/>
        </w:rPr>
      </w:pPr>
      <w:r>
        <w:rPr>
          <w:i/>
          <w:sz w:val="20"/>
          <w:lang w:val="sq-AL"/>
        </w:rPr>
        <w:t>Burimi: Ministria e Financave dhe Ekonomisë (2017)</w:t>
      </w:r>
      <w:r>
        <w:rPr>
          <w:i/>
          <w:lang w:val="sq-AL"/>
        </w:rPr>
        <w:t xml:space="preserve">          </w:t>
      </w:r>
    </w:p>
    <w:p w:rsidR="006F4064" w:rsidRPr="002C3274" w:rsidRDefault="006F4064" w:rsidP="006F4064">
      <w:pPr>
        <w:rPr>
          <w:i/>
          <w:sz w:val="8"/>
          <w:szCs w:val="8"/>
          <w:lang w:val="sq-AL"/>
        </w:rPr>
      </w:pPr>
    </w:p>
    <w:p w:rsidR="006F4064" w:rsidRDefault="006F4064" w:rsidP="006F4064">
      <w:pPr>
        <w:rPr>
          <w:i/>
          <w:lang w:val="sq-AL"/>
        </w:rPr>
      </w:pPr>
    </w:p>
    <w:p w:rsidR="006F4064" w:rsidRPr="006F4064" w:rsidRDefault="006F4064" w:rsidP="006F4064">
      <w:pPr>
        <w:jc w:val="center"/>
        <w:rPr>
          <w:b/>
          <w:lang w:val="sq-AL"/>
        </w:rPr>
      </w:pPr>
      <w:r w:rsidRPr="006F4064">
        <w:rPr>
          <w:b/>
          <w:lang w:val="sq-AL"/>
        </w:rPr>
        <w:t xml:space="preserve">Grafiku 30: </w:t>
      </w:r>
      <w:r w:rsidRPr="00A72B99">
        <w:rPr>
          <w:lang w:val="sq-AL"/>
        </w:rPr>
        <w:t xml:space="preserve">Shpenzimet Kapitale dhe burimi i financimit të tyre (në miliardë </w:t>
      </w:r>
      <w:r w:rsidR="00A72B99">
        <w:rPr>
          <w:lang w:val="sq-AL"/>
        </w:rPr>
        <w:t>lekë</w:t>
      </w:r>
      <w:r w:rsidRPr="00A72B99">
        <w:rPr>
          <w:lang w:val="sq-AL"/>
        </w:rPr>
        <w:t>)</w:t>
      </w:r>
    </w:p>
    <w:p w:rsidR="006F4064" w:rsidRDefault="006F4064" w:rsidP="002371BA">
      <w:pPr>
        <w:jc w:val="center"/>
        <w:rPr>
          <w:i/>
          <w:lang w:val="sq-AL"/>
        </w:rPr>
      </w:pPr>
      <w:r>
        <w:rPr>
          <w:i/>
          <w:noProof/>
        </w:rPr>
        <w:drawing>
          <wp:inline distT="0" distB="0" distL="0" distR="0" wp14:anchorId="08A7C489" wp14:editId="272B7A56">
            <wp:extent cx="5079615" cy="2565400"/>
            <wp:effectExtent l="0" t="0" r="698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2754" cy="2566985"/>
                    </a:xfrm>
                    <a:prstGeom prst="rect">
                      <a:avLst/>
                    </a:prstGeom>
                    <a:noFill/>
                  </pic:spPr>
                </pic:pic>
              </a:graphicData>
            </a:graphic>
          </wp:inline>
        </w:drawing>
      </w:r>
    </w:p>
    <w:p w:rsidR="00A72B99" w:rsidRDefault="006F4064" w:rsidP="00A72B99">
      <w:pPr>
        <w:rPr>
          <w:i/>
          <w:sz w:val="20"/>
          <w:lang w:val="sq-AL"/>
        </w:rPr>
      </w:pPr>
      <w:r>
        <w:rPr>
          <w:lang w:val="sq-AL"/>
        </w:rPr>
        <w:tab/>
      </w:r>
      <w:r>
        <w:rPr>
          <w:lang w:val="sq-AL"/>
        </w:rPr>
        <w:tab/>
      </w:r>
      <w:r w:rsidRPr="00A72B99">
        <w:rPr>
          <w:b/>
          <w:i/>
          <w:sz w:val="20"/>
          <w:lang w:val="sq-AL"/>
        </w:rPr>
        <w:t>Burimi:</w:t>
      </w:r>
      <w:r>
        <w:rPr>
          <w:i/>
          <w:sz w:val="20"/>
          <w:lang w:val="sq-AL"/>
        </w:rPr>
        <w:t xml:space="preserve"> Ministria e</w:t>
      </w:r>
      <w:r w:rsidR="00A72B99">
        <w:rPr>
          <w:i/>
          <w:sz w:val="20"/>
          <w:lang w:val="sq-AL"/>
        </w:rPr>
        <w:t xml:space="preserve"> Financave dhe Ekonomisë (2017)</w:t>
      </w:r>
    </w:p>
    <w:p w:rsidR="00A72B99" w:rsidRPr="00A72B99" w:rsidRDefault="00A72B99" w:rsidP="00A72B99">
      <w:pPr>
        <w:rPr>
          <w:i/>
          <w:sz w:val="20"/>
          <w:lang w:val="sq-AL"/>
        </w:rPr>
      </w:pPr>
    </w:p>
    <w:p w:rsidR="006F4064" w:rsidRDefault="006F4064" w:rsidP="00A72B99">
      <w:pPr>
        <w:spacing w:line="360" w:lineRule="auto"/>
        <w:jc w:val="both"/>
        <w:rPr>
          <w:lang w:val="sq-AL"/>
        </w:rPr>
      </w:pPr>
      <w:r w:rsidRPr="00014B13">
        <w:rPr>
          <w:lang w:val="sq-AL"/>
        </w:rPr>
        <w:t xml:space="preserve">Grafiku i mëposhtëm paraqet ndarjen e </w:t>
      </w:r>
      <w:r w:rsidRPr="00A72B99">
        <w:rPr>
          <w:lang w:val="sq-AL"/>
        </w:rPr>
        <w:t>shpenzimeve publike faktike</w:t>
      </w:r>
      <w:r w:rsidRPr="00014B13">
        <w:rPr>
          <w:lang w:val="sq-AL"/>
        </w:rPr>
        <w:t xml:space="preserve"> për </w:t>
      </w:r>
      <w:r>
        <w:rPr>
          <w:lang w:val="sq-AL"/>
        </w:rPr>
        <w:t>9</w:t>
      </w:r>
      <w:r w:rsidRPr="00014B13">
        <w:rPr>
          <w:lang w:val="sq-AL"/>
        </w:rPr>
        <w:t xml:space="preserve"> mujorin e </w:t>
      </w:r>
      <w:r>
        <w:rPr>
          <w:lang w:val="sq-AL"/>
        </w:rPr>
        <w:t xml:space="preserve">parë të </w:t>
      </w:r>
      <w:r w:rsidRPr="00014B13">
        <w:rPr>
          <w:lang w:val="sq-AL"/>
        </w:rPr>
        <w:t>vitit 201</w:t>
      </w:r>
      <w:r>
        <w:rPr>
          <w:lang w:val="sq-AL"/>
        </w:rPr>
        <w:t>7. Shpenzimet kor</w:t>
      </w:r>
      <w:r w:rsidRPr="00014B13">
        <w:rPr>
          <w:lang w:val="sq-AL"/>
        </w:rPr>
        <w:t xml:space="preserve">ente për këtë periudhë përbëjnë </w:t>
      </w:r>
      <w:r>
        <w:rPr>
          <w:lang w:val="sq-AL"/>
        </w:rPr>
        <w:t>pjesën</w:t>
      </w:r>
      <w:r w:rsidRPr="00014B13">
        <w:rPr>
          <w:lang w:val="sq-AL"/>
        </w:rPr>
        <w:t xml:space="preserve"> më të madhe të shpenzimeve totale faktike </w:t>
      </w:r>
      <w:r>
        <w:rPr>
          <w:lang w:val="sq-AL"/>
        </w:rPr>
        <w:t>me</w:t>
      </w:r>
      <w:r w:rsidRPr="00014B13">
        <w:rPr>
          <w:lang w:val="sq-AL"/>
        </w:rPr>
        <w:t xml:space="preserve"> </w:t>
      </w:r>
      <w:r>
        <w:rPr>
          <w:lang w:val="sq-AL"/>
        </w:rPr>
        <w:t xml:space="preserve">87.5 </w:t>
      </w:r>
      <w:r w:rsidRPr="00014B13">
        <w:rPr>
          <w:lang w:val="sq-AL"/>
        </w:rPr>
        <w:t>përqind, kurse shpenzimet kapitale përbëjnë</w:t>
      </w:r>
      <w:r>
        <w:rPr>
          <w:lang w:val="sq-AL"/>
        </w:rPr>
        <w:t xml:space="preserve"> 12.5</w:t>
      </w:r>
      <w:r w:rsidRPr="00014B13">
        <w:rPr>
          <w:lang w:val="sq-AL"/>
        </w:rPr>
        <w:t xml:space="preserve"> përqind.</w:t>
      </w:r>
    </w:p>
    <w:p w:rsidR="006F4064" w:rsidRPr="00AE7116" w:rsidRDefault="006F4064" w:rsidP="006F4064">
      <w:pPr>
        <w:rPr>
          <w:i/>
          <w:sz w:val="12"/>
          <w:szCs w:val="12"/>
          <w:lang w:val="sq-AL"/>
        </w:rPr>
      </w:pPr>
    </w:p>
    <w:p w:rsidR="002371BA" w:rsidRDefault="002371BA" w:rsidP="006F4064">
      <w:pPr>
        <w:jc w:val="center"/>
        <w:rPr>
          <w:b/>
          <w:lang w:val="sq-AL"/>
        </w:rPr>
      </w:pPr>
    </w:p>
    <w:p w:rsidR="002371BA" w:rsidRDefault="002371BA" w:rsidP="006F4064">
      <w:pPr>
        <w:jc w:val="center"/>
        <w:rPr>
          <w:b/>
          <w:lang w:val="sq-AL"/>
        </w:rPr>
      </w:pPr>
    </w:p>
    <w:p w:rsidR="002371BA" w:rsidRDefault="002371BA" w:rsidP="006F4064">
      <w:pPr>
        <w:jc w:val="center"/>
        <w:rPr>
          <w:b/>
          <w:lang w:val="sq-AL"/>
        </w:rPr>
      </w:pPr>
    </w:p>
    <w:p w:rsidR="002371BA" w:rsidRDefault="002371BA" w:rsidP="006F4064">
      <w:pPr>
        <w:jc w:val="center"/>
        <w:rPr>
          <w:b/>
          <w:lang w:val="sq-AL"/>
        </w:rPr>
      </w:pPr>
    </w:p>
    <w:p w:rsidR="002371BA" w:rsidRDefault="002371BA" w:rsidP="006F4064">
      <w:pPr>
        <w:jc w:val="center"/>
        <w:rPr>
          <w:b/>
          <w:lang w:val="sq-AL"/>
        </w:rPr>
      </w:pPr>
    </w:p>
    <w:p w:rsidR="002371BA" w:rsidRDefault="002371BA" w:rsidP="006F4064">
      <w:pPr>
        <w:jc w:val="center"/>
        <w:rPr>
          <w:b/>
          <w:lang w:val="sq-AL"/>
        </w:rPr>
      </w:pPr>
    </w:p>
    <w:p w:rsidR="006F4064" w:rsidRPr="00A72B99" w:rsidRDefault="006F4064" w:rsidP="006F4064">
      <w:pPr>
        <w:jc w:val="center"/>
        <w:rPr>
          <w:lang w:val="sq-AL"/>
        </w:rPr>
      </w:pPr>
      <w:r w:rsidRPr="006F4064">
        <w:rPr>
          <w:b/>
          <w:lang w:val="sq-AL"/>
        </w:rPr>
        <w:lastRenderedPageBreak/>
        <w:t xml:space="preserve">Grafiku 31: </w:t>
      </w:r>
      <w:r w:rsidRPr="00A72B99">
        <w:rPr>
          <w:lang w:val="sq-AL"/>
        </w:rPr>
        <w:t xml:space="preserve">Detajimi i Shpenzimeve Buxhetore (në milion </w:t>
      </w:r>
      <w:r w:rsidR="00A72B99">
        <w:rPr>
          <w:lang w:val="sq-AL"/>
        </w:rPr>
        <w:t>lekë</w:t>
      </w:r>
      <w:r w:rsidRPr="00A72B99">
        <w:rPr>
          <w:lang w:val="sq-AL"/>
        </w:rPr>
        <w:t>)</w:t>
      </w:r>
    </w:p>
    <w:p w:rsidR="006F4064" w:rsidRPr="006F4064" w:rsidRDefault="006F4064" w:rsidP="006F4064">
      <w:pPr>
        <w:ind w:left="720"/>
        <w:jc w:val="center"/>
        <w:rPr>
          <w:b/>
          <w:lang w:val="sq-AL"/>
        </w:rPr>
      </w:pPr>
    </w:p>
    <w:p w:rsidR="006F4064" w:rsidRDefault="006F4064" w:rsidP="006F4064">
      <w:pPr>
        <w:ind w:left="720"/>
        <w:jc w:val="center"/>
        <w:rPr>
          <w:i/>
          <w:lang w:val="sq-AL"/>
        </w:rPr>
      </w:pPr>
      <w:r>
        <w:rPr>
          <w:i/>
          <w:noProof/>
        </w:rPr>
        <w:drawing>
          <wp:inline distT="0" distB="0" distL="0" distR="0" wp14:anchorId="4A01026B" wp14:editId="0739A45C">
            <wp:extent cx="5916214" cy="2872105"/>
            <wp:effectExtent l="0" t="0" r="889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167" cy="2880820"/>
                    </a:xfrm>
                    <a:prstGeom prst="rect">
                      <a:avLst/>
                    </a:prstGeom>
                    <a:noFill/>
                  </pic:spPr>
                </pic:pic>
              </a:graphicData>
            </a:graphic>
          </wp:inline>
        </w:drawing>
      </w:r>
    </w:p>
    <w:p w:rsidR="006F4064" w:rsidRDefault="006F4064" w:rsidP="006F4064">
      <w:pPr>
        <w:rPr>
          <w:i/>
          <w:sz w:val="20"/>
          <w:lang w:val="sq-AL"/>
        </w:rPr>
      </w:pPr>
      <w:r>
        <w:rPr>
          <w:i/>
          <w:lang w:val="sq-AL"/>
        </w:rPr>
        <w:t xml:space="preserve">              </w:t>
      </w:r>
      <w:r>
        <w:rPr>
          <w:i/>
          <w:sz w:val="20"/>
          <w:lang w:val="sq-AL"/>
        </w:rPr>
        <w:t>Burimi: Ministria e Financave dhe Ekonomisë (2017)</w:t>
      </w:r>
    </w:p>
    <w:p w:rsidR="006F4064" w:rsidRPr="00582CEB" w:rsidRDefault="006F4064" w:rsidP="006F4064">
      <w:pPr>
        <w:spacing w:line="360" w:lineRule="auto"/>
        <w:jc w:val="both"/>
        <w:rPr>
          <w:sz w:val="16"/>
          <w:szCs w:val="8"/>
          <w:lang w:val="sq-AL"/>
        </w:rPr>
      </w:pPr>
    </w:p>
    <w:p w:rsidR="00A72B99" w:rsidRPr="002371BA" w:rsidRDefault="006F4064" w:rsidP="002371BA">
      <w:pPr>
        <w:spacing w:line="360" w:lineRule="auto"/>
        <w:jc w:val="both"/>
        <w:rPr>
          <w:lang w:val="sq-AL"/>
        </w:rPr>
      </w:pPr>
      <w:r w:rsidRPr="00014B13">
        <w:rPr>
          <w:lang w:val="sq-AL"/>
        </w:rPr>
        <w:t xml:space="preserve">Sikurse evidentohet nga tabela e treguesve fiskal të konsoliduar, </w:t>
      </w:r>
      <w:r>
        <w:rPr>
          <w:lang w:val="sq-AL"/>
        </w:rPr>
        <w:t>r</w:t>
      </w:r>
      <w:r w:rsidRPr="00014B13">
        <w:rPr>
          <w:lang w:val="sq-AL"/>
        </w:rPr>
        <w:t xml:space="preserve">ealizimi i shpenzimeve të përgjithshme është </w:t>
      </w:r>
      <w:r>
        <w:rPr>
          <w:lang w:val="sq-AL"/>
        </w:rPr>
        <w:t xml:space="preserve">rreth </w:t>
      </w:r>
      <w:r>
        <w:t xml:space="preserve">320 </w:t>
      </w:r>
      <w:r>
        <w:rPr>
          <w:lang w:val="sq-AL"/>
        </w:rPr>
        <w:t xml:space="preserve">miliardë </w:t>
      </w:r>
      <w:r w:rsidR="00A72B99">
        <w:rPr>
          <w:lang w:val="sq-AL"/>
        </w:rPr>
        <w:t>lekë</w:t>
      </w:r>
      <w:r>
        <w:rPr>
          <w:lang w:val="sq-AL"/>
        </w:rPr>
        <w:t xml:space="preserve"> ose rreth 97.8</w:t>
      </w:r>
      <w:r w:rsidRPr="00283173">
        <w:rPr>
          <w:lang w:val="sq-AL"/>
        </w:rPr>
        <w:t xml:space="preserve"> përqind kundrejt planit të periudhës. Kjo situatë është shoqëruar me n</w:t>
      </w:r>
      <w:r>
        <w:rPr>
          <w:lang w:val="sq-AL"/>
        </w:rPr>
        <w:t>jë deficit buxhetor prej 462 milion</w:t>
      </w:r>
      <w:r w:rsidRPr="00283173">
        <w:rPr>
          <w:lang w:val="sq-AL"/>
        </w:rPr>
        <w:t xml:space="preserve"> </w:t>
      </w:r>
      <w:r w:rsidR="00A72B99">
        <w:rPr>
          <w:lang w:val="sq-AL"/>
        </w:rPr>
        <w:t>lekë</w:t>
      </w:r>
      <w:r w:rsidRPr="00283173">
        <w:rPr>
          <w:lang w:val="sq-AL"/>
        </w:rPr>
        <w:t xml:space="preserve">. Grafiku i mëposhtëm tregon tendencat pozitive të treguesve kryesorë të  buxhetit të shtetit. </w:t>
      </w:r>
    </w:p>
    <w:p w:rsidR="00A72B99" w:rsidRDefault="00A72B99" w:rsidP="006F4064">
      <w:pPr>
        <w:rPr>
          <w:b/>
          <w:lang w:val="sq-AL"/>
        </w:rPr>
      </w:pPr>
    </w:p>
    <w:p w:rsidR="006F4064" w:rsidRPr="006F4064" w:rsidRDefault="006F4064" w:rsidP="006F4064">
      <w:pPr>
        <w:rPr>
          <w:b/>
          <w:lang w:val="sq-AL"/>
        </w:rPr>
      </w:pPr>
      <w:r w:rsidRPr="006F4064">
        <w:rPr>
          <w:b/>
          <w:lang w:val="sq-AL"/>
        </w:rPr>
        <w:t xml:space="preserve"> Grafiku 32: </w:t>
      </w:r>
      <w:r w:rsidRPr="00A72B99">
        <w:rPr>
          <w:lang w:val="sq-AL"/>
        </w:rPr>
        <w:t xml:space="preserve">Të ardhurat, shpenzimet dhe deficiti/suficiti - Plan vs Fakt 2017 (në milion </w:t>
      </w:r>
      <w:r w:rsidR="00A72B99" w:rsidRPr="00A72B99">
        <w:rPr>
          <w:lang w:val="sq-AL"/>
        </w:rPr>
        <w:t>lekë</w:t>
      </w:r>
      <w:r w:rsidRPr="00A72B99">
        <w:rPr>
          <w:lang w:val="sq-AL"/>
        </w:rPr>
        <w:t>)</w:t>
      </w:r>
    </w:p>
    <w:p w:rsidR="006F4064" w:rsidRDefault="006F4064" w:rsidP="006F4064">
      <w:pPr>
        <w:rPr>
          <w:i/>
          <w:lang w:val="sq-AL"/>
        </w:rPr>
      </w:pPr>
      <w:r>
        <w:rPr>
          <w:i/>
          <w:noProof/>
        </w:rPr>
        <w:drawing>
          <wp:inline distT="0" distB="0" distL="0" distR="0" wp14:anchorId="15FAFDD8" wp14:editId="58E8FCBE">
            <wp:extent cx="5991225" cy="2920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2978" cy="2926350"/>
                    </a:xfrm>
                    <a:prstGeom prst="rect">
                      <a:avLst/>
                    </a:prstGeom>
                    <a:noFill/>
                  </pic:spPr>
                </pic:pic>
              </a:graphicData>
            </a:graphic>
          </wp:inline>
        </w:drawing>
      </w:r>
    </w:p>
    <w:p w:rsidR="006F4064" w:rsidRPr="007C0FF6" w:rsidRDefault="006F4064" w:rsidP="006F4064">
      <w:pPr>
        <w:rPr>
          <w:i/>
          <w:lang w:val="sq-AL"/>
        </w:rPr>
      </w:pPr>
      <w:r w:rsidRPr="00A72B99">
        <w:rPr>
          <w:b/>
          <w:i/>
          <w:sz w:val="20"/>
          <w:lang w:val="sq-AL"/>
        </w:rPr>
        <w:t>Burimi:</w:t>
      </w:r>
      <w:r>
        <w:rPr>
          <w:i/>
          <w:sz w:val="20"/>
          <w:lang w:val="sq-AL"/>
        </w:rPr>
        <w:t xml:space="preserve"> Ministria e Financave dhe Ekonomisë (2017)</w:t>
      </w:r>
      <w:r>
        <w:rPr>
          <w:i/>
          <w:sz w:val="22"/>
          <w:lang w:val="sq-AL"/>
        </w:rPr>
        <w:t xml:space="preserve"> </w:t>
      </w:r>
    </w:p>
    <w:p w:rsidR="00C47A2A" w:rsidRPr="008F324F" w:rsidRDefault="00C47A2A" w:rsidP="003C5B4B">
      <w:pPr>
        <w:spacing w:line="276" w:lineRule="auto"/>
        <w:rPr>
          <w:i/>
          <w:sz w:val="22"/>
          <w:lang w:val="sq-AL"/>
        </w:rPr>
      </w:pPr>
    </w:p>
    <w:p w:rsidR="002371BA" w:rsidRDefault="002371BA" w:rsidP="005E6980">
      <w:pPr>
        <w:spacing w:before="240" w:line="276" w:lineRule="auto"/>
        <w:jc w:val="both"/>
        <w:rPr>
          <w:b/>
          <w:iCs/>
          <w:caps/>
          <w:sz w:val="26"/>
          <w:szCs w:val="26"/>
          <w:lang w:val="sq-AL"/>
        </w:rPr>
      </w:pPr>
    </w:p>
    <w:p w:rsidR="002371BA" w:rsidRDefault="002371BA" w:rsidP="005E6980">
      <w:pPr>
        <w:spacing w:before="240" w:line="276" w:lineRule="auto"/>
        <w:jc w:val="both"/>
        <w:rPr>
          <w:b/>
          <w:iCs/>
          <w:caps/>
          <w:sz w:val="26"/>
          <w:szCs w:val="26"/>
          <w:lang w:val="sq-AL"/>
        </w:rPr>
      </w:pPr>
    </w:p>
    <w:p w:rsidR="002371BA" w:rsidRDefault="002371BA" w:rsidP="005E6980">
      <w:pPr>
        <w:spacing w:before="240" w:line="276" w:lineRule="auto"/>
        <w:jc w:val="both"/>
        <w:rPr>
          <w:b/>
          <w:iCs/>
          <w:caps/>
          <w:sz w:val="26"/>
          <w:szCs w:val="26"/>
          <w:lang w:val="sq-AL"/>
        </w:rPr>
      </w:pPr>
    </w:p>
    <w:p w:rsidR="005E6980" w:rsidRPr="005E6980" w:rsidRDefault="00B0121D" w:rsidP="005E6980">
      <w:pPr>
        <w:spacing w:before="240" w:line="276" w:lineRule="auto"/>
        <w:jc w:val="both"/>
        <w:rPr>
          <w:b/>
          <w:iCs/>
          <w:caps/>
          <w:sz w:val="26"/>
          <w:szCs w:val="26"/>
          <w:lang w:val="sq-AL"/>
        </w:rPr>
      </w:pPr>
      <w:r w:rsidRPr="00D94792">
        <w:rPr>
          <w:b/>
          <w:iCs/>
          <w:caps/>
          <w:sz w:val="26"/>
          <w:szCs w:val="26"/>
          <w:lang w:val="sq-AL"/>
        </w:rPr>
        <w:lastRenderedPageBreak/>
        <w:t>BUXHETI vendor</w:t>
      </w:r>
    </w:p>
    <w:p w:rsidR="00D3477C" w:rsidRPr="005E6980" w:rsidRDefault="00D3477C" w:rsidP="005E6980">
      <w:pPr>
        <w:spacing w:before="240" w:line="276" w:lineRule="auto"/>
        <w:jc w:val="both"/>
        <w:rPr>
          <w:b/>
          <w:iCs/>
          <w:caps/>
          <w:lang w:val="sq-AL"/>
        </w:rPr>
      </w:pPr>
      <w:r w:rsidRPr="005E6980">
        <w:rPr>
          <w:b/>
          <w:iCs/>
          <w:caps/>
          <w:lang w:val="sq-AL"/>
        </w:rPr>
        <w:t>Të ardhurat e Pushtetit Vendor</w:t>
      </w:r>
    </w:p>
    <w:p w:rsidR="005E6980" w:rsidRDefault="005E6980" w:rsidP="00D3477C">
      <w:pPr>
        <w:rPr>
          <w:rFonts w:eastAsia="Times New Roman"/>
        </w:rPr>
      </w:pPr>
    </w:p>
    <w:p w:rsidR="00D3477C" w:rsidRDefault="00D3477C" w:rsidP="00A66D0D">
      <w:pPr>
        <w:spacing w:line="276" w:lineRule="auto"/>
        <w:rPr>
          <w:rFonts w:eastAsia="Times New Roman"/>
        </w:rPr>
      </w:pPr>
      <w:r w:rsidRPr="00553A4F">
        <w:rPr>
          <w:rFonts w:eastAsia="Times New Roman"/>
        </w:rPr>
        <w:t xml:space="preserve">Për </w:t>
      </w:r>
      <w:r>
        <w:rPr>
          <w:rFonts w:eastAsia="Times New Roman"/>
        </w:rPr>
        <w:t>9</w:t>
      </w:r>
      <w:r w:rsidRPr="00553A4F">
        <w:rPr>
          <w:rFonts w:eastAsia="Times New Roman"/>
        </w:rPr>
        <w:t xml:space="preserve"> mujorin</w:t>
      </w:r>
      <w:r>
        <w:rPr>
          <w:rFonts w:eastAsia="Times New Roman"/>
        </w:rPr>
        <w:t xml:space="preserve"> e parë të </w:t>
      </w:r>
      <w:r w:rsidRPr="00553A4F">
        <w:rPr>
          <w:rFonts w:eastAsia="Times New Roman"/>
        </w:rPr>
        <w:t xml:space="preserve">vitit 2017, njësitë e vetëqeverisjes vendore në nivel kombëtar kanë mbledhur të ardhura (tatimore dhe jo-tatimore) në masën </w:t>
      </w:r>
      <w:r>
        <w:rPr>
          <w:rFonts w:eastAsia="Times New Roman"/>
        </w:rPr>
        <w:t>15.4</w:t>
      </w:r>
      <w:r w:rsidRPr="00553A4F">
        <w:rPr>
          <w:rFonts w:eastAsia="Times New Roman"/>
        </w:rPr>
        <w:t xml:space="preserve"> miliard lekë</w:t>
      </w:r>
      <w:r>
        <w:rPr>
          <w:rFonts w:eastAsia="Times New Roman"/>
        </w:rPr>
        <w:t xml:space="preserve"> dhe krahahsuar me njëjtën periudhë të një viti më parë janë 4</w:t>
      </w:r>
      <w:r w:rsidRPr="00553A4F">
        <w:rPr>
          <w:rFonts w:eastAsia="Times New Roman"/>
        </w:rPr>
        <w:t xml:space="preserve"> miliard lekë m</w:t>
      </w:r>
      <w:r>
        <w:rPr>
          <w:rFonts w:eastAsia="Times New Roman"/>
        </w:rPr>
        <w:t>ë</w:t>
      </w:r>
      <w:r w:rsidRPr="00553A4F">
        <w:rPr>
          <w:rFonts w:eastAsia="Times New Roman"/>
        </w:rPr>
        <w:t xml:space="preserve"> shum</w:t>
      </w:r>
      <w:r>
        <w:rPr>
          <w:rFonts w:eastAsia="Times New Roman"/>
        </w:rPr>
        <w:t>ë</w:t>
      </w:r>
      <w:r w:rsidRPr="00553A4F">
        <w:rPr>
          <w:rFonts w:eastAsia="Times New Roman"/>
        </w:rPr>
        <w:t xml:space="preserve"> ose </w:t>
      </w:r>
      <w:r>
        <w:rPr>
          <w:rFonts w:eastAsia="Times New Roman"/>
        </w:rPr>
        <w:t>33</w:t>
      </w:r>
      <w:r w:rsidRPr="00553A4F">
        <w:rPr>
          <w:rFonts w:eastAsia="Times New Roman"/>
        </w:rPr>
        <w:t xml:space="preserve"> për qind më e lartë. Në mënyrë krahasimore në tabelën e mëposhtme paraqiten nivelet e të ardhurave sipas taksave për të njëjtën periudhë </w:t>
      </w:r>
      <w:r>
        <w:rPr>
          <w:rFonts w:eastAsia="Times New Roman"/>
        </w:rPr>
        <w:t>për disa vite</w:t>
      </w:r>
      <w:r w:rsidRPr="00553A4F">
        <w:rPr>
          <w:rFonts w:eastAsia="Times New Roman"/>
        </w:rPr>
        <w:t>.</w:t>
      </w:r>
    </w:p>
    <w:p w:rsidR="00D3477C" w:rsidRPr="00553A4F" w:rsidRDefault="00D3477C" w:rsidP="00A66D0D">
      <w:pPr>
        <w:spacing w:line="276" w:lineRule="auto"/>
        <w:rPr>
          <w:rFonts w:eastAsia="Times New Roman"/>
        </w:rPr>
      </w:pPr>
    </w:p>
    <w:p w:rsidR="00D3477C" w:rsidRDefault="00D3477C" w:rsidP="00D3477C">
      <w:pPr>
        <w:rPr>
          <w:rFonts w:eastAsia="Times New Roman"/>
          <w:szCs w:val="20"/>
        </w:rPr>
      </w:pPr>
      <w:r w:rsidRPr="00553A4F">
        <w:rPr>
          <w:rFonts w:eastAsia="Times New Roman"/>
          <w:b/>
          <w:szCs w:val="20"/>
        </w:rPr>
        <w:t xml:space="preserve">Grafiku </w:t>
      </w:r>
      <w:r w:rsidR="00A72B99">
        <w:rPr>
          <w:rFonts w:eastAsia="Times New Roman"/>
          <w:b/>
          <w:szCs w:val="20"/>
        </w:rPr>
        <w:t>33</w:t>
      </w:r>
      <w:r w:rsidRPr="00553A4F">
        <w:rPr>
          <w:rFonts w:eastAsia="Times New Roman"/>
          <w:b/>
          <w:szCs w:val="20"/>
        </w:rPr>
        <w:t>:</w:t>
      </w:r>
      <w:r w:rsidRPr="00553A4F">
        <w:rPr>
          <w:rFonts w:eastAsia="Times New Roman"/>
          <w:szCs w:val="20"/>
        </w:rPr>
        <w:t xml:space="preserve"> Të ardhurat sipas burimit për njësitë vendore</w:t>
      </w:r>
    </w:p>
    <w:p w:rsidR="00D3477C" w:rsidRPr="00553A4F" w:rsidRDefault="00D3477C" w:rsidP="00D3477C">
      <w:pPr>
        <w:rPr>
          <w:rFonts w:eastAsia="Times New Roman"/>
          <w:szCs w:val="20"/>
        </w:rPr>
      </w:pPr>
      <w:r>
        <w:rPr>
          <w:rFonts w:eastAsia="Times New Roman"/>
          <w:noProof/>
          <w:szCs w:val="20"/>
        </w:rPr>
        <w:drawing>
          <wp:inline distT="0" distB="0" distL="0" distR="0" wp14:anchorId="34626288" wp14:editId="7B4D371A">
            <wp:extent cx="5721985" cy="1698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1985" cy="1698625"/>
                    </a:xfrm>
                    <a:prstGeom prst="rect">
                      <a:avLst/>
                    </a:prstGeom>
                    <a:noFill/>
                  </pic:spPr>
                </pic:pic>
              </a:graphicData>
            </a:graphic>
          </wp:inline>
        </w:drawing>
      </w:r>
    </w:p>
    <w:p w:rsidR="00D3477C" w:rsidRPr="00D3477C" w:rsidRDefault="00D3477C" w:rsidP="00D3477C">
      <w:pPr>
        <w:rPr>
          <w:i/>
          <w:noProof/>
          <w:sz w:val="20"/>
          <w:szCs w:val="20"/>
          <w:lang w:eastAsia="sq-AL"/>
        </w:rPr>
      </w:pPr>
      <w:r w:rsidRPr="00A72B99">
        <w:rPr>
          <w:b/>
          <w:i/>
          <w:noProof/>
          <w:sz w:val="20"/>
          <w:szCs w:val="20"/>
          <w:lang w:eastAsia="sq-AL"/>
        </w:rPr>
        <w:t>Burimi:</w:t>
      </w:r>
      <w:r w:rsidRPr="00D3477C">
        <w:rPr>
          <w:i/>
          <w:noProof/>
          <w:sz w:val="20"/>
          <w:szCs w:val="20"/>
          <w:lang w:eastAsia="sq-AL"/>
        </w:rPr>
        <w:t xml:space="preserve"> </w:t>
      </w:r>
      <w:r w:rsidRPr="00D3477C">
        <w:rPr>
          <w:rFonts w:eastAsia="Times New Roman"/>
          <w:i/>
          <w:sz w:val="20"/>
          <w:szCs w:val="20"/>
        </w:rPr>
        <w:t xml:space="preserve">Ministria e Financave </w:t>
      </w:r>
      <w:r>
        <w:rPr>
          <w:rFonts w:eastAsia="Times New Roman"/>
          <w:i/>
          <w:sz w:val="20"/>
          <w:szCs w:val="20"/>
        </w:rPr>
        <w:t>dhe Ekonomis</w:t>
      </w:r>
      <w:r w:rsidR="00A312EB">
        <w:rPr>
          <w:rFonts w:eastAsia="Times New Roman"/>
          <w:i/>
          <w:sz w:val="20"/>
          <w:szCs w:val="20"/>
        </w:rPr>
        <w:t>ë</w:t>
      </w:r>
      <w:r>
        <w:rPr>
          <w:rFonts w:eastAsia="Times New Roman"/>
          <w:i/>
          <w:sz w:val="20"/>
          <w:szCs w:val="20"/>
        </w:rPr>
        <w:t xml:space="preserve"> (2017)</w:t>
      </w:r>
    </w:p>
    <w:p w:rsidR="00D3477C" w:rsidRDefault="00D3477C" w:rsidP="00D3477C">
      <w:pPr>
        <w:rPr>
          <w:rFonts w:eastAsia="Times New Roman"/>
        </w:rPr>
      </w:pPr>
    </w:p>
    <w:p w:rsidR="00D3477C" w:rsidRPr="00553A4F" w:rsidRDefault="00D3477C" w:rsidP="005E648C">
      <w:pPr>
        <w:spacing w:line="276" w:lineRule="auto"/>
        <w:jc w:val="both"/>
        <w:rPr>
          <w:rFonts w:eastAsia="Times New Roman"/>
        </w:rPr>
      </w:pPr>
      <w:r>
        <w:rPr>
          <w:rFonts w:eastAsia="Times New Roman"/>
        </w:rPr>
        <w:t>T</w:t>
      </w:r>
      <w:r w:rsidRPr="00553A4F">
        <w:rPr>
          <w:rFonts w:eastAsia="Times New Roman"/>
        </w:rPr>
        <w:t xml:space="preserve">ë ardhurat e </w:t>
      </w:r>
      <w:r>
        <w:rPr>
          <w:rFonts w:eastAsia="Times New Roman"/>
        </w:rPr>
        <w:t xml:space="preserve">qeverisjes </w:t>
      </w:r>
      <w:r w:rsidRPr="00553A4F">
        <w:rPr>
          <w:rFonts w:eastAsia="Times New Roman"/>
        </w:rPr>
        <w:t>vendor</w:t>
      </w:r>
      <w:r>
        <w:rPr>
          <w:rFonts w:eastAsia="Times New Roman"/>
        </w:rPr>
        <w:t>e</w:t>
      </w:r>
      <w:r w:rsidRPr="00553A4F">
        <w:rPr>
          <w:rFonts w:eastAsia="Times New Roman"/>
        </w:rPr>
        <w:t xml:space="preserve"> </w:t>
      </w:r>
      <w:r>
        <w:rPr>
          <w:rFonts w:eastAsia="Times New Roman"/>
        </w:rPr>
        <w:t xml:space="preserve">ndër vite </w:t>
      </w:r>
      <w:r w:rsidRPr="00553A4F">
        <w:rPr>
          <w:rFonts w:eastAsia="Times New Roman"/>
        </w:rPr>
        <w:t>kanë pësu</w:t>
      </w:r>
      <w:r>
        <w:rPr>
          <w:rFonts w:eastAsia="Times New Roman"/>
        </w:rPr>
        <w:t xml:space="preserve">ar ndryshime si në vlerë ashtu </w:t>
      </w:r>
      <w:r w:rsidRPr="00553A4F">
        <w:rPr>
          <w:rFonts w:eastAsia="Times New Roman"/>
        </w:rPr>
        <w:t>dhe në struktur</w:t>
      </w:r>
      <w:r>
        <w:rPr>
          <w:rFonts w:eastAsia="Times New Roman"/>
        </w:rPr>
        <w:t>ë</w:t>
      </w:r>
      <w:r w:rsidRPr="00553A4F">
        <w:rPr>
          <w:rFonts w:eastAsia="Times New Roman"/>
        </w:rPr>
        <w:t xml:space="preserve">. </w:t>
      </w:r>
      <w:r>
        <w:rPr>
          <w:rFonts w:eastAsia="Times New Roman"/>
        </w:rPr>
        <w:t>T</w:t>
      </w:r>
      <w:r w:rsidRPr="00553A4F">
        <w:rPr>
          <w:rFonts w:eastAsia="Times New Roman"/>
        </w:rPr>
        <w:t xml:space="preserve">aksat lokale </w:t>
      </w:r>
      <w:r>
        <w:rPr>
          <w:rFonts w:eastAsia="Times New Roman"/>
        </w:rPr>
        <w:t>gjenerojnë</w:t>
      </w:r>
      <w:r w:rsidRPr="00553A4F">
        <w:rPr>
          <w:rFonts w:eastAsia="Times New Roman"/>
        </w:rPr>
        <w:t xml:space="preserve"> pjesën më të madhe </w:t>
      </w:r>
      <w:r>
        <w:rPr>
          <w:rFonts w:eastAsia="Times New Roman"/>
        </w:rPr>
        <w:t xml:space="preserve">të të ardhurave vendore </w:t>
      </w:r>
      <w:r w:rsidRPr="00553A4F">
        <w:rPr>
          <w:rFonts w:eastAsia="Times New Roman"/>
        </w:rPr>
        <w:t>me</w:t>
      </w:r>
      <w:r>
        <w:rPr>
          <w:rFonts w:eastAsia="Times New Roman"/>
        </w:rPr>
        <w:t xml:space="preserve"> rreth</w:t>
      </w:r>
      <w:r w:rsidRPr="00553A4F">
        <w:rPr>
          <w:rFonts w:eastAsia="Times New Roman"/>
        </w:rPr>
        <w:t xml:space="preserve"> </w:t>
      </w:r>
      <w:r>
        <w:rPr>
          <w:rFonts w:eastAsia="Times New Roman"/>
        </w:rPr>
        <w:t>72.3</w:t>
      </w:r>
      <w:r w:rsidRPr="00553A4F">
        <w:rPr>
          <w:rFonts w:eastAsia="Times New Roman"/>
        </w:rPr>
        <w:t xml:space="preserve"> % të </w:t>
      </w:r>
      <w:r>
        <w:rPr>
          <w:rFonts w:eastAsia="Times New Roman"/>
        </w:rPr>
        <w:t>vlerës</w:t>
      </w:r>
      <w:r w:rsidRPr="00553A4F">
        <w:rPr>
          <w:rFonts w:eastAsia="Times New Roman"/>
        </w:rPr>
        <w:t xml:space="preserve"> totale të tyrë. Kjo konfirmon edhe një herë që procesi i decentralizimit kryesisht</w:t>
      </w:r>
      <w:r>
        <w:rPr>
          <w:rFonts w:eastAsia="Times New Roman"/>
        </w:rPr>
        <w:t xml:space="preserve"> </w:t>
      </w:r>
      <w:r w:rsidRPr="00553A4F">
        <w:rPr>
          <w:rFonts w:eastAsia="Times New Roman"/>
        </w:rPr>
        <w:t xml:space="preserve">në vitin 2016 ka dhënë një efekt </w:t>
      </w:r>
      <w:r>
        <w:rPr>
          <w:rFonts w:eastAsia="Times New Roman"/>
        </w:rPr>
        <w:t xml:space="preserve">shumë pozitiv </w:t>
      </w:r>
      <w:r w:rsidRPr="00553A4F">
        <w:rPr>
          <w:rFonts w:eastAsia="Times New Roman"/>
        </w:rPr>
        <w:t>duke bërë që njësitë e vetëqeverisjes vendore të mbledhin më shumë</w:t>
      </w:r>
      <w:r>
        <w:rPr>
          <w:rFonts w:eastAsia="Times New Roman"/>
        </w:rPr>
        <w:t xml:space="preserve"> të ardhura</w:t>
      </w:r>
      <w:r w:rsidRPr="00553A4F">
        <w:rPr>
          <w:rFonts w:eastAsia="Times New Roman"/>
        </w:rPr>
        <w:t xml:space="preserve"> dhe sigurisht të ofrojnë më shumë shërbime </w:t>
      </w:r>
      <w:r>
        <w:rPr>
          <w:rFonts w:eastAsia="Times New Roman"/>
        </w:rPr>
        <w:t>dhe investime publike</w:t>
      </w:r>
      <w:r w:rsidRPr="00553A4F">
        <w:rPr>
          <w:rFonts w:eastAsia="Times New Roman"/>
        </w:rPr>
        <w:t xml:space="preserve">. Pas kësaj takse pjesën më të madhe të të ardhurave e zënë ato që </w:t>
      </w:r>
      <w:r>
        <w:rPr>
          <w:rFonts w:eastAsia="Times New Roman"/>
        </w:rPr>
        <w:t>vijnë</w:t>
      </w:r>
      <w:r w:rsidRPr="00553A4F">
        <w:rPr>
          <w:rFonts w:eastAsia="Times New Roman"/>
        </w:rPr>
        <w:t xml:space="preserve"> nga taksa mbi pasurinë, afërsisht rreth </w:t>
      </w:r>
      <w:r>
        <w:rPr>
          <w:rFonts w:eastAsia="Times New Roman"/>
        </w:rPr>
        <w:t>4</w:t>
      </w:r>
      <w:r w:rsidRPr="00553A4F">
        <w:rPr>
          <w:rFonts w:eastAsia="Times New Roman"/>
        </w:rPr>
        <w:t xml:space="preserve"> miliard lekë ose </w:t>
      </w:r>
      <w:r>
        <w:rPr>
          <w:rFonts w:eastAsia="Times New Roman"/>
        </w:rPr>
        <w:t>26</w:t>
      </w:r>
      <w:r w:rsidRPr="00553A4F">
        <w:rPr>
          <w:rFonts w:eastAsia="Times New Roman"/>
        </w:rPr>
        <w:t xml:space="preserve"> % të totalit të të ardhurave.</w:t>
      </w:r>
    </w:p>
    <w:p w:rsidR="00D3477C" w:rsidRDefault="00D3477C" w:rsidP="005E648C">
      <w:pPr>
        <w:spacing w:line="276" w:lineRule="auto"/>
        <w:jc w:val="both"/>
        <w:rPr>
          <w:rFonts w:eastAsia="Times New Roman"/>
        </w:rPr>
      </w:pPr>
    </w:p>
    <w:p w:rsidR="00D3477C" w:rsidRPr="005E648C" w:rsidRDefault="00D3477C" w:rsidP="005E648C">
      <w:pPr>
        <w:spacing w:line="276" w:lineRule="auto"/>
        <w:jc w:val="both"/>
        <w:rPr>
          <w:rFonts w:eastAsia="Times New Roman"/>
        </w:rPr>
      </w:pPr>
      <w:r w:rsidRPr="00553A4F">
        <w:rPr>
          <w:rFonts w:eastAsia="Times New Roman"/>
        </w:rPr>
        <w:t>Parë në këtë këndvështrim</w:t>
      </w:r>
      <w:r>
        <w:rPr>
          <w:rFonts w:eastAsia="Times New Roman"/>
        </w:rPr>
        <w:t>,</w:t>
      </w:r>
      <w:r w:rsidRPr="00553A4F">
        <w:rPr>
          <w:rFonts w:eastAsia="Times New Roman"/>
        </w:rPr>
        <w:t xml:space="preserve"> rritja e efektsh</w:t>
      </w:r>
      <w:r>
        <w:rPr>
          <w:rFonts w:eastAsia="Times New Roman"/>
        </w:rPr>
        <w:t>m</w:t>
      </w:r>
      <w:r w:rsidRPr="00553A4F">
        <w:rPr>
          <w:rFonts w:eastAsia="Times New Roman"/>
        </w:rPr>
        <w:t xml:space="preserve">ërisë së mbledhjes së taksave nga </w:t>
      </w:r>
      <w:r>
        <w:rPr>
          <w:rFonts w:eastAsia="Times New Roman"/>
        </w:rPr>
        <w:t>qeverisja vendore</w:t>
      </w:r>
      <w:r w:rsidRPr="00553A4F">
        <w:rPr>
          <w:rFonts w:eastAsia="Times New Roman"/>
        </w:rPr>
        <w:t xml:space="preserve"> bën</w:t>
      </w:r>
      <w:r>
        <w:rPr>
          <w:rFonts w:eastAsia="Times New Roman"/>
        </w:rPr>
        <w:t xml:space="preserve"> të mundur</w:t>
      </w:r>
      <w:r w:rsidRPr="00553A4F">
        <w:rPr>
          <w:rFonts w:eastAsia="Times New Roman"/>
        </w:rPr>
        <w:t xml:space="preserve"> që </w:t>
      </w:r>
      <w:r>
        <w:rPr>
          <w:rFonts w:eastAsia="Times New Roman"/>
        </w:rPr>
        <w:t>njësitë</w:t>
      </w:r>
      <w:r w:rsidRPr="00553A4F">
        <w:rPr>
          <w:rFonts w:eastAsia="Times New Roman"/>
        </w:rPr>
        <w:t xml:space="preserve"> të sigurojnë një nivel më të lartë decentralizimi dhe burimesh finanicare për të ofruar shërbime dhe investime më të mira</w:t>
      </w:r>
      <w:r>
        <w:rPr>
          <w:rFonts w:eastAsia="Times New Roman"/>
        </w:rPr>
        <w:t xml:space="preserve"> </w:t>
      </w:r>
      <w:r w:rsidRPr="00553A4F">
        <w:rPr>
          <w:rFonts w:eastAsia="Times New Roman"/>
        </w:rPr>
        <w:t xml:space="preserve">vendore. </w:t>
      </w:r>
      <w:r w:rsidRPr="00644821">
        <w:rPr>
          <w:rFonts w:eastAsia="Times New Roman"/>
        </w:rPr>
        <w:t>Nës</w:t>
      </w:r>
      <w:r>
        <w:rPr>
          <w:rFonts w:eastAsia="Times New Roman"/>
        </w:rPr>
        <w:t xml:space="preserve">e </w:t>
      </w:r>
      <w:r w:rsidRPr="00553A4F">
        <w:rPr>
          <w:rFonts w:eastAsia="Times New Roman"/>
        </w:rPr>
        <w:t xml:space="preserve">do ti referohemi zërave të të ardhurave në raport me </w:t>
      </w:r>
      <w:r>
        <w:rPr>
          <w:rFonts w:eastAsia="Times New Roman"/>
        </w:rPr>
        <w:t>9</w:t>
      </w:r>
      <w:r w:rsidRPr="00553A4F">
        <w:rPr>
          <w:rFonts w:eastAsia="Times New Roman"/>
        </w:rPr>
        <w:t xml:space="preserve"> mujorin e një viti më parë konstatojmë se rritjen më të madhe e ka zëri i të</w:t>
      </w:r>
      <w:r>
        <w:rPr>
          <w:rFonts w:eastAsia="Times New Roman"/>
        </w:rPr>
        <w:t xml:space="preserve"> ardhurave</w:t>
      </w:r>
      <w:r w:rsidRPr="00553A4F">
        <w:rPr>
          <w:rFonts w:eastAsia="Times New Roman"/>
        </w:rPr>
        <w:t xml:space="preserve"> nga Taksa Lokale i cili është rritur me rreth </w:t>
      </w:r>
      <w:r>
        <w:rPr>
          <w:rFonts w:eastAsia="Times New Roman"/>
        </w:rPr>
        <w:t>3.9</w:t>
      </w:r>
      <w:r w:rsidRPr="00553A4F">
        <w:rPr>
          <w:rFonts w:eastAsia="Times New Roman"/>
        </w:rPr>
        <w:t xml:space="preserve"> miliard lekë ose </w:t>
      </w:r>
      <w:r>
        <w:rPr>
          <w:rFonts w:eastAsia="Times New Roman"/>
        </w:rPr>
        <w:t>në shifër relative 53</w:t>
      </w:r>
      <w:r w:rsidRPr="00553A4F">
        <w:rPr>
          <w:rFonts w:eastAsia="Times New Roman"/>
        </w:rPr>
        <w:t xml:space="preserve">% më shumë. </w:t>
      </w:r>
      <w:r>
        <w:rPr>
          <w:rFonts w:eastAsia="Times New Roman"/>
        </w:rPr>
        <w:t xml:space="preserve">Në të ardhurat nga taksa e biznesit të vogël </w:t>
      </w:r>
      <w:r w:rsidRPr="00553A4F">
        <w:rPr>
          <w:rFonts w:eastAsia="Times New Roman"/>
        </w:rPr>
        <w:t>vihet re një rënie raport me të njëjtën periudhë të një viti më parë</w:t>
      </w:r>
      <w:r>
        <w:rPr>
          <w:rFonts w:eastAsia="Times New Roman"/>
        </w:rPr>
        <w:t>. Megjithatë, k</w:t>
      </w:r>
      <w:r w:rsidRPr="00553A4F">
        <w:rPr>
          <w:rFonts w:eastAsia="Times New Roman"/>
        </w:rPr>
        <w:t xml:space="preserve">jo taksë nuk ka peshë të lartë në të ardhurat vendore prandaj edhe efekti nga rënia nuk ka ndikim në ecurinë fiksale të pushtetit vendor për </w:t>
      </w:r>
      <w:r>
        <w:rPr>
          <w:rFonts w:eastAsia="Times New Roman"/>
        </w:rPr>
        <w:t>9</w:t>
      </w:r>
      <w:r w:rsidRPr="00553A4F">
        <w:rPr>
          <w:rFonts w:eastAsia="Times New Roman"/>
        </w:rPr>
        <w:t xml:space="preserve"> mujorin e</w:t>
      </w:r>
      <w:r>
        <w:rPr>
          <w:rFonts w:eastAsia="Times New Roman"/>
        </w:rPr>
        <w:t xml:space="preserve"> </w:t>
      </w:r>
      <w:r w:rsidRPr="00553A4F">
        <w:rPr>
          <w:rFonts w:eastAsia="Times New Roman"/>
        </w:rPr>
        <w:t xml:space="preserve">vitit 2017. Nga ana tjetër taksa mbi pasurinë në </w:t>
      </w:r>
      <w:r>
        <w:rPr>
          <w:rFonts w:eastAsia="Times New Roman"/>
        </w:rPr>
        <w:t>9</w:t>
      </w:r>
      <w:r w:rsidRPr="00553A4F">
        <w:rPr>
          <w:rFonts w:eastAsia="Times New Roman"/>
        </w:rPr>
        <w:t xml:space="preserve"> mujorin e 2017 ka patur një rritje në raport me nje vit më parë</w:t>
      </w:r>
      <w:r>
        <w:rPr>
          <w:rFonts w:eastAsia="Times New Roman"/>
        </w:rPr>
        <w:t>,</w:t>
      </w:r>
      <w:r w:rsidRPr="00553A4F">
        <w:rPr>
          <w:rFonts w:eastAsia="Times New Roman"/>
        </w:rPr>
        <w:t xml:space="preserve"> e cila mbetet në nivelet e 5% </w:t>
      </w:r>
      <w:r>
        <w:rPr>
          <w:rFonts w:eastAsia="Times New Roman"/>
        </w:rPr>
        <w:t xml:space="preserve"> </w:t>
      </w:r>
      <w:r w:rsidRPr="00553A4F">
        <w:rPr>
          <w:rFonts w:eastAsia="Times New Roman"/>
        </w:rPr>
        <w:t xml:space="preserve">më </w:t>
      </w:r>
      <w:r>
        <w:rPr>
          <w:rFonts w:eastAsia="Times New Roman"/>
        </w:rPr>
        <w:t xml:space="preserve">e lartë </w:t>
      </w:r>
      <w:r w:rsidRPr="00553A4F">
        <w:rPr>
          <w:rFonts w:eastAsia="Times New Roman"/>
        </w:rPr>
        <w:t xml:space="preserve">ose </w:t>
      </w:r>
      <w:r>
        <w:rPr>
          <w:rFonts w:eastAsia="Times New Roman"/>
        </w:rPr>
        <w:t xml:space="preserve">182 </w:t>
      </w:r>
      <w:r w:rsidRPr="00553A4F">
        <w:rPr>
          <w:rFonts w:eastAsia="Times New Roman"/>
        </w:rPr>
        <w:t>milion lekë më shumë</w:t>
      </w:r>
      <w:r>
        <w:rPr>
          <w:rFonts w:eastAsia="Times New Roman"/>
        </w:rPr>
        <w:t xml:space="preserve"> se e njëjta periudhë e një viti më parë</w:t>
      </w:r>
      <w:r w:rsidRPr="00553A4F">
        <w:rPr>
          <w:rFonts w:eastAsia="Times New Roman"/>
        </w:rPr>
        <w:t>.</w:t>
      </w:r>
    </w:p>
    <w:p w:rsidR="00D3477C" w:rsidRPr="0062563F" w:rsidRDefault="00D3477C" w:rsidP="00D3477C">
      <w:pPr>
        <w:rPr>
          <w:rFonts w:eastAsia="Times New Roman"/>
          <w:sz w:val="16"/>
          <w:szCs w:val="16"/>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2371BA" w:rsidRDefault="002371BA" w:rsidP="00D3477C">
      <w:pPr>
        <w:rPr>
          <w:rFonts w:eastAsia="Times New Roman"/>
          <w:b/>
          <w:szCs w:val="20"/>
        </w:rPr>
      </w:pPr>
    </w:p>
    <w:p w:rsidR="00D3477C" w:rsidRPr="00553A4F" w:rsidRDefault="00D3477C" w:rsidP="00D3477C">
      <w:pPr>
        <w:rPr>
          <w:rFonts w:eastAsia="Times New Roman"/>
          <w:szCs w:val="20"/>
        </w:rPr>
      </w:pPr>
      <w:r w:rsidRPr="00553A4F">
        <w:rPr>
          <w:rFonts w:eastAsia="Times New Roman"/>
          <w:b/>
          <w:szCs w:val="20"/>
        </w:rPr>
        <w:lastRenderedPageBreak/>
        <w:t xml:space="preserve">Grafiku </w:t>
      </w:r>
      <w:r w:rsidR="00A72B99">
        <w:rPr>
          <w:rFonts w:eastAsia="Times New Roman"/>
          <w:b/>
          <w:szCs w:val="20"/>
        </w:rPr>
        <w:t>34</w:t>
      </w:r>
      <w:r w:rsidRPr="00553A4F">
        <w:rPr>
          <w:rFonts w:eastAsia="Times New Roman"/>
          <w:b/>
          <w:szCs w:val="20"/>
        </w:rPr>
        <w:t>:</w:t>
      </w:r>
      <w:r w:rsidRPr="00553A4F">
        <w:rPr>
          <w:rFonts w:eastAsia="Times New Roman"/>
          <w:szCs w:val="20"/>
        </w:rPr>
        <w:t xml:space="preserve"> Të ardhurat totale nga pushteti vendor</w:t>
      </w:r>
    </w:p>
    <w:p w:rsidR="00D3477C" w:rsidRPr="00553A4F" w:rsidRDefault="00D3477C" w:rsidP="00D3477C">
      <w:pPr>
        <w:rPr>
          <w:rFonts w:eastAsia="Times New Roman"/>
        </w:rPr>
      </w:pPr>
      <w:r w:rsidRPr="00847F5D">
        <w:rPr>
          <w:noProof/>
        </w:rPr>
        <w:drawing>
          <wp:inline distT="0" distB="0" distL="0" distR="0" wp14:anchorId="5518A790" wp14:editId="5939FAFA">
            <wp:extent cx="5486400" cy="2009775"/>
            <wp:effectExtent l="0" t="0" r="0" b="9525"/>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E648C" w:rsidRDefault="005E648C" w:rsidP="00D3477C">
      <w:pPr>
        <w:rPr>
          <w:b/>
          <w:i/>
          <w:noProof/>
          <w:sz w:val="20"/>
          <w:szCs w:val="20"/>
          <w:lang w:eastAsia="sq-AL"/>
        </w:rPr>
      </w:pPr>
    </w:p>
    <w:p w:rsidR="00D3477C" w:rsidRPr="00D3477C" w:rsidRDefault="00D3477C" w:rsidP="00D3477C">
      <w:pPr>
        <w:rPr>
          <w:i/>
          <w:noProof/>
          <w:sz w:val="20"/>
          <w:szCs w:val="20"/>
          <w:lang w:eastAsia="sq-AL"/>
        </w:rPr>
      </w:pPr>
      <w:r w:rsidRPr="00A72B99">
        <w:rPr>
          <w:b/>
          <w:i/>
          <w:noProof/>
          <w:sz w:val="20"/>
          <w:szCs w:val="20"/>
          <w:lang w:eastAsia="sq-AL"/>
        </w:rPr>
        <w:t>Burimi:</w:t>
      </w:r>
      <w:r w:rsidRPr="00D3477C">
        <w:rPr>
          <w:i/>
          <w:noProof/>
          <w:sz w:val="20"/>
          <w:szCs w:val="20"/>
          <w:lang w:eastAsia="sq-AL"/>
        </w:rPr>
        <w:t xml:space="preserve"> </w:t>
      </w:r>
      <w:r>
        <w:rPr>
          <w:rFonts w:eastAsia="Times New Roman"/>
          <w:i/>
          <w:sz w:val="20"/>
          <w:szCs w:val="20"/>
        </w:rPr>
        <w:t>Ministria e Financave (2017)</w:t>
      </w:r>
    </w:p>
    <w:p w:rsidR="00D3477C" w:rsidRPr="0062563F" w:rsidRDefault="00D3477C" w:rsidP="005E648C">
      <w:pPr>
        <w:spacing w:line="276" w:lineRule="auto"/>
        <w:rPr>
          <w:rFonts w:eastAsia="Times New Roman"/>
          <w:sz w:val="16"/>
          <w:szCs w:val="16"/>
        </w:rPr>
      </w:pPr>
    </w:p>
    <w:p w:rsidR="00D3477C" w:rsidRDefault="00D3477C" w:rsidP="005E648C">
      <w:pPr>
        <w:spacing w:line="276" w:lineRule="auto"/>
        <w:rPr>
          <w:rFonts w:eastAsia="Times New Roman"/>
        </w:rPr>
      </w:pPr>
      <w:r w:rsidRPr="00553A4F">
        <w:rPr>
          <w:rFonts w:eastAsia="Times New Roman"/>
        </w:rPr>
        <w:t xml:space="preserve">Nga analiza </w:t>
      </w:r>
      <w:r>
        <w:rPr>
          <w:rFonts w:eastAsia="Times New Roman"/>
        </w:rPr>
        <w:t>9</w:t>
      </w:r>
      <w:r w:rsidRPr="00553A4F">
        <w:rPr>
          <w:rFonts w:eastAsia="Times New Roman"/>
        </w:rPr>
        <w:t xml:space="preserve"> mujore konstatohet që</w:t>
      </w:r>
      <w:r>
        <w:rPr>
          <w:rFonts w:eastAsia="Times New Roman"/>
        </w:rPr>
        <w:t>,</w:t>
      </w:r>
      <w:r w:rsidRPr="00553A4F">
        <w:rPr>
          <w:rFonts w:eastAsia="Times New Roman"/>
        </w:rPr>
        <w:t xml:space="preserve"> në tërësi </w:t>
      </w:r>
      <w:r>
        <w:rPr>
          <w:rFonts w:eastAsia="Times New Roman"/>
        </w:rPr>
        <w:t>qeverisja vendore</w:t>
      </w:r>
      <w:r w:rsidRPr="00553A4F">
        <w:rPr>
          <w:rFonts w:eastAsia="Times New Roman"/>
        </w:rPr>
        <w:t xml:space="preserve"> ka </w:t>
      </w:r>
      <w:r>
        <w:rPr>
          <w:rFonts w:eastAsia="Times New Roman"/>
        </w:rPr>
        <w:t>rritur peshën e të ardhurave të veta vendore në raport me të ardhurat në tërsi. Rritja e të ardhurave të veta lokale është tregues thelbësor i faktit që rritja e autonomisë dhe decentralizimit të tyre ka rritur përgjegjësinë dhe efektshëmërinë fiskale të njësive të vetëqeverisjes vendore.</w:t>
      </w:r>
    </w:p>
    <w:p w:rsidR="00A72B99" w:rsidRDefault="00A72B99" w:rsidP="00D3477C">
      <w:pPr>
        <w:rPr>
          <w:b/>
          <w:i/>
        </w:rPr>
      </w:pPr>
    </w:p>
    <w:p w:rsidR="00D3477C" w:rsidRPr="00D3477C" w:rsidRDefault="00D3477C" w:rsidP="00D3477C">
      <w:pPr>
        <w:rPr>
          <w:rFonts w:eastAsia="Times New Roman"/>
        </w:rPr>
      </w:pPr>
      <w:r w:rsidRPr="00644821">
        <w:rPr>
          <w:b/>
          <w:i/>
        </w:rPr>
        <w:t xml:space="preserve">Taksa </w:t>
      </w:r>
      <w:r w:rsidRPr="00644821">
        <w:rPr>
          <w:b/>
          <w:i/>
          <w:sz w:val="26"/>
        </w:rPr>
        <w:t>mbi</w:t>
      </w:r>
      <w:r w:rsidRPr="00644821">
        <w:rPr>
          <w:b/>
          <w:i/>
        </w:rPr>
        <w:t xml:space="preserve"> Pasurinë</w:t>
      </w:r>
    </w:p>
    <w:p w:rsidR="00D3477C" w:rsidRPr="0062563F" w:rsidRDefault="00D3477C" w:rsidP="00D3477C">
      <w:pPr>
        <w:rPr>
          <w:sz w:val="16"/>
          <w:szCs w:val="16"/>
        </w:rPr>
      </w:pPr>
    </w:p>
    <w:p w:rsidR="00D3477C" w:rsidRPr="00553A4F" w:rsidRDefault="00D3477C" w:rsidP="005E648C">
      <w:pPr>
        <w:spacing w:line="276" w:lineRule="auto"/>
        <w:jc w:val="both"/>
      </w:pPr>
      <w:r w:rsidRPr="00553A4F">
        <w:t>Të ardhurat nga taksa mbi pasurinë</w:t>
      </w:r>
      <w:r w:rsidRPr="00553A4F">
        <w:rPr>
          <w:b/>
        </w:rPr>
        <w:t xml:space="preserve"> </w:t>
      </w:r>
      <w:r w:rsidRPr="00553A4F">
        <w:t>përbëjnë</w:t>
      </w:r>
      <w:r w:rsidRPr="00553A4F">
        <w:rPr>
          <w:b/>
        </w:rPr>
        <w:t xml:space="preserve"> </w:t>
      </w:r>
      <w:r w:rsidRPr="00553A4F">
        <w:t xml:space="preserve">një pjesë të konsiderueshme të të ardhurave të pushtetit vendor. Për </w:t>
      </w:r>
      <w:r>
        <w:t xml:space="preserve">9 </w:t>
      </w:r>
      <w:r w:rsidRPr="00553A4F">
        <w:t>-</w:t>
      </w:r>
      <w:r>
        <w:t xml:space="preserve"> </w:t>
      </w:r>
      <w:r w:rsidRPr="00553A4F">
        <w:t>mujorin</w:t>
      </w:r>
      <w:r>
        <w:t xml:space="preserve"> e vitit</w:t>
      </w:r>
      <w:r w:rsidRPr="00553A4F">
        <w:t xml:space="preserve"> 2017 kjo taksë është mbledhur në vlerën </w:t>
      </w:r>
      <w:r>
        <w:t>4</w:t>
      </w:r>
      <w:r w:rsidRPr="00553A4F">
        <w:t xml:space="preserve"> miliardë lekë, ose rreth 1</w:t>
      </w:r>
      <w:r>
        <w:t>82</w:t>
      </w:r>
      <w:r w:rsidRPr="00553A4F">
        <w:t xml:space="preserve"> milion lekë më shumë se </w:t>
      </w:r>
      <w:r>
        <w:t xml:space="preserve">9 </w:t>
      </w:r>
      <w:r w:rsidRPr="00553A4F">
        <w:t>-</w:t>
      </w:r>
      <w:r>
        <w:t xml:space="preserve"> </w:t>
      </w:r>
      <w:r w:rsidRPr="00553A4F">
        <w:t xml:space="preserve">mujori </w:t>
      </w:r>
      <w:r>
        <w:t xml:space="preserve">i vitit </w:t>
      </w:r>
      <w:r w:rsidRPr="00553A4F">
        <w:t>2016. Parë në këndvështrimin e eficencës, mbledhja e kësaj takse është përmirësuar në raport me një vit më parë. Gjithashtu</w:t>
      </w:r>
      <w:r>
        <w:t>,</w:t>
      </w:r>
      <w:r w:rsidRPr="00553A4F">
        <w:t xml:space="preserve"> në kuadër të procesit të reformimit të</w:t>
      </w:r>
      <w:r>
        <w:t xml:space="preserve"> kësaj takse duke ndryshuar legjislacionin dhe ngritur </w:t>
      </w:r>
      <w:r w:rsidRPr="00553A4F">
        <w:t>kad</w:t>
      </w:r>
      <w:r>
        <w:t>astrën</w:t>
      </w:r>
      <w:r w:rsidRPr="00553A4F">
        <w:t xml:space="preserve"> fiskale </w:t>
      </w:r>
      <w:r>
        <w:t xml:space="preserve">nga </w:t>
      </w:r>
      <w:r w:rsidRPr="00553A4F">
        <w:t xml:space="preserve">kjo taksë pritet që në vitin 2018 të </w:t>
      </w:r>
      <w:r>
        <w:t xml:space="preserve">rriten të ardhurat me </w:t>
      </w:r>
      <w:r w:rsidRPr="00553A4F">
        <w:rPr>
          <w:bCs/>
        </w:rPr>
        <w:t xml:space="preserve">2.8 miliard lekë më shumë </w:t>
      </w:r>
      <w:r>
        <w:rPr>
          <w:bCs/>
        </w:rPr>
        <w:t xml:space="preserve">se sa </w:t>
      </w:r>
      <w:r w:rsidRPr="00553A4F">
        <w:rPr>
          <w:bCs/>
        </w:rPr>
        <w:t>në vitin 201</w:t>
      </w:r>
      <w:r>
        <w:rPr>
          <w:bCs/>
        </w:rPr>
        <w:t>7</w:t>
      </w:r>
      <w:r w:rsidRPr="00553A4F">
        <w:rPr>
          <w:bCs/>
        </w:rPr>
        <w:t xml:space="preserve"> duke u bërë kështu një zë </w:t>
      </w:r>
      <w:r>
        <w:rPr>
          <w:bCs/>
        </w:rPr>
        <w:t>të</w:t>
      </w:r>
      <w:r w:rsidRPr="00553A4F">
        <w:rPr>
          <w:bCs/>
        </w:rPr>
        <w:t xml:space="preserve"> rëndësishëm i të ardhurave të njësive </w:t>
      </w:r>
      <w:r>
        <w:rPr>
          <w:bCs/>
        </w:rPr>
        <w:t>të vetëqeverisjes vendore</w:t>
      </w:r>
      <w:r w:rsidRPr="00553A4F">
        <w:rPr>
          <w:bCs/>
        </w:rPr>
        <w:t>.</w:t>
      </w:r>
      <w:r w:rsidRPr="00553A4F">
        <w:t xml:space="preserve"> </w:t>
      </w:r>
    </w:p>
    <w:p w:rsidR="00D3477C" w:rsidRPr="0062563F" w:rsidRDefault="00D3477C" w:rsidP="00D3477C">
      <w:pPr>
        <w:ind w:left="90"/>
        <w:rPr>
          <w:b/>
          <w:sz w:val="16"/>
          <w:szCs w:val="16"/>
        </w:rPr>
      </w:pPr>
    </w:p>
    <w:p w:rsidR="00D3477C" w:rsidRPr="00553A4F" w:rsidRDefault="00D3477C" w:rsidP="005E648C">
      <w:pPr>
        <w:ind w:left="90"/>
        <w:jc w:val="center"/>
        <w:rPr>
          <w:szCs w:val="20"/>
        </w:rPr>
      </w:pPr>
      <w:r w:rsidRPr="00553A4F">
        <w:rPr>
          <w:b/>
          <w:szCs w:val="20"/>
        </w:rPr>
        <w:t xml:space="preserve">Grafiku </w:t>
      </w:r>
      <w:r w:rsidR="00A72B99">
        <w:rPr>
          <w:b/>
          <w:szCs w:val="20"/>
        </w:rPr>
        <w:t>35</w:t>
      </w:r>
      <w:r w:rsidRPr="00553A4F">
        <w:rPr>
          <w:b/>
          <w:szCs w:val="20"/>
        </w:rPr>
        <w:t>:</w:t>
      </w:r>
      <w:r w:rsidRPr="00553A4F">
        <w:rPr>
          <w:szCs w:val="20"/>
        </w:rPr>
        <w:t xml:space="preserve"> Të ardhurat nga taksa mbi pasurinë</w:t>
      </w:r>
    </w:p>
    <w:p w:rsidR="00D3477C" w:rsidRPr="00553A4F" w:rsidRDefault="00D3477C" w:rsidP="005E648C">
      <w:pPr>
        <w:jc w:val="center"/>
      </w:pPr>
      <w:r w:rsidRPr="00847F5D">
        <w:rPr>
          <w:noProof/>
        </w:rPr>
        <w:drawing>
          <wp:inline distT="0" distB="0" distL="0" distR="0" wp14:anchorId="2DE121D8" wp14:editId="205E35EB">
            <wp:extent cx="5436870" cy="2216785"/>
            <wp:effectExtent l="0" t="0" r="11430" b="12065"/>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477C" w:rsidRPr="00A72B99" w:rsidRDefault="00D3477C" w:rsidP="005E648C">
      <w:pPr>
        <w:jc w:val="center"/>
        <w:rPr>
          <w:rFonts w:eastAsia="Times New Roman"/>
          <w:i/>
          <w:sz w:val="20"/>
          <w:szCs w:val="20"/>
        </w:rPr>
      </w:pPr>
      <w:r w:rsidRPr="00A72B99">
        <w:rPr>
          <w:b/>
          <w:i/>
          <w:noProof/>
          <w:sz w:val="20"/>
          <w:szCs w:val="20"/>
          <w:lang w:eastAsia="sq-AL"/>
        </w:rPr>
        <w:t>Burimi:</w:t>
      </w:r>
      <w:r w:rsidRPr="00A72B99">
        <w:rPr>
          <w:i/>
          <w:noProof/>
          <w:sz w:val="20"/>
          <w:szCs w:val="20"/>
          <w:lang w:eastAsia="sq-AL"/>
        </w:rPr>
        <w:t xml:space="preserve"> </w:t>
      </w:r>
      <w:r w:rsidRPr="00A72B99">
        <w:rPr>
          <w:rFonts w:eastAsia="Times New Roman"/>
          <w:i/>
          <w:sz w:val="20"/>
          <w:szCs w:val="20"/>
        </w:rPr>
        <w:t>Drejtoria e Financave Vendor</w:t>
      </w:r>
      <w:r w:rsidR="00A72B99" w:rsidRPr="00A72B99">
        <w:rPr>
          <w:rFonts w:eastAsia="Times New Roman"/>
          <w:i/>
          <w:sz w:val="20"/>
          <w:szCs w:val="20"/>
        </w:rPr>
        <w:t>e, Ministria e Financave (2017)</w:t>
      </w:r>
    </w:p>
    <w:p w:rsidR="00D3477C" w:rsidRPr="00553A4F" w:rsidRDefault="00D3477C" w:rsidP="005E648C">
      <w:pPr>
        <w:jc w:val="center"/>
        <w:rPr>
          <w:noProof/>
          <w:szCs w:val="20"/>
          <w:lang w:eastAsia="sq-AL"/>
        </w:rPr>
      </w:pPr>
    </w:p>
    <w:p w:rsidR="00D3477C" w:rsidRDefault="00D3477C" w:rsidP="005E648C">
      <w:pPr>
        <w:rPr>
          <w:b/>
          <w:i/>
        </w:rPr>
      </w:pPr>
      <w:r w:rsidRPr="00005457">
        <w:rPr>
          <w:b/>
          <w:i/>
        </w:rPr>
        <w:t>Taksa e biznesit të vogël</w:t>
      </w:r>
    </w:p>
    <w:p w:rsidR="00D3477C" w:rsidRPr="009D443D" w:rsidRDefault="00D3477C" w:rsidP="00D3477C">
      <w:pPr>
        <w:rPr>
          <w:sz w:val="16"/>
          <w:szCs w:val="16"/>
        </w:rPr>
      </w:pPr>
    </w:p>
    <w:p w:rsidR="00D3477C" w:rsidRDefault="00D3477C" w:rsidP="005E648C">
      <w:pPr>
        <w:spacing w:line="276" w:lineRule="auto"/>
        <w:jc w:val="both"/>
      </w:pPr>
      <w:r w:rsidRPr="00553A4F">
        <w:t>Të ardhurat nga taksa mbi biznesin e vogël,</w:t>
      </w:r>
      <w:r w:rsidRPr="00553A4F">
        <w:rPr>
          <w:b/>
        </w:rPr>
        <w:t xml:space="preserve"> </w:t>
      </w:r>
      <w:r w:rsidRPr="00553A4F">
        <w:t xml:space="preserve">për </w:t>
      </w:r>
      <w:r>
        <w:t>9</w:t>
      </w:r>
      <w:r w:rsidRPr="00553A4F">
        <w:t xml:space="preserve"> mujorin e viti 2017 janë realizuar në masën </w:t>
      </w:r>
      <w:r>
        <w:t>262</w:t>
      </w:r>
      <w:r w:rsidRPr="00553A4F">
        <w:t xml:space="preserve"> milionë lekë,</w:t>
      </w:r>
      <w:r>
        <w:t xml:space="preserve"> shifër kjo që vjen</w:t>
      </w:r>
      <w:r w:rsidRPr="00553A4F">
        <w:t xml:space="preserve"> me një </w:t>
      </w:r>
      <w:r>
        <w:t xml:space="preserve">ulje </w:t>
      </w:r>
      <w:r w:rsidRPr="00553A4F">
        <w:t xml:space="preserve">krahasuar me të njëjtën periudhë të një viti më parë. Kjo </w:t>
      </w:r>
      <w:r>
        <w:t>ulje</w:t>
      </w:r>
      <w:r w:rsidRPr="00553A4F">
        <w:t xml:space="preserve"> vjen si rezultat i ndryshimeve të prezantuara në fundin e vitit 2015, ku subjektet me një xhiro nga 0-5 milionë lekë janë përjashtuar nga detyrimi tatimor ndërsa ato me xhiro 5-8 milionë kanë përfituar një reduktim me 2.5% </w:t>
      </w:r>
      <w:r w:rsidRPr="00553A4F">
        <w:lastRenderedPageBreak/>
        <w:t xml:space="preserve">të detyrimit, ndryshime të cilat kanë ndikuar pozitivisht në përmirësimin e klimës së biznesit. </w:t>
      </w:r>
      <w:r>
        <w:t>Megjithatë k</w:t>
      </w:r>
      <w:r w:rsidRPr="00553A4F">
        <w:t xml:space="preserve">ëto me ndryshime u shoqëruan </w:t>
      </w:r>
      <w:r>
        <w:t>me masa për</w:t>
      </w:r>
      <w:r w:rsidRPr="00553A4F">
        <w:t xml:space="preserve"> kompensimin e këtyre të ardhurave për </w:t>
      </w:r>
      <w:r>
        <w:t>qeverisjen</w:t>
      </w:r>
      <w:r w:rsidRPr="00553A4F">
        <w:t xml:space="preserve"> vendor</w:t>
      </w:r>
      <w:r>
        <w:t>e</w:t>
      </w:r>
      <w:r w:rsidRPr="00553A4F">
        <w:t xml:space="preserve">. </w:t>
      </w:r>
    </w:p>
    <w:p w:rsidR="00A72B99" w:rsidRDefault="00A72B99" w:rsidP="00D3477C">
      <w:pPr>
        <w:ind w:left="90"/>
        <w:rPr>
          <w:b/>
          <w:szCs w:val="20"/>
        </w:rPr>
      </w:pPr>
    </w:p>
    <w:p w:rsidR="00D3477C" w:rsidRPr="00553A4F" w:rsidRDefault="00D3477C" w:rsidP="005E648C">
      <w:pPr>
        <w:ind w:left="90"/>
        <w:jc w:val="center"/>
        <w:rPr>
          <w:szCs w:val="20"/>
        </w:rPr>
      </w:pPr>
      <w:r w:rsidRPr="00553A4F">
        <w:rPr>
          <w:b/>
          <w:szCs w:val="20"/>
        </w:rPr>
        <w:t xml:space="preserve">Grafiku </w:t>
      </w:r>
      <w:r w:rsidR="00A72B99">
        <w:rPr>
          <w:b/>
          <w:szCs w:val="20"/>
        </w:rPr>
        <w:t>36</w:t>
      </w:r>
      <w:r w:rsidRPr="00553A4F">
        <w:rPr>
          <w:b/>
          <w:szCs w:val="20"/>
        </w:rPr>
        <w:t>:</w:t>
      </w:r>
      <w:r w:rsidRPr="00553A4F">
        <w:rPr>
          <w:szCs w:val="20"/>
        </w:rPr>
        <w:t xml:space="preserve"> Të ardhurat nga taksa mbi biznesin e vogël</w:t>
      </w:r>
    </w:p>
    <w:p w:rsidR="00D3477C" w:rsidRPr="00553A4F" w:rsidRDefault="00D3477C" w:rsidP="005E648C">
      <w:pPr>
        <w:jc w:val="center"/>
      </w:pPr>
      <w:r w:rsidRPr="00847F5D">
        <w:rPr>
          <w:noProof/>
        </w:rPr>
        <w:drawing>
          <wp:inline distT="0" distB="0" distL="0" distR="0" wp14:anchorId="30DC2FD7" wp14:editId="59473DD4">
            <wp:extent cx="4295775" cy="2066925"/>
            <wp:effectExtent l="0" t="0" r="9525" b="9525"/>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3477C" w:rsidRPr="00A72B99" w:rsidRDefault="00D3477C" w:rsidP="005E648C">
      <w:pPr>
        <w:jc w:val="center"/>
        <w:rPr>
          <w:rFonts w:eastAsia="Times New Roman"/>
          <w:i/>
          <w:sz w:val="20"/>
          <w:szCs w:val="20"/>
        </w:rPr>
      </w:pPr>
      <w:r w:rsidRPr="00A72B99">
        <w:rPr>
          <w:b/>
          <w:i/>
          <w:noProof/>
          <w:sz w:val="20"/>
          <w:szCs w:val="20"/>
          <w:lang w:eastAsia="sq-AL"/>
        </w:rPr>
        <w:t>Burimi:</w:t>
      </w:r>
      <w:r w:rsidRPr="00D3477C">
        <w:rPr>
          <w:i/>
          <w:noProof/>
          <w:sz w:val="20"/>
          <w:szCs w:val="20"/>
          <w:lang w:eastAsia="sq-AL"/>
        </w:rPr>
        <w:t xml:space="preserve"> </w:t>
      </w:r>
      <w:r>
        <w:rPr>
          <w:rFonts w:eastAsia="Times New Roman"/>
          <w:i/>
          <w:sz w:val="20"/>
          <w:szCs w:val="20"/>
        </w:rPr>
        <w:t xml:space="preserve">Ministria e Financave </w:t>
      </w:r>
      <w:r w:rsidR="00A72B99">
        <w:rPr>
          <w:rFonts w:eastAsia="Times New Roman"/>
          <w:i/>
          <w:sz w:val="20"/>
          <w:szCs w:val="20"/>
        </w:rPr>
        <w:t xml:space="preserve">dhe Ekonomisë </w:t>
      </w:r>
      <w:r>
        <w:rPr>
          <w:rFonts w:eastAsia="Times New Roman"/>
          <w:i/>
          <w:sz w:val="20"/>
          <w:szCs w:val="20"/>
        </w:rPr>
        <w:t>(2017)</w:t>
      </w:r>
    </w:p>
    <w:p w:rsidR="00D3477C" w:rsidRDefault="00D3477C" w:rsidP="005E648C">
      <w:pPr>
        <w:jc w:val="center"/>
        <w:rPr>
          <w:b/>
          <w:i/>
        </w:rPr>
      </w:pPr>
    </w:p>
    <w:p w:rsidR="00D3477C" w:rsidRDefault="00D3477C" w:rsidP="00D3477C">
      <w:pPr>
        <w:rPr>
          <w:b/>
          <w:i/>
        </w:rPr>
      </w:pPr>
      <w:r w:rsidRPr="00005457">
        <w:rPr>
          <w:b/>
          <w:i/>
        </w:rPr>
        <w:t>Taksa lokale</w:t>
      </w:r>
    </w:p>
    <w:p w:rsidR="00D3477C" w:rsidRPr="009D443D" w:rsidRDefault="00D3477C" w:rsidP="00D3477C">
      <w:pPr>
        <w:rPr>
          <w:sz w:val="16"/>
          <w:szCs w:val="16"/>
        </w:rPr>
      </w:pPr>
    </w:p>
    <w:p w:rsidR="00D3477C" w:rsidRPr="00553A4F" w:rsidRDefault="00D3477C" w:rsidP="005E648C">
      <w:pPr>
        <w:spacing w:line="276" w:lineRule="auto"/>
        <w:jc w:val="both"/>
      </w:pPr>
      <w:r w:rsidRPr="00553A4F">
        <w:t>Të ardhurat nga taksat lokale</w:t>
      </w:r>
      <w:r w:rsidRPr="00553A4F">
        <w:rPr>
          <w:b/>
        </w:rPr>
        <w:t xml:space="preserve"> </w:t>
      </w:r>
      <w:r w:rsidRPr="00553A4F">
        <w:t xml:space="preserve">rezultojnë me një rritje të konsiderueshme krahasuar me një vit më parë. </w:t>
      </w:r>
      <w:r>
        <w:t>P</w:t>
      </w:r>
      <w:r w:rsidRPr="00553A4F">
        <w:t xml:space="preserve">ër </w:t>
      </w:r>
      <w:r>
        <w:t xml:space="preserve">9 </w:t>
      </w:r>
      <w:r w:rsidRPr="00553A4F">
        <w:t>-</w:t>
      </w:r>
      <w:r>
        <w:t xml:space="preserve"> </w:t>
      </w:r>
      <w:r w:rsidRPr="00553A4F">
        <w:t xml:space="preserve">mujorin 2017 këto taksa </w:t>
      </w:r>
      <w:r>
        <w:t>janë mbledhur në vlerën</w:t>
      </w:r>
      <w:r w:rsidRPr="00553A4F">
        <w:t xml:space="preserve"> rreth </w:t>
      </w:r>
      <w:r>
        <w:t>11.1</w:t>
      </w:r>
      <w:r w:rsidRPr="00553A4F">
        <w:t xml:space="preserve"> miliardë lekë, ose rreth </w:t>
      </w:r>
      <w:r>
        <w:t>3.9</w:t>
      </w:r>
      <w:r w:rsidRPr="00553A4F">
        <w:t xml:space="preserve"> miliardë lekë më shumë se e njëjta periudhë e një vitit më parë. Rritja e kapaciteteve të krijuara nga njësitë e reja dhe kontrolli më i mirë i shtrirjes territoriale ka rritur mbledhshmërinë e këtyre taksave duke ndikuar pozitivisht në qëndrueshmërinë financiare të njësive të vetëqeverisjes vendore.</w:t>
      </w:r>
    </w:p>
    <w:p w:rsidR="00D3477C" w:rsidRPr="00DE3A86" w:rsidRDefault="00D3477C" w:rsidP="00D3477C">
      <w:pPr>
        <w:ind w:left="90"/>
        <w:rPr>
          <w:b/>
          <w:sz w:val="16"/>
          <w:szCs w:val="16"/>
        </w:rPr>
      </w:pPr>
    </w:p>
    <w:p w:rsidR="00D3477C" w:rsidRPr="00553A4F" w:rsidRDefault="00D3477C" w:rsidP="005E648C">
      <w:pPr>
        <w:ind w:left="90"/>
        <w:jc w:val="center"/>
        <w:rPr>
          <w:szCs w:val="20"/>
        </w:rPr>
      </w:pPr>
      <w:r w:rsidRPr="00553A4F">
        <w:rPr>
          <w:b/>
          <w:szCs w:val="20"/>
        </w:rPr>
        <w:t xml:space="preserve">Grafiku </w:t>
      </w:r>
      <w:r w:rsidR="00A72B99">
        <w:rPr>
          <w:b/>
          <w:szCs w:val="20"/>
        </w:rPr>
        <w:t>37</w:t>
      </w:r>
      <w:r w:rsidRPr="00553A4F">
        <w:rPr>
          <w:b/>
          <w:szCs w:val="20"/>
        </w:rPr>
        <w:t>:</w:t>
      </w:r>
      <w:r w:rsidRPr="00553A4F">
        <w:rPr>
          <w:szCs w:val="20"/>
        </w:rPr>
        <w:t xml:space="preserve"> Të ardhurat nga taksat lokale</w:t>
      </w:r>
    </w:p>
    <w:p w:rsidR="00D3477C" w:rsidRPr="00553A4F" w:rsidRDefault="00D3477C" w:rsidP="005E648C">
      <w:pPr>
        <w:jc w:val="center"/>
      </w:pPr>
      <w:r>
        <w:rPr>
          <w:noProof/>
        </w:rPr>
        <w:drawing>
          <wp:inline distT="0" distB="0" distL="0" distR="0" wp14:anchorId="3D6AD8D8" wp14:editId="0A2AFAC4">
            <wp:extent cx="3971925" cy="2167255"/>
            <wp:effectExtent l="0" t="0" r="952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1925" cy="2167255"/>
                    </a:xfrm>
                    <a:prstGeom prst="rect">
                      <a:avLst/>
                    </a:prstGeom>
                    <a:noFill/>
                  </pic:spPr>
                </pic:pic>
              </a:graphicData>
            </a:graphic>
          </wp:inline>
        </w:drawing>
      </w:r>
    </w:p>
    <w:p w:rsidR="009C44DB" w:rsidRPr="009C44DB" w:rsidRDefault="00D3477C" w:rsidP="005E648C">
      <w:pPr>
        <w:jc w:val="center"/>
        <w:rPr>
          <w:rFonts w:eastAsia="Times New Roman"/>
          <w:i/>
          <w:sz w:val="20"/>
          <w:szCs w:val="20"/>
        </w:rPr>
      </w:pPr>
      <w:r w:rsidRPr="00D3477C">
        <w:rPr>
          <w:i/>
          <w:noProof/>
          <w:sz w:val="20"/>
          <w:szCs w:val="20"/>
          <w:lang w:eastAsia="sq-AL"/>
        </w:rPr>
        <w:t xml:space="preserve">Burimi: </w:t>
      </w:r>
      <w:r w:rsidRPr="00D3477C">
        <w:rPr>
          <w:rFonts w:eastAsia="Times New Roman"/>
          <w:i/>
          <w:sz w:val="20"/>
          <w:szCs w:val="20"/>
        </w:rPr>
        <w:t>Ministria e Financave</w:t>
      </w:r>
      <w:r>
        <w:rPr>
          <w:rFonts w:eastAsia="Times New Roman"/>
          <w:i/>
          <w:sz w:val="20"/>
          <w:szCs w:val="20"/>
        </w:rPr>
        <w:t xml:space="preserve"> dhe Ekonomis</w:t>
      </w:r>
      <w:r w:rsidR="00A72B99">
        <w:rPr>
          <w:rFonts w:eastAsia="Times New Roman"/>
          <w:i/>
          <w:sz w:val="20"/>
          <w:szCs w:val="20"/>
        </w:rPr>
        <w:t>ë</w:t>
      </w:r>
      <w:r w:rsidRPr="00D3477C">
        <w:rPr>
          <w:rFonts w:eastAsia="Times New Roman"/>
          <w:i/>
          <w:sz w:val="20"/>
          <w:szCs w:val="20"/>
        </w:rPr>
        <w:t xml:space="preserve"> (2017);</w:t>
      </w:r>
    </w:p>
    <w:p w:rsidR="009C44DB" w:rsidRDefault="009C44DB" w:rsidP="009C44DB">
      <w:pPr>
        <w:tabs>
          <w:tab w:val="left" w:pos="1005"/>
        </w:tabs>
        <w:jc w:val="both"/>
        <w:rPr>
          <w:rFonts w:eastAsia="Times New Roman"/>
          <w:b/>
        </w:rPr>
      </w:pPr>
    </w:p>
    <w:p w:rsidR="00D3477C" w:rsidRPr="009C44DB" w:rsidRDefault="009C44DB" w:rsidP="009C44DB">
      <w:pPr>
        <w:tabs>
          <w:tab w:val="left" w:pos="1005"/>
        </w:tabs>
        <w:jc w:val="both"/>
        <w:rPr>
          <w:rFonts w:eastAsia="Times New Roman"/>
          <w:b/>
        </w:rPr>
      </w:pPr>
      <w:r w:rsidRPr="009C44DB">
        <w:rPr>
          <w:rFonts w:eastAsia="Times New Roman"/>
          <w:b/>
        </w:rPr>
        <w:t>SHPENZIMET E QEVERISJES VENDORE</w:t>
      </w:r>
    </w:p>
    <w:p w:rsidR="009C44DB" w:rsidRDefault="009C44DB" w:rsidP="00D3477C">
      <w:pPr>
        <w:tabs>
          <w:tab w:val="left" w:pos="1005"/>
        </w:tabs>
        <w:jc w:val="both"/>
        <w:rPr>
          <w:rFonts w:eastAsia="Times New Roman"/>
        </w:rPr>
      </w:pPr>
    </w:p>
    <w:p w:rsidR="00D3477C" w:rsidRPr="00553A4F" w:rsidRDefault="00D3477C" w:rsidP="005E648C">
      <w:pPr>
        <w:tabs>
          <w:tab w:val="left" w:pos="1005"/>
        </w:tabs>
        <w:spacing w:line="276" w:lineRule="auto"/>
        <w:jc w:val="both"/>
        <w:rPr>
          <w:b/>
          <w:sz w:val="26"/>
          <w:szCs w:val="26"/>
        </w:rPr>
      </w:pPr>
      <w:r w:rsidRPr="00005457">
        <w:rPr>
          <w:rFonts w:eastAsia="Times New Roman"/>
        </w:rPr>
        <w:t xml:space="preserve">Shpenzimet e </w:t>
      </w:r>
      <w:r>
        <w:rPr>
          <w:rFonts w:eastAsia="Times New Roman"/>
        </w:rPr>
        <w:t>qeverisjes vendore</w:t>
      </w:r>
      <w:r w:rsidRPr="00553A4F">
        <w:rPr>
          <w:rFonts w:eastAsia="Times New Roman"/>
          <w:b/>
        </w:rPr>
        <w:t xml:space="preserve"> </w:t>
      </w:r>
      <w:r w:rsidRPr="00553A4F">
        <w:rPr>
          <w:rFonts w:eastAsia="Times New Roman"/>
        </w:rPr>
        <w:t>janë një tregues i rëndësishëm i p</w:t>
      </w:r>
      <w:r>
        <w:rPr>
          <w:rFonts w:eastAsia="Times New Roman"/>
        </w:rPr>
        <w:t>rocesit</w:t>
      </w:r>
      <w:r w:rsidRPr="00553A4F">
        <w:rPr>
          <w:rFonts w:eastAsia="Times New Roman"/>
        </w:rPr>
        <w:t xml:space="preserve"> të menaxhimit të financave publike në nivel vendor dhe tendencave zhvillimore të ekonomisë në tërësi.</w:t>
      </w:r>
      <w:r w:rsidRPr="00553A4F">
        <w:rPr>
          <w:rFonts w:eastAsia="Times New Roman"/>
          <w:b/>
        </w:rPr>
        <w:t xml:space="preserve"> </w:t>
      </w:r>
      <w:r w:rsidRPr="00553A4F">
        <w:rPr>
          <w:rFonts w:eastAsia="Times New Roman"/>
        </w:rPr>
        <w:t xml:space="preserve">Ndër vite shpenzimet e </w:t>
      </w:r>
      <w:r>
        <w:rPr>
          <w:rFonts w:eastAsia="Times New Roman"/>
        </w:rPr>
        <w:t>qeverisjes vendore</w:t>
      </w:r>
      <w:r w:rsidRPr="00553A4F">
        <w:rPr>
          <w:rFonts w:eastAsia="Times New Roman"/>
        </w:rPr>
        <w:t xml:space="preserve"> janë një tregues në rritje dhe kjo vjen si pasojë e rritjes së nivelit të shërbimeve dhe funksioneve që </w:t>
      </w:r>
      <w:r>
        <w:rPr>
          <w:rFonts w:eastAsia="Times New Roman"/>
        </w:rPr>
        <w:t>qeverisja vendore ofron për qytetarët e saj të financuara nëpërmjet rritjes së të ardhurave vendore dhe mbështetjes financiare nga qeveria.</w:t>
      </w:r>
      <w:r w:rsidRPr="00553A4F">
        <w:rPr>
          <w:rFonts w:eastAsia="Times New Roman"/>
        </w:rPr>
        <w:t xml:space="preserve"> Rritja e kompetencave dhe hap</w:t>
      </w:r>
      <w:r>
        <w:rPr>
          <w:rFonts w:eastAsia="Times New Roman"/>
        </w:rPr>
        <w:t>ë</w:t>
      </w:r>
      <w:r w:rsidRPr="00553A4F">
        <w:rPr>
          <w:rFonts w:eastAsia="Times New Roman"/>
        </w:rPr>
        <w:t>sirës administruese ka bërë që tashmë njësitë e vetëqeverisjes vendore të rrisin përgjegjësinë, transparencën dhe konsultimin publik në përdorimin e financave publike vendore.</w:t>
      </w:r>
    </w:p>
    <w:p w:rsidR="00D3477C" w:rsidRPr="00553A4F" w:rsidRDefault="00D3477C" w:rsidP="005E648C">
      <w:pPr>
        <w:spacing w:line="276" w:lineRule="auto"/>
        <w:ind w:right="-43"/>
        <w:jc w:val="both"/>
        <w:rPr>
          <w:rFonts w:eastAsia="Times New Roman"/>
        </w:rPr>
      </w:pPr>
      <w:r w:rsidRPr="00553A4F">
        <w:rPr>
          <w:rFonts w:eastAsia="Times New Roman"/>
        </w:rPr>
        <w:lastRenderedPageBreak/>
        <w:t>Buxheti vendor ndër vite ka një rritje të dukshme që është rrjedhojë</w:t>
      </w:r>
      <w:r>
        <w:rPr>
          <w:rFonts w:eastAsia="Times New Roman"/>
        </w:rPr>
        <w:t xml:space="preserve"> e decentralizimit fiskal</w:t>
      </w:r>
      <w:r w:rsidRPr="00553A4F">
        <w:rPr>
          <w:rFonts w:eastAsia="Times New Roman"/>
        </w:rPr>
        <w:t xml:space="preserve"> në aspektin e mbledhjes dhe përdormit në </w:t>
      </w:r>
      <w:r>
        <w:rPr>
          <w:rFonts w:eastAsia="Times New Roman"/>
        </w:rPr>
        <w:t>mënyrë autonome të të ardhurave dhe rritjes së transfertave nga qeveria.</w:t>
      </w:r>
      <w:r w:rsidRPr="00553A4F">
        <w:rPr>
          <w:rFonts w:eastAsia="Times New Roman"/>
        </w:rPr>
        <w:t xml:space="preserve"> </w:t>
      </w:r>
      <w:r>
        <w:rPr>
          <w:rFonts w:eastAsia="Times New Roman"/>
        </w:rPr>
        <w:t>Kjo reflektohet</w:t>
      </w:r>
      <w:r w:rsidRPr="00553A4F">
        <w:rPr>
          <w:rFonts w:eastAsia="Times New Roman"/>
        </w:rPr>
        <w:t xml:space="preserve"> edhe</w:t>
      </w:r>
      <w:r>
        <w:rPr>
          <w:rFonts w:eastAsia="Times New Roman"/>
        </w:rPr>
        <w:t xml:space="preserve"> në</w:t>
      </w:r>
      <w:r w:rsidRPr="00553A4F">
        <w:rPr>
          <w:rFonts w:eastAsia="Times New Roman"/>
        </w:rPr>
        <w:t xml:space="preserve"> nivelin e shpenzimeve për </w:t>
      </w:r>
      <w:r>
        <w:rPr>
          <w:rFonts w:eastAsia="Times New Roman"/>
        </w:rPr>
        <w:t>9</w:t>
      </w:r>
      <w:r w:rsidRPr="00553A4F">
        <w:rPr>
          <w:rFonts w:eastAsia="Times New Roman"/>
        </w:rPr>
        <w:t xml:space="preserve"> mujorin e vitit 2017, në raport me atë të vitit 2016. Nga grafiku i mëposhtëm kuptohet qartë që </w:t>
      </w:r>
      <w:r>
        <w:rPr>
          <w:rFonts w:eastAsia="Times New Roman"/>
        </w:rPr>
        <w:t>buxheti i qeverisjes vendore është</w:t>
      </w:r>
      <w:r w:rsidRPr="00553A4F">
        <w:rPr>
          <w:rFonts w:eastAsia="Times New Roman"/>
        </w:rPr>
        <w:t xml:space="preserve"> rritur me afërsisht </w:t>
      </w:r>
      <w:r>
        <w:rPr>
          <w:rFonts w:eastAsia="Times New Roman"/>
        </w:rPr>
        <w:t>11.7</w:t>
      </w:r>
      <w:r w:rsidRPr="00553A4F">
        <w:rPr>
          <w:rFonts w:eastAsia="Times New Roman"/>
        </w:rPr>
        <w:t xml:space="preserve"> miliard lekë, ndër të cilat shpenzimet kapitale janë ato që kanë ndikimin më të lartë për shkak të rritjes me </w:t>
      </w:r>
      <w:r>
        <w:rPr>
          <w:rFonts w:eastAsia="Times New Roman"/>
        </w:rPr>
        <w:t>6.3</w:t>
      </w:r>
      <w:r w:rsidRPr="00553A4F">
        <w:rPr>
          <w:rFonts w:eastAsia="Times New Roman"/>
        </w:rPr>
        <w:t xml:space="preserve"> miliardë lekë më shumë së e njëjta periudhë e një vitit më parë. Gjithashtu</w:t>
      </w:r>
      <w:r>
        <w:rPr>
          <w:rFonts w:eastAsia="Times New Roman"/>
        </w:rPr>
        <w:t>.</w:t>
      </w:r>
      <w:r w:rsidRPr="00553A4F">
        <w:rPr>
          <w:rFonts w:eastAsia="Times New Roman"/>
        </w:rPr>
        <w:t xml:space="preserve"> </w:t>
      </w:r>
      <w:proofErr w:type="gramStart"/>
      <w:r w:rsidRPr="00553A4F">
        <w:rPr>
          <w:rFonts w:eastAsia="Times New Roman"/>
        </w:rPr>
        <w:t>konstatohet</w:t>
      </w:r>
      <w:proofErr w:type="gramEnd"/>
      <w:r w:rsidRPr="00553A4F">
        <w:rPr>
          <w:rFonts w:eastAsia="Times New Roman"/>
        </w:rPr>
        <w:t xml:space="preserve"> një r</w:t>
      </w:r>
      <w:r>
        <w:rPr>
          <w:rFonts w:eastAsia="Times New Roman"/>
        </w:rPr>
        <w:t>ritje</w:t>
      </w:r>
      <w:r w:rsidRPr="00553A4F">
        <w:rPr>
          <w:rFonts w:eastAsia="Times New Roman"/>
        </w:rPr>
        <w:t xml:space="preserve"> e shpenzimeve të personelit për këtë periudhë.</w:t>
      </w:r>
    </w:p>
    <w:p w:rsidR="00D3477C" w:rsidRDefault="00D3477C" w:rsidP="00D3477C">
      <w:pPr>
        <w:ind w:right="-43"/>
        <w:rPr>
          <w:rFonts w:eastAsia="Times New Roman"/>
          <w:b/>
          <w:szCs w:val="20"/>
        </w:rPr>
      </w:pPr>
    </w:p>
    <w:p w:rsidR="00D3477C" w:rsidRPr="00553A4F" w:rsidRDefault="00D3477C" w:rsidP="00D3477C">
      <w:pPr>
        <w:ind w:right="-43"/>
        <w:rPr>
          <w:szCs w:val="20"/>
        </w:rPr>
      </w:pPr>
      <w:r w:rsidRPr="00553A4F">
        <w:rPr>
          <w:rFonts w:eastAsia="Times New Roman"/>
          <w:b/>
          <w:szCs w:val="20"/>
        </w:rPr>
        <w:t xml:space="preserve">Grafiku </w:t>
      </w:r>
      <w:r w:rsidR="00A72B99">
        <w:rPr>
          <w:rFonts w:eastAsia="Times New Roman"/>
          <w:b/>
          <w:szCs w:val="20"/>
        </w:rPr>
        <w:t>38</w:t>
      </w:r>
      <w:r w:rsidRPr="00553A4F">
        <w:rPr>
          <w:rFonts w:eastAsia="Times New Roman"/>
          <w:b/>
          <w:szCs w:val="20"/>
        </w:rPr>
        <w:t xml:space="preserve">: </w:t>
      </w:r>
      <w:r w:rsidRPr="00553A4F">
        <w:rPr>
          <w:szCs w:val="20"/>
        </w:rPr>
        <w:t xml:space="preserve">Shpenzimet për pushtetin </w:t>
      </w:r>
      <w:r>
        <w:rPr>
          <w:szCs w:val="20"/>
        </w:rPr>
        <w:t>vendor</w:t>
      </w:r>
      <w:r w:rsidRPr="00553A4F">
        <w:rPr>
          <w:szCs w:val="20"/>
        </w:rPr>
        <w:t xml:space="preserve"> dhe ritmi i rritjes së tyre</w:t>
      </w:r>
    </w:p>
    <w:p w:rsidR="00D3477C" w:rsidRPr="00553A4F" w:rsidRDefault="00D3477C" w:rsidP="00A312EB">
      <w:pPr>
        <w:ind w:right="-472"/>
        <w:rPr>
          <w:rFonts w:eastAsia="Times New Roman"/>
        </w:rPr>
      </w:pPr>
      <w:r w:rsidRPr="00847F5D">
        <w:rPr>
          <w:noProof/>
        </w:rPr>
        <w:drawing>
          <wp:inline distT="0" distB="0" distL="0" distR="0" wp14:anchorId="24F288E2" wp14:editId="1D1BD678">
            <wp:extent cx="6009005" cy="2254250"/>
            <wp:effectExtent l="0" t="0" r="10795" b="1270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3477C" w:rsidRPr="00D3477C" w:rsidRDefault="00D3477C" w:rsidP="00D3477C">
      <w:pPr>
        <w:rPr>
          <w:rFonts w:eastAsia="Times New Roman"/>
          <w:i/>
          <w:sz w:val="20"/>
          <w:szCs w:val="20"/>
        </w:rPr>
      </w:pPr>
      <w:r w:rsidRPr="00D3477C">
        <w:rPr>
          <w:rFonts w:eastAsia="Times New Roman"/>
          <w:i/>
          <w:sz w:val="20"/>
          <w:szCs w:val="20"/>
        </w:rPr>
        <w:t xml:space="preserve">Burimi: Ministria e Financave </w:t>
      </w:r>
      <w:r w:rsidR="00A554C6">
        <w:rPr>
          <w:rFonts w:eastAsia="Times New Roman"/>
          <w:i/>
          <w:sz w:val="20"/>
          <w:szCs w:val="20"/>
        </w:rPr>
        <w:t>dhe Ekonomisë</w:t>
      </w:r>
      <w:r>
        <w:rPr>
          <w:rFonts w:eastAsia="Times New Roman"/>
          <w:i/>
          <w:sz w:val="20"/>
          <w:szCs w:val="20"/>
        </w:rPr>
        <w:t xml:space="preserve"> </w:t>
      </w:r>
      <w:r w:rsidRPr="00D3477C">
        <w:rPr>
          <w:rFonts w:eastAsia="Times New Roman"/>
          <w:i/>
          <w:sz w:val="20"/>
          <w:szCs w:val="20"/>
        </w:rPr>
        <w:t>(2017)</w:t>
      </w:r>
    </w:p>
    <w:p w:rsidR="00A312EB" w:rsidRDefault="00A312EB" w:rsidP="00D3477C">
      <w:pPr>
        <w:jc w:val="both"/>
        <w:rPr>
          <w:rFonts w:eastAsia="Times New Roman"/>
        </w:rPr>
      </w:pPr>
    </w:p>
    <w:p w:rsidR="009C44DB" w:rsidRPr="009C44DB" w:rsidRDefault="00D3477C" w:rsidP="005E648C">
      <w:pPr>
        <w:spacing w:line="276" w:lineRule="auto"/>
        <w:jc w:val="both"/>
        <w:rPr>
          <w:rFonts w:eastAsia="Times New Roman"/>
        </w:rPr>
      </w:pPr>
      <w:r w:rsidRPr="00553A4F">
        <w:rPr>
          <w:rFonts w:eastAsia="Times New Roman"/>
        </w:rPr>
        <w:t xml:space="preserve">Shpenzimet e pushtetit vendor sipas </w:t>
      </w:r>
      <w:r>
        <w:rPr>
          <w:rFonts w:eastAsia="Times New Roman"/>
        </w:rPr>
        <w:t>zërave</w:t>
      </w:r>
      <w:r w:rsidRPr="00553A4F">
        <w:rPr>
          <w:rFonts w:eastAsia="Times New Roman"/>
        </w:rPr>
        <w:t xml:space="preserve"> kanë pësuar luhatje të ndjeshme në vitin 2017 </w:t>
      </w:r>
      <w:r>
        <w:rPr>
          <w:rFonts w:eastAsia="Times New Roman"/>
        </w:rPr>
        <w:t>krahasuar</w:t>
      </w:r>
      <w:r w:rsidRPr="00553A4F">
        <w:rPr>
          <w:rFonts w:eastAsia="Times New Roman"/>
        </w:rPr>
        <w:t xml:space="preserve"> me vitin 2016. Duke ju referuar grafikut të mëposhtëm</w:t>
      </w:r>
      <w:r>
        <w:rPr>
          <w:rFonts w:eastAsia="Times New Roman"/>
        </w:rPr>
        <w:t>,</w:t>
      </w:r>
      <w:r w:rsidRPr="00553A4F">
        <w:rPr>
          <w:rFonts w:eastAsia="Times New Roman"/>
        </w:rPr>
        <w:t xml:space="preserve"> </w:t>
      </w:r>
      <w:r>
        <w:rPr>
          <w:rFonts w:eastAsia="Times New Roman"/>
        </w:rPr>
        <w:t>konstatohet se n</w:t>
      </w:r>
      <w:r w:rsidRPr="00553A4F">
        <w:rPr>
          <w:rFonts w:eastAsia="Times New Roman"/>
        </w:rPr>
        <w:t xml:space="preserve">ë </w:t>
      </w:r>
      <w:r>
        <w:rPr>
          <w:rFonts w:eastAsia="Times New Roman"/>
        </w:rPr>
        <w:t>raport me</w:t>
      </w:r>
      <w:r w:rsidRPr="00553A4F">
        <w:rPr>
          <w:rFonts w:eastAsia="Times New Roman"/>
        </w:rPr>
        <w:t xml:space="preserve"> </w:t>
      </w:r>
      <w:r>
        <w:rPr>
          <w:rFonts w:eastAsia="Times New Roman"/>
        </w:rPr>
        <w:t>9</w:t>
      </w:r>
      <w:r w:rsidRPr="00553A4F">
        <w:rPr>
          <w:rFonts w:eastAsia="Times New Roman"/>
        </w:rPr>
        <w:t xml:space="preserve"> mujori</w:t>
      </w:r>
      <w:r>
        <w:rPr>
          <w:rFonts w:eastAsia="Times New Roman"/>
        </w:rPr>
        <w:t>n</w:t>
      </w:r>
      <w:r w:rsidRPr="00553A4F">
        <w:rPr>
          <w:rFonts w:eastAsia="Times New Roman"/>
        </w:rPr>
        <w:t xml:space="preserve"> i vitit 2016</w:t>
      </w:r>
      <w:r>
        <w:rPr>
          <w:rFonts w:eastAsia="Times New Roman"/>
        </w:rPr>
        <w:t xml:space="preserve"> kemi një rritje prej 6.3 miliard lekë të shpenzimeve kapitale shifër kjo e konsiderueshme për strukturën e shpenzimeve të qeverisjes vendore. E thënë ndryshe, shpenzimet për investime publike janë pothuajse dyfishuar në raport me 9-mujorin e vitit 2016. Gjithashtu konstatohet </w:t>
      </w:r>
      <w:proofErr w:type="gramStart"/>
      <w:r>
        <w:rPr>
          <w:rFonts w:eastAsia="Times New Roman"/>
        </w:rPr>
        <w:t>që  në</w:t>
      </w:r>
      <w:proofErr w:type="gramEnd"/>
      <w:r>
        <w:rPr>
          <w:rFonts w:eastAsia="Times New Roman"/>
        </w:rPr>
        <w:t xml:space="preserve"> vitin 2017 shpenzimet e personelit kanë pësuar një rritje të ndjeshme në raport me një vit më parë. Kjo ka ardhur për arsye </w:t>
      </w:r>
      <w:proofErr w:type="gramStart"/>
      <w:r>
        <w:rPr>
          <w:rFonts w:eastAsia="Times New Roman"/>
        </w:rPr>
        <w:t>te</w:t>
      </w:r>
      <w:proofErr w:type="gramEnd"/>
      <w:r>
        <w:rPr>
          <w:rFonts w:eastAsia="Times New Roman"/>
        </w:rPr>
        <w:t xml:space="preserve"> transferimit te funksioneve ne qeverisjen vendore si dhe si efekt i rritjes se pagave që nisi në muajin mars të vitit 2017. Tendenca e në rritje e shpenzimeve për investime tregon qartë që shumë shpejt kjo </w:t>
      </w:r>
      <w:r w:rsidRPr="00553A4F">
        <w:rPr>
          <w:rFonts w:eastAsia="Times New Roman"/>
        </w:rPr>
        <w:t>do të shoqërohe</w:t>
      </w:r>
      <w:r>
        <w:rPr>
          <w:rFonts w:eastAsia="Times New Roman"/>
        </w:rPr>
        <w:t>t</w:t>
      </w:r>
      <w:r w:rsidRPr="00553A4F">
        <w:rPr>
          <w:rFonts w:eastAsia="Times New Roman"/>
        </w:rPr>
        <w:t xml:space="preserve"> me efekte të drejtpërdrejta </w:t>
      </w:r>
      <w:r>
        <w:rPr>
          <w:rFonts w:eastAsia="Times New Roman"/>
        </w:rPr>
        <w:t xml:space="preserve">pozitive </w:t>
      </w:r>
      <w:r w:rsidRPr="00553A4F">
        <w:rPr>
          <w:rFonts w:eastAsia="Times New Roman"/>
        </w:rPr>
        <w:t>në punët publike dhe cilësinë e shë</w:t>
      </w:r>
      <w:r>
        <w:rPr>
          <w:rFonts w:eastAsia="Times New Roman"/>
        </w:rPr>
        <w:t>rbimeve t</w:t>
      </w:r>
      <w:r w:rsidRPr="00553A4F">
        <w:rPr>
          <w:rFonts w:eastAsia="Times New Roman"/>
        </w:rPr>
        <w:t xml:space="preserve">ë </w:t>
      </w:r>
      <w:r>
        <w:rPr>
          <w:rFonts w:eastAsia="Times New Roman"/>
        </w:rPr>
        <w:t xml:space="preserve">cilat ndikojnë </w:t>
      </w:r>
      <w:r w:rsidRPr="00553A4F">
        <w:rPr>
          <w:rFonts w:eastAsia="Times New Roman"/>
        </w:rPr>
        <w:t>në jetën e qytetarëve.</w:t>
      </w:r>
    </w:p>
    <w:p w:rsidR="009C44DB" w:rsidRDefault="009C44DB" w:rsidP="009C44DB">
      <w:pPr>
        <w:rPr>
          <w:rFonts w:eastAsia="Times New Roman"/>
          <w:b/>
          <w:szCs w:val="20"/>
        </w:rPr>
      </w:pPr>
    </w:p>
    <w:p w:rsidR="00D3477C" w:rsidRPr="00553A4F" w:rsidRDefault="00D3477C" w:rsidP="00D3477C">
      <w:pPr>
        <w:ind w:left="720" w:firstLine="720"/>
        <w:rPr>
          <w:rFonts w:eastAsia="Times New Roman"/>
          <w:szCs w:val="20"/>
        </w:rPr>
      </w:pPr>
      <w:r w:rsidRPr="00553A4F">
        <w:rPr>
          <w:rFonts w:eastAsia="Times New Roman"/>
          <w:b/>
          <w:szCs w:val="20"/>
        </w:rPr>
        <w:t xml:space="preserve">Grafiku </w:t>
      </w:r>
      <w:r w:rsidR="00A312EB">
        <w:rPr>
          <w:rFonts w:eastAsia="Times New Roman"/>
          <w:b/>
          <w:szCs w:val="20"/>
        </w:rPr>
        <w:t>39</w:t>
      </w:r>
      <w:r w:rsidRPr="00553A4F">
        <w:rPr>
          <w:rFonts w:eastAsia="Times New Roman"/>
          <w:b/>
          <w:szCs w:val="20"/>
        </w:rPr>
        <w:t xml:space="preserve">: </w:t>
      </w:r>
      <w:r w:rsidRPr="00553A4F">
        <w:rPr>
          <w:rFonts w:eastAsia="Times New Roman"/>
          <w:szCs w:val="20"/>
        </w:rPr>
        <w:t xml:space="preserve">Shpenzimet e </w:t>
      </w:r>
      <w:r>
        <w:rPr>
          <w:rFonts w:eastAsia="Times New Roman"/>
          <w:szCs w:val="20"/>
        </w:rPr>
        <w:t>qeverisjes</w:t>
      </w:r>
      <w:r w:rsidRPr="00553A4F">
        <w:rPr>
          <w:rFonts w:eastAsia="Times New Roman"/>
          <w:szCs w:val="20"/>
        </w:rPr>
        <w:t xml:space="preserve"> vendor</w:t>
      </w:r>
      <w:r>
        <w:rPr>
          <w:rFonts w:eastAsia="Times New Roman"/>
          <w:szCs w:val="20"/>
        </w:rPr>
        <w:t>e</w:t>
      </w:r>
      <w:r w:rsidRPr="00553A4F">
        <w:rPr>
          <w:rFonts w:eastAsia="Times New Roman"/>
          <w:szCs w:val="20"/>
        </w:rPr>
        <w:t xml:space="preserve"> sipas </w:t>
      </w:r>
      <w:r>
        <w:rPr>
          <w:rFonts w:eastAsia="Times New Roman"/>
          <w:szCs w:val="20"/>
        </w:rPr>
        <w:t>strukturës</w:t>
      </w:r>
    </w:p>
    <w:p w:rsidR="00D3477C" w:rsidRPr="00553A4F" w:rsidRDefault="00D3477C" w:rsidP="00D3477C">
      <w:pPr>
        <w:jc w:val="center"/>
        <w:rPr>
          <w:noProof/>
          <w:lang w:eastAsia="sq-AL"/>
        </w:rPr>
      </w:pPr>
      <w:r>
        <w:rPr>
          <w:noProof/>
        </w:rPr>
        <w:drawing>
          <wp:inline distT="0" distB="0" distL="0" distR="0" wp14:anchorId="470D9D5A" wp14:editId="34CA7348">
            <wp:extent cx="4667885" cy="19748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7885" cy="1974850"/>
                    </a:xfrm>
                    <a:prstGeom prst="rect">
                      <a:avLst/>
                    </a:prstGeom>
                    <a:noFill/>
                  </pic:spPr>
                </pic:pic>
              </a:graphicData>
            </a:graphic>
          </wp:inline>
        </w:drawing>
      </w:r>
    </w:p>
    <w:p w:rsidR="00D3477C" w:rsidRPr="00D3477C" w:rsidRDefault="00D3477C" w:rsidP="00D3477C">
      <w:pPr>
        <w:ind w:left="720" w:firstLine="720"/>
        <w:rPr>
          <w:rFonts w:eastAsia="Times New Roman"/>
          <w:i/>
          <w:sz w:val="20"/>
          <w:szCs w:val="20"/>
        </w:rPr>
      </w:pPr>
      <w:r w:rsidRPr="00D3477C">
        <w:rPr>
          <w:rFonts w:eastAsia="Times New Roman"/>
          <w:i/>
          <w:sz w:val="20"/>
          <w:szCs w:val="20"/>
        </w:rPr>
        <w:t>Burimi: Ministria e Financave</w:t>
      </w:r>
      <w:r>
        <w:rPr>
          <w:rFonts w:eastAsia="Times New Roman"/>
          <w:i/>
          <w:sz w:val="20"/>
          <w:szCs w:val="20"/>
        </w:rPr>
        <w:t xml:space="preserve"> dhe Ekonomis</w:t>
      </w:r>
      <w:r w:rsidR="00A312EB">
        <w:rPr>
          <w:rFonts w:eastAsia="Times New Roman"/>
          <w:i/>
          <w:sz w:val="20"/>
          <w:szCs w:val="20"/>
        </w:rPr>
        <w:t>ë</w:t>
      </w:r>
      <w:r w:rsidRPr="00D3477C">
        <w:rPr>
          <w:rFonts w:eastAsia="Times New Roman"/>
          <w:i/>
          <w:sz w:val="20"/>
          <w:szCs w:val="20"/>
        </w:rPr>
        <w:t xml:space="preserve"> (2017)</w:t>
      </w:r>
    </w:p>
    <w:p w:rsidR="00D3477C" w:rsidRDefault="00D3477C" w:rsidP="005E648C">
      <w:pPr>
        <w:spacing w:line="276" w:lineRule="auto"/>
        <w:rPr>
          <w:rFonts w:eastAsia="Times New Roman"/>
        </w:rPr>
      </w:pPr>
    </w:p>
    <w:p w:rsidR="00D3477C" w:rsidRPr="00553A4F" w:rsidRDefault="00D3477C" w:rsidP="005E648C">
      <w:pPr>
        <w:spacing w:line="276" w:lineRule="auto"/>
        <w:jc w:val="both"/>
        <w:rPr>
          <w:rFonts w:eastAsia="Times New Roman"/>
        </w:rPr>
      </w:pPr>
      <w:r w:rsidRPr="00553A4F">
        <w:rPr>
          <w:rFonts w:eastAsia="Times New Roman"/>
        </w:rPr>
        <w:lastRenderedPageBreak/>
        <w:t xml:space="preserve">Pas miratimit dhe jetësimit të reformës administrativo-territoriale janë bërë analiza periodike të </w:t>
      </w:r>
      <w:r>
        <w:rPr>
          <w:rFonts w:eastAsia="Times New Roman"/>
        </w:rPr>
        <w:t>ecurisë së</w:t>
      </w:r>
      <w:r w:rsidRPr="00553A4F">
        <w:rPr>
          <w:rFonts w:eastAsia="Times New Roman"/>
        </w:rPr>
        <w:t xml:space="preserve"> shpenzimeve vendore në raport me shpenzimet para reformës</w:t>
      </w:r>
      <w:r>
        <w:rPr>
          <w:rFonts w:eastAsia="Times New Roman"/>
        </w:rPr>
        <w:t>,</w:t>
      </w:r>
      <w:r w:rsidRPr="00553A4F">
        <w:rPr>
          <w:rFonts w:eastAsia="Times New Roman"/>
        </w:rPr>
        <w:t xml:space="preserve"> kryesisht në termat e tendencës së shpenzimeve të personelit dhe atyre kapitale. Krahasuar me vitin 2014 si vit para reformës konstatohet se ka një ndryshim të strukturës së shpenzimeve në favor të rritjes së sh</w:t>
      </w:r>
      <w:r>
        <w:rPr>
          <w:rFonts w:eastAsia="Times New Roman"/>
        </w:rPr>
        <w:t>pen</w:t>
      </w:r>
      <w:r w:rsidRPr="00553A4F">
        <w:rPr>
          <w:rFonts w:eastAsia="Times New Roman"/>
        </w:rPr>
        <w:t xml:space="preserve">zimeve kapitale. Më poshtë </w:t>
      </w:r>
      <w:r>
        <w:rPr>
          <w:rFonts w:eastAsia="Times New Roman"/>
        </w:rPr>
        <w:t>paraqitet</w:t>
      </w:r>
      <w:r w:rsidRPr="00553A4F">
        <w:rPr>
          <w:rFonts w:eastAsia="Times New Roman"/>
        </w:rPr>
        <w:t xml:space="preserve"> në mënyrë të përmbledhur tabela e ndryshimeve të të ardhurave dhe s</w:t>
      </w:r>
      <w:r>
        <w:rPr>
          <w:rFonts w:eastAsia="Times New Roman"/>
        </w:rPr>
        <w:t xml:space="preserve">hpenzimeve në financat publike </w:t>
      </w:r>
      <w:r w:rsidRPr="00553A4F">
        <w:rPr>
          <w:rFonts w:eastAsia="Times New Roman"/>
        </w:rPr>
        <w:t xml:space="preserve">vendore </w:t>
      </w:r>
      <w:r>
        <w:rPr>
          <w:rFonts w:eastAsia="Times New Roman"/>
        </w:rPr>
        <w:t>midis</w:t>
      </w:r>
      <w:r w:rsidRPr="00553A4F">
        <w:rPr>
          <w:rFonts w:eastAsia="Times New Roman"/>
        </w:rPr>
        <w:t xml:space="preserve"> të nj</w:t>
      </w:r>
      <w:r w:rsidRPr="001D4462">
        <w:rPr>
          <w:rFonts w:eastAsia="Times New Roman"/>
        </w:rPr>
        <w:t>ë</w:t>
      </w:r>
      <w:r w:rsidRPr="00553A4F">
        <w:rPr>
          <w:rFonts w:eastAsia="Times New Roman"/>
        </w:rPr>
        <w:t>jtës peri</w:t>
      </w:r>
      <w:r>
        <w:rPr>
          <w:rFonts w:eastAsia="Times New Roman"/>
        </w:rPr>
        <w:t>u</w:t>
      </w:r>
      <w:r w:rsidRPr="00553A4F">
        <w:rPr>
          <w:rFonts w:eastAsia="Times New Roman"/>
        </w:rPr>
        <w:t>dhë të vitit 2017 dhe 2016.</w:t>
      </w:r>
    </w:p>
    <w:p w:rsidR="00D3477C" w:rsidRDefault="00D3477C" w:rsidP="00D3477C">
      <w:pPr>
        <w:rPr>
          <w:rFonts w:eastAsia="Times New Roman"/>
          <w:b/>
          <w:szCs w:val="20"/>
        </w:rPr>
      </w:pPr>
    </w:p>
    <w:p w:rsidR="00D3477C" w:rsidRPr="00553A4F" w:rsidRDefault="00D3477C" w:rsidP="00D3477C">
      <w:pPr>
        <w:rPr>
          <w:rFonts w:eastAsia="Times New Roman"/>
          <w:szCs w:val="20"/>
        </w:rPr>
      </w:pPr>
      <w:r w:rsidRPr="00553A4F">
        <w:rPr>
          <w:rFonts w:eastAsia="Times New Roman"/>
          <w:b/>
          <w:szCs w:val="20"/>
        </w:rPr>
        <w:t xml:space="preserve">Tabela </w:t>
      </w:r>
      <w:r w:rsidR="00A312EB">
        <w:rPr>
          <w:rFonts w:eastAsia="Times New Roman"/>
          <w:b/>
          <w:szCs w:val="20"/>
        </w:rPr>
        <w:t>22</w:t>
      </w:r>
      <w:r w:rsidRPr="00553A4F">
        <w:rPr>
          <w:rFonts w:eastAsia="Times New Roman"/>
          <w:b/>
          <w:szCs w:val="20"/>
        </w:rPr>
        <w:t>:</w:t>
      </w:r>
      <w:r w:rsidRPr="00553A4F">
        <w:rPr>
          <w:rFonts w:eastAsia="Times New Roman"/>
          <w:szCs w:val="20"/>
        </w:rPr>
        <w:t xml:space="preserve"> Të ardhurat dhe shpenzimet e </w:t>
      </w:r>
      <w:r>
        <w:rPr>
          <w:rFonts w:eastAsia="Times New Roman"/>
          <w:szCs w:val="20"/>
        </w:rPr>
        <w:t>qeverisjes vendore</w:t>
      </w:r>
      <w:r w:rsidRPr="00553A4F">
        <w:rPr>
          <w:rFonts w:eastAsia="Times New Roman"/>
          <w:szCs w:val="20"/>
        </w:rPr>
        <w:t xml:space="preserve"> sipas natyrës</w:t>
      </w:r>
    </w:p>
    <w:tbl>
      <w:tblPr>
        <w:tblW w:w="8239" w:type="dxa"/>
        <w:tblInd w:w="131" w:type="dxa"/>
        <w:tblLook w:val="04A0" w:firstRow="1" w:lastRow="0" w:firstColumn="1" w:lastColumn="0" w:noHBand="0" w:noVBand="1"/>
      </w:tblPr>
      <w:tblGrid>
        <w:gridCol w:w="528"/>
        <w:gridCol w:w="3810"/>
        <w:gridCol w:w="957"/>
        <w:gridCol w:w="958"/>
        <w:gridCol w:w="888"/>
        <w:gridCol w:w="1166"/>
      </w:tblGrid>
      <w:tr w:rsidR="00D3477C" w:rsidRPr="00074622" w:rsidTr="006A33D1">
        <w:trPr>
          <w:trHeight w:val="251"/>
        </w:trPr>
        <w:tc>
          <w:tcPr>
            <w:tcW w:w="4270" w:type="dxa"/>
            <w:gridSpan w:val="2"/>
            <w:tcBorders>
              <w:top w:val="nil"/>
              <w:left w:val="nil"/>
              <w:bottom w:val="double" w:sz="6" w:space="0" w:color="auto"/>
              <w:right w:val="nil"/>
            </w:tcBorders>
            <w:shd w:val="clear" w:color="auto" w:fill="auto"/>
            <w:noWrap/>
            <w:vAlign w:val="center"/>
            <w:hideMark/>
          </w:tcPr>
          <w:p w:rsidR="00D3477C" w:rsidRPr="00074622" w:rsidRDefault="00A312EB" w:rsidP="00D3477C">
            <w:pPr>
              <w:jc w:val="center"/>
              <w:rPr>
                <w:rFonts w:eastAsia="Times New Roman"/>
                <w:i/>
                <w:iCs/>
                <w:color w:val="000000"/>
                <w:sz w:val="18"/>
                <w:szCs w:val="18"/>
              </w:rPr>
            </w:pPr>
            <w:r>
              <w:rPr>
                <w:rFonts w:eastAsia="Times New Roman"/>
                <w:i/>
                <w:iCs/>
                <w:color w:val="000000"/>
                <w:sz w:val="18"/>
                <w:szCs w:val="18"/>
              </w:rPr>
              <w:t xml:space="preserve">                           </w:t>
            </w:r>
            <w:r w:rsidR="00D3477C" w:rsidRPr="00074622">
              <w:rPr>
                <w:rFonts w:eastAsia="Times New Roman"/>
                <w:i/>
                <w:iCs/>
                <w:color w:val="000000"/>
                <w:sz w:val="18"/>
                <w:szCs w:val="18"/>
              </w:rPr>
              <w:t>Të dhëna progresive (në milion LEK)</w:t>
            </w:r>
          </w:p>
        </w:tc>
        <w:tc>
          <w:tcPr>
            <w:tcW w:w="1915" w:type="dxa"/>
            <w:gridSpan w:val="2"/>
            <w:tcBorders>
              <w:top w:val="nil"/>
              <w:left w:val="nil"/>
              <w:bottom w:val="double" w:sz="6" w:space="0" w:color="auto"/>
              <w:right w:val="nil"/>
            </w:tcBorders>
            <w:shd w:val="clear" w:color="auto" w:fill="auto"/>
            <w:noWrap/>
            <w:vAlign w:val="bottom"/>
            <w:hideMark/>
          </w:tcPr>
          <w:p w:rsidR="00D3477C" w:rsidRPr="00074622" w:rsidRDefault="00D3477C" w:rsidP="00D3477C">
            <w:pPr>
              <w:jc w:val="center"/>
              <w:rPr>
                <w:rFonts w:ascii="Calibri" w:eastAsia="Times New Roman" w:hAnsi="Calibri"/>
                <w:color w:val="000000"/>
                <w:sz w:val="22"/>
              </w:rPr>
            </w:pPr>
          </w:p>
        </w:tc>
        <w:tc>
          <w:tcPr>
            <w:tcW w:w="888" w:type="dxa"/>
            <w:tcBorders>
              <w:top w:val="nil"/>
              <w:left w:val="nil"/>
              <w:bottom w:val="double" w:sz="6" w:space="0" w:color="auto"/>
              <w:right w:val="nil"/>
            </w:tcBorders>
            <w:shd w:val="clear" w:color="auto" w:fill="auto"/>
            <w:noWrap/>
            <w:vAlign w:val="bottom"/>
            <w:hideMark/>
          </w:tcPr>
          <w:p w:rsidR="00D3477C" w:rsidRPr="00074622" w:rsidRDefault="00D3477C" w:rsidP="00D3477C">
            <w:pPr>
              <w:jc w:val="center"/>
              <w:rPr>
                <w:rFonts w:ascii="Calibri" w:eastAsia="Times New Roman" w:hAnsi="Calibri"/>
                <w:color w:val="000000"/>
                <w:sz w:val="22"/>
              </w:rPr>
            </w:pPr>
          </w:p>
        </w:tc>
        <w:tc>
          <w:tcPr>
            <w:tcW w:w="1166" w:type="dxa"/>
            <w:tcBorders>
              <w:top w:val="nil"/>
              <w:left w:val="nil"/>
              <w:bottom w:val="double" w:sz="6" w:space="0" w:color="auto"/>
              <w:right w:val="nil"/>
            </w:tcBorders>
            <w:shd w:val="clear" w:color="auto" w:fill="auto"/>
            <w:noWrap/>
            <w:vAlign w:val="bottom"/>
            <w:hideMark/>
          </w:tcPr>
          <w:p w:rsidR="00D3477C" w:rsidRPr="00074622" w:rsidRDefault="00D3477C" w:rsidP="00D3477C">
            <w:pPr>
              <w:jc w:val="center"/>
              <w:rPr>
                <w:rFonts w:ascii="Calibri" w:eastAsia="Times New Roman" w:hAnsi="Calibri"/>
                <w:color w:val="000000"/>
                <w:sz w:val="22"/>
              </w:rPr>
            </w:pPr>
          </w:p>
        </w:tc>
      </w:tr>
      <w:tr w:rsidR="00D3477C" w:rsidRPr="00074622" w:rsidTr="006A33D1">
        <w:trPr>
          <w:trHeight w:val="263"/>
        </w:trPr>
        <w:tc>
          <w:tcPr>
            <w:tcW w:w="459" w:type="dxa"/>
            <w:vMerge w:val="restart"/>
            <w:tcBorders>
              <w:top w:val="nil"/>
              <w:left w:val="double" w:sz="6" w:space="0" w:color="auto"/>
              <w:bottom w:val="single" w:sz="8" w:space="0" w:color="000000"/>
              <w:right w:val="nil"/>
            </w:tcBorders>
            <w:shd w:val="clear" w:color="000000" w:fill="FABF8F"/>
            <w:noWrap/>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Nr</w:t>
            </w:r>
          </w:p>
        </w:tc>
        <w:tc>
          <w:tcPr>
            <w:tcW w:w="3810" w:type="dxa"/>
            <w:vMerge w:val="restart"/>
            <w:tcBorders>
              <w:top w:val="nil"/>
              <w:left w:val="single" w:sz="8" w:space="0" w:color="auto"/>
              <w:bottom w:val="single" w:sz="8" w:space="0" w:color="000000"/>
              <w:right w:val="double" w:sz="6" w:space="0" w:color="auto"/>
            </w:tcBorders>
            <w:shd w:val="clear" w:color="000000" w:fill="FABF8F"/>
            <w:noWrap/>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E  M  Ë  R  T  I  M  I</w:t>
            </w:r>
          </w:p>
        </w:tc>
        <w:tc>
          <w:tcPr>
            <w:tcW w:w="1915" w:type="dxa"/>
            <w:gridSpan w:val="2"/>
            <w:tcBorders>
              <w:top w:val="double" w:sz="6" w:space="0" w:color="auto"/>
              <w:left w:val="nil"/>
              <w:bottom w:val="single" w:sz="8" w:space="0" w:color="auto"/>
              <w:right w:val="nil"/>
            </w:tcBorders>
            <w:shd w:val="clear" w:color="000000" w:fill="FABF8F"/>
            <w:noWrap/>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Fakt 9 mujori</w:t>
            </w:r>
          </w:p>
        </w:tc>
        <w:tc>
          <w:tcPr>
            <w:tcW w:w="2054" w:type="dxa"/>
            <w:gridSpan w:val="2"/>
            <w:tcBorders>
              <w:top w:val="double" w:sz="6" w:space="0" w:color="auto"/>
              <w:left w:val="double" w:sz="6" w:space="0" w:color="auto"/>
              <w:bottom w:val="single" w:sz="8" w:space="0" w:color="auto"/>
              <w:right w:val="double" w:sz="6" w:space="0" w:color="000000"/>
            </w:tcBorders>
            <w:shd w:val="clear" w:color="000000" w:fill="FABF8F"/>
            <w:noWrap/>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Diferenca</w:t>
            </w:r>
          </w:p>
        </w:tc>
      </w:tr>
      <w:tr w:rsidR="00D3477C" w:rsidRPr="00074622" w:rsidTr="006A33D1">
        <w:trPr>
          <w:trHeight w:val="239"/>
        </w:trPr>
        <w:tc>
          <w:tcPr>
            <w:tcW w:w="459" w:type="dxa"/>
            <w:vMerge/>
            <w:tcBorders>
              <w:top w:val="nil"/>
              <w:left w:val="double" w:sz="6" w:space="0" w:color="auto"/>
              <w:bottom w:val="single" w:sz="8" w:space="0" w:color="000000"/>
              <w:right w:val="nil"/>
            </w:tcBorders>
            <w:vAlign w:val="center"/>
            <w:hideMark/>
          </w:tcPr>
          <w:p w:rsidR="00D3477C" w:rsidRPr="00074622" w:rsidRDefault="00D3477C" w:rsidP="00D3477C">
            <w:pPr>
              <w:jc w:val="center"/>
              <w:rPr>
                <w:rFonts w:eastAsia="Times New Roman"/>
                <w:b/>
                <w:bCs/>
                <w:color w:val="000000"/>
                <w:szCs w:val="20"/>
              </w:rPr>
            </w:pPr>
          </w:p>
        </w:tc>
        <w:tc>
          <w:tcPr>
            <w:tcW w:w="3810" w:type="dxa"/>
            <w:vMerge/>
            <w:tcBorders>
              <w:top w:val="nil"/>
              <w:left w:val="single" w:sz="8" w:space="0" w:color="auto"/>
              <w:bottom w:val="single" w:sz="8" w:space="0" w:color="000000"/>
              <w:right w:val="double" w:sz="6" w:space="0" w:color="auto"/>
            </w:tcBorders>
            <w:vAlign w:val="center"/>
            <w:hideMark/>
          </w:tcPr>
          <w:p w:rsidR="00D3477C" w:rsidRPr="00074622" w:rsidRDefault="00D3477C" w:rsidP="00D3477C">
            <w:pPr>
              <w:jc w:val="center"/>
              <w:rPr>
                <w:rFonts w:eastAsia="Times New Roman"/>
                <w:b/>
                <w:bCs/>
                <w:color w:val="000000"/>
                <w:szCs w:val="20"/>
              </w:rPr>
            </w:pPr>
          </w:p>
        </w:tc>
        <w:tc>
          <w:tcPr>
            <w:tcW w:w="957" w:type="dxa"/>
            <w:vMerge w:val="restart"/>
            <w:tcBorders>
              <w:top w:val="nil"/>
              <w:left w:val="double" w:sz="6" w:space="0" w:color="auto"/>
              <w:bottom w:val="single" w:sz="8" w:space="0" w:color="000000"/>
              <w:right w:val="nil"/>
            </w:tcBorders>
            <w:shd w:val="clear" w:color="000000" w:fill="FABF8F"/>
            <w:noWrap/>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2017</w:t>
            </w:r>
          </w:p>
        </w:tc>
        <w:tc>
          <w:tcPr>
            <w:tcW w:w="957" w:type="dxa"/>
            <w:vMerge w:val="restart"/>
            <w:tcBorders>
              <w:top w:val="nil"/>
              <w:left w:val="single" w:sz="4" w:space="0" w:color="auto"/>
              <w:bottom w:val="single" w:sz="8" w:space="0" w:color="000000"/>
              <w:right w:val="double" w:sz="6" w:space="0" w:color="auto"/>
            </w:tcBorders>
            <w:shd w:val="clear" w:color="000000" w:fill="FABF8F"/>
            <w:noWrap/>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2016</w:t>
            </w:r>
          </w:p>
        </w:tc>
        <w:tc>
          <w:tcPr>
            <w:tcW w:w="888" w:type="dxa"/>
            <w:tcBorders>
              <w:top w:val="nil"/>
              <w:left w:val="nil"/>
              <w:bottom w:val="nil"/>
              <w:right w:val="nil"/>
            </w:tcBorders>
            <w:shd w:val="clear" w:color="000000" w:fill="FABF8F"/>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2017 /</w:t>
            </w:r>
          </w:p>
        </w:tc>
        <w:tc>
          <w:tcPr>
            <w:tcW w:w="1166" w:type="dxa"/>
            <w:vMerge w:val="restart"/>
            <w:tcBorders>
              <w:top w:val="nil"/>
              <w:left w:val="single" w:sz="4" w:space="0" w:color="auto"/>
              <w:bottom w:val="single" w:sz="8" w:space="0" w:color="000000"/>
              <w:right w:val="double" w:sz="6" w:space="0" w:color="auto"/>
            </w:tcBorders>
            <w:shd w:val="clear" w:color="000000" w:fill="FABF8F"/>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 e 2017 kundrejt 2016</w:t>
            </w:r>
          </w:p>
        </w:tc>
      </w:tr>
      <w:tr w:rsidR="00D3477C" w:rsidRPr="00074622" w:rsidTr="006A33D1">
        <w:trPr>
          <w:trHeight w:val="335"/>
        </w:trPr>
        <w:tc>
          <w:tcPr>
            <w:tcW w:w="459" w:type="dxa"/>
            <w:vMerge/>
            <w:tcBorders>
              <w:top w:val="nil"/>
              <w:left w:val="double" w:sz="6" w:space="0" w:color="auto"/>
              <w:bottom w:val="single" w:sz="8" w:space="0" w:color="000000"/>
              <w:right w:val="nil"/>
            </w:tcBorders>
            <w:vAlign w:val="center"/>
            <w:hideMark/>
          </w:tcPr>
          <w:p w:rsidR="00D3477C" w:rsidRPr="00074622" w:rsidRDefault="00D3477C" w:rsidP="00D3477C">
            <w:pPr>
              <w:jc w:val="center"/>
              <w:rPr>
                <w:rFonts w:eastAsia="Times New Roman"/>
                <w:b/>
                <w:bCs/>
                <w:color w:val="000000"/>
                <w:szCs w:val="20"/>
              </w:rPr>
            </w:pPr>
          </w:p>
        </w:tc>
        <w:tc>
          <w:tcPr>
            <w:tcW w:w="3810" w:type="dxa"/>
            <w:vMerge/>
            <w:tcBorders>
              <w:top w:val="nil"/>
              <w:left w:val="single" w:sz="8" w:space="0" w:color="auto"/>
              <w:bottom w:val="single" w:sz="8" w:space="0" w:color="000000"/>
              <w:right w:val="double" w:sz="6" w:space="0" w:color="auto"/>
            </w:tcBorders>
            <w:vAlign w:val="center"/>
            <w:hideMark/>
          </w:tcPr>
          <w:p w:rsidR="00D3477C" w:rsidRPr="00074622" w:rsidRDefault="00D3477C" w:rsidP="00D3477C">
            <w:pPr>
              <w:jc w:val="center"/>
              <w:rPr>
                <w:rFonts w:eastAsia="Times New Roman"/>
                <w:b/>
                <w:bCs/>
                <w:color w:val="000000"/>
                <w:szCs w:val="20"/>
              </w:rPr>
            </w:pPr>
          </w:p>
        </w:tc>
        <w:tc>
          <w:tcPr>
            <w:tcW w:w="957" w:type="dxa"/>
            <w:vMerge/>
            <w:tcBorders>
              <w:top w:val="nil"/>
              <w:left w:val="double" w:sz="6" w:space="0" w:color="auto"/>
              <w:bottom w:val="single" w:sz="8" w:space="0" w:color="000000"/>
              <w:right w:val="nil"/>
            </w:tcBorders>
            <w:vAlign w:val="center"/>
            <w:hideMark/>
          </w:tcPr>
          <w:p w:rsidR="00D3477C" w:rsidRPr="00074622" w:rsidRDefault="00D3477C" w:rsidP="00D3477C">
            <w:pPr>
              <w:jc w:val="center"/>
              <w:rPr>
                <w:rFonts w:eastAsia="Times New Roman"/>
                <w:b/>
                <w:bCs/>
                <w:color w:val="000000"/>
                <w:szCs w:val="20"/>
              </w:rPr>
            </w:pPr>
          </w:p>
        </w:tc>
        <w:tc>
          <w:tcPr>
            <w:tcW w:w="957" w:type="dxa"/>
            <w:vMerge/>
            <w:tcBorders>
              <w:top w:val="nil"/>
              <w:left w:val="single" w:sz="4" w:space="0" w:color="auto"/>
              <w:bottom w:val="single" w:sz="8" w:space="0" w:color="000000"/>
              <w:right w:val="double" w:sz="6" w:space="0" w:color="auto"/>
            </w:tcBorders>
            <w:vAlign w:val="center"/>
            <w:hideMark/>
          </w:tcPr>
          <w:p w:rsidR="00D3477C" w:rsidRPr="00074622" w:rsidRDefault="00D3477C" w:rsidP="00D3477C">
            <w:pPr>
              <w:jc w:val="center"/>
              <w:rPr>
                <w:rFonts w:eastAsia="Times New Roman"/>
                <w:b/>
                <w:bCs/>
                <w:color w:val="000000"/>
                <w:szCs w:val="20"/>
              </w:rPr>
            </w:pPr>
          </w:p>
        </w:tc>
        <w:tc>
          <w:tcPr>
            <w:tcW w:w="888" w:type="dxa"/>
            <w:tcBorders>
              <w:top w:val="nil"/>
              <w:left w:val="nil"/>
              <w:bottom w:val="single" w:sz="8" w:space="0" w:color="auto"/>
              <w:right w:val="nil"/>
            </w:tcBorders>
            <w:shd w:val="clear" w:color="000000" w:fill="FABF8F"/>
            <w:vAlign w:val="center"/>
            <w:hideMark/>
          </w:tcPr>
          <w:p w:rsidR="00D3477C" w:rsidRPr="00074622" w:rsidRDefault="00D3477C" w:rsidP="00D3477C">
            <w:pPr>
              <w:jc w:val="center"/>
              <w:rPr>
                <w:rFonts w:eastAsia="Times New Roman"/>
                <w:b/>
                <w:bCs/>
                <w:color w:val="000000"/>
                <w:szCs w:val="20"/>
              </w:rPr>
            </w:pPr>
            <w:r w:rsidRPr="00074622">
              <w:rPr>
                <w:rFonts w:eastAsia="Times New Roman"/>
                <w:b/>
                <w:bCs/>
                <w:color w:val="000000"/>
                <w:szCs w:val="20"/>
              </w:rPr>
              <w:t>2016</w:t>
            </w:r>
          </w:p>
        </w:tc>
        <w:tc>
          <w:tcPr>
            <w:tcW w:w="1166" w:type="dxa"/>
            <w:vMerge/>
            <w:tcBorders>
              <w:top w:val="nil"/>
              <w:left w:val="single" w:sz="4" w:space="0" w:color="auto"/>
              <w:bottom w:val="single" w:sz="8" w:space="0" w:color="000000"/>
              <w:right w:val="double" w:sz="6" w:space="0" w:color="auto"/>
            </w:tcBorders>
            <w:vAlign w:val="center"/>
            <w:hideMark/>
          </w:tcPr>
          <w:p w:rsidR="00D3477C" w:rsidRPr="00074622" w:rsidRDefault="00D3477C" w:rsidP="00D3477C">
            <w:pPr>
              <w:jc w:val="center"/>
              <w:rPr>
                <w:rFonts w:eastAsia="Times New Roman"/>
                <w:b/>
                <w:bCs/>
                <w:color w:val="000000"/>
                <w:szCs w:val="20"/>
              </w:rPr>
            </w:pPr>
          </w:p>
        </w:tc>
      </w:tr>
      <w:tr w:rsidR="00D3477C" w:rsidRPr="00074622" w:rsidTr="006A33D1">
        <w:trPr>
          <w:trHeight w:val="263"/>
        </w:trPr>
        <w:tc>
          <w:tcPr>
            <w:tcW w:w="459" w:type="dxa"/>
            <w:tcBorders>
              <w:top w:val="nil"/>
              <w:left w:val="double" w:sz="6" w:space="0" w:color="auto"/>
              <w:bottom w:val="single" w:sz="8" w:space="0" w:color="auto"/>
              <w:right w:val="single" w:sz="8" w:space="0" w:color="C0C0C0"/>
            </w:tcBorders>
            <w:shd w:val="clear" w:color="auto" w:fill="auto"/>
            <w:noWrap/>
            <w:vAlign w:val="center"/>
            <w:hideMark/>
          </w:tcPr>
          <w:p w:rsidR="00D3477C" w:rsidRPr="00074622" w:rsidRDefault="00D3477C" w:rsidP="00D3477C">
            <w:pPr>
              <w:jc w:val="center"/>
              <w:rPr>
                <w:rFonts w:eastAsia="Times New Roman"/>
                <w:b/>
                <w:bCs/>
                <w:color w:val="000000"/>
                <w:sz w:val="22"/>
              </w:rPr>
            </w:pPr>
            <w:r w:rsidRPr="00074622">
              <w:rPr>
                <w:rFonts w:eastAsia="Times New Roman"/>
                <w:b/>
                <w:bCs/>
                <w:color w:val="000000"/>
                <w:sz w:val="22"/>
              </w:rPr>
              <w:t>I.</w:t>
            </w:r>
          </w:p>
        </w:tc>
        <w:tc>
          <w:tcPr>
            <w:tcW w:w="3810" w:type="dxa"/>
            <w:tcBorders>
              <w:top w:val="nil"/>
              <w:left w:val="nil"/>
              <w:bottom w:val="single" w:sz="8" w:space="0" w:color="auto"/>
              <w:right w:val="double" w:sz="6" w:space="0" w:color="auto"/>
            </w:tcBorders>
            <w:shd w:val="clear" w:color="auto" w:fill="auto"/>
            <w:noWrap/>
            <w:vAlign w:val="center"/>
            <w:hideMark/>
          </w:tcPr>
          <w:p w:rsidR="00D3477C" w:rsidRPr="00074622" w:rsidRDefault="00D3477C" w:rsidP="00D3477C">
            <w:pPr>
              <w:jc w:val="center"/>
              <w:rPr>
                <w:rFonts w:eastAsia="Times New Roman"/>
                <w:b/>
                <w:bCs/>
                <w:color w:val="000000"/>
                <w:sz w:val="22"/>
              </w:rPr>
            </w:pPr>
            <w:r w:rsidRPr="00074622">
              <w:rPr>
                <w:rFonts w:eastAsia="Times New Roman"/>
                <w:b/>
                <w:bCs/>
                <w:color w:val="000000"/>
                <w:sz w:val="22"/>
              </w:rPr>
              <w:t>Të ardhura nga Pushteti vendor</w:t>
            </w:r>
          </w:p>
        </w:tc>
        <w:tc>
          <w:tcPr>
            <w:tcW w:w="957" w:type="dxa"/>
            <w:tcBorders>
              <w:top w:val="nil"/>
              <w:left w:val="nil"/>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15,358</w:t>
            </w:r>
          </w:p>
        </w:tc>
        <w:tc>
          <w:tcPr>
            <w:tcW w:w="957" w:type="dxa"/>
            <w:tcBorders>
              <w:top w:val="nil"/>
              <w:left w:val="nil"/>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11,624</w:t>
            </w:r>
          </w:p>
        </w:tc>
        <w:tc>
          <w:tcPr>
            <w:tcW w:w="888" w:type="dxa"/>
            <w:tcBorders>
              <w:top w:val="nil"/>
              <w:left w:val="double" w:sz="6" w:space="0" w:color="auto"/>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3,734</w:t>
            </w:r>
          </w:p>
        </w:tc>
        <w:tc>
          <w:tcPr>
            <w:tcW w:w="1166" w:type="dxa"/>
            <w:tcBorders>
              <w:top w:val="nil"/>
              <w:left w:val="nil"/>
              <w:bottom w:val="single" w:sz="8" w:space="0" w:color="auto"/>
              <w:right w:val="double" w:sz="6" w:space="0" w:color="auto"/>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132%</w:t>
            </w:r>
          </w:p>
        </w:tc>
      </w:tr>
      <w:tr w:rsidR="00D3477C" w:rsidRPr="00074622" w:rsidTr="006A33D1">
        <w:trPr>
          <w:trHeight w:val="287"/>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r w:rsidRPr="00074622">
              <w:rPr>
                <w:rFonts w:eastAsia="Times New Roman"/>
                <w:color w:val="000000"/>
                <w:sz w:val="22"/>
              </w:rPr>
              <w:t>I.1</w:t>
            </w: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Taksa mbi pasurinë</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4,009</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3,827</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182</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105%</w:t>
            </w:r>
          </w:p>
        </w:tc>
      </w:tr>
      <w:tr w:rsidR="00D3477C" w:rsidRPr="00074622" w:rsidTr="006A33D1">
        <w:trPr>
          <w:trHeight w:val="263"/>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r w:rsidRPr="00074622">
              <w:rPr>
                <w:rFonts w:eastAsia="Times New Roman"/>
                <w:color w:val="000000"/>
                <w:sz w:val="22"/>
              </w:rPr>
              <w:t>I.2</w:t>
            </w: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Taksa e biznesit të vogël</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262</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565</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-303</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46%</w:t>
            </w:r>
          </w:p>
        </w:tc>
      </w:tr>
      <w:tr w:rsidR="00D3477C" w:rsidRPr="00074622" w:rsidTr="006A33D1">
        <w:trPr>
          <w:trHeight w:val="263"/>
        </w:trPr>
        <w:tc>
          <w:tcPr>
            <w:tcW w:w="459" w:type="dxa"/>
            <w:tcBorders>
              <w:top w:val="nil"/>
              <w:left w:val="double" w:sz="6" w:space="0" w:color="auto"/>
              <w:bottom w:val="single" w:sz="8" w:space="0" w:color="auto"/>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r w:rsidRPr="00074622">
              <w:rPr>
                <w:rFonts w:eastAsia="Times New Roman"/>
                <w:color w:val="000000"/>
                <w:sz w:val="22"/>
              </w:rPr>
              <w:t>I.3</w:t>
            </w:r>
          </w:p>
        </w:tc>
        <w:tc>
          <w:tcPr>
            <w:tcW w:w="3810" w:type="dxa"/>
            <w:tcBorders>
              <w:top w:val="nil"/>
              <w:left w:val="nil"/>
              <w:bottom w:val="single" w:sz="8" w:space="0" w:color="auto"/>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Taksa Lokale</w:t>
            </w:r>
          </w:p>
        </w:tc>
        <w:tc>
          <w:tcPr>
            <w:tcW w:w="957" w:type="dxa"/>
            <w:tcBorders>
              <w:top w:val="nil"/>
              <w:left w:val="nil"/>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11,087</w:t>
            </w:r>
          </w:p>
        </w:tc>
        <w:tc>
          <w:tcPr>
            <w:tcW w:w="957" w:type="dxa"/>
            <w:tcBorders>
              <w:top w:val="nil"/>
              <w:left w:val="nil"/>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7,232</w:t>
            </w:r>
          </w:p>
        </w:tc>
        <w:tc>
          <w:tcPr>
            <w:tcW w:w="888" w:type="dxa"/>
            <w:tcBorders>
              <w:top w:val="nil"/>
              <w:left w:val="double" w:sz="6" w:space="0" w:color="auto"/>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3,855</w:t>
            </w:r>
          </w:p>
        </w:tc>
        <w:tc>
          <w:tcPr>
            <w:tcW w:w="1166" w:type="dxa"/>
            <w:tcBorders>
              <w:top w:val="nil"/>
              <w:left w:val="nil"/>
              <w:bottom w:val="single" w:sz="8" w:space="0" w:color="auto"/>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153%</w:t>
            </w:r>
          </w:p>
        </w:tc>
      </w:tr>
      <w:tr w:rsidR="00D3477C" w:rsidRPr="00074622" w:rsidTr="006A33D1">
        <w:trPr>
          <w:trHeight w:val="263"/>
        </w:trPr>
        <w:tc>
          <w:tcPr>
            <w:tcW w:w="459" w:type="dxa"/>
            <w:tcBorders>
              <w:top w:val="nil"/>
              <w:left w:val="double" w:sz="6" w:space="0" w:color="auto"/>
              <w:bottom w:val="single" w:sz="8" w:space="0" w:color="auto"/>
              <w:right w:val="single" w:sz="8" w:space="0" w:color="C0C0C0"/>
            </w:tcBorders>
            <w:shd w:val="clear" w:color="auto" w:fill="auto"/>
            <w:noWrap/>
            <w:vAlign w:val="center"/>
            <w:hideMark/>
          </w:tcPr>
          <w:p w:rsidR="00D3477C" w:rsidRPr="00074622" w:rsidRDefault="00D3477C" w:rsidP="00D3477C">
            <w:pPr>
              <w:jc w:val="center"/>
              <w:rPr>
                <w:rFonts w:eastAsia="Times New Roman"/>
                <w:b/>
                <w:bCs/>
                <w:color w:val="000000"/>
                <w:sz w:val="22"/>
              </w:rPr>
            </w:pPr>
            <w:r w:rsidRPr="00074622">
              <w:rPr>
                <w:rFonts w:eastAsia="Times New Roman"/>
                <w:b/>
                <w:bCs/>
                <w:color w:val="000000"/>
                <w:sz w:val="22"/>
              </w:rPr>
              <w:t>II.</w:t>
            </w:r>
          </w:p>
        </w:tc>
        <w:tc>
          <w:tcPr>
            <w:tcW w:w="3810" w:type="dxa"/>
            <w:tcBorders>
              <w:top w:val="nil"/>
              <w:left w:val="nil"/>
              <w:bottom w:val="single" w:sz="8" w:space="0" w:color="auto"/>
              <w:right w:val="double" w:sz="6" w:space="0" w:color="auto"/>
            </w:tcBorders>
            <w:shd w:val="clear" w:color="auto" w:fill="auto"/>
            <w:noWrap/>
            <w:vAlign w:val="center"/>
            <w:hideMark/>
          </w:tcPr>
          <w:p w:rsidR="00D3477C" w:rsidRPr="00074622" w:rsidRDefault="00D3477C" w:rsidP="00D3477C">
            <w:pPr>
              <w:jc w:val="center"/>
              <w:rPr>
                <w:rFonts w:eastAsia="Times New Roman"/>
                <w:b/>
                <w:bCs/>
                <w:color w:val="000000"/>
                <w:sz w:val="22"/>
              </w:rPr>
            </w:pPr>
            <w:r w:rsidRPr="00074622">
              <w:rPr>
                <w:rFonts w:eastAsia="Times New Roman"/>
                <w:b/>
                <w:bCs/>
                <w:color w:val="000000"/>
                <w:sz w:val="22"/>
              </w:rPr>
              <w:t>Shpenzime nga Pushtetit Vendor</w:t>
            </w:r>
          </w:p>
        </w:tc>
        <w:tc>
          <w:tcPr>
            <w:tcW w:w="957" w:type="dxa"/>
            <w:tcBorders>
              <w:top w:val="nil"/>
              <w:left w:val="nil"/>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37,795</w:t>
            </w:r>
          </w:p>
        </w:tc>
        <w:tc>
          <w:tcPr>
            <w:tcW w:w="957" w:type="dxa"/>
            <w:tcBorders>
              <w:top w:val="nil"/>
              <w:left w:val="nil"/>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26,047</w:t>
            </w:r>
          </w:p>
        </w:tc>
        <w:tc>
          <w:tcPr>
            <w:tcW w:w="888" w:type="dxa"/>
            <w:tcBorders>
              <w:top w:val="nil"/>
              <w:left w:val="double" w:sz="6" w:space="0" w:color="auto"/>
              <w:bottom w:val="single" w:sz="8" w:space="0" w:color="auto"/>
              <w:right w:val="nil"/>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11,748</w:t>
            </w:r>
          </w:p>
        </w:tc>
        <w:tc>
          <w:tcPr>
            <w:tcW w:w="1166" w:type="dxa"/>
            <w:tcBorders>
              <w:top w:val="nil"/>
              <w:left w:val="nil"/>
              <w:bottom w:val="single" w:sz="8" w:space="0" w:color="auto"/>
              <w:right w:val="double" w:sz="6" w:space="0" w:color="auto"/>
            </w:tcBorders>
            <w:shd w:val="clear" w:color="auto" w:fill="auto"/>
            <w:noWrap/>
            <w:vAlign w:val="center"/>
            <w:hideMark/>
          </w:tcPr>
          <w:p w:rsidR="00D3477C" w:rsidRPr="002F7BF2" w:rsidRDefault="00D3477C" w:rsidP="00D3477C">
            <w:pPr>
              <w:jc w:val="center"/>
              <w:rPr>
                <w:rFonts w:eastAsia="Times New Roman"/>
                <w:b/>
                <w:bCs/>
                <w:color w:val="000000"/>
                <w:szCs w:val="20"/>
              </w:rPr>
            </w:pPr>
            <w:r w:rsidRPr="002F7BF2">
              <w:rPr>
                <w:rFonts w:eastAsia="Times New Roman"/>
                <w:b/>
                <w:bCs/>
                <w:color w:val="000000"/>
                <w:szCs w:val="20"/>
              </w:rPr>
              <w:t>145%</w:t>
            </w:r>
          </w:p>
        </w:tc>
      </w:tr>
      <w:tr w:rsidR="00D3477C" w:rsidRPr="00074622" w:rsidTr="006A33D1">
        <w:trPr>
          <w:trHeight w:val="263"/>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r w:rsidRPr="00074622">
              <w:rPr>
                <w:rFonts w:eastAsia="Times New Roman"/>
                <w:color w:val="000000"/>
                <w:sz w:val="22"/>
              </w:rPr>
              <w:t>II.1</w:t>
            </w: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b/>
                <w:bCs/>
                <w:i/>
                <w:iCs/>
                <w:color w:val="000000"/>
                <w:sz w:val="22"/>
              </w:rPr>
            </w:pPr>
            <w:r w:rsidRPr="00074622">
              <w:rPr>
                <w:rFonts w:eastAsia="Times New Roman"/>
                <w:b/>
                <w:bCs/>
                <w:i/>
                <w:iCs/>
                <w:color w:val="000000"/>
                <w:sz w:val="22"/>
              </w:rPr>
              <w:t>Shpenzime Korente</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24,123</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18,672</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5,451</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129%</w:t>
            </w:r>
          </w:p>
        </w:tc>
      </w:tr>
      <w:tr w:rsidR="00D3477C" w:rsidRPr="00074622" w:rsidTr="006A33D1">
        <w:trPr>
          <w:trHeight w:val="263"/>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Personeli</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14,890</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11,538</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3,352</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129%</w:t>
            </w:r>
          </w:p>
        </w:tc>
      </w:tr>
      <w:tr w:rsidR="00D3477C" w:rsidRPr="00074622" w:rsidTr="006A33D1">
        <w:trPr>
          <w:trHeight w:val="263"/>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Shpenzime Oper. Mirmbajtje</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8,346</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6,589</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1,757</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127%</w:t>
            </w:r>
          </w:p>
        </w:tc>
      </w:tr>
      <w:tr w:rsidR="00D3477C" w:rsidRPr="00074622" w:rsidTr="006A33D1">
        <w:trPr>
          <w:trHeight w:val="263"/>
        </w:trPr>
        <w:tc>
          <w:tcPr>
            <w:tcW w:w="459" w:type="dxa"/>
            <w:tcBorders>
              <w:top w:val="nil"/>
              <w:left w:val="double" w:sz="6" w:space="0" w:color="auto"/>
              <w:bottom w:val="nil"/>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Interesa</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33</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36</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-3</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92%</w:t>
            </w:r>
          </w:p>
        </w:tc>
      </w:tr>
      <w:tr w:rsidR="00D3477C" w:rsidRPr="00074622" w:rsidTr="006A33D1">
        <w:trPr>
          <w:trHeight w:val="263"/>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Subvencione</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428</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72</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356</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594%</w:t>
            </w:r>
          </w:p>
        </w:tc>
      </w:tr>
      <w:tr w:rsidR="00D3477C" w:rsidRPr="00074622" w:rsidTr="006A33D1">
        <w:trPr>
          <w:trHeight w:val="263"/>
        </w:trPr>
        <w:tc>
          <w:tcPr>
            <w:tcW w:w="459" w:type="dxa"/>
            <w:tcBorders>
              <w:top w:val="nil"/>
              <w:left w:val="double" w:sz="6" w:space="0" w:color="auto"/>
              <w:bottom w:val="single" w:sz="8" w:space="0" w:color="C0C0C0"/>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p>
        </w:tc>
        <w:tc>
          <w:tcPr>
            <w:tcW w:w="3810" w:type="dxa"/>
            <w:tcBorders>
              <w:top w:val="nil"/>
              <w:left w:val="nil"/>
              <w:bottom w:val="single" w:sz="8" w:space="0" w:color="C0C0C0"/>
              <w:right w:val="double" w:sz="6" w:space="0" w:color="auto"/>
            </w:tcBorders>
            <w:shd w:val="clear" w:color="auto" w:fill="auto"/>
            <w:noWrap/>
            <w:vAlign w:val="center"/>
            <w:hideMark/>
          </w:tcPr>
          <w:p w:rsidR="00D3477C" w:rsidRPr="00074622" w:rsidRDefault="00D3477C" w:rsidP="00D3477C">
            <w:pPr>
              <w:jc w:val="center"/>
              <w:rPr>
                <w:rFonts w:eastAsia="Times New Roman"/>
                <w:i/>
                <w:iCs/>
                <w:color w:val="000000"/>
                <w:sz w:val="22"/>
              </w:rPr>
            </w:pPr>
            <w:r w:rsidRPr="00074622">
              <w:rPr>
                <w:rFonts w:eastAsia="Times New Roman"/>
                <w:i/>
                <w:iCs/>
                <w:color w:val="000000"/>
                <w:sz w:val="22"/>
              </w:rPr>
              <w:t>Te tjera</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426</w:t>
            </w:r>
          </w:p>
        </w:tc>
        <w:tc>
          <w:tcPr>
            <w:tcW w:w="957" w:type="dxa"/>
            <w:tcBorders>
              <w:top w:val="nil"/>
              <w:left w:val="nil"/>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i/>
                <w:iCs/>
                <w:color w:val="000000"/>
                <w:szCs w:val="20"/>
              </w:rPr>
            </w:pPr>
            <w:r w:rsidRPr="002F7BF2">
              <w:rPr>
                <w:rFonts w:eastAsia="Times New Roman"/>
                <w:i/>
                <w:iCs/>
                <w:color w:val="000000"/>
                <w:szCs w:val="20"/>
              </w:rPr>
              <w:t>437</w:t>
            </w:r>
          </w:p>
        </w:tc>
        <w:tc>
          <w:tcPr>
            <w:tcW w:w="888" w:type="dxa"/>
            <w:tcBorders>
              <w:top w:val="nil"/>
              <w:left w:val="double" w:sz="6" w:space="0" w:color="auto"/>
              <w:bottom w:val="single" w:sz="8" w:space="0" w:color="C0C0C0"/>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-11</w:t>
            </w:r>
          </w:p>
        </w:tc>
        <w:tc>
          <w:tcPr>
            <w:tcW w:w="1166" w:type="dxa"/>
            <w:tcBorders>
              <w:top w:val="nil"/>
              <w:left w:val="nil"/>
              <w:bottom w:val="single" w:sz="8" w:space="0" w:color="C0C0C0"/>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97%</w:t>
            </w:r>
          </w:p>
        </w:tc>
      </w:tr>
      <w:tr w:rsidR="00D3477C" w:rsidRPr="00074622" w:rsidTr="006A33D1">
        <w:trPr>
          <w:trHeight w:val="263"/>
        </w:trPr>
        <w:tc>
          <w:tcPr>
            <w:tcW w:w="459" w:type="dxa"/>
            <w:tcBorders>
              <w:top w:val="single" w:sz="8" w:space="0" w:color="C0C0C0"/>
              <w:left w:val="double" w:sz="6" w:space="0" w:color="auto"/>
              <w:bottom w:val="double" w:sz="4" w:space="0" w:color="auto"/>
              <w:right w:val="single" w:sz="8" w:space="0" w:color="C0C0C0"/>
            </w:tcBorders>
            <w:shd w:val="clear" w:color="auto" w:fill="auto"/>
            <w:noWrap/>
            <w:vAlign w:val="center"/>
            <w:hideMark/>
          </w:tcPr>
          <w:p w:rsidR="00D3477C" w:rsidRPr="00074622" w:rsidRDefault="00D3477C" w:rsidP="00D3477C">
            <w:pPr>
              <w:jc w:val="center"/>
              <w:rPr>
                <w:rFonts w:eastAsia="Times New Roman"/>
                <w:color w:val="000000"/>
                <w:sz w:val="22"/>
              </w:rPr>
            </w:pPr>
            <w:r w:rsidRPr="00074622">
              <w:rPr>
                <w:rFonts w:eastAsia="Times New Roman"/>
                <w:color w:val="000000"/>
                <w:sz w:val="22"/>
              </w:rPr>
              <w:t>II.2</w:t>
            </w:r>
          </w:p>
        </w:tc>
        <w:tc>
          <w:tcPr>
            <w:tcW w:w="3810" w:type="dxa"/>
            <w:tcBorders>
              <w:top w:val="single" w:sz="8" w:space="0" w:color="C0C0C0"/>
              <w:left w:val="nil"/>
              <w:bottom w:val="double" w:sz="4" w:space="0" w:color="auto"/>
              <w:right w:val="double" w:sz="6" w:space="0" w:color="auto"/>
            </w:tcBorders>
            <w:shd w:val="clear" w:color="auto" w:fill="auto"/>
            <w:noWrap/>
            <w:vAlign w:val="center"/>
            <w:hideMark/>
          </w:tcPr>
          <w:p w:rsidR="00D3477C" w:rsidRPr="00074622" w:rsidRDefault="00D3477C" w:rsidP="00D3477C">
            <w:pPr>
              <w:jc w:val="center"/>
              <w:rPr>
                <w:rFonts w:eastAsia="Times New Roman"/>
                <w:b/>
                <w:bCs/>
                <w:i/>
                <w:iCs/>
                <w:color w:val="000000"/>
                <w:sz w:val="22"/>
              </w:rPr>
            </w:pPr>
            <w:r w:rsidRPr="00074622">
              <w:rPr>
                <w:rFonts w:eastAsia="Times New Roman"/>
                <w:b/>
                <w:bCs/>
                <w:i/>
                <w:iCs/>
                <w:color w:val="000000"/>
                <w:sz w:val="22"/>
              </w:rPr>
              <w:t>Shpenzime Kapitale</w:t>
            </w:r>
          </w:p>
        </w:tc>
        <w:tc>
          <w:tcPr>
            <w:tcW w:w="957" w:type="dxa"/>
            <w:tcBorders>
              <w:top w:val="single" w:sz="8" w:space="0" w:color="C0C0C0"/>
              <w:left w:val="nil"/>
              <w:bottom w:val="double" w:sz="4" w:space="0" w:color="auto"/>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13,672</w:t>
            </w:r>
          </w:p>
        </w:tc>
        <w:tc>
          <w:tcPr>
            <w:tcW w:w="957" w:type="dxa"/>
            <w:tcBorders>
              <w:top w:val="single" w:sz="8" w:space="0" w:color="C0C0C0"/>
              <w:left w:val="nil"/>
              <w:bottom w:val="double" w:sz="4" w:space="0" w:color="auto"/>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7,375</w:t>
            </w:r>
          </w:p>
        </w:tc>
        <w:tc>
          <w:tcPr>
            <w:tcW w:w="888" w:type="dxa"/>
            <w:tcBorders>
              <w:top w:val="single" w:sz="8" w:space="0" w:color="C0C0C0"/>
              <w:left w:val="double" w:sz="6" w:space="0" w:color="auto"/>
              <w:bottom w:val="double" w:sz="4" w:space="0" w:color="auto"/>
              <w:right w:val="nil"/>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6,297</w:t>
            </w:r>
          </w:p>
        </w:tc>
        <w:tc>
          <w:tcPr>
            <w:tcW w:w="1166" w:type="dxa"/>
            <w:tcBorders>
              <w:top w:val="single" w:sz="8" w:space="0" w:color="C0C0C0"/>
              <w:left w:val="nil"/>
              <w:bottom w:val="double" w:sz="4" w:space="0" w:color="auto"/>
              <w:right w:val="double" w:sz="6" w:space="0" w:color="auto"/>
            </w:tcBorders>
            <w:shd w:val="clear" w:color="auto" w:fill="auto"/>
            <w:noWrap/>
            <w:vAlign w:val="center"/>
            <w:hideMark/>
          </w:tcPr>
          <w:p w:rsidR="00D3477C" w:rsidRPr="002F7BF2" w:rsidRDefault="00D3477C" w:rsidP="00D3477C">
            <w:pPr>
              <w:jc w:val="center"/>
              <w:rPr>
                <w:rFonts w:eastAsia="Times New Roman"/>
                <w:color w:val="000000"/>
                <w:szCs w:val="20"/>
              </w:rPr>
            </w:pPr>
            <w:r w:rsidRPr="002F7BF2">
              <w:rPr>
                <w:rFonts w:eastAsia="Times New Roman"/>
                <w:color w:val="000000"/>
                <w:szCs w:val="20"/>
              </w:rPr>
              <w:t>185%</w:t>
            </w:r>
          </w:p>
        </w:tc>
      </w:tr>
    </w:tbl>
    <w:p w:rsidR="00D3477C" w:rsidRPr="00D3477C" w:rsidRDefault="00D3477C" w:rsidP="00D3477C">
      <w:pPr>
        <w:rPr>
          <w:rFonts w:eastAsia="Times New Roman"/>
          <w:i/>
          <w:sz w:val="20"/>
          <w:szCs w:val="20"/>
        </w:rPr>
      </w:pPr>
      <w:r w:rsidRPr="00A312EB">
        <w:rPr>
          <w:rFonts w:eastAsia="Times New Roman"/>
          <w:b/>
          <w:i/>
          <w:sz w:val="20"/>
          <w:szCs w:val="20"/>
        </w:rPr>
        <w:t>Burimi:</w:t>
      </w:r>
      <w:r w:rsidRPr="00D3477C">
        <w:rPr>
          <w:rFonts w:eastAsia="Times New Roman"/>
          <w:i/>
          <w:sz w:val="20"/>
          <w:szCs w:val="20"/>
        </w:rPr>
        <w:t xml:space="preserve"> Ministria e Financave</w:t>
      </w:r>
      <w:r>
        <w:rPr>
          <w:rFonts w:eastAsia="Times New Roman"/>
          <w:i/>
          <w:sz w:val="20"/>
          <w:szCs w:val="20"/>
        </w:rPr>
        <w:t xml:space="preserve"> dhe Ekonomis</w:t>
      </w:r>
      <w:r w:rsidR="00A312EB">
        <w:rPr>
          <w:rFonts w:eastAsia="Times New Roman"/>
          <w:i/>
          <w:sz w:val="20"/>
          <w:szCs w:val="20"/>
        </w:rPr>
        <w:t>ë (2017)</w:t>
      </w:r>
    </w:p>
    <w:p w:rsidR="00D3477C" w:rsidRDefault="00D3477C" w:rsidP="005E648C">
      <w:pPr>
        <w:spacing w:line="276" w:lineRule="auto"/>
        <w:rPr>
          <w:rFonts w:eastAsia="Times New Roman"/>
          <w:b/>
          <w:i/>
        </w:rPr>
      </w:pPr>
    </w:p>
    <w:p w:rsidR="00D3477C" w:rsidRPr="00553A4F" w:rsidRDefault="00D3477C" w:rsidP="005E648C">
      <w:pPr>
        <w:spacing w:line="276" w:lineRule="auto"/>
        <w:jc w:val="both"/>
        <w:rPr>
          <w:rFonts w:eastAsia="Times New Roman"/>
        </w:rPr>
      </w:pPr>
      <w:r w:rsidRPr="00C57DEC">
        <w:rPr>
          <w:rFonts w:eastAsia="Times New Roman"/>
          <w:i/>
        </w:rPr>
        <w:t>Shpenzimet e Personelit</w:t>
      </w:r>
      <w:r>
        <w:rPr>
          <w:rFonts w:eastAsia="Times New Roman"/>
          <w:i/>
        </w:rPr>
        <w:t>,</w:t>
      </w:r>
      <w:r w:rsidRPr="00553A4F">
        <w:rPr>
          <w:rFonts w:eastAsia="Times New Roman"/>
          <w:b/>
        </w:rPr>
        <w:t xml:space="preserve"> </w:t>
      </w:r>
      <w:r w:rsidRPr="00553A4F">
        <w:rPr>
          <w:rFonts w:eastAsia="Times New Roman"/>
        </w:rPr>
        <w:t>përbëjnë një pjesë të konsiderueshme të shpenzimeve totale të njësive të vetëqeverisjes vendore</w:t>
      </w:r>
      <w:r>
        <w:rPr>
          <w:rFonts w:eastAsia="Times New Roman"/>
        </w:rPr>
        <w:t xml:space="preserve">. </w:t>
      </w:r>
      <w:r w:rsidRPr="00553A4F">
        <w:rPr>
          <w:rFonts w:eastAsia="Times New Roman"/>
        </w:rPr>
        <w:t xml:space="preserve">Për </w:t>
      </w:r>
      <w:r>
        <w:rPr>
          <w:rFonts w:eastAsia="Times New Roman"/>
        </w:rPr>
        <w:t>9</w:t>
      </w:r>
      <w:r w:rsidRPr="00553A4F">
        <w:rPr>
          <w:rFonts w:eastAsia="Times New Roman"/>
        </w:rPr>
        <w:t xml:space="preserve"> mujorin e vitit 2017</w:t>
      </w:r>
      <w:r>
        <w:rPr>
          <w:rFonts w:eastAsia="Times New Roman"/>
        </w:rPr>
        <w:t>,</w:t>
      </w:r>
      <w:r w:rsidRPr="00553A4F">
        <w:rPr>
          <w:rFonts w:eastAsia="Times New Roman"/>
        </w:rPr>
        <w:t xml:space="preserve"> këto shpenzime janë realizuar në masën </w:t>
      </w:r>
      <w:r>
        <w:rPr>
          <w:rFonts w:eastAsia="Times New Roman"/>
        </w:rPr>
        <w:t>14.8</w:t>
      </w:r>
      <w:r w:rsidRPr="00553A4F">
        <w:rPr>
          <w:rFonts w:eastAsia="Times New Roman"/>
        </w:rPr>
        <w:t xml:space="preserve"> miliard lekë ose rreth </w:t>
      </w:r>
      <w:r>
        <w:rPr>
          <w:rFonts w:eastAsia="Times New Roman"/>
        </w:rPr>
        <w:t>3.3</w:t>
      </w:r>
      <w:r w:rsidRPr="00553A4F">
        <w:rPr>
          <w:rFonts w:eastAsia="Times New Roman"/>
        </w:rPr>
        <w:t xml:space="preserve"> miliard lekë më shumë se e njëjta periudhë e vitit 2016. Rritja e këtyre shpenzimeve për vitin 2017, argumentohet me faktin se në buxhetin e vitit 2017 u sistemua shtimi i buxhetit për njësitë e vetëqeverisjes vendore </w:t>
      </w:r>
      <w:r>
        <w:rPr>
          <w:rFonts w:eastAsia="Times New Roman"/>
        </w:rPr>
        <w:t>për arsye të</w:t>
      </w:r>
      <w:r w:rsidRPr="00553A4F">
        <w:rPr>
          <w:rFonts w:eastAsia="Times New Roman"/>
        </w:rPr>
        <w:t xml:space="preserve"> problematika</w:t>
      </w:r>
      <w:r>
        <w:rPr>
          <w:rFonts w:eastAsia="Times New Roman"/>
        </w:rPr>
        <w:t>ve të shfaqura</w:t>
      </w:r>
      <w:r w:rsidRPr="00553A4F">
        <w:rPr>
          <w:rFonts w:eastAsia="Times New Roman"/>
        </w:rPr>
        <w:t xml:space="preserve"> në financim</w:t>
      </w:r>
      <w:r>
        <w:rPr>
          <w:rFonts w:eastAsia="Times New Roman"/>
        </w:rPr>
        <w:t>in</w:t>
      </w:r>
      <w:r w:rsidRPr="00553A4F">
        <w:rPr>
          <w:rFonts w:eastAsia="Times New Roman"/>
        </w:rPr>
        <w:t xml:space="preserve"> për funksionet e transferuar</w:t>
      </w:r>
      <w:r>
        <w:rPr>
          <w:rFonts w:eastAsia="Times New Roman"/>
        </w:rPr>
        <w:t>a</w:t>
      </w:r>
      <w:r w:rsidRPr="00553A4F">
        <w:rPr>
          <w:rFonts w:eastAsia="Times New Roman"/>
        </w:rPr>
        <w:t xml:space="preserve"> në vitin 2016. Në buxhetin e vitit 2017, në vijim të konsolidimit të funksioneve të decentralizuar</w:t>
      </w:r>
      <w:r>
        <w:rPr>
          <w:rFonts w:eastAsia="Times New Roman"/>
        </w:rPr>
        <w:t>a</w:t>
      </w:r>
      <w:r w:rsidRPr="00553A4F">
        <w:rPr>
          <w:rFonts w:eastAsia="Times New Roman"/>
        </w:rPr>
        <w:t xml:space="preserve"> në vitin 2016,</w:t>
      </w:r>
      <w:r>
        <w:rPr>
          <w:rFonts w:eastAsia="Times New Roman"/>
        </w:rPr>
        <w:t xml:space="preserve"> u shtua numri i </w:t>
      </w:r>
      <w:r w:rsidRPr="00553A4F">
        <w:rPr>
          <w:rFonts w:eastAsia="Times New Roman"/>
        </w:rPr>
        <w:t>punonjës</w:t>
      </w:r>
      <w:r>
        <w:rPr>
          <w:rFonts w:eastAsia="Times New Roman"/>
        </w:rPr>
        <w:t>ve</w:t>
      </w:r>
      <w:r w:rsidRPr="00553A4F">
        <w:rPr>
          <w:rFonts w:eastAsia="Times New Roman"/>
        </w:rPr>
        <w:t xml:space="preserve"> për funksione </w:t>
      </w:r>
      <w:r>
        <w:rPr>
          <w:rFonts w:eastAsia="Times New Roman"/>
        </w:rPr>
        <w:t>si:</w:t>
      </w:r>
      <w:r w:rsidRPr="00553A4F">
        <w:rPr>
          <w:rFonts w:eastAsia="Times New Roman"/>
        </w:rPr>
        <w:t xml:space="preserve"> shërbimi i mbrojtjes nga zjarri (zjarrëfikës) në 15 bashki,</w:t>
      </w:r>
      <w:r>
        <w:rPr>
          <w:rFonts w:eastAsia="Times New Roman"/>
        </w:rPr>
        <w:t xml:space="preserve"> administrimi i pyjeve (roje py</w:t>
      </w:r>
      <w:r w:rsidRPr="00553A4F">
        <w:rPr>
          <w:rFonts w:eastAsia="Times New Roman"/>
        </w:rPr>
        <w:t>lli), drejtues dhe mirëmbajtës</w:t>
      </w:r>
      <w:r>
        <w:rPr>
          <w:rFonts w:eastAsia="Times New Roman"/>
        </w:rPr>
        <w:t xml:space="preserve"> të</w:t>
      </w:r>
      <w:r w:rsidRPr="00553A4F">
        <w:rPr>
          <w:rFonts w:eastAsia="Times New Roman"/>
        </w:rPr>
        <w:t xml:space="preserve"> eskavatorë</w:t>
      </w:r>
      <w:r>
        <w:rPr>
          <w:rFonts w:eastAsia="Times New Roman"/>
        </w:rPr>
        <w:t>ve</w:t>
      </w:r>
      <w:r w:rsidRPr="00553A4F">
        <w:rPr>
          <w:rFonts w:eastAsia="Times New Roman"/>
        </w:rPr>
        <w:t xml:space="preserve"> në të gjitha bashkië etj. Gjithashtu gjatë vitit 2017, edhe në nivel vendor është zbatuar pol</w:t>
      </w:r>
      <w:r>
        <w:rPr>
          <w:rFonts w:eastAsia="Times New Roman"/>
        </w:rPr>
        <w:t>i</w:t>
      </w:r>
      <w:r w:rsidRPr="00553A4F">
        <w:rPr>
          <w:rFonts w:eastAsia="Times New Roman"/>
        </w:rPr>
        <w:t xml:space="preserve">tika e rritjes së pagave e cila ka pasur efekte në rritjen e shpenzimeve të përsonelit. Po ashtu shtimi i investimeve e për rrjedhojë shtimi i aseteve vendore kanë kërkuar në njësitë respektive edhe shtim të shpenzimeve të personelit me qëllim ofrimin e shërbimit </w:t>
      </w:r>
      <w:proofErr w:type="gramStart"/>
      <w:r w:rsidRPr="00553A4F">
        <w:rPr>
          <w:rFonts w:eastAsia="Times New Roman"/>
        </w:rPr>
        <w:t>sa</w:t>
      </w:r>
      <w:proofErr w:type="gramEnd"/>
      <w:r w:rsidRPr="00553A4F">
        <w:rPr>
          <w:rFonts w:eastAsia="Times New Roman"/>
        </w:rPr>
        <w:t xml:space="preserve"> më afër qytetarëve.</w:t>
      </w:r>
      <w:r>
        <w:rPr>
          <w:rFonts w:eastAsia="Times New Roman"/>
        </w:rPr>
        <w:t xml:space="preserve"> </w:t>
      </w:r>
      <w:r w:rsidRPr="00553A4F">
        <w:rPr>
          <w:rFonts w:eastAsia="Times New Roman"/>
        </w:rPr>
        <w:t xml:space="preserve">Nëse bëjmë abstragimin nga faktorët e mësipërm shpenzimet për personelin për </w:t>
      </w:r>
      <w:r>
        <w:rPr>
          <w:rFonts w:eastAsia="Times New Roman"/>
        </w:rPr>
        <w:t>9</w:t>
      </w:r>
      <w:r w:rsidRPr="00553A4F">
        <w:rPr>
          <w:rFonts w:eastAsia="Times New Roman"/>
        </w:rPr>
        <w:t xml:space="preserve"> mujorin e </w:t>
      </w:r>
      <w:r>
        <w:rPr>
          <w:rFonts w:eastAsia="Times New Roman"/>
        </w:rPr>
        <w:t xml:space="preserve">vitit </w:t>
      </w:r>
      <w:r w:rsidRPr="00553A4F">
        <w:rPr>
          <w:rFonts w:eastAsia="Times New Roman"/>
        </w:rPr>
        <w:t xml:space="preserve">2017 do të rezultonin në të njëjtin nivel me ato të </w:t>
      </w:r>
      <w:r>
        <w:rPr>
          <w:rFonts w:eastAsia="Times New Roman"/>
        </w:rPr>
        <w:t>9</w:t>
      </w:r>
      <w:r w:rsidRPr="00553A4F">
        <w:rPr>
          <w:rFonts w:eastAsia="Times New Roman"/>
        </w:rPr>
        <w:t xml:space="preserve"> mujori</w:t>
      </w:r>
      <w:r>
        <w:rPr>
          <w:rFonts w:eastAsia="Times New Roman"/>
        </w:rPr>
        <w:t>t të vitit</w:t>
      </w:r>
      <w:r w:rsidRPr="00553A4F">
        <w:rPr>
          <w:rFonts w:eastAsia="Times New Roman"/>
        </w:rPr>
        <w:t xml:space="preserve"> 2016.</w:t>
      </w:r>
    </w:p>
    <w:p w:rsidR="00D3477C" w:rsidRPr="00C57DEC" w:rsidRDefault="00D3477C" w:rsidP="00D3477C">
      <w:pPr>
        <w:jc w:val="both"/>
        <w:rPr>
          <w:rFonts w:eastAsia="Times New Roman"/>
          <w:b/>
          <w:sz w:val="16"/>
          <w:szCs w:val="16"/>
        </w:rPr>
      </w:pPr>
    </w:p>
    <w:p w:rsidR="00D3477C" w:rsidRDefault="00D3477C" w:rsidP="005E648C">
      <w:pPr>
        <w:spacing w:line="276" w:lineRule="auto"/>
        <w:jc w:val="both"/>
        <w:rPr>
          <w:rFonts w:eastAsia="Times New Roman"/>
        </w:rPr>
      </w:pPr>
      <w:r w:rsidRPr="00C57DEC">
        <w:rPr>
          <w:rFonts w:eastAsia="Times New Roman"/>
          <w:i/>
        </w:rPr>
        <w:t>Shpenzimet Operative</w:t>
      </w:r>
      <w:r>
        <w:rPr>
          <w:rFonts w:eastAsia="Times New Roman"/>
          <w:b/>
          <w:i/>
        </w:rPr>
        <w:t>,</w:t>
      </w:r>
      <w:r w:rsidRPr="00553A4F">
        <w:rPr>
          <w:rFonts w:eastAsia="Times New Roman"/>
          <w:b/>
        </w:rPr>
        <w:t xml:space="preserve"> </w:t>
      </w:r>
      <w:r>
        <w:rPr>
          <w:rFonts w:eastAsia="Times New Roman"/>
        </w:rPr>
        <w:t>të cilat</w:t>
      </w:r>
      <w:r w:rsidRPr="00553A4F">
        <w:rPr>
          <w:rFonts w:eastAsia="Times New Roman"/>
        </w:rPr>
        <w:t xml:space="preserve"> janë shumë të rëndësishme për mbarëvajtjen dhe ushtrimin e funksioneve</w:t>
      </w:r>
      <w:r>
        <w:rPr>
          <w:rFonts w:eastAsia="Times New Roman"/>
        </w:rPr>
        <w:t>,</w:t>
      </w:r>
      <w:r w:rsidRPr="00553A4F">
        <w:rPr>
          <w:rFonts w:eastAsia="Times New Roman"/>
        </w:rPr>
        <w:t xml:space="preserve"> rezultojnë me një luhatje të lehtë në </w:t>
      </w:r>
      <w:r>
        <w:rPr>
          <w:rFonts w:eastAsia="Times New Roman"/>
        </w:rPr>
        <w:t>9</w:t>
      </w:r>
      <w:r w:rsidRPr="00553A4F">
        <w:rPr>
          <w:rFonts w:eastAsia="Times New Roman"/>
        </w:rPr>
        <w:t xml:space="preserve"> mujorin e parë vitit 2017 në krahasim më të njëjtën periudhë të një viti më parë. Shpenzimet operative përbëjnë rreth </w:t>
      </w:r>
      <w:r>
        <w:rPr>
          <w:rFonts w:eastAsia="Times New Roman"/>
        </w:rPr>
        <w:t>34.6</w:t>
      </w:r>
      <w:r w:rsidRPr="00553A4F">
        <w:rPr>
          <w:rFonts w:eastAsia="Times New Roman"/>
        </w:rPr>
        <w:t xml:space="preserve">% të shpenzimeve korrente në total për </w:t>
      </w:r>
      <w:r>
        <w:rPr>
          <w:rFonts w:eastAsia="Times New Roman"/>
        </w:rPr>
        <w:t>9</w:t>
      </w:r>
      <w:r w:rsidRPr="00553A4F">
        <w:rPr>
          <w:rFonts w:eastAsia="Times New Roman"/>
        </w:rPr>
        <w:t xml:space="preserve"> mujorin e parë të vitit 2017 dhe 35.</w:t>
      </w:r>
      <w:r>
        <w:rPr>
          <w:rFonts w:eastAsia="Times New Roman"/>
        </w:rPr>
        <w:t>2</w:t>
      </w:r>
      <w:r w:rsidRPr="00553A4F">
        <w:rPr>
          <w:rFonts w:eastAsia="Times New Roman"/>
        </w:rPr>
        <w:t>% të këtyre shpenzimeve për vitin 2016. Në vlerë</w:t>
      </w:r>
      <w:r>
        <w:rPr>
          <w:rFonts w:eastAsia="Times New Roman"/>
        </w:rPr>
        <w:t xml:space="preserve"> ab</w:t>
      </w:r>
      <w:r w:rsidRPr="00553A4F">
        <w:rPr>
          <w:rFonts w:eastAsia="Times New Roman"/>
        </w:rPr>
        <w:t xml:space="preserve">solute në </w:t>
      </w:r>
      <w:r>
        <w:rPr>
          <w:rFonts w:eastAsia="Times New Roman"/>
        </w:rPr>
        <w:t>9</w:t>
      </w:r>
      <w:r w:rsidRPr="00553A4F">
        <w:rPr>
          <w:rFonts w:eastAsia="Times New Roman"/>
        </w:rPr>
        <w:t xml:space="preserve"> mujorin e vitit 2017 janë </w:t>
      </w:r>
      <w:r>
        <w:rPr>
          <w:rFonts w:eastAsia="Times New Roman"/>
        </w:rPr>
        <w:t>shpenzuar</w:t>
      </w:r>
      <w:r w:rsidRPr="00553A4F">
        <w:rPr>
          <w:rFonts w:eastAsia="Times New Roman"/>
        </w:rPr>
        <w:t xml:space="preserve"> rreth </w:t>
      </w:r>
      <w:r>
        <w:rPr>
          <w:rFonts w:eastAsia="Times New Roman"/>
        </w:rPr>
        <w:t>8.3</w:t>
      </w:r>
      <w:r w:rsidRPr="00553A4F">
        <w:rPr>
          <w:rFonts w:eastAsia="Times New Roman"/>
        </w:rPr>
        <w:t xml:space="preserve"> miliard lekë ose e thënë ndryshe rreth 1.</w:t>
      </w:r>
      <w:r>
        <w:rPr>
          <w:rFonts w:eastAsia="Times New Roman"/>
        </w:rPr>
        <w:t>7</w:t>
      </w:r>
      <w:r w:rsidRPr="00553A4F">
        <w:rPr>
          <w:rFonts w:eastAsia="Times New Roman"/>
        </w:rPr>
        <w:t xml:space="preserve"> miliard lekë më shumë se në të njëjtën periudhë të një vitit më parë. Faktorët që </w:t>
      </w:r>
      <w:r>
        <w:rPr>
          <w:rFonts w:eastAsia="Times New Roman"/>
        </w:rPr>
        <w:t>kanë ndikuar</w:t>
      </w:r>
      <w:r w:rsidRPr="00553A4F">
        <w:rPr>
          <w:rFonts w:eastAsia="Times New Roman"/>
        </w:rPr>
        <w:t xml:space="preserve"> </w:t>
      </w:r>
      <w:r>
        <w:rPr>
          <w:rFonts w:eastAsia="Times New Roman"/>
        </w:rPr>
        <w:t>në rritjen e</w:t>
      </w:r>
      <w:r w:rsidRPr="00553A4F">
        <w:rPr>
          <w:rFonts w:eastAsia="Times New Roman"/>
        </w:rPr>
        <w:t xml:space="preserve"> niveli</w:t>
      </w:r>
      <w:r>
        <w:rPr>
          <w:rFonts w:eastAsia="Times New Roman"/>
        </w:rPr>
        <w:t>t</w:t>
      </w:r>
      <w:r w:rsidRPr="00553A4F">
        <w:rPr>
          <w:rFonts w:eastAsia="Times New Roman"/>
        </w:rPr>
        <w:t xml:space="preserve"> </w:t>
      </w:r>
      <w:r>
        <w:rPr>
          <w:rFonts w:eastAsia="Times New Roman"/>
        </w:rPr>
        <w:t>të</w:t>
      </w:r>
      <w:r w:rsidRPr="00553A4F">
        <w:rPr>
          <w:rFonts w:eastAsia="Times New Roman"/>
        </w:rPr>
        <w:t xml:space="preserve"> shpenzimeve operative janë të lidhura me rritjen e numrit të punonjësve për funksionet e tran</w:t>
      </w:r>
      <w:r>
        <w:rPr>
          <w:rFonts w:eastAsia="Times New Roman"/>
        </w:rPr>
        <w:t>s</w:t>
      </w:r>
      <w:r w:rsidRPr="00553A4F">
        <w:rPr>
          <w:rFonts w:eastAsia="Times New Roman"/>
        </w:rPr>
        <w:t xml:space="preserve">feruara </w:t>
      </w:r>
      <w:r>
        <w:rPr>
          <w:rFonts w:eastAsia="Times New Roman"/>
        </w:rPr>
        <w:t xml:space="preserve">në vitin 2016, përmirësimin </w:t>
      </w:r>
      <w:r>
        <w:rPr>
          <w:rFonts w:eastAsia="Times New Roman"/>
        </w:rPr>
        <w:lastRenderedPageBreak/>
        <w:t xml:space="preserve">e cilësisë së ofrimit të shërbimeve publike vendore, </w:t>
      </w:r>
      <w:r w:rsidRPr="00553A4F">
        <w:rPr>
          <w:rFonts w:eastAsia="Times New Roman"/>
        </w:rPr>
        <w:t xml:space="preserve">si dhe shtimin e aseteve të ndryshme nga investimet që kërkojnë shpenzime për ruajtje dhe mirëmbajtje. Por nga ana tjetër </w:t>
      </w:r>
      <w:r>
        <w:rPr>
          <w:rFonts w:eastAsia="Times New Roman"/>
        </w:rPr>
        <w:t>vihet re</w:t>
      </w:r>
      <w:r w:rsidRPr="00553A4F">
        <w:rPr>
          <w:rFonts w:eastAsia="Times New Roman"/>
        </w:rPr>
        <w:t xml:space="preserve"> tendenca pozitive e uljes nga viti në vit </w:t>
      </w:r>
      <w:r>
        <w:rPr>
          <w:rFonts w:eastAsia="Times New Roman"/>
        </w:rPr>
        <w:t>i</w:t>
      </w:r>
      <w:r w:rsidRPr="00553A4F">
        <w:rPr>
          <w:rFonts w:eastAsia="Times New Roman"/>
        </w:rPr>
        <w:t xml:space="preserve"> peshës që zënë shpenzimet operative në totalin e shpenzimeve korrente.</w:t>
      </w:r>
    </w:p>
    <w:p w:rsidR="00D3477C" w:rsidRPr="00C57DEC" w:rsidRDefault="00D3477C" w:rsidP="005E648C">
      <w:pPr>
        <w:spacing w:line="276" w:lineRule="auto"/>
        <w:jc w:val="both"/>
        <w:rPr>
          <w:rFonts w:eastAsia="Times New Roman"/>
          <w:sz w:val="16"/>
          <w:szCs w:val="16"/>
        </w:rPr>
      </w:pPr>
    </w:p>
    <w:p w:rsidR="00D3477C" w:rsidRDefault="00D3477C" w:rsidP="005E648C">
      <w:pPr>
        <w:spacing w:line="276" w:lineRule="auto"/>
        <w:jc w:val="both"/>
        <w:rPr>
          <w:rFonts w:eastAsia="Times New Roman"/>
        </w:rPr>
      </w:pPr>
      <w:r w:rsidRPr="00C57DEC">
        <w:rPr>
          <w:rFonts w:eastAsia="Times New Roman"/>
          <w:i/>
        </w:rPr>
        <w:t>Shpenzimet për interesa, subvencione dhe të tjera</w:t>
      </w:r>
      <w:r>
        <w:rPr>
          <w:rFonts w:eastAsia="Times New Roman"/>
          <w:b/>
          <w:i/>
        </w:rPr>
        <w:t>,</w:t>
      </w:r>
      <w:r w:rsidRPr="00553A4F">
        <w:rPr>
          <w:rFonts w:eastAsia="Times New Roman"/>
        </w:rPr>
        <w:t xml:space="preserve"> janë shpenzimet që zhvillojnë njësitë e vetëqeverisjes vendore për të paguar interesat, për të subven</w:t>
      </w:r>
      <w:r>
        <w:rPr>
          <w:rFonts w:eastAsia="Times New Roman"/>
        </w:rPr>
        <w:t>cionuar politikat e ndry</w:t>
      </w:r>
      <w:r w:rsidRPr="00553A4F">
        <w:rPr>
          <w:rFonts w:eastAsia="Times New Roman"/>
        </w:rPr>
        <w:t xml:space="preserve">shme vendore dhe mbuluar funksione të tjera administrative. Në këto kushte nga sa përcaktohet në tabelën mësipër në raport me </w:t>
      </w:r>
      <w:r>
        <w:rPr>
          <w:rFonts w:eastAsia="Times New Roman"/>
        </w:rPr>
        <w:t>9</w:t>
      </w:r>
      <w:r w:rsidRPr="00553A4F">
        <w:rPr>
          <w:rFonts w:eastAsia="Times New Roman"/>
        </w:rPr>
        <w:t xml:space="preserve"> mujorin e vitit 2016, këto shpenzime në </w:t>
      </w:r>
      <w:r>
        <w:rPr>
          <w:rFonts w:eastAsia="Times New Roman"/>
        </w:rPr>
        <w:t>9</w:t>
      </w:r>
      <w:r w:rsidRPr="00553A4F">
        <w:rPr>
          <w:rFonts w:eastAsia="Times New Roman"/>
        </w:rPr>
        <w:t xml:space="preserve"> mujorin e vitit 2017 kanë rritje në të tre zërat duke paraqitur në këtë mënyrë një tendencë të përgjithshme rritje të shpenzimeve. Këto ndryshime janë rezultat i procesit të riorganizimit dhe të shtrirjes së re që ka marrë njësia</w:t>
      </w:r>
      <w:r>
        <w:rPr>
          <w:rFonts w:eastAsia="Times New Roman"/>
        </w:rPr>
        <w:t xml:space="preserve"> e vetëqeverisjes vendore ku nën juridiksionin administrativ tashmë përmban më shumë përgjegjësi për të ushtrurar</w:t>
      </w:r>
      <w:r w:rsidRPr="00553A4F">
        <w:rPr>
          <w:rFonts w:eastAsia="Times New Roman"/>
        </w:rPr>
        <w:t xml:space="preserve">. Njësitë e reja të vetëqeverisjes vendore duhet në të ardhmen të kenë strategji afatgjata në ofrimin e shërbimeve publike </w:t>
      </w:r>
      <w:proofErr w:type="gramStart"/>
      <w:r w:rsidRPr="00553A4F">
        <w:rPr>
          <w:rFonts w:eastAsia="Times New Roman"/>
        </w:rPr>
        <w:t>sa</w:t>
      </w:r>
      <w:proofErr w:type="gramEnd"/>
      <w:r w:rsidRPr="00553A4F">
        <w:rPr>
          <w:rFonts w:eastAsia="Times New Roman"/>
        </w:rPr>
        <w:t xml:space="preserve"> më afer qytetarëve, në mënyrë të tillë që efiçenca e ofrimit të shërbimit të rritet ndjeshëm.</w:t>
      </w:r>
    </w:p>
    <w:p w:rsidR="00D3477C" w:rsidRPr="00C57DEC" w:rsidRDefault="00D3477C" w:rsidP="005E648C">
      <w:pPr>
        <w:spacing w:line="276" w:lineRule="auto"/>
        <w:jc w:val="both"/>
        <w:rPr>
          <w:rFonts w:eastAsia="Times New Roman"/>
          <w:sz w:val="16"/>
          <w:szCs w:val="16"/>
        </w:rPr>
      </w:pPr>
    </w:p>
    <w:p w:rsidR="00D3477C" w:rsidRDefault="00D3477C" w:rsidP="005E648C">
      <w:pPr>
        <w:spacing w:line="276" w:lineRule="auto"/>
        <w:jc w:val="both"/>
        <w:rPr>
          <w:rFonts w:eastAsia="Times New Roman"/>
        </w:rPr>
      </w:pPr>
      <w:r w:rsidRPr="00C57DEC">
        <w:rPr>
          <w:rFonts w:eastAsia="Times New Roman"/>
          <w:i/>
        </w:rPr>
        <w:t>Shpenzimet Kapitale,</w:t>
      </w:r>
      <w:r w:rsidRPr="00553A4F">
        <w:rPr>
          <w:rFonts w:eastAsia="Times New Roman"/>
        </w:rPr>
        <w:t xml:space="preserve"> janë një zë mjaft i rëndësishëm </w:t>
      </w:r>
      <w:proofErr w:type="gramStart"/>
      <w:r w:rsidRPr="00553A4F">
        <w:rPr>
          <w:rFonts w:eastAsia="Times New Roman"/>
        </w:rPr>
        <w:t>jo</w:t>
      </w:r>
      <w:proofErr w:type="gramEnd"/>
      <w:r w:rsidRPr="00553A4F">
        <w:rPr>
          <w:rFonts w:eastAsia="Times New Roman"/>
        </w:rPr>
        <w:t xml:space="preserve"> vetëm për faktin që përbëjnë pjesën më të madhe të buxhetit vendor por edhe për shkak se këto shpenzime janë ato që ndikojnë drejtpërdrejt</w:t>
      </w:r>
      <w:r>
        <w:rPr>
          <w:rFonts w:eastAsia="Times New Roman"/>
        </w:rPr>
        <w:t xml:space="preserve"> në</w:t>
      </w:r>
      <w:r w:rsidRPr="00553A4F">
        <w:rPr>
          <w:rFonts w:eastAsia="Times New Roman"/>
        </w:rPr>
        <w:t xml:space="preserve"> </w:t>
      </w:r>
      <w:r>
        <w:rPr>
          <w:rFonts w:eastAsia="Times New Roman"/>
        </w:rPr>
        <w:t>rritjen ekonomike dhe përmirësimin e cilësisë së jetesës së qytetarëve.</w:t>
      </w:r>
      <w:r w:rsidRPr="00553A4F">
        <w:rPr>
          <w:rFonts w:eastAsia="Times New Roman"/>
        </w:rPr>
        <w:t xml:space="preserve"> Nga tabela e mësipërme vëmë re që në krahasim me </w:t>
      </w:r>
      <w:r>
        <w:rPr>
          <w:rFonts w:eastAsia="Times New Roman"/>
        </w:rPr>
        <w:t>9</w:t>
      </w:r>
      <w:r w:rsidRPr="00553A4F">
        <w:rPr>
          <w:rFonts w:eastAsia="Times New Roman"/>
        </w:rPr>
        <w:t xml:space="preserve"> mujorin e vitit 2016, gjatë të njëjtës periudhë në vitin 2017 shpenzimet për investime </w:t>
      </w:r>
      <w:r>
        <w:rPr>
          <w:rFonts w:eastAsia="Times New Roman"/>
        </w:rPr>
        <w:t>janë dyfishuar duke rregjistruar një rritje me rreth 6.3 miliardë lekë</w:t>
      </w:r>
      <w:r w:rsidRPr="00553A4F">
        <w:rPr>
          <w:rFonts w:eastAsia="Times New Roman"/>
        </w:rPr>
        <w:t>. Kjo rritje e konsiderueshme shpenzimeve për investime është një nga efektet më pozitive që sjell reforma administrta</w:t>
      </w:r>
      <w:r>
        <w:rPr>
          <w:rFonts w:eastAsia="Times New Roman"/>
        </w:rPr>
        <w:t>tivo</w:t>
      </w:r>
      <w:r w:rsidRPr="00553A4F">
        <w:rPr>
          <w:rFonts w:eastAsia="Times New Roman"/>
        </w:rPr>
        <w:t xml:space="preserve">-territoriale. </w:t>
      </w:r>
    </w:p>
    <w:p w:rsidR="00D3477C" w:rsidRDefault="00D3477C" w:rsidP="005E648C">
      <w:pPr>
        <w:spacing w:line="276" w:lineRule="auto"/>
        <w:jc w:val="both"/>
        <w:rPr>
          <w:rFonts w:eastAsia="Times New Roman"/>
        </w:rPr>
      </w:pPr>
      <w:r>
        <w:rPr>
          <w:rFonts w:eastAsia="Times New Roman"/>
        </w:rPr>
        <w:t>Në periudhë afatgjatë vazhdimi i kësaj tendence rritëse të shpenizmeve për investime nga njësitë e vetëqeverisjes vendore do të sigurojë vepra infrastrukturore dhe punë publike në interes dhe favor të rritjes se mirëqenies se qytetarëve.</w:t>
      </w:r>
    </w:p>
    <w:p w:rsidR="00D3477C" w:rsidRPr="00E445B5" w:rsidRDefault="00D3477C" w:rsidP="005E648C">
      <w:pPr>
        <w:spacing w:line="276" w:lineRule="auto"/>
        <w:jc w:val="both"/>
        <w:rPr>
          <w:rFonts w:eastAsia="Times New Roman"/>
        </w:rPr>
      </w:pPr>
    </w:p>
    <w:p w:rsidR="00B0121D" w:rsidRDefault="00D3477C" w:rsidP="005E648C">
      <w:pPr>
        <w:spacing w:line="276" w:lineRule="auto"/>
        <w:ind w:right="-43"/>
        <w:jc w:val="both"/>
        <w:rPr>
          <w:rFonts w:eastAsia="Times New Roman"/>
          <w:i/>
        </w:rPr>
      </w:pPr>
      <w:r w:rsidRPr="00E11E77">
        <w:rPr>
          <w:rFonts w:eastAsia="Times New Roman"/>
          <w:i/>
        </w:rPr>
        <w:t xml:space="preserve">Treguesit fiskal të </w:t>
      </w:r>
      <w:r>
        <w:rPr>
          <w:rFonts w:eastAsia="Times New Roman"/>
          <w:i/>
        </w:rPr>
        <w:t>qeverisjes vendore</w:t>
      </w:r>
      <w:r w:rsidRPr="00E11E77">
        <w:rPr>
          <w:rFonts w:eastAsia="Times New Roman"/>
          <w:i/>
        </w:rPr>
        <w:t xml:space="preserve"> të</w:t>
      </w:r>
      <w:r>
        <w:rPr>
          <w:rFonts w:eastAsia="Times New Roman"/>
          <w:i/>
        </w:rPr>
        <w:t xml:space="preserve"> 9-</w:t>
      </w:r>
      <w:r w:rsidRPr="00E11E77">
        <w:rPr>
          <w:rFonts w:eastAsia="Times New Roman"/>
          <w:i/>
        </w:rPr>
        <w:t xml:space="preserve">mujorit të </w:t>
      </w:r>
      <w:r>
        <w:rPr>
          <w:rFonts w:eastAsia="Times New Roman"/>
          <w:i/>
        </w:rPr>
        <w:t>vitit</w:t>
      </w:r>
      <w:r w:rsidRPr="00E11E77">
        <w:rPr>
          <w:rFonts w:eastAsia="Times New Roman"/>
          <w:i/>
        </w:rPr>
        <w:t xml:space="preserve"> 2017, premtojnë një optimizëm për vazhdimësinë e tyre pozitive edhe për muajt e mbetur të vitit buxhetor 2017. Si rrjedhojë, parashikohet që </w:t>
      </w:r>
      <w:r>
        <w:rPr>
          <w:rFonts w:eastAsia="Times New Roman"/>
          <w:i/>
        </w:rPr>
        <w:t xml:space="preserve">edhe </w:t>
      </w:r>
      <w:r w:rsidRPr="00E11E77">
        <w:rPr>
          <w:rFonts w:eastAsia="Times New Roman"/>
          <w:i/>
        </w:rPr>
        <w:t>për vitin 2018 njësitë e vetëqeverisjes vendore të kenë një buxhet më të plotë financiarisht dhe më të konsoliduar në proceset e menaxhimit të financave të tyre.</w:t>
      </w:r>
    </w:p>
    <w:p w:rsidR="00D3477C" w:rsidRPr="00D94792" w:rsidRDefault="00D3477C" w:rsidP="00D3477C">
      <w:pPr>
        <w:spacing w:line="276" w:lineRule="auto"/>
        <w:ind w:right="-43"/>
        <w:jc w:val="both"/>
        <w:rPr>
          <w:lang w:val="sq-AL"/>
        </w:rPr>
      </w:pPr>
    </w:p>
    <w:p w:rsidR="00B0121D" w:rsidRPr="009E4556" w:rsidRDefault="00BB2A22" w:rsidP="009E4556">
      <w:pPr>
        <w:spacing w:line="276" w:lineRule="auto"/>
        <w:jc w:val="both"/>
        <w:outlineLvl w:val="0"/>
        <w:rPr>
          <w:b/>
          <w:sz w:val="26"/>
          <w:szCs w:val="26"/>
          <w:lang w:val="sq-AL"/>
        </w:rPr>
      </w:pPr>
      <w:bookmarkStart w:id="111" w:name="_Toc495672783"/>
      <w:bookmarkStart w:id="112" w:name="_Toc496520401"/>
      <w:r w:rsidRPr="009E4556">
        <w:rPr>
          <w:b/>
          <w:sz w:val="26"/>
          <w:szCs w:val="26"/>
          <w:lang w:val="sq-AL"/>
        </w:rPr>
        <w:t xml:space="preserve">8.4 </w:t>
      </w:r>
      <w:r w:rsidR="00756AEE" w:rsidRPr="009E4556">
        <w:rPr>
          <w:b/>
          <w:sz w:val="26"/>
          <w:szCs w:val="26"/>
          <w:lang w:val="sq-AL"/>
        </w:rPr>
        <w:t xml:space="preserve">ECURIA E BORXHIT PUBLIK PËR </w:t>
      </w:r>
      <w:r w:rsidR="00126B37">
        <w:rPr>
          <w:b/>
          <w:sz w:val="26"/>
          <w:szCs w:val="26"/>
          <w:lang w:val="sq-AL"/>
        </w:rPr>
        <w:t>9-MUJORIN</w:t>
      </w:r>
      <w:r w:rsidR="00756AEE" w:rsidRPr="009E4556">
        <w:rPr>
          <w:b/>
          <w:sz w:val="26"/>
          <w:szCs w:val="26"/>
          <w:lang w:val="sq-AL"/>
        </w:rPr>
        <w:t xml:space="preserve"> 201</w:t>
      </w:r>
      <w:r w:rsidR="009A68B1" w:rsidRPr="009E4556">
        <w:rPr>
          <w:b/>
          <w:sz w:val="26"/>
          <w:szCs w:val="26"/>
          <w:lang w:val="sq-AL"/>
        </w:rPr>
        <w:t>7</w:t>
      </w:r>
      <w:bookmarkEnd w:id="111"/>
      <w:bookmarkEnd w:id="112"/>
    </w:p>
    <w:p w:rsidR="00B0121D" w:rsidRPr="00D94792" w:rsidRDefault="00B0121D" w:rsidP="003C5B4B">
      <w:pPr>
        <w:autoSpaceDE w:val="0"/>
        <w:autoSpaceDN w:val="0"/>
        <w:spacing w:line="276" w:lineRule="auto"/>
        <w:jc w:val="both"/>
        <w:rPr>
          <w:lang w:val="sq-AL"/>
        </w:rPr>
      </w:pPr>
    </w:p>
    <w:p w:rsidR="0057579A" w:rsidRPr="0057579A" w:rsidRDefault="0057579A" w:rsidP="00A66D0D">
      <w:pPr>
        <w:spacing w:line="276" w:lineRule="auto"/>
        <w:jc w:val="both"/>
        <w:rPr>
          <w:lang w:val="sq-AL"/>
        </w:rPr>
      </w:pPr>
      <w:r w:rsidRPr="0057579A">
        <w:rPr>
          <w:lang w:val="sq-AL"/>
        </w:rPr>
        <w:t>Borxhi publik gjatë periudhës Janar-Shtator 2017 është karakterizuar nga një ecuri pozitive, kryesisht në aspektin e plotësimit të nevojave të Qeverisë për likuiditet, në aspektin e përmirësimit të raporteve ndërmjet kostos dhe riskut, si dhe në aspektin e aktiviteteve të ndërmarra në kuadër të zhvillimit të tregut primar dhe krijimit të kushteve për zhvillimin e tregut sekondar.</w:t>
      </w:r>
    </w:p>
    <w:p w:rsidR="0057579A" w:rsidRPr="0057579A" w:rsidRDefault="0057579A" w:rsidP="00A66D0D">
      <w:pPr>
        <w:spacing w:line="276" w:lineRule="auto"/>
        <w:jc w:val="both"/>
        <w:rPr>
          <w:lang w:val="sq-AL"/>
        </w:rPr>
      </w:pPr>
      <w:r w:rsidRPr="0057579A">
        <w:rPr>
          <w:lang w:val="sq-AL"/>
        </w:rPr>
        <w:t>Në fund të muajit shtator 2017 borxhi i Qeverisjes Qendore vlerësohet në vlerën 1,074.9 miliard Lek ose 69.11% e PBB</w:t>
      </w:r>
      <w:r w:rsidRPr="0057579A">
        <w:rPr>
          <w:rStyle w:val="FootnoteReference"/>
          <w:lang w:val="sq-AL"/>
        </w:rPr>
        <w:footnoteReference w:id="6"/>
      </w:r>
      <w:r w:rsidRPr="0057579A">
        <w:rPr>
          <w:lang w:val="sq-AL"/>
        </w:rPr>
        <w:t>. Krahasuar me të njëjtën periudhë të vitit të kaluar, niveli i borxhit të Qeverisjes Qendrore në raport me PBB ka shënuar një rënie prej 3.33 pikë përqindje. Rënia e nivelit të borxhit në raport me PBB i atribuohet parashikimeve të rritjes ekonomike, planifikimit të balancës primare pozitive si edhe rënies së kursit të këmbimit EUR/LEK.</w:t>
      </w:r>
    </w:p>
    <w:p w:rsidR="0057579A" w:rsidRPr="0057579A" w:rsidRDefault="0057579A" w:rsidP="00A66D0D">
      <w:pPr>
        <w:spacing w:line="276" w:lineRule="auto"/>
        <w:jc w:val="both"/>
        <w:rPr>
          <w:lang w:val="sq-AL"/>
        </w:rPr>
      </w:pPr>
      <w:r w:rsidRPr="0057579A">
        <w:rPr>
          <w:lang w:val="sq-AL"/>
        </w:rPr>
        <w:t xml:space="preserve">Në terma nominal stoku i borxhit te Qeverisjes Qendrore  është rritur me rreth 9.2 miliard Lek krahasuar me fundin e vitit 2016, nga të cilat 13.4 miliard Lek i korrespondojnë rritjes së borxhit të brendshëm dhe    -4.3 miliard Lek borxhit të jashtëm. Borxhi i jashtëm paraqitet me rënie krysisht për shkak të mbiçmimit të monedhës vendasë në raport me monedhën Euro. Rritja e borxhit në terma nominal është brenda kufijve të </w:t>
      </w:r>
      <w:r w:rsidRPr="0057579A">
        <w:rPr>
          <w:lang w:val="sq-AL"/>
        </w:rPr>
        <w:lastRenderedPageBreak/>
        <w:t>parashikuara në ligjin vjetor të buxhetit dhe në përputhje me objektivat afatmesme makro-fiskale për uljen e nivelit të borxhit në raport me PBB.</w:t>
      </w:r>
    </w:p>
    <w:p w:rsidR="0057579A" w:rsidRPr="0057579A" w:rsidRDefault="0057579A" w:rsidP="00A66D0D">
      <w:pPr>
        <w:spacing w:line="276" w:lineRule="auto"/>
        <w:jc w:val="both"/>
        <w:rPr>
          <w:lang w:val="sq-AL"/>
        </w:rPr>
      </w:pPr>
      <w:r w:rsidRPr="0057579A">
        <w:rPr>
          <w:lang w:val="sq-AL"/>
        </w:rPr>
        <w:t>Duke iu referuar deficitit buxhetor të planifikuar, parashikimeve të rritjes ekonomike dhe supozimeve të kursit të këmbimit, në fund të vitit 2017 borxhi i Qeverisjes Qendore në raport me PBB pritet të ulet me rreth</w:t>
      </w:r>
      <w:r w:rsidR="00A312EB">
        <w:rPr>
          <w:lang w:val="sq-AL"/>
        </w:rPr>
        <w:t xml:space="preserve"> </w:t>
      </w:r>
      <w:r w:rsidRPr="0057579A">
        <w:rPr>
          <w:lang w:val="sq-AL"/>
        </w:rPr>
        <w:t>2.5 pikëpërqindje krahasuar me vitin e kaluar, d</w:t>
      </w:r>
      <w:r w:rsidR="00A312EB">
        <w:rPr>
          <w:lang w:val="sq-AL"/>
        </w:rPr>
        <w:t>uke vazhduar tendencën rënëse</w:t>
      </w:r>
      <w:r w:rsidRPr="0057579A">
        <w:rPr>
          <w:lang w:val="sq-AL"/>
        </w:rPr>
        <w:t>, e cila ka nisur që në vitin 2016.</w:t>
      </w:r>
    </w:p>
    <w:p w:rsidR="0057579A" w:rsidRPr="0057579A" w:rsidRDefault="0057579A" w:rsidP="0057579A">
      <w:pPr>
        <w:jc w:val="both"/>
        <w:rPr>
          <w:lang w:val="sq-AL"/>
        </w:rPr>
      </w:pPr>
    </w:p>
    <w:p w:rsidR="0057579A" w:rsidRPr="0057579A" w:rsidRDefault="009964EE" w:rsidP="0057579A">
      <w:pPr>
        <w:ind w:left="-1080"/>
        <w:jc w:val="center"/>
        <w:rPr>
          <w:i/>
          <w:sz w:val="20"/>
          <w:szCs w:val="20"/>
          <w:lang w:val="sq-AL"/>
        </w:rPr>
      </w:pPr>
      <w:r w:rsidRPr="009964EE">
        <w:rPr>
          <w:b/>
          <w:sz w:val="20"/>
          <w:szCs w:val="20"/>
          <w:lang w:val="sq-AL"/>
        </w:rPr>
        <w:t xml:space="preserve">                     Tabela </w:t>
      </w:r>
      <w:r w:rsidR="00E1102D">
        <w:rPr>
          <w:b/>
          <w:sz w:val="20"/>
          <w:szCs w:val="20"/>
          <w:lang w:val="sq-AL"/>
        </w:rPr>
        <w:t>2</w:t>
      </w:r>
      <w:r w:rsidR="00A312EB">
        <w:rPr>
          <w:b/>
          <w:sz w:val="20"/>
          <w:szCs w:val="20"/>
          <w:lang w:val="sq-AL"/>
        </w:rPr>
        <w:t>3</w:t>
      </w:r>
      <w:r w:rsidR="0057579A" w:rsidRPr="009964EE">
        <w:rPr>
          <w:b/>
          <w:sz w:val="20"/>
          <w:szCs w:val="20"/>
          <w:lang w:val="sq-AL"/>
        </w:rPr>
        <w:t xml:space="preserve">: </w:t>
      </w:r>
      <w:r w:rsidR="0057579A" w:rsidRPr="00A312EB">
        <w:rPr>
          <w:sz w:val="20"/>
          <w:szCs w:val="20"/>
          <w:lang w:val="sq-AL"/>
        </w:rPr>
        <w:t>Ecuria e stokut të borxhit të Qeverisj</w:t>
      </w:r>
      <w:r w:rsidRPr="00A312EB">
        <w:rPr>
          <w:sz w:val="20"/>
          <w:szCs w:val="20"/>
          <w:lang w:val="sq-AL"/>
        </w:rPr>
        <w:t xml:space="preserve">es Qendrore                   </w:t>
      </w:r>
      <w:r w:rsidR="0057579A" w:rsidRPr="00A312EB">
        <w:rPr>
          <w:sz w:val="20"/>
          <w:szCs w:val="20"/>
          <w:lang w:val="sq-AL"/>
        </w:rPr>
        <w:t xml:space="preserve">                              </w:t>
      </w:r>
      <w:r w:rsidRPr="00A312EB">
        <w:rPr>
          <w:sz w:val="20"/>
          <w:szCs w:val="20"/>
          <w:lang w:val="sq-AL"/>
        </w:rPr>
        <w:t xml:space="preserve">              </w:t>
      </w:r>
      <w:r w:rsidR="0057579A" w:rsidRPr="00A312EB">
        <w:rPr>
          <w:sz w:val="20"/>
          <w:szCs w:val="20"/>
          <w:lang w:val="sq-AL"/>
        </w:rPr>
        <w:t xml:space="preserve">                  </w:t>
      </w:r>
      <w:r w:rsidR="0057579A" w:rsidRPr="0057579A">
        <w:rPr>
          <w:i/>
          <w:sz w:val="20"/>
          <w:szCs w:val="20"/>
          <w:lang w:val="sq-AL"/>
        </w:rPr>
        <w:t>(</w:t>
      </w:r>
      <w:r w:rsidR="0057579A" w:rsidRPr="0057579A">
        <w:rPr>
          <w:rFonts w:eastAsia="Times New Roman"/>
          <w:i/>
          <w:sz w:val="18"/>
          <w:szCs w:val="18"/>
          <w:lang w:val="sq-AL"/>
        </w:rPr>
        <w:t>në milion Lek)</w:t>
      </w:r>
    </w:p>
    <w:p w:rsidR="0057579A" w:rsidRPr="0057579A" w:rsidRDefault="0057579A" w:rsidP="0057579A">
      <w:pPr>
        <w:jc w:val="both"/>
        <w:rPr>
          <w:i/>
          <w:sz w:val="20"/>
          <w:szCs w:val="20"/>
          <w:lang w:val="sq-AL"/>
        </w:rPr>
      </w:pPr>
      <w:r w:rsidRPr="0057579A">
        <w:rPr>
          <w:noProof/>
        </w:rPr>
        <w:drawing>
          <wp:inline distT="0" distB="0" distL="0" distR="0" wp14:anchorId="7FA544BD" wp14:editId="024AF4CF">
            <wp:extent cx="6496050" cy="18954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6050" cy="1895475"/>
                    </a:xfrm>
                    <a:prstGeom prst="rect">
                      <a:avLst/>
                    </a:prstGeom>
                    <a:noFill/>
                    <a:ln>
                      <a:noFill/>
                    </a:ln>
                  </pic:spPr>
                </pic:pic>
              </a:graphicData>
            </a:graphic>
          </wp:inline>
        </w:drawing>
      </w:r>
      <w:r w:rsidRPr="0057579A">
        <w:rPr>
          <w:b/>
          <w:sz w:val="20"/>
          <w:szCs w:val="20"/>
          <w:lang w:val="sq-AL"/>
        </w:rPr>
        <w:t xml:space="preserve">Burimi: </w:t>
      </w:r>
      <w:r w:rsidRPr="0057579A">
        <w:rPr>
          <w:i/>
          <w:sz w:val="20"/>
          <w:szCs w:val="20"/>
          <w:lang w:val="sq-AL"/>
        </w:rPr>
        <w:t>Ministria e Financave dhe Ekonomisë (2017)</w:t>
      </w:r>
    </w:p>
    <w:p w:rsidR="0057579A" w:rsidRPr="0057579A" w:rsidRDefault="0057579A" w:rsidP="0057579A">
      <w:pPr>
        <w:jc w:val="both"/>
        <w:rPr>
          <w:i/>
          <w:sz w:val="20"/>
          <w:szCs w:val="20"/>
          <w:lang w:val="sq-AL"/>
        </w:rPr>
      </w:pPr>
    </w:p>
    <w:p w:rsidR="0057579A" w:rsidRPr="0057579A" w:rsidRDefault="0057579A" w:rsidP="0057579A">
      <w:pPr>
        <w:spacing w:line="276" w:lineRule="auto"/>
        <w:jc w:val="both"/>
        <w:rPr>
          <w:i/>
          <w:lang w:val="sq-AL"/>
        </w:rPr>
      </w:pPr>
    </w:p>
    <w:p w:rsidR="0057579A" w:rsidRPr="009C44DB" w:rsidRDefault="0057579A" w:rsidP="0057579A">
      <w:pPr>
        <w:spacing w:line="276" w:lineRule="auto"/>
        <w:jc w:val="both"/>
        <w:rPr>
          <w:b/>
          <w:lang w:val="sq-AL"/>
        </w:rPr>
      </w:pPr>
      <w:r w:rsidRPr="009C44DB">
        <w:rPr>
          <w:b/>
          <w:lang w:val="sq-AL"/>
        </w:rPr>
        <w:t>Huamarrja e brendshme</w:t>
      </w:r>
    </w:p>
    <w:p w:rsidR="0057579A" w:rsidRPr="0057579A" w:rsidRDefault="0057579A" w:rsidP="0057579A">
      <w:pPr>
        <w:spacing w:line="276" w:lineRule="auto"/>
        <w:jc w:val="both"/>
        <w:rPr>
          <w:lang w:val="sq-AL"/>
        </w:rPr>
      </w:pPr>
    </w:p>
    <w:p w:rsidR="0057579A" w:rsidRPr="0057579A" w:rsidRDefault="0057579A" w:rsidP="00A66D0D">
      <w:pPr>
        <w:pStyle w:val="ListParagraph"/>
        <w:tabs>
          <w:tab w:val="left" w:pos="8931"/>
        </w:tabs>
        <w:spacing w:line="276" w:lineRule="auto"/>
        <w:ind w:left="0"/>
        <w:jc w:val="both"/>
        <w:rPr>
          <w:noProof/>
          <w:lang w:val="sq-AL" w:eastAsia="ja-JP"/>
        </w:rPr>
      </w:pPr>
      <w:r w:rsidRPr="0057579A">
        <w:rPr>
          <w:rFonts w:eastAsia="Times New Roman"/>
          <w:lang w:val="sq-AL"/>
        </w:rPr>
        <w:t xml:space="preserve">Huamarrja gjatë nëntëmujorit 2017 është realizuar me sukses, </w:t>
      </w:r>
      <w:r w:rsidRPr="0057579A">
        <w:rPr>
          <w:noProof/>
          <w:lang w:val="sq-AL" w:eastAsia="ja-JP"/>
        </w:rPr>
        <w:t>duke mundësuar rifinancimin e borxhit ekzistues, mbulimin e nevojave të Qeverisë për likuiditet dhe financimin e planifikuar të deficitit buxhetor.</w:t>
      </w:r>
    </w:p>
    <w:p w:rsidR="0057579A" w:rsidRPr="0057579A" w:rsidRDefault="0057579A" w:rsidP="00A66D0D">
      <w:pPr>
        <w:spacing w:line="276" w:lineRule="auto"/>
        <w:ind w:right="6"/>
        <w:jc w:val="both"/>
        <w:rPr>
          <w:rFonts w:eastAsia="Times New Roman"/>
          <w:lang w:val="sq-AL"/>
        </w:rPr>
      </w:pPr>
      <w:r w:rsidRPr="0057579A">
        <w:rPr>
          <w:rFonts w:eastAsia="Times New Roman"/>
          <w:lang w:val="sq-AL"/>
        </w:rPr>
        <w:t xml:space="preserve">Në tregun e brendshëm janë emetuar tituj në vlerën 265.3 miliard </w:t>
      </w:r>
      <w:r w:rsidRPr="0057579A">
        <w:rPr>
          <w:lang w:val="sq-AL"/>
        </w:rPr>
        <w:t>Lek</w:t>
      </w:r>
      <w:r w:rsidRPr="0057579A">
        <w:rPr>
          <w:rFonts w:eastAsia="Times New Roman"/>
          <w:lang w:val="sq-AL"/>
        </w:rPr>
        <w:t>, nga të cilat 251.5 miliard Lek kanë shërbyer për rifinancimin e titujve ekzistues dhe 13.8 miliard Lek për financimin e deficitit buxhetor të planifikuar. Financimi i brendshëm neto është realizuar plotësisht nëpërmjet titujve afatgjatë, ndërkohë që është shoqëruar dhe me maturim të titujve afatshkurtër, në përputhje me objektivat strategjike për uljen e ekspozimit ndaj risqeve. Rol të rëndësishëm në realizimin e këtij objektivi kanë pasur emetimet e suksesshme dhe në vlera të konsiderueshme të obligacioneve 7 dhe 10 vjeçare.</w:t>
      </w:r>
    </w:p>
    <w:p w:rsidR="0057579A" w:rsidRPr="0057579A" w:rsidRDefault="0057579A" w:rsidP="0057579A">
      <w:pPr>
        <w:ind w:right="6"/>
        <w:jc w:val="both"/>
        <w:rPr>
          <w:rFonts w:eastAsia="Times New Roman"/>
          <w:lang w:val="sq-AL"/>
        </w:rPr>
      </w:pPr>
    </w:p>
    <w:p w:rsidR="0057579A" w:rsidRPr="009964EE" w:rsidRDefault="009964EE" w:rsidP="0057579A">
      <w:pPr>
        <w:ind w:left="-1080"/>
        <w:rPr>
          <w:b/>
          <w:sz w:val="20"/>
          <w:szCs w:val="20"/>
          <w:lang w:val="sq-AL"/>
        </w:rPr>
      </w:pPr>
      <w:r w:rsidRPr="009964EE">
        <w:rPr>
          <w:b/>
          <w:sz w:val="20"/>
          <w:szCs w:val="20"/>
          <w:lang w:val="sq-AL"/>
        </w:rPr>
        <w:t xml:space="preserve">                     </w:t>
      </w:r>
      <w:r w:rsidRPr="00A312EB">
        <w:rPr>
          <w:b/>
          <w:sz w:val="22"/>
          <w:szCs w:val="22"/>
          <w:lang w:val="sq-AL"/>
        </w:rPr>
        <w:t xml:space="preserve">Tabela </w:t>
      </w:r>
      <w:r w:rsidR="00E1102D" w:rsidRPr="00A312EB">
        <w:rPr>
          <w:b/>
          <w:sz w:val="22"/>
          <w:szCs w:val="22"/>
          <w:lang w:val="sq-AL"/>
        </w:rPr>
        <w:t>2</w:t>
      </w:r>
      <w:r w:rsidR="00A312EB" w:rsidRPr="00A312EB">
        <w:rPr>
          <w:b/>
          <w:sz w:val="22"/>
          <w:szCs w:val="22"/>
          <w:lang w:val="sq-AL"/>
        </w:rPr>
        <w:t>4:</w:t>
      </w:r>
      <w:r w:rsidR="0057579A" w:rsidRPr="00A312EB">
        <w:rPr>
          <w:b/>
          <w:sz w:val="22"/>
          <w:szCs w:val="22"/>
          <w:lang w:val="sq-AL"/>
        </w:rPr>
        <w:t xml:space="preserve"> </w:t>
      </w:r>
      <w:r w:rsidR="0057579A" w:rsidRPr="00A312EB">
        <w:rPr>
          <w:sz w:val="22"/>
          <w:szCs w:val="22"/>
          <w:lang w:val="sq-AL"/>
        </w:rPr>
        <w:t>Financimi i brendshëm sipas titujve shtetërorë</w:t>
      </w:r>
      <w:r w:rsidRPr="00A312EB">
        <w:rPr>
          <w:sz w:val="22"/>
          <w:szCs w:val="22"/>
          <w:lang w:val="sq-AL"/>
        </w:rPr>
        <w:t xml:space="preserve">                                  </w:t>
      </w:r>
      <w:r w:rsidR="00A312EB">
        <w:rPr>
          <w:sz w:val="22"/>
          <w:szCs w:val="22"/>
          <w:lang w:val="sq-AL"/>
        </w:rPr>
        <w:t xml:space="preserve">                               </w:t>
      </w:r>
      <w:r w:rsidRPr="00A312EB">
        <w:rPr>
          <w:i/>
          <w:sz w:val="20"/>
          <w:szCs w:val="20"/>
          <w:lang w:val="sq-AL"/>
        </w:rPr>
        <w:t xml:space="preserve">  </w:t>
      </w:r>
      <w:r w:rsidRPr="009964EE">
        <w:rPr>
          <w:i/>
          <w:sz w:val="20"/>
          <w:szCs w:val="20"/>
          <w:lang w:val="sq-AL"/>
        </w:rPr>
        <w:t>( në milionë lekë)</w:t>
      </w:r>
    </w:p>
    <w:tbl>
      <w:tblPr>
        <w:tblW w:w="10088" w:type="dxa"/>
        <w:tblInd w:w="108" w:type="dxa"/>
        <w:tblLook w:val="04A0" w:firstRow="1" w:lastRow="0" w:firstColumn="1" w:lastColumn="0" w:noHBand="0" w:noVBand="1"/>
      </w:tblPr>
      <w:tblGrid>
        <w:gridCol w:w="2580"/>
        <w:gridCol w:w="1784"/>
        <w:gridCol w:w="1755"/>
        <w:gridCol w:w="2127"/>
        <w:gridCol w:w="1842"/>
      </w:tblGrid>
      <w:tr w:rsidR="0057579A" w:rsidRPr="0057579A" w:rsidTr="00304F33">
        <w:trPr>
          <w:trHeight w:val="257"/>
        </w:trPr>
        <w:tc>
          <w:tcPr>
            <w:tcW w:w="25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7579A" w:rsidRPr="0057579A" w:rsidRDefault="0057579A" w:rsidP="00304F33">
            <w:pPr>
              <w:jc w:val="cente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Tituj Shtetërorë</w:t>
            </w:r>
          </w:p>
        </w:tc>
        <w:tc>
          <w:tcPr>
            <w:tcW w:w="353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7579A" w:rsidRPr="0057579A" w:rsidRDefault="0057579A" w:rsidP="00304F33">
            <w:pPr>
              <w:jc w:val="cente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Financim bruto (9m-2017)</w:t>
            </w:r>
          </w:p>
        </w:tc>
        <w:tc>
          <w:tcPr>
            <w:tcW w:w="396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7579A" w:rsidRPr="0057579A" w:rsidRDefault="0057579A" w:rsidP="00304F33">
            <w:pPr>
              <w:jc w:val="cente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Financim neto (9m-2017)</w:t>
            </w:r>
          </w:p>
        </w:tc>
      </w:tr>
      <w:tr w:rsidR="0057579A" w:rsidRPr="0057579A" w:rsidTr="00304F33">
        <w:trPr>
          <w:trHeight w:val="257"/>
        </w:trPr>
        <w:tc>
          <w:tcPr>
            <w:tcW w:w="2580" w:type="dxa"/>
            <w:vMerge/>
            <w:tcBorders>
              <w:top w:val="single" w:sz="8" w:space="0" w:color="auto"/>
              <w:left w:val="single" w:sz="8" w:space="0" w:color="auto"/>
              <w:bottom w:val="single" w:sz="8" w:space="0" w:color="000000"/>
              <w:right w:val="single" w:sz="8" w:space="0" w:color="auto"/>
            </w:tcBorders>
            <w:vAlign w:val="center"/>
            <w:hideMark/>
          </w:tcPr>
          <w:p w:rsidR="0057579A" w:rsidRPr="0057579A" w:rsidRDefault="0057579A" w:rsidP="00304F33">
            <w:pPr>
              <w:rPr>
                <w:rFonts w:ascii="Cambria" w:eastAsia="Times New Roman" w:hAnsi="Cambria" w:cs="Calibri"/>
                <w:b/>
                <w:bCs/>
                <w:color w:val="000000"/>
                <w:sz w:val="18"/>
                <w:szCs w:val="18"/>
                <w:lang w:val="sq-AL"/>
              </w:rPr>
            </w:pPr>
          </w:p>
        </w:tc>
        <w:tc>
          <w:tcPr>
            <w:tcW w:w="1784"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cente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Në milion Lek</w:t>
            </w:r>
          </w:p>
        </w:tc>
        <w:tc>
          <w:tcPr>
            <w:tcW w:w="1755"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 xml:space="preserve">          Në %</w:t>
            </w:r>
          </w:p>
        </w:tc>
        <w:tc>
          <w:tcPr>
            <w:tcW w:w="2127"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 xml:space="preserve">    Në milion Lek</w:t>
            </w:r>
          </w:p>
        </w:tc>
        <w:tc>
          <w:tcPr>
            <w:tcW w:w="1842"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 xml:space="preserve">           Në %</w:t>
            </w:r>
          </w:p>
        </w:tc>
      </w:tr>
      <w:tr w:rsidR="0057579A" w:rsidRPr="0057579A" w:rsidTr="00304F33">
        <w:trPr>
          <w:trHeight w:val="257"/>
        </w:trPr>
        <w:tc>
          <w:tcPr>
            <w:tcW w:w="2580" w:type="dxa"/>
            <w:tcBorders>
              <w:top w:val="nil"/>
              <w:left w:val="single" w:sz="8" w:space="0" w:color="auto"/>
              <w:bottom w:val="single" w:sz="8" w:space="0" w:color="auto"/>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b/>
                <w:bCs/>
                <w:color w:val="C00000"/>
                <w:sz w:val="18"/>
                <w:szCs w:val="18"/>
                <w:lang w:val="sq-AL"/>
              </w:rPr>
            </w:pPr>
            <w:r w:rsidRPr="0057579A">
              <w:rPr>
                <w:rFonts w:ascii="Cambria" w:eastAsia="Times New Roman" w:hAnsi="Cambria" w:cs="Calibri"/>
                <w:b/>
                <w:bCs/>
                <w:color w:val="C00000"/>
                <w:sz w:val="18"/>
                <w:szCs w:val="18"/>
                <w:lang w:val="sq-AL"/>
              </w:rPr>
              <w:t>Financimi Gjithsej</w:t>
            </w:r>
          </w:p>
        </w:tc>
        <w:tc>
          <w:tcPr>
            <w:tcW w:w="1784" w:type="dxa"/>
            <w:tcBorders>
              <w:top w:val="nil"/>
              <w:left w:val="nil"/>
              <w:bottom w:val="single" w:sz="8" w:space="0" w:color="auto"/>
              <w:right w:val="nil"/>
            </w:tcBorders>
            <w:shd w:val="clear" w:color="auto" w:fill="auto"/>
            <w:noWrap/>
            <w:vAlign w:val="center"/>
            <w:hideMark/>
          </w:tcPr>
          <w:p w:rsidR="0057579A" w:rsidRPr="0057579A" w:rsidRDefault="0057579A" w:rsidP="00304F33">
            <w:pPr>
              <w:jc w:val="right"/>
              <w:rPr>
                <w:rFonts w:ascii="Cambria" w:eastAsia="Times New Roman" w:hAnsi="Cambria" w:cs="Calibri"/>
                <w:b/>
                <w:bCs/>
                <w:color w:val="C00000"/>
                <w:sz w:val="18"/>
                <w:szCs w:val="18"/>
                <w:lang w:val="sq-AL"/>
              </w:rPr>
            </w:pPr>
            <w:r w:rsidRPr="0057579A">
              <w:rPr>
                <w:rFonts w:ascii="Cambria" w:eastAsia="Times New Roman" w:hAnsi="Cambria" w:cs="Calibri"/>
                <w:b/>
                <w:bCs/>
                <w:color w:val="C00000"/>
                <w:sz w:val="18"/>
                <w:szCs w:val="18"/>
                <w:lang w:val="sq-AL"/>
              </w:rPr>
              <w:t>265,274.24</w:t>
            </w:r>
          </w:p>
        </w:tc>
        <w:tc>
          <w:tcPr>
            <w:tcW w:w="1755"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b/>
                <w:bCs/>
                <w:color w:val="C00000"/>
                <w:sz w:val="18"/>
                <w:szCs w:val="18"/>
                <w:lang w:val="sq-AL"/>
              </w:rPr>
            </w:pPr>
            <w:r w:rsidRPr="0057579A">
              <w:rPr>
                <w:rFonts w:ascii="Cambria" w:eastAsia="Times New Roman" w:hAnsi="Cambria" w:cs="Calibri"/>
                <w:b/>
                <w:bCs/>
                <w:color w:val="C00000"/>
                <w:sz w:val="18"/>
                <w:szCs w:val="18"/>
                <w:lang w:val="sq-AL"/>
              </w:rPr>
              <w:t>100.00%</w:t>
            </w:r>
          </w:p>
        </w:tc>
        <w:tc>
          <w:tcPr>
            <w:tcW w:w="2127" w:type="dxa"/>
            <w:tcBorders>
              <w:top w:val="nil"/>
              <w:left w:val="nil"/>
              <w:bottom w:val="single" w:sz="8" w:space="0" w:color="auto"/>
              <w:right w:val="nil"/>
            </w:tcBorders>
            <w:shd w:val="clear" w:color="auto" w:fill="auto"/>
            <w:noWrap/>
            <w:vAlign w:val="center"/>
            <w:hideMark/>
          </w:tcPr>
          <w:p w:rsidR="0057579A" w:rsidRPr="0057579A" w:rsidRDefault="0057579A" w:rsidP="00304F33">
            <w:pPr>
              <w:jc w:val="right"/>
              <w:rPr>
                <w:rFonts w:ascii="Cambria" w:eastAsia="Times New Roman" w:hAnsi="Cambria" w:cs="Calibri"/>
                <w:b/>
                <w:bCs/>
                <w:color w:val="C00000"/>
                <w:sz w:val="18"/>
                <w:szCs w:val="18"/>
                <w:lang w:val="sq-AL"/>
              </w:rPr>
            </w:pPr>
            <w:r w:rsidRPr="0057579A">
              <w:rPr>
                <w:rFonts w:ascii="Cambria" w:eastAsia="Times New Roman" w:hAnsi="Cambria" w:cs="Calibri"/>
                <w:b/>
                <w:bCs/>
                <w:color w:val="C00000"/>
                <w:sz w:val="18"/>
                <w:szCs w:val="18"/>
                <w:lang w:val="sq-AL"/>
              </w:rPr>
              <w:t>13,810.80</w:t>
            </w:r>
          </w:p>
        </w:tc>
        <w:tc>
          <w:tcPr>
            <w:tcW w:w="1842"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b/>
                <w:bCs/>
                <w:color w:val="C00000"/>
                <w:sz w:val="18"/>
                <w:szCs w:val="18"/>
                <w:lang w:val="sq-AL"/>
              </w:rPr>
            </w:pPr>
            <w:r w:rsidRPr="0057579A">
              <w:rPr>
                <w:rFonts w:ascii="Cambria" w:eastAsia="Times New Roman" w:hAnsi="Cambria" w:cs="Calibri"/>
                <w:b/>
                <w:bCs/>
                <w:color w:val="C00000"/>
                <w:sz w:val="18"/>
                <w:szCs w:val="18"/>
                <w:lang w:val="sq-AL"/>
              </w:rPr>
              <w:t>100.00%</w:t>
            </w:r>
          </w:p>
        </w:tc>
      </w:tr>
      <w:tr w:rsidR="0057579A" w:rsidRPr="0057579A" w:rsidTr="00304F33">
        <w:trPr>
          <w:trHeight w:val="245"/>
        </w:trPr>
        <w:tc>
          <w:tcPr>
            <w:tcW w:w="2580" w:type="dxa"/>
            <w:tcBorders>
              <w:top w:val="nil"/>
              <w:left w:val="single" w:sz="8" w:space="0" w:color="auto"/>
              <w:bottom w:val="nil"/>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Instrumenta Afatshkurtër</w:t>
            </w:r>
          </w:p>
        </w:tc>
        <w:tc>
          <w:tcPr>
            <w:tcW w:w="1784"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179,793.01</w:t>
            </w:r>
          </w:p>
        </w:tc>
        <w:tc>
          <w:tcPr>
            <w:tcW w:w="1755"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67.78%</w:t>
            </w:r>
          </w:p>
        </w:tc>
        <w:tc>
          <w:tcPr>
            <w:tcW w:w="2127"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-7,955.01</w:t>
            </w:r>
          </w:p>
        </w:tc>
        <w:tc>
          <w:tcPr>
            <w:tcW w:w="1842"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-57.60%</w:t>
            </w:r>
          </w:p>
        </w:tc>
      </w:tr>
      <w:tr w:rsidR="0057579A" w:rsidRPr="0057579A" w:rsidTr="00304F33">
        <w:trPr>
          <w:trHeight w:val="257"/>
        </w:trPr>
        <w:tc>
          <w:tcPr>
            <w:tcW w:w="2580" w:type="dxa"/>
            <w:tcBorders>
              <w:top w:val="nil"/>
              <w:left w:val="single" w:sz="8" w:space="0" w:color="auto"/>
              <w:bottom w:val="single" w:sz="8" w:space="0" w:color="auto"/>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i/>
                <w:iCs/>
                <w:color w:val="000000"/>
                <w:sz w:val="18"/>
                <w:szCs w:val="18"/>
                <w:lang w:val="sq-AL"/>
              </w:rPr>
            </w:pPr>
            <w:r w:rsidRPr="0057579A">
              <w:rPr>
                <w:rFonts w:ascii="Cambria" w:eastAsia="Times New Roman" w:hAnsi="Cambria" w:cs="Calibri"/>
                <w:i/>
                <w:iCs/>
                <w:color w:val="000000"/>
                <w:sz w:val="18"/>
                <w:szCs w:val="18"/>
                <w:lang w:val="sq-AL"/>
              </w:rPr>
              <w:t xml:space="preserve">  - Bono Thesari </w:t>
            </w:r>
          </w:p>
        </w:tc>
        <w:tc>
          <w:tcPr>
            <w:tcW w:w="1784" w:type="dxa"/>
            <w:tcBorders>
              <w:top w:val="nil"/>
              <w:left w:val="nil"/>
              <w:bottom w:val="single" w:sz="8" w:space="0" w:color="auto"/>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179,793.01</w:t>
            </w:r>
          </w:p>
        </w:tc>
        <w:tc>
          <w:tcPr>
            <w:tcW w:w="1755"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67.78%</w:t>
            </w:r>
          </w:p>
        </w:tc>
        <w:tc>
          <w:tcPr>
            <w:tcW w:w="2127" w:type="dxa"/>
            <w:tcBorders>
              <w:top w:val="nil"/>
              <w:left w:val="nil"/>
              <w:bottom w:val="single" w:sz="8" w:space="0" w:color="auto"/>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-7,955.01</w:t>
            </w:r>
          </w:p>
        </w:tc>
        <w:tc>
          <w:tcPr>
            <w:tcW w:w="1842"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-57.60%</w:t>
            </w:r>
          </w:p>
        </w:tc>
      </w:tr>
      <w:tr w:rsidR="0057579A" w:rsidRPr="0057579A" w:rsidTr="00304F33">
        <w:trPr>
          <w:trHeight w:val="245"/>
        </w:trPr>
        <w:tc>
          <w:tcPr>
            <w:tcW w:w="2580" w:type="dxa"/>
            <w:tcBorders>
              <w:top w:val="nil"/>
              <w:left w:val="single" w:sz="8" w:space="0" w:color="auto"/>
              <w:bottom w:val="nil"/>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Instrumenta Afatgjatë</w:t>
            </w:r>
          </w:p>
        </w:tc>
        <w:tc>
          <w:tcPr>
            <w:tcW w:w="1784"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85,481.23</w:t>
            </w:r>
          </w:p>
        </w:tc>
        <w:tc>
          <w:tcPr>
            <w:tcW w:w="1755"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32.22%</w:t>
            </w:r>
          </w:p>
        </w:tc>
        <w:tc>
          <w:tcPr>
            <w:tcW w:w="2127"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21,765.81</w:t>
            </w:r>
          </w:p>
        </w:tc>
        <w:tc>
          <w:tcPr>
            <w:tcW w:w="1842"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b/>
                <w:bCs/>
                <w:color w:val="000000"/>
                <w:sz w:val="18"/>
                <w:szCs w:val="18"/>
                <w:lang w:val="sq-AL"/>
              </w:rPr>
            </w:pPr>
            <w:r w:rsidRPr="0057579A">
              <w:rPr>
                <w:rFonts w:ascii="Cambria" w:eastAsia="Times New Roman" w:hAnsi="Cambria" w:cs="Calibri"/>
                <w:b/>
                <w:bCs/>
                <w:color w:val="000000"/>
                <w:sz w:val="18"/>
                <w:szCs w:val="18"/>
                <w:lang w:val="sq-AL"/>
              </w:rPr>
              <w:t>157.60%</w:t>
            </w:r>
          </w:p>
        </w:tc>
      </w:tr>
      <w:tr w:rsidR="0057579A" w:rsidRPr="0057579A" w:rsidTr="00304F33">
        <w:trPr>
          <w:trHeight w:val="245"/>
        </w:trPr>
        <w:tc>
          <w:tcPr>
            <w:tcW w:w="2580" w:type="dxa"/>
            <w:tcBorders>
              <w:top w:val="nil"/>
              <w:left w:val="single" w:sz="8" w:space="0" w:color="auto"/>
              <w:bottom w:val="nil"/>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i/>
                <w:iCs/>
                <w:color w:val="000000"/>
                <w:sz w:val="18"/>
                <w:szCs w:val="18"/>
                <w:lang w:val="sq-AL"/>
              </w:rPr>
            </w:pPr>
            <w:r w:rsidRPr="0057579A">
              <w:rPr>
                <w:rFonts w:ascii="Cambria" w:eastAsia="Times New Roman" w:hAnsi="Cambria" w:cs="Calibri"/>
                <w:i/>
                <w:iCs/>
                <w:color w:val="000000"/>
                <w:sz w:val="18"/>
                <w:szCs w:val="18"/>
                <w:lang w:val="sq-AL"/>
              </w:rPr>
              <w:t xml:space="preserve">  - Obligacione 2 vjeçare</w:t>
            </w:r>
          </w:p>
        </w:tc>
        <w:tc>
          <w:tcPr>
            <w:tcW w:w="1784"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46,693.07</w:t>
            </w:r>
          </w:p>
        </w:tc>
        <w:tc>
          <w:tcPr>
            <w:tcW w:w="1755"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17.60%</w:t>
            </w:r>
          </w:p>
        </w:tc>
        <w:tc>
          <w:tcPr>
            <w:tcW w:w="2127"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5,524.56</w:t>
            </w:r>
          </w:p>
        </w:tc>
        <w:tc>
          <w:tcPr>
            <w:tcW w:w="1842"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40.00%</w:t>
            </w:r>
          </w:p>
        </w:tc>
      </w:tr>
      <w:tr w:rsidR="0057579A" w:rsidRPr="0057579A" w:rsidTr="00304F33">
        <w:trPr>
          <w:trHeight w:val="245"/>
        </w:trPr>
        <w:tc>
          <w:tcPr>
            <w:tcW w:w="2580" w:type="dxa"/>
            <w:tcBorders>
              <w:top w:val="nil"/>
              <w:left w:val="single" w:sz="8" w:space="0" w:color="auto"/>
              <w:bottom w:val="nil"/>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i/>
                <w:iCs/>
                <w:color w:val="000000"/>
                <w:sz w:val="18"/>
                <w:szCs w:val="18"/>
                <w:lang w:val="sq-AL"/>
              </w:rPr>
            </w:pPr>
            <w:r w:rsidRPr="0057579A">
              <w:rPr>
                <w:rFonts w:ascii="Cambria" w:eastAsia="Times New Roman" w:hAnsi="Cambria" w:cs="Calibri"/>
                <w:i/>
                <w:iCs/>
                <w:color w:val="000000"/>
                <w:sz w:val="18"/>
                <w:szCs w:val="18"/>
                <w:lang w:val="sq-AL"/>
              </w:rPr>
              <w:t xml:space="preserve">  - Obligacione 3 vjeçare</w:t>
            </w:r>
          </w:p>
        </w:tc>
        <w:tc>
          <w:tcPr>
            <w:tcW w:w="1784"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2,999.90</w:t>
            </w:r>
          </w:p>
        </w:tc>
        <w:tc>
          <w:tcPr>
            <w:tcW w:w="1755"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1.13%</w:t>
            </w:r>
          </w:p>
        </w:tc>
        <w:tc>
          <w:tcPr>
            <w:tcW w:w="2127"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-2,246.70</w:t>
            </w:r>
          </w:p>
        </w:tc>
        <w:tc>
          <w:tcPr>
            <w:tcW w:w="1842"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-16.27%</w:t>
            </w:r>
          </w:p>
        </w:tc>
      </w:tr>
      <w:tr w:rsidR="0057579A" w:rsidRPr="0057579A" w:rsidTr="00304F33">
        <w:trPr>
          <w:trHeight w:val="245"/>
        </w:trPr>
        <w:tc>
          <w:tcPr>
            <w:tcW w:w="2580" w:type="dxa"/>
            <w:tcBorders>
              <w:top w:val="nil"/>
              <w:left w:val="single" w:sz="8" w:space="0" w:color="auto"/>
              <w:bottom w:val="nil"/>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i/>
                <w:iCs/>
                <w:color w:val="000000"/>
                <w:sz w:val="18"/>
                <w:szCs w:val="18"/>
                <w:lang w:val="sq-AL"/>
              </w:rPr>
            </w:pPr>
            <w:r w:rsidRPr="0057579A">
              <w:rPr>
                <w:rFonts w:ascii="Cambria" w:eastAsia="Times New Roman" w:hAnsi="Cambria" w:cs="Calibri"/>
                <w:i/>
                <w:iCs/>
                <w:color w:val="000000"/>
                <w:sz w:val="18"/>
                <w:szCs w:val="18"/>
                <w:lang w:val="sq-AL"/>
              </w:rPr>
              <w:t xml:space="preserve">  - Obligacione 5 vjeçare</w:t>
            </w:r>
          </w:p>
        </w:tc>
        <w:tc>
          <w:tcPr>
            <w:tcW w:w="1784"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19,500.00</w:t>
            </w:r>
          </w:p>
        </w:tc>
        <w:tc>
          <w:tcPr>
            <w:tcW w:w="1755"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7.35%</w:t>
            </w:r>
          </w:p>
        </w:tc>
        <w:tc>
          <w:tcPr>
            <w:tcW w:w="2127"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2,199.70</w:t>
            </w:r>
          </w:p>
        </w:tc>
        <w:tc>
          <w:tcPr>
            <w:tcW w:w="1842"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15.93%</w:t>
            </w:r>
          </w:p>
        </w:tc>
      </w:tr>
      <w:tr w:rsidR="0057579A" w:rsidRPr="0057579A" w:rsidTr="00304F33">
        <w:trPr>
          <w:trHeight w:val="245"/>
        </w:trPr>
        <w:tc>
          <w:tcPr>
            <w:tcW w:w="2580" w:type="dxa"/>
            <w:tcBorders>
              <w:top w:val="nil"/>
              <w:left w:val="single" w:sz="8" w:space="0" w:color="auto"/>
              <w:bottom w:val="nil"/>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i/>
                <w:iCs/>
                <w:color w:val="000000"/>
                <w:sz w:val="18"/>
                <w:szCs w:val="18"/>
                <w:lang w:val="sq-AL"/>
              </w:rPr>
            </w:pPr>
            <w:r w:rsidRPr="0057579A">
              <w:rPr>
                <w:rFonts w:ascii="Cambria" w:eastAsia="Times New Roman" w:hAnsi="Cambria" w:cs="Calibri"/>
                <w:i/>
                <w:iCs/>
                <w:color w:val="000000"/>
                <w:sz w:val="18"/>
                <w:szCs w:val="18"/>
                <w:lang w:val="sq-AL"/>
              </w:rPr>
              <w:t xml:space="preserve">  - Obligacione 7 vjeçare</w:t>
            </w:r>
          </w:p>
        </w:tc>
        <w:tc>
          <w:tcPr>
            <w:tcW w:w="1784"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7,812.24</w:t>
            </w:r>
          </w:p>
        </w:tc>
        <w:tc>
          <w:tcPr>
            <w:tcW w:w="1755"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2.94%</w:t>
            </w:r>
          </w:p>
        </w:tc>
        <w:tc>
          <w:tcPr>
            <w:tcW w:w="2127" w:type="dxa"/>
            <w:tcBorders>
              <w:top w:val="nil"/>
              <w:left w:val="nil"/>
              <w:bottom w:val="nil"/>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7,812.24</w:t>
            </w:r>
          </w:p>
        </w:tc>
        <w:tc>
          <w:tcPr>
            <w:tcW w:w="1842" w:type="dxa"/>
            <w:tcBorders>
              <w:top w:val="nil"/>
              <w:left w:val="nil"/>
              <w:bottom w:val="nil"/>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56.57%</w:t>
            </w:r>
          </w:p>
        </w:tc>
      </w:tr>
      <w:tr w:rsidR="0057579A" w:rsidRPr="0057579A" w:rsidTr="00304F33">
        <w:trPr>
          <w:trHeight w:val="257"/>
        </w:trPr>
        <w:tc>
          <w:tcPr>
            <w:tcW w:w="2580" w:type="dxa"/>
            <w:tcBorders>
              <w:top w:val="nil"/>
              <w:left w:val="single" w:sz="8" w:space="0" w:color="auto"/>
              <w:bottom w:val="single" w:sz="8" w:space="0" w:color="auto"/>
              <w:right w:val="single" w:sz="8" w:space="0" w:color="auto"/>
            </w:tcBorders>
            <w:shd w:val="clear" w:color="auto" w:fill="auto"/>
            <w:noWrap/>
            <w:vAlign w:val="center"/>
            <w:hideMark/>
          </w:tcPr>
          <w:p w:rsidR="0057579A" w:rsidRPr="0057579A" w:rsidRDefault="0057579A" w:rsidP="00304F33">
            <w:pPr>
              <w:rPr>
                <w:rFonts w:ascii="Cambria" w:eastAsia="Times New Roman" w:hAnsi="Cambria" w:cs="Calibri"/>
                <w:i/>
                <w:iCs/>
                <w:color w:val="000000"/>
                <w:sz w:val="18"/>
                <w:szCs w:val="18"/>
                <w:lang w:val="sq-AL"/>
              </w:rPr>
            </w:pPr>
            <w:r w:rsidRPr="0057579A">
              <w:rPr>
                <w:rFonts w:ascii="Cambria" w:eastAsia="Times New Roman" w:hAnsi="Cambria" w:cs="Calibri"/>
                <w:i/>
                <w:iCs/>
                <w:color w:val="000000"/>
                <w:sz w:val="18"/>
                <w:szCs w:val="18"/>
                <w:lang w:val="sq-AL"/>
              </w:rPr>
              <w:t xml:space="preserve">  - Obligacione 10 vjeçare</w:t>
            </w:r>
          </w:p>
        </w:tc>
        <w:tc>
          <w:tcPr>
            <w:tcW w:w="1784" w:type="dxa"/>
            <w:tcBorders>
              <w:top w:val="nil"/>
              <w:left w:val="nil"/>
              <w:bottom w:val="single" w:sz="8" w:space="0" w:color="auto"/>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8,476.02</w:t>
            </w:r>
          </w:p>
        </w:tc>
        <w:tc>
          <w:tcPr>
            <w:tcW w:w="1755"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3.20%</w:t>
            </w:r>
          </w:p>
        </w:tc>
        <w:tc>
          <w:tcPr>
            <w:tcW w:w="2127" w:type="dxa"/>
            <w:tcBorders>
              <w:top w:val="nil"/>
              <w:left w:val="nil"/>
              <w:bottom w:val="single" w:sz="8" w:space="0" w:color="auto"/>
              <w:right w:val="nil"/>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8,476.02</w:t>
            </w:r>
          </w:p>
        </w:tc>
        <w:tc>
          <w:tcPr>
            <w:tcW w:w="1842" w:type="dxa"/>
            <w:tcBorders>
              <w:top w:val="nil"/>
              <w:left w:val="nil"/>
              <w:bottom w:val="single" w:sz="8" w:space="0" w:color="auto"/>
              <w:right w:val="single" w:sz="8" w:space="0" w:color="auto"/>
            </w:tcBorders>
            <w:shd w:val="clear" w:color="auto" w:fill="auto"/>
            <w:noWrap/>
            <w:vAlign w:val="center"/>
            <w:hideMark/>
          </w:tcPr>
          <w:p w:rsidR="0057579A" w:rsidRPr="0057579A" w:rsidRDefault="0057579A" w:rsidP="00304F33">
            <w:pPr>
              <w:jc w:val="right"/>
              <w:rPr>
                <w:rFonts w:ascii="Cambria" w:eastAsia="Times New Roman" w:hAnsi="Cambria" w:cs="Calibri"/>
                <w:i/>
                <w:color w:val="000000"/>
                <w:sz w:val="18"/>
                <w:szCs w:val="18"/>
                <w:lang w:val="sq-AL"/>
              </w:rPr>
            </w:pPr>
            <w:r w:rsidRPr="0057579A">
              <w:rPr>
                <w:rFonts w:ascii="Cambria" w:eastAsia="Times New Roman" w:hAnsi="Cambria" w:cs="Calibri"/>
                <w:i/>
                <w:color w:val="000000"/>
                <w:sz w:val="18"/>
                <w:szCs w:val="18"/>
                <w:lang w:val="sq-AL"/>
              </w:rPr>
              <w:t>61.37%</w:t>
            </w:r>
          </w:p>
        </w:tc>
      </w:tr>
    </w:tbl>
    <w:p w:rsidR="0057579A" w:rsidRPr="0057579A" w:rsidRDefault="0057579A" w:rsidP="0057579A">
      <w:pPr>
        <w:jc w:val="both"/>
        <w:rPr>
          <w:rFonts w:eastAsia="Times New Roman"/>
          <w:i/>
          <w:sz w:val="20"/>
          <w:szCs w:val="20"/>
          <w:lang w:val="sq-AL"/>
        </w:rPr>
      </w:pPr>
      <w:r w:rsidRPr="0057579A">
        <w:rPr>
          <w:b/>
          <w:sz w:val="20"/>
          <w:szCs w:val="20"/>
          <w:lang w:val="sq-AL"/>
        </w:rPr>
        <w:t xml:space="preserve">Burimi: </w:t>
      </w:r>
      <w:r w:rsidRPr="0057579A">
        <w:rPr>
          <w:i/>
          <w:sz w:val="20"/>
          <w:szCs w:val="20"/>
          <w:lang w:val="sq-AL"/>
        </w:rPr>
        <w:t>Ministria e Financave dhe Ekonomisë (2017)</w:t>
      </w:r>
    </w:p>
    <w:p w:rsidR="0057579A" w:rsidRPr="0057579A" w:rsidRDefault="0057579A" w:rsidP="0057579A">
      <w:pPr>
        <w:spacing w:line="276" w:lineRule="auto"/>
        <w:ind w:right="4"/>
        <w:jc w:val="both"/>
        <w:rPr>
          <w:rFonts w:eastAsia="Times New Roman"/>
          <w:b/>
          <w:u w:val="single"/>
          <w:lang w:val="sq-AL"/>
        </w:rPr>
      </w:pPr>
    </w:p>
    <w:p w:rsidR="0057579A" w:rsidRPr="0057579A" w:rsidRDefault="0057579A" w:rsidP="0057579A">
      <w:pPr>
        <w:spacing w:line="276" w:lineRule="auto"/>
        <w:ind w:right="4"/>
        <w:jc w:val="both"/>
        <w:rPr>
          <w:rFonts w:eastAsia="Times New Roman"/>
          <w:b/>
          <w:u w:val="single"/>
          <w:lang w:val="sq-AL"/>
        </w:rPr>
      </w:pPr>
    </w:p>
    <w:p w:rsidR="002371BA" w:rsidRDefault="002371BA" w:rsidP="0057579A">
      <w:pPr>
        <w:spacing w:line="276" w:lineRule="auto"/>
        <w:ind w:right="4"/>
        <w:jc w:val="both"/>
        <w:rPr>
          <w:rFonts w:eastAsia="Times New Roman"/>
          <w:b/>
          <w:u w:val="single"/>
          <w:lang w:val="sq-AL"/>
        </w:rPr>
      </w:pPr>
    </w:p>
    <w:p w:rsidR="002371BA" w:rsidRDefault="002371BA" w:rsidP="0057579A">
      <w:pPr>
        <w:spacing w:line="276" w:lineRule="auto"/>
        <w:ind w:right="4"/>
        <w:jc w:val="both"/>
        <w:rPr>
          <w:rFonts w:eastAsia="Times New Roman"/>
          <w:b/>
          <w:u w:val="single"/>
          <w:lang w:val="sq-AL"/>
        </w:rPr>
      </w:pPr>
    </w:p>
    <w:p w:rsidR="002371BA" w:rsidRDefault="002371BA" w:rsidP="0057579A">
      <w:pPr>
        <w:spacing w:line="276" w:lineRule="auto"/>
        <w:ind w:right="4"/>
        <w:jc w:val="both"/>
        <w:rPr>
          <w:rFonts w:eastAsia="Times New Roman"/>
          <w:b/>
          <w:u w:val="single"/>
          <w:lang w:val="sq-AL"/>
        </w:rPr>
      </w:pPr>
    </w:p>
    <w:p w:rsidR="0057579A" w:rsidRPr="0057579A" w:rsidRDefault="0057579A" w:rsidP="0057579A">
      <w:pPr>
        <w:spacing w:line="276" w:lineRule="auto"/>
        <w:ind w:right="4"/>
        <w:jc w:val="both"/>
        <w:rPr>
          <w:rFonts w:eastAsia="Times New Roman"/>
          <w:b/>
          <w:u w:val="single"/>
          <w:lang w:val="sq-AL"/>
        </w:rPr>
      </w:pPr>
      <w:r w:rsidRPr="0057579A">
        <w:rPr>
          <w:rFonts w:eastAsia="Times New Roman"/>
          <w:b/>
          <w:u w:val="single"/>
          <w:lang w:val="sq-AL"/>
        </w:rPr>
        <w:lastRenderedPageBreak/>
        <w:t>Kostot dhe Risqet</w:t>
      </w:r>
    </w:p>
    <w:p w:rsidR="0057579A" w:rsidRPr="0057579A" w:rsidRDefault="0057579A" w:rsidP="00A66D0D">
      <w:pPr>
        <w:spacing w:line="276" w:lineRule="auto"/>
        <w:ind w:right="4"/>
        <w:jc w:val="both"/>
        <w:rPr>
          <w:rFonts w:eastAsia="Times New Roman"/>
          <w:b/>
          <w:u w:val="single"/>
          <w:lang w:val="sq-AL"/>
        </w:rPr>
      </w:pPr>
    </w:p>
    <w:p w:rsidR="0057579A" w:rsidRPr="0057579A" w:rsidRDefault="0057579A" w:rsidP="00A66D0D">
      <w:pPr>
        <w:tabs>
          <w:tab w:val="left" w:pos="1182"/>
        </w:tabs>
        <w:spacing w:line="276" w:lineRule="auto"/>
        <w:jc w:val="both"/>
        <w:rPr>
          <w:rFonts w:eastAsia="Times New Roman"/>
          <w:lang w:val="sq-AL"/>
        </w:rPr>
      </w:pPr>
      <w:r w:rsidRPr="0057579A">
        <w:rPr>
          <w:rFonts w:eastAsia="Times New Roman"/>
          <w:lang w:val="sq-AL"/>
        </w:rPr>
        <w:t xml:space="preserve">Gjatë periudhës janar-shtator 2017, ka vazhduar tendenca e uljes së kostos së borxhit dhe përmirësimit të treguesve të riskut. Shërbimi i borxhit ka rezultuar me ulje gjatë kësaj periudhe kryesisht si rezultat i efektit që ka dhënë rënia e normave të interesit gjatë vitit 2016 dhe viteve paraardhëse. </w:t>
      </w:r>
    </w:p>
    <w:p w:rsidR="0057579A" w:rsidRPr="0057579A" w:rsidRDefault="0057579A" w:rsidP="00A66D0D">
      <w:pPr>
        <w:tabs>
          <w:tab w:val="left" w:pos="1182"/>
        </w:tabs>
        <w:spacing w:line="276" w:lineRule="auto"/>
        <w:jc w:val="both"/>
        <w:rPr>
          <w:rFonts w:eastAsia="Times New Roman"/>
          <w:lang w:val="sq-AL"/>
        </w:rPr>
      </w:pPr>
    </w:p>
    <w:p w:rsidR="00A312EB" w:rsidRPr="005454EB" w:rsidRDefault="0057579A" w:rsidP="005454EB">
      <w:pPr>
        <w:tabs>
          <w:tab w:val="left" w:pos="0"/>
        </w:tabs>
        <w:spacing w:line="276" w:lineRule="auto"/>
        <w:ind w:right="-46"/>
        <w:contextualSpacing/>
        <w:jc w:val="both"/>
        <w:rPr>
          <w:rFonts w:eastAsia="Times New Roman"/>
          <w:lang w:val="sq-AL"/>
        </w:rPr>
      </w:pPr>
      <w:r w:rsidRPr="0057579A">
        <w:rPr>
          <w:rFonts w:eastAsia="Times New Roman"/>
          <w:lang w:val="sq-AL"/>
        </w:rPr>
        <w:t>Struktura e borxhit ka shfaqur përmirësim, kryesisht në aspektin e reduktimit të ekspozimit ndaj riskut të rifinancimit dhe riskut të normave të interesit.</w:t>
      </w:r>
      <w:r w:rsidR="005454EB">
        <w:rPr>
          <w:rFonts w:eastAsia="Times New Roman"/>
          <w:lang w:val="sq-AL"/>
        </w:rPr>
        <w:t xml:space="preserve"> </w:t>
      </w:r>
      <w:r w:rsidRPr="0057579A">
        <w:rPr>
          <w:rFonts w:eastAsia="Times New Roman"/>
          <w:lang w:val="sq-AL"/>
        </w:rPr>
        <w:t>Përmirësimi i risqeve është i lidhur ngushtë me rritjen e peshës së borxhit afatgjatë dhe me red</w:t>
      </w:r>
      <w:r w:rsidR="005454EB">
        <w:rPr>
          <w:rFonts w:eastAsia="Times New Roman"/>
          <w:lang w:val="sq-AL"/>
        </w:rPr>
        <w:t>uktimin e borxhit afatshkurtër.</w:t>
      </w:r>
    </w:p>
    <w:p w:rsidR="00A312EB" w:rsidRDefault="00A312EB" w:rsidP="0057579A">
      <w:pPr>
        <w:spacing w:line="276" w:lineRule="auto"/>
        <w:ind w:right="6"/>
        <w:rPr>
          <w:b/>
          <w:sz w:val="20"/>
          <w:szCs w:val="20"/>
          <w:lang w:val="sq-AL"/>
        </w:rPr>
      </w:pPr>
    </w:p>
    <w:p w:rsidR="005E648C" w:rsidRPr="00082CBE" w:rsidRDefault="005E648C" w:rsidP="005E648C">
      <w:pPr>
        <w:spacing w:line="276" w:lineRule="auto"/>
        <w:ind w:right="6"/>
        <w:rPr>
          <w:rFonts w:eastAsia="Times New Roman"/>
          <w:lang w:val="sq-AL"/>
        </w:rPr>
      </w:pPr>
      <w:r w:rsidRPr="00082CBE">
        <w:rPr>
          <w:b/>
          <w:sz w:val="20"/>
          <w:szCs w:val="20"/>
          <w:lang w:val="sq-AL"/>
        </w:rPr>
        <w:t xml:space="preserve">Grafiku 40: </w:t>
      </w:r>
      <w:r w:rsidRPr="00082CBE">
        <w:rPr>
          <w:i/>
          <w:sz w:val="20"/>
          <w:szCs w:val="20"/>
          <w:lang w:val="sq-AL"/>
        </w:rPr>
        <w:t>Jetëgjatësia mesatare (DMM) dhe kosto mesatare e borxhit të brendshëm (YMP)</w:t>
      </w:r>
    </w:p>
    <w:p w:rsidR="005E648C" w:rsidRDefault="005E648C" w:rsidP="005E648C">
      <w:pPr>
        <w:jc w:val="center"/>
      </w:pPr>
      <w:r>
        <w:rPr>
          <w:noProof/>
        </w:rPr>
        <w:drawing>
          <wp:inline distT="0" distB="0" distL="0" distR="0" wp14:anchorId="0A569F4E" wp14:editId="382A253D">
            <wp:extent cx="6358375" cy="200914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4029" cy="2014086"/>
                    </a:xfrm>
                    <a:prstGeom prst="rect">
                      <a:avLst/>
                    </a:prstGeom>
                    <a:noFill/>
                  </pic:spPr>
                </pic:pic>
              </a:graphicData>
            </a:graphic>
          </wp:inline>
        </w:drawing>
      </w:r>
    </w:p>
    <w:p w:rsidR="005E648C" w:rsidRPr="0057579A" w:rsidRDefault="005E648C" w:rsidP="005E648C">
      <w:pPr>
        <w:spacing w:line="276" w:lineRule="auto"/>
        <w:ind w:right="6"/>
        <w:jc w:val="both"/>
        <w:rPr>
          <w:i/>
          <w:sz w:val="20"/>
          <w:szCs w:val="20"/>
          <w:lang w:val="sq-AL"/>
        </w:rPr>
      </w:pPr>
      <w:r w:rsidRPr="00C36C18">
        <w:rPr>
          <w:i/>
          <w:sz w:val="20"/>
          <w:szCs w:val="20"/>
          <w:lang w:val="sq-AL"/>
        </w:rPr>
        <w:t xml:space="preserve">Burimi: </w:t>
      </w:r>
      <w:r w:rsidRPr="0057579A">
        <w:rPr>
          <w:i/>
          <w:sz w:val="20"/>
          <w:szCs w:val="20"/>
          <w:lang w:val="sq-AL"/>
        </w:rPr>
        <w:t>Ministria e Financave dhe Ekonomisë (2017)</w:t>
      </w:r>
    </w:p>
    <w:p w:rsidR="005454EB" w:rsidRPr="0057579A" w:rsidRDefault="005454EB" w:rsidP="0057579A">
      <w:pPr>
        <w:ind w:right="4"/>
        <w:jc w:val="both"/>
        <w:rPr>
          <w:rFonts w:eastAsia="Times New Roman"/>
          <w:lang w:val="sq-AL"/>
        </w:rPr>
      </w:pPr>
    </w:p>
    <w:p w:rsidR="0057579A" w:rsidRPr="0057579A" w:rsidRDefault="0057579A" w:rsidP="0057579A">
      <w:pPr>
        <w:ind w:right="6"/>
        <w:jc w:val="both"/>
        <w:rPr>
          <w:rFonts w:eastAsia="Times New Roman"/>
          <w:b/>
          <w:lang w:val="sq-AL"/>
        </w:rPr>
      </w:pPr>
      <w:r w:rsidRPr="0057579A">
        <w:rPr>
          <w:rFonts w:eastAsia="Times New Roman"/>
          <w:b/>
          <w:lang w:val="sq-AL"/>
        </w:rPr>
        <w:t>Kostot</w:t>
      </w:r>
    </w:p>
    <w:p w:rsidR="0057579A" w:rsidRPr="0057579A" w:rsidRDefault="0057579A" w:rsidP="0057579A">
      <w:pPr>
        <w:ind w:right="6"/>
        <w:jc w:val="both"/>
        <w:rPr>
          <w:rFonts w:eastAsia="Times New Roman"/>
          <w:lang w:val="sq-AL"/>
        </w:rPr>
      </w:pPr>
    </w:p>
    <w:p w:rsidR="0057579A" w:rsidRPr="0057579A" w:rsidRDefault="0057579A" w:rsidP="00A66D0D">
      <w:pPr>
        <w:tabs>
          <w:tab w:val="left" w:pos="8647"/>
        </w:tabs>
        <w:spacing w:line="276" w:lineRule="auto"/>
        <w:ind w:right="95"/>
        <w:jc w:val="both"/>
        <w:rPr>
          <w:rFonts w:eastAsia="Calibri"/>
          <w:noProof/>
          <w:lang w:val="sq-AL"/>
        </w:rPr>
      </w:pPr>
      <w:r w:rsidRPr="0057579A">
        <w:rPr>
          <w:lang w:val="sq-AL"/>
        </w:rPr>
        <w:t xml:space="preserve">Krahasuar me periudhën janar-shtator 2016, </w:t>
      </w:r>
      <w:r w:rsidRPr="0057579A">
        <w:rPr>
          <w:rFonts w:eastAsia="Calibri"/>
          <w:noProof/>
          <w:lang w:val="sq-AL"/>
        </w:rPr>
        <w:t>shpenzimet për interesa të Borxhit Shtetëror</w:t>
      </w:r>
      <w:r w:rsidRPr="0057579A">
        <w:rPr>
          <w:rStyle w:val="FootnoteReference"/>
          <w:rFonts w:eastAsia="Calibri"/>
          <w:noProof/>
          <w:lang w:val="sq-AL"/>
        </w:rPr>
        <w:footnoteReference w:id="7"/>
      </w:r>
      <w:r w:rsidRPr="0057579A">
        <w:rPr>
          <w:rFonts w:eastAsia="Calibri"/>
          <w:noProof/>
          <w:lang w:val="sq-AL"/>
        </w:rPr>
        <w:t xml:space="preserve"> ranë me 4.1 miliard Lek, duke u vlerësuar në 21.6 miliard Lek ose 1.39% e PBB</w:t>
      </w:r>
      <w:r w:rsidRPr="0057579A">
        <w:rPr>
          <w:rStyle w:val="FootnoteReference"/>
          <w:rFonts w:eastAsia="Calibri"/>
          <w:noProof/>
          <w:lang w:val="sq-AL"/>
        </w:rPr>
        <w:footnoteReference w:id="8"/>
      </w:r>
      <w:r w:rsidRPr="0057579A">
        <w:rPr>
          <w:rFonts w:eastAsia="Calibri"/>
          <w:noProof/>
          <w:lang w:val="sq-AL"/>
        </w:rPr>
        <w:t>. Reduktimi i shpenzimeve për interesa i atribuohet efektit të rënies së normave të interesit në tregun e brendshëm</w:t>
      </w:r>
      <w:r w:rsidR="005454EB">
        <w:rPr>
          <w:rFonts w:eastAsia="Calibri"/>
          <w:noProof/>
          <w:lang w:val="sq-AL"/>
        </w:rPr>
        <w:t xml:space="preserve"> </w:t>
      </w:r>
      <w:r w:rsidRPr="0057579A">
        <w:rPr>
          <w:rFonts w:eastAsia="Calibri"/>
          <w:i/>
          <w:noProof/>
          <w:lang w:val="sq-AL"/>
        </w:rPr>
        <w:t>(kryesisht gjatë tre viteve paraardhëse për Obligacionet dhe gjatë vitit 2016 për Bonot e Thesarit)</w:t>
      </w:r>
      <w:r w:rsidRPr="0057579A">
        <w:rPr>
          <w:rFonts w:eastAsia="Calibri"/>
          <w:noProof/>
          <w:lang w:val="sq-AL"/>
        </w:rPr>
        <w:t>, si edhe zëvendësimit të borxhit që maturohet me borxh me norma interesi më të favorshme.</w:t>
      </w:r>
    </w:p>
    <w:p w:rsidR="0057579A" w:rsidRPr="0057579A" w:rsidRDefault="0057579A" w:rsidP="0057579A">
      <w:pPr>
        <w:tabs>
          <w:tab w:val="left" w:pos="8647"/>
        </w:tabs>
        <w:ind w:right="95"/>
        <w:jc w:val="both"/>
        <w:rPr>
          <w:rFonts w:eastAsia="Calibri"/>
          <w:noProof/>
          <w:lang w:val="sq-AL"/>
        </w:rPr>
      </w:pPr>
    </w:p>
    <w:p w:rsidR="0057579A" w:rsidRPr="00A312EB" w:rsidRDefault="009964EE" w:rsidP="0057579A">
      <w:pPr>
        <w:spacing w:line="276" w:lineRule="auto"/>
        <w:ind w:right="6"/>
        <w:rPr>
          <w:rFonts w:eastAsia="Times New Roman"/>
          <w:sz w:val="22"/>
          <w:szCs w:val="22"/>
          <w:lang w:val="sq-AL"/>
        </w:rPr>
      </w:pPr>
      <w:r w:rsidRPr="00A312EB">
        <w:rPr>
          <w:b/>
          <w:sz w:val="22"/>
          <w:szCs w:val="22"/>
          <w:lang w:val="sq-AL"/>
        </w:rPr>
        <w:t xml:space="preserve">Grafiku </w:t>
      </w:r>
      <w:r w:rsidR="00E1102D" w:rsidRPr="00A312EB">
        <w:rPr>
          <w:b/>
          <w:sz w:val="22"/>
          <w:szCs w:val="22"/>
          <w:lang w:val="sq-AL"/>
        </w:rPr>
        <w:t>4</w:t>
      </w:r>
      <w:r w:rsidR="006F4064" w:rsidRPr="00A312EB">
        <w:rPr>
          <w:b/>
          <w:sz w:val="22"/>
          <w:szCs w:val="22"/>
          <w:lang w:val="sq-AL"/>
        </w:rPr>
        <w:t>1</w:t>
      </w:r>
      <w:r w:rsidR="0057579A" w:rsidRPr="00A312EB">
        <w:rPr>
          <w:b/>
          <w:sz w:val="22"/>
          <w:szCs w:val="22"/>
          <w:lang w:val="sq-AL"/>
        </w:rPr>
        <w:t xml:space="preserve">: </w:t>
      </w:r>
      <w:r w:rsidR="0057579A" w:rsidRPr="00A312EB">
        <w:rPr>
          <w:sz w:val="22"/>
          <w:szCs w:val="22"/>
          <w:lang w:val="sq-AL"/>
        </w:rPr>
        <w:t>Shërbimi i Borxhit Shtetëror</w:t>
      </w:r>
    </w:p>
    <w:p w:rsidR="0057579A" w:rsidRPr="0057579A" w:rsidRDefault="0057579A" w:rsidP="0057579A">
      <w:pPr>
        <w:tabs>
          <w:tab w:val="left" w:pos="8647"/>
        </w:tabs>
        <w:ind w:right="95"/>
        <w:jc w:val="both"/>
        <w:rPr>
          <w:rFonts w:eastAsia="Calibri"/>
          <w:noProof/>
          <w:lang w:val="sq-AL"/>
        </w:rPr>
      </w:pPr>
      <w:r w:rsidRPr="0057579A">
        <w:rPr>
          <w:noProof/>
        </w:rPr>
        <w:drawing>
          <wp:inline distT="0" distB="0" distL="0" distR="0" wp14:anchorId="44DD6FD6" wp14:editId="7E182CE5">
            <wp:extent cx="6419850" cy="2114550"/>
            <wp:effectExtent l="0" t="0" r="0" b="0"/>
            <wp:docPr id="79" name="Char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7579A" w:rsidRPr="0057579A" w:rsidRDefault="0057579A" w:rsidP="0057579A">
      <w:pPr>
        <w:spacing w:line="276" w:lineRule="auto"/>
        <w:ind w:right="6"/>
        <w:jc w:val="both"/>
        <w:rPr>
          <w:rFonts w:eastAsia="Times New Roman"/>
          <w:lang w:val="sq-AL"/>
        </w:rPr>
      </w:pPr>
      <w:r w:rsidRPr="00196D06">
        <w:rPr>
          <w:i/>
          <w:sz w:val="20"/>
          <w:szCs w:val="20"/>
          <w:lang w:val="sq-AL"/>
        </w:rPr>
        <w:t>Burimi:</w:t>
      </w:r>
      <w:r w:rsidRPr="0057579A">
        <w:rPr>
          <w:i/>
          <w:sz w:val="20"/>
          <w:szCs w:val="20"/>
          <w:lang w:val="sq-AL"/>
        </w:rPr>
        <w:t xml:space="preserve">Ministria e Financave </w:t>
      </w:r>
      <w:r w:rsidR="00196D06">
        <w:rPr>
          <w:i/>
          <w:sz w:val="20"/>
          <w:szCs w:val="20"/>
          <w:lang w:val="sq-AL"/>
        </w:rPr>
        <w:t>dhe Ekonomis</w:t>
      </w:r>
      <w:r w:rsidR="00A554C6">
        <w:rPr>
          <w:i/>
          <w:sz w:val="20"/>
          <w:szCs w:val="20"/>
          <w:lang w:val="sq-AL"/>
        </w:rPr>
        <w:t>ë</w:t>
      </w:r>
      <w:r w:rsidR="00196D06">
        <w:rPr>
          <w:i/>
          <w:sz w:val="20"/>
          <w:szCs w:val="20"/>
          <w:lang w:val="sq-AL"/>
        </w:rPr>
        <w:t xml:space="preserve"> </w:t>
      </w:r>
      <w:r w:rsidRPr="0057579A">
        <w:rPr>
          <w:i/>
          <w:sz w:val="20"/>
          <w:szCs w:val="20"/>
          <w:lang w:val="sq-AL"/>
        </w:rPr>
        <w:t>(2017)</w:t>
      </w:r>
    </w:p>
    <w:p w:rsidR="0057579A" w:rsidRPr="0057579A" w:rsidRDefault="0057579A" w:rsidP="0057579A">
      <w:pPr>
        <w:tabs>
          <w:tab w:val="left" w:pos="8647"/>
        </w:tabs>
        <w:ind w:right="95"/>
        <w:jc w:val="both"/>
        <w:rPr>
          <w:rFonts w:eastAsia="Calibri"/>
          <w:noProof/>
          <w:lang w:val="sq-AL"/>
        </w:rPr>
      </w:pPr>
    </w:p>
    <w:p w:rsidR="0057579A" w:rsidRPr="0057579A" w:rsidRDefault="0057579A" w:rsidP="00A66D0D">
      <w:pPr>
        <w:tabs>
          <w:tab w:val="left" w:pos="8647"/>
        </w:tabs>
        <w:spacing w:line="276" w:lineRule="auto"/>
        <w:ind w:right="95"/>
        <w:jc w:val="both"/>
        <w:rPr>
          <w:rFonts w:eastAsia="Times New Roman"/>
          <w:lang w:val="sq-AL"/>
        </w:rPr>
      </w:pPr>
      <w:r w:rsidRPr="0057579A">
        <w:rPr>
          <w:rFonts w:eastAsia="Times New Roman"/>
          <w:lang w:val="sq-AL"/>
        </w:rPr>
        <w:lastRenderedPageBreak/>
        <w:t xml:space="preserve">Nga analizat e realizuara rezulton se nga rënia e normave të interesit në tregun e brendshëm gjatë vitit 2016, buxhetit të shtetit i janë kursyer rreth 3 miliard Lek në vitin aktual. Nga ana tjetër kosto e borxhit të brendshëm për njësi </w:t>
      </w:r>
      <w:r w:rsidRPr="0057579A">
        <w:rPr>
          <w:rFonts w:eastAsia="Times New Roman"/>
          <w:i/>
          <w:lang w:val="sq-AL"/>
        </w:rPr>
        <w:t xml:space="preserve">(yield-i mesatar i ponderuar) </w:t>
      </w:r>
      <w:r w:rsidRPr="0057579A">
        <w:rPr>
          <w:rFonts w:eastAsia="Times New Roman"/>
          <w:lang w:val="sq-AL"/>
        </w:rPr>
        <w:t>gjatë vitit 2017 është ulur me 0.02 pikë përqindje krahasuar me fundin e vitit 2016, megjithëse në portofolin e borxhit është rritur ndjeshëm pesha e borxhit afatgjatë, duke reflektuar një përmirësim të ndjeshëm në raportin ndërmjet kostos dhe riskut.</w:t>
      </w:r>
    </w:p>
    <w:p w:rsidR="00A312EB" w:rsidRDefault="00A312EB" w:rsidP="0057579A">
      <w:pPr>
        <w:ind w:right="6"/>
        <w:rPr>
          <w:b/>
          <w:sz w:val="20"/>
          <w:szCs w:val="20"/>
          <w:lang w:val="sq-AL"/>
        </w:rPr>
      </w:pPr>
    </w:p>
    <w:p w:rsidR="00A312EB" w:rsidRDefault="00A312EB" w:rsidP="0057579A">
      <w:pPr>
        <w:ind w:right="6"/>
        <w:rPr>
          <w:b/>
          <w:sz w:val="20"/>
          <w:szCs w:val="20"/>
          <w:lang w:val="sq-AL"/>
        </w:rPr>
      </w:pPr>
    </w:p>
    <w:p w:rsidR="0057579A" w:rsidRPr="00A312EB" w:rsidRDefault="009964EE" w:rsidP="0057579A">
      <w:pPr>
        <w:ind w:right="6"/>
        <w:rPr>
          <w:rFonts w:eastAsia="Times New Roman"/>
          <w:b/>
          <w:sz w:val="22"/>
          <w:szCs w:val="22"/>
          <w:lang w:val="sq-AL"/>
        </w:rPr>
      </w:pPr>
      <w:r w:rsidRPr="00A312EB">
        <w:rPr>
          <w:b/>
          <w:sz w:val="22"/>
          <w:szCs w:val="22"/>
          <w:lang w:val="sq-AL"/>
        </w:rPr>
        <w:t xml:space="preserve">Grafiku </w:t>
      </w:r>
      <w:r w:rsidR="00E1102D" w:rsidRPr="00A312EB">
        <w:rPr>
          <w:b/>
          <w:sz w:val="22"/>
          <w:szCs w:val="22"/>
          <w:lang w:val="sq-AL"/>
        </w:rPr>
        <w:t>4</w:t>
      </w:r>
      <w:r w:rsidR="006F4064" w:rsidRPr="00A312EB">
        <w:rPr>
          <w:b/>
          <w:sz w:val="22"/>
          <w:szCs w:val="22"/>
          <w:lang w:val="sq-AL"/>
        </w:rPr>
        <w:t>2</w:t>
      </w:r>
      <w:r w:rsidR="0057579A" w:rsidRPr="00A312EB">
        <w:rPr>
          <w:b/>
          <w:sz w:val="22"/>
          <w:szCs w:val="22"/>
          <w:lang w:val="sq-AL"/>
        </w:rPr>
        <w:t xml:space="preserve">: </w:t>
      </w:r>
      <w:r w:rsidR="0057579A" w:rsidRPr="00A312EB">
        <w:rPr>
          <w:sz w:val="22"/>
          <w:szCs w:val="22"/>
          <w:lang w:val="sq-AL"/>
        </w:rPr>
        <w:t>Kosto mesatare e borxhit të brendshëm shtetëror dhe borxhi afatshkurtër vs afatgjatë</w:t>
      </w:r>
    </w:p>
    <w:p w:rsidR="0057579A" w:rsidRPr="0057579A" w:rsidRDefault="0057579A" w:rsidP="0057579A">
      <w:pPr>
        <w:ind w:right="4"/>
        <w:jc w:val="both"/>
        <w:rPr>
          <w:rFonts w:eastAsia="Times New Roman"/>
          <w:lang w:val="sq-AL"/>
        </w:rPr>
      </w:pPr>
      <w:r w:rsidRPr="0057579A">
        <w:rPr>
          <w:noProof/>
        </w:rPr>
        <w:drawing>
          <wp:inline distT="0" distB="0" distL="0" distR="0" wp14:anchorId="007F4A53" wp14:editId="2E5312D1">
            <wp:extent cx="6480175" cy="2129200"/>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175" cy="2129200"/>
                    </a:xfrm>
                    <a:prstGeom prst="rect">
                      <a:avLst/>
                    </a:prstGeom>
                    <a:noFill/>
                    <a:ln>
                      <a:noFill/>
                    </a:ln>
                  </pic:spPr>
                </pic:pic>
              </a:graphicData>
            </a:graphic>
          </wp:inline>
        </w:drawing>
      </w:r>
    </w:p>
    <w:p w:rsidR="0057579A" w:rsidRPr="0057579A" w:rsidRDefault="0057579A" w:rsidP="0057579A">
      <w:pPr>
        <w:ind w:right="4"/>
        <w:jc w:val="both"/>
        <w:rPr>
          <w:rFonts w:eastAsia="Times New Roman"/>
          <w:lang w:val="sq-AL"/>
        </w:rPr>
      </w:pPr>
      <w:r w:rsidRPr="00196D06">
        <w:rPr>
          <w:i/>
          <w:sz w:val="20"/>
          <w:szCs w:val="20"/>
          <w:lang w:val="sq-AL"/>
        </w:rPr>
        <w:t>Burimi:</w:t>
      </w:r>
      <w:r w:rsidRPr="0057579A">
        <w:rPr>
          <w:i/>
          <w:sz w:val="20"/>
          <w:szCs w:val="20"/>
          <w:lang w:val="sq-AL"/>
        </w:rPr>
        <w:t>Ministria e Financave dhe Ekonomisë (2017)</w:t>
      </w:r>
    </w:p>
    <w:p w:rsidR="0057579A" w:rsidRPr="0057579A" w:rsidRDefault="0057579A" w:rsidP="0057579A">
      <w:pPr>
        <w:ind w:right="4"/>
        <w:jc w:val="both"/>
        <w:rPr>
          <w:rFonts w:eastAsia="Times New Roman"/>
          <w:lang w:val="sq-AL"/>
        </w:rPr>
      </w:pPr>
    </w:p>
    <w:p w:rsidR="0057579A" w:rsidRPr="0057579A" w:rsidRDefault="0057579A" w:rsidP="0057579A">
      <w:pPr>
        <w:ind w:right="6"/>
        <w:jc w:val="both"/>
        <w:rPr>
          <w:rFonts w:eastAsia="Times New Roman"/>
          <w:b/>
          <w:lang w:val="sq-AL"/>
        </w:rPr>
      </w:pPr>
      <w:r w:rsidRPr="0057579A">
        <w:rPr>
          <w:rFonts w:eastAsia="Times New Roman"/>
          <w:b/>
          <w:lang w:val="sq-AL"/>
        </w:rPr>
        <w:t>Risqet</w:t>
      </w:r>
    </w:p>
    <w:p w:rsidR="0057579A" w:rsidRPr="0057579A" w:rsidRDefault="0057579A" w:rsidP="0057579A">
      <w:pPr>
        <w:ind w:right="6"/>
        <w:jc w:val="both"/>
        <w:rPr>
          <w:rFonts w:eastAsia="Times New Roman"/>
          <w:b/>
          <w:lang w:val="sq-AL"/>
        </w:rPr>
      </w:pPr>
    </w:p>
    <w:p w:rsidR="0057579A" w:rsidRPr="0057579A" w:rsidRDefault="0057579A" w:rsidP="00A66D0D">
      <w:pPr>
        <w:spacing w:line="276" w:lineRule="auto"/>
        <w:ind w:right="6"/>
        <w:jc w:val="both"/>
        <w:rPr>
          <w:rFonts w:eastAsia="Times New Roman"/>
          <w:lang w:val="sq-AL"/>
        </w:rPr>
      </w:pPr>
      <w:r w:rsidRPr="0057579A">
        <w:rPr>
          <w:rFonts w:eastAsia="Times New Roman"/>
          <w:lang w:val="sq-AL"/>
        </w:rPr>
        <w:t>Risku i rifinancimit është përmirësuar ndjeshëm pasi në harkun kohor të nëntë muajve jetëgjatësia e borxhit është rritur me 44 ditë duke prekur nivelin e 797 ditëve në fund të muajit shtator 2017, krahasuar me 753 ditë në dhjetor 2016. Ndërkohë, vlera e instrumenteve që maturohen në harkun kohor të një viti është ulur nga 53.5% në dhjetor 2016 në 48.7% në shtator 2017.</w:t>
      </w:r>
    </w:p>
    <w:p w:rsidR="0057579A" w:rsidRPr="0057579A" w:rsidRDefault="0057579A" w:rsidP="00A66D0D">
      <w:pPr>
        <w:spacing w:line="276" w:lineRule="auto"/>
        <w:jc w:val="both"/>
        <w:rPr>
          <w:rFonts w:eastAsia="Calibri"/>
          <w:noProof/>
          <w:lang w:val="sq-AL"/>
        </w:rPr>
      </w:pPr>
      <w:r w:rsidRPr="0057579A">
        <w:rPr>
          <w:rFonts w:eastAsia="Calibri"/>
          <w:noProof/>
          <w:lang w:val="sq-AL"/>
        </w:rPr>
        <w:t xml:space="preserve">Risku i normave të interesit gjithashtu është përmirësuar, pasi pesha e instrumenteve që rivlerësojnë normën e interesit në harkun kohor të një viti është ulur nga 62.6% në dhjetor 2016 në </w:t>
      </w:r>
      <w:r w:rsidR="005454EB">
        <w:rPr>
          <w:rFonts w:eastAsia="Times New Roman"/>
          <w:lang w:val="sq-AL"/>
        </w:rPr>
        <w:t>56.3</w:t>
      </w:r>
      <w:r w:rsidRPr="0057579A">
        <w:rPr>
          <w:rFonts w:eastAsia="Times New Roman"/>
          <w:lang w:val="sq-AL"/>
        </w:rPr>
        <w:t xml:space="preserve">% në shtator 2017. </w:t>
      </w:r>
      <w:r w:rsidRPr="0057579A">
        <w:rPr>
          <w:rFonts w:eastAsia="Calibri"/>
          <w:noProof/>
          <w:lang w:val="sq-AL"/>
        </w:rPr>
        <w:t xml:space="preserve">Në këtë drejtim, ndikim ka pasur reduktimi i peshës së titujve afatshkurtër dhe atyre me norma interesi të lëvizshme në portofolin e borxhit të brendshëm, përkatësisht me </w:t>
      </w:r>
      <w:r w:rsidRPr="0057579A">
        <w:rPr>
          <w:rFonts w:eastAsia="Times New Roman"/>
          <w:lang w:val="sq-AL"/>
        </w:rPr>
        <w:t>2.4 pikë përqindje dhe 2.9 pikë përqindje. Ulja</w:t>
      </w:r>
      <w:r w:rsidRPr="0057579A">
        <w:rPr>
          <w:rFonts w:eastAsia="Calibri"/>
          <w:noProof/>
          <w:lang w:val="sq-AL"/>
        </w:rPr>
        <w:t xml:space="preserve"> e ekspozimit ndaj këtij risku ka ulur ndjeshmërinë e borxhit ndaj goditjeve të normave të interesit, duke reduktuar burimet që Qeveria duhet të angazhojë në raste të tilla.</w:t>
      </w:r>
    </w:p>
    <w:p w:rsidR="0057579A" w:rsidRPr="0057579A" w:rsidRDefault="0057579A" w:rsidP="0057579A">
      <w:pPr>
        <w:jc w:val="both"/>
        <w:rPr>
          <w:rFonts w:eastAsia="Calibri"/>
          <w:noProof/>
          <w:lang w:val="sq-AL"/>
        </w:rPr>
      </w:pPr>
    </w:p>
    <w:p w:rsidR="0057579A" w:rsidRPr="0057579A" w:rsidRDefault="0057579A" w:rsidP="0057579A">
      <w:pPr>
        <w:ind w:right="-46"/>
        <w:jc w:val="both"/>
        <w:rPr>
          <w:b/>
          <w:u w:val="single"/>
          <w:lang w:val="sq-AL"/>
        </w:rPr>
      </w:pPr>
      <w:r w:rsidRPr="0057579A">
        <w:rPr>
          <w:b/>
          <w:u w:val="single"/>
          <w:lang w:val="sq-AL"/>
        </w:rPr>
        <w:t>Zhvillimet e tregut primar</w:t>
      </w:r>
    </w:p>
    <w:p w:rsidR="0057579A" w:rsidRPr="0057579A" w:rsidRDefault="0057579A" w:rsidP="0057579A">
      <w:pPr>
        <w:ind w:right="-46"/>
        <w:jc w:val="both"/>
        <w:rPr>
          <w:b/>
          <w:u w:val="single"/>
          <w:lang w:val="sq-AL"/>
        </w:rPr>
      </w:pPr>
    </w:p>
    <w:p w:rsidR="0057579A" w:rsidRPr="0057579A" w:rsidRDefault="0057579A" w:rsidP="00A66D0D">
      <w:pPr>
        <w:tabs>
          <w:tab w:val="left" w:pos="1182"/>
        </w:tabs>
        <w:spacing w:line="276" w:lineRule="auto"/>
        <w:jc w:val="both"/>
        <w:rPr>
          <w:lang w:val="sq-AL"/>
        </w:rPr>
      </w:pPr>
      <w:r w:rsidRPr="0057579A">
        <w:rPr>
          <w:lang w:val="sq-AL"/>
        </w:rPr>
        <w:t>Tregu primar i titujve shtetërorë gjatë nëntëmujorit 2017 përgjithësisht është karakterizuar nga zhvillime pozitive, ndër të cilat mund të përmenden: i) kërkesa e tregut për tituj shtetërorë në nivele të kënaqshme, e cila ka arritur të mbulojë nevojat e Qeverisë për huamarrje; ii) rritja e diversifikimit të kërkesës në drejtim të kategorisë së Institucioneve Financiare dhe Institucioneve jo Financiare dhe; iii) qëndrimi i normave të interesit në nivele të krahasueshme me ato të vitit 2016.</w:t>
      </w:r>
    </w:p>
    <w:p w:rsidR="0057579A" w:rsidRPr="0057579A" w:rsidRDefault="0057579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2371BA" w:rsidRDefault="002371BA" w:rsidP="0057579A">
      <w:pPr>
        <w:tabs>
          <w:tab w:val="left" w:pos="1182"/>
        </w:tabs>
        <w:jc w:val="both"/>
        <w:rPr>
          <w:b/>
          <w:sz w:val="20"/>
          <w:szCs w:val="20"/>
          <w:lang w:val="sq-AL"/>
        </w:rPr>
      </w:pPr>
    </w:p>
    <w:p w:rsidR="0057579A" w:rsidRPr="009964EE" w:rsidRDefault="009964EE" w:rsidP="0057579A">
      <w:pPr>
        <w:tabs>
          <w:tab w:val="left" w:pos="1182"/>
        </w:tabs>
        <w:jc w:val="both"/>
        <w:rPr>
          <w:b/>
          <w:sz w:val="20"/>
          <w:szCs w:val="20"/>
          <w:lang w:val="sq-AL"/>
        </w:rPr>
      </w:pPr>
      <w:r w:rsidRPr="009964EE">
        <w:rPr>
          <w:b/>
          <w:sz w:val="20"/>
          <w:szCs w:val="20"/>
          <w:lang w:val="sq-AL"/>
        </w:rPr>
        <w:lastRenderedPageBreak/>
        <w:t>Grafiku 4</w:t>
      </w:r>
      <w:r w:rsidR="006F4064">
        <w:rPr>
          <w:b/>
          <w:sz w:val="20"/>
          <w:szCs w:val="20"/>
          <w:lang w:val="sq-AL"/>
        </w:rPr>
        <w:t>3</w:t>
      </w:r>
      <w:r w:rsidR="0057579A" w:rsidRPr="009964EE">
        <w:rPr>
          <w:b/>
          <w:sz w:val="20"/>
          <w:szCs w:val="20"/>
          <w:lang w:val="sq-AL"/>
        </w:rPr>
        <w:t>: Kërkesa për tituj shtetërorë sipas investitorëve</w:t>
      </w:r>
    </w:p>
    <w:p w:rsidR="0057579A" w:rsidRPr="0057579A" w:rsidRDefault="0057579A" w:rsidP="0057579A">
      <w:pPr>
        <w:tabs>
          <w:tab w:val="left" w:pos="1182"/>
        </w:tabs>
        <w:jc w:val="both"/>
        <w:rPr>
          <w:lang w:val="sq-AL"/>
        </w:rPr>
      </w:pPr>
      <w:r w:rsidRPr="0057579A">
        <w:rPr>
          <w:noProof/>
        </w:rPr>
        <w:drawing>
          <wp:inline distT="0" distB="0" distL="0" distR="0" wp14:anchorId="4405AC66" wp14:editId="28B3AD8B">
            <wp:extent cx="6480175" cy="234806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0175" cy="2348067"/>
                    </a:xfrm>
                    <a:prstGeom prst="rect">
                      <a:avLst/>
                    </a:prstGeom>
                    <a:noFill/>
                    <a:ln>
                      <a:noFill/>
                    </a:ln>
                  </pic:spPr>
                </pic:pic>
              </a:graphicData>
            </a:graphic>
          </wp:inline>
        </w:drawing>
      </w:r>
    </w:p>
    <w:p w:rsidR="0057579A" w:rsidRPr="0057579A" w:rsidRDefault="0057579A" w:rsidP="0057579A">
      <w:pPr>
        <w:ind w:right="6"/>
        <w:jc w:val="both"/>
        <w:rPr>
          <w:i/>
          <w:sz w:val="20"/>
          <w:szCs w:val="20"/>
          <w:lang w:val="sq-AL"/>
        </w:rPr>
      </w:pPr>
      <w:r w:rsidRPr="0057579A">
        <w:rPr>
          <w:b/>
          <w:sz w:val="20"/>
          <w:szCs w:val="20"/>
          <w:lang w:val="sq-AL"/>
        </w:rPr>
        <w:t xml:space="preserve">Burimi: </w:t>
      </w:r>
      <w:r w:rsidRPr="0057579A">
        <w:rPr>
          <w:i/>
          <w:sz w:val="20"/>
          <w:szCs w:val="20"/>
          <w:lang w:val="sq-AL"/>
        </w:rPr>
        <w:t>Ministria e Financave dhe Ekonomisë (2017)</w:t>
      </w:r>
    </w:p>
    <w:p w:rsidR="0057579A" w:rsidRPr="0057579A" w:rsidRDefault="0057579A" w:rsidP="0057579A">
      <w:pPr>
        <w:ind w:right="6"/>
        <w:jc w:val="both"/>
        <w:rPr>
          <w:rFonts w:eastAsia="Times New Roman"/>
          <w:lang w:val="sq-AL"/>
        </w:rPr>
      </w:pPr>
    </w:p>
    <w:p w:rsidR="00E1102D" w:rsidRPr="00A312EB" w:rsidRDefault="0057579A" w:rsidP="00A66D0D">
      <w:pPr>
        <w:tabs>
          <w:tab w:val="left" w:pos="1182"/>
        </w:tabs>
        <w:spacing w:line="276" w:lineRule="auto"/>
        <w:jc w:val="both"/>
        <w:rPr>
          <w:lang w:val="sq-AL"/>
        </w:rPr>
      </w:pPr>
      <w:r w:rsidRPr="0057579A">
        <w:rPr>
          <w:lang w:val="sq-AL"/>
        </w:rPr>
        <w:t>Kërkesa në rritje për tituj shtetërorë në kategorinë e Institucioneve Financiare dhe jo Financiare ka qenë e lartë për shkak të normave të interesit më të favorshme që ofrojnë titujt shtetërorë krahasuar me depozitat.</w:t>
      </w:r>
      <w:r w:rsidR="005454EB">
        <w:rPr>
          <w:lang w:val="sq-AL"/>
        </w:rPr>
        <w:t xml:space="preserve"> </w:t>
      </w:r>
      <w:r w:rsidRPr="0057579A">
        <w:rPr>
          <w:lang w:val="sq-AL"/>
        </w:rPr>
        <w:t>Ndërkohë kërkesa e lartë nga Sektori Bankar vjen si rezultat i riskut më të ulët që ofrojnë titujt shtetërorë krahasuar me kreditë ndaj sektorit privat. Ulja e kërkesës për tituj shtetërorë nga BSH është në linjë me iniciativën për uljen e volumit të titujve shtetërorë të tregtuar me norma interesi jokonkurruese në tregun primar, me qëllim stimulimin e zhvillimit të tregut sekondar. Ndërkohë, ulja e kërkesës në kategorinë e Individëve vlerësohet se është shkaktuar nga rënia e interesit për tituj shtetërorë, për shkak të nivelit të ulët të normave që ofron investimi në instrumente financiare gjatë kësaj periudhe.</w:t>
      </w:r>
    </w:p>
    <w:p w:rsidR="00E1102D" w:rsidRDefault="00E1102D" w:rsidP="0057579A">
      <w:pPr>
        <w:tabs>
          <w:tab w:val="left" w:pos="9450"/>
        </w:tabs>
        <w:ind w:right="780"/>
        <w:rPr>
          <w:b/>
          <w:sz w:val="20"/>
          <w:szCs w:val="20"/>
          <w:lang w:val="sq-AL"/>
        </w:rPr>
      </w:pPr>
    </w:p>
    <w:p w:rsidR="0057579A" w:rsidRPr="00A312EB" w:rsidRDefault="009964EE" w:rsidP="0057579A">
      <w:pPr>
        <w:tabs>
          <w:tab w:val="left" w:pos="9450"/>
        </w:tabs>
        <w:ind w:right="780"/>
        <w:rPr>
          <w:b/>
          <w:sz w:val="22"/>
          <w:szCs w:val="22"/>
          <w:lang w:val="sq-AL"/>
        </w:rPr>
      </w:pPr>
      <w:r w:rsidRPr="00A312EB">
        <w:rPr>
          <w:b/>
          <w:sz w:val="22"/>
          <w:szCs w:val="22"/>
          <w:lang w:val="sq-AL"/>
        </w:rPr>
        <w:t>Tabela 2</w:t>
      </w:r>
      <w:r w:rsidR="00A312EB" w:rsidRPr="00A312EB">
        <w:rPr>
          <w:b/>
          <w:sz w:val="22"/>
          <w:szCs w:val="22"/>
          <w:lang w:val="sq-AL"/>
        </w:rPr>
        <w:t>5</w:t>
      </w:r>
      <w:r w:rsidR="0057579A" w:rsidRPr="00A312EB">
        <w:rPr>
          <w:b/>
          <w:sz w:val="22"/>
          <w:szCs w:val="22"/>
          <w:lang w:val="sq-AL"/>
        </w:rPr>
        <w:t xml:space="preserve">: </w:t>
      </w:r>
      <w:r w:rsidR="0057579A" w:rsidRPr="00A312EB">
        <w:rPr>
          <w:sz w:val="22"/>
          <w:szCs w:val="22"/>
          <w:lang w:val="sq-AL"/>
        </w:rPr>
        <w:t>Treguesit e ecurisë së ankandeve</w:t>
      </w:r>
    </w:p>
    <w:p w:rsidR="0057579A" w:rsidRPr="0057579A" w:rsidRDefault="0057579A" w:rsidP="0057579A">
      <w:pPr>
        <w:tabs>
          <w:tab w:val="left" w:pos="9450"/>
        </w:tabs>
        <w:ind w:right="780"/>
        <w:rPr>
          <w:sz w:val="20"/>
          <w:szCs w:val="20"/>
          <w:lang w:val="sq-AL"/>
        </w:rPr>
      </w:pPr>
      <w:r w:rsidRPr="0057579A">
        <w:rPr>
          <w:noProof/>
        </w:rPr>
        <w:drawing>
          <wp:inline distT="0" distB="0" distL="0" distR="0" wp14:anchorId="10157F9F" wp14:editId="23CDAD3D">
            <wp:extent cx="6448425" cy="16859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48425" cy="1685925"/>
                    </a:xfrm>
                    <a:prstGeom prst="rect">
                      <a:avLst/>
                    </a:prstGeom>
                    <a:noFill/>
                    <a:ln>
                      <a:noFill/>
                    </a:ln>
                  </pic:spPr>
                </pic:pic>
              </a:graphicData>
            </a:graphic>
          </wp:inline>
        </w:drawing>
      </w:r>
    </w:p>
    <w:p w:rsidR="0057579A" w:rsidRPr="0057579A" w:rsidRDefault="0057579A" w:rsidP="0057579A">
      <w:pPr>
        <w:tabs>
          <w:tab w:val="left" w:pos="9450"/>
        </w:tabs>
        <w:ind w:right="780"/>
        <w:rPr>
          <w:i/>
          <w:sz w:val="20"/>
          <w:szCs w:val="20"/>
          <w:lang w:val="sq-AL"/>
        </w:rPr>
      </w:pPr>
      <w:r w:rsidRPr="00A312EB">
        <w:rPr>
          <w:b/>
          <w:i/>
          <w:sz w:val="20"/>
          <w:szCs w:val="20"/>
          <w:lang w:val="sq-AL"/>
        </w:rPr>
        <w:t>Burimi:</w:t>
      </w:r>
      <w:r w:rsidRPr="0057579A">
        <w:rPr>
          <w:b/>
          <w:sz w:val="20"/>
          <w:szCs w:val="20"/>
          <w:lang w:val="sq-AL"/>
        </w:rPr>
        <w:t xml:space="preserve"> </w:t>
      </w:r>
      <w:r w:rsidRPr="0057579A">
        <w:rPr>
          <w:i/>
          <w:sz w:val="20"/>
          <w:szCs w:val="20"/>
          <w:lang w:val="sq-AL"/>
        </w:rPr>
        <w:t>Ministria e Financave dhe Ekonomisë (2017)</w:t>
      </w:r>
    </w:p>
    <w:p w:rsidR="0057579A" w:rsidRPr="0057579A" w:rsidRDefault="0057579A" w:rsidP="00A66D0D">
      <w:pPr>
        <w:spacing w:line="276" w:lineRule="auto"/>
        <w:jc w:val="center"/>
        <w:rPr>
          <w:sz w:val="20"/>
          <w:szCs w:val="20"/>
          <w:lang w:val="sq-AL"/>
        </w:rPr>
      </w:pPr>
    </w:p>
    <w:p w:rsidR="0057579A" w:rsidRPr="0057579A" w:rsidRDefault="0057579A" w:rsidP="00A66D0D">
      <w:pPr>
        <w:tabs>
          <w:tab w:val="left" w:pos="1182"/>
        </w:tabs>
        <w:spacing w:line="276" w:lineRule="auto"/>
        <w:jc w:val="both"/>
        <w:rPr>
          <w:lang w:val="sq-AL"/>
        </w:rPr>
      </w:pPr>
      <w:r w:rsidRPr="0057579A">
        <w:rPr>
          <w:lang w:val="sq-AL"/>
        </w:rPr>
        <w:t>Gjatë nëntëmujorit 2017 kërkesa për tituj shtetërorë ka rezultuar në vlerën 354.8 miliard Lek, nga të cilat 230.8 miliard Lek i përkasin Bonove të Thesarit dhe 124.0 miliard Lek Obligacioneve. Kërkesa gjatë nëntëmujorit ka qenë relativisht më e lartë se oferta e Qeverisë për tituj shtetërorë duke rezultuar në një raport mbulimi prej 1.27. Gjithsej gjatë nëntëmujorit janë realizuar 46 ankande, nga të cilat vetëm në 13 ankande nuk është plotësuar oferta e Qeverisë.</w:t>
      </w:r>
    </w:p>
    <w:p w:rsidR="0057579A" w:rsidRPr="0057579A" w:rsidRDefault="0057579A" w:rsidP="0057579A">
      <w:pPr>
        <w:tabs>
          <w:tab w:val="left" w:pos="1182"/>
        </w:tabs>
        <w:jc w:val="both"/>
        <w:rPr>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2371BA" w:rsidRDefault="002371BA" w:rsidP="0057579A">
      <w:pPr>
        <w:tabs>
          <w:tab w:val="left" w:pos="1182"/>
        </w:tabs>
        <w:jc w:val="both"/>
        <w:rPr>
          <w:b/>
          <w:sz w:val="22"/>
          <w:szCs w:val="22"/>
          <w:lang w:val="sq-AL"/>
        </w:rPr>
      </w:pPr>
    </w:p>
    <w:p w:rsidR="0057579A" w:rsidRPr="00A312EB" w:rsidRDefault="00D57C59" w:rsidP="0057579A">
      <w:pPr>
        <w:tabs>
          <w:tab w:val="left" w:pos="1182"/>
        </w:tabs>
        <w:jc w:val="both"/>
        <w:rPr>
          <w:b/>
          <w:sz w:val="22"/>
          <w:szCs w:val="22"/>
          <w:lang w:val="sq-AL"/>
        </w:rPr>
      </w:pPr>
      <w:r w:rsidRPr="00A312EB">
        <w:rPr>
          <w:b/>
          <w:sz w:val="22"/>
          <w:szCs w:val="22"/>
          <w:lang w:val="sq-AL"/>
        </w:rPr>
        <w:lastRenderedPageBreak/>
        <w:t xml:space="preserve">Grafiku </w:t>
      </w:r>
      <w:r w:rsidR="00A312EB" w:rsidRPr="00A312EB">
        <w:rPr>
          <w:b/>
          <w:sz w:val="22"/>
          <w:szCs w:val="22"/>
          <w:lang w:val="sq-AL"/>
        </w:rPr>
        <w:t xml:space="preserve">44: </w:t>
      </w:r>
      <w:r w:rsidR="0057579A" w:rsidRPr="00A312EB">
        <w:rPr>
          <w:sz w:val="22"/>
          <w:szCs w:val="22"/>
          <w:lang w:val="sq-AL"/>
        </w:rPr>
        <w:t>Raporti i mbulimit të ankandeve të titujve shtetërorë</w:t>
      </w:r>
    </w:p>
    <w:p w:rsidR="0057579A" w:rsidRPr="0057579A" w:rsidRDefault="0057579A" w:rsidP="0057579A">
      <w:pPr>
        <w:tabs>
          <w:tab w:val="left" w:pos="1182"/>
        </w:tabs>
        <w:jc w:val="both"/>
        <w:rPr>
          <w:lang w:val="sq-AL"/>
        </w:rPr>
      </w:pPr>
      <w:r w:rsidRPr="0057579A">
        <w:rPr>
          <w:noProof/>
        </w:rPr>
        <w:drawing>
          <wp:inline distT="0" distB="0" distL="0" distR="0" wp14:anchorId="247BB2A9" wp14:editId="3881CB65">
            <wp:extent cx="6480175" cy="223727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0175" cy="2237276"/>
                    </a:xfrm>
                    <a:prstGeom prst="rect">
                      <a:avLst/>
                    </a:prstGeom>
                    <a:noFill/>
                    <a:ln>
                      <a:noFill/>
                    </a:ln>
                  </pic:spPr>
                </pic:pic>
              </a:graphicData>
            </a:graphic>
          </wp:inline>
        </w:drawing>
      </w:r>
    </w:p>
    <w:p w:rsidR="0057579A" w:rsidRPr="0057579A" w:rsidRDefault="0057579A" w:rsidP="0057579A">
      <w:pPr>
        <w:ind w:right="-46"/>
        <w:jc w:val="both"/>
        <w:rPr>
          <w:i/>
          <w:sz w:val="20"/>
          <w:szCs w:val="20"/>
          <w:lang w:val="sq-AL"/>
        </w:rPr>
      </w:pPr>
      <w:r w:rsidRPr="00A312EB">
        <w:rPr>
          <w:b/>
          <w:i/>
          <w:sz w:val="20"/>
          <w:szCs w:val="20"/>
          <w:lang w:val="sq-AL"/>
        </w:rPr>
        <w:t>Burimi:</w:t>
      </w:r>
      <w:r w:rsidRPr="0057579A">
        <w:rPr>
          <w:b/>
          <w:sz w:val="20"/>
          <w:szCs w:val="20"/>
          <w:lang w:val="sq-AL"/>
        </w:rPr>
        <w:t xml:space="preserve"> </w:t>
      </w:r>
      <w:r w:rsidRPr="0057579A">
        <w:rPr>
          <w:i/>
          <w:sz w:val="20"/>
          <w:szCs w:val="20"/>
          <w:lang w:val="sq-AL"/>
        </w:rPr>
        <w:t>Ministria e Financave dhe Ekonomisë (2017)</w:t>
      </w:r>
    </w:p>
    <w:p w:rsidR="0057579A" w:rsidRPr="0057579A" w:rsidRDefault="0057579A" w:rsidP="00A66D0D">
      <w:pPr>
        <w:spacing w:line="276" w:lineRule="auto"/>
        <w:ind w:right="-46"/>
        <w:jc w:val="both"/>
        <w:rPr>
          <w:lang w:val="sq-AL"/>
        </w:rPr>
      </w:pPr>
    </w:p>
    <w:p w:rsidR="00A312EB" w:rsidRPr="002371BA" w:rsidRDefault="0057579A" w:rsidP="002371BA">
      <w:pPr>
        <w:spacing w:line="276" w:lineRule="auto"/>
        <w:ind w:right="-46"/>
        <w:jc w:val="both"/>
        <w:rPr>
          <w:rFonts w:eastAsia="Calibri"/>
          <w:noProof/>
          <w:lang w:val="sq-AL" w:eastAsia="ja-JP"/>
        </w:rPr>
      </w:pPr>
      <w:r w:rsidRPr="0057579A">
        <w:rPr>
          <w:lang w:val="sq-AL"/>
        </w:rPr>
        <w:t>Normat mesatare të ponderuara</w:t>
      </w:r>
      <w:r w:rsidR="005454EB">
        <w:rPr>
          <w:lang w:val="sq-AL"/>
        </w:rPr>
        <w:t xml:space="preserve"> </w:t>
      </w:r>
      <w:r w:rsidRPr="0057579A">
        <w:rPr>
          <w:i/>
          <w:lang w:val="sq-AL"/>
        </w:rPr>
        <w:t>(</w:t>
      </w:r>
      <w:r w:rsidRPr="0057579A">
        <w:rPr>
          <w:rFonts w:eastAsia="Calibri"/>
          <w:i/>
          <w:noProof/>
          <w:lang w:val="sq-AL" w:eastAsia="ja-JP"/>
        </w:rPr>
        <w:t>me përjashtim të normave të Obligacioneve 3 dhe 10 vjeçare)</w:t>
      </w:r>
      <w:r w:rsidRPr="0057579A">
        <w:rPr>
          <w:rFonts w:eastAsia="Calibri"/>
          <w:noProof/>
          <w:lang w:val="sq-AL" w:eastAsia="ja-JP"/>
        </w:rPr>
        <w:t xml:space="preserve"> kanë pësuar një rritje të moderuar krahasuar me ato të vitit 2016.Megjithatë, kjo rritje ka qenë brenda pritshmërive dhe nuk ka pasur ndikim në koston mesatare të portofolit të borxhit të brendshëm, pasi në fund të muajit shtator kosto mesatare vlerësohet pothuajse në të njejtat nivele me fundin e dhjetorit 2016 </w:t>
      </w:r>
      <w:r w:rsidRPr="0057579A">
        <w:rPr>
          <w:rFonts w:eastAsia="Calibri"/>
          <w:i/>
          <w:noProof/>
          <w:lang w:val="sq-AL" w:eastAsia="ja-JP"/>
        </w:rPr>
        <w:t>(përkatësisht 4.35% dhe 4.37%)</w:t>
      </w:r>
      <w:r w:rsidR="002371BA">
        <w:rPr>
          <w:rFonts w:eastAsia="Calibri"/>
          <w:noProof/>
          <w:lang w:val="sq-AL" w:eastAsia="ja-JP"/>
        </w:rPr>
        <w:t xml:space="preserve">. </w:t>
      </w:r>
    </w:p>
    <w:p w:rsidR="00A312EB" w:rsidRDefault="00A312EB" w:rsidP="0057579A">
      <w:pPr>
        <w:rPr>
          <w:b/>
          <w:sz w:val="22"/>
          <w:szCs w:val="22"/>
          <w:lang w:val="sq-AL"/>
        </w:rPr>
      </w:pPr>
    </w:p>
    <w:p w:rsidR="0057579A" w:rsidRPr="00A312EB" w:rsidRDefault="00D57C59" w:rsidP="0057579A">
      <w:pPr>
        <w:rPr>
          <w:sz w:val="22"/>
          <w:szCs w:val="22"/>
          <w:lang w:val="sq-AL"/>
        </w:rPr>
      </w:pPr>
      <w:r w:rsidRPr="00A312EB">
        <w:rPr>
          <w:b/>
          <w:sz w:val="22"/>
          <w:szCs w:val="22"/>
          <w:lang w:val="sq-AL"/>
        </w:rPr>
        <w:t>Grafik</w:t>
      </w:r>
      <w:r w:rsidR="00A312EB" w:rsidRPr="00A312EB">
        <w:rPr>
          <w:b/>
          <w:sz w:val="22"/>
          <w:szCs w:val="22"/>
          <w:lang w:val="sq-AL"/>
        </w:rPr>
        <w:t>u</w:t>
      </w:r>
      <w:r w:rsidRPr="00A312EB">
        <w:rPr>
          <w:b/>
          <w:sz w:val="22"/>
          <w:szCs w:val="22"/>
          <w:lang w:val="sq-AL"/>
        </w:rPr>
        <w:t xml:space="preserve"> </w:t>
      </w:r>
      <w:r w:rsidR="006F4064" w:rsidRPr="00A312EB">
        <w:rPr>
          <w:b/>
          <w:sz w:val="22"/>
          <w:szCs w:val="22"/>
          <w:lang w:val="sq-AL"/>
        </w:rPr>
        <w:t>45</w:t>
      </w:r>
      <w:r w:rsidR="0057579A" w:rsidRPr="00A312EB">
        <w:rPr>
          <w:b/>
          <w:sz w:val="22"/>
          <w:szCs w:val="22"/>
          <w:lang w:val="sq-AL"/>
        </w:rPr>
        <w:t xml:space="preserve">:  </w:t>
      </w:r>
      <w:r w:rsidR="0057579A" w:rsidRPr="00A312EB">
        <w:rPr>
          <w:sz w:val="22"/>
          <w:szCs w:val="22"/>
          <w:lang w:val="sq-AL"/>
        </w:rPr>
        <w:t>Kurba e yield-it për titujt shtetërorë</w:t>
      </w:r>
    </w:p>
    <w:p w:rsidR="0057579A" w:rsidRPr="0057579A" w:rsidRDefault="0057579A" w:rsidP="0057579A">
      <w:pPr>
        <w:rPr>
          <w:b/>
          <w:lang w:val="sq-AL"/>
        </w:rPr>
      </w:pPr>
      <w:r>
        <w:rPr>
          <w:b/>
          <w:noProof/>
        </w:rPr>
        <w:drawing>
          <wp:inline distT="0" distB="0" distL="0" distR="0" wp14:anchorId="6664BEE6" wp14:editId="41FC7C42">
            <wp:extent cx="6466840" cy="2162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6840" cy="2162175"/>
                    </a:xfrm>
                    <a:prstGeom prst="rect">
                      <a:avLst/>
                    </a:prstGeom>
                    <a:noFill/>
                  </pic:spPr>
                </pic:pic>
              </a:graphicData>
            </a:graphic>
          </wp:inline>
        </w:drawing>
      </w:r>
    </w:p>
    <w:p w:rsidR="0057579A" w:rsidRPr="0057579A" w:rsidRDefault="0057579A" w:rsidP="0057579A">
      <w:pPr>
        <w:tabs>
          <w:tab w:val="left" w:pos="9450"/>
        </w:tabs>
        <w:ind w:right="780"/>
        <w:rPr>
          <w:lang w:val="sq-AL"/>
        </w:rPr>
      </w:pPr>
      <w:r w:rsidRPr="00A312EB">
        <w:rPr>
          <w:b/>
          <w:i/>
          <w:sz w:val="20"/>
          <w:szCs w:val="20"/>
          <w:lang w:val="sq-AL"/>
        </w:rPr>
        <w:t xml:space="preserve">Burimi: </w:t>
      </w:r>
      <w:r w:rsidRPr="0057579A">
        <w:rPr>
          <w:i/>
          <w:sz w:val="20"/>
          <w:szCs w:val="20"/>
          <w:lang w:val="sq-AL"/>
        </w:rPr>
        <w:t>Ministria e Financave dhe Ekonomisë (2017)</w:t>
      </w:r>
    </w:p>
    <w:p w:rsidR="0057579A" w:rsidRPr="0057579A" w:rsidRDefault="0057579A" w:rsidP="00A66D0D">
      <w:pPr>
        <w:spacing w:line="276" w:lineRule="auto"/>
        <w:jc w:val="both"/>
        <w:rPr>
          <w:rFonts w:eastAsia="Calibri"/>
          <w:noProof/>
          <w:lang w:val="sq-AL"/>
        </w:rPr>
      </w:pPr>
    </w:p>
    <w:p w:rsidR="005454EB" w:rsidRDefault="0057579A" w:rsidP="00A66D0D">
      <w:pPr>
        <w:spacing w:line="276" w:lineRule="auto"/>
        <w:ind w:right="4"/>
        <w:jc w:val="both"/>
        <w:rPr>
          <w:rFonts w:eastAsia="Times New Roman"/>
          <w:lang w:val="sq-AL"/>
        </w:rPr>
      </w:pPr>
      <w:r w:rsidRPr="0057579A">
        <w:rPr>
          <w:rFonts w:eastAsia="Times New Roman"/>
          <w:lang w:val="sq-AL"/>
        </w:rPr>
        <w:t>Pjerrësia pozitive e kurbës së normave të interesit tregon se ka pritshmëri për rritje të normave të interesit në per</w:t>
      </w:r>
      <w:r w:rsidR="002371BA">
        <w:rPr>
          <w:rFonts w:eastAsia="Times New Roman"/>
          <w:lang w:val="sq-AL"/>
        </w:rPr>
        <w:t>iudhën afatmesme dhe afatgjatë.</w:t>
      </w:r>
    </w:p>
    <w:p w:rsidR="005454EB" w:rsidRPr="0057579A" w:rsidRDefault="005454EB" w:rsidP="00A66D0D">
      <w:pPr>
        <w:spacing w:line="276" w:lineRule="auto"/>
        <w:ind w:right="4"/>
        <w:jc w:val="both"/>
        <w:rPr>
          <w:rFonts w:eastAsia="Times New Roman"/>
          <w:lang w:val="sq-AL"/>
        </w:rPr>
      </w:pPr>
    </w:p>
    <w:p w:rsidR="0057579A" w:rsidRPr="0057579A" w:rsidRDefault="0057579A" w:rsidP="00A66D0D">
      <w:pPr>
        <w:spacing w:line="276" w:lineRule="auto"/>
        <w:jc w:val="both"/>
        <w:rPr>
          <w:rFonts w:eastAsia="Times New Roman"/>
          <w:b/>
          <w:u w:val="single"/>
          <w:lang w:val="sq-AL"/>
        </w:rPr>
      </w:pPr>
      <w:r w:rsidRPr="0057579A">
        <w:rPr>
          <w:rFonts w:eastAsia="Times New Roman"/>
          <w:b/>
          <w:u w:val="single"/>
          <w:lang w:val="sq-AL"/>
        </w:rPr>
        <w:t>Borxhi i jashtëm</w:t>
      </w:r>
    </w:p>
    <w:p w:rsidR="0057579A" w:rsidRPr="0057579A" w:rsidRDefault="0057579A" w:rsidP="00A66D0D">
      <w:pPr>
        <w:spacing w:line="276" w:lineRule="auto"/>
        <w:jc w:val="both"/>
        <w:rPr>
          <w:rFonts w:eastAsia="Times New Roman"/>
          <w:b/>
          <w:u w:val="single"/>
          <w:lang w:val="sq-AL"/>
        </w:rPr>
      </w:pPr>
    </w:p>
    <w:p w:rsidR="0057579A" w:rsidRPr="0057579A" w:rsidRDefault="0057579A" w:rsidP="005454EB">
      <w:pPr>
        <w:spacing w:line="276" w:lineRule="auto"/>
        <w:ind w:right="-46"/>
        <w:jc w:val="both"/>
        <w:rPr>
          <w:i/>
          <w:lang w:val="sq-AL"/>
        </w:rPr>
      </w:pPr>
      <w:r w:rsidRPr="0057579A">
        <w:rPr>
          <w:lang w:val="sq-AL"/>
        </w:rPr>
        <w:t>Borxhi i jashtëm shtetëror gjatë nëntëmujorit 2017 paraqitet i qëndrueshëm duke pësuar disa ndryshime relativisht të vogla në drejtim të kompozimit të monedhave,</w:t>
      </w:r>
      <w:r w:rsidR="005454EB">
        <w:rPr>
          <w:lang w:val="sq-AL"/>
        </w:rPr>
        <w:t xml:space="preserve"> </w:t>
      </w:r>
      <w:r w:rsidRPr="0057579A">
        <w:rPr>
          <w:lang w:val="sq-AL"/>
        </w:rPr>
        <w:t>dhe peshës së stokut sipas koncesionalitetit.</w:t>
      </w:r>
    </w:p>
    <w:p w:rsidR="0057579A" w:rsidRPr="0057579A" w:rsidRDefault="0057579A" w:rsidP="005454EB">
      <w:pPr>
        <w:tabs>
          <w:tab w:val="left" w:pos="8647"/>
          <w:tab w:val="left" w:pos="9781"/>
        </w:tabs>
        <w:spacing w:line="276" w:lineRule="auto"/>
        <w:ind w:right="-46"/>
        <w:jc w:val="both"/>
        <w:rPr>
          <w:lang w:val="sq-AL"/>
        </w:rPr>
      </w:pPr>
      <w:r w:rsidRPr="0057579A">
        <w:rPr>
          <w:lang w:val="sq-AL"/>
        </w:rPr>
        <w:t xml:space="preserve">Në fund të muajit shtator 2017 pjesa më e madhe e portofolit të borxhit të jashtëm shtetëror është e përbërë nga tre monedha kryesore (EUR, USD, JPY), ku peshën më të madhe e mban monedha Euro me 65.8 % të portofolit. </w:t>
      </w:r>
    </w:p>
    <w:p w:rsidR="0057579A" w:rsidRPr="0057579A" w:rsidRDefault="0057579A" w:rsidP="0057579A">
      <w:pPr>
        <w:rPr>
          <w:lang w:val="sq-AL"/>
        </w:rPr>
      </w:pPr>
    </w:p>
    <w:p w:rsidR="002371BA" w:rsidRDefault="002371BA" w:rsidP="0057579A">
      <w:pPr>
        <w:rPr>
          <w:b/>
          <w:sz w:val="22"/>
          <w:szCs w:val="22"/>
          <w:lang w:val="sq-AL"/>
        </w:rPr>
      </w:pPr>
    </w:p>
    <w:p w:rsidR="002371BA" w:rsidRDefault="002371BA" w:rsidP="0057579A">
      <w:pPr>
        <w:rPr>
          <w:b/>
          <w:sz w:val="22"/>
          <w:szCs w:val="22"/>
          <w:lang w:val="sq-AL"/>
        </w:rPr>
      </w:pPr>
    </w:p>
    <w:p w:rsidR="002371BA" w:rsidRDefault="002371BA" w:rsidP="0057579A">
      <w:pPr>
        <w:rPr>
          <w:b/>
          <w:sz w:val="22"/>
          <w:szCs w:val="22"/>
          <w:lang w:val="sq-AL"/>
        </w:rPr>
      </w:pPr>
    </w:p>
    <w:p w:rsidR="0057579A" w:rsidRPr="00A312EB" w:rsidRDefault="00D57C59" w:rsidP="0057579A">
      <w:pPr>
        <w:rPr>
          <w:sz w:val="22"/>
          <w:szCs w:val="22"/>
          <w:lang w:val="sq-AL"/>
        </w:rPr>
      </w:pPr>
      <w:r w:rsidRPr="00A312EB">
        <w:rPr>
          <w:b/>
          <w:sz w:val="22"/>
          <w:szCs w:val="22"/>
          <w:lang w:val="sq-AL"/>
        </w:rPr>
        <w:lastRenderedPageBreak/>
        <w:t>Grafik</w:t>
      </w:r>
      <w:r w:rsidR="00A312EB" w:rsidRPr="00A312EB">
        <w:rPr>
          <w:b/>
          <w:sz w:val="22"/>
          <w:szCs w:val="22"/>
          <w:lang w:val="sq-AL"/>
        </w:rPr>
        <w:t>u</w:t>
      </w:r>
      <w:r w:rsidRPr="00A312EB">
        <w:rPr>
          <w:b/>
          <w:sz w:val="22"/>
          <w:szCs w:val="22"/>
          <w:lang w:val="sq-AL"/>
        </w:rPr>
        <w:t xml:space="preserve"> </w:t>
      </w:r>
      <w:r w:rsidR="006F4064" w:rsidRPr="00A312EB">
        <w:rPr>
          <w:b/>
          <w:sz w:val="22"/>
          <w:szCs w:val="22"/>
          <w:lang w:val="sq-AL"/>
        </w:rPr>
        <w:t>46</w:t>
      </w:r>
      <w:r w:rsidR="0057579A" w:rsidRPr="00A312EB">
        <w:rPr>
          <w:b/>
          <w:sz w:val="22"/>
          <w:szCs w:val="22"/>
          <w:lang w:val="sq-AL"/>
        </w:rPr>
        <w:t xml:space="preserve">: </w:t>
      </w:r>
      <w:r w:rsidR="0057579A" w:rsidRPr="00A312EB">
        <w:rPr>
          <w:sz w:val="22"/>
          <w:szCs w:val="22"/>
          <w:lang w:val="sq-AL"/>
        </w:rPr>
        <w:t>Kompozimi i borxhit të jashtëm shtetëror sipas monedhave</w:t>
      </w:r>
    </w:p>
    <w:p w:rsidR="0057579A" w:rsidRPr="0057579A" w:rsidRDefault="0057579A" w:rsidP="0057579A">
      <w:pPr>
        <w:ind w:right="-188"/>
        <w:rPr>
          <w:noProof/>
          <w:lang w:val="sq-AL"/>
        </w:rPr>
      </w:pPr>
      <w:r w:rsidRPr="0057579A">
        <w:rPr>
          <w:noProof/>
        </w:rPr>
        <w:drawing>
          <wp:inline distT="0" distB="0" distL="0" distR="0" wp14:anchorId="0E37CFBD" wp14:editId="0E293E62">
            <wp:extent cx="3333750" cy="2000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r w:rsidRPr="0057579A">
        <w:rPr>
          <w:noProof/>
        </w:rPr>
        <w:drawing>
          <wp:inline distT="0" distB="0" distL="0" distR="0" wp14:anchorId="5F4AFC55" wp14:editId="5ABF34B3">
            <wp:extent cx="3190875" cy="2000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0875" cy="2000250"/>
                    </a:xfrm>
                    <a:prstGeom prst="rect">
                      <a:avLst/>
                    </a:prstGeom>
                    <a:noFill/>
                    <a:ln>
                      <a:noFill/>
                    </a:ln>
                  </pic:spPr>
                </pic:pic>
              </a:graphicData>
            </a:graphic>
          </wp:inline>
        </w:drawing>
      </w:r>
    </w:p>
    <w:p w:rsidR="0057579A" w:rsidRPr="0057579A" w:rsidRDefault="0057579A" w:rsidP="0057579A">
      <w:pPr>
        <w:ind w:right="-188"/>
        <w:rPr>
          <w:noProof/>
          <w:lang w:val="sq-AL"/>
        </w:rPr>
      </w:pPr>
      <w:r w:rsidRPr="00A312EB">
        <w:rPr>
          <w:b/>
          <w:i/>
          <w:sz w:val="20"/>
          <w:szCs w:val="20"/>
          <w:lang w:val="sq-AL"/>
        </w:rPr>
        <w:t xml:space="preserve">Burimi: </w:t>
      </w:r>
      <w:r w:rsidRPr="0057579A">
        <w:rPr>
          <w:i/>
          <w:sz w:val="20"/>
          <w:szCs w:val="20"/>
          <w:lang w:val="sq-AL"/>
        </w:rPr>
        <w:t>Ministria e Financave dhe Ekonomisë (2017)</w:t>
      </w:r>
    </w:p>
    <w:p w:rsidR="0057579A" w:rsidRPr="0057579A" w:rsidRDefault="0057579A" w:rsidP="00A66D0D">
      <w:pPr>
        <w:spacing w:line="276" w:lineRule="auto"/>
        <w:ind w:right="-46"/>
        <w:jc w:val="both"/>
        <w:rPr>
          <w:lang w:val="sq-AL"/>
        </w:rPr>
      </w:pPr>
    </w:p>
    <w:p w:rsidR="0057579A" w:rsidRPr="0057579A" w:rsidRDefault="0057579A" w:rsidP="00A66D0D">
      <w:pPr>
        <w:spacing w:line="276" w:lineRule="auto"/>
        <w:ind w:right="-46"/>
        <w:jc w:val="both"/>
        <w:rPr>
          <w:lang w:val="sq-AL"/>
        </w:rPr>
      </w:pPr>
      <w:r w:rsidRPr="0057579A">
        <w:rPr>
          <w:lang w:val="sq-AL"/>
        </w:rPr>
        <w:t xml:space="preserve">Përqindja e lartë e stokut në Euro është në përputhje me objektivat strategjike për huamarrje në monedhën Euro dhe në përputhje me aspiratat e vendit tonë për t’u integruar në Bashkimin Evropian. Gjithashtu, gjatë viteve të fundit politikat monetare dhe dinamikat e ekonomisë vendase kanë arritur të sigurojnë një qëndrueshmëri dhe stabilitet të kursit të këmbimit të monedhës vendase ndaj monedhës Euro. </w:t>
      </w:r>
    </w:p>
    <w:p w:rsidR="0057579A" w:rsidRPr="0057579A" w:rsidRDefault="0057579A" w:rsidP="00A66D0D">
      <w:pPr>
        <w:spacing w:line="276" w:lineRule="auto"/>
        <w:ind w:right="-46"/>
        <w:jc w:val="both"/>
        <w:rPr>
          <w:lang w:val="sq-AL"/>
        </w:rPr>
      </w:pPr>
    </w:p>
    <w:p w:rsidR="0057579A" w:rsidRPr="0057579A" w:rsidRDefault="0057579A" w:rsidP="00A66D0D">
      <w:pPr>
        <w:spacing w:line="276" w:lineRule="auto"/>
        <w:ind w:right="-46"/>
        <w:jc w:val="both"/>
        <w:rPr>
          <w:lang w:val="sq-AL"/>
        </w:rPr>
      </w:pPr>
      <w:r w:rsidRPr="0057579A">
        <w:rPr>
          <w:lang w:val="sq-AL"/>
        </w:rPr>
        <w:t xml:space="preserve">Ecuria e disbursimeve gjatë nëntëmujorit 2017, ka qenë e kënaqshme dhe relativisht më e lartë se vitin e kaluar. Gjithsej janë disbursuar rreth 273.1 milion Euro, nga të cilat 146.1 milion Euro janë disbursime në formën e mbështetjes buxhetore, të akorduara në kuadër të marrëveshjes me FMN dhe Bankën Botërore. Diferenca prej 126.9 milion Euro i përket disbursimeve të projekteve me financim të huaj. Krahasuar me të njëjtën periudhë të vitit të kaluar, rezulton se në vitin 2017 ecuria e disbursimeve ka qenë rreth 26.4 milion Euro ose 10.7% më e lartë. Nëse përjashtojmë disbursimet e akorduara për mbështetje buxhetore, rezulton se disbursimet për projektet me financim të huaj janë rreth 33.4 milion Euro më të larta se e njëjta periudhë e një viti më parë. </w:t>
      </w:r>
    </w:p>
    <w:p w:rsidR="0057579A" w:rsidRPr="0057579A" w:rsidRDefault="0057579A" w:rsidP="00A66D0D">
      <w:pPr>
        <w:spacing w:line="276" w:lineRule="auto"/>
        <w:ind w:right="-46"/>
        <w:jc w:val="both"/>
        <w:rPr>
          <w:lang w:val="sq-AL"/>
        </w:rPr>
      </w:pPr>
      <w:r w:rsidRPr="0057579A">
        <w:rPr>
          <w:lang w:val="sq-AL"/>
        </w:rPr>
        <w:t>Sektorët që kanë pasur ecurinë më të lartë të disbursimeve janë sektori i Transportit, Ujësjellës Kanalizime dhe ai i Energjisë, përkatësisht me 19.8%, 12.5% dhe 7.0% të totalit të disbursimeve.</w:t>
      </w:r>
    </w:p>
    <w:p w:rsidR="00D57C59" w:rsidRDefault="00D57C59" w:rsidP="0057579A">
      <w:pPr>
        <w:rPr>
          <w:b/>
          <w:sz w:val="20"/>
          <w:szCs w:val="20"/>
          <w:lang w:val="sq-AL"/>
        </w:rPr>
      </w:pPr>
    </w:p>
    <w:p w:rsidR="0057579A" w:rsidRPr="00A312EB" w:rsidRDefault="00D57C59" w:rsidP="0057579A">
      <w:pPr>
        <w:rPr>
          <w:sz w:val="22"/>
          <w:szCs w:val="22"/>
          <w:lang w:val="sq-AL"/>
        </w:rPr>
      </w:pPr>
      <w:r w:rsidRPr="00A312EB">
        <w:rPr>
          <w:b/>
          <w:sz w:val="22"/>
          <w:szCs w:val="22"/>
          <w:lang w:val="sq-AL"/>
        </w:rPr>
        <w:t>Tabela 2</w:t>
      </w:r>
      <w:r w:rsidR="00A312EB" w:rsidRPr="00A312EB">
        <w:rPr>
          <w:b/>
          <w:sz w:val="22"/>
          <w:szCs w:val="22"/>
          <w:lang w:val="sq-AL"/>
        </w:rPr>
        <w:t>6</w:t>
      </w:r>
      <w:r w:rsidR="0057579A" w:rsidRPr="00A312EB">
        <w:rPr>
          <w:b/>
          <w:sz w:val="22"/>
          <w:szCs w:val="22"/>
          <w:lang w:val="sq-AL"/>
        </w:rPr>
        <w:t xml:space="preserve">: </w:t>
      </w:r>
      <w:r w:rsidR="0057579A" w:rsidRPr="00A312EB">
        <w:rPr>
          <w:sz w:val="22"/>
          <w:szCs w:val="22"/>
          <w:lang w:val="sq-AL"/>
        </w:rPr>
        <w:t>Disbursimet e borxhit të jashtëm të Qeverisë Qendrore</w:t>
      </w:r>
    </w:p>
    <w:p w:rsidR="0057579A" w:rsidRPr="0057579A" w:rsidRDefault="0057579A" w:rsidP="0057579A">
      <w:pPr>
        <w:ind w:right="4"/>
        <w:jc w:val="both"/>
        <w:rPr>
          <w:i/>
          <w:sz w:val="20"/>
          <w:szCs w:val="20"/>
          <w:lang w:val="sq-AL"/>
        </w:rPr>
      </w:pPr>
      <w:r w:rsidRPr="0057579A">
        <w:rPr>
          <w:noProof/>
        </w:rPr>
        <w:drawing>
          <wp:inline distT="0" distB="0" distL="0" distR="0" wp14:anchorId="74559F79" wp14:editId="13D3ED1B">
            <wp:extent cx="6524625" cy="1819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24625" cy="1819275"/>
                    </a:xfrm>
                    <a:prstGeom prst="rect">
                      <a:avLst/>
                    </a:prstGeom>
                    <a:noFill/>
                    <a:ln>
                      <a:noFill/>
                    </a:ln>
                  </pic:spPr>
                </pic:pic>
              </a:graphicData>
            </a:graphic>
          </wp:inline>
        </w:drawing>
      </w:r>
      <w:r w:rsidRPr="00A312EB">
        <w:rPr>
          <w:b/>
          <w:i/>
          <w:sz w:val="20"/>
          <w:szCs w:val="20"/>
          <w:lang w:val="sq-AL"/>
        </w:rPr>
        <w:t>Burimi:</w:t>
      </w:r>
      <w:r w:rsidRPr="0057579A">
        <w:rPr>
          <w:b/>
          <w:sz w:val="20"/>
          <w:szCs w:val="20"/>
          <w:lang w:val="sq-AL"/>
        </w:rPr>
        <w:t xml:space="preserve"> </w:t>
      </w:r>
      <w:r w:rsidRPr="0057579A">
        <w:rPr>
          <w:i/>
          <w:sz w:val="20"/>
          <w:szCs w:val="20"/>
          <w:lang w:val="sq-AL"/>
        </w:rPr>
        <w:t>Ministria e Financave dhe Ekonomisë (2017)</w:t>
      </w:r>
    </w:p>
    <w:p w:rsidR="0057579A" w:rsidRPr="0057579A" w:rsidRDefault="0057579A" w:rsidP="0057579A">
      <w:pPr>
        <w:ind w:right="4"/>
        <w:jc w:val="both"/>
        <w:rPr>
          <w:i/>
          <w:sz w:val="20"/>
          <w:szCs w:val="20"/>
          <w:lang w:val="sq-AL"/>
        </w:rPr>
      </w:pPr>
    </w:p>
    <w:p w:rsidR="0057579A" w:rsidRPr="0057579A" w:rsidRDefault="0057579A" w:rsidP="00A66D0D">
      <w:pPr>
        <w:spacing w:line="276" w:lineRule="auto"/>
        <w:jc w:val="both"/>
        <w:rPr>
          <w:lang w:val="sq-AL"/>
        </w:rPr>
      </w:pPr>
      <w:r w:rsidRPr="0057579A">
        <w:rPr>
          <w:lang w:val="sq-AL"/>
        </w:rPr>
        <w:t xml:space="preserve">Një nga çështjet që mbetet për t’u adresuar në vijim është ajo e lidhur me vlerën e lartë të projekteve të padisbursuara </w:t>
      </w:r>
      <w:r w:rsidRPr="0057579A">
        <w:rPr>
          <w:i/>
          <w:lang w:val="sq-AL"/>
        </w:rPr>
        <w:t>(rreth 1.3 miliard Euro)</w:t>
      </w:r>
      <w:r w:rsidRPr="0057579A">
        <w:rPr>
          <w:lang w:val="sq-AL"/>
        </w:rPr>
        <w:t>, të akumuluara</w:t>
      </w:r>
      <w:r w:rsidR="005454EB">
        <w:rPr>
          <w:lang w:val="sq-AL"/>
        </w:rPr>
        <w:t xml:space="preserve"> </w:t>
      </w:r>
      <w:r w:rsidRPr="0057579A">
        <w:rPr>
          <w:lang w:val="sq-AL"/>
        </w:rPr>
        <w:t>ndër vite</w:t>
      </w:r>
      <w:r w:rsidR="005454EB">
        <w:rPr>
          <w:lang w:val="sq-AL"/>
        </w:rPr>
        <w:t xml:space="preserve"> </w:t>
      </w:r>
      <w:r w:rsidRPr="0057579A">
        <w:rPr>
          <w:lang w:val="sq-AL"/>
        </w:rPr>
        <w:t>kryesisht për arsye si:</w:t>
      </w:r>
    </w:p>
    <w:p w:rsidR="0057579A" w:rsidRPr="0057579A" w:rsidRDefault="0057579A" w:rsidP="00A66D0D">
      <w:pPr>
        <w:spacing w:line="276" w:lineRule="auto"/>
        <w:jc w:val="both"/>
        <w:rPr>
          <w:lang w:val="sq-AL"/>
        </w:rPr>
      </w:pPr>
    </w:p>
    <w:p w:rsidR="0057579A" w:rsidRPr="0057579A" w:rsidRDefault="0057579A" w:rsidP="00A66D0D">
      <w:pPr>
        <w:pStyle w:val="ListParagraph"/>
        <w:numPr>
          <w:ilvl w:val="0"/>
          <w:numId w:val="9"/>
        </w:numPr>
        <w:spacing w:after="200" w:line="276" w:lineRule="auto"/>
        <w:ind w:left="426" w:hanging="426"/>
        <w:contextualSpacing/>
        <w:jc w:val="both"/>
        <w:rPr>
          <w:lang w:val="sq-AL"/>
        </w:rPr>
      </w:pPr>
      <w:r w:rsidRPr="0057579A">
        <w:rPr>
          <w:lang w:val="sq-AL"/>
        </w:rPr>
        <w:t xml:space="preserve">Performanca e dobët e kontraktorëve; </w:t>
      </w:r>
    </w:p>
    <w:p w:rsidR="0057579A" w:rsidRPr="0057579A" w:rsidRDefault="0057579A" w:rsidP="00A66D0D">
      <w:pPr>
        <w:pStyle w:val="ListParagraph"/>
        <w:numPr>
          <w:ilvl w:val="0"/>
          <w:numId w:val="9"/>
        </w:numPr>
        <w:spacing w:after="200" w:line="276" w:lineRule="auto"/>
        <w:ind w:left="426" w:hanging="426"/>
        <w:contextualSpacing/>
        <w:jc w:val="both"/>
        <w:rPr>
          <w:lang w:val="sq-AL"/>
        </w:rPr>
      </w:pPr>
      <w:r w:rsidRPr="0057579A">
        <w:rPr>
          <w:lang w:val="sq-AL"/>
        </w:rPr>
        <w:t>Ndryshimet e bëra në projektet fillestare për shkak të problematikave të hasura gjatë zbatimit të projekteve;</w:t>
      </w:r>
    </w:p>
    <w:p w:rsidR="0057579A" w:rsidRPr="0057579A" w:rsidRDefault="0057579A" w:rsidP="00A66D0D">
      <w:pPr>
        <w:pStyle w:val="ListParagraph"/>
        <w:numPr>
          <w:ilvl w:val="0"/>
          <w:numId w:val="9"/>
        </w:numPr>
        <w:spacing w:after="200" w:line="276" w:lineRule="auto"/>
        <w:ind w:left="426" w:hanging="426"/>
        <w:contextualSpacing/>
        <w:jc w:val="both"/>
        <w:rPr>
          <w:i/>
          <w:lang w:val="sq-AL"/>
        </w:rPr>
      </w:pPr>
      <w:r w:rsidRPr="0057579A">
        <w:rPr>
          <w:lang w:val="sq-AL"/>
        </w:rPr>
        <w:lastRenderedPageBreak/>
        <w:t xml:space="preserve">Kushtet natyrore dhe atmosferike </w:t>
      </w:r>
      <w:r w:rsidRPr="0057579A">
        <w:rPr>
          <w:i/>
          <w:lang w:val="sq-AL"/>
        </w:rPr>
        <w:t>(sidomos në projektet e infrastrukturës)</w:t>
      </w:r>
      <w:r w:rsidRPr="0057579A">
        <w:rPr>
          <w:lang w:val="sq-AL"/>
        </w:rPr>
        <w:t>;</w:t>
      </w:r>
    </w:p>
    <w:p w:rsidR="0057579A" w:rsidRPr="0057579A" w:rsidRDefault="0057579A" w:rsidP="00A66D0D">
      <w:pPr>
        <w:pStyle w:val="ListParagraph"/>
        <w:numPr>
          <w:ilvl w:val="0"/>
          <w:numId w:val="9"/>
        </w:numPr>
        <w:spacing w:after="200" w:line="276" w:lineRule="auto"/>
        <w:ind w:left="426" w:hanging="426"/>
        <w:contextualSpacing/>
        <w:jc w:val="both"/>
        <w:rPr>
          <w:lang w:val="sq-AL"/>
        </w:rPr>
      </w:pPr>
      <w:r w:rsidRPr="0057579A">
        <w:rPr>
          <w:lang w:val="sq-AL"/>
        </w:rPr>
        <w:t>Proceset e tejzgjatura të shpronësimeve;</w:t>
      </w:r>
    </w:p>
    <w:p w:rsidR="0057579A" w:rsidRPr="0057579A" w:rsidRDefault="0057579A" w:rsidP="00A66D0D">
      <w:pPr>
        <w:pStyle w:val="ListParagraph"/>
        <w:numPr>
          <w:ilvl w:val="0"/>
          <w:numId w:val="9"/>
        </w:numPr>
        <w:spacing w:after="200" w:line="276" w:lineRule="auto"/>
        <w:ind w:left="426" w:hanging="426"/>
        <w:contextualSpacing/>
        <w:jc w:val="both"/>
        <w:rPr>
          <w:i/>
          <w:lang w:val="sq-AL"/>
        </w:rPr>
      </w:pPr>
      <w:r w:rsidRPr="0057579A">
        <w:rPr>
          <w:lang w:val="sq-AL"/>
        </w:rPr>
        <w:t>Vonesat e shkaktuara nga kreditorët në dhënien e aprovimeve;</w:t>
      </w:r>
    </w:p>
    <w:p w:rsidR="0057579A" w:rsidRPr="0057579A" w:rsidRDefault="0057579A" w:rsidP="00A66D0D">
      <w:pPr>
        <w:pStyle w:val="ListParagraph"/>
        <w:numPr>
          <w:ilvl w:val="0"/>
          <w:numId w:val="9"/>
        </w:numPr>
        <w:spacing w:after="200" w:line="276" w:lineRule="auto"/>
        <w:ind w:left="426" w:hanging="426"/>
        <w:contextualSpacing/>
        <w:jc w:val="both"/>
        <w:rPr>
          <w:lang w:val="sq-AL"/>
        </w:rPr>
      </w:pPr>
      <w:r w:rsidRPr="0057579A">
        <w:rPr>
          <w:lang w:val="sq-AL"/>
        </w:rPr>
        <w:t>Mungesa e bashkërendimit mes institucioneve, për dhënien e lejeve të ndërtimit, për menaxhimin e mbetjeve që dalin nga ndërtimet, për marrjen në dorëzim të objekteve, etj.</w:t>
      </w:r>
    </w:p>
    <w:p w:rsidR="0057579A" w:rsidRDefault="0057579A" w:rsidP="00A66D0D">
      <w:pPr>
        <w:spacing w:line="276" w:lineRule="auto"/>
        <w:ind w:right="-46"/>
        <w:jc w:val="both"/>
        <w:rPr>
          <w:lang w:val="sq-AL"/>
        </w:rPr>
      </w:pPr>
      <w:r w:rsidRPr="0057579A">
        <w:rPr>
          <w:lang w:val="sq-AL"/>
        </w:rPr>
        <w:t>Në marrëdhënie me kreditorët e huaj Republika e Shqipërisë vazhdon të mbajë marrëdhënie të qëndrueshme duke paraqitur një nivel bashkëpunimi të lartë dhe duke përcjellë besim tek kreditorët nëpërmjet likuidimit të detyrimeve të saj në kohë.</w:t>
      </w:r>
    </w:p>
    <w:p w:rsidR="0024279B" w:rsidRDefault="0024279B" w:rsidP="0057579A">
      <w:pPr>
        <w:ind w:right="-46"/>
        <w:jc w:val="both"/>
        <w:rPr>
          <w:lang w:val="sq-AL"/>
        </w:rPr>
      </w:pPr>
    </w:p>
    <w:p w:rsidR="0024279B" w:rsidRDefault="0024279B" w:rsidP="0024279B">
      <w:pPr>
        <w:pStyle w:val="Heading1"/>
        <w:jc w:val="left"/>
        <w:rPr>
          <w:caps w:val="0"/>
        </w:rPr>
      </w:pPr>
      <w:bookmarkStart w:id="113" w:name="_Toc496520402"/>
      <w:r w:rsidRPr="00194910">
        <w:rPr>
          <w:caps w:val="0"/>
        </w:rPr>
        <w:t>8.5 LISTA E KONCESIONEVE/PPP</w:t>
      </w:r>
      <w:bookmarkEnd w:id="113"/>
    </w:p>
    <w:p w:rsidR="008F31CB" w:rsidRDefault="008F31CB" w:rsidP="008F31CB">
      <w:pPr>
        <w:rPr>
          <w:lang w:val="it-IT"/>
        </w:rPr>
      </w:pPr>
    </w:p>
    <w:p w:rsidR="0057579A" w:rsidRDefault="00A312EB" w:rsidP="008F31CB">
      <w:pPr>
        <w:rPr>
          <w:sz w:val="22"/>
          <w:szCs w:val="22"/>
          <w:lang w:val="sq-AL"/>
        </w:rPr>
      </w:pPr>
      <w:r w:rsidRPr="00A312EB">
        <w:rPr>
          <w:b/>
          <w:sz w:val="22"/>
          <w:szCs w:val="22"/>
          <w:lang w:val="sq-AL"/>
        </w:rPr>
        <w:t xml:space="preserve">Tabela 27: </w:t>
      </w:r>
      <w:r w:rsidR="008F31CB" w:rsidRPr="00A312EB">
        <w:rPr>
          <w:sz w:val="22"/>
          <w:szCs w:val="22"/>
          <w:lang w:val="sq-AL"/>
        </w:rPr>
        <w:t>Lista e Kontratave Koncesionare/PPP aktive (ekzistuese+parashikim 2018)</w:t>
      </w:r>
    </w:p>
    <w:p w:rsidR="007F2729" w:rsidRPr="00A312EB" w:rsidRDefault="007F2729" w:rsidP="008F31CB">
      <w:pPr>
        <w:rPr>
          <w:b/>
          <w:sz w:val="22"/>
          <w:szCs w:val="22"/>
          <w:lang w:val="sq-AL"/>
        </w:rPr>
      </w:pPr>
    </w:p>
    <w:tbl>
      <w:tblPr>
        <w:tblW w:w="5000" w:type="pct"/>
        <w:tblLook w:val="04A0" w:firstRow="1" w:lastRow="0" w:firstColumn="1" w:lastColumn="0" w:noHBand="0" w:noVBand="1"/>
      </w:tblPr>
      <w:tblGrid>
        <w:gridCol w:w="2491"/>
        <w:gridCol w:w="2839"/>
        <w:gridCol w:w="2131"/>
        <w:gridCol w:w="2714"/>
      </w:tblGrid>
      <w:tr w:rsidR="0057227D" w:rsidRPr="0057227D" w:rsidTr="0057227D">
        <w:trPr>
          <w:trHeight w:val="330"/>
        </w:trPr>
        <w:tc>
          <w:tcPr>
            <w:tcW w:w="818" w:type="pct"/>
            <w:tcBorders>
              <w:top w:val="single" w:sz="8" w:space="0" w:color="auto"/>
              <w:left w:val="single" w:sz="8" w:space="0" w:color="auto"/>
              <w:bottom w:val="single" w:sz="12" w:space="0" w:color="auto"/>
              <w:right w:val="single" w:sz="4" w:space="0" w:color="auto"/>
            </w:tcBorders>
            <w:shd w:val="clear" w:color="000000" w:fill="CCC0DA"/>
            <w:vAlign w:val="center"/>
            <w:hideMark/>
          </w:tcPr>
          <w:p w:rsidR="0057227D" w:rsidRPr="0057227D" w:rsidRDefault="0057227D" w:rsidP="0057227D">
            <w:pPr>
              <w:jc w:val="center"/>
              <w:rPr>
                <w:rFonts w:ascii="Arial" w:eastAsia="Times New Roman" w:hAnsi="Arial" w:cs="Arial"/>
                <w:b/>
                <w:bCs/>
              </w:rPr>
            </w:pPr>
            <w:r w:rsidRPr="0057227D">
              <w:rPr>
                <w:rFonts w:ascii="Arial" w:eastAsia="Times New Roman" w:hAnsi="Arial" w:cs="Arial"/>
                <w:b/>
                <w:bCs/>
              </w:rPr>
              <w:t>Kategoria</w:t>
            </w:r>
          </w:p>
        </w:tc>
        <w:tc>
          <w:tcPr>
            <w:tcW w:w="478" w:type="pct"/>
            <w:tcBorders>
              <w:top w:val="single" w:sz="8" w:space="0" w:color="auto"/>
              <w:left w:val="nil"/>
              <w:bottom w:val="single" w:sz="12" w:space="0" w:color="auto"/>
              <w:right w:val="single" w:sz="4" w:space="0" w:color="auto"/>
            </w:tcBorders>
            <w:shd w:val="clear" w:color="000000" w:fill="CCC0DA"/>
            <w:noWrap/>
            <w:vAlign w:val="center"/>
            <w:hideMark/>
          </w:tcPr>
          <w:p w:rsidR="0057227D" w:rsidRPr="0057227D" w:rsidRDefault="0057227D" w:rsidP="0057227D">
            <w:pPr>
              <w:jc w:val="center"/>
              <w:rPr>
                <w:rFonts w:ascii="Arial" w:eastAsia="Times New Roman" w:hAnsi="Arial" w:cs="Arial"/>
                <w:b/>
                <w:bCs/>
              </w:rPr>
            </w:pPr>
            <w:r w:rsidRPr="0057227D">
              <w:rPr>
                <w:rFonts w:ascii="Arial" w:eastAsia="Times New Roman" w:hAnsi="Arial" w:cs="Arial"/>
                <w:b/>
                <w:bCs/>
              </w:rPr>
              <w:t xml:space="preserve">Lloji </w:t>
            </w:r>
          </w:p>
        </w:tc>
        <w:tc>
          <w:tcPr>
            <w:tcW w:w="2908" w:type="pct"/>
            <w:tcBorders>
              <w:top w:val="single" w:sz="8" w:space="0" w:color="auto"/>
              <w:left w:val="nil"/>
              <w:bottom w:val="single" w:sz="12" w:space="0" w:color="auto"/>
              <w:right w:val="single" w:sz="4" w:space="0" w:color="auto"/>
            </w:tcBorders>
            <w:shd w:val="clear" w:color="000000" w:fill="CCC0DA"/>
            <w:vAlign w:val="center"/>
            <w:hideMark/>
          </w:tcPr>
          <w:p w:rsidR="0057227D" w:rsidRPr="0057227D" w:rsidRDefault="0057227D" w:rsidP="0057227D">
            <w:pPr>
              <w:jc w:val="center"/>
              <w:rPr>
                <w:rFonts w:ascii="Arial" w:eastAsia="Times New Roman" w:hAnsi="Arial" w:cs="Arial"/>
                <w:b/>
                <w:bCs/>
              </w:rPr>
            </w:pPr>
            <w:r w:rsidRPr="0057227D">
              <w:rPr>
                <w:rFonts w:ascii="Arial" w:eastAsia="Times New Roman" w:hAnsi="Arial" w:cs="Arial"/>
                <w:b/>
                <w:bCs/>
              </w:rPr>
              <w:t>Objekti I Kontratës</w:t>
            </w:r>
          </w:p>
        </w:tc>
        <w:tc>
          <w:tcPr>
            <w:tcW w:w="796" w:type="pct"/>
            <w:tcBorders>
              <w:top w:val="single" w:sz="8" w:space="0" w:color="auto"/>
              <w:left w:val="nil"/>
              <w:bottom w:val="single" w:sz="12" w:space="0" w:color="auto"/>
              <w:right w:val="single" w:sz="8" w:space="0" w:color="auto"/>
            </w:tcBorders>
            <w:shd w:val="clear" w:color="000000" w:fill="CCC0DA"/>
            <w:noWrap/>
            <w:vAlign w:val="center"/>
            <w:hideMark/>
          </w:tcPr>
          <w:p w:rsidR="0057227D" w:rsidRPr="0057227D" w:rsidRDefault="0057227D" w:rsidP="0057227D">
            <w:pPr>
              <w:jc w:val="center"/>
              <w:rPr>
                <w:rFonts w:ascii="Arial" w:eastAsia="Times New Roman" w:hAnsi="Arial" w:cs="Arial"/>
                <w:b/>
                <w:bCs/>
              </w:rPr>
            </w:pPr>
            <w:r w:rsidRPr="0057227D">
              <w:rPr>
                <w:rFonts w:ascii="Arial" w:eastAsia="Times New Roman" w:hAnsi="Arial" w:cs="Arial"/>
                <w:b/>
                <w:bCs/>
              </w:rPr>
              <w:t xml:space="preserve">  Vlera e kontrates </w:t>
            </w:r>
          </w:p>
        </w:tc>
      </w:tr>
      <w:tr w:rsidR="0057227D" w:rsidRPr="0057227D" w:rsidTr="0057227D">
        <w:trPr>
          <w:trHeight w:val="345"/>
        </w:trPr>
        <w:tc>
          <w:tcPr>
            <w:tcW w:w="818" w:type="pct"/>
            <w:tcBorders>
              <w:top w:val="nil"/>
              <w:left w:val="single" w:sz="8" w:space="0" w:color="auto"/>
              <w:bottom w:val="nil"/>
              <w:right w:val="single" w:sz="4" w:space="0" w:color="auto"/>
            </w:tcBorders>
            <w:shd w:val="clear" w:color="000000" w:fill="D8E4BC"/>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Total</w:t>
            </w:r>
          </w:p>
        </w:tc>
        <w:tc>
          <w:tcPr>
            <w:tcW w:w="478" w:type="pct"/>
            <w:tcBorders>
              <w:top w:val="nil"/>
              <w:left w:val="nil"/>
              <w:bottom w:val="nil"/>
              <w:right w:val="single" w:sz="4" w:space="0" w:color="auto"/>
            </w:tcBorders>
            <w:shd w:val="clear" w:color="000000" w:fill="D8E4BC"/>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nil"/>
              <w:right w:val="single" w:sz="4" w:space="0" w:color="auto"/>
            </w:tcBorders>
            <w:shd w:val="clear" w:color="000000" w:fill="D8E4BC"/>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single" w:sz="4" w:space="0" w:color="auto"/>
              <w:bottom w:val="nil"/>
              <w:right w:val="single" w:sz="8" w:space="0" w:color="auto"/>
            </w:tcBorders>
            <w:shd w:val="clear" w:color="000000" w:fill="D8E4BC"/>
            <w:noWrap/>
            <w:vAlign w:val="center"/>
            <w:hideMark/>
          </w:tcPr>
          <w:p w:rsidR="0057227D" w:rsidRPr="0057227D" w:rsidRDefault="0057227D" w:rsidP="0057227D">
            <w:pPr>
              <w:jc w:val="center"/>
              <w:rPr>
                <w:rFonts w:ascii="Arial" w:eastAsia="Times New Roman" w:hAnsi="Arial" w:cs="Arial"/>
                <w:b/>
                <w:bCs/>
                <w:color w:val="C00000"/>
              </w:rPr>
            </w:pPr>
            <w:r w:rsidRPr="0057227D">
              <w:rPr>
                <w:rFonts w:ascii="Arial" w:eastAsia="Times New Roman" w:hAnsi="Arial" w:cs="Arial"/>
                <w:b/>
                <w:bCs/>
                <w:color w:val="C00000"/>
              </w:rPr>
              <w:t xml:space="preserve">         504,877,137,243 </w:t>
            </w:r>
          </w:p>
        </w:tc>
      </w:tr>
      <w:tr w:rsidR="0057227D" w:rsidRPr="0057227D" w:rsidTr="0057227D">
        <w:trPr>
          <w:trHeight w:val="315"/>
        </w:trPr>
        <w:tc>
          <w:tcPr>
            <w:tcW w:w="818" w:type="pct"/>
            <w:tcBorders>
              <w:top w:val="double" w:sz="6" w:space="0" w:color="auto"/>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Sektori i Mjedisit</w:t>
            </w:r>
          </w:p>
        </w:tc>
        <w:tc>
          <w:tcPr>
            <w:tcW w:w="478" w:type="pct"/>
            <w:tcBorders>
              <w:top w:val="double" w:sz="6" w:space="0" w:color="auto"/>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double" w:sz="6" w:space="0" w:color="auto"/>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double" w:sz="6" w:space="0" w:color="auto"/>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i/>
                <w:iCs/>
                <w:sz w:val="20"/>
                <w:szCs w:val="20"/>
              </w:rPr>
            </w:pPr>
            <w:r w:rsidRPr="0057227D">
              <w:rPr>
                <w:rFonts w:ascii="Arial" w:eastAsia="Times New Roman" w:hAnsi="Arial" w:cs="Arial"/>
                <w:b/>
                <w:bCs/>
                <w:i/>
                <w:iCs/>
                <w:sz w:val="20"/>
                <w:szCs w:val="20"/>
              </w:rPr>
              <w:t xml:space="preserve">                25,488,716,407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Kontrate Sherbimesh</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49,660,000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Menaxhimi dhe zhvillimi teknologjik i prodhimit të fidanëve pyjor/arror në Fidanishten Shtetërore të Cërrikut, Elbasan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49,660,000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24,935,343,761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dhe administrimi i impiantit të përpunuar të mbetjeve urbane të qarkut Elbasan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2,894,400,000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Për ndërtimin e administrimin e Impjantit të trajtimit të mbetjeve urbane të Qarkut Fier dhe prodhimin e energjisë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3,666,177,561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Inceneratori i Tiranes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18,374,766,200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Shfrytezim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503,712,646 </w:t>
            </w:r>
          </w:p>
        </w:tc>
      </w:tr>
      <w:tr w:rsidR="0057227D" w:rsidRPr="0057227D" w:rsidTr="0057227D">
        <w:trPr>
          <w:trHeight w:val="315"/>
        </w:trPr>
        <w:tc>
          <w:tcPr>
            <w:tcW w:w="818" w:type="pct"/>
            <w:tcBorders>
              <w:top w:val="nil"/>
              <w:left w:val="single" w:sz="8"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Shfrytezimi i Burimit ujor "Sasaj, Bunec", Sarandë</w:t>
            </w:r>
          </w:p>
        </w:tc>
        <w:tc>
          <w:tcPr>
            <w:tcW w:w="796" w:type="pct"/>
            <w:tcBorders>
              <w:top w:val="nil"/>
              <w:left w:val="nil"/>
              <w:bottom w:val="double" w:sz="6"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503,712,646 </w:t>
            </w:r>
          </w:p>
        </w:tc>
      </w:tr>
      <w:tr w:rsidR="0057227D" w:rsidRPr="0057227D" w:rsidTr="0057227D">
        <w:trPr>
          <w:trHeight w:val="315"/>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Sektori i Transportit</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37,513,358,873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Kontrate Sherbimesh</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1,354,539,000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Menaxhimi, Operimi, Mirembajtja, Përmiresimi teknik dhe Adaptimi i terminalit të trageteve dhe krocerave Durrës.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555,162,000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Projektim, financim, rehabilitm, testim, shfrytezim dhe mirembajtje të Qendrave të Kontrollit Teknik të mjeteve.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561,003,000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Dhënie me koncesion  të shërbimeve detare.(ASHD), </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238,374,000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36,158,819,873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Menaxhimi, operimi, mirembajtja dhe pëmirësimi teknik i terminalit të konteinerve në portin e Durrësit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3,705,000,000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Shfrytëzim dhe Transferim në pronësi të shtetit, të Portit të Jahteve Shëngjin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730,338,000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Ndërtimi i portit të jahteve në </w:t>
            </w:r>
            <w:proofErr w:type="gramStart"/>
            <w:r w:rsidRPr="0057227D">
              <w:rPr>
                <w:rFonts w:ascii="Calibri" w:eastAsia="Times New Roman" w:hAnsi="Calibri"/>
                <w:color w:val="000000"/>
                <w:sz w:val="22"/>
                <w:szCs w:val="22"/>
              </w:rPr>
              <w:t>Kalanë  e</w:t>
            </w:r>
            <w:proofErr w:type="gramEnd"/>
            <w:r w:rsidRPr="0057227D">
              <w:rPr>
                <w:rFonts w:ascii="Calibri" w:eastAsia="Times New Roman" w:hAnsi="Calibri"/>
                <w:color w:val="000000"/>
                <w:sz w:val="22"/>
                <w:szCs w:val="22"/>
              </w:rPr>
              <w:t xml:space="preserve"> Turrës, Komuna Synej, Kavajë.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4,450,000,000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i Aeroportit "Nënë Tereza"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9,310,000,000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Transferim i parkimit nëntokësor në parkun "Rinia", Tiranë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1,937,932,800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përmirësimi, shfrytëzimi dhe mirëmbajtja e Autostradës Milot-Morinë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2,005,314,422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shfrytëzimi i portit të jahteve në qytetit e Durrësit. (BOT)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1,356,144,750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Ndrtimi, Shfrytëzimi dhe Transferimi të portit të tipit MBM, Porto Romano, Durrës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1,162,800,000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Operimi, Ndertimi, Mirëmbajtja, Përmiresimi Teknik dhe Adaptimi i Terminalit Lindor Durrës.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2,069,371,737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Infrastruktura Hekurudhore Fier-Ballsh, Fier-Vlorë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2,431,918,164 </w:t>
            </w:r>
          </w:p>
        </w:tc>
      </w:tr>
      <w:tr w:rsidR="0057227D" w:rsidRPr="0057227D" w:rsidTr="0057227D">
        <w:trPr>
          <w:trHeight w:val="615"/>
        </w:trPr>
        <w:tc>
          <w:tcPr>
            <w:tcW w:w="818" w:type="pct"/>
            <w:tcBorders>
              <w:top w:val="nil"/>
              <w:left w:val="single" w:sz="8"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(BOT) HEC mbi lumin Devoll, rimbursimi i ndërtimit të rrugëve zëvendësuese</w:t>
            </w:r>
          </w:p>
        </w:tc>
        <w:tc>
          <w:tcPr>
            <w:tcW w:w="796" w:type="pct"/>
            <w:tcBorders>
              <w:top w:val="nil"/>
              <w:left w:val="nil"/>
              <w:bottom w:val="double" w:sz="6"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7,000,000,000 </w:t>
            </w:r>
          </w:p>
        </w:tc>
      </w:tr>
      <w:tr w:rsidR="0057227D" w:rsidRPr="0057227D" w:rsidTr="0057227D">
        <w:trPr>
          <w:trHeight w:val="315"/>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Sektori i Bujqesise</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1,906,500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1,906,500 </w:t>
            </w:r>
          </w:p>
        </w:tc>
      </w:tr>
      <w:tr w:rsidR="0057227D" w:rsidRPr="0057227D" w:rsidTr="0057227D">
        <w:trPr>
          <w:trHeight w:val="315"/>
        </w:trPr>
        <w:tc>
          <w:tcPr>
            <w:tcW w:w="818" w:type="pct"/>
            <w:tcBorders>
              <w:top w:val="nil"/>
              <w:left w:val="single" w:sz="8" w:space="0" w:color="auto"/>
              <w:bottom w:val="nil"/>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nil"/>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nil"/>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Kontratë Koncesioni për kultivimin e ullirit deri në 1000 ha, Kavajë</w:t>
            </w:r>
          </w:p>
        </w:tc>
        <w:tc>
          <w:tcPr>
            <w:tcW w:w="796" w:type="pct"/>
            <w:tcBorders>
              <w:top w:val="nil"/>
              <w:left w:val="nil"/>
              <w:bottom w:val="nil"/>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1,906,500 </w:t>
            </w:r>
          </w:p>
        </w:tc>
      </w:tr>
      <w:tr w:rsidR="0057227D" w:rsidRPr="0057227D" w:rsidTr="0057227D">
        <w:trPr>
          <w:trHeight w:val="315"/>
        </w:trPr>
        <w:tc>
          <w:tcPr>
            <w:tcW w:w="818" w:type="pct"/>
            <w:tcBorders>
              <w:top w:val="double" w:sz="6" w:space="0" w:color="auto"/>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Sektori i Energjise</w:t>
            </w:r>
          </w:p>
        </w:tc>
        <w:tc>
          <w:tcPr>
            <w:tcW w:w="478" w:type="pct"/>
            <w:tcBorders>
              <w:top w:val="double" w:sz="6" w:space="0" w:color="auto"/>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double" w:sz="6" w:space="0" w:color="auto"/>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double" w:sz="6" w:space="0" w:color="auto"/>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379,478,818,639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379,478,818,639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Financimi, Projektimi, Ndërtimi, Vënia në Punë, Administrimi, Mirëmbajtja dhe Transferimin e Hidrocentraleve "Shkallë", "Cerrujë", "Plesha", "Bejni1", "Bejni2", "Klos".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1,465,039,743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tranfesrimin e Hidrocentraleve Gjuraj, Kashec, Ragam dhe Lepurushe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780,000,000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hidrocentraleve mbi Lumin Kardhiq</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1,041,453,039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Ndertimin, operimin dhe transferimin e </w:t>
            </w:r>
            <w:r w:rsidRPr="0057227D">
              <w:rPr>
                <w:rFonts w:ascii="Calibri" w:eastAsia="Times New Roman" w:hAnsi="Calibri"/>
                <w:color w:val="000000"/>
                <w:sz w:val="22"/>
                <w:szCs w:val="22"/>
              </w:rPr>
              <w:lastRenderedPageBreak/>
              <w:t>hidrocentraleve mbi Përroin Ujëmbledhës të Përroit të Zhejës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61,916,210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Hidrocentraleve në Pellgun Ujëmbledhës të Shmilit dhe Zallit të Gjurait, Rrethi Librazhd</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1,165,964,018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hidrocentraleve RAPUN 3, RAPUN 3A dhe RAPUN 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790,361,250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hidrocentraleve TREBINJA 1, TREBINJA 2, POTGOZHAN, KALIVAÇ dhe DUNICE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175,585,602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Hidrocentraleve, Cemerica 1, Cemerica 2 dhe Cemerica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300,673,715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ARSTI</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225,125,130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Begaj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2,794,366,000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Egnatia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321,956,600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KALIVAR</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465,326,140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Lingjaca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149,524,860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QYTEZË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27,700,000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Ndertimin, operimin dhe transferimin e hidrocentralit VILIQ</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199,260,305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hidrocentralit LLËNGË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252,559,542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e hidrocentraleve SHEBA 1, SHEBA 2, SHEBA 3 dhe SHEBA 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416,000,000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Hec Holta Kabash dhe Holta Porocan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hidrocentraleve GERMANI 1, 2, 3, 4 dhe 5</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348,238,001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hidrocentraleve mbi Lumin SETA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1,400,805,550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hidrocentraleve PRELLE 1 dhe PRELLE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1,512,585,536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hidrocentraleve të Lashkizës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322,691,040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“Gjoni”, “Blishta”, “Klosi”, “Domi”, “Luci”, “Shoshaj”, “Zenishti”  dhe “Burreli”</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4,069,596,314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Batra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369,786,250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Blaç</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44,000,032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Bushtrica 1</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506,147,190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Dars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1,230,440,516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dhe transferim </w:t>
            </w:r>
            <w:r w:rsidRPr="0057227D">
              <w:rPr>
                <w:rFonts w:ascii="Calibri" w:eastAsia="Times New Roman" w:hAnsi="Calibri"/>
                <w:color w:val="000000"/>
                <w:sz w:val="22"/>
                <w:szCs w:val="22"/>
              </w:rPr>
              <w:lastRenderedPageBreak/>
              <w:t>hidrocentrali Dragostunje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39,000,000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Dukagjini 1 2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18,876,907,000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Grabova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1,486,571,351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Guri i Bardhe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800,908,292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HEC-et ne pellgun ujembledhes te perroit Malind</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294,085,200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Kaskada e Devollit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130,000,000,000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Lusa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621,368,362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Malla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176,321,017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Mbi lumin Shkumbin (9 hece-QUKES)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6,249,092,892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Mbi perroin e Truenit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192,560,000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Mbi perroin Sheja e Librazhdit 5 hidrocentrale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492,775,800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dhe transferim hidrocentrali Rapuni 1, Rapuni 2 </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749,080,000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Seke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1,177,887,502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dhe transferim </w:t>
            </w:r>
            <w:r w:rsidRPr="0057227D">
              <w:rPr>
                <w:rFonts w:ascii="Calibri" w:eastAsia="Times New Roman" w:hAnsi="Calibri"/>
                <w:color w:val="000000"/>
                <w:sz w:val="22"/>
                <w:szCs w:val="22"/>
              </w:rPr>
              <w:lastRenderedPageBreak/>
              <w:t>hidrocentrali Selca 2 dhe Mesmal</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269,981,177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dhe transferim hidrocentrali Sllabinje 2 </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847,000,000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Staravecka (Backa 1,.2,3)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1,156,808,769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Stavec</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870,315,194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Stojan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124,333,623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Shushice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2,433,789,054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Shutri 1,2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136,783,700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Topcias   (Rrethi Elbasan)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128,221,000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Valbona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7,331,612,960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Valbone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274,000,000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Vlushe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1,715,320,000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Zalle Xhuxh 1,2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85,780,000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Zalli i Qarrishtes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5,273,943,244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hidrocentralit RUNJA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351,244,805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dhe transferim i hidrocentraleve </w:t>
            </w:r>
            <w:r w:rsidRPr="0057227D">
              <w:rPr>
                <w:rFonts w:ascii="Calibri" w:eastAsia="Times New Roman" w:hAnsi="Calibri"/>
                <w:color w:val="000000"/>
                <w:sz w:val="22"/>
                <w:szCs w:val="22"/>
              </w:rPr>
              <w:lastRenderedPageBreak/>
              <w:t>ARRËZ, SHËNDELLI, SOTIRE, PODE, MESARE, URA, RAJAN 2, RADON, DEDOVE, PESHTAN, OSNATI DHE GRADISHT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837,404,386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I hidrocentraleve FLETI 1, FLETI 2, FLETI A dhe FLETI B</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815,963,996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i hidrocentraleve KUKUR 1, 2, 3, 4 dhe 5</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4,547,551,449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i Hidrocentralit Dragobia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2,404,858,492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të Hidrocentraleve në Kaskadën e Osumit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30,994,337,216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i  Hidrocentraleve, Prishta1, Prishta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329,256,843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transferimin e hidrocentraleve ZAJE, TUJAN, XHAFERAJ, KOLLOVOZ, NOVOSEJË, MËSHTEKËN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223,087,239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transferimin e hidrocentralit ZEREC</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120,311,959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Arrez 1, Arrez 2, Arrez 3 dhe Arrez 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295,860,000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Backa 1, Backa 2, Backa A, Backa B, Backa C</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115,680,876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transferim e </w:t>
            </w:r>
            <w:r w:rsidRPr="0057227D">
              <w:rPr>
                <w:rFonts w:ascii="Calibri" w:eastAsia="Times New Roman" w:hAnsi="Calibri"/>
                <w:color w:val="000000"/>
                <w:sz w:val="22"/>
                <w:szCs w:val="22"/>
              </w:rPr>
              <w:lastRenderedPageBreak/>
              <w:t>Hidrocentraleve Ballenjë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138,314,960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Bershi-Klos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250,548,894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Bënçë dhe Tepelenë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675,221,200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Bigas dhe Veleshnje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42,420,000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Bregu i Madh</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128,136,000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Cangonj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62,650,250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Çaje, Reke, Livadhe, Shkinak, Lapaj 2, Bushtrica 1, Bushtrica 2 dhe Bushtrica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3,673,402,000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Gavran1 dhe Gavran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164,333,245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Guri I Kuq 1/1 dhe Guri I Kuq 1/2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136,963,790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Iballe 1, 2, Sapaç 1, 2, Berisha dhe Liqeni, Rrethi Pukë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1,572,169,360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Kaskada e Hec-eve të Hotolishtit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567,859,875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Kasollet e Selcës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526,318,254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Kryezi 3, Kryezi 4 dhe Kryezi 5</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131,064,360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Lajthia, Kolesjan, Domaj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123,761,020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Lefter 1, Lefter 2A, Lefter 2B, Lefter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208,659,212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Lumzi</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1,725,593,333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mbi Lumin Gjader</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1,592,690,975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Meshanik dhe Guvë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216,152,500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Myhejani 1, Myhejani 2, Myhejani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577,625,340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në Pellgun Ujëmbledhës të Zallit të Bulqizes/Vajkal- Rrethi Bulqize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587,563,575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Potam</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291,900,000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Quki 1 dhe Quku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150,894,676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Steblevë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159,680,320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transferim e </w:t>
            </w:r>
            <w:r w:rsidRPr="0057227D">
              <w:rPr>
                <w:rFonts w:ascii="Calibri" w:eastAsia="Times New Roman" w:hAnsi="Calibri"/>
                <w:color w:val="000000"/>
                <w:sz w:val="22"/>
                <w:szCs w:val="22"/>
              </w:rPr>
              <w:lastRenderedPageBreak/>
              <w:t>Hidrocentraleve Suha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360,000,000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Shkopet 2 dhe Shkopet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2,273,383,994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Shpella Poshtë II dhe Shpella Poshtë III</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144,560,000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Shutri</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139,666,667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Vendresh, në Pellgun ujëmbledhës Përroi Vendreshes, Komuna Vendresh, Rrethi Skrapar</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37,250,000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Vernik 1, Vernik 2, Vernik 3 dhe Vernik 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971,365,040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Hidrocentraleve Vokopola 1, Vokopola 2 dhe Vokopola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497,257,690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Denas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936,000,000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Dobrenje-Tomorrice, në Përroin e Hijes, Skrapar</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106,780,000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Kaçinar</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315,219,168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Nishan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212,520,000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 operim, transferim e </w:t>
            </w:r>
            <w:r w:rsidRPr="0057227D">
              <w:rPr>
                <w:rFonts w:ascii="Calibri" w:eastAsia="Times New Roman" w:hAnsi="Calibri"/>
                <w:color w:val="000000"/>
                <w:sz w:val="22"/>
                <w:szCs w:val="22"/>
              </w:rPr>
              <w:lastRenderedPageBreak/>
              <w:t>Hidrocentralit Plepi, në Përroin e Plepit, Komuna Okshtun, Rrethi Diber</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86,818,382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Skatinë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129,541,704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Shengjon, Komuna Fan, Rrethi Mirditë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101,242,260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e Hidrocentralit Shengjun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349,864,502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i Hidrocentraleve mbi Lumin Curraj, Rrethi Tropojë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13,728,387,330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i hidrocentralit Poçem</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14,134,724,113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i Hidrocentralit Spathare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80,070,750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i Hidrocentralit Suha-1</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3,181,563,000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trenasferim i hidrocentralit Labinot Fushë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347,706,122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shfrytëzim dhe transferim të Hidrocentraleve Lura 1, 2 dhe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1,300,177,500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transferim i Hidrocentralit Tuçep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166,000,000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i hidrocentralit Lapaj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1,453,500,000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Orgjost i Ri; Ble1, 2; Topojan 1,2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3,565,744,707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Ndërtimi operimi dhe mirëmbajtja e </w:t>
            </w:r>
            <w:r w:rsidRPr="0057227D">
              <w:rPr>
                <w:rFonts w:ascii="Calibri" w:eastAsia="Times New Roman" w:hAnsi="Calibri"/>
                <w:color w:val="000000"/>
                <w:sz w:val="22"/>
                <w:szCs w:val="22"/>
              </w:rPr>
              <w:lastRenderedPageBreak/>
              <w:t>hidrocentraleve Belesova 1 dhe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46,315,030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Bistrica 3 dhe 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756,400,000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Bishnica 1 dhe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250,000,000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Borje, Oreshkë, Cernalevë, Cernalevë 1</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830,097,322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Çekrezë 1,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123,858,465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Dobjot i Madh, Arrëz, Miras, Menkulas, Bracen, Kuç.</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124,254,000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Gomsiqe 1,2,3,4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2,149,411,466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Gostivisht, Langarica3, Ura e Dashit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309,815,533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Hurdhasi 1, 2,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200,000,000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Kozel, Helmes 1 dhe Helmes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108,000,000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Lengarica 1 dhe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1,980,904,000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Nishova 1,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89,684,218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Progonat, Lekdush - Bënçë e Sipërme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929,146,830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Strelca 1, Strelca 2, Strelca 3</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1,084,000,000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Shemri dhe Mgulle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69,026,908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Shtika 1,2,3,4</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87,570,000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hidrocentraleve Zerec 1,2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199,921,096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Bisak</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50,617,908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Driza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151,000,000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Hotolisht, Librazhd</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424,080,723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Kabash 1 dhe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671,000,000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Kacni</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133,121,000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Klos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96,422,100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koka 1</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392,862,289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Koxheraj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102,963,375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Kryezi dhe Kryezi i Epërm</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50,419,481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Lumi Treskës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656,545,309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Lumi Zalli i Okshtunit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4,443,351,400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Martanesh</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857,861,985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Nicë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49,800,000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Ostren i Vogël</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46,870,792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Peqin</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521,573,382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Perrollaj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51,434,808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Përroi i Trebishit, Bulqizë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209,336,441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Pobreg</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995,034,550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Qarr Kaltanj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273,892,660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Radovë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188,000,000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Selishtë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120,000,000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Sllabinjë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1,290,117,487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Stravaj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503,529,364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Ndërtimi operimi dhe mirëmbajtja e </w:t>
            </w:r>
            <w:r w:rsidRPr="0057227D">
              <w:rPr>
                <w:rFonts w:ascii="Calibri" w:eastAsia="Times New Roman" w:hAnsi="Calibri"/>
                <w:color w:val="000000"/>
                <w:sz w:val="22"/>
                <w:szCs w:val="22"/>
              </w:rPr>
              <w:lastRenderedPageBreak/>
              <w:t>hidrocentralit Shutinë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115,000,000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Thanë, Mollas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1,042,888,000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Ujanik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134,550,000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Vërtop</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283,950,430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mirëmbajtja e hidrocentralit Vlushë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1,884,040,000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i hidrocentraleve Gur Shpat1, Gur Shpat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176,738,773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i hidrocentraleve Sotirë, Sotirë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144,554,509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i hidrocentralit Mollaj</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79,700,000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mirëmbajtja dhe transferimi i hidrocentraleve Lenie, Shalës, Strelcë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354,282,240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mirëmbajtja dhe transferimi i hidrocentraleve të kaskadës së lumit Dardhë.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907,956,000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mirëmbajtja dhe transferimi i hidrocentralit Lena 1, Lena 2, Lena 2-A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311,332,059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mirëmbajtja dhe transferimi i hidrocentralit Picar 1</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35,455,750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mirëmbajtja dhe transferimi i hidrocentralit Qafëzezë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51,955,070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Ndërtimi operimi mirëmbajtja dhe </w:t>
            </w:r>
            <w:r w:rsidRPr="0057227D">
              <w:rPr>
                <w:rFonts w:ascii="Calibri" w:eastAsia="Times New Roman" w:hAnsi="Calibri"/>
                <w:color w:val="000000"/>
                <w:sz w:val="22"/>
                <w:szCs w:val="22"/>
              </w:rPr>
              <w:lastRenderedPageBreak/>
              <w:t>transferimi i hidrocentralit Verbë - Selcë.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315,570,000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mirëmbajtja dhe transferitm te hidrocentraleve Murdhar 1 dhe Murdhar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501,411,750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transferimi i hidrocentralit Fterë dhe Fterë 1.</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650,565,750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transferitmi i hidrocentralit Çarshovë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83,500,000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transferitmi i hidrocentralit Dishnicë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15,300,000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transferitmi i hidrocentralit Faqekuq 1 dhe 2</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587,975,273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transferitmi i hidrocentralit Lubonjë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39,000,000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 operimi dhe transferitmi i hidrocentralit Tervol</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325,800,167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Ndërtimin, operimin dhe transferimin e Hidrocentraleve Kaskada e Luses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743,776,400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Ndërtimin, operimin dhe transferimin e hidrocentraleve VRANISHT, STROPAN, GRAPSH-ZICISHT dhe HOCISHT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92,548,781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Ndërtimin, pronësinë, shfrytëzimin, mirëmbajtien dhe transferimin e Hidrocentralit të ri në Ashta</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19,520,000,000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xml:space="preserve">Për ndertimin, operim dhe transferim të Hidrocentraleve </w:t>
            </w:r>
            <w:r w:rsidRPr="0057227D">
              <w:rPr>
                <w:rFonts w:ascii="Calibri" w:eastAsia="Times New Roman" w:hAnsi="Calibri"/>
                <w:color w:val="000000"/>
                <w:sz w:val="22"/>
                <w:szCs w:val="22"/>
              </w:rPr>
              <w:lastRenderedPageBreak/>
              <w:t>Veleshica 1, 2, 3, 4, 5, 6 Sllove dhe Bjeshke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lastRenderedPageBreak/>
              <w:t xml:space="preserve">                         3,254,323,134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Për ndërtimin operimin dhe transferimin e Hidrocentralit Peshku</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188,055,946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Rehabilitimi, Operimi dhe Transferimi i Hidrocentralit "Labinot-Mal"</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12,500,000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Rehabilitimin, operimin dhe transferimin e hidrocentralit DOMAJ, Has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12,369,610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mbi lumin Fan I Madh dhe Fan I Vogel ( 5 hec-e: gojan, gjegjan, peshqesh, Ura e fanit, fangu), rrethi Mat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13,600,000,000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Hidrocentralet mbi perroin</w:t>
            </w:r>
            <w:r w:rsidRPr="0057227D">
              <w:rPr>
                <w:rFonts w:ascii="Calibri" w:eastAsia="Times New Roman" w:hAnsi="Calibri"/>
                <w:color w:val="000000"/>
                <w:sz w:val="22"/>
                <w:szCs w:val="22"/>
              </w:rPr>
              <w:br/>
              <w:t>Zalli I Lunikut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1,702,149,000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Hec-et mbi lumin Gostime</w:t>
            </w:r>
            <w:r w:rsidRPr="0057227D">
              <w:rPr>
                <w:rFonts w:ascii="Calibri" w:eastAsia="Times New Roman" w:hAnsi="Calibri"/>
                <w:color w:val="000000"/>
                <w:sz w:val="22"/>
                <w:szCs w:val="22"/>
              </w:rPr>
              <w:br/>
              <w:t>(Egnatia Shushice)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7,806,058,026 </w:t>
            </w:r>
          </w:p>
        </w:tc>
      </w:tr>
      <w:tr w:rsidR="0057227D" w:rsidRPr="0057227D" w:rsidTr="0057227D">
        <w:trPr>
          <w:trHeight w:val="315"/>
        </w:trPr>
        <w:tc>
          <w:tcPr>
            <w:tcW w:w="818" w:type="pct"/>
            <w:tcBorders>
              <w:top w:val="nil"/>
              <w:left w:val="single" w:sz="8"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Ndërtim, operim dhe transferim hidrocentrali Lunik</w:t>
            </w:r>
          </w:p>
        </w:tc>
        <w:tc>
          <w:tcPr>
            <w:tcW w:w="796" w:type="pct"/>
            <w:tcBorders>
              <w:top w:val="nil"/>
              <w:left w:val="nil"/>
              <w:bottom w:val="double" w:sz="6"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786,900,000 </w:t>
            </w:r>
          </w:p>
        </w:tc>
      </w:tr>
      <w:tr w:rsidR="0057227D" w:rsidRPr="0057227D" w:rsidTr="0057227D">
        <w:trPr>
          <w:trHeight w:val="315"/>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Kontrata mbi Baze Tarifore</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Kontrate Sherbimesh</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"Dhënie me Koncesion/Partneritet Publik Privat të Shërbimit të Sistemimit dhe Menaxhimit të Parkimit në Qytetin e Vlorës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Krijimi dhe funksionimi i sistemit të kontrollit të pullave fiskale.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Kryerja e shërbimit të rimorkimit të anijeve, Shërbimi i Sektori i Transportitit, Sektori i Transportitimi i Ekuipazheve të anijeve, Operacionet e ngarkim-shkarkimit.</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   </w:t>
            </w:r>
          </w:p>
        </w:tc>
      </w:tr>
      <w:tr w:rsidR="0057227D" w:rsidRPr="0057227D" w:rsidTr="0057227D">
        <w:trPr>
          <w:trHeight w:val="315"/>
        </w:trPr>
        <w:tc>
          <w:tcPr>
            <w:tcW w:w="818" w:type="pct"/>
            <w:tcBorders>
              <w:top w:val="nil"/>
              <w:left w:val="single" w:sz="8"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Prodhimi dhe shpëndarja e kartave të identitetit dhe pasaportave elektronike.</w:t>
            </w:r>
          </w:p>
        </w:tc>
        <w:tc>
          <w:tcPr>
            <w:tcW w:w="796" w:type="pct"/>
            <w:tcBorders>
              <w:top w:val="nil"/>
              <w:left w:val="nil"/>
              <w:bottom w:val="double" w:sz="6"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   </w:t>
            </w:r>
          </w:p>
        </w:tc>
      </w:tr>
      <w:tr w:rsidR="0057227D" w:rsidRPr="0057227D" w:rsidTr="0057227D">
        <w:trPr>
          <w:trHeight w:val="315"/>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Sektori i Shendetesise</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34,255,592,000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Kontrate Sherbimesh</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34,255,592,000 </w:t>
            </w:r>
          </w:p>
        </w:tc>
      </w:tr>
      <w:tr w:rsidR="0057227D" w:rsidRPr="0057227D" w:rsidTr="0057227D">
        <w:trPr>
          <w:trHeight w:val="9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Ofrimi i setit të personalizuar të instrumenteve kirurgjikale, material mjekësor steril njëpërdorimësh në sallat kirurgjikale, trajtimi i mbetjeve biologjike dhe dezinfektimi i sallave kirurgjikale.</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10,055,472,000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Shërbimi i Hemodializës</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8,706,600,000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Ofrimi i Shërbimit të Kontrollit Bazë (Check-Up)</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6,435,520,000 </w:t>
            </w:r>
          </w:p>
        </w:tc>
      </w:tr>
      <w:tr w:rsidR="0057227D" w:rsidRPr="0057227D" w:rsidTr="0057227D">
        <w:trPr>
          <w:trHeight w:val="315"/>
        </w:trPr>
        <w:tc>
          <w:tcPr>
            <w:tcW w:w="818" w:type="pct"/>
            <w:tcBorders>
              <w:top w:val="nil"/>
              <w:left w:val="single" w:sz="8"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Ofrimi i shërbimeve laboratorike spitalore</w:t>
            </w:r>
          </w:p>
        </w:tc>
        <w:tc>
          <w:tcPr>
            <w:tcW w:w="796" w:type="pct"/>
            <w:tcBorders>
              <w:top w:val="nil"/>
              <w:left w:val="nil"/>
              <w:bottom w:val="double" w:sz="6"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9,058,000,000 </w:t>
            </w:r>
          </w:p>
        </w:tc>
      </w:tr>
      <w:tr w:rsidR="0057227D" w:rsidRPr="0057227D" w:rsidTr="0057227D">
        <w:trPr>
          <w:trHeight w:val="525"/>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Sektori Tatimor dhe Doganor</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                 28,138,744,824 </w:t>
            </w:r>
          </w:p>
        </w:tc>
      </w:tr>
      <w:tr w:rsidR="0057227D" w:rsidRPr="0057227D" w:rsidTr="0057227D">
        <w:trPr>
          <w:trHeight w:val="3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Kontrate Sherbimesh</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28,138,744,824 </w:t>
            </w:r>
          </w:p>
        </w:tc>
      </w:tr>
      <w:tr w:rsidR="0057227D" w:rsidRPr="0057227D" w:rsidTr="0057227D">
        <w:trPr>
          <w:trHeight w:val="600"/>
        </w:trPr>
        <w:tc>
          <w:tcPr>
            <w:tcW w:w="818" w:type="pct"/>
            <w:tcBorders>
              <w:top w:val="nil"/>
              <w:left w:val="single" w:sz="8"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Financimi, ngritja dhe operimi i shërbimit të skanimit të konteinerve e automjeteve të tjera në Republikën e Shqipërisë.</w:t>
            </w:r>
          </w:p>
        </w:tc>
        <w:tc>
          <w:tcPr>
            <w:tcW w:w="796" w:type="pct"/>
            <w:tcBorders>
              <w:top w:val="nil"/>
              <w:left w:val="nil"/>
              <w:bottom w:val="dotted" w:sz="4"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27,663,364,824 </w:t>
            </w:r>
          </w:p>
        </w:tc>
      </w:tr>
      <w:tr w:rsidR="0057227D" w:rsidRPr="0057227D" w:rsidTr="0057227D">
        <w:trPr>
          <w:trHeight w:val="315"/>
        </w:trPr>
        <w:tc>
          <w:tcPr>
            <w:tcW w:w="818" w:type="pct"/>
            <w:tcBorders>
              <w:top w:val="nil"/>
              <w:left w:val="single" w:sz="8" w:space="0" w:color="auto"/>
              <w:bottom w:val="single" w:sz="8"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478" w:type="pct"/>
            <w:tcBorders>
              <w:top w:val="nil"/>
              <w:left w:val="nil"/>
              <w:bottom w:val="single" w:sz="8"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nil"/>
              <w:left w:val="nil"/>
              <w:bottom w:val="single" w:sz="8" w:space="0" w:color="auto"/>
              <w:right w:val="single" w:sz="4" w:space="0" w:color="auto"/>
            </w:tcBorders>
            <w:shd w:val="clear" w:color="auto" w:fill="auto"/>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Shërbimi i markimit dhe monitorimit të karburanteve</w:t>
            </w:r>
          </w:p>
        </w:tc>
        <w:tc>
          <w:tcPr>
            <w:tcW w:w="796" w:type="pct"/>
            <w:tcBorders>
              <w:top w:val="nil"/>
              <w:left w:val="nil"/>
              <w:bottom w:val="single" w:sz="8" w:space="0" w:color="auto"/>
              <w:right w:val="single" w:sz="8" w:space="0" w:color="auto"/>
            </w:tcBorders>
            <w:shd w:val="clear" w:color="auto" w:fill="auto"/>
            <w:noWrap/>
            <w:vAlign w:val="center"/>
            <w:hideMark/>
          </w:tcPr>
          <w:p w:rsidR="0057227D" w:rsidRPr="0057227D" w:rsidRDefault="0057227D" w:rsidP="0057227D">
            <w:pPr>
              <w:jc w:val="center"/>
              <w:rPr>
                <w:rFonts w:ascii="Calibri" w:eastAsia="Times New Roman" w:hAnsi="Calibri"/>
                <w:color w:val="000000"/>
                <w:sz w:val="22"/>
                <w:szCs w:val="22"/>
              </w:rPr>
            </w:pPr>
            <w:r w:rsidRPr="0057227D">
              <w:rPr>
                <w:rFonts w:ascii="Calibri" w:eastAsia="Times New Roman" w:hAnsi="Calibri"/>
                <w:color w:val="000000"/>
                <w:sz w:val="22"/>
                <w:szCs w:val="22"/>
              </w:rPr>
              <w:t xml:space="preserve">                             475,380,000 </w:t>
            </w:r>
          </w:p>
        </w:tc>
      </w:tr>
      <w:tr w:rsidR="0057227D" w:rsidRPr="0057227D" w:rsidTr="0057227D">
        <w:trPr>
          <w:trHeight w:val="315"/>
        </w:trPr>
        <w:tc>
          <w:tcPr>
            <w:tcW w:w="818" w:type="pct"/>
            <w:tcBorders>
              <w:top w:val="nil"/>
              <w:left w:val="nil"/>
              <w:bottom w:val="nil"/>
              <w:right w:val="nil"/>
            </w:tcBorders>
            <w:shd w:val="clear" w:color="auto" w:fill="auto"/>
            <w:noWrap/>
            <w:vAlign w:val="bottom"/>
            <w:hideMark/>
          </w:tcPr>
          <w:p w:rsidR="0057227D" w:rsidRPr="0057227D" w:rsidRDefault="0057227D" w:rsidP="0057227D">
            <w:pPr>
              <w:jc w:val="center"/>
              <w:rPr>
                <w:rFonts w:ascii="Calibri" w:eastAsia="Times New Roman" w:hAnsi="Calibri"/>
                <w:color w:val="000000"/>
                <w:sz w:val="22"/>
                <w:szCs w:val="22"/>
              </w:rPr>
            </w:pPr>
          </w:p>
        </w:tc>
        <w:tc>
          <w:tcPr>
            <w:tcW w:w="478" w:type="pct"/>
            <w:tcBorders>
              <w:top w:val="nil"/>
              <w:left w:val="nil"/>
              <w:bottom w:val="nil"/>
              <w:right w:val="nil"/>
            </w:tcBorders>
            <w:shd w:val="clear" w:color="auto" w:fill="auto"/>
            <w:noWrap/>
            <w:vAlign w:val="bottom"/>
            <w:hideMark/>
          </w:tcPr>
          <w:p w:rsidR="0057227D" w:rsidRPr="0057227D" w:rsidRDefault="0057227D" w:rsidP="0057227D">
            <w:pPr>
              <w:rPr>
                <w:rFonts w:eastAsia="Times New Roman"/>
                <w:sz w:val="20"/>
                <w:szCs w:val="20"/>
              </w:rPr>
            </w:pPr>
          </w:p>
        </w:tc>
        <w:tc>
          <w:tcPr>
            <w:tcW w:w="2908" w:type="pct"/>
            <w:tcBorders>
              <w:top w:val="nil"/>
              <w:left w:val="nil"/>
              <w:bottom w:val="nil"/>
              <w:right w:val="nil"/>
            </w:tcBorders>
            <w:shd w:val="clear" w:color="auto" w:fill="auto"/>
            <w:vAlign w:val="bottom"/>
            <w:hideMark/>
          </w:tcPr>
          <w:p w:rsidR="0057227D" w:rsidRPr="0057227D" w:rsidRDefault="0057227D" w:rsidP="0057227D">
            <w:pPr>
              <w:rPr>
                <w:rFonts w:eastAsia="Times New Roman"/>
                <w:sz w:val="20"/>
                <w:szCs w:val="20"/>
              </w:rPr>
            </w:pPr>
          </w:p>
        </w:tc>
        <w:tc>
          <w:tcPr>
            <w:tcW w:w="796" w:type="pct"/>
            <w:tcBorders>
              <w:top w:val="nil"/>
              <w:left w:val="nil"/>
              <w:bottom w:val="nil"/>
              <w:right w:val="nil"/>
            </w:tcBorders>
            <w:shd w:val="clear" w:color="auto" w:fill="auto"/>
            <w:noWrap/>
            <w:vAlign w:val="bottom"/>
            <w:hideMark/>
          </w:tcPr>
          <w:p w:rsidR="0057227D" w:rsidRPr="0057227D" w:rsidRDefault="0057227D" w:rsidP="0057227D">
            <w:pPr>
              <w:rPr>
                <w:rFonts w:eastAsia="Times New Roman"/>
                <w:sz w:val="20"/>
                <w:szCs w:val="20"/>
              </w:rPr>
            </w:pPr>
          </w:p>
        </w:tc>
      </w:tr>
      <w:tr w:rsidR="0057227D" w:rsidRPr="0057227D" w:rsidTr="0057227D">
        <w:trPr>
          <w:trHeight w:val="540"/>
        </w:trPr>
        <w:tc>
          <w:tcPr>
            <w:tcW w:w="818" w:type="pct"/>
            <w:tcBorders>
              <w:top w:val="single" w:sz="12" w:space="0" w:color="auto"/>
              <w:left w:val="single" w:sz="12" w:space="0" w:color="auto"/>
              <w:bottom w:val="nil"/>
              <w:right w:val="single" w:sz="4" w:space="0" w:color="auto"/>
            </w:tcBorders>
            <w:shd w:val="clear" w:color="000000" w:fill="FCD5B4"/>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lastRenderedPageBreak/>
              <w:t>Kontrata te Parashikuara per v.2018</w:t>
            </w:r>
          </w:p>
        </w:tc>
        <w:tc>
          <w:tcPr>
            <w:tcW w:w="478" w:type="pct"/>
            <w:tcBorders>
              <w:top w:val="single" w:sz="12" w:space="0" w:color="auto"/>
              <w:left w:val="nil"/>
              <w:bottom w:val="nil"/>
              <w:right w:val="single" w:sz="4" w:space="0" w:color="auto"/>
            </w:tcBorders>
            <w:shd w:val="clear" w:color="000000" w:fill="FCD5B4"/>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single" w:sz="12" w:space="0" w:color="auto"/>
              <w:left w:val="nil"/>
              <w:bottom w:val="nil"/>
              <w:right w:val="single" w:sz="4" w:space="0" w:color="auto"/>
            </w:tcBorders>
            <w:shd w:val="clear" w:color="000000" w:fill="FCD5B4"/>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single" w:sz="12" w:space="0" w:color="auto"/>
              <w:left w:val="nil"/>
              <w:bottom w:val="single" w:sz="12" w:space="0" w:color="auto"/>
              <w:right w:val="single" w:sz="12" w:space="0" w:color="auto"/>
            </w:tcBorders>
            <w:shd w:val="clear" w:color="000000" w:fill="FCD5B4"/>
            <w:noWrap/>
            <w:vAlign w:val="center"/>
            <w:hideMark/>
          </w:tcPr>
          <w:p w:rsidR="0057227D" w:rsidRPr="0057227D" w:rsidRDefault="0057227D" w:rsidP="0057227D">
            <w:pPr>
              <w:jc w:val="center"/>
              <w:rPr>
                <w:rFonts w:ascii="Arial" w:eastAsia="Times New Roman" w:hAnsi="Arial" w:cs="Arial"/>
                <w:b/>
                <w:bCs/>
                <w:color w:val="C00000"/>
              </w:rPr>
            </w:pPr>
            <w:r w:rsidRPr="0057227D">
              <w:rPr>
                <w:rFonts w:ascii="Arial" w:eastAsia="Times New Roman" w:hAnsi="Arial" w:cs="Arial"/>
                <w:b/>
                <w:bCs/>
                <w:color w:val="C00000"/>
              </w:rPr>
              <w:t xml:space="preserve">         156,717,120,000 </w:t>
            </w:r>
          </w:p>
        </w:tc>
      </w:tr>
      <w:tr w:rsidR="0057227D" w:rsidRPr="0057227D" w:rsidTr="0057227D">
        <w:trPr>
          <w:trHeight w:val="315"/>
        </w:trPr>
        <w:tc>
          <w:tcPr>
            <w:tcW w:w="818" w:type="pct"/>
            <w:tcBorders>
              <w:top w:val="single" w:sz="12" w:space="0" w:color="auto"/>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Sektori i Arsimit</w:t>
            </w:r>
          </w:p>
        </w:tc>
        <w:tc>
          <w:tcPr>
            <w:tcW w:w="478" w:type="pct"/>
            <w:tcBorders>
              <w:top w:val="single" w:sz="12" w:space="0" w:color="auto"/>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single" w:sz="12" w:space="0" w:color="auto"/>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 </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i/>
                <w:iCs/>
                <w:color w:val="000000"/>
                <w:sz w:val="20"/>
                <w:szCs w:val="20"/>
              </w:rPr>
            </w:pPr>
            <w:r w:rsidRPr="0057227D">
              <w:rPr>
                <w:rFonts w:ascii="Arial" w:eastAsia="Times New Roman" w:hAnsi="Arial" w:cs="Arial"/>
                <w:b/>
                <w:bCs/>
                <w:i/>
                <w:iCs/>
                <w:color w:val="000000"/>
                <w:sz w:val="20"/>
                <w:szCs w:val="20"/>
              </w:rPr>
              <w:t xml:space="preserve">                  6,440,000,000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 </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6,440,000,000 </w:t>
            </w:r>
          </w:p>
        </w:tc>
      </w:tr>
      <w:tr w:rsidR="0057227D" w:rsidRPr="0057227D" w:rsidTr="0057227D">
        <w:trPr>
          <w:trHeight w:val="315"/>
        </w:trPr>
        <w:tc>
          <w:tcPr>
            <w:tcW w:w="818" w:type="pct"/>
            <w:tcBorders>
              <w:top w:val="nil"/>
              <w:left w:val="single" w:sz="12"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i Shkollave ne Arsimin Parauniversitar ne Bashkine e Tiranes</w:t>
            </w:r>
          </w:p>
        </w:tc>
        <w:tc>
          <w:tcPr>
            <w:tcW w:w="796" w:type="pct"/>
            <w:tcBorders>
              <w:top w:val="nil"/>
              <w:left w:val="nil"/>
              <w:bottom w:val="double" w:sz="6"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6,440,000,000 </w:t>
            </w:r>
          </w:p>
        </w:tc>
      </w:tr>
      <w:tr w:rsidR="0057227D" w:rsidRPr="0057227D" w:rsidTr="0057227D">
        <w:trPr>
          <w:trHeight w:val="315"/>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Sektori i Shendetesise</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 </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i/>
                <w:iCs/>
                <w:color w:val="000000"/>
                <w:sz w:val="20"/>
                <w:szCs w:val="20"/>
              </w:rPr>
            </w:pPr>
            <w:r w:rsidRPr="0057227D">
              <w:rPr>
                <w:rFonts w:ascii="Arial" w:eastAsia="Times New Roman" w:hAnsi="Arial" w:cs="Arial"/>
                <w:b/>
                <w:bCs/>
                <w:i/>
                <w:iCs/>
                <w:color w:val="000000"/>
                <w:sz w:val="20"/>
                <w:szCs w:val="20"/>
              </w:rPr>
              <w:t xml:space="preserve">                  9,598,120,000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 </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9,598,120,000 </w:t>
            </w:r>
          </w:p>
        </w:tc>
      </w:tr>
      <w:tr w:rsidR="0057227D" w:rsidRPr="0057227D" w:rsidTr="0057227D">
        <w:trPr>
          <w:trHeight w:val="315"/>
        </w:trPr>
        <w:tc>
          <w:tcPr>
            <w:tcW w:w="818" w:type="pct"/>
            <w:tcBorders>
              <w:top w:val="nil"/>
              <w:left w:val="single" w:sz="12" w:space="0" w:color="auto"/>
              <w:bottom w:val="nil"/>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nil"/>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nil"/>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Spitali Rajonal i Fierit</w:t>
            </w:r>
          </w:p>
        </w:tc>
        <w:tc>
          <w:tcPr>
            <w:tcW w:w="796" w:type="pct"/>
            <w:tcBorders>
              <w:top w:val="nil"/>
              <w:left w:val="nil"/>
              <w:bottom w:val="nil"/>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9,598,120,000 </w:t>
            </w:r>
          </w:p>
        </w:tc>
      </w:tr>
      <w:tr w:rsidR="0057227D" w:rsidRPr="0057227D" w:rsidTr="0057227D">
        <w:trPr>
          <w:trHeight w:val="315"/>
        </w:trPr>
        <w:tc>
          <w:tcPr>
            <w:tcW w:w="818" w:type="pct"/>
            <w:tcBorders>
              <w:top w:val="double" w:sz="6" w:space="0" w:color="auto"/>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Sektori i Transportit</w:t>
            </w:r>
          </w:p>
        </w:tc>
        <w:tc>
          <w:tcPr>
            <w:tcW w:w="478" w:type="pct"/>
            <w:tcBorders>
              <w:top w:val="double" w:sz="6" w:space="0" w:color="auto"/>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double" w:sz="6" w:space="0" w:color="auto"/>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 </w:t>
            </w:r>
          </w:p>
        </w:tc>
        <w:tc>
          <w:tcPr>
            <w:tcW w:w="796" w:type="pct"/>
            <w:tcBorders>
              <w:top w:val="double" w:sz="6" w:space="0" w:color="auto"/>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i/>
                <w:iCs/>
                <w:color w:val="000000"/>
                <w:sz w:val="20"/>
                <w:szCs w:val="20"/>
              </w:rPr>
            </w:pPr>
            <w:r w:rsidRPr="0057227D">
              <w:rPr>
                <w:rFonts w:ascii="Arial" w:eastAsia="Times New Roman" w:hAnsi="Arial" w:cs="Arial"/>
                <w:b/>
                <w:bCs/>
                <w:i/>
                <w:iCs/>
                <w:color w:val="000000"/>
                <w:sz w:val="20"/>
                <w:szCs w:val="20"/>
              </w:rPr>
              <w:t xml:space="preserve">               140,679,000,000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Ndertim, Operim, Transferim</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 </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140,679,000,000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dhe Operimi i Aksit Tirane-Thumane-Vore</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34,307,000,000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dhe Operimi i Rruges Kardhiq - Delvine</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8,652,000,000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dhe Operimi i Rruges Kashar - Rrogozhine</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41,580,000,000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dhe Operimi i Rruges Milot - Balldren</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14,280,000,000 </w:t>
            </w:r>
          </w:p>
        </w:tc>
      </w:tr>
      <w:tr w:rsidR="0057227D" w:rsidRPr="0057227D" w:rsidTr="0057227D">
        <w:trPr>
          <w:trHeight w:val="300"/>
        </w:trPr>
        <w:tc>
          <w:tcPr>
            <w:tcW w:w="818" w:type="pct"/>
            <w:tcBorders>
              <w:top w:val="nil"/>
              <w:left w:val="single" w:sz="12" w:space="0" w:color="auto"/>
              <w:bottom w:val="dotted" w:sz="4"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tted" w:sz="4"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tted" w:sz="4"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dhe Operimi i Rruges Orikum - Himare</w:t>
            </w:r>
          </w:p>
        </w:tc>
        <w:tc>
          <w:tcPr>
            <w:tcW w:w="796" w:type="pct"/>
            <w:tcBorders>
              <w:top w:val="nil"/>
              <w:left w:val="nil"/>
              <w:bottom w:val="dotted" w:sz="4"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17,808,000,000 </w:t>
            </w:r>
          </w:p>
        </w:tc>
      </w:tr>
      <w:tr w:rsidR="0057227D" w:rsidRPr="0057227D" w:rsidTr="0057227D">
        <w:trPr>
          <w:trHeight w:val="315"/>
        </w:trPr>
        <w:tc>
          <w:tcPr>
            <w:tcW w:w="818" w:type="pct"/>
            <w:tcBorders>
              <w:top w:val="nil"/>
              <w:left w:val="single" w:sz="12" w:space="0" w:color="auto"/>
              <w:bottom w:val="double" w:sz="6" w:space="0" w:color="auto"/>
              <w:right w:val="single" w:sz="4" w:space="0" w:color="auto"/>
            </w:tcBorders>
            <w:shd w:val="clear" w:color="auto" w:fill="auto"/>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478" w:type="pct"/>
            <w:tcBorders>
              <w:top w:val="nil"/>
              <w:left w:val="nil"/>
              <w:bottom w:val="double" w:sz="6" w:space="0" w:color="auto"/>
              <w:right w:val="single" w:sz="4" w:space="0" w:color="auto"/>
            </w:tcBorders>
            <w:shd w:val="clear" w:color="auto" w:fill="auto"/>
            <w:noWrap/>
            <w:vAlign w:val="center"/>
            <w:hideMark/>
          </w:tcPr>
          <w:p w:rsidR="0057227D" w:rsidRPr="0057227D" w:rsidRDefault="0057227D" w:rsidP="0057227D">
            <w:pPr>
              <w:jc w:val="center"/>
              <w:rPr>
                <w:rFonts w:ascii="Arial" w:eastAsia="Times New Roman" w:hAnsi="Arial" w:cs="Arial"/>
                <w:b/>
                <w:bCs/>
                <w:color w:val="000000"/>
                <w:sz w:val="20"/>
                <w:szCs w:val="20"/>
              </w:rPr>
            </w:pPr>
            <w:r w:rsidRPr="0057227D">
              <w:rPr>
                <w:rFonts w:ascii="Arial" w:eastAsia="Times New Roman" w:hAnsi="Arial" w:cs="Arial"/>
                <w:b/>
                <w:bCs/>
                <w:color w:val="000000"/>
                <w:sz w:val="20"/>
                <w:szCs w:val="20"/>
              </w:rPr>
              <w:t> </w:t>
            </w:r>
          </w:p>
        </w:tc>
        <w:tc>
          <w:tcPr>
            <w:tcW w:w="2908" w:type="pct"/>
            <w:tcBorders>
              <w:top w:val="nil"/>
              <w:left w:val="nil"/>
              <w:bottom w:val="double" w:sz="6" w:space="0" w:color="auto"/>
              <w:right w:val="single" w:sz="4" w:space="0" w:color="auto"/>
            </w:tcBorders>
            <w:shd w:val="clear" w:color="auto" w:fill="auto"/>
            <w:vAlign w:val="center"/>
            <w:hideMark/>
          </w:tcPr>
          <w:p w:rsidR="0057227D" w:rsidRPr="0057227D" w:rsidRDefault="0057227D" w:rsidP="0057227D">
            <w:pPr>
              <w:rPr>
                <w:rFonts w:ascii="Arial" w:eastAsia="Times New Roman" w:hAnsi="Arial" w:cs="Arial"/>
                <w:color w:val="000000"/>
                <w:sz w:val="20"/>
                <w:szCs w:val="20"/>
              </w:rPr>
            </w:pPr>
            <w:r w:rsidRPr="0057227D">
              <w:rPr>
                <w:rFonts w:ascii="Arial" w:eastAsia="Times New Roman" w:hAnsi="Arial" w:cs="Arial"/>
                <w:color w:val="000000"/>
                <w:sz w:val="20"/>
                <w:szCs w:val="20"/>
              </w:rPr>
              <w:t>Ndertimi dhe Operimi i Rruges se Arbrit</w:t>
            </w:r>
          </w:p>
        </w:tc>
        <w:tc>
          <w:tcPr>
            <w:tcW w:w="796" w:type="pct"/>
            <w:tcBorders>
              <w:top w:val="nil"/>
              <w:left w:val="nil"/>
              <w:bottom w:val="double" w:sz="6" w:space="0" w:color="auto"/>
              <w:right w:val="single" w:sz="12" w:space="0" w:color="auto"/>
            </w:tcBorders>
            <w:shd w:val="clear" w:color="auto" w:fill="auto"/>
            <w:noWrap/>
            <w:vAlign w:val="center"/>
            <w:hideMark/>
          </w:tcPr>
          <w:p w:rsidR="0057227D" w:rsidRPr="0057227D" w:rsidRDefault="0057227D" w:rsidP="0057227D">
            <w:pPr>
              <w:jc w:val="center"/>
              <w:rPr>
                <w:rFonts w:ascii="Arial" w:eastAsia="Times New Roman" w:hAnsi="Arial" w:cs="Arial"/>
                <w:color w:val="000000"/>
                <w:sz w:val="20"/>
                <w:szCs w:val="20"/>
              </w:rPr>
            </w:pPr>
            <w:r w:rsidRPr="0057227D">
              <w:rPr>
                <w:rFonts w:ascii="Arial" w:eastAsia="Times New Roman" w:hAnsi="Arial" w:cs="Arial"/>
                <w:color w:val="000000"/>
                <w:sz w:val="20"/>
                <w:szCs w:val="20"/>
              </w:rPr>
              <w:t xml:space="preserve">                 24,052,000,000 </w:t>
            </w:r>
          </w:p>
        </w:tc>
      </w:tr>
      <w:tr w:rsidR="0057227D" w:rsidRPr="0057227D" w:rsidTr="0057227D">
        <w:trPr>
          <w:trHeight w:val="540"/>
        </w:trPr>
        <w:tc>
          <w:tcPr>
            <w:tcW w:w="818" w:type="pct"/>
            <w:tcBorders>
              <w:top w:val="single" w:sz="12" w:space="0" w:color="auto"/>
              <w:left w:val="single" w:sz="12" w:space="0" w:color="auto"/>
              <w:bottom w:val="single" w:sz="12" w:space="0" w:color="auto"/>
              <w:right w:val="single" w:sz="4" w:space="0" w:color="auto"/>
            </w:tcBorders>
            <w:shd w:val="clear" w:color="000000" w:fill="FFFF99"/>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xml:space="preserve">Total Kontrata (Ekzistuese+Parashikim) </w:t>
            </w:r>
          </w:p>
        </w:tc>
        <w:tc>
          <w:tcPr>
            <w:tcW w:w="478" w:type="pct"/>
            <w:tcBorders>
              <w:top w:val="single" w:sz="12" w:space="0" w:color="auto"/>
              <w:left w:val="nil"/>
              <w:bottom w:val="single" w:sz="12" w:space="0" w:color="auto"/>
              <w:right w:val="single" w:sz="4" w:space="0" w:color="auto"/>
            </w:tcBorders>
            <w:shd w:val="clear" w:color="000000" w:fill="FFFF99"/>
            <w:noWrap/>
            <w:vAlign w:val="center"/>
            <w:hideMark/>
          </w:tcPr>
          <w:p w:rsidR="0057227D" w:rsidRPr="0057227D" w:rsidRDefault="0057227D" w:rsidP="0057227D">
            <w:pPr>
              <w:jc w:val="center"/>
              <w:rPr>
                <w:rFonts w:ascii="Arial" w:eastAsia="Times New Roman" w:hAnsi="Arial" w:cs="Arial"/>
                <w:b/>
                <w:bCs/>
                <w:sz w:val="20"/>
                <w:szCs w:val="20"/>
              </w:rPr>
            </w:pPr>
            <w:r w:rsidRPr="0057227D">
              <w:rPr>
                <w:rFonts w:ascii="Arial" w:eastAsia="Times New Roman" w:hAnsi="Arial" w:cs="Arial"/>
                <w:b/>
                <w:bCs/>
                <w:sz w:val="20"/>
                <w:szCs w:val="20"/>
              </w:rPr>
              <w:t> </w:t>
            </w:r>
          </w:p>
        </w:tc>
        <w:tc>
          <w:tcPr>
            <w:tcW w:w="2908" w:type="pct"/>
            <w:tcBorders>
              <w:top w:val="single" w:sz="12" w:space="0" w:color="auto"/>
              <w:left w:val="nil"/>
              <w:bottom w:val="single" w:sz="12" w:space="0" w:color="auto"/>
              <w:right w:val="single" w:sz="4" w:space="0" w:color="auto"/>
            </w:tcBorders>
            <w:shd w:val="clear" w:color="000000" w:fill="FFFF99"/>
            <w:vAlign w:val="center"/>
            <w:hideMark/>
          </w:tcPr>
          <w:p w:rsidR="0057227D" w:rsidRPr="0057227D" w:rsidRDefault="0057227D" w:rsidP="0057227D">
            <w:pPr>
              <w:rPr>
                <w:rFonts w:ascii="Calibri" w:eastAsia="Times New Roman" w:hAnsi="Calibri"/>
                <w:color w:val="000000"/>
                <w:sz w:val="22"/>
                <w:szCs w:val="22"/>
              </w:rPr>
            </w:pPr>
            <w:r w:rsidRPr="0057227D">
              <w:rPr>
                <w:rFonts w:ascii="Calibri" w:eastAsia="Times New Roman" w:hAnsi="Calibri"/>
                <w:color w:val="000000"/>
                <w:sz w:val="22"/>
                <w:szCs w:val="22"/>
              </w:rPr>
              <w:t> </w:t>
            </w:r>
          </w:p>
        </w:tc>
        <w:tc>
          <w:tcPr>
            <w:tcW w:w="796" w:type="pct"/>
            <w:tcBorders>
              <w:top w:val="single" w:sz="12" w:space="0" w:color="auto"/>
              <w:left w:val="nil"/>
              <w:bottom w:val="single" w:sz="12" w:space="0" w:color="auto"/>
              <w:right w:val="single" w:sz="12" w:space="0" w:color="auto"/>
            </w:tcBorders>
            <w:shd w:val="clear" w:color="000000" w:fill="FFFF99"/>
            <w:noWrap/>
            <w:vAlign w:val="center"/>
            <w:hideMark/>
          </w:tcPr>
          <w:p w:rsidR="0057227D" w:rsidRPr="0057227D" w:rsidRDefault="0057227D" w:rsidP="0057227D">
            <w:pPr>
              <w:jc w:val="center"/>
              <w:rPr>
                <w:rFonts w:ascii="Arial" w:eastAsia="Times New Roman" w:hAnsi="Arial" w:cs="Arial"/>
                <w:b/>
                <w:bCs/>
                <w:color w:val="C00000"/>
              </w:rPr>
            </w:pPr>
            <w:r w:rsidRPr="0057227D">
              <w:rPr>
                <w:rFonts w:ascii="Arial" w:eastAsia="Times New Roman" w:hAnsi="Arial" w:cs="Arial"/>
                <w:b/>
                <w:bCs/>
                <w:color w:val="C00000"/>
              </w:rPr>
              <w:t xml:space="preserve">         661,594,257,243 </w:t>
            </w:r>
          </w:p>
        </w:tc>
      </w:tr>
    </w:tbl>
    <w:p w:rsidR="0057579A" w:rsidRPr="00C576E4" w:rsidRDefault="0057579A" w:rsidP="0057579A">
      <w:pPr>
        <w:ind w:right="-46"/>
        <w:jc w:val="both"/>
        <w:rPr>
          <w:lang w:val="sq-AL"/>
        </w:rPr>
      </w:pPr>
    </w:p>
    <w:p w:rsidR="0057579A" w:rsidRPr="00C576E4" w:rsidRDefault="0057579A" w:rsidP="0057579A">
      <w:pPr>
        <w:ind w:right="-46"/>
        <w:jc w:val="both"/>
        <w:rPr>
          <w:lang w:val="sq-AL"/>
        </w:rPr>
      </w:pPr>
    </w:p>
    <w:p w:rsidR="0057579A" w:rsidRPr="00C576E4" w:rsidRDefault="0057579A" w:rsidP="0057579A">
      <w:pPr>
        <w:ind w:right="-46"/>
        <w:jc w:val="both"/>
        <w:rPr>
          <w:lang w:val="sq-AL"/>
        </w:rPr>
      </w:pPr>
    </w:p>
    <w:p w:rsidR="0057579A" w:rsidRPr="00C576E4" w:rsidRDefault="0057579A" w:rsidP="0057579A">
      <w:pPr>
        <w:ind w:right="-46"/>
        <w:jc w:val="both"/>
        <w:rPr>
          <w:lang w:val="sq-AL"/>
        </w:rPr>
      </w:pPr>
    </w:p>
    <w:p w:rsidR="0057579A" w:rsidRPr="00C576E4" w:rsidRDefault="0057579A" w:rsidP="0057579A">
      <w:pPr>
        <w:ind w:right="-46"/>
        <w:jc w:val="center"/>
        <w:rPr>
          <w:b/>
          <w:sz w:val="28"/>
          <w:lang w:val="sq-AL"/>
        </w:rPr>
      </w:pPr>
    </w:p>
    <w:p w:rsidR="0057579A" w:rsidRPr="00D90F32" w:rsidRDefault="0057579A" w:rsidP="0057579A">
      <w:pPr>
        <w:ind w:right="-46"/>
        <w:jc w:val="center"/>
        <w:rPr>
          <w:b/>
          <w:sz w:val="28"/>
          <w:lang w:val="sq-AL"/>
        </w:rPr>
      </w:pPr>
    </w:p>
    <w:sectPr w:rsidR="0057579A" w:rsidRPr="00D90F32" w:rsidSect="009E1577">
      <w:footerReference w:type="even" r:id="rId69"/>
      <w:footerReference w:type="default" r:id="rId70"/>
      <w:footerReference w:type="first" r:id="rId71"/>
      <w:pgSz w:w="11907" w:h="16839" w:code="9"/>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104" w:rsidRDefault="00E81104" w:rsidP="00B0121D">
      <w:r>
        <w:separator/>
      </w:r>
    </w:p>
  </w:endnote>
  <w:endnote w:type="continuationSeparator" w:id="0">
    <w:p w:rsidR="00E81104" w:rsidRDefault="00E81104" w:rsidP="00B0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Noto Sans Symbols">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1B" w:rsidRDefault="008E571B" w:rsidP="00AD09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571B" w:rsidRDefault="008E571B">
    <w:pPr>
      <w:pStyle w:val="Footer"/>
    </w:pPr>
  </w:p>
  <w:p w:rsidR="008E571B" w:rsidRDefault="008E571B"/>
  <w:p w:rsidR="008E571B" w:rsidRDefault="008E571B"/>
  <w:p w:rsidR="008E571B" w:rsidRDefault="008E57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513704"/>
      <w:docPartObj>
        <w:docPartGallery w:val="Page Numbers (Bottom of Page)"/>
        <w:docPartUnique/>
      </w:docPartObj>
    </w:sdtPr>
    <w:sdtEndPr>
      <w:rPr>
        <w:noProof/>
      </w:rPr>
    </w:sdtEndPr>
    <w:sdtContent>
      <w:p w:rsidR="008E571B" w:rsidRDefault="008E571B">
        <w:pPr>
          <w:pStyle w:val="Footer"/>
          <w:jc w:val="center"/>
        </w:pPr>
        <w:r>
          <w:fldChar w:fldCharType="begin"/>
        </w:r>
        <w:r>
          <w:instrText xml:space="preserve"> PAGE   \* MERGEFORMAT </w:instrText>
        </w:r>
        <w:r>
          <w:fldChar w:fldCharType="separate"/>
        </w:r>
        <w:r w:rsidR="00194910">
          <w:rPr>
            <w:noProof/>
          </w:rPr>
          <w:t>38</w:t>
        </w:r>
        <w:r>
          <w:rPr>
            <w:noProof/>
          </w:rPr>
          <w:fldChar w:fldCharType="end"/>
        </w:r>
      </w:p>
    </w:sdtContent>
  </w:sdt>
  <w:p w:rsidR="008E571B" w:rsidRDefault="008E57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832834"/>
      <w:docPartObj>
        <w:docPartGallery w:val="Page Numbers (Bottom of Page)"/>
        <w:docPartUnique/>
      </w:docPartObj>
    </w:sdtPr>
    <w:sdtEndPr>
      <w:rPr>
        <w:noProof/>
      </w:rPr>
    </w:sdtEndPr>
    <w:sdtContent>
      <w:p w:rsidR="008E571B" w:rsidRDefault="008E571B">
        <w:pPr>
          <w:pStyle w:val="Footer"/>
          <w:jc w:val="center"/>
        </w:pPr>
        <w:r>
          <w:fldChar w:fldCharType="begin"/>
        </w:r>
        <w:r>
          <w:instrText xml:space="preserve"> PAGE   \* MERGEFORMAT </w:instrText>
        </w:r>
        <w:r>
          <w:fldChar w:fldCharType="separate"/>
        </w:r>
        <w:r w:rsidR="00194910">
          <w:rPr>
            <w:noProof/>
          </w:rPr>
          <w:t>1</w:t>
        </w:r>
        <w:r>
          <w:rPr>
            <w:noProof/>
          </w:rPr>
          <w:fldChar w:fldCharType="end"/>
        </w:r>
      </w:p>
    </w:sdtContent>
  </w:sdt>
  <w:p w:rsidR="008E571B" w:rsidRDefault="008E5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104" w:rsidRDefault="00E81104" w:rsidP="00B0121D">
      <w:r>
        <w:separator/>
      </w:r>
    </w:p>
  </w:footnote>
  <w:footnote w:type="continuationSeparator" w:id="0">
    <w:p w:rsidR="00E81104" w:rsidRDefault="00E81104" w:rsidP="00B0121D">
      <w:r>
        <w:continuationSeparator/>
      </w:r>
    </w:p>
  </w:footnote>
  <w:footnote w:id="1">
    <w:p w:rsidR="008E571B" w:rsidRDefault="008E571B" w:rsidP="00F53634">
      <w:pPr>
        <w:pStyle w:val="FootnoteText"/>
      </w:pPr>
      <w:r>
        <w:rPr>
          <w:rStyle w:val="FootnoteReference"/>
        </w:rPr>
        <w:footnoteRef/>
      </w:r>
      <w:r>
        <w:t xml:space="preserve"> Niveli 100 përfaqëson mesataren afatgjatë</w:t>
      </w:r>
    </w:p>
  </w:footnote>
  <w:footnote w:id="2">
    <w:p w:rsidR="008E571B" w:rsidRDefault="008E571B" w:rsidP="00891B5C">
      <w:pPr>
        <w:pStyle w:val="FootnoteText"/>
        <w:ind w:left="142" w:hanging="142"/>
      </w:pPr>
      <w:r>
        <w:rPr>
          <w:rStyle w:val="FootnoteReference"/>
        </w:rPr>
        <w:footnoteRef/>
      </w:r>
      <w:r>
        <w:t xml:space="preserve"> Materializimi i kësaj huamarraje do të shoqërohej me ndryshime në raportet midis financimit të brendshëm dhe atij të huaj në varësi të vlerës së huazuar.</w:t>
      </w:r>
    </w:p>
  </w:footnote>
  <w:footnote w:id="3">
    <w:p w:rsidR="008E571B" w:rsidRDefault="008E571B" w:rsidP="004434CB">
      <w:pPr>
        <w:pStyle w:val="FootnoteText"/>
      </w:pPr>
      <w:r>
        <w:rPr>
          <w:rStyle w:val="FootnoteReference"/>
        </w:rPr>
        <w:footnoteRef/>
      </w:r>
      <w:r>
        <w:t xml:space="preserve"> Huaja e garantuar në vlerën 2018 milion Euro, nënshkruar në korrik 2016. </w:t>
      </w:r>
    </w:p>
  </w:footnote>
  <w:footnote w:id="4">
    <w:p w:rsidR="008E571B" w:rsidRPr="00ED2FBE" w:rsidRDefault="008E571B" w:rsidP="0057579A">
      <w:pPr>
        <w:pStyle w:val="FootnoteText"/>
        <w:jc w:val="both"/>
      </w:pPr>
      <w:r w:rsidRPr="00630EB7">
        <w:rPr>
          <w:rStyle w:val="FootnoteReference"/>
        </w:rPr>
        <w:footnoteRef/>
      </w:r>
      <w:r w:rsidRPr="00630EB7">
        <w:t xml:space="preserve"> Referuar ligjit Nr. 130/2016 “Për buxhetin e vitit 2017”.</w:t>
      </w:r>
    </w:p>
  </w:footnote>
  <w:footnote w:id="5">
    <w:p w:rsidR="008E571B" w:rsidRDefault="008E571B" w:rsidP="0057579A">
      <w:pPr>
        <w:pStyle w:val="FootnoteText"/>
        <w:ind w:left="142" w:hanging="142"/>
        <w:jc w:val="both"/>
      </w:pPr>
      <w:r>
        <w:rPr>
          <w:rStyle w:val="FootnoteReference"/>
        </w:rPr>
        <w:footnoteRef/>
      </w:r>
      <w:r>
        <w:t xml:space="preserve"> Vlerësohet se kapaciteti optimal i tregut të brendshëm për të financuar nevojat për hua të Qeverisë është rreth 15-20 miliard Lek (në terma neto)</w:t>
      </w:r>
    </w:p>
  </w:footnote>
  <w:footnote w:id="6">
    <w:p w:rsidR="008E571B" w:rsidRDefault="008E571B" w:rsidP="0057579A">
      <w:pPr>
        <w:pStyle w:val="FootnoteText"/>
      </w:pPr>
      <w:r>
        <w:rPr>
          <w:rStyle w:val="FootnoteReference"/>
        </w:rPr>
        <w:footnoteRef/>
      </w:r>
      <w:r>
        <w:t xml:space="preserve"> PBB mbi bazë vjetore; referuar Draft Kuadrit Makroekonomik 2019-2021, datë 14.10.2017.</w:t>
      </w:r>
    </w:p>
  </w:footnote>
  <w:footnote w:id="7">
    <w:p w:rsidR="008E571B" w:rsidRPr="00E24258" w:rsidRDefault="008E571B" w:rsidP="0057579A">
      <w:pPr>
        <w:pStyle w:val="FootnoteText"/>
        <w:ind w:left="142" w:right="-1" w:hanging="142"/>
        <w:jc w:val="both"/>
      </w:pPr>
      <w:r w:rsidRPr="00F35EDF">
        <w:rPr>
          <w:rStyle w:val="FootnoteReference"/>
        </w:rPr>
        <w:footnoteRef/>
      </w:r>
      <w:r w:rsidRPr="000F126F">
        <w:t xml:space="preserve"> Përfshihen edhe interesat që janë paguar nga buxheti i shtetit për </w:t>
      </w:r>
      <w:r>
        <w:t>huatë</w:t>
      </w:r>
      <w:r w:rsidRPr="000F126F">
        <w:t xml:space="preserve"> për të cilat ësh</w:t>
      </w:r>
      <w:r>
        <w:t xml:space="preserve">të lëshuar </w:t>
      </w:r>
      <w:r w:rsidRPr="000F126F">
        <w:t>Garanci Shtetërore.</w:t>
      </w:r>
    </w:p>
  </w:footnote>
  <w:footnote w:id="8">
    <w:p w:rsidR="008E571B" w:rsidRDefault="008E571B" w:rsidP="0057579A">
      <w:pPr>
        <w:pStyle w:val="FootnoteText"/>
        <w:jc w:val="both"/>
      </w:pPr>
      <w:r>
        <w:rPr>
          <w:rStyle w:val="FootnoteReference"/>
        </w:rPr>
        <w:footnoteRef/>
      </w:r>
      <w:r>
        <w:t xml:space="preserve"> PBB mbi bazë vjetore; referuar Draft Kuadrit Makroekonomik 2019-2021, datë 14.10.2017.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2384"/>
    <w:multiLevelType w:val="hybridMultilevel"/>
    <w:tmpl w:val="75D0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37363"/>
    <w:multiLevelType w:val="hybridMultilevel"/>
    <w:tmpl w:val="DF52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52BF"/>
    <w:multiLevelType w:val="hybridMultilevel"/>
    <w:tmpl w:val="823A6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E12ED"/>
    <w:multiLevelType w:val="hybridMultilevel"/>
    <w:tmpl w:val="5FD290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E5DDE"/>
    <w:multiLevelType w:val="multilevel"/>
    <w:tmpl w:val="8FB822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0AB2744D"/>
    <w:multiLevelType w:val="multilevel"/>
    <w:tmpl w:val="E592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77C61"/>
    <w:multiLevelType w:val="hybridMultilevel"/>
    <w:tmpl w:val="B2DE6982"/>
    <w:lvl w:ilvl="0" w:tplc="04090001">
      <w:start w:val="1"/>
      <w:numFmt w:val="bullet"/>
      <w:lvlText w:val=""/>
      <w:lvlJc w:val="left"/>
      <w:pPr>
        <w:ind w:left="360" w:hanging="360"/>
      </w:pPr>
      <w:rPr>
        <w:rFonts w:ascii="Symbol" w:hAnsi="Symbol" w:hint="default"/>
        <w:color w:val="2121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3F6FE0"/>
    <w:multiLevelType w:val="multilevel"/>
    <w:tmpl w:val="865E509C"/>
    <w:lvl w:ilvl="0">
      <w:start w:val="1"/>
      <w:numFmt w:val="bullet"/>
      <w:pStyle w:val="Bulleted"/>
      <w:lvlText w:val=""/>
      <w:lvlJc w:val="left"/>
      <w:pPr>
        <w:ind w:left="357" w:hanging="357"/>
      </w:pPr>
      <w:rPr>
        <w:rFonts w:ascii="Symbol" w:hAnsi="Symbol" w:hint="default"/>
        <w:lang w:val="sq-AL"/>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cs="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cs="Courier New" w:hint="default"/>
      </w:rPr>
    </w:lvl>
    <w:lvl w:ilvl="8">
      <w:start w:val="1"/>
      <w:numFmt w:val="bullet"/>
      <w:lvlText w:val=""/>
      <w:lvlJc w:val="left"/>
      <w:pPr>
        <w:ind w:left="7064" w:hanging="360"/>
      </w:pPr>
      <w:rPr>
        <w:rFonts w:ascii="Wingdings" w:hAnsi="Wingdings" w:hint="default"/>
      </w:rPr>
    </w:lvl>
  </w:abstractNum>
  <w:abstractNum w:abstractNumId="8">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840FF9"/>
    <w:multiLevelType w:val="hybridMultilevel"/>
    <w:tmpl w:val="4EAEDD6A"/>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DC41B8"/>
    <w:multiLevelType w:val="hybridMultilevel"/>
    <w:tmpl w:val="18DC030A"/>
    <w:lvl w:ilvl="0" w:tplc="56A206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BD053B"/>
    <w:multiLevelType w:val="hybridMultilevel"/>
    <w:tmpl w:val="9C6C4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A3ED7"/>
    <w:multiLevelType w:val="hybridMultilevel"/>
    <w:tmpl w:val="73AC22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67FF1"/>
    <w:multiLevelType w:val="hybridMultilevel"/>
    <w:tmpl w:val="2434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140BE"/>
    <w:multiLevelType w:val="multilevel"/>
    <w:tmpl w:val="D134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091229"/>
    <w:multiLevelType w:val="hybridMultilevel"/>
    <w:tmpl w:val="AC0E33D4"/>
    <w:lvl w:ilvl="0" w:tplc="04090001">
      <w:start w:val="1"/>
      <w:numFmt w:val="bullet"/>
      <w:lvlText w:val=""/>
      <w:lvlJc w:val="left"/>
      <w:pPr>
        <w:tabs>
          <w:tab w:val="num" w:pos="360"/>
        </w:tabs>
        <w:ind w:left="360" w:hanging="360"/>
      </w:pPr>
      <w:rPr>
        <w:rFonts w:ascii="Symbol" w:hAnsi="Symbol" w:hint="default"/>
      </w:rPr>
    </w:lvl>
    <w:lvl w:ilvl="1" w:tplc="B540C704">
      <w:start w:val="624"/>
      <w:numFmt w:val="bullet"/>
      <w:lvlText w:val=""/>
      <w:lvlJc w:val="left"/>
      <w:pPr>
        <w:tabs>
          <w:tab w:val="num" w:pos="1080"/>
        </w:tabs>
        <w:ind w:left="1080" w:hanging="360"/>
      </w:pPr>
      <w:rPr>
        <w:rFonts w:ascii="Symbol" w:hAnsi="Symbol" w:hint="default"/>
      </w:rPr>
    </w:lvl>
    <w:lvl w:ilvl="2" w:tplc="6A247796" w:tentative="1">
      <w:start w:val="1"/>
      <w:numFmt w:val="bullet"/>
      <w:lvlText w:val=""/>
      <w:lvlJc w:val="left"/>
      <w:pPr>
        <w:tabs>
          <w:tab w:val="num" w:pos="1800"/>
        </w:tabs>
        <w:ind w:left="1800" w:hanging="360"/>
      </w:pPr>
      <w:rPr>
        <w:rFonts w:ascii="Symbol" w:hAnsi="Symbol" w:hint="default"/>
      </w:rPr>
    </w:lvl>
    <w:lvl w:ilvl="3" w:tplc="112C1214" w:tentative="1">
      <w:start w:val="1"/>
      <w:numFmt w:val="bullet"/>
      <w:lvlText w:val=""/>
      <w:lvlJc w:val="left"/>
      <w:pPr>
        <w:tabs>
          <w:tab w:val="num" w:pos="2520"/>
        </w:tabs>
        <w:ind w:left="2520" w:hanging="360"/>
      </w:pPr>
      <w:rPr>
        <w:rFonts w:ascii="Symbol" w:hAnsi="Symbol" w:hint="default"/>
      </w:rPr>
    </w:lvl>
    <w:lvl w:ilvl="4" w:tplc="E09697B6" w:tentative="1">
      <w:start w:val="1"/>
      <w:numFmt w:val="bullet"/>
      <w:lvlText w:val=""/>
      <w:lvlJc w:val="left"/>
      <w:pPr>
        <w:tabs>
          <w:tab w:val="num" w:pos="3240"/>
        </w:tabs>
        <w:ind w:left="3240" w:hanging="360"/>
      </w:pPr>
      <w:rPr>
        <w:rFonts w:ascii="Symbol" w:hAnsi="Symbol" w:hint="default"/>
      </w:rPr>
    </w:lvl>
    <w:lvl w:ilvl="5" w:tplc="91FE62C2" w:tentative="1">
      <w:start w:val="1"/>
      <w:numFmt w:val="bullet"/>
      <w:lvlText w:val=""/>
      <w:lvlJc w:val="left"/>
      <w:pPr>
        <w:tabs>
          <w:tab w:val="num" w:pos="3960"/>
        </w:tabs>
        <w:ind w:left="3960" w:hanging="360"/>
      </w:pPr>
      <w:rPr>
        <w:rFonts w:ascii="Symbol" w:hAnsi="Symbol" w:hint="default"/>
      </w:rPr>
    </w:lvl>
    <w:lvl w:ilvl="6" w:tplc="3E36F344" w:tentative="1">
      <w:start w:val="1"/>
      <w:numFmt w:val="bullet"/>
      <w:lvlText w:val=""/>
      <w:lvlJc w:val="left"/>
      <w:pPr>
        <w:tabs>
          <w:tab w:val="num" w:pos="4680"/>
        </w:tabs>
        <w:ind w:left="4680" w:hanging="360"/>
      </w:pPr>
      <w:rPr>
        <w:rFonts w:ascii="Symbol" w:hAnsi="Symbol" w:hint="default"/>
      </w:rPr>
    </w:lvl>
    <w:lvl w:ilvl="7" w:tplc="0A2EC3C4" w:tentative="1">
      <w:start w:val="1"/>
      <w:numFmt w:val="bullet"/>
      <w:lvlText w:val=""/>
      <w:lvlJc w:val="left"/>
      <w:pPr>
        <w:tabs>
          <w:tab w:val="num" w:pos="5400"/>
        </w:tabs>
        <w:ind w:left="5400" w:hanging="360"/>
      </w:pPr>
      <w:rPr>
        <w:rFonts w:ascii="Symbol" w:hAnsi="Symbol" w:hint="default"/>
      </w:rPr>
    </w:lvl>
    <w:lvl w:ilvl="8" w:tplc="E24ADFA4" w:tentative="1">
      <w:start w:val="1"/>
      <w:numFmt w:val="bullet"/>
      <w:lvlText w:val=""/>
      <w:lvlJc w:val="left"/>
      <w:pPr>
        <w:tabs>
          <w:tab w:val="num" w:pos="6120"/>
        </w:tabs>
        <w:ind w:left="6120" w:hanging="360"/>
      </w:pPr>
      <w:rPr>
        <w:rFonts w:ascii="Symbol" w:hAnsi="Symbol" w:hint="default"/>
      </w:rPr>
    </w:lvl>
  </w:abstractNum>
  <w:abstractNum w:abstractNumId="16">
    <w:nsid w:val="128C3E4C"/>
    <w:multiLevelType w:val="multilevel"/>
    <w:tmpl w:val="F10CF31C"/>
    <w:lvl w:ilvl="0">
      <w:start w:val="6"/>
      <w:numFmt w:val="decimal"/>
      <w:lvlText w:val="%1."/>
      <w:lvlJc w:val="left"/>
      <w:pPr>
        <w:ind w:left="450" w:hanging="360"/>
      </w:pPr>
      <w:rPr>
        <w:rFonts w:hint="default"/>
        <w:color w:val="auto"/>
      </w:rPr>
    </w:lvl>
    <w:lvl w:ilvl="1">
      <w:start w:val="1"/>
      <w:numFmt w:val="decimal"/>
      <w:lvlText w:val="%1.%2."/>
      <w:lvlJc w:val="left"/>
      <w:pPr>
        <w:ind w:left="792" w:hanging="432"/>
      </w:pPr>
      <w:rPr>
        <w:rFonts w:hint="default"/>
        <w:b/>
        <w:color w:val="0000FF"/>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3E861CC"/>
    <w:multiLevelType w:val="hybridMultilevel"/>
    <w:tmpl w:val="37F2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3D0516"/>
    <w:multiLevelType w:val="hybridMultilevel"/>
    <w:tmpl w:val="3D0A350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6601E30"/>
    <w:multiLevelType w:val="hybridMultilevel"/>
    <w:tmpl w:val="80BC31FC"/>
    <w:lvl w:ilvl="0" w:tplc="AC0A855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C754CC"/>
    <w:multiLevelType w:val="multilevel"/>
    <w:tmpl w:val="C46CE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7EA17F0"/>
    <w:multiLevelType w:val="hybridMultilevel"/>
    <w:tmpl w:val="20E20AC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92559"/>
    <w:multiLevelType w:val="hybridMultilevel"/>
    <w:tmpl w:val="F3DA81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BEB321E"/>
    <w:multiLevelType w:val="hybridMultilevel"/>
    <w:tmpl w:val="DFC2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2E21FF"/>
    <w:multiLevelType w:val="multilevel"/>
    <w:tmpl w:val="CFB4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816175"/>
    <w:multiLevelType w:val="hybridMultilevel"/>
    <w:tmpl w:val="1212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187B24"/>
    <w:multiLevelType w:val="hybridMultilevel"/>
    <w:tmpl w:val="C5F4B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FA0AD7"/>
    <w:multiLevelType w:val="multilevel"/>
    <w:tmpl w:val="16B687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nsid w:val="23BF1D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40E60EA"/>
    <w:multiLevelType w:val="hybridMultilevel"/>
    <w:tmpl w:val="956E4A66"/>
    <w:lvl w:ilvl="0" w:tplc="AC0A855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0657D2"/>
    <w:multiLevelType w:val="multilevel"/>
    <w:tmpl w:val="C958F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278261C0"/>
    <w:multiLevelType w:val="hybridMultilevel"/>
    <w:tmpl w:val="951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C120DA"/>
    <w:multiLevelType w:val="multilevel"/>
    <w:tmpl w:val="11EE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9F37F11"/>
    <w:multiLevelType w:val="hybridMultilevel"/>
    <w:tmpl w:val="2BB2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3D2B2B"/>
    <w:multiLevelType w:val="hybridMultilevel"/>
    <w:tmpl w:val="9B1E5DF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B1D456B"/>
    <w:multiLevelType w:val="hybridMultilevel"/>
    <w:tmpl w:val="B8C2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EE4855"/>
    <w:multiLevelType w:val="multilevel"/>
    <w:tmpl w:val="6404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273714"/>
    <w:multiLevelType w:val="hybridMultilevel"/>
    <w:tmpl w:val="4D181C7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0782C80"/>
    <w:multiLevelType w:val="hybridMultilevel"/>
    <w:tmpl w:val="9C72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7E0712"/>
    <w:multiLevelType w:val="hybridMultilevel"/>
    <w:tmpl w:val="EBA0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16D4D30"/>
    <w:multiLevelType w:val="multilevel"/>
    <w:tmpl w:val="D536F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2C74A43"/>
    <w:multiLevelType w:val="hybridMultilevel"/>
    <w:tmpl w:val="4EB881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33F3052"/>
    <w:multiLevelType w:val="multilevel"/>
    <w:tmpl w:val="D028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35C0531"/>
    <w:multiLevelType w:val="hybridMultilevel"/>
    <w:tmpl w:val="CE3A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AD060E"/>
    <w:multiLevelType w:val="multilevel"/>
    <w:tmpl w:val="0DE0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DF1955"/>
    <w:multiLevelType w:val="multilevel"/>
    <w:tmpl w:val="05EA3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67B410D"/>
    <w:multiLevelType w:val="hybridMultilevel"/>
    <w:tmpl w:val="80B89C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6B203A8"/>
    <w:multiLevelType w:val="multilevel"/>
    <w:tmpl w:val="91E47AC8"/>
    <w:lvl w:ilvl="0">
      <w:start w:val="1"/>
      <w:numFmt w:val="decimal"/>
      <w:lvlText w:val="%1."/>
      <w:lvlJc w:val="left"/>
      <w:pPr>
        <w:ind w:left="450" w:hanging="360"/>
      </w:pPr>
      <w:rPr>
        <w:rFonts w:hint="default"/>
        <w:color w:val="auto"/>
      </w:rPr>
    </w:lvl>
    <w:lvl w:ilvl="1">
      <w:start w:val="1"/>
      <w:numFmt w:val="decimal"/>
      <w:lvlText w:val="%1.%2."/>
      <w:lvlJc w:val="left"/>
      <w:pPr>
        <w:ind w:left="432" w:hanging="432"/>
      </w:pPr>
      <w:rPr>
        <w:rFonts w:hint="default"/>
        <w:b/>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0">
    <w:nsid w:val="3835192C"/>
    <w:multiLevelType w:val="hybridMultilevel"/>
    <w:tmpl w:val="D3FC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936A9E"/>
    <w:multiLevelType w:val="hybridMultilevel"/>
    <w:tmpl w:val="C1C43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B57A9E"/>
    <w:multiLevelType w:val="multilevel"/>
    <w:tmpl w:val="9A52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ACE35BA"/>
    <w:multiLevelType w:val="hybridMultilevel"/>
    <w:tmpl w:val="DF5A0C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AF5022A"/>
    <w:multiLevelType w:val="multilevel"/>
    <w:tmpl w:val="6AD6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B851B96"/>
    <w:multiLevelType w:val="hybridMultilevel"/>
    <w:tmpl w:val="F6AA5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C21001A"/>
    <w:multiLevelType w:val="hybridMultilevel"/>
    <w:tmpl w:val="24344D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4438D7"/>
    <w:multiLevelType w:val="hybridMultilevel"/>
    <w:tmpl w:val="9060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FE7C0A"/>
    <w:multiLevelType w:val="hybridMultilevel"/>
    <w:tmpl w:val="CD8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621F38"/>
    <w:multiLevelType w:val="multilevel"/>
    <w:tmpl w:val="B144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1CF5E05"/>
    <w:multiLevelType w:val="multilevel"/>
    <w:tmpl w:val="489626C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nsid w:val="423B22AF"/>
    <w:multiLevelType w:val="hybridMultilevel"/>
    <w:tmpl w:val="7F94B92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2DBE46C0">
      <w:start w:val="1"/>
      <w:numFmt w:val="bullet"/>
      <w:lvlText w:val="-"/>
      <w:lvlJc w:val="left"/>
      <w:pPr>
        <w:ind w:left="2520" w:hanging="360"/>
      </w:pPr>
      <w:rPr>
        <w:rFonts w:ascii="Garamond" w:eastAsia="Calibri" w:hAnsi="Garamond"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272568F"/>
    <w:multiLevelType w:val="multilevel"/>
    <w:tmpl w:val="EF7A9E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3D510D3"/>
    <w:multiLevelType w:val="hybridMultilevel"/>
    <w:tmpl w:val="BCBA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76336E"/>
    <w:multiLevelType w:val="multilevel"/>
    <w:tmpl w:val="68DA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53F53E3"/>
    <w:multiLevelType w:val="hybridMultilevel"/>
    <w:tmpl w:val="BF48E5E4"/>
    <w:lvl w:ilvl="0" w:tplc="B7F4A01C">
      <w:start w:val="2"/>
      <w:numFmt w:val="bullet"/>
      <w:lvlText w:val="-"/>
      <w:lvlJc w:val="left"/>
      <w:pPr>
        <w:ind w:left="1440" w:hanging="360"/>
      </w:pPr>
      <w:rPr>
        <w:rFonts w:ascii="Times New Roman" w:eastAsia="Times New Roman" w:hAnsi="Times New Roman" w:cs="Times New Roman"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6">
    <w:nsid w:val="45F75FD8"/>
    <w:multiLevelType w:val="hybridMultilevel"/>
    <w:tmpl w:val="61D006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46E6184B"/>
    <w:multiLevelType w:val="hybridMultilevel"/>
    <w:tmpl w:val="A92C9B1C"/>
    <w:lvl w:ilvl="0" w:tplc="CAB04AF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70B2865"/>
    <w:multiLevelType w:val="multilevel"/>
    <w:tmpl w:val="BA1E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95046EA"/>
    <w:multiLevelType w:val="hybridMultilevel"/>
    <w:tmpl w:val="D602B3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nsid w:val="4A950291"/>
    <w:multiLevelType w:val="hybridMultilevel"/>
    <w:tmpl w:val="60DA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DED318C"/>
    <w:multiLevelType w:val="hybridMultilevel"/>
    <w:tmpl w:val="24123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2">
    <w:nsid w:val="4E0F5869"/>
    <w:multiLevelType w:val="hybridMultilevel"/>
    <w:tmpl w:val="FDDEB7D0"/>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73">
    <w:nsid w:val="4F0C3CA5"/>
    <w:multiLevelType w:val="hybridMultilevel"/>
    <w:tmpl w:val="A920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792164"/>
    <w:multiLevelType w:val="hybridMultilevel"/>
    <w:tmpl w:val="6BA65B12"/>
    <w:lvl w:ilvl="0" w:tplc="AC0A855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EB40C8"/>
    <w:multiLevelType w:val="hybridMultilevel"/>
    <w:tmpl w:val="0BB801FC"/>
    <w:lvl w:ilvl="0" w:tplc="AC0A855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1376676"/>
    <w:multiLevelType w:val="hybridMultilevel"/>
    <w:tmpl w:val="048E0466"/>
    <w:lvl w:ilvl="0" w:tplc="EF08A168">
      <w:start w:val="1"/>
      <w:numFmt w:val="bullet"/>
      <w:lvlText w:val="-"/>
      <w:lvlJc w:val="left"/>
      <w:pPr>
        <w:ind w:left="720" w:hanging="360"/>
      </w:pPr>
      <w:rPr>
        <w:rFonts w:ascii="Garamond" w:eastAsia="Calibri" w:hAnsi="Garamond" w:cs="Verdana" w:hint="default"/>
      </w:rPr>
    </w:lvl>
    <w:lvl w:ilvl="1" w:tplc="611A910C">
      <w:numFmt w:val="bullet"/>
      <w:lvlText w:val="-"/>
      <w:lvlJc w:val="left"/>
      <w:pPr>
        <w:ind w:left="1440" w:hanging="360"/>
      </w:pPr>
      <w:rPr>
        <w:rFonts w:ascii="Times New Roman" w:eastAsia="Calibri" w:hAnsi="Times New Roman" w:cs="Times New Roman" w:hint="default"/>
      </w:rPr>
    </w:lvl>
    <w:lvl w:ilvl="2" w:tplc="611A910C">
      <w:numFmt w:val="bullet"/>
      <w:lvlText w:val="-"/>
      <w:lvlJc w:val="left"/>
      <w:pPr>
        <w:ind w:left="2160" w:hanging="360"/>
      </w:pPr>
      <w:rPr>
        <w:rFonts w:ascii="Times New Roman" w:eastAsia="Calibri" w:hAnsi="Times New Roman" w:cs="Times New Roman"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7">
    <w:nsid w:val="51950065"/>
    <w:multiLevelType w:val="hybridMultilevel"/>
    <w:tmpl w:val="B848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F278C7"/>
    <w:multiLevelType w:val="hybridMultilevel"/>
    <w:tmpl w:val="7310B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E962E1"/>
    <w:multiLevelType w:val="multilevel"/>
    <w:tmpl w:val="60E8F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54050415"/>
    <w:multiLevelType w:val="hybridMultilevel"/>
    <w:tmpl w:val="AA8C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4255FAF"/>
    <w:multiLevelType w:val="hybridMultilevel"/>
    <w:tmpl w:val="09F8B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45E730A"/>
    <w:multiLevelType w:val="hybridMultilevel"/>
    <w:tmpl w:val="3F8A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4E64F08"/>
    <w:multiLevelType w:val="hybridMultilevel"/>
    <w:tmpl w:val="595EF8F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88102A"/>
    <w:multiLevelType w:val="hybridMultilevel"/>
    <w:tmpl w:val="A26E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1B">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5">
    <w:nsid w:val="575400C2"/>
    <w:multiLevelType w:val="hybridMultilevel"/>
    <w:tmpl w:val="A5A2D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7744117"/>
    <w:multiLevelType w:val="hybridMultilevel"/>
    <w:tmpl w:val="1AE2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8E1CA4"/>
    <w:multiLevelType w:val="hybridMultilevel"/>
    <w:tmpl w:val="0E50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184FD4"/>
    <w:multiLevelType w:val="hybridMultilevel"/>
    <w:tmpl w:val="5E22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8E4C8C"/>
    <w:multiLevelType w:val="multilevel"/>
    <w:tmpl w:val="D86C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DDD2CA1"/>
    <w:multiLevelType w:val="hybridMultilevel"/>
    <w:tmpl w:val="B78E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D60F1B"/>
    <w:multiLevelType w:val="multilevel"/>
    <w:tmpl w:val="ECF87D72"/>
    <w:lvl w:ilvl="0">
      <w:start w:val="3"/>
      <w:numFmt w:val="decimal"/>
      <w:lvlText w:val="%1"/>
      <w:lvlJc w:val="left"/>
      <w:pPr>
        <w:ind w:left="375" w:hanging="375"/>
      </w:pPr>
      <w:rPr>
        <w:rFonts w:hint="default"/>
      </w:rPr>
    </w:lvl>
    <w:lvl w:ilvl="1">
      <w:start w:val="1"/>
      <w:numFmt w:val="none"/>
      <w:lvlText w:val="3.3 "/>
      <w:lvlJc w:val="left"/>
      <w:pPr>
        <w:ind w:left="375" w:hanging="375"/>
      </w:pPr>
      <w:rPr>
        <w:rFonts w:hint="default"/>
        <w:i w:val="0"/>
        <w:color w:val="auto"/>
        <w:sz w:val="28"/>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92">
    <w:nsid w:val="5EF82CFC"/>
    <w:multiLevelType w:val="hybridMultilevel"/>
    <w:tmpl w:val="D26C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4B38C6"/>
    <w:multiLevelType w:val="hybridMultilevel"/>
    <w:tmpl w:val="A7AAB7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2314C89"/>
    <w:multiLevelType w:val="hybridMultilevel"/>
    <w:tmpl w:val="B3DEF4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nsid w:val="62A52E24"/>
    <w:multiLevelType w:val="hybridMultilevel"/>
    <w:tmpl w:val="BA12E7B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96">
    <w:nsid w:val="64B24571"/>
    <w:multiLevelType w:val="multilevel"/>
    <w:tmpl w:val="16B687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nsid w:val="67713472"/>
    <w:multiLevelType w:val="hybridMultilevel"/>
    <w:tmpl w:val="93049EFC"/>
    <w:lvl w:ilvl="0" w:tplc="AC0A855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6715FB"/>
    <w:multiLevelType w:val="hybridMultilevel"/>
    <w:tmpl w:val="C2B29F90"/>
    <w:lvl w:ilvl="0" w:tplc="EF08A168">
      <w:start w:val="1"/>
      <w:numFmt w:val="bullet"/>
      <w:lvlText w:val="-"/>
      <w:lvlJc w:val="left"/>
      <w:pPr>
        <w:ind w:left="720" w:hanging="360"/>
      </w:pPr>
      <w:rPr>
        <w:rFonts w:ascii="Garamond" w:eastAsia="Calibri" w:hAnsi="Garamond" w:cs="Verdana"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9">
    <w:nsid w:val="6A7F5CA4"/>
    <w:multiLevelType w:val="multilevel"/>
    <w:tmpl w:val="944E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AE82780"/>
    <w:multiLevelType w:val="hybridMultilevel"/>
    <w:tmpl w:val="4B96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B7D58E8"/>
    <w:multiLevelType w:val="hybridMultilevel"/>
    <w:tmpl w:val="212C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BD76891"/>
    <w:multiLevelType w:val="hybridMultilevel"/>
    <w:tmpl w:val="F2B0EECC"/>
    <w:lvl w:ilvl="0" w:tplc="13C26E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F600DAA"/>
    <w:multiLevelType w:val="hybridMultilevel"/>
    <w:tmpl w:val="C714FD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6FF61065"/>
    <w:multiLevelType w:val="hybridMultilevel"/>
    <w:tmpl w:val="782A537A"/>
    <w:lvl w:ilvl="0" w:tplc="04090001">
      <w:start w:val="1"/>
      <w:numFmt w:val="bullet"/>
      <w:lvlText w:val=""/>
      <w:lvlJc w:val="left"/>
      <w:pPr>
        <w:ind w:left="720" w:hanging="360"/>
      </w:pPr>
      <w:rPr>
        <w:rFonts w:ascii="Symbol" w:hAnsi="Symbol" w:hint="default"/>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5">
    <w:nsid w:val="709F644B"/>
    <w:multiLevelType w:val="hybridMultilevel"/>
    <w:tmpl w:val="B4B62D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F009A4"/>
    <w:multiLevelType w:val="multilevel"/>
    <w:tmpl w:val="12DC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1441A53"/>
    <w:multiLevelType w:val="hybridMultilevel"/>
    <w:tmpl w:val="4416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307084"/>
    <w:multiLevelType w:val="hybridMultilevel"/>
    <w:tmpl w:val="904C5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9">
    <w:nsid w:val="72D2283C"/>
    <w:multiLevelType w:val="hybridMultilevel"/>
    <w:tmpl w:val="92DA42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0">
    <w:nsid w:val="753D78DE"/>
    <w:multiLevelType w:val="hybridMultilevel"/>
    <w:tmpl w:val="5F86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57F547C"/>
    <w:multiLevelType w:val="multilevel"/>
    <w:tmpl w:val="A5D090DC"/>
    <w:lvl w:ilvl="0">
      <w:start w:val="5"/>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color w:val="0000FF"/>
        <w:sz w:val="24"/>
      </w:rPr>
    </w:lvl>
    <w:lvl w:ilvl="2">
      <w:start w:val="1"/>
      <w:numFmt w:val="decimal"/>
      <w:lvlText w:val="%1.%2.%3."/>
      <w:lvlJc w:val="left"/>
      <w:pPr>
        <w:ind w:left="1134" w:hanging="504"/>
      </w:pPr>
      <w:rPr>
        <w:rFonts w:hint="default"/>
      </w:rPr>
    </w:lvl>
    <w:lvl w:ilvl="3">
      <w:start w:val="1"/>
      <w:numFmt w:val="decimal"/>
      <w:lvlText w:val="%1.%2.%3.%4."/>
      <w:lvlJc w:val="left"/>
      <w:pPr>
        <w:ind w:left="1638" w:hanging="648"/>
      </w:pPr>
      <w:rPr>
        <w:rFonts w:hint="default"/>
      </w:rPr>
    </w:lvl>
    <w:lvl w:ilvl="4">
      <w:start w:val="1"/>
      <w:numFmt w:val="decimal"/>
      <w:lvlText w:val="%1.%2.%3.%4.%5."/>
      <w:lvlJc w:val="left"/>
      <w:pPr>
        <w:ind w:left="2142" w:hanging="792"/>
      </w:pPr>
      <w:rPr>
        <w:rFonts w:hint="default"/>
      </w:rPr>
    </w:lvl>
    <w:lvl w:ilvl="5">
      <w:start w:val="1"/>
      <w:numFmt w:val="decimal"/>
      <w:lvlText w:val="%1.%2.%3.%4.%5.%6."/>
      <w:lvlJc w:val="left"/>
      <w:pPr>
        <w:ind w:left="2646" w:hanging="936"/>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654" w:hanging="1224"/>
      </w:pPr>
      <w:rPr>
        <w:rFonts w:hint="default"/>
      </w:rPr>
    </w:lvl>
    <w:lvl w:ilvl="8">
      <w:start w:val="1"/>
      <w:numFmt w:val="decimal"/>
      <w:lvlText w:val="%1.%2.%3.%4.%5.%6.%7.%8.%9."/>
      <w:lvlJc w:val="left"/>
      <w:pPr>
        <w:ind w:left="4230" w:hanging="1440"/>
      </w:pPr>
      <w:rPr>
        <w:rFonts w:hint="default"/>
      </w:rPr>
    </w:lvl>
  </w:abstractNum>
  <w:abstractNum w:abstractNumId="112">
    <w:nsid w:val="76B41BF4"/>
    <w:multiLevelType w:val="hybridMultilevel"/>
    <w:tmpl w:val="1B3082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77068DD"/>
    <w:multiLevelType w:val="hybridMultilevel"/>
    <w:tmpl w:val="6452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7B34ED0"/>
    <w:multiLevelType w:val="hybridMultilevel"/>
    <w:tmpl w:val="F220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82320B3"/>
    <w:multiLevelType w:val="multilevel"/>
    <w:tmpl w:val="E9A02848"/>
    <w:lvl w:ilvl="0">
      <w:start w:val="7"/>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color w:val="auto"/>
        <w:sz w:val="24"/>
      </w:rPr>
    </w:lvl>
    <w:lvl w:ilvl="2">
      <w:start w:val="1"/>
      <w:numFmt w:val="decimal"/>
      <w:lvlText w:val="%1.%2.%3."/>
      <w:lvlJc w:val="left"/>
      <w:pPr>
        <w:ind w:left="1134" w:hanging="504"/>
      </w:pPr>
      <w:rPr>
        <w:rFonts w:hint="default"/>
      </w:rPr>
    </w:lvl>
    <w:lvl w:ilvl="3">
      <w:start w:val="1"/>
      <w:numFmt w:val="decimal"/>
      <w:lvlText w:val="%1.%2.%3.%4."/>
      <w:lvlJc w:val="left"/>
      <w:pPr>
        <w:ind w:left="1638" w:hanging="648"/>
      </w:pPr>
      <w:rPr>
        <w:rFonts w:hint="default"/>
      </w:rPr>
    </w:lvl>
    <w:lvl w:ilvl="4">
      <w:start w:val="1"/>
      <w:numFmt w:val="decimal"/>
      <w:lvlText w:val="%1.%2.%3.%4.%5."/>
      <w:lvlJc w:val="left"/>
      <w:pPr>
        <w:ind w:left="2142" w:hanging="792"/>
      </w:pPr>
      <w:rPr>
        <w:rFonts w:hint="default"/>
      </w:rPr>
    </w:lvl>
    <w:lvl w:ilvl="5">
      <w:start w:val="1"/>
      <w:numFmt w:val="decimal"/>
      <w:lvlText w:val="%1.%2.%3.%4.%5.%6."/>
      <w:lvlJc w:val="left"/>
      <w:pPr>
        <w:ind w:left="2646" w:hanging="936"/>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654" w:hanging="1224"/>
      </w:pPr>
      <w:rPr>
        <w:rFonts w:hint="default"/>
      </w:rPr>
    </w:lvl>
    <w:lvl w:ilvl="8">
      <w:start w:val="1"/>
      <w:numFmt w:val="decimal"/>
      <w:lvlText w:val="%1.%2.%3.%4.%5.%6.%7.%8.%9."/>
      <w:lvlJc w:val="left"/>
      <w:pPr>
        <w:ind w:left="4230" w:hanging="1440"/>
      </w:pPr>
      <w:rPr>
        <w:rFonts w:hint="default"/>
      </w:rPr>
    </w:lvl>
  </w:abstractNum>
  <w:abstractNum w:abstractNumId="116">
    <w:nsid w:val="782619E7"/>
    <w:multiLevelType w:val="hybridMultilevel"/>
    <w:tmpl w:val="F5766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8436A4E"/>
    <w:multiLevelType w:val="hybridMultilevel"/>
    <w:tmpl w:val="DD92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9CB41B2"/>
    <w:multiLevelType w:val="hybridMultilevel"/>
    <w:tmpl w:val="3C7859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A8925DC"/>
    <w:multiLevelType w:val="multilevel"/>
    <w:tmpl w:val="2522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7B442571"/>
    <w:multiLevelType w:val="hybridMultilevel"/>
    <w:tmpl w:val="559E0AB6"/>
    <w:lvl w:ilvl="0" w:tplc="D7C2E57C">
      <w:start w:val="1"/>
      <w:numFmt w:val="decimal"/>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C4821D2"/>
    <w:multiLevelType w:val="multilevel"/>
    <w:tmpl w:val="E516203E"/>
    <w:lvl w:ilvl="0">
      <w:start w:val="3"/>
      <w:numFmt w:val="decimal"/>
      <w:lvlText w:val="%1"/>
      <w:lvlJc w:val="left"/>
      <w:pPr>
        <w:ind w:left="375" w:hanging="375"/>
      </w:pPr>
      <w:rPr>
        <w:rFonts w:ascii="Times New Roman" w:hAnsi="Times New Roman" w:cs="Times New Roman" w:hint="default"/>
        <w:i w:val="0"/>
      </w:rPr>
    </w:lvl>
    <w:lvl w:ilvl="1">
      <w:start w:val="1"/>
      <w:numFmt w:val="none"/>
      <w:lvlText w:val="3.6 "/>
      <w:lvlJc w:val="left"/>
      <w:pPr>
        <w:ind w:left="375" w:hanging="375"/>
      </w:pPr>
      <w:rPr>
        <w:rFonts w:hint="default"/>
        <w:i w:val="0"/>
        <w:color w:val="auto"/>
        <w:sz w:val="28"/>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22">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48"/>
  </w:num>
  <w:num w:numId="3">
    <w:abstractNumId w:val="72"/>
  </w:num>
  <w:num w:numId="4">
    <w:abstractNumId w:val="81"/>
  </w:num>
  <w:num w:numId="5">
    <w:abstractNumId w:val="91"/>
  </w:num>
  <w:num w:numId="6">
    <w:abstractNumId w:val="109"/>
  </w:num>
  <w:num w:numId="7">
    <w:abstractNumId w:val="42"/>
  </w:num>
  <w:num w:numId="8">
    <w:abstractNumId w:val="115"/>
  </w:num>
  <w:num w:numId="9">
    <w:abstractNumId w:val="105"/>
  </w:num>
  <w:num w:numId="10">
    <w:abstractNumId w:val="18"/>
  </w:num>
  <w:num w:numId="11">
    <w:abstractNumId w:val="110"/>
  </w:num>
  <w:num w:numId="12">
    <w:abstractNumId w:val="15"/>
  </w:num>
  <w:num w:numId="13">
    <w:abstractNumId w:val="87"/>
  </w:num>
  <w:num w:numId="14">
    <w:abstractNumId w:val="111"/>
  </w:num>
  <w:num w:numId="15">
    <w:abstractNumId w:val="16"/>
  </w:num>
  <w:num w:numId="16">
    <w:abstractNumId w:val="31"/>
  </w:num>
  <w:num w:numId="17">
    <w:abstractNumId w:val="39"/>
  </w:num>
  <w:num w:numId="18">
    <w:abstractNumId w:val="101"/>
  </w:num>
  <w:num w:numId="19">
    <w:abstractNumId w:val="77"/>
  </w:num>
  <w:num w:numId="20">
    <w:abstractNumId w:val="60"/>
  </w:num>
  <w:num w:numId="21">
    <w:abstractNumId w:val="86"/>
  </w:num>
  <w:num w:numId="22">
    <w:abstractNumId w:val="34"/>
  </w:num>
  <w:num w:numId="23">
    <w:abstractNumId w:val="107"/>
  </w:num>
  <w:num w:numId="24">
    <w:abstractNumId w:val="95"/>
  </w:num>
  <w:num w:numId="25">
    <w:abstractNumId w:val="76"/>
  </w:num>
  <w:num w:numId="26">
    <w:abstractNumId w:val="26"/>
  </w:num>
  <w:num w:numId="27">
    <w:abstractNumId w:val="98"/>
  </w:num>
  <w:num w:numId="28">
    <w:abstractNumId w:val="118"/>
  </w:num>
  <w:num w:numId="29">
    <w:abstractNumId w:val="38"/>
  </w:num>
  <w:num w:numId="30">
    <w:abstractNumId w:val="121"/>
  </w:num>
  <w:num w:numId="31">
    <w:abstractNumId w:val="102"/>
  </w:num>
  <w:num w:numId="32">
    <w:abstractNumId w:val="94"/>
  </w:num>
  <w:num w:numId="33">
    <w:abstractNumId w:val="61"/>
  </w:num>
  <w:num w:numId="34">
    <w:abstractNumId w:val="21"/>
  </w:num>
  <w:num w:numId="35">
    <w:abstractNumId w:val="10"/>
  </w:num>
  <w:num w:numId="36">
    <w:abstractNumId w:val="97"/>
  </w:num>
  <w:num w:numId="37">
    <w:abstractNumId w:val="75"/>
  </w:num>
  <w:num w:numId="38">
    <w:abstractNumId w:val="29"/>
  </w:num>
  <w:num w:numId="39">
    <w:abstractNumId w:val="74"/>
  </w:num>
  <w:num w:numId="40">
    <w:abstractNumId w:val="19"/>
  </w:num>
  <w:num w:numId="41">
    <w:abstractNumId w:val="104"/>
  </w:num>
  <w:num w:numId="42">
    <w:abstractNumId w:val="7"/>
  </w:num>
  <w:num w:numId="43">
    <w:abstractNumId w:val="65"/>
  </w:num>
  <w:num w:numId="44">
    <w:abstractNumId w:val="55"/>
  </w:num>
  <w:num w:numId="45">
    <w:abstractNumId w:val="66"/>
  </w:num>
  <w:num w:numId="46">
    <w:abstractNumId w:val="99"/>
  </w:num>
  <w:num w:numId="47">
    <w:abstractNumId w:val="54"/>
  </w:num>
  <w:num w:numId="48">
    <w:abstractNumId w:val="45"/>
  </w:num>
  <w:num w:numId="49">
    <w:abstractNumId w:val="24"/>
  </w:num>
  <w:num w:numId="50">
    <w:abstractNumId w:val="106"/>
  </w:num>
  <w:num w:numId="51">
    <w:abstractNumId w:val="14"/>
  </w:num>
  <w:num w:numId="52">
    <w:abstractNumId w:val="43"/>
  </w:num>
  <w:num w:numId="53">
    <w:abstractNumId w:val="68"/>
  </w:num>
  <w:num w:numId="54">
    <w:abstractNumId w:val="62"/>
  </w:num>
  <w:num w:numId="55">
    <w:abstractNumId w:val="59"/>
  </w:num>
  <w:num w:numId="56">
    <w:abstractNumId w:val="64"/>
  </w:num>
  <w:num w:numId="57">
    <w:abstractNumId w:val="5"/>
  </w:num>
  <w:num w:numId="58">
    <w:abstractNumId w:val="52"/>
  </w:num>
  <w:num w:numId="59">
    <w:abstractNumId w:val="89"/>
  </w:num>
  <w:num w:numId="60">
    <w:abstractNumId w:val="4"/>
  </w:num>
  <w:num w:numId="61">
    <w:abstractNumId w:val="37"/>
  </w:num>
  <w:num w:numId="62">
    <w:abstractNumId w:val="28"/>
  </w:num>
  <w:num w:numId="63">
    <w:abstractNumId w:val="69"/>
  </w:num>
  <w:num w:numId="64">
    <w:abstractNumId w:val="120"/>
  </w:num>
  <w:num w:numId="65">
    <w:abstractNumId w:val="3"/>
  </w:num>
  <w:num w:numId="66">
    <w:abstractNumId w:val="116"/>
  </w:num>
  <w:num w:numId="67">
    <w:abstractNumId w:val="8"/>
  </w:num>
  <w:num w:numId="68">
    <w:abstractNumId w:val="56"/>
  </w:num>
  <w:num w:numId="69">
    <w:abstractNumId w:val="85"/>
  </w:num>
  <w:num w:numId="70">
    <w:abstractNumId w:val="36"/>
  </w:num>
  <w:num w:numId="71">
    <w:abstractNumId w:val="23"/>
  </w:num>
  <w:num w:numId="72">
    <w:abstractNumId w:val="35"/>
  </w:num>
  <w:num w:numId="73">
    <w:abstractNumId w:val="73"/>
  </w:num>
  <w:num w:numId="74">
    <w:abstractNumId w:val="13"/>
  </w:num>
  <w:num w:numId="75">
    <w:abstractNumId w:val="88"/>
  </w:num>
  <w:num w:numId="76">
    <w:abstractNumId w:val="44"/>
  </w:num>
  <w:num w:numId="77">
    <w:abstractNumId w:val="92"/>
  </w:num>
  <w:num w:numId="78">
    <w:abstractNumId w:val="70"/>
  </w:num>
  <w:num w:numId="79">
    <w:abstractNumId w:val="50"/>
  </w:num>
  <w:num w:numId="80">
    <w:abstractNumId w:val="83"/>
  </w:num>
  <w:num w:numId="81">
    <w:abstractNumId w:val="122"/>
  </w:num>
  <w:num w:numId="82">
    <w:abstractNumId w:val="17"/>
  </w:num>
  <w:num w:numId="83">
    <w:abstractNumId w:val="117"/>
  </w:num>
  <w:num w:numId="84">
    <w:abstractNumId w:val="11"/>
  </w:num>
  <w:num w:numId="85">
    <w:abstractNumId w:val="1"/>
  </w:num>
  <w:num w:numId="86">
    <w:abstractNumId w:val="90"/>
  </w:num>
  <w:num w:numId="87">
    <w:abstractNumId w:val="114"/>
  </w:num>
  <w:num w:numId="88">
    <w:abstractNumId w:val="63"/>
  </w:num>
  <w:num w:numId="89">
    <w:abstractNumId w:val="82"/>
  </w:num>
  <w:num w:numId="90">
    <w:abstractNumId w:val="78"/>
  </w:num>
  <w:num w:numId="91">
    <w:abstractNumId w:val="2"/>
  </w:num>
  <w:num w:numId="92">
    <w:abstractNumId w:val="71"/>
  </w:num>
  <w:num w:numId="93">
    <w:abstractNumId w:val="84"/>
  </w:num>
  <w:num w:numId="94">
    <w:abstractNumId w:val="12"/>
  </w:num>
  <w:num w:numId="95">
    <w:abstractNumId w:val="113"/>
  </w:num>
  <w:num w:numId="96">
    <w:abstractNumId w:val="6"/>
  </w:num>
  <w:num w:numId="97">
    <w:abstractNumId w:val="108"/>
  </w:num>
  <w:num w:numId="98">
    <w:abstractNumId w:val="49"/>
  </w:num>
  <w:num w:numId="99">
    <w:abstractNumId w:val="80"/>
  </w:num>
  <w:num w:numId="100">
    <w:abstractNumId w:val="40"/>
  </w:num>
  <w:num w:numId="101">
    <w:abstractNumId w:val="93"/>
  </w:num>
  <w:num w:numId="102">
    <w:abstractNumId w:val="25"/>
  </w:num>
  <w:num w:numId="103">
    <w:abstractNumId w:val="79"/>
  </w:num>
  <w:num w:numId="104">
    <w:abstractNumId w:val="58"/>
  </w:num>
  <w:num w:numId="105">
    <w:abstractNumId w:val="30"/>
  </w:num>
  <w:num w:numId="106">
    <w:abstractNumId w:val="46"/>
  </w:num>
  <w:num w:numId="107">
    <w:abstractNumId w:val="41"/>
  </w:num>
  <w:num w:numId="108">
    <w:abstractNumId w:val="20"/>
  </w:num>
  <w:num w:numId="109">
    <w:abstractNumId w:val="33"/>
  </w:num>
  <w:num w:numId="110">
    <w:abstractNumId w:val="119"/>
  </w:num>
  <w:num w:numId="111">
    <w:abstractNumId w:val="53"/>
  </w:num>
  <w:num w:numId="112">
    <w:abstractNumId w:val="103"/>
  </w:num>
  <w:num w:numId="113">
    <w:abstractNumId w:val="67"/>
  </w:num>
  <w:num w:numId="114">
    <w:abstractNumId w:val="9"/>
  </w:num>
  <w:num w:numId="115">
    <w:abstractNumId w:val="51"/>
  </w:num>
  <w:num w:numId="116">
    <w:abstractNumId w:val="22"/>
  </w:num>
  <w:num w:numId="117">
    <w:abstractNumId w:val="0"/>
  </w:num>
  <w:num w:numId="118">
    <w:abstractNumId w:val="57"/>
  </w:num>
  <w:num w:numId="119">
    <w:abstractNumId w:val="100"/>
  </w:num>
  <w:num w:numId="120">
    <w:abstractNumId w:val="112"/>
  </w:num>
  <w:num w:numId="121">
    <w:abstractNumId w:val="32"/>
  </w:num>
  <w:num w:numId="122">
    <w:abstractNumId w:val="27"/>
  </w:num>
  <w:num w:numId="123">
    <w:abstractNumId w:val="9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21D"/>
    <w:rsid w:val="000008DE"/>
    <w:rsid w:val="000152A7"/>
    <w:rsid w:val="00017AD6"/>
    <w:rsid w:val="00021554"/>
    <w:rsid w:val="00022850"/>
    <w:rsid w:val="00027F4A"/>
    <w:rsid w:val="00030F05"/>
    <w:rsid w:val="00045EA6"/>
    <w:rsid w:val="00046BD5"/>
    <w:rsid w:val="00057989"/>
    <w:rsid w:val="00074126"/>
    <w:rsid w:val="0007543A"/>
    <w:rsid w:val="00076CF1"/>
    <w:rsid w:val="000814B0"/>
    <w:rsid w:val="000B23B0"/>
    <w:rsid w:val="000B5FAF"/>
    <w:rsid w:val="000D16B7"/>
    <w:rsid w:val="000D7F46"/>
    <w:rsid w:val="000E7F56"/>
    <w:rsid w:val="0012094F"/>
    <w:rsid w:val="00122326"/>
    <w:rsid w:val="00124101"/>
    <w:rsid w:val="00125CD6"/>
    <w:rsid w:val="00126B37"/>
    <w:rsid w:val="00133E91"/>
    <w:rsid w:val="00134C6A"/>
    <w:rsid w:val="00147AD4"/>
    <w:rsid w:val="00164AE8"/>
    <w:rsid w:val="00167FFC"/>
    <w:rsid w:val="00173FDD"/>
    <w:rsid w:val="00181F5A"/>
    <w:rsid w:val="00186991"/>
    <w:rsid w:val="001916E1"/>
    <w:rsid w:val="00194910"/>
    <w:rsid w:val="0019547F"/>
    <w:rsid w:val="00196D06"/>
    <w:rsid w:val="001A297C"/>
    <w:rsid w:val="001A29D7"/>
    <w:rsid w:val="001B4E03"/>
    <w:rsid w:val="001B4F01"/>
    <w:rsid w:val="001B7576"/>
    <w:rsid w:val="001C13B4"/>
    <w:rsid w:val="001D0435"/>
    <w:rsid w:val="001D419A"/>
    <w:rsid w:val="001E6C03"/>
    <w:rsid w:val="001E6C34"/>
    <w:rsid w:val="001F1FBB"/>
    <w:rsid w:val="002022F5"/>
    <w:rsid w:val="002101A3"/>
    <w:rsid w:val="002121C6"/>
    <w:rsid w:val="002168F6"/>
    <w:rsid w:val="00233E83"/>
    <w:rsid w:val="002371BA"/>
    <w:rsid w:val="0024279B"/>
    <w:rsid w:val="002427B9"/>
    <w:rsid w:val="00244EF3"/>
    <w:rsid w:val="00245DA6"/>
    <w:rsid w:val="00270B0C"/>
    <w:rsid w:val="00271C7A"/>
    <w:rsid w:val="00280F5A"/>
    <w:rsid w:val="00284A2E"/>
    <w:rsid w:val="002A4958"/>
    <w:rsid w:val="002A63A8"/>
    <w:rsid w:val="002B56E1"/>
    <w:rsid w:val="002B6A0D"/>
    <w:rsid w:val="002B7FB8"/>
    <w:rsid w:val="002C5B1B"/>
    <w:rsid w:val="002D40D5"/>
    <w:rsid w:val="002D56C0"/>
    <w:rsid w:val="002D6A5E"/>
    <w:rsid w:val="002F3C19"/>
    <w:rsid w:val="002F7120"/>
    <w:rsid w:val="00304F33"/>
    <w:rsid w:val="00311E8D"/>
    <w:rsid w:val="003159E4"/>
    <w:rsid w:val="00320E62"/>
    <w:rsid w:val="0035226A"/>
    <w:rsid w:val="0035381B"/>
    <w:rsid w:val="00356E5F"/>
    <w:rsid w:val="00375C2D"/>
    <w:rsid w:val="00376E2D"/>
    <w:rsid w:val="00390BCC"/>
    <w:rsid w:val="003A2CC4"/>
    <w:rsid w:val="003A48E3"/>
    <w:rsid w:val="003A5832"/>
    <w:rsid w:val="003C5B4B"/>
    <w:rsid w:val="003D16EE"/>
    <w:rsid w:val="003E1C7F"/>
    <w:rsid w:val="00413851"/>
    <w:rsid w:val="00413E87"/>
    <w:rsid w:val="00425EE9"/>
    <w:rsid w:val="00433829"/>
    <w:rsid w:val="004434CB"/>
    <w:rsid w:val="00453B2E"/>
    <w:rsid w:val="00474505"/>
    <w:rsid w:val="0049018F"/>
    <w:rsid w:val="004A28C7"/>
    <w:rsid w:val="004B7A7F"/>
    <w:rsid w:val="004C19BB"/>
    <w:rsid w:val="004C6134"/>
    <w:rsid w:val="004D57A2"/>
    <w:rsid w:val="004E2232"/>
    <w:rsid w:val="004F1B58"/>
    <w:rsid w:val="005007FD"/>
    <w:rsid w:val="00502530"/>
    <w:rsid w:val="00515426"/>
    <w:rsid w:val="00517E38"/>
    <w:rsid w:val="005218A0"/>
    <w:rsid w:val="005325E6"/>
    <w:rsid w:val="00534AA6"/>
    <w:rsid w:val="00535887"/>
    <w:rsid w:val="005376B9"/>
    <w:rsid w:val="005454EB"/>
    <w:rsid w:val="005459E9"/>
    <w:rsid w:val="00554FC2"/>
    <w:rsid w:val="005554B1"/>
    <w:rsid w:val="0055742A"/>
    <w:rsid w:val="00557CFB"/>
    <w:rsid w:val="0057227D"/>
    <w:rsid w:val="005732F1"/>
    <w:rsid w:val="0057579A"/>
    <w:rsid w:val="005838CF"/>
    <w:rsid w:val="00590DF9"/>
    <w:rsid w:val="005930A7"/>
    <w:rsid w:val="005936B9"/>
    <w:rsid w:val="00596ACC"/>
    <w:rsid w:val="005C5993"/>
    <w:rsid w:val="005C67C1"/>
    <w:rsid w:val="005E2166"/>
    <w:rsid w:val="005E648C"/>
    <w:rsid w:val="005E6980"/>
    <w:rsid w:val="00601624"/>
    <w:rsid w:val="00605030"/>
    <w:rsid w:val="0061383E"/>
    <w:rsid w:val="00616C21"/>
    <w:rsid w:val="00627984"/>
    <w:rsid w:val="00642658"/>
    <w:rsid w:val="00642C87"/>
    <w:rsid w:val="00653DFF"/>
    <w:rsid w:val="006705DE"/>
    <w:rsid w:val="00674145"/>
    <w:rsid w:val="00690A89"/>
    <w:rsid w:val="00694AD5"/>
    <w:rsid w:val="006A31F5"/>
    <w:rsid w:val="006A33D1"/>
    <w:rsid w:val="006B22C2"/>
    <w:rsid w:val="006B779B"/>
    <w:rsid w:val="006C61DF"/>
    <w:rsid w:val="006D51B9"/>
    <w:rsid w:val="006E6716"/>
    <w:rsid w:val="006F4064"/>
    <w:rsid w:val="006F4DDA"/>
    <w:rsid w:val="006F4F32"/>
    <w:rsid w:val="007057C8"/>
    <w:rsid w:val="00706AC6"/>
    <w:rsid w:val="0071695A"/>
    <w:rsid w:val="00740B9B"/>
    <w:rsid w:val="0074286F"/>
    <w:rsid w:val="00751219"/>
    <w:rsid w:val="00756AEE"/>
    <w:rsid w:val="0076343C"/>
    <w:rsid w:val="00763EC1"/>
    <w:rsid w:val="00772F49"/>
    <w:rsid w:val="0079074C"/>
    <w:rsid w:val="007A3DC9"/>
    <w:rsid w:val="007C08B4"/>
    <w:rsid w:val="007C2D89"/>
    <w:rsid w:val="007D2633"/>
    <w:rsid w:val="007E5575"/>
    <w:rsid w:val="007E7316"/>
    <w:rsid w:val="007F0642"/>
    <w:rsid w:val="007F2729"/>
    <w:rsid w:val="007F7376"/>
    <w:rsid w:val="008633CF"/>
    <w:rsid w:val="00864912"/>
    <w:rsid w:val="00873485"/>
    <w:rsid w:val="0087762F"/>
    <w:rsid w:val="00884418"/>
    <w:rsid w:val="00891B5C"/>
    <w:rsid w:val="008A711B"/>
    <w:rsid w:val="008B0FA5"/>
    <w:rsid w:val="008C015D"/>
    <w:rsid w:val="008C4EBE"/>
    <w:rsid w:val="008C5470"/>
    <w:rsid w:val="008E08A8"/>
    <w:rsid w:val="008E571B"/>
    <w:rsid w:val="008F31CB"/>
    <w:rsid w:val="008F3E78"/>
    <w:rsid w:val="008F4700"/>
    <w:rsid w:val="008F7E3C"/>
    <w:rsid w:val="009048CE"/>
    <w:rsid w:val="0091073D"/>
    <w:rsid w:val="00910D26"/>
    <w:rsid w:val="00912447"/>
    <w:rsid w:val="009246F1"/>
    <w:rsid w:val="009314E7"/>
    <w:rsid w:val="0094405F"/>
    <w:rsid w:val="00944D7D"/>
    <w:rsid w:val="00952AD0"/>
    <w:rsid w:val="009538E3"/>
    <w:rsid w:val="00956529"/>
    <w:rsid w:val="00957B42"/>
    <w:rsid w:val="00963524"/>
    <w:rsid w:val="00964881"/>
    <w:rsid w:val="00965EAD"/>
    <w:rsid w:val="0096638B"/>
    <w:rsid w:val="00972D4F"/>
    <w:rsid w:val="00973581"/>
    <w:rsid w:val="009937BE"/>
    <w:rsid w:val="009964EE"/>
    <w:rsid w:val="009A04D9"/>
    <w:rsid w:val="009A3F79"/>
    <w:rsid w:val="009A5BAF"/>
    <w:rsid w:val="009A6792"/>
    <w:rsid w:val="009A68B1"/>
    <w:rsid w:val="009A7124"/>
    <w:rsid w:val="009B5F8F"/>
    <w:rsid w:val="009C2A08"/>
    <w:rsid w:val="009C44DB"/>
    <w:rsid w:val="009C674A"/>
    <w:rsid w:val="009E0E6D"/>
    <w:rsid w:val="009E1577"/>
    <w:rsid w:val="009E3780"/>
    <w:rsid w:val="009E4556"/>
    <w:rsid w:val="009E5531"/>
    <w:rsid w:val="009E6FDF"/>
    <w:rsid w:val="009F08E1"/>
    <w:rsid w:val="00A12053"/>
    <w:rsid w:val="00A21521"/>
    <w:rsid w:val="00A312EB"/>
    <w:rsid w:val="00A40CC2"/>
    <w:rsid w:val="00A44EE9"/>
    <w:rsid w:val="00A554C6"/>
    <w:rsid w:val="00A620B2"/>
    <w:rsid w:val="00A635B4"/>
    <w:rsid w:val="00A66C6F"/>
    <w:rsid w:val="00A66D0D"/>
    <w:rsid w:val="00A67D90"/>
    <w:rsid w:val="00A72B99"/>
    <w:rsid w:val="00A823AF"/>
    <w:rsid w:val="00A84BFC"/>
    <w:rsid w:val="00A86F67"/>
    <w:rsid w:val="00A97579"/>
    <w:rsid w:val="00AA48C0"/>
    <w:rsid w:val="00AA5441"/>
    <w:rsid w:val="00AB477F"/>
    <w:rsid w:val="00AD09A8"/>
    <w:rsid w:val="00AD18D5"/>
    <w:rsid w:val="00AE6B7A"/>
    <w:rsid w:val="00B0121D"/>
    <w:rsid w:val="00B2514A"/>
    <w:rsid w:val="00B37EA9"/>
    <w:rsid w:val="00B60357"/>
    <w:rsid w:val="00B700A3"/>
    <w:rsid w:val="00B80B98"/>
    <w:rsid w:val="00B95F0D"/>
    <w:rsid w:val="00BB1B1C"/>
    <w:rsid w:val="00BB2A22"/>
    <w:rsid w:val="00BC2842"/>
    <w:rsid w:val="00BC2E7F"/>
    <w:rsid w:val="00BC6957"/>
    <w:rsid w:val="00BD2DE1"/>
    <w:rsid w:val="00BD4861"/>
    <w:rsid w:val="00BD6D02"/>
    <w:rsid w:val="00BE4D79"/>
    <w:rsid w:val="00BE5599"/>
    <w:rsid w:val="00BF27DE"/>
    <w:rsid w:val="00BF2B5E"/>
    <w:rsid w:val="00C04EF4"/>
    <w:rsid w:val="00C05F2E"/>
    <w:rsid w:val="00C1265E"/>
    <w:rsid w:val="00C151EB"/>
    <w:rsid w:val="00C179AC"/>
    <w:rsid w:val="00C24613"/>
    <w:rsid w:val="00C2724E"/>
    <w:rsid w:val="00C32E94"/>
    <w:rsid w:val="00C36C18"/>
    <w:rsid w:val="00C428C0"/>
    <w:rsid w:val="00C4747E"/>
    <w:rsid w:val="00C47A2A"/>
    <w:rsid w:val="00C50F05"/>
    <w:rsid w:val="00C60126"/>
    <w:rsid w:val="00C6074D"/>
    <w:rsid w:val="00C610A8"/>
    <w:rsid w:val="00C61801"/>
    <w:rsid w:val="00C64879"/>
    <w:rsid w:val="00C65D3A"/>
    <w:rsid w:val="00C66251"/>
    <w:rsid w:val="00C75272"/>
    <w:rsid w:val="00C768AB"/>
    <w:rsid w:val="00C76F16"/>
    <w:rsid w:val="00C82BE6"/>
    <w:rsid w:val="00C834F3"/>
    <w:rsid w:val="00C91E9D"/>
    <w:rsid w:val="00C969F2"/>
    <w:rsid w:val="00CA0AF1"/>
    <w:rsid w:val="00CA6D1A"/>
    <w:rsid w:val="00CB089C"/>
    <w:rsid w:val="00CB395B"/>
    <w:rsid w:val="00CC4ECE"/>
    <w:rsid w:val="00CD65B8"/>
    <w:rsid w:val="00CE3B96"/>
    <w:rsid w:val="00CF5E6F"/>
    <w:rsid w:val="00D05062"/>
    <w:rsid w:val="00D1521F"/>
    <w:rsid w:val="00D241FC"/>
    <w:rsid w:val="00D246BF"/>
    <w:rsid w:val="00D3477C"/>
    <w:rsid w:val="00D44B54"/>
    <w:rsid w:val="00D45A39"/>
    <w:rsid w:val="00D47BE1"/>
    <w:rsid w:val="00D55E95"/>
    <w:rsid w:val="00D57C59"/>
    <w:rsid w:val="00D61614"/>
    <w:rsid w:val="00D61B5E"/>
    <w:rsid w:val="00D63B53"/>
    <w:rsid w:val="00D71C7A"/>
    <w:rsid w:val="00D73F43"/>
    <w:rsid w:val="00D865F0"/>
    <w:rsid w:val="00D90F32"/>
    <w:rsid w:val="00D94792"/>
    <w:rsid w:val="00DA13A7"/>
    <w:rsid w:val="00DA548F"/>
    <w:rsid w:val="00DB22CA"/>
    <w:rsid w:val="00DB3C9E"/>
    <w:rsid w:val="00DB4652"/>
    <w:rsid w:val="00DB7941"/>
    <w:rsid w:val="00DC1AFC"/>
    <w:rsid w:val="00DC335E"/>
    <w:rsid w:val="00DC458D"/>
    <w:rsid w:val="00DE0D70"/>
    <w:rsid w:val="00DF127A"/>
    <w:rsid w:val="00DF6420"/>
    <w:rsid w:val="00E1102D"/>
    <w:rsid w:val="00E141FA"/>
    <w:rsid w:val="00E2188E"/>
    <w:rsid w:val="00E30120"/>
    <w:rsid w:val="00E31ADC"/>
    <w:rsid w:val="00E42B60"/>
    <w:rsid w:val="00E51CE6"/>
    <w:rsid w:val="00E52923"/>
    <w:rsid w:val="00E5677F"/>
    <w:rsid w:val="00E64C57"/>
    <w:rsid w:val="00E66DDD"/>
    <w:rsid w:val="00E81104"/>
    <w:rsid w:val="00E81F0B"/>
    <w:rsid w:val="00E84AAE"/>
    <w:rsid w:val="00E87A54"/>
    <w:rsid w:val="00E91936"/>
    <w:rsid w:val="00E93619"/>
    <w:rsid w:val="00E95AB9"/>
    <w:rsid w:val="00E95C2B"/>
    <w:rsid w:val="00EA68C2"/>
    <w:rsid w:val="00EA76E9"/>
    <w:rsid w:val="00EB6AFC"/>
    <w:rsid w:val="00EC5471"/>
    <w:rsid w:val="00ED4E84"/>
    <w:rsid w:val="00EE4BB6"/>
    <w:rsid w:val="00EE6C6B"/>
    <w:rsid w:val="00EF6373"/>
    <w:rsid w:val="00F16C95"/>
    <w:rsid w:val="00F221AA"/>
    <w:rsid w:val="00F24711"/>
    <w:rsid w:val="00F26392"/>
    <w:rsid w:val="00F30C0D"/>
    <w:rsid w:val="00F40346"/>
    <w:rsid w:val="00F43050"/>
    <w:rsid w:val="00F53634"/>
    <w:rsid w:val="00F5778D"/>
    <w:rsid w:val="00F60579"/>
    <w:rsid w:val="00F619DB"/>
    <w:rsid w:val="00F67876"/>
    <w:rsid w:val="00F73508"/>
    <w:rsid w:val="00F737C7"/>
    <w:rsid w:val="00F756B3"/>
    <w:rsid w:val="00F77E64"/>
    <w:rsid w:val="00F91E8A"/>
    <w:rsid w:val="00F9549A"/>
    <w:rsid w:val="00FA1622"/>
    <w:rsid w:val="00FA388D"/>
    <w:rsid w:val="00FA59AB"/>
    <w:rsid w:val="00FA6DFE"/>
    <w:rsid w:val="00FB0FD2"/>
    <w:rsid w:val="00FB416C"/>
    <w:rsid w:val="00FB73E2"/>
    <w:rsid w:val="00FC2A6F"/>
    <w:rsid w:val="00FC6327"/>
    <w:rsid w:val="00FD3C33"/>
    <w:rsid w:val="00FD58A4"/>
    <w:rsid w:val="00FE0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4CDDA-93A6-41F8-B47E-67BA99721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21D"/>
    <w:pPr>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uiPriority w:val="9"/>
    <w:qFormat/>
    <w:rsid w:val="00B0121D"/>
    <w:pPr>
      <w:keepNext/>
      <w:tabs>
        <w:tab w:val="center" w:pos="5954"/>
      </w:tabs>
      <w:ind w:right="-1"/>
      <w:jc w:val="right"/>
      <w:outlineLvl w:val="0"/>
    </w:pPr>
    <w:rPr>
      <w:b/>
      <w:caps/>
      <w:lang w:val="it-IT"/>
    </w:rPr>
  </w:style>
  <w:style w:type="paragraph" w:styleId="Heading2">
    <w:name w:val="heading 2"/>
    <w:basedOn w:val="Normal"/>
    <w:next w:val="Normal"/>
    <w:link w:val="Heading2Char"/>
    <w:uiPriority w:val="9"/>
    <w:qFormat/>
    <w:rsid w:val="00B0121D"/>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B0121D"/>
    <w:pPr>
      <w:keepNext/>
      <w:numPr>
        <w:ilvl w:val="2"/>
        <w:numId w:val="1"/>
      </w:numPr>
      <w:suppressAutoHyphens/>
      <w:spacing w:before="240" w:after="60"/>
      <w:outlineLvl w:val="2"/>
    </w:pPr>
    <w:rPr>
      <w:rFonts w:ascii="Arial Narrow" w:hAnsi="Arial Narrow"/>
      <w:b/>
      <w:bCs/>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21D"/>
    <w:rPr>
      <w:rFonts w:ascii="Times New Roman" w:eastAsia="SimSun" w:hAnsi="Times New Roman" w:cs="Times New Roman"/>
      <w:b/>
      <w:caps/>
      <w:sz w:val="24"/>
      <w:szCs w:val="24"/>
      <w:lang w:val="it-IT"/>
    </w:rPr>
  </w:style>
  <w:style w:type="character" w:customStyle="1" w:styleId="Heading2Char">
    <w:name w:val="Heading 2 Char"/>
    <w:basedOn w:val="DefaultParagraphFont"/>
    <w:link w:val="Heading2"/>
    <w:uiPriority w:val="9"/>
    <w:rsid w:val="00B0121D"/>
    <w:rPr>
      <w:rFonts w:ascii="Arial" w:eastAsia="SimSun" w:hAnsi="Arial" w:cs="Times New Roman"/>
      <w:b/>
      <w:bCs/>
      <w:i/>
      <w:iCs/>
      <w:sz w:val="28"/>
      <w:szCs w:val="28"/>
    </w:rPr>
  </w:style>
  <w:style w:type="character" w:customStyle="1" w:styleId="Heading3Char">
    <w:name w:val="Heading 3 Char"/>
    <w:basedOn w:val="DefaultParagraphFont"/>
    <w:link w:val="Heading3"/>
    <w:uiPriority w:val="9"/>
    <w:rsid w:val="00B0121D"/>
    <w:rPr>
      <w:rFonts w:ascii="Arial Narrow" w:eastAsia="SimSun" w:hAnsi="Arial Narrow" w:cs="Times New Roman"/>
      <w:b/>
      <w:bCs/>
      <w:sz w:val="24"/>
      <w:szCs w:val="24"/>
      <w:lang w:val="x-none" w:eastAsia="ar-SA"/>
    </w:rPr>
  </w:style>
  <w:style w:type="paragraph" w:customStyle="1" w:styleId="CharCharChar">
    <w:name w:val="Char Char Char"/>
    <w:basedOn w:val="Normal"/>
    <w:rsid w:val="00B0121D"/>
    <w:pPr>
      <w:spacing w:after="160" w:line="240" w:lineRule="exact"/>
    </w:pPr>
    <w:rPr>
      <w:rFonts w:ascii="Tahoma" w:eastAsia="MS Mincho" w:hAnsi="Tahoma"/>
      <w:sz w:val="20"/>
      <w:szCs w:val="20"/>
    </w:rPr>
  </w:style>
  <w:style w:type="paragraph" w:styleId="ListBullet2">
    <w:name w:val="List Bullet 2"/>
    <w:basedOn w:val="Normal"/>
    <w:autoRedefine/>
    <w:rsid w:val="00B0121D"/>
    <w:pPr>
      <w:tabs>
        <w:tab w:val="left" w:pos="1440"/>
      </w:tabs>
      <w:jc w:val="both"/>
    </w:pPr>
    <w:rPr>
      <w:bCs/>
      <w:lang w:val="sq-AL"/>
    </w:rPr>
  </w:style>
  <w:style w:type="paragraph" w:styleId="BodyText">
    <w:name w:val="Body Text"/>
    <w:basedOn w:val="Normal"/>
    <w:link w:val="BodyTextChar"/>
    <w:uiPriority w:val="99"/>
    <w:rsid w:val="00B0121D"/>
    <w:pPr>
      <w:jc w:val="both"/>
    </w:pPr>
    <w:rPr>
      <w:rFonts w:ascii="Arial" w:hAnsi="Arial"/>
    </w:rPr>
  </w:style>
  <w:style w:type="character" w:customStyle="1" w:styleId="BodyTextChar">
    <w:name w:val="Body Text Char"/>
    <w:basedOn w:val="DefaultParagraphFont"/>
    <w:link w:val="BodyText"/>
    <w:uiPriority w:val="99"/>
    <w:rsid w:val="00B0121D"/>
    <w:rPr>
      <w:rFonts w:ascii="Arial" w:eastAsia="SimSun" w:hAnsi="Arial" w:cs="Times New Roman"/>
      <w:sz w:val="24"/>
      <w:szCs w:val="24"/>
    </w:rPr>
  </w:style>
  <w:style w:type="paragraph" w:styleId="BodyText2">
    <w:name w:val="Body Text 2"/>
    <w:basedOn w:val="Normal"/>
    <w:link w:val="BodyText2Char"/>
    <w:rsid w:val="00B0121D"/>
    <w:pPr>
      <w:jc w:val="both"/>
    </w:pPr>
    <w:rPr>
      <w:rFonts w:ascii="Arial" w:hAnsi="Arial"/>
      <w:b/>
      <w:bCs/>
    </w:rPr>
  </w:style>
  <w:style w:type="character" w:customStyle="1" w:styleId="BodyText2Char">
    <w:name w:val="Body Text 2 Char"/>
    <w:basedOn w:val="DefaultParagraphFont"/>
    <w:link w:val="BodyText2"/>
    <w:rsid w:val="00B0121D"/>
    <w:rPr>
      <w:rFonts w:ascii="Arial" w:eastAsia="SimSun" w:hAnsi="Arial" w:cs="Times New Roman"/>
      <w:b/>
      <w:bCs/>
      <w:sz w:val="24"/>
      <w:szCs w:val="24"/>
    </w:rPr>
  </w:style>
  <w:style w:type="table" w:styleId="TableGrid">
    <w:name w:val="Table Grid"/>
    <w:basedOn w:val="TableNormal"/>
    <w:uiPriority w:val="59"/>
    <w:rsid w:val="00B0121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0121D"/>
    <w:pPr>
      <w:tabs>
        <w:tab w:val="center" w:pos="4320"/>
        <w:tab w:val="right" w:pos="8640"/>
      </w:tabs>
    </w:pPr>
  </w:style>
  <w:style w:type="character" w:customStyle="1" w:styleId="FooterChar">
    <w:name w:val="Footer Char"/>
    <w:basedOn w:val="DefaultParagraphFont"/>
    <w:link w:val="Footer"/>
    <w:uiPriority w:val="99"/>
    <w:rsid w:val="00B0121D"/>
    <w:rPr>
      <w:rFonts w:ascii="Times New Roman" w:eastAsia="SimSun" w:hAnsi="Times New Roman" w:cs="Times New Roman"/>
      <w:sz w:val="24"/>
      <w:szCs w:val="24"/>
    </w:rPr>
  </w:style>
  <w:style w:type="character" w:styleId="PageNumber">
    <w:name w:val="page number"/>
    <w:basedOn w:val="DefaultParagraphFont"/>
    <w:uiPriority w:val="99"/>
    <w:rsid w:val="00B0121D"/>
  </w:style>
  <w:style w:type="paragraph" w:styleId="Header">
    <w:name w:val="header"/>
    <w:basedOn w:val="Normal"/>
    <w:link w:val="HeaderChar"/>
    <w:uiPriority w:val="99"/>
    <w:rsid w:val="00B0121D"/>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0121D"/>
    <w:rPr>
      <w:rFonts w:ascii="Times New Roman" w:eastAsia="SimSun" w:hAnsi="Times New Roman" w:cs="Times New Roman"/>
      <w:sz w:val="24"/>
      <w:szCs w:val="24"/>
      <w:lang w:val="x-none" w:eastAsia="x-none"/>
    </w:rPr>
  </w:style>
  <w:style w:type="paragraph" w:styleId="TOC1">
    <w:name w:val="toc 1"/>
    <w:basedOn w:val="Normal"/>
    <w:next w:val="Normal"/>
    <w:autoRedefine/>
    <w:uiPriority w:val="39"/>
    <w:qFormat/>
    <w:rsid w:val="00F43050"/>
    <w:pPr>
      <w:tabs>
        <w:tab w:val="left" w:pos="0"/>
        <w:tab w:val="right" w:leader="dot" w:pos="10632"/>
      </w:tabs>
      <w:spacing w:before="120" w:after="120" w:line="276" w:lineRule="auto"/>
      <w:ind w:left="426" w:hanging="426"/>
      <w:jc w:val="center"/>
    </w:pPr>
    <w:rPr>
      <w:b/>
      <w:bCs/>
      <w:caps/>
      <w:szCs w:val="20"/>
    </w:rPr>
  </w:style>
  <w:style w:type="character" w:styleId="Hyperlink">
    <w:name w:val="Hyperlink"/>
    <w:uiPriority w:val="99"/>
    <w:rsid w:val="00B0121D"/>
    <w:rPr>
      <w:color w:val="0000FF"/>
      <w:u w:val="single"/>
    </w:rPr>
  </w:style>
  <w:style w:type="paragraph" w:styleId="NormalWeb">
    <w:name w:val="Normal (Web)"/>
    <w:basedOn w:val="Normal"/>
    <w:uiPriority w:val="99"/>
    <w:rsid w:val="00B0121D"/>
    <w:pPr>
      <w:spacing w:before="100" w:beforeAutospacing="1" w:after="100" w:afterAutospacing="1"/>
    </w:pPr>
    <w:rPr>
      <w:rFonts w:eastAsia="Calibri"/>
    </w:rPr>
  </w:style>
  <w:style w:type="paragraph" w:customStyle="1" w:styleId="CharCharChar1">
    <w:name w:val="Char Char Char1"/>
    <w:basedOn w:val="Normal"/>
    <w:rsid w:val="00B0121D"/>
    <w:pPr>
      <w:spacing w:after="160" w:line="240" w:lineRule="exact"/>
    </w:pPr>
    <w:rPr>
      <w:rFonts w:ascii="Tahoma" w:eastAsia="MS Mincho" w:hAnsi="Tahoma"/>
      <w:sz w:val="20"/>
      <w:szCs w:val="20"/>
    </w:rPr>
  </w:style>
  <w:style w:type="paragraph" w:styleId="BodyTextIndent2">
    <w:name w:val="Body Text Indent 2"/>
    <w:basedOn w:val="Normal"/>
    <w:link w:val="BodyTextIndent2Char"/>
    <w:rsid w:val="00B0121D"/>
    <w:pPr>
      <w:spacing w:after="120" w:line="480" w:lineRule="auto"/>
      <w:ind w:left="360"/>
    </w:pPr>
    <w:rPr>
      <w:lang w:val="x-none" w:eastAsia="x-none"/>
    </w:rPr>
  </w:style>
  <w:style w:type="character" w:customStyle="1" w:styleId="BodyTextIndent2Char">
    <w:name w:val="Body Text Indent 2 Char"/>
    <w:basedOn w:val="DefaultParagraphFont"/>
    <w:link w:val="BodyTextIndent2"/>
    <w:rsid w:val="00B0121D"/>
    <w:rPr>
      <w:rFonts w:ascii="Times New Roman" w:eastAsia="SimSun" w:hAnsi="Times New Roman" w:cs="Times New Roman"/>
      <w:sz w:val="24"/>
      <w:szCs w:val="24"/>
      <w:lang w:val="x-none" w:eastAsia="x-none"/>
    </w:rPr>
  </w:style>
  <w:style w:type="paragraph" w:styleId="BodyTextIndent">
    <w:name w:val="Body Text Indent"/>
    <w:basedOn w:val="Normal"/>
    <w:link w:val="BodyTextIndentChar"/>
    <w:rsid w:val="00B0121D"/>
    <w:pPr>
      <w:spacing w:after="120"/>
      <w:ind w:left="360"/>
    </w:pPr>
    <w:rPr>
      <w:rFonts w:eastAsia="Calibri"/>
    </w:rPr>
  </w:style>
  <w:style w:type="character" w:customStyle="1" w:styleId="BodyTextIndentChar">
    <w:name w:val="Body Text Indent Char"/>
    <w:basedOn w:val="DefaultParagraphFont"/>
    <w:link w:val="BodyTextIndent"/>
    <w:rsid w:val="00B0121D"/>
    <w:rPr>
      <w:rFonts w:ascii="Times New Roman" w:eastAsia="Calibri" w:hAnsi="Times New Roman" w:cs="Times New Roman"/>
      <w:sz w:val="24"/>
      <w:szCs w:val="24"/>
    </w:rPr>
  </w:style>
  <w:style w:type="character" w:customStyle="1" w:styleId="MessageHeaderLabel">
    <w:name w:val="Message Header Label"/>
    <w:rsid w:val="00B0121D"/>
    <w:rPr>
      <w:rFonts w:ascii="Arial Black" w:hAnsi="Arial Black"/>
      <w:spacing w:val="-10"/>
      <w:sz w:val="18"/>
    </w:rPr>
  </w:style>
  <w:style w:type="paragraph" w:styleId="Subtitle">
    <w:name w:val="Subtitle"/>
    <w:basedOn w:val="Normal"/>
    <w:link w:val="SubtitleChar"/>
    <w:qFormat/>
    <w:rsid w:val="00B0121D"/>
    <w:pPr>
      <w:jc w:val="center"/>
    </w:pPr>
    <w:rPr>
      <w:b/>
      <w:bCs/>
      <w:lang w:val="it-IT" w:eastAsia="x-none"/>
    </w:rPr>
  </w:style>
  <w:style w:type="character" w:customStyle="1" w:styleId="SubtitleChar">
    <w:name w:val="Subtitle Char"/>
    <w:basedOn w:val="DefaultParagraphFont"/>
    <w:link w:val="Subtitle"/>
    <w:rsid w:val="00B0121D"/>
    <w:rPr>
      <w:rFonts w:ascii="Times New Roman" w:eastAsia="SimSun" w:hAnsi="Times New Roman" w:cs="Times New Roman"/>
      <w:b/>
      <w:bCs/>
      <w:sz w:val="24"/>
      <w:szCs w:val="24"/>
      <w:lang w:val="it-IT" w:eastAsia="x-none"/>
    </w:rPr>
  </w:style>
  <w:style w:type="character" w:styleId="FollowedHyperlink">
    <w:name w:val="FollowedHyperlink"/>
    <w:uiPriority w:val="99"/>
    <w:rsid w:val="00B0121D"/>
    <w:rPr>
      <w:color w:val="800080"/>
      <w:u w:val="single"/>
    </w:rPr>
  </w:style>
  <w:style w:type="paragraph" w:styleId="TOC3">
    <w:name w:val="toc 3"/>
    <w:basedOn w:val="Normal"/>
    <w:next w:val="Normal"/>
    <w:autoRedefine/>
    <w:uiPriority w:val="39"/>
    <w:qFormat/>
    <w:rsid w:val="00B0121D"/>
    <w:pPr>
      <w:ind w:left="480"/>
    </w:pPr>
    <w:rPr>
      <w:i/>
      <w:iCs/>
      <w:sz w:val="20"/>
      <w:szCs w:val="20"/>
    </w:rPr>
  </w:style>
  <w:style w:type="paragraph" w:styleId="TOC2">
    <w:name w:val="toc 2"/>
    <w:basedOn w:val="Normal"/>
    <w:next w:val="Normal"/>
    <w:autoRedefine/>
    <w:uiPriority w:val="39"/>
    <w:qFormat/>
    <w:rsid w:val="00FB73E2"/>
    <w:pPr>
      <w:tabs>
        <w:tab w:val="left" w:pos="720"/>
        <w:tab w:val="right" w:leader="dot" w:pos="10195"/>
      </w:tabs>
    </w:pPr>
    <w:rPr>
      <w:smallCaps/>
      <w:sz w:val="20"/>
      <w:szCs w:val="20"/>
    </w:rPr>
  </w:style>
  <w:style w:type="paragraph" w:styleId="TOC4">
    <w:name w:val="toc 4"/>
    <w:basedOn w:val="Normal"/>
    <w:next w:val="Normal"/>
    <w:autoRedefine/>
    <w:semiHidden/>
    <w:rsid w:val="00B0121D"/>
    <w:pPr>
      <w:ind w:left="720"/>
    </w:pPr>
    <w:rPr>
      <w:sz w:val="18"/>
      <w:szCs w:val="18"/>
    </w:rPr>
  </w:style>
  <w:style w:type="paragraph" w:styleId="TOC5">
    <w:name w:val="toc 5"/>
    <w:basedOn w:val="Normal"/>
    <w:next w:val="Normal"/>
    <w:autoRedefine/>
    <w:semiHidden/>
    <w:rsid w:val="00B0121D"/>
    <w:pPr>
      <w:ind w:left="960"/>
    </w:pPr>
    <w:rPr>
      <w:sz w:val="18"/>
      <w:szCs w:val="18"/>
    </w:rPr>
  </w:style>
  <w:style w:type="paragraph" w:styleId="TOC6">
    <w:name w:val="toc 6"/>
    <w:basedOn w:val="Normal"/>
    <w:next w:val="Normal"/>
    <w:autoRedefine/>
    <w:semiHidden/>
    <w:rsid w:val="00B0121D"/>
    <w:pPr>
      <w:ind w:left="1200"/>
    </w:pPr>
    <w:rPr>
      <w:sz w:val="18"/>
      <w:szCs w:val="18"/>
    </w:rPr>
  </w:style>
  <w:style w:type="paragraph" w:styleId="TOC7">
    <w:name w:val="toc 7"/>
    <w:basedOn w:val="Normal"/>
    <w:next w:val="Normal"/>
    <w:autoRedefine/>
    <w:semiHidden/>
    <w:rsid w:val="00B0121D"/>
    <w:pPr>
      <w:ind w:left="1440"/>
    </w:pPr>
    <w:rPr>
      <w:sz w:val="18"/>
      <w:szCs w:val="18"/>
    </w:rPr>
  </w:style>
  <w:style w:type="paragraph" w:styleId="TOC8">
    <w:name w:val="toc 8"/>
    <w:basedOn w:val="Normal"/>
    <w:next w:val="Normal"/>
    <w:autoRedefine/>
    <w:semiHidden/>
    <w:rsid w:val="00B0121D"/>
    <w:pPr>
      <w:ind w:left="1680"/>
    </w:pPr>
    <w:rPr>
      <w:sz w:val="18"/>
      <w:szCs w:val="18"/>
    </w:rPr>
  </w:style>
  <w:style w:type="paragraph" w:styleId="TOC9">
    <w:name w:val="toc 9"/>
    <w:basedOn w:val="Normal"/>
    <w:next w:val="Normal"/>
    <w:autoRedefine/>
    <w:semiHidden/>
    <w:rsid w:val="00B0121D"/>
    <w:pPr>
      <w:ind w:left="1920"/>
    </w:pPr>
    <w:rPr>
      <w:sz w:val="18"/>
      <w:szCs w:val="18"/>
    </w:rPr>
  </w:style>
  <w:style w:type="paragraph" w:styleId="BalloonText">
    <w:name w:val="Balloon Text"/>
    <w:basedOn w:val="Normal"/>
    <w:link w:val="BalloonTextChar"/>
    <w:uiPriority w:val="99"/>
    <w:rsid w:val="00B0121D"/>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B0121D"/>
    <w:rPr>
      <w:rFonts w:ascii="Tahoma" w:eastAsia="SimSun" w:hAnsi="Tahoma" w:cs="Times New Roman"/>
      <w:sz w:val="16"/>
      <w:szCs w:val="16"/>
      <w:lang w:val="x-none" w:eastAsia="x-none"/>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qFormat/>
    <w:rsid w:val="00B0121D"/>
    <w:pPr>
      <w:ind w:left="720"/>
    </w:pPr>
    <w:rPr>
      <w:rFonts w:eastAsia="Calibri"/>
    </w:rPr>
  </w:style>
  <w:style w:type="table" w:styleId="TableColumns5">
    <w:name w:val="Table Columns 5"/>
    <w:basedOn w:val="TableNormal"/>
    <w:rsid w:val="00B0121D"/>
    <w:pPr>
      <w:spacing w:after="0" w:line="240" w:lineRule="auto"/>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Char Cha,C"/>
    <w:basedOn w:val="Normal"/>
    <w:link w:val="FootnoteTextChar"/>
    <w:uiPriority w:val="99"/>
    <w:rsid w:val="00B0121D"/>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uiPriority w:val="99"/>
    <w:rsid w:val="00B0121D"/>
    <w:rPr>
      <w:rFonts w:ascii="Times New Roman" w:eastAsia="SimSun" w:hAnsi="Times New Roman" w:cs="Times New Roman"/>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rsid w:val="00B0121D"/>
    <w:rPr>
      <w:vertAlign w:val="superscript"/>
    </w:rPr>
  </w:style>
  <w:style w:type="paragraph" w:styleId="TOCHeading">
    <w:name w:val="TOC Heading"/>
    <w:basedOn w:val="Heading1"/>
    <w:next w:val="Normal"/>
    <w:uiPriority w:val="39"/>
    <w:unhideWhenUsed/>
    <w:qFormat/>
    <w:rsid w:val="00B0121D"/>
    <w:pPr>
      <w:keepLines/>
      <w:tabs>
        <w:tab w:val="clear" w:pos="5954"/>
      </w:tabs>
      <w:spacing w:before="480" w:line="276" w:lineRule="auto"/>
      <w:ind w:right="0"/>
      <w:jc w:val="left"/>
      <w:outlineLvl w:val="9"/>
    </w:pPr>
    <w:rPr>
      <w:rFonts w:ascii="Cambria" w:eastAsia="Times New Roman" w:hAnsi="Cambria"/>
      <w:bCs/>
      <w:caps w:val="0"/>
      <w:color w:val="365F91"/>
      <w:sz w:val="28"/>
      <w:szCs w:val="28"/>
      <w:lang w:val="en-US"/>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qFormat/>
    <w:locked/>
    <w:rsid w:val="00B0121D"/>
    <w:rPr>
      <w:rFonts w:ascii="Times New Roman" w:eastAsia="Calibri" w:hAnsi="Times New Roman" w:cs="Times New Roman"/>
      <w:sz w:val="24"/>
      <w:szCs w:val="24"/>
    </w:rPr>
  </w:style>
  <w:style w:type="paragraph" w:customStyle="1" w:styleId="Default">
    <w:name w:val="Default"/>
    <w:basedOn w:val="Normal"/>
    <w:rsid w:val="00B0121D"/>
    <w:pPr>
      <w:autoSpaceDE w:val="0"/>
      <w:autoSpaceDN w:val="0"/>
    </w:pPr>
    <w:rPr>
      <w:rFonts w:eastAsia="Calibri"/>
      <w:color w:val="000000"/>
      <w:lang w:val="sq-AL" w:eastAsia="sq-AL"/>
    </w:rPr>
  </w:style>
  <w:style w:type="character" w:customStyle="1" w:styleId="shorttext">
    <w:name w:val="short_text"/>
    <w:rsid w:val="00B0121D"/>
  </w:style>
  <w:style w:type="character" w:customStyle="1" w:styleId="FooterChar1">
    <w:name w:val="Footer Char1"/>
    <w:uiPriority w:val="99"/>
    <w:rsid w:val="00B0121D"/>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B0121D"/>
    <w:rPr>
      <w:rFonts w:ascii="Consolas" w:eastAsia="Calibri" w:hAnsi="Consolas"/>
      <w:sz w:val="21"/>
      <w:szCs w:val="21"/>
    </w:rPr>
  </w:style>
  <w:style w:type="character" w:customStyle="1" w:styleId="PlainTextChar">
    <w:name w:val="Plain Text Char"/>
    <w:basedOn w:val="DefaultParagraphFont"/>
    <w:link w:val="PlainText"/>
    <w:uiPriority w:val="99"/>
    <w:rsid w:val="00B0121D"/>
    <w:rPr>
      <w:rFonts w:ascii="Consolas" w:eastAsia="Calibri" w:hAnsi="Consolas" w:cs="Times New Roman"/>
      <w:sz w:val="21"/>
      <w:szCs w:val="21"/>
    </w:rPr>
  </w:style>
  <w:style w:type="character" w:styleId="CommentReference">
    <w:name w:val="annotation reference"/>
    <w:uiPriority w:val="99"/>
    <w:rsid w:val="00B0121D"/>
    <w:rPr>
      <w:sz w:val="16"/>
      <w:szCs w:val="16"/>
    </w:rPr>
  </w:style>
  <w:style w:type="paragraph" w:styleId="CommentText">
    <w:name w:val="annotation text"/>
    <w:basedOn w:val="Normal"/>
    <w:link w:val="CommentTextChar"/>
    <w:uiPriority w:val="99"/>
    <w:rsid w:val="00B0121D"/>
    <w:rPr>
      <w:sz w:val="20"/>
      <w:szCs w:val="20"/>
    </w:rPr>
  </w:style>
  <w:style w:type="character" w:customStyle="1" w:styleId="CommentTextChar">
    <w:name w:val="Comment Text Char"/>
    <w:basedOn w:val="DefaultParagraphFont"/>
    <w:link w:val="CommentText"/>
    <w:uiPriority w:val="99"/>
    <w:rsid w:val="00B0121D"/>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B0121D"/>
    <w:rPr>
      <w:b/>
      <w:bCs/>
      <w:lang w:val="x-none" w:eastAsia="x-none"/>
    </w:rPr>
  </w:style>
  <w:style w:type="character" w:customStyle="1" w:styleId="CommentSubjectChar">
    <w:name w:val="Comment Subject Char"/>
    <w:basedOn w:val="CommentTextChar"/>
    <w:link w:val="CommentSubject"/>
    <w:uiPriority w:val="99"/>
    <w:rsid w:val="00B0121D"/>
    <w:rPr>
      <w:rFonts w:ascii="Times New Roman" w:eastAsia="SimSun" w:hAnsi="Times New Roman" w:cs="Times New Roman"/>
      <w:b/>
      <w:bCs/>
      <w:sz w:val="20"/>
      <w:szCs w:val="20"/>
      <w:lang w:val="x-none" w:eastAsia="x-none"/>
    </w:rPr>
  </w:style>
  <w:style w:type="paragraph" w:customStyle="1" w:styleId="LightGrid-Accent31">
    <w:name w:val="Light Grid - Accent 31"/>
    <w:basedOn w:val="Normal"/>
    <w:uiPriority w:val="34"/>
    <w:qFormat/>
    <w:rsid w:val="00B0121D"/>
    <w:pPr>
      <w:spacing w:after="200" w:line="276" w:lineRule="auto"/>
      <w:ind w:left="720"/>
      <w:contextualSpacing/>
      <w:jc w:val="both"/>
    </w:pPr>
    <w:rPr>
      <w:rFonts w:ascii="Calibri" w:eastAsia="MS PGothic" w:hAnsi="Calibri"/>
      <w:sz w:val="22"/>
      <w:szCs w:val="22"/>
      <w:lang w:val="en-GB" w:eastAsia="zh-CN"/>
    </w:rPr>
  </w:style>
  <w:style w:type="paragraph" w:styleId="NoSpacing">
    <w:name w:val="No Spacing"/>
    <w:link w:val="NoSpacingChar"/>
    <w:uiPriority w:val="1"/>
    <w:qFormat/>
    <w:rsid w:val="00B0121D"/>
    <w:pPr>
      <w:spacing w:after="0" w:line="240" w:lineRule="auto"/>
    </w:pPr>
    <w:rPr>
      <w:rFonts w:ascii="Calibri" w:eastAsia="SimSun" w:hAnsi="Calibri" w:cs="Times New Roman"/>
    </w:rPr>
  </w:style>
  <w:style w:type="character" w:customStyle="1" w:styleId="NoSpacingChar">
    <w:name w:val="No Spacing Char"/>
    <w:link w:val="NoSpacing"/>
    <w:uiPriority w:val="1"/>
    <w:rsid w:val="00B0121D"/>
    <w:rPr>
      <w:rFonts w:ascii="Calibri" w:eastAsia="SimSun" w:hAnsi="Calibri" w:cs="Times New Roman"/>
    </w:rPr>
  </w:style>
  <w:style w:type="character" w:customStyle="1" w:styleId="FootnoteTextChar1">
    <w:name w:val="Footnote Text Char1"/>
    <w:aliases w:val="Footnote Text Char Char Char Char1,Footnote Text Char Char Char2,Fußnote Char1,Testo nota a piè di pagina Carattere Char1,Geneva 9 Char1,Font: Geneva 9 Char1,Boston 10 Char1,f Char1,single space Char1,FOOTNOTES Char1,fn Char1"/>
    <w:uiPriority w:val="99"/>
    <w:locked/>
    <w:rsid w:val="00B0121D"/>
    <w:rPr>
      <w:rFonts w:ascii="Times New Roman" w:hAnsi="Times New Roman" w:cs="Times New Roman"/>
      <w:sz w:val="20"/>
      <w:szCs w:val="20"/>
      <w:lang w:val="en-GB" w:eastAsia="en-GB"/>
    </w:rPr>
  </w:style>
  <w:style w:type="character" w:customStyle="1" w:styleId="hps">
    <w:name w:val="hps"/>
    <w:uiPriority w:val="99"/>
    <w:rsid w:val="00B0121D"/>
  </w:style>
  <w:style w:type="character" w:customStyle="1" w:styleId="CharChar2">
    <w:name w:val="Char Char2"/>
    <w:uiPriority w:val="99"/>
    <w:rsid w:val="00B0121D"/>
  </w:style>
  <w:style w:type="paragraph" w:customStyle="1" w:styleId="Char1">
    <w:name w:val="Char1"/>
    <w:basedOn w:val="Normal"/>
    <w:uiPriority w:val="99"/>
    <w:rsid w:val="00B0121D"/>
    <w:pPr>
      <w:tabs>
        <w:tab w:val="left" w:pos="709"/>
      </w:tabs>
    </w:pPr>
    <w:rPr>
      <w:rFonts w:ascii="Tahoma" w:eastAsia="Calibri" w:hAnsi="Tahoma" w:cs="Tahoma"/>
      <w:lang w:val="pl-PL" w:eastAsia="pl-PL"/>
    </w:rPr>
  </w:style>
  <w:style w:type="paragraph" w:customStyle="1" w:styleId="Char11">
    <w:name w:val="Char11"/>
    <w:basedOn w:val="Normal"/>
    <w:uiPriority w:val="99"/>
    <w:rsid w:val="00B0121D"/>
    <w:pPr>
      <w:tabs>
        <w:tab w:val="left" w:pos="709"/>
      </w:tabs>
    </w:pPr>
    <w:rPr>
      <w:rFonts w:ascii="Tahoma" w:eastAsia="Calibri" w:hAnsi="Tahoma" w:cs="Tahoma"/>
      <w:lang w:val="pl-PL" w:eastAsia="pl-PL"/>
    </w:rPr>
  </w:style>
  <w:style w:type="paragraph" w:customStyle="1" w:styleId="Char12">
    <w:name w:val="Char12"/>
    <w:basedOn w:val="Normal"/>
    <w:uiPriority w:val="99"/>
    <w:rsid w:val="00B0121D"/>
    <w:pPr>
      <w:tabs>
        <w:tab w:val="left" w:pos="709"/>
      </w:tabs>
    </w:pPr>
    <w:rPr>
      <w:rFonts w:ascii="Tahoma" w:eastAsia="Calibri" w:hAnsi="Tahoma" w:cs="Tahoma"/>
      <w:lang w:val="pl-PL" w:eastAsia="pl-PL"/>
    </w:rPr>
  </w:style>
  <w:style w:type="numbering" w:customStyle="1" w:styleId="NoList1">
    <w:name w:val="No List1"/>
    <w:next w:val="NoList"/>
    <w:uiPriority w:val="99"/>
    <w:semiHidden/>
    <w:unhideWhenUsed/>
    <w:rsid w:val="00B0121D"/>
  </w:style>
  <w:style w:type="table" w:customStyle="1" w:styleId="TableColumns51">
    <w:name w:val="Table Columns 51"/>
    <w:basedOn w:val="TableNormal"/>
    <w:next w:val="TableColumns5"/>
    <w:rsid w:val="00B0121D"/>
    <w:pPr>
      <w:spacing w:before="120" w:after="12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BoxText">
    <w:name w:val="Box Text"/>
    <w:basedOn w:val="Normal"/>
    <w:rsid w:val="00B0121D"/>
    <w:pPr>
      <w:spacing w:before="60"/>
    </w:pPr>
    <w:rPr>
      <w:rFonts w:ascii="Arial" w:hAnsi="Arial"/>
      <w:sz w:val="16"/>
      <w:szCs w:val="20"/>
      <w:lang w:val="en-GB" w:eastAsia="it-IT"/>
    </w:rPr>
  </w:style>
  <w:style w:type="paragraph" w:styleId="Title">
    <w:name w:val="Title"/>
    <w:basedOn w:val="Normal"/>
    <w:next w:val="Normal"/>
    <w:link w:val="TitleChar"/>
    <w:uiPriority w:val="10"/>
    <w:qFormat/>
    <w:rsid w:val="00B0121D"/>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B0121D"/>
    <w:rPr>
      <w:rFonts w:ascii="Cambria" w:eastAsia="Times New Roman" w:hAnsi="Cambria" w:cs="Times New Roman"/>
      <w:color w:val="17365D"/>
      <w:spacing w:val="5"/>
      <w:kern w:val="28"/>
      <w:sz w:val="52"/>
      <w:szCs w:val="52"/>
      <w:lang w:val="x-none" w:eastAsia="x-none"/>
    </w:rPr>
  </w:style>
  <w:style w:type="table" w:styleId="TableClassic1">
    <w:name w:val="Table Classic 1"/>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B0121D"/>
    <w:pPr>
      <w:spacing w:after="0" w:line="240" w:lineRule="auto"/>
      <w:jc w:val="center"/>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3Deffects3">
    <w:name w:val="Table 3D effects 3"/>
    <w:basedOn w:val="TableNormal"/>
    <w:rsid w:val="00B0121D"/>
    <w:pPr>
      <w:spacing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B0121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B0121D"/>
    <w:pPr>
      <w:spacing w:after="0" w:line="240" w:lineRule="auto"/>
      <w:jc w:val="center"/>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B0121D"/>
    <w:pPr>
      <w:spacing w:after="0" w:line="240" w:lineRule="auto"/>
      <w:jc w:val="center"/>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B0121D"/>
    <w:pPr>
      <w:spacing w:after="0" w:line="240" w:lineRule="auto"/>
      <w:jc w:val="center"/>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1">
    <w:name w:val="Colorful List - Accent 11"/>
    <w:basedOn w:val="Normal"/>
    <w:uiPriority w:val="34"/>
    <w:qFormat/>
    <w:rsid w:val="00B0121D"/>
    <w:pPr>
      <w:spacing w:after="160" w:line="259" w:lineRule="auto"/>
      <w:ind w:left="720"/>
      <w:contextualSpacing/>
    </w:pPr>
    <w:rPr>
      <w:rFonts w:ascii="Calibri" w:eastAsia="Calibri" w:hAnsi="Calibri"/>
      <w:sz w:val="22"/>
      <w:szCs w:val="22"/>
    </w:rPr>
  </w:style>
  <w:style w:type="paragraph" w:customStyle="1" w:styleId="MediumGrid21">
    <w:name w:val="Medium Grid 21"/>
    <w:uiPriority w:val="1"/>
    <w:qFormat/>
    <w:rsid w:val="00B0121D"/>
    <w:pPr>
      <w:spacing w:after="0" w:line="240" w:lineRule="auto"/>
    </w:pPr>
    <w:rPr>
      <w:rFonts w:ascii="Calibri" w:eastAsia="MS Mincho" w:hAnsi="Calibri" w:cs="Times New Roman"/>
      <w:lang w:val="sq-AL"/>
    </w:rPr>
  </w:style>
  <w:style w:type="character" w:styleId="Strong">
    <w:name w:val="Strong"/>
    <w:uiPriority w:val="22"/>
    <w:qFormat/>
    <w:rsid w:val="00B0121D"/>
    <w:rPr>
      <w:b/>
      <w:bCs/>
    </w:rPr>
  </w:style>
  <w:style w:type="character" w:customStyle="1" w:styleId="highlight">
    <w:name w:val="highlight"/>
    <w:rsid w:val="00B0121D"/>
  </w:style>
  <w:style w:type="table" w:customStyle="1" w:styleId="TableGrid1">
    <w:name w:val="Table Grid1"/>
    <w:basedOn w:val="TableNormal"/>
    <w:next w:val="TableGrid"/>
    <w:uiPriority w:val="59"/>
    <w:rsid w:val="00B0121D"/>
    <w:pPr>
      <w:spacing w:after="0" w:line="240" w:lineRule="auto"/>
    </w:pPr>
    <w:rPr>
      <w:rFonts w:ascii="Calibri" w:eastAsia="MS Mincho" w:hAnsi="Calibri" w:cs="Times New Roman"/>
      <w:sz w:val="20"/>
      <w:szCs w:val="20"/>
      <w:lang w:val="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sommario">
    <w:name w:val="Titolo sommario"/>
    <w:basedOn w:val="Heading1"/>
    <w:next w:val="Normal"/>
    <w:uiPriority w:val="39"/>
    <w:unhideWhenUsed/>
    <w:qFormat/>
    <w:rsid w:val="00B0121D"/>
    <w:pPr>
      <w:keepLines/>
      <w:tabs>
        <w:tab w:val="clear" w:pos="5954"/>
      </w:tabs>
      <w:spacing w:before="480" w:line="276" w:lineRule="auto"/>
      <w:ind w:right="0"/>
      <w:jc w:val="left"/>
      <w:outlineLvl w:val="9"/>
    </w:pPr>
    <w:rPr>
      <w:rFonts w:ascii="Cambria" w:eastAsia="Times New Roman" w:hAnsi="Cambria"/>
      <w:bCs/>
      <w:caps w:val="0"/>
      <w:color w:val="365F91"/>
      <w:sz w:val="28"/>
      <w:szCs w:val="28"/>
      <w:lang w:val="en-US"/>
    </w:rPr>
  </w:style>
  <w:style w:type="character" w:customStyle="1" w:styleId="ColorfulList-Accent1Char">
    <w:name w:val="Colorful List - Accent 1 Char"/>
    <w:link w:val="MediumGrid1-Accent2"/>
    <w:uiPriority w:val="34"/>
    <w:locked/>
    <w:rsid w:val="00B0121D"/>
    <w:rPr>
      <w:rFonts w:eastAsia="Calibri"/>
      <w:sz w:val="24"/>
      <w:szCs w:val="24"/>
      <w:lang w:val="en-US" w:eastAsia="en-US"/>
    </w:rPr>
  </w:style>
  <w:style w:type="paragraph" w:customStyle="1" w:styleId="Nessunaspaziatura1">
    <w:name w:val="Nessuna spaziatura1"/>
    <w:link w:val="NessunaspaziaturaCarattere"/>
    <w:uiPriority w:val="1"/>
    <w:qFormat/>
    <w:rsid w:val="00B0121D"/>
    <w:pPr>
      <w:spacing w:after="0" w:line="240" w:lineRule="auto"/>
    </w:pPr>
    <w:rPr>
      <w:rFonts w:ascii="Calibri" w:eastAsia="SimSun" w:hAnsi="Calibri" w:cs="Times New Roman"/>
    </w:rPr>
  </w:style>
  <w:style w:type="character" w:customStyle="1" w:styleId="NessunaspaziaturaCarattere">
    <w:name w:val="Nessuna spaziatura Carattere"/>
    <w:link w:val="Nessunaspaziatura1"/>
    <w:uiPriority w:val="1"/>
    <w:rsid w:val="00B0121D"/>
    <w:rPr>
      <w:rFonts w:ascii="Calibri" w:eastAsia="SimSun" w:hAnsi="Calibri" w:cs="Times New Roman"/>
    </w:rPr>
  </w:style>
  <w:style w:type="table" w:customStyle="1" w:styleId="Sfondochiaro1">
    <w:name w:val="Sfondo chiaro1"/>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Accent2">
    <w:name w:val="Medium Grid 1 Accent 2"/>
    <w:basedOn w:val="TableNormal"/>
    <w:link w:val="ColorfulList-Accent1Char"/>
    <w:uiPriority w:val="34"/>
    <w:rsid w:val="00B0121D"/>
    <w:pPr>
      <w:spacing w:after="0" w:line="240" w:lineRule="auto"/>
    </w:pPr>
    <w:rPr>
      <w:rFonts w:eastAsia="Calibri"/>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1">
    <w:name w:val="Medium List 1"/>
    <w:basedOn w:val="TableNormal"/>
    <w:uiPriority w:val="65"/>
    <w:rsid w:val="00B0121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paragrafi">
    <w:name w:val="paragrafi"/>
    <w:rsid w:val="00B0121D"/>
    <w:pPr>
      <w:spacing w:before="100" w:after="100" w:line="240" w:lineRule="auto"/>
    </w:pPr>
    <w:rPr>
      <w:rFonts w:ascii="Arial Unicode MS" w:eastAsia="Arial Unicode MS" w:hAnsi="Arial Unicode MS" w:cs="Arial Unicode MS"/>
      <w:color w:val="000000"/>
      <w:sz w:val="24"/>
      <w:szCs w:val="24"/>
      <w:u w:color="000000"/>
    </w:rPr>
  </w:style>
  <w:style w:type="paragraph" w:styleId="HTMLPreformatted">
    <w:name w:val="HTML Preformatted"/>
    <w:basedOn w:val="Normal"/>
    <w:link w:val="HTMLPreformattedChar"/>
    <w:uiPriority w:val="99"/>
    <w:unhideWhenUsed/>
    <w:rsid w:val="00B01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q-AL" w:eastAsia="sq-AL"/>
    </w:rPr>
  </w:style>
  <w:style w:type="character" w:customStyle="1" w:styleId="HTMLPreformattedChar">
    <w:name w:val="HTML Preformatted Char"/>
    <w:basedOn w:val="DefaultParagraphFont"/>
    <w:link w:val="HTMLPreformatted"/>
    <w:uiPriority w:val="99"/>
    <w:rsid w:val="00B0121D"/>
    <w:rPr>
      <w:rFonts w:ascii="Courier New" w:eastAsia="Times New Roman" w:hAnsi="Courier New" w:cs="Courier New"/>
      <w:sz w:val="20"/>
      <w:szCs w:val="20"/>
      <w:lang w:val="sq-AL" w:eastAsia="sq-AL"/>
    </w:rPr>
  </w:style>
  <w:style w:type="character" w:customStyle="1" w:styleId="apple-converted-space">
    <w:name w:val="apple-converted-space"/>
    <w:rsid w:val="00B0121D"/>
  </w:style>
  <w:style w:type="numbering" w:customStyle="1" w:styleId="NoList2">
    <w:name w:val="No List2"/>
    <w:next w:val="NoList"/>
    <w:uiPriority w:val="99"/>
    <w:semiHidden/>
    <w:unhideWhenUsed/>
    <w:rsid w:val="00B0121D"/>
  </w:style>
  <w:style w:type="paragraph" w:customStyle="1" w:styleId="FreeForm">
    <w:name w:val="Free Form"/>
    <w:rsid w:val="00B0121D"/>
    <w:pPr>
      <w:spacing w:after="240" w:line="312" w:lineRule="auto"/>
    </w:pPr>
    <w:rPr>
      <w:rFonts w:ascii="Helvetica Neue" w:eastAsia="Times New Roman" w:hAnsi="Helvetica Neue" w:cs="Helvetica Neue"/>
      <w:color w:val="222222"/>
      <w:u w:color="222222"/>
    </w:rPr>
  </w:style>
  <w:style w:type="table" w:customStyle="1" w:styleId="TableGrid2">
    <w:name w:val="Table Grid2"/>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1">
    <w:name w:val="Medium Grid 1 - Accent 21"/>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Shading">
    <w:name w:val="Light Shading"/>
    <w:basedOn w:val="TableNormal"/>
    <w:uiPriority w:val="60"/>
    <w:rsid w:val="00B0121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
    <w:name w:val="Light Shading12"/>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2">
    <w:name w:val="Medium Grid 1 - Accent 22"/>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
    <w:name w:val="Table Grid4"/>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3">
    <w:name w:val="Light Shading - Accent 113"/>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3">
    <w:name w:val="Light Shading13"/>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3">
    <w:name w:val="Medium Grid 1 - Accent 23"/>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5">
    <w:name w:val="Table Grid5"/>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4">
    <w:name w:val="Light Shading - Accent 114"/>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4">
    <w:name w:val="Light Shading14"/>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4">
    <w:name w:val="Medium Grid 1 - Accent 24"/>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utoCorrect">
    <w:name w:val="AutoCorrect"/>
    <w:rsid w:val="00B0121D"/>
    <w:rPr>
      <w:rFonts w:ascii="Calibri" w:eastAsia="Times New Roman" w:hAnsi="Calibri" w:cs="Times New Roman"/>
      <w:lang w:val="sq-AL" w:eastAsia="sq-AL"/>
    </w:rPr>
  </w:style>
  <w:style w:type="table" w:styleId="TableSimple1">
    <w:name w:val="Table Simple 1"/>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Emphasis">
    <w:name w:val="Emphasis"/>
    <w:qFormat/>
    <w:rsid w:val="00B0121D"/>
    <w:rPr>
      <w:i/>
      <w:iCs/>
    </w:rPr>
  </w:style>
  <w:style w:type="paragraph" w:customStyle="1" w:styleId="Bulleted">
    <w:name w:val="Bulleted"/>
    <w:basedOn w:val="Normal"/>
    <w:link w:val="BulletedChar"/>
    <w:qFormat/>
    <w:rsid w:val="00C66251"/>
    <w:pPr>
      <w:numPr>
        <w:numId w:val="42"/>
      </w:numPr>
    </w:pPr>
    <w:rPr>
      <w:rFonts w:ascii="Calibri" w:eastAsia="Calibri" w:hAnsi="Calibri"/>
      <w:sz w:val="22"/>
      <w:szCs w:val="22"/>
      <w:lang w:val="en-GB"/>
    </w:rPr>
  </w:style>
  <w:style w:type="character" w:customStyle="1" w:styleId="BulletedChar">
    <w:name w:val="Bulleted Char"/>
    <w:basedOn w:val="DefaultParagraphFont"/>
    <w:link w:val="Bulleted"/>
    <w:rsid w:val="00C66251"/>
    <w:rPr>
      <w:rFonts w:ascii="Calibri" w:eastAsia="Calibri" w:hAnsi="Calibri" w:cs="Times New Roman"/>
      <w:lang w:val="en-GB"/>
    </w:rPr>
  </w:style>
  <w:style w:type="paragraph" w:styleId="Caption">
    <w:name w:val="caption"/>
    <w:basedOn w:val="Normal"/>
    <w:next w:val="Normal"/>
    <w:uiPriority w:val="35"/>
    <w:unhideWhenUsed/>
    <w:qFormat/>
    <w:rsid w:val="00304F33"/>
    <w:pPr>
      <w:spacing w:after="200"/>
    </w:pPr>
    <w:rPr>
      <w:b/>
      <w:bCs/>
      <w:color w:val="4F81BD" w:themeColor="accent1"/>
      <w:sz w:val="18"/>
      <w:szCs w:val="18"/>
    </w:rPr>
  </w:style>
  <w:style w:type="paragraph" w:customStyle="1" w:styleId="font5">
    <w:name w:val="font5"/>
    <w:basedOn w:val="Normal"/>
    <w:rsid w:val="0024279B"/>
    <w:pPr>
      <w:spacing w:before="100" w:beforeAutospacing="1" w:after="100" w:afterAutospacing="1"/>
    </w:pPr>
    <w:rPr>
      <w:rFonts w:ascii="Arial" w:eastAsia="Times New Roman" w:hAnsi="Arial" w:cs="Arial"/>
      <w:color w:val="FF0000"/>
      <w:sz w:val="20"/>
      <w:szCs w:val="20"/>
    </w:rPr>
  </w:style>
  <w:style w:type="paragraph" w:customStyle="1" w:styleId="font6">
    <w:name w:val="font6"/>
    <w:basedOn w:val="Normal"/>
    <w:rsid w:val="0024279B"/>
    <w:pPr>
      <w:spacing w:before="100" w:beforeAutospacing="1" w:after="100" w:afterAutospacing="1"/>
    </w:pPr>
    <w:rPr>
      <w:rFonts w:ascii="Arial" w:eastAsia="Times New Roman" w:hAnsi="Arial" w:cs="Arial"/>
      <w:b/>
      <w:bCs/>
      <w:color w:val="FF0000"/>
      <w:sz w:val="20"/>
      <w:szCs w:val="20"/>
    </w:rPr>
  </w:style>
  <w:style w:type="paragraph" w:customStyle="1" w:styleId="xl63">
    <w:name w:val="xl63"/>
    <w:basedOn w:val="Normal"/>
    <w:rsid w:val="0024279B"/>
    <w:pPr>
      <w:spacing w:before="100" w:beforeAutospacing="1" w:after="100" w:afterAutospacing="1"/>
      <w:jc w:val="center"/>
      <w:textAlignment w:val="center"/>
    </w:pPr>
    <w:rPr>
      <w:rFonts w:eastAsia="Times New Roman"/>
    </w:rPr>
  </w:style>
  <w:style w:type="paragraph" w:customStyle="1" w:styleId="xl64">
    <w:name w:val="xl64"/>
    <w:basedOn w:val="Normal"/>
    <w:rsid w:val="0024279B"/>
    <w:pPr>
      <w:spacing w:before="100" w:beforeAutospacing="1" w:after="100" w:afterAutospacing="1"/>
      <w:jc w:val="center"/>
      <w:textAlignment w:val="center"/>
    </w:pPr>
    <w:rPr>
      <w:rFonts w:ascii="Arial" w:eastAsia="Times New Roman" w:hAnsi="Arial" w:cs="Arial"/>
      <w:b/>
      <w:bCs/>
    </w:rPr>
  </w:style>
  <w:style w:type="paragraph" w:customStyle="1" w:styleId="xl65">
    <w:name w:val="xl65"/>
    <w:basedOn w:val="Normal"/>
    <w:rsid w:val="0024279B"/>
    <w:pPr>
      <w:spacing w:before="100" w:beforeAutospacing="1" w:after="100" w:afterAutospacing="1"/>
      <w:jc w:val="center"/>
      <w:textAlignment w:val="center"/>
    </w:pPr>
    <w:rPr>
      <w:rFonts w:ascii="Arial" w:eastAsia="Times New Roman" w:hAnsi="Arial" w:cs="Arial"/>
      <w:b/>
      <w:bCs/>
    </w:rPr>
  </w:style>
  <w:style w:type="paragraph" w:customStyle="1" w:styleId="xl66">
    <w:name w:val="xl66"/>
    <w:basedOn w:val="Normal"/>
    <w:rsid w:val="0024279B"/>
    <w:pPr>
      <w:spacing w:before="100" w:beforeAutospacing="1" w:after="100" w:afterAutospacing="1"/>
      <w:jc w:val="center"/>
    </w:pPr>
    <w:rPr>
      <w:rFonts w:ascii="Arial" w:eastAsia="Times New Roman" w:hAnsi="Arial" w:cs="Arial"/>
      <w:b/>
      <w:bCs/>
    </w:rPr>
  </w:style>
  <w:style w:type="paragraph" w:customStyle="1" w:styleId="xl67">
    <w:name w:val="xl67"/>
    <w:basedOn w:val="Normal"/>
    <w:rsid w:val="0024279B"/>
    <w:pPr>
      <w:pBdr>
        <w:top w:val="dotted" w:sz="4" w:space="0" w:color="auto"/>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24279B"/>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24279B"/>
    <w:pPr>
      <w:pBdr>
        <w:top w:val="dotted" w:sz="4" w:space="0" w:color="auto"/>
        <w:left w:val="single" w:sz="4" w:space="0" w:color="auto"/>
        <w:bottom w:val="dotted" w:sz="4" w:space="0" w:color="auto"/>
        <w:right w:val="single" w:sz="12" w:space="0" w:color="auto"/>
      </w:pBdr>
      <w:spacing w:before="100" w:beforeAutospacing="1" w:after="100" w:afterAutospacing="1"/>
      <w:jc w:val="center"/>
      <w:textAlignment w:val="center"/>
    </w:pPr>
    <w:rPr>
      <w:rFonts w:eastAsia="Times New Roman"/>
    </w:rPr>
  </w:style>
  <w:style w:type="paragraph" w:customStyle="1" w:styleId="xl70">
    <w:name w:val="xl70"/>
    <w:basedOn w:val="Normal"/>
    <w:rsid w:val="0024279B"/>
    <w:pPr>
      <w:pBdr>
        <w:top w:val="single" w:sz="12" w:space="0" w:color="auto"/>
        <w:left w:val="single" w:sz="12"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ascii="Arial" w:eastAsia="Times New Roman" w:hAnsi="Arial" w:cs="Arial"/>
      <w:b/>
      <w:bCs/>
    </w:rPr>
  </w:style>
  <w:style w:type="paragraph" w:customStyle="1" w:styleId="xl71">
    <w:name w:val="xl71"/>
    <w:basedOn w:val="Normal"/>
    <w:rsid w:val="0024279B"/>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ascii="Arial" w:eastAsia="Times New Roman" w:hAnsi="Arial" w:cs="Arial"/>
      <w:b/>
      <w:bCs/>
    </w:rPr>
  </w:style>
  <w:style w:type="paragraph" w:customStyle="1" w:styleId="xl72">
    <w:name w:val="xl72"/>
    <w:basedOn w:val="Normal"/>
    <w:rsid w:val="0024279B"/>
    <w:pPr>
      <w:pBdr>
        <w:top w:val="single" w:sz="12" w:space="0" w:color="auto"/>
        <w:left w:val="single" w:sz="4" w:space="0" w:color="auto"/>
        <w:bottom w:val="single" w:sz="12" w:space="0" w:color="auto"/>
        <w:right w:val="single" w:sz="12" w:space="0" w:color="auto"/>
      </w:pBdr>
      <w:shd w:val="clear" w:color="000000" w:fill="CCC0DA"/>
      <w:spacing w:before="100" w:beforeAutospacing="1" w:after="100" w:afterAutospacing="1"/>
      <w:jc w:val="center"/>
      <w:textAlignment w:val="center"/>
    </w:pPr>
    <w:rPr>
      <w:rFonts w:ascii="Arial" w:eastAsia="Times New Roman" w:hAnsi="Arial" w:cs="Arial"/>
      <w:b/>
      <w:bCs/>
    </w:rPr>
  </w:style>
  <w:style w:type="paragraph" w:customStyle="1" w:styleId="xl73">
    <w:name w:val="xl73"/>
    <w:basedOn w:val="Normal"/>
    <w:rsid w:val="0024279B"/>
    <w:pPr>
      <w:pBdr>
        <w:top w:val="dotted" w:sz="4" w:space="0" w:color="auto"/>
        <w:left w:val="single" w:sz="12"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4">
    <w:name w:val="xl74"/>
    <w:basedOn w:val="Normal"/>
    <w:rsid w:val="0024279B"/>
    <w:pPr>
      <w:pBdr>
        <w:top w:val="dotted"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5">
    <w:name w:val="xl75"/>
    <w:basedOn w:val="Normal"/>
    <w:rsid w:val="0024279B"/>
    <w:pPr>
      <w:pBdr>
        <w:top w:val="dotted" w:sz="4" w:space="0" w:color="auto"/>
        <w:left w:val="single" w:sz="4" w:space="0" w:color="auto"/>
        <w:right w:val="single" w:sz="12" w:space="0" w:color="auto"/>
      </w:pBdr>
      <w:spacing w:before="100" w:beforeAutospacing="1" w:after="100" w:afterAutospacing="1"/>
      <w:jc w:val="center"/>
      <w:textAlignment w:val="center"/>
    </w:pPr>
    <w:rPr>
      <w:rFonts w:eastAsia="Times New Roman"/>
    </w:rPr>
  </w:style>
  <w:style w:type="paragraph" w:customStyle="1" w:styleId="xl76">
    <w:name w:val="xl76"/>
    <w:basedOn w:val="Normal"/>
    <w:rsid w:val="0024279B"/>
    <w:pPr>
      <w:pBdr>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7">
    <w:name w:val="xl77"/>
    <w:basedOn w:val="Normal"/>
    <w:rsid w:val="0024279B"/>
    <w:pPr>
      <w:pBdr>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8">
    <w:name w:val="xl78"/>
    <w:basedOn w:val="Normal"/>
    <w:rsid w:val="0024279B"/>
    <w:pPr>
      <w:pBdr>
        <w:left w:val="single" w:sz="4" w:space="0" w:color="auto"/>
        <w:bottom w:val="dotted" w:sz="4" w:space="0" w:color="auto"/>
        <w:right w:val="single" w:sz="12" w:space="0" w:color="auto"/>
      </w:pBdr>
      <w:spacing w:before="100" w:beforeAutospacing="1" w:after="100" w:afterAutospacing="1"/>
      <w:jc w:val="center"/>
      <w:textAlignment w:val="center"/>
    </w:pPr>
    <w:rPr>
      <w:rFonts w:ascii="Arial" w:eastAsia="Times New Roman" w:hAnsi="Arial" w:cs="Arial"/>
      <w:b/>
      <w:bCs/>
      <w:i/>
      <w:iCs/>
    </w:rPr>
  </w:style>
  <w:style w:type="paragraph" w:customStyle="1" w:styleId="xl79">
    <w:name w:val="xl79"/>
    <w:basedOn w:val="Normal"/>
    <w:rsid w:val="0024279B"/>
    <w:pPr>
      <w:pBdr>
        <w:top w:val="double" w:sz="6" w:space="0" w:color="auto"/>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0">
    <w:name w:val="xl80"/>
    <w:basedOn w:val="Normal"/>
    <w:rsid w:val="0024279B"/>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1">
    <w:name w:val="xl81"/>
    <w:basedOn w:val="Normal"/>
    <w:rsid w:val="0024279B"/>
    <w:pPr>
      <w:pBdr>
        <w:top w:val="dotted" w:sz="4" w:space="0" w:color="auto"/>
        <w:left w:val="single" w:sz="12"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2">
    <w:name w:val="xl82"/>
    <w:basedOn w:val="Normal"/>
    <w:rsid w:val="0024279B"/>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3">
    <w:name w:val="xl83"/>
    <w:basedOn w:val="Normal"/>
    <w:rsid w:val="0024279B"/>
    <w:pPr>
      <w:pBdr>
        <w:top w:val="dotted" w:sz="4" w:space="0" w:color="auto"/>
        <w:left w:val="single" w:sz="4" w:space="0" w:color="auto"/>
        <w:bottom w:val="double" w:sz="6" w:space="0" w:color="auto"/>
        <w:right w:val="single" w:sz="12" w:space="0" w:color="auto"/>
      </w:pBdr>
      <w:spacing w:before="100" w:beforeAutospacing="1" w:after="100" w:afterAutospacing="1"/>
      <w:jc w:val="center"/>
      <w:textAlignment w:val="center"/>
    </w:pPr>
    <w:rPr>
      <w:rFonts w:eastAsia="Times New Roman"/>
    </w:rPr>
  </w:style>
  <w:style w:type="paragraph" w:customStyle="1" w:styleId="xl84">
    <w:name w:val="xl84"/>
    <w:basedOn w:val="Normal"/>
    <w:rsid w:val="0024279B"/>
    <w:pPr>
      <w:pBdr>
        <w:top w:val="double" w:sz="6" w:space="0" w:color="auto"/>
        <w:left w:val="single" w:sz="4" w:space="0" w:color="auto"/>
        <w:bottom w:val="dotted" w:sz="4" w:space="0" w:color="auto"/>
        <w:right w:val="single" w:sz="12" w:space="0" w:color="auto"/>
      </w:pBdr>
      <w:spacing w:before="100" w:beforeAutospacing="1" w:after="100" w:afterAutospacing="1"/>
      <w:jc w:val="center"/>
      <w:textAlignment w:val="center"/>
    </w:pPr>
    <w:rPr>
      <w:rFonts w:ascii="Arial" w:eastAsia="Times New Roman" w:hAnsi="Arial" w:cs="Arial"/>
      <w:b/>
      <w:bCs/>
      <w:i/>
      <w:iCs/>
    </w:rPr>
  </w:style>
  <w:style w:type="paragraph" w:customStyle="1" w:styleId="xl85">
    <w:name w:val="xl85"/>
    <w:basedOn w:val="Normal"/>
    <w:rsid w:val="0024279B"/>
    <w:pPr>
      <w:pBdr>
        <w:left w:val="single" w:sz="12"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rPr>
  </w:style>
  <w:style w:type="paragraph" w:customStyle="1" w:styleId="xl86">
    <w:name w:val="xl86"/>
    <w:basedOn w:val="Normal"/>
    <w:rsid w:val="0024279B"/>
    <w:pPr>
      <w:pBdr>
        <w:left w:val="single" w:sz="4"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rPr>
  </w:style>
  <w:style w:type="paragraph" w:customStyle="1" w:styleId="xl87">
    <w:name w:val="xl87"/>
    <w:basedOn w:val="Normal"/>
    <w:rsid w:val="0024279B"/>
    <w:pPr>
      <w:pBdr>
        <w:top w:val="double" w:sz="6" w:space="0" w:color="auto"/>
        <w:left w:val="single" w:sz="12" w:space="0" w:color="auto"/>
      </w:pBdr>
      <w:spacing w:before="100" w:beforeAutospacing="1" w:after="100" w:afterAutospacing="1"/>
      <w:jc w:val="center"/>
      <w:textAlignment w:val="center"/>
    </w:pPr>
    <w:rPr>
      <w:rFonts w:ascii="Arial" w:eastAsia="Times New Roman" w:hAnsi="Arial" w:cs="Arial"/>
      <w:b/>
      <w:bCs/>
    </w:rPr>
  </w:style>
  <w:style w:type="paragraph" w:customStyle="1" w:styleId="xl88">
    <w:name w:val="xl88"/>
    <w:basedOn w:val="Normal"/>
    <w:rsid w:val="0024279B"/>
    <w:pPr>
      <w:pBdr>
        <w:top w:val="double" w:sz="6" w:space="0" w:color="auto"/>
      </w:pBdr>
      <w:spacing w:before="100" w:beforeAutospacing="1" w:after="100" w:afterAutospacing="1"/>
      <w:jc w:val="center"/>
      <w:textAlignment w:val="center"/>
    </w:pPr>
    <w:rPr>
      <w:rFonts w:ascii="Arial" w:eastAsia="Times New Roman" w:hAnsi="Arial" w:cs="Arial"/>
      <w:b/>
      <w:bCs/>
    </w:rPr>
  </w:style>
  <w:style w:type="paragraph" w:customStyle="1" w:styleId="xl89">
    <w:name w:val="xl89"/>
    <w:basedOn w:val="Normal"/>
    <w:rsid w:val="0024279B"/>
    <w:pPr>
      <w:pBdr>
        <w:top w:val="double" w:sz="6" w:space="0" w:color="auto"/>
        <w:right w:val="single" w:sz="12" w:space="0" w:color="auto"/>
      </w:pBdr>
      <w:spacing w:before="100" w:beforeAutospacing="1" w:after="100" w:afterAutospacing="1"/>
      <w:jc w:val="center"/>
      <w:textAlignment w:val="center"/>
    </w:pPr>
    <w:rPr>
      <w:rFonts w:eastAsia="Times New Roman"/>
    </w:rPr>
  </w:style>
  <w:style w:type="paragraph" w:customStyle="1" w:styleId="xl90">
    <w:name w:val="xl90"/>
    <w:basedOn w:val="Normal"/>
    <w:rsid w:val="0024279B"/>
    <w:pPr>
      <w:pBdr>
        <w:left w:val="single" w:sz="12"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24279B"/>
    <w:pPr>
      <w:pBdr>
        <w:right w:val="single" w:sz="12" w:space="0" w:color="auto"/>
      </w:pBdr>
      <w:spacing w:before="100" w:beforeAutospacing="1" w:after="100" w:afterAutospacing="1"/>
      <w:jc w:val="center"/>
      <w:textAlignment w:val="center"/>
    </w:pPr>
    <w:rPr>
      <w:rFonts w:eastAsia="Times New Roman"/>
    </w:rPr>
  </w:style>
  <w:style w:type="paragraph" w:customStyle="1" w:styleId="xl92">
    <w:name w:val="xl92"/>
    <w:basedOn w:val="Normal"/>
    <w:rsid w:val="0024279B"/>
    <w:pPr>
      <w:pBdr>
        <w:top w:val="single" w:sz="12" w:space="0" w:color="auto"/>
        <w:left w:val="single" w:sz="12"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rPr>
  </w:style>
  <w:style w:type="paragraph" w:customStyle="1" w:styleId="xl93">
    <w:name w:val="xl93"/>
    <w:basedOn w:val="Normal"/>
    <w:rsid w:val="0024279B"/>
    <w:pPr>
      <w:pBdr>
        <w:top w:val="single" w:sz="12"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rPr>
  </w:style>
  <w:style w:type="paragraph" w:customStyle="1" w:styleId="xl94">
    <w:name w:val="xl94"/>
    <w:basedOn w:val="Normal"/>
    <w:rsid w:val="0024279B"/>
    <w:pPr>
      <w:pBdr>
        <w:top w:val="dotted" w:sz="4" w:space="0" w:color="auto"/>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95">
    <w:name w:val="xl95"/>
    <w:basedOn w:val="Normal"/>
    <w:rsid w:val="0024279B"/>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96">
    <w:name w:val="xl96"/>
    <w:basedOn w:val="Normal"/>
    <w:rsid w:val="0024279B"/>
    <w:pPr>
      <w:pBdr>
        <w:top w:val="dotted" w:sz="4" w:space="0" w:color="auto"/>
        <w:left w:val="single" w:sz="4" w:space="0" w:color="auto"/>
        <w:bottom w:val="dotted" w:sz="4" w:space="0" w:color="auto"/>
        <w:right w:val="single" w:sz="12" w:space="0" w:color="auto"/>
      </w:pBdr>
      <w:spacing w:before="100" w:beforeAutospacing="1" w:after="100" w:afterAutospacing="1"/>
      <w:jc w:val="center"/>
      <w:textAlignment w:val="center"/>
    </w:pPr>
    <w:rPr>
      <w:rFonts w:eastAsia="Times New Roman"/>
      <w:color w:val="000000"/>
    </w:rPr>
  </w:style>
  <w:style w:type="paragraph" w:customStyle="1" w:styleId="xl97">
    <w:name w:val="xl97"/>
    <w:basedOn w:val="Normal"/>
    <w:rsid w:val="0024279B"/>
    <w:pPr>
      <w:pBdr>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98">
    <w:name w:val="xl98"/>
    <w:basedOn w:val="Normal"/>
    <w:rsid w:val="0024279B"/>
    <w:pPr>
      <w:pBdr>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99">
    <w:name w:val="xl99"/>
    <w:basedOn w:val="Normal"/>
    <w:rsid w:val="0024279B"/>
    <w:pPr>
      <w:pBdr>
        <w:left w:val="single" w:sz="4" w:space="0" w:color="auto"/>
        <w:bottom w:val="dotted" w:sz="4" w:space="0" w:color="auto"/>
        <w:right w:val="single" w:sz="12" w:space="0" w:color="auto"/>
      </w:pBdr>
      <w:spacing w:before="100" w:beforeAutospacing="1" w:after="100" w:afterAutospacing="1"/>
      <w:jc w:val="center"/>
      <w:textAlignment w:val="center"/>
    </w:pPr>
    <w:rPr>
      <w:rFonts w:ascii="Arial" w:eastAsia="Times New Roman" w:hAnsi="Arial" w:cs="Arial"/>
      <w:b/>
      <w:bCs/>
      <w:i/>
      <w:iCs/>
      <w:color w:val="000000"/>
    </w:rPr>
  </w:style>
  <w:style w:type="paragraph" w:customStyle="1" w:styleId="xl100">
    <w:name w:val="xl100"/>
    <w:basedOn w:val="Normal"/>
    <w:rsid w:val="0024279B"/>
    <w:pPr>
      <w:pBdr>
        <w:top w:val="single" w:sz="12" w:space="0" w:color="auto"/>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1">
    <w:name w:val="xl101"/>
    <w:basedOn w:val="Normal"/>
    <w:rsid w:val="0024279B"/>
    <w:pPr>
      <w:pBdr>
        <w:top w:val="single" w:sz="12"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2">
    <w:name w:val="xl102"/>
    <w:basedOn w:val="Normal"/>
    <w:rsid w:val="0024279B"/>
    <w:pPr>
      <w:pBdr>
        <w:top w:val="dotted" w:sz="4" w:space="0" w:color="auto"/>
        <w:left w:val="single" w:sz="12"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3">
    <w:name w:val="xl103"/>
    <w:basedOn w:val="Normal"/>
    <w:rsid w:val="0024279B"/>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4">
    <w:name w:val="xl104"/>
    <w:basedOn w:val="Normal"/>
    <w:rsid w:val="0024279B"/>
    <w:pPr>
      <w:pBdr>
        <w:top w:val="dotted" w:sz="4" w:space="0" w:color="auto"/>
        <w:left w:val="single" w:sz="4" w:space="0" w:color="auto"/>
        <w:bottom w:val="double" w:sz="6" w:space="0" w:color="auto"/>
        <w:right w:val="single" w:sz="12" w:space="0" w:color="auto"/>
      </w:pBdr>
      <w:spacing w:before="100" w:beforeAutospacing="1" w:after="100" w:afterAutospacing="1"/>
      <w:jc w:val="center"/>
      <w:textAlignment w:val="center"/>
    </w:pPr>
    <w:rPr>
      <w:rFonts w:eastAsia="Times New Roman"/>
      <w:color w:val="000000"/>
    </w:rPr>
  </w:style>
  <w:style w:type="paragraph" w:customStyle="1" w:styleId="xl105">
    <w:name w:val="xl105"/>
    <w:basedOn w:val="Normal"/>
    <w:rsid w:val="0024279B"/>
    <w:pPr>
      <w:pBdr>
        <w:top w:val="dotted" w:sz="4" w:space="0" w:color="auto"/>
        <w:left w:val="single" w:sz="12"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6">
    <w:name w:val="xl106"/>
    <w:basedOn w:val="Normal"/>
    <w:rsid w:val="0024279B"/>
    <w:pPr>
      <w:pBdr>
        <w:top w:val="dotted"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7">
    <w:name w:val="xl107"/>
    <w:basedOn w:val="Normal"/>
    <w:rsid w:val="0024279B"/>
    <w:pPr>
      <w:pBdr>
        <w:top w:val="dotted" w:sz="4" w:space="0" w:color="auto"/>
        <w:left w:val="single" w:sz="4" w:space="0" w:color="auto"/>
        <w:right w:val="single" w:sz="12" w:space="0" w:color="auto"/>
      </w:pBdr>
      <w:spacing w:before="100" w:beforeAutospacing="1" w:after="100" w:afterAutospacing="1"/>
      <w:jc w:val="center"/>
      <w:textAlignment w:val="center"/>
    </w:pPr>
    <w:rPr>
      <w:rFonts w:eastAsia="Times New Roman"/>
      <w:color w:val="000000"/>
    </w:rPr>
  </w:style>
  <w:style w:type="paragraph" w:customStyle="1" w:styleId="xl108">
    <w:name w:val="xl108"/>
    <w:basedOn w:val="Normal"/>
    <w:rsid w:val="0024279B"/>
    <w:pPr>
      <w:pBdr>
        <w:top w:val="double" w:sz="6" w:space="0" w:color="auto"/>
        <w:left w:val="single" w:sz="12"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09">
    <w:name w:val="xl109"/>
    <w:basedOn w:val="Normal"/>
    <w:rsid w:val="0024279B"/>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rPr>
  </w:style>
  <w:style w:type="paragraph" w:customStyle="1" w:styleId="xl110">
    <w:name w:val="xl110"/>
    <w:basedOn w:val="Normal"/>
    <w:rsid w:val="0024279B"/>
    <w:pPr>
      <w:pBdr>
        <w:top w:val="double" w:sz="6" w:space="0" w:color="auto"/>
        <w:left w:val="single" w:sz="4" w:space="0" w:color="auto"/>
        <w:bottom w:val="dotted" w:sz="4" w:space="0" w:color="auto"/>
        <w:right w:val="single" w:sz="12" w:space="0" w:color="auto"/>
      </w:pBdr>
      <w:spacing w:before="100" w:beforeAutospacing="1" w:after="100" w:afterAutospacing="1"/>
      <w:jc w:val="center"/>
      <w:textAlignment w:val="center"/>
    </w:pPr>
    <w:rPr>
      <w:rFonts w:ascii="Arial" w:eastAsia="Times New Roman" w:hAnsi="Arial" w:cs="Arial"/>
      <w:b/>
      <w:bCs/>
      <w:i/>
      <w:iCs/>
      <w:color w:val="000000"/>
    </w:rPr>
  </w:style>
  <w:style w:type="paragraph" w:customStyle="1" w:styleId="xl111">
    <w:name w:val="xl111"/>
    <w:basedOn w:val="Normal"/>
    <w:rsid w:val="0024279B"/>
    <w:pPr>
      <w:pBdr>
        <w:top w:val="single" w:sz="12" w:space="0" w:color="auto"/>
        <w:left w:val="single" w:sz="4" w:space="0" w:color="auto"/>
        <w:bottom w:val="dotted" w:sz="4" w:space="0" w:color="auto"/>
        <w:right w:val="single" w:sz="12" w:space="0" w:color="auto"/>
      </w:pBdr>
      <w:spacing w:before="100" w:beforeAutospacing="1" w:after="100" w:afterAutospacing="1"/>
      <w:jc w:val="center"/>
      <w:textAlignment w:val="center"/>
    </w:pPr>
    <w:rPr>
      <w:rFonts w:ascii="Arial" w:eastAsia="Times New Roman" w:hAnsi="Arial" w:cs="Arial"/>
      <w:b/>
      <w:bCs/>
      <w:i/>
      <w:iCs/>
      <w:color w:val="000000"/>
    </w:rPr>
  </w:style>
  <w:style w:type="paragraph" w:customStyle="1" w:styleId="xl112">
    <w:name w:val="xl112"/>
    <w:basedOn w:val="Normal"/>
    <w:rsid w:val="0024279B"/>
    <w:pPr>
      <w:pBdr>
        <w:top w:val="dotted" w:sz="4" w:space="0" w:color="auto"/>
        <w:left w:val="single" w:sz="4" w:space="0" w:color="auto"/>
        <w:bottom w:val="dotted" w:sz="4" w:space="0" w:color="auto"/>
        <w:right w:val="single" w:sz="12" w:space="0" w:color="auto"/>
      </w:pBdr>
      <w:spacing w:before="100" w:beforeAutospacing="1" w:after="100" w:afterAutospacing="1"/>
      <w:jc w:val="center"/>
      <w:textAlignment w:val="center"/>
    </w:pPr>
    <w:rPr>
      <w:rFonts w:ascii="Arial" w:eastAsia="Times New Roman" w:hAnsi="Arial" w:cs="Arial"/>
      <w:color w:val="000000"/>
    </w:rPr>
  </w:style>
  <w:style w:type="paragraph" w:customStyle="1" w:styleId="xl113">
    <w:name w:val="xl113"/>
    <w:basedOn w:val="Normal"/>
    <w:rsid w:val="0024279B"/>
    <w:pPr>
      <w:pBdr>
        <w:top w:val="single" w:sz="12" w:space="0" w:color="auto"/>
        <w:left w:val="single" w:sz="12" w:space="0" w:color="auto"/>
        <w:bottom w:val="single" w:sz="12" w:space="0" w:color="auto"/>
        <w:right w:val="single" w:sz="4" w:space="0" w:color="auto"/>
      </w:pBdr>
      <w:shd w:val="clear" w:color="000000" w:fill="FFFF99"/>
      <w:spacing w:before="100" w:beforeAutospacing="1" w:after="100" w:afterAutospacing="1"/>
      <w:jc w:val="center"/>
      <w:textAlignment w:val="center"/>
    </w:pPr>
    <w:rPr>
      <w:rFonts w:ascii="Arial" w:eastAsia="Times New Roman" w:hAnsi="Arial" w:cs="Arial"/>
      <w:b/>
      <w:bCs/>
    </w:rPr>
  </w:style>
  <w:style w:type="paragraph" w:customStyle="1" w:styleId="xl114">
    <w:name w:val="xl114"/>
    <w:basedOn w:val="Normal"/>
    <w:rsid w:val="0024279B"/>
    <w:pPr>
      <w:pBdr>
        <w:top w:val="single" w:sz="12" w:space="0" w:color="auto"/>
        <w:left w:val="single" w:sz="4" w:space="0" w:color="auto"/>
        <w:bottom w:val="single" w:sz="12" w:space="0" w:color="auto"/>
        <w:right w:val="single" w:sz="4" w:space="0" w:color="auto"/>
      </w:pBdr>
      <w:shd w:val="clear" w:color="000000" w:fill="FFFF99"/>
      <w:spacing w:before="100" w:beforeAutospacing="1" w:after="100" w:afterAutospacing="1"/>
      <w:jc w:val="center"/>
      <w:textAlignment w:val="center"/>
    </w:pPr>
    <w:rPr>
      <w:rFonts w:ascii="Arial" w:eastAsia="Times New Roman" w:hAnsi="Arial" w:cs="Arial"/>
      <w:b/>
      <w:bCs/>
    </w:rPr>
  </w:style>
  <w:style w:type="paragraph" w:customStyle="1" w:styleId="xl115">
    <w:name w:val="xl115"/>
    <w:basedOn w:val="Normal"/>
    <w:rsid w:val="0024279B"/>
    <w:pPr>
      <w:pBdr>
        <w:top w:val="single" w:sz="12" w:space="0" w:color="auto"/>
        <w:left w:val="single" w:sz="4" w:space="0" w:color="auto"/>
        <w:bottom w:val="single" w:sz="12" w:space="0" w:color="auto"/>
        <w:right w:val="single" w:sz="12" w:space="0" w:color="auto"/>
      </w:pBdr>
      <w:shd w:val="clear" w:color="000000" w:fill="FFFF99"/>
      <w:spacing w:before="100" w:beforeAutospacing="1" w:after="100" w:afterAutospacing="1"/>
      <w:jc w:val="center"/>
      <w:textAlignment w:val="center"/>
    </w:pPr>
    <w:rPr>
      <w:rFonts w:ascii="Arial" w:eastAsia="Times New Roman" w:hAnsi="Arial" w:cs="Arial"/>
      <w:b/>
      <w:bCs/>
      <w:color w:val="C00000"/>
    </w:rPr>
  </w:style>
  <w:style w:type="paragraph" w:customStyle="1" w:styleId="xl116">
    <w:name w:val="xl116"/>
    <w:basedOn w:val="Normal"/>
    <w:rsid w:val="0024279B"/>
    <w:pPr>
      <w:pBdr>
        <w:top w:val="single" w:sz="12" w:space="0" w:color="auto"/>
        <w:left w:val="single" w:sz="4" w:space="0" w:color="auto"/>
        <w:bottom w:val="single" w:sz="12" w:space="0" w:color="auto"/>
        <w:right w:val="single" w:sz="12" w:space="0" w:color="auto"/>
      </w:pBdr>
      <w:shd w:val="clear" w:color="000000" w:fill="FCD5B4"/>
      <w:spacing w:before="100" w:beforeAutospacing="1" w:after="100" w:afterAutospacing="1"/>
      <w:jc w:val="center"/>
      <w:textAlignment w:val="center"/>
    </w:pPr>
    <w:rPr>
      <w:rFonts w:ascii="Arial" w:eastAsia="Times New Roman" w:hAnsi="Arial" w:cs="Arial"/>
      <w:b/>
      <w:bCs/>
      <w:color w:val="C00000"/>
    </w:rPr>
  </w:style>
  <w:style w:type="paragraph" w:customStyle="1" w:styleId="xl117">
    <w:name w:val="xl117"/>
    <w:basedOn w:val="Normal"/>
    <w:rsid w:val="0024279B"/>
    <w:pPr>
      <w:pBdr>
        <w:left w:val="single" w:sz="4" w:space="0" w:color="auto"/>
        <w:right w:val="single" w:sz="12" w:space="0" w:color="auto"/>
      </w:pBdr>
      <w:shd w:val="clear" w:color="000000" w:fill="D8E4BC"/>
      <w:spacing w:before="100" w:beforeAutospacing="1" w:after="100" w:afterAutospacing="1"/>
      <w:jc w:val="center"/>
      <w:textAlignment w:val="center"/>
    </w:pPr>
    <w:rPr>
      <w:rFonts w:ascii="Arial" w:eastAsia="Times New Roman" w:hAnsi="Arial" w:cs="Arial"/>
      <w:b/>
      <w:bCs/>
      <w:color w:val="C00000"/>
    </w:rPr>
  </w:style>
  <w:style w:type="paragraph" w:customStyle="1" w:styleId="xl118">
    <w:name w:val="xl118"/>
    <w:basedOn w:val="Normal"/>
    <w:rsid w:val="0024279B"/>
    <w:pPr>
      <w:spacing w:before="100" w:beforeAutospacing="1" w:after="100" w:afterAutospacing="1"/>
      <w:textAlignment w:val="center"/>
    </w:pPr>
    <w:rPr>
      <w:rFonts w:eastAsia="Times New Roman"/>
    </w:rPr>
  </w:style>
  <w:style w:type="paragraph" w:customStyle="1" w:styleId="xl119">
    <w:name w:val="xl119"/>
    <w:basedOn w:val="Normal"/>
    <w:rsid w:val="0024279B"/>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ascii="Arial" w:eastAsia="Times New Roman" w:hAnsi="Arial" w:cs="Arial"/>
      <w:b/>
      <w:bCs/>
    </w:rPr>
  </w:style>
  <w:style w:type="paragraph" w:customStyle="1" w:styleId="xl120">
    <w:name w:val="xl120"/>
    <w:basedOn w:val="Normal"/>
    <w:rsid w:val="0024279B"/>
    <w:pPr>
      <w:pBdr>
        <w:left w:val="single" w:sz="4" w:space="0" w:color="auto"/>
        <w:right w:val="single" w:sz="4" w:space="0" w:color="auto"/>
      </w:pBdr>
      <w:shd w:val="clear" w:color="000000" w:fill="D8E4BC"/>
      <w:spacing w:before="100" w:beforeAutospacing="1" w:after="100" w:afterAutospacing="1"/>
      <w:textAlignment w:val="center"/>
    </w:pPr>
    <w:rPr>
      <w:rFonts w:eastAsia="Times New Roman"/>
    </w:rPr>
  </w:style>
  <w:style w:type="paragraph" w:customStyle="1" w:styleId="xl121">
    <w:name w:val="xl121"/>
    <w:basedOn w:val="Normal"/>
    <w:rsid w:val="0024279B"/>
    <w:pPr>
      <w:pBdr>
        <w:top w:val="double" w:sz="6"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rPr>
  </w:style>
  <w:style w:type="paragraph" w:customStyle="1" w:styleId="xl122">
    <w:name w:val="xl122"/>
    <w:basedOn w:val="Normal"/>
    <w:rsid w:val="0024279B"/>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rPr>
  </w:style>
  <w:style w:type="paragraph" w:customStyle="1" w:styleId="xl123">
    <w:name w:val="xl123"/>
    <w:basedOn w:val="Normal"/>
    <w:rsid w:val="0024279B"/>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rFonts w:eastAsia="Times New Roman"/>
    </w:rPr>
  </w:style>
  <w:style w:type="paragraph" w:customStyle="1" w:styleId="xl124">
    <w:name w:val="xl124"/>
    <w:basedOn w:val="Normal"/>
    <w:rsid w:val="0024279B"/>
    <w:pPr>
      <w:pBdr>
        <w:top w:val="dotted" w:sz="4" w:space="0" w:color="auto"/>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25">
    <w:name w:val="xl125"/>
    <w:basedOn w:val="Normal"/>
    <w:rsid w:val="0024279B"/>
    <w:pPr>
      <w:pBdr>
        <w:left w:val="single" w:sz="4" w:space="0" w:color="auto"/>
        <w:bottom w:val="dotted" w:sz="4" w:space="0" w:color="auto"/>
        <w:right w:val="single" w:sz="4" w:space="0" w:color="auto"/>
      </w:pBdr>
      <w:spacing w:before="100" w:beforeAutospacing="1" w:after="100" w:afterAutospacing="1"/>
      <w:textAlignment w:val="center"/>
    </w:pPr>
    <w:rPr>
      <w:rFonts w:eastAsia="Times New Roman"/>
    </w:rPr>
  </w:style>
  <w:style w:type="paragraph" w:customStyle="1" w:styleId="xl126">
    <w:name w:val="xl126"/>
    <w:basedOn w:val="Normal"/>
    <w:rsid w:val="0024279B"/>
    <w:pPr>
      <w:pBdr>
        <w:top w:val="double" w:sz="6" w:space="0" w:color="auto"/>
      </w:pBdr>
      <w:spacing w:before="100" w:beforeAutospacing="1" w:after="100" w:afterAutospacing="1"/>
      <w:textAlignment w:val="center"/>
    </w:pPr>
    <w:rPr>
      <w:rFonts w:eastAsia="Times New Roman"/>
    </w:rPr>
  </w:style>
  <w:style w:type="paragraph" w:customStyle="1" w:styleId="xl127">
    <w:name w:val="xl127"/>
    <w:basedOn w:val="Normal"/>
    <w:rsid w:val="0024279B"/>
    <w:pPr>
      <w:pBdr>
        <w:top w:val="single" w:sz="12" w:space="0" w:color="auto"/>
        <w:left w:val="single" w:sz="4" w:space="0" w:color="auto"/>
        <w:right w:val="single" w:sz="4" w:space="0" w:color="auto"/>
      </w:pBdr>
      <w:shd w:val="clear" w:color="000000" w:fill="FCD5B4"/>
      <w:spacing w:before="100" w:beforeAutospacing="1" w:after="100" w:afterAutospacing="1"/>
      <w:textAlignment w:val="center"/>
    </w:pPr>
    <w:rPr>
      <w:rFonts w:eastAsia="Times New Roman"/>
    </w:rPr>
  </w:style>
  <w:style w:type="paragraph" w:customStyle="1" w:styleId="xl128">
    <w:name w:val="xl128"/>
    <w:basedOn w:val="Normal"/>
    <w:rsid w:val="0024279B"/>
    <w:pPr>
      <w:pBdr>
        <w:top w:val="single" w:sz="12"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129">
    <w:name w:val="xl129"/>
    <w:basedOn w:val="Normal"/>
    <w:rsid w:val="0024279B"/>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130">
    <w:name w:val="xl130"/>
    <w:basedOn w:val="Normal"/>
    <w:rsid w:val="0024279B"/>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131">
    <w:name w:val="xl131"/>
    <w:basedOn w:val="Normal"/>
    <w:rsid w:val="0024279B"/>
    <w:pPr>
      <w:pBdr>
        <w:left w:val="single" w:sz="4" w:space="0" w:color="auto"/>
        <w:bottom w:val="dotted"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132">
    <w:name w:val="xl132"/>
    <w:basedOn w:val="Normal"/>
    <w:rsid w:val="0024279B"/>
    <w:pPr>
      <w:pBdr>
        <w:top w:val="dotted" w:sz="4" w:space="0" w:color="auto"/>
        <w:left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133">
    <w:name w:val="xl133"/>
    <w:basedOn w:val="Normal"/>
    <w:rsid w:val="0024279B"/>
    <w:pPr>
      <w:pBdr>
        <w:top w:val="double" w:sz="6"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134">
    <w:name w:val="xl134"/>
    <w:basedOn w:val="Normal"/>
    <w:rsid w:val="0024279B"/>
    <w:pPr>
      <w:pBdr>
        <w:top w:val="single" w:sz="12" w:space="0" w:color="auto"/>
        <w:left w:val="single" w:sz="4" w:space="0" w:color="auto"/>
        <w:bottom w:val="single" w:sz="12" w:space="0" w:color="auto"/>
        <w:right w:val="single" w:sz="4" w:space="0" w:color="auto"/>
      </w:pBdr>
      <w:shd w:val="clear" w:color="000000" w:fill="FFFF99"/>
      <w:spacing w:before="100" w:beforeAutospacing="1" w:after="100" w:afterAutospacing="1"/>
      <w:textAlignment w:val="center"/>
    </w:pPr>
    <w:rPr>
      <w:rFonts w:eastAsia="Times New Roman"/>
    </w:rPr>
  </w:style>
  <w:style w:type="paragraph" w:customStyle="1" w:styleId="xl135">
    <w:name w:val="xl135"/>
    <w:basedOn w:val="Normal"/>
    <w:rsid w:val="0024279B"/>
    <w:pPr>
      <w:pBdr>
        <w:bottom w:val="single" w:sz="12" w:space="0" w:color="auto"/>
      </w:pBdr>
      <w:spacing w:before="100" w:beforeAutospacing="1" w:after="100" w:afterAutospacing="1"/>
      <w:textAlignment w:val="center"/>
    </w:pPr>
    <w:rPr>
      <w:rFonts w:ascii="Arial" w:eastAsia="Times New Roman" w:hAnsi="Arial" w:cs="Arial"/>
      <w:color w:val="FF0000"/>
    </w:rPr>
  </w:style>
  <w:style w:type="numbering" w:customStyle="1" w:styleId="NoList3">
    <w:name w:val="No List3"/>
    <w:next w:val="NoList"/>
    <w:uiPriority w:val="99"/>
    <w:semiHidden/>
    <w:unhideWhenUsed/>
    <w:rsid w:val="00572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399299">
      <w:bodyDiv w:val="1"/>
      <w:marLeft w:val="0"/>
      <w:marRight w:val="0"/>
      <w:marTop w:val="0"/>
      <w:marBottom w:val="0"/>
      <w:divBdr>
        <w:top w:val="none" w:sz="0" w:space="0" w:color="auto"/>
        <w:left w:val="none" w:sz="0" w:space="0" w:color="auto"/>
        <w:bottom w:val="none" w:sz="0" w:space="0" w:color="auto"/>
        <w:right w:val="none" w:sz="0" w:space="0" w:color="auto"/>
      </w:divBdr>
    </w:div>
    <w:div w:id="546646895">
      <w:bodyDiv w:val="1"/>
      <w:marLeft w:val="0"/>
      <w:marRight w:val="0"/>
      <w:marTop w:val="0"/>
      <w:marBottom w:val="0"/>
      <w:divBdr>
        <w:top w:val="none" w:sz="0" w:space="0" w:color="auto"/>
        <w:left w:val="none" w:sz="0" w:space="0" w:color="auto"/>
        <w:bottom w:val="none" w:sz="0" w:space="0" w:color="auto"/>
        <w:right w:val="none" w:sz="0" w:space="0" w:color="auto"/>
      </w:divBdr>
    </w:div>
    <w:div w:id="939802248">
      <w:bodyDiv w:val="1"/>
      <w:marLeft w:val="0"/>
      <w:marRight w:val="0"/>
      <w:marTop w:val="0"/>
      <w:marBottom w:val="0"/>
      <w:divBdr>
        <w:top w:val="none" w:sz="0" w:space="0" w:color="auto"/>
        <w:left w:val="none" w:sz="0" w:space="0" w:color="auto"/>
        <w:bottom w:val="none" w:sz="0" w:space="0" w:color="auto"/>
        <w:right w:val="none" w:sz="0" w:space="0" w:color="auto"/>
      </w:divBdr>
    </w:div>
    <w:div w:id="97622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4.emf"/><Relationship Id="rId68"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9.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chart" Target="charts/chart12.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chart" Target="charts/chart16.xml"/><Relationship Id="rId58" Type="http://schemas.openxmlformats.org/officeDocument/2006/relationships/image" Target="media/image30.emf"/><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hyperlink" Target="https://www.tatime.gov.al/sq-al/Legjislacioni/COUNCIL_DECISIONS/Legjislacioni%20Tatimor/Tatimi%20mbi%20te%20Ardhurat/Ligji%20nr.%208438%20dt.%2028.12.1998.pdf" TargetMode="Externa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chart" Target="charts/chart18.xml"/><Relationship Id="rId64" Type="http://schemas.openxmlformats.org/officeDocument/2006/relationships/image" Target="media/image35.emf"/><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image" Target="media/image9.emf"/><Relationship Id="rId33" Type="http://schemas.openxmlformats.org/officeDocument/2006/relationships/chart" Target="charts/chart13.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image" Target="media/image5.emf"/><Relationship Id="rId41" Type="http://schemas.openxmlformats.org/officeDocument/2006/relationships/image" Target="media/image17.png"/><Relationship Id="rId54" Type="http://schemas.openxmlformats.org/officeDocument/2006/relationships/chart" Target="charts/chart17.xml"/><Relationship Id="rId62" Type="http://schemas.openxmlformats.org/officeDocument/2006/relationships/image" Target="media/image33.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emf"/><Relationship Id="rId28" Type="http://schemas.openxmlformats.org/officeDocument/2006/relationships/chart" Target="charts/chart8.xml"/><Relationship Id="rId36" Type="http://schemas.openxmlformats.org/officeDocument/2006/relationships/image" Target="media/image12.emf"/><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hyperlink" Target="http://www.imf.org/en/Publications/WEO/Issues/2017/09/19/world-" TargetMode="External"/><Relationship Id="rId31" Type="http://schemas.openxmlformats.org/officeDocument/2006/relationships/chart" Target="charts/chart11.xml"/><Relationship Id="rId44" Type="http://schemas.openxmlformats.org/officeDocument/2006/relationships/image" Target="media/image20.png"/><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mf.org/en/Publications/WEO/Issues/2017/09/19/world-" TargetMode="External"/><Relationship Id="rId13" Type="http://schemas.openxmlformats.org/officeDocument/2006/relationships/image" Target="media/image4.emf"/><Relationship Id="rId18" Type="http://schemas.openxmlformats.org/officeDocument/2006/relationships/chart" Target="charts/chart5.xml"/><Relationship Id="rId39" Type="http://schemas.openxmlformats.org/officeDocument/2006/relationships/image" Target="media/image15.png"/><Relationship Id="rId34" Type="http://schemas.openxmlformats.org/officeDocument/2006/relationships/chart" Target="charts/chart14.xml"/><Relationship Id="rId50" Type="http://schemas.openxmlformats.org/officeDocument/2006/relationships/image" Target="media/image26.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76477940257467"/>
          <c:y val="4.0616815623807326E-2"/>
          <c:w val="0.87823522059742531"/>
          <c:h val="0.84870631579869948"/>
        </c:manualLayout>
      </c:layout>
      <c:lineChart>
        <c:grouping val="standard"/>
        <c:varyColors val="0"/>
        <c:ser>
          <c:idx val="0"/>
          <c:order val="0"/>
          <c:tx>
            <c:strRef>
              <c:f>Shpenzimet!$D$90</c:f>
              <c:strCache>
                <c:ptCount val="1"/>
                <c:pt idx="0">
                  <c:v>Transferta e pakushtezuar</c:v>
                </c:pt>
              </c:strCache>
            </c:strRef>
          </c:tx>
          <c:spPr>
            <a:ln>
              <a:solidFill>
                <a:srgbClr val="FF0000">
                  <a:alpha val="96000"/>
                </a:srgbClr>
              </a:solidFill>
            </a:ln>
          </c:spPr>
          <c:dLbls>
            <c:numFmt formatCode="#,##0" sourceLinked="0"/>
            <c:spPr>
              <a:noFill/>
              <a:ln w="25336">
                <a:noFill/>
              </a:ln>
            </c:spPr>
            <c:txPr>
              <a:bodyPr wrap="square" lIns="38100" tIns="19050" rIns="38100" bIns="19050" anchor="ctr">
                <a:spAutoFit/>
              </a:bodyPr>
              <a:lstStyle/>
              <a:p>
                <a:pPr>
                  <a:defRPr sz="1048"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Shpenzimet!$E$89:$J$89</c:f>
              <c:strCache>
                <c:ptCount val="6"/>
                <c:pt idx="0">
                  <c:v>2013</c:v>
                </c:pt>
                <c:pt idx="1">
                  <c:v>2014</c:v>
                </c:pt>
                <c:pt idx="2">
                  <c:v>2015</c:v>
                </c:pt>
                <c:pt idx="3">
                  <c:v>2016</c:v>
                </c:pt>
                <c:pt idx="4">
                  <c:v>2017</c:v>
                </c:pt>
                <c:pt idx="5">
                  <c:v>P/B 2018</c:v>
                </c:pt>
              </c:strCache>
            </c:strRef>
          </c:cat>
          <c:val>
            <c:numRef>
              <c:f>Shpenzimet!$E$90:$J$90</c:f>
              <c:numCache>
                <c:formatCode>General</c:formatCode>
                <c:ptCount val="6"/>
                <c:pt idx="0">
                  <c:v>12153</c:v>
                </c:pt>
                <c:pt idx="1">
                  <c:v>13356</c:v>
                </c:pt>
                <c:pt idx="2">
                  <c:v>12335</c:v>
                </c:pt>
                <c:pt idx="3">
                  <c:v>13000</c:v>
                </c:pt>
                <c:pt idx="4">
                  <c:v>15500</c:v>
                </c:pt>
                <c:pt idx="5">
                  <c:v>16500</c:v>
                </c:pt>
              </c:numCache>
            </c:numRef>
          </c:val>
          <c:smooth val="0"/>
        </c:ser>
        <c:dLbls>
          <c:showLegendKey val="0"/>
          <c:showVal val="0"/>
          <c:showCatName val="0"/>
          <c:showSerName val="0"/>
          <c:showPercent val="0"/>
          <c:showBubbleSize val="0"/>
        </c:dLbls>
        <c:marker val="1"/>
        <c:smooth val="0"/>
        <c:axId val="-613406656"/>
        <c:axId val="-613412096"/>
      </c:lineChart>
      <c:catAx>
        <c:axId val="-613406656"/>
        <c:scaling>
          <c:orientation val="minMax"/>
        </c:scaling>
        <c:delete val="0"/>
        <c:axPos val="b"/>
        <c:numFmt formatCode="General" sourceLinked="1"/>
        <c:majorTickMark val="out"/>
        <c:minorTickMark val="none"/>
        <c:tickLblPos val="nextTo"/>
        <c:txPr>
          <a:bodyPr/>
          <a:lstStyle/>
          <a:p>
            <a:pPr>
              <a:defRPr sz="1098" b="1"/>
            </a:pPr>
            <a:endParaRPr lang="en-US"/>
          </a:p>
        </c:txPr>
        <c:crossAx val="-613412096"/>
        <c:crosses val="autoZero"/>
        <c:auto val="1"/>
        <c:lblAlgn val="ctr"/>
        <c:lblOffset val="100"/>
        <c:noMultiLvlLbl val="0"/>
      </c:catAx>
      <c:valAx>
        <c:axId val="-613412096"/>
        <c:scaling>
          <c:orientation val="minMax"/>
        </c:scaling>
        <c:delete val="0"/>
        <c:axPos val="l"/>
        <c:majorGridlines>
          <c:spPr>
            <a:ln>
              <a:solidFill>
                <a:schemeClr val="bg1"/>
              </a:solidFill>
              <a:prstDash val="sysDash"/>
            </a:ln>
          </c:spPr>
        </c:majorGridlines>
        <c:title>
          <c:tx>
            <c:rich>
              <a:bodyPr/>
              <a:lstStyle/>
              <a:p>
                <a:pPr>
                  <a:defRPr sz="994" b="1" i="0" u="none" strike="noStrike" baseline="0">
                    <a:solidFill>
                      <a:srgbClr val="000000"/>
                    </a:solidFill>
                    <a:latin typeface="Calibri"/>
                    <a:ea typeface="Calibri"/>
                    <a:cs typeface="Calibri"/>
                  </a:defRPr>
                </a:pPr>
                <a:r>
                  <a:rPr lang="en-US"/>
                  <a:t>Në mln lekë</a:t>
                </a:r>
              </a:p>
            </c:rich>
          </c:tx>
          <c:layout>
            <c:manualLayout>
              <c:xMode val="edge"/>
              <c:yMode val="edge"/>
              <c:x val="2.0533147642259168E-5"/>
              <c:y val="0"/>
            </c:manualLayout>
          </c:layout>
          <c:overlay val="0"/>
          <c:spPr>
            <a:noFill/>
            <a:ln w="25336">
              <a:noFill/>
            </a:ln>
          </c:spPr>
        </c:title>
        <c:numFmt formatCode="General" sourceLinked="1"/>
        <c:majorTickMark val="out"/>
        <c:minorTickMark val="none"/>
        <c:tickLblPos val="nextTo"/>
        <c:txPr>
          <a:bodyPr/>
          <a:lstStyle/>
          <a:p>
            <a:pPr>
              <a:defRPr sz="1098" b="1"/>
            </a:pPr>
            <a:endParaRPr lang="en-US"/>
          </a:p>
        </c:txPr>
        <c:crossAx val="-613406656"/>
        <c:crosses val="autoZero"/>
        <c:crossBetween val="between"/>
      </c:valAx>
      <c:spPr>
        <a:noFill/>
        <a:ln w="25366">
          <a:noFill/>
        </a:ln>
      </c:spPr>
    </c:plotArea>
    <c:plotVisOnly val="1"/>
    <c:dispBlanksAs val="gap"/>
    <c:showDLblsOverMax val="0"/>
  </c:chart>
  <c:spPr>
    <a:noFill/>
    <a:ln>
      <a:noFill/>
    </a:ln>
    <a:effectLst>
      <a:glow rad="101600">
        <a:schemeClr val="tx1">
          <a:alpha val="40000"/>
        </a:schemeClr>
      </a:glow>
      <a:outerShdw blurRad="50800" dist="50800" dir="5400000" algn="ctr" rotWithShape="0">
        <a:schemeClr val="bg1"/>
      </a:outerShdw>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'Taksat grafiket'!$B$16</c:f>
              <c:strCache>
                <c:ptCount val="1"/>
                <c:pt idx="0">
                  <c:v>Rimbursim i TVSH</c:v>
                </c:pt>
              </c:strCache>
            </c:strRef>
          </c:tx>
          <c:spPr>
            <a:solidFill>
              <a:schemeClr val="accent2">
                <a:lumMod val="75000"/>
              </a:schemeClr>
            </a:solidFill>
          </c:spPr>
          <c:invertIfNegative val="0"/>
          <c:dPt>
            <c:idx val="0"/>
            <c:invertIfNegative val="0"/>
            <c:bubble3D val="0"/>
            <c:spPr>
              <a:solidFill>
                <a:schemeClr val="accent2">
                  <a:lumMod val="20000"/>
                  <a:lumOff val="80000"/>
                </a:schemeClr>
              </a:solidFill>
            </c:spPr>
          </c:dPt>
          <c:dPt>
            <c:idx val="1"/>
            <c:invertIfNegative val="0"/>
            <c:bubble3D val="0"/>
            <c:spPr>
              <a:solidFill>
                <a:schemeClr val="accent2"/>
              </a:solidFill>
            </c:spPr>
          </c:dPt>
          <c:dPt>
            <c:idx val="2"/>
            <c:invertIfNegative val="0"/>
            <c:bubble3D val="0"/>
            <c:spPr>
              <a:solidFill>
                <a:schemeClr val="accent2">
                  <a:lumMod val="60000"/>
                  <a:lumOff val="40000"/>
                </a:schemeClr>
              </a:solidFill>
            </c:spPr>
          </c:dPt>
          <c:dPt>
            <c:idx val="3"/>
            <c:invertIfNegative val="0"/>
            <c:bubble3D val="0"/>
            <c:spPr>
              <a:solidFill>
                <a:schemeClr val="accent2">
                  <a:lumMod val="20000"/>
                  <a:lumOff val="80000"/>
                </a:schemeClr>
              </a:solidFill>
            </c:spPr>
          </c:dPt>
          <c:dPt>
            <c:idx val="4"/>
            <c:invertIfNegative val="0"/>
            <c:bubble3D val="0"/>
            <c:spPr>
              <a:solidFill>
                <a:schemeClr val="accent2"/>
              </a:solidFill>
            </c:spPr>
          </c:dPt>
          <c:dLbls>
            <c:dLbl>
              <c:idx val="0"/>
              <c:layout>
                <c:manualLayout>
                  <c:x val="8.3333333333333332E-3"/>
                  <c:y val="-2.14067278287461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5E-2"/>
                  <c:y val="-9.174311926605505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500000000000001E-2"/>
                  <c:y val="-3.6697247706422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2.44648318042814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749999999999999E-2"/>
                  <c:y val="-1.223241590214067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500000000000001E-2"/>
                  <c:y val="-1.834862385321101E-2"/>
                </c:manualLayout>
              </c:layout>
              <c:spPr/>
              <c:txPr>
                <a:bodyPr/>
                <a:lstStyle/>
                <a:p>
                  <a:pPr>
                    <a:defRPr b="1" i="1"/>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i="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grafiket'!$A$17:$A$22</c:f>
              <c:numCache>
                <c:formatCode>General</c:formatCode>
                <c:ptCount val="6"/>
                <c:pt idx="0">
                  <c:v>2012</c:v>
                </c:pt>
                <c:pt idx="1">
                  <c:v>2013</c:v>
                </c:pt>
                <c:pt idx="2">
                  <c:v>2014</c:v>
                </c:pt>
                <c:pt idx="3">
                  <c:v>2015</c:v>
                </c:pt>
                <c:pt idx="4">
                  <c:v>2016</c:v>
                </c:pt>
                <c:pt idx="5">
                  <c:v>2017</c:v>
                </c:pt>
              </c:numCache>
            </c:numRef>
          </c:cat>
          <c:val>
            <c:numRef>
              <c:f>'Taksat grafiket'!$B$17:$B$22</c:f>
              <c:numCache>
                <c:formatCode>_(* #,##0_);_(* \(#,##0\);_(* "-"??_);_(@_)</c:formatCode>
                <c:ptCount val="6"/>
                <c:pt idx="0">
                  <c:v>5218</c:v>
                </c:pt>
                <c:pt idx="1">
                  <c:v>6498</c:v>
                </c:pt>
                <c:pt idx="2">
                  <c:v>5942</c:v>
                </c:pt>
                <c:pt idx="3">
                  <c:v>5397</c:v>
                </c:pt>
                <c:pt idx="4">
                  <c:v>6472</c:v>
                </c:pt>
                <c:pt idx="5">
                  <c:v>9043</c:v>
                </c:pt>
              </c:numCache>
            </c:numRef>
          </c:val>
        </c:ser>
        <c:dLbls>
          <c:showLegendKey val="0"/>
          <c:showVal val="0"/>
          <c:showCatName val="0"/>
          <c:showSerName val="0"/>
          <c:showPercent val="0"/>
          <c:showBubbleSize val="0"/>
        </c:dLbls>
        <c:gapWidth val="150"/>
        <c:shape val="box"/>
        <c:axId val="-613450176"/>
        <c:axId val="-613426240"/>
        <c:axId val="0"/>
      </c:bar3DChart>
      <c:catAx>
        <c:axId val="-613450176"/>
        <c:scaling>
          <c:orientation val="minMax"/>
        </c:scaling>
        <c:delete val="0"/>
        <c:axPos val="b"/>
        <c:numFmt formatCode="General" sourceLinked="1"/>
        <c:majorTickMark val="none"/>
        <c:minorTickMark val="none"/>
        <c:tickLblPos val="nextTo"/>
        <c:txPr>
          <a:bodyPr/>
          <a:lstStyle/>
          <a:p>
            <a:pPr>
              <a:defRPr b="1"/>
            </a:pPr>
            <a:endParaRPr lang="en-US"/>
          </a:p>
        </c:txPr>
        <c:crossAx val="-613426240"/>
        <c:crosses val="autoZero"/>
        <c:auto val="1"/>
        <c:lblAlgn val="ctr"/>
        <c:lblOffset val="100"/>
        <c:noMultiLvlLbl val="0"/>
      </c:catAx>
      <c:valAx>
        <c:axId val="-613426240"/>
        <c:scaling>
          <c:orientation val="minMax"/>
        </c:scaling>
        <c:delete val="0"/>
        <c:axPos val="l"/>
        <c:majorGridlines/>
        <c:title>
          <c:tx>
            <c:rich>
              <a:bodyPr rot="-5400000" vert="horz"/>
              <a:lstStyle/>
              <a:p>
                <a:pPr>
                  <a:defRPr sz="800" i="1"/>
                </a:pPr>
                <a:r>
                  <a:rPr lang="en-US" sz="800" i="1"/>
                  <a:t>Rimbursimi i TVSH</a:t>
                </a:r>
              </a:p>
            </c:rich>
          </c:tx>
          <c:layout>
            <c:manualLayout>
              <c:xMode val="edge"/>
              <c:yMode val="edge"/>
              <c:x val="2.7613417254881974E-2"/>
              <c:y val="0.26688855069586892"/>
            </c:manualLayout>
          </c:layout>
          <c:overlay val="0"/>
        </c:title>
        <c:numFmt formatCode="_(* #,##0_);_(* \(#,##0\);_(* &quot;-&quot;??_);_(@_)" sourceLinked="1"/>
        <c:majorTickMark val="none"/>
        <c:minorTickMark val="none"/>
        <c:tickLblPos val="nextTo"/>
        <c:crossAx val="-613450176"/>
        <c:crosses val="autoZero"/>
        <c:crossBetween val="between"/>
      </c:valAx>
    </c:plotArea>
    <c:plotVisOnly val="1"/>
    <c:dispBlanksAs val="gap"/>
    <c:showDLblsOverMax val="0"/>
  </c:chart>
  <c:txPr>
    <a:bodyPr/>
    <a:lstStyle/>
    <a:p>
      <a:pPr>
        <a:defRPr sz="9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544854970051819E-2"/>
          <c:y val="0.16102067729338709"/>
          <c:w val="0.9453374137361461"/>
          <c:h val="0.69460444273734079"/>
        </c:manualLayout>
      </c:layout>
      <c:lineChart>
        <c:grouping val="standard"/>
        <c:varyColors val="0"/>
        <c:ser>
          <c:idx val="0"/>
          <c:order val="0"/>
          <c:tx>
            <c:strRef>
              <c:f>'Taksat grafiket'!$B$32</c:f>
              <c:strCache>
                <c:ptCount val="1"/>
                <c:pt idx="0">
                  <c:v>Fakt</c:v>
                </c:pt>
              </c:strCache>
            </c:strRef>
          </c:tx>
          <c:dLbls>
            <c:dLbl>
              <c:idx val="0"/>
              <c:layout>
                <c:manualLayout>
                  <c:x val="-2.3582766439909298E-2"/>
                  <c:y val="4.90196078431373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275920904077859E-2"/>
                  <c:y val="4.90194639648538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40589569160998E-2"/>
                  <c:y val="3.92156862745098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362070405099781E-2"/>
                  <c:y val="6.089690401603021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863945578231291E-2"/>
                  <c:y val="-3.92156862745097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7444814590483881E-2"/>
                  <c:y val="-6.73462646437487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grafiket'!$A$33:$A$38</c:f>
              <c:numCache>
                <c:formatCode>General</c:formatCode>
                <c:ptCount val="6"/>
                <c:pt idx="0">
                  <c:v>2012</c:v>
                </c:pt>
                <c:pt idx="1">
                  <c:v>2013</c:v>
                </c:pt>
                <c:pt idx="2">
                  <c:v>2014</c:v>
                </c:pt>
                <c:pt idx="3">
                  <c:v>2015</c:v>
                </c:pt>
                <c:pt idx="4">
                  <c:v>2016</c:v>
                </c:pt>
                <c:pt idx="5">
                  <c:v>2017</c:v>
                </c:pt>
              </c:numCache>
            </c:numRef>
          </c:cat>
          <c:val>
            <c:numRef>
              <c:f>'Taksat grafiket'!$B$33:$B$38</c:f>
              <c:numCache>
                <c:formatCode>#,##0</c:formatCode>
                <c:ptCount val="6"/>
                <c:pt idx="0">
                  <c:v>12733</c:v>
                </c:pt>
                <c:pt idx="1">
                  <c:v>11554</c:v>
                </c:pt>
                <c:pt idx="2">
                  <c:v>16109</c:v>
                </c:pt>
                <c:pt idx="3">
                  <c:v>17634</c:v>
                </c:pt>
                <c:pt idx="4">
                  <c:v>21733</c:v>
                </c:pt>
                <c:pt idx="5" formatCode="_(* #,##0_);_(* \(#,##0\);_(* &quot;-&quot;??_);_(@_)">
                  <c:v>23465</c:v>
                </c:pt>
              </c:numCache>
            </c:numRef>
          </c:val>
          <c:smooth val="0"/>
        </c:ser>
        <c:ser>
          <c:idx val="1"/>
          <c:order val="1"/>
          <c:tx>
            <c:strRef>
              <c:f>'Taksat grafiket'!$C$32</c:f>
              <c:strCache>
                <c:ptCount val="1"/>
                <c:pt idx="0">
                  <c:v>Plan</c:v>
                </c:pt>
              </c:strCache>
            </c:strRef>
          </c:tx>
          <c:dLbls>
            <c:dLbl>
              <c:idx val="0"/>
              <c:layout>
                <c:manualLayout>
                  <c:x val="-4.2415859843245737E-2"/>
                  <c:y val="-8.602150537634403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406439340310677E-2"/>
                  <c:y val="-5.35527145128364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863945578231291E-2"/>
                  <c:y val="-4.90196078431372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230542758918619E-2"/>
                  <c:y val="-6.1142625988955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653061224489799E-2"/>
                  <c:y val="4.248366013071895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645029948179557E-2"/>
                  <c:y val="0.1038832341079316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grafiket'!$A$33:$A$38</c:f>
              <c:numCache>
                <c:formatCode>General</c:formatCode>
                <c:ptCount val="6"/>
                <c:pt idx="0">
                  <c:v>2012</c:v>
                </c:pt>
                <c:pt idx="1">
                  <c:v>2013</c:v>
                </c:pt>
                <c:pt idx="2">
                  <c:v>2014</c:v>
                </c:pt>
                <c:pt idx="3">
                  <c:v>2015</c:v>
                </c:pt>
                <c:pt idx="4">
                  <c:v>2016</c:v>
                </c:pt>
                <c:pt idx="5">
                  <c:v>2017</c:v>
                </c:pt>
              </c:numCache>
            </c:numRef>
          </c:cat>
          <c:val>
            <c:numRef>
              <c:f>'Taksat grafiket'!$C$33:$C$38</c:f>
              <c:numCache>
                <c:formatCode>#,##0</c:formatCode>
                <c:ptCount val="6"/>
                <c:pt idx="0">
                  <c:v>16630</c:v>
                </c:pt>
                <c:pt idx="1">
                  <c:v>13550</c:v>
                </c:pt>
                <c:pt idx="2">
                  <c:v>16101</c:v>
                </c:pt>
                <c:pt idx="3">
                  <c:v>18630</c:v>
                </c:pt>
                <c:pt idx="4">
                  <c:v>18100</c:v>
                </c:pt>
                <c:pt idx="5" formatCode="_(* #,##0_);_(* \(#,##0\);_(* &quot;-&quot;??_);_(@_)">
                  <c:v>23440</c:v>
                </c:pt>
              </c:numCache>
            </c:numRef>
          </c:val>
          <c:smooth val="0"/>
        </c:ser>
        <c:dLbls>
          <c:showLegendKey val="0"/>
          <c:showVal val="1"/>
          <c:showCatName val="0"/>
          <c:showSerName val="0"/>
          <c:showPercent val="0"/>
          <c:showBubbleSize val="0"/>
        </c:dLbls>
        <c:marker val="1"/>
        <c:smooth val="0"/>
        <c:axId val="-613452352"/>
        <c:axId val="-613438208"/>
      </c:lineChart>
      <c:catAx>
        <c:axId val="-613452352"/>
        <c:scaling>
          <c:orientation val="minMax"/>
        </c:scaling>
        <c:delete val="0"/>
        <c:axPos val="b"/>
        <c:numFmt formatCode="General" sourceLinked="1"/>
        <c:majorTickMark val="none"/>
        <c:minorTickMark val="none"/>
        <c:tickLblPos val="nextTo"/>
        <c:txPr>
          <a:bodyPr/>
          <a:lstStyle/>
          <a:p>
            <a:pPr>
              <a:defRPr sz="900" b="1"/>
            </a:pPr>
            <a:endParaRPr lang="en-US"/>
          </a:p>
        </c:txPr>
        <c:crossAx val="-613438208"/>
        <c:crosses val="autoZero"/>
        <c:auto val="1"/>
        <c:lblAlgn val="ctr"/>
        <c:lblOffset val="100"/>
        <c:noMultiLvlLbl val="0"/>
      </c:catAx>
      <c:valAx>
        <c:axId val="-613438208"/>
        <c:scaling>
          <c:orientation val="minMax"/>
        </c:scaling>
        <c:delete val="1"/>
        <c:axPos val="l"/>
        <c:numFmt formatCode="#,##0" sourceLinked="1"/>
        <c:majorTickMark val="out"/>
        <c:minorTickMark val="none"/>
        <c:tickLblPos val="nextTo"/>
        <c:crossAx val="-613452352"/>
        <c:crosses val="autoZero"/>
        <c:crossBetween val="between"/>
      </c:valAx>
    </c:plotArea>
    <c:legend>
      <c:legendPos val="t"/>
      <c:overlay val="0"/>
      <c:txPr>
        <a:bodyPr/>
        <a:lstStyle/>
        <a:p>
          <a:pPr>
            <a:defRPr sz="900" b="1"/>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861183581437627E-2"/>
          <c:y val="0.19212965107302765"/>
          <c:w val="0.97747787523561058"/>
          <c:h val="0.68823336421182646"/>
        </c:manualLayout>
      </c:layout>
      <c:lineChart>
        <c:grouping val="standard"/>
        <c:varyColors val="0"/>
        <c:ser>
          <c:idx val="0"/>
          <c:order val="0"/>
          <c:tx>
            <c:strRef>
              <c:f>'Taksat grafiket'!$B$44</c:f>
              <c:strCache>
                <c:ptCount val="1"/>
                <c:pt idx="0">
                  <c:v>Fakt </c:v>
                </c:pt>
              </c:strCache>
            </c:strRef>
          </c:tx>
          <c:dLbls>
            <c:dLbl>
              <c:idx val="0"/>
              <c:layout>
                <c:manualLayout>
                  <c:x val="0"/>
                  <c:y val="2.81071468783776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850246544219489E-2"/>
                  <c:y val="-3.51339335979720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12083763107576E-2"/>
                  <c:y val="4.216072031756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376818650662809E-2"/>
                  <c:y val="4.216072031756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2173920981995664E-2"/>
                  <c:y val="-4.216072031756646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891567304180315E-2"/>
                  <c:y val="3.67647058823529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grafiket'!$A$45:$A$50</c:f>
              <c:numCache>
                <c:formatCode>General</c:formatCode>
                <c:ptCount val="6"/>
                <c:pt idx="0">
                  <c:v>2012</c:v>
                </c:pt>
                <c:pt idx="1">
                  <c:v>2013</c:v>
                </c:pt>
                <c:pt idx="2">
                  <c:v>2014</c:v>
                </c:pt>
                <c:pt idx="3">
                  <c:v>2015</c:v>
                </c:pt>
                <c:pt idx="4">
                  <c:v>2016</c:v>
                </c:pt>
                <c:pt idx="5">
                  <c:v>2017</c:v>
                </c:pt>
              </c:numCache>
            </c:numRef>
          </c:cat>
          <c:val>
            <c:numRef>
              <c:f>'Taksat grafiket'!$B$45:$B$50</c:f>
              <c:numCache>
                <c:formatCode>_(* #,##0_);_(* \(#,##0\);_(* "-"??_);_(@_)</c:formatCode>
                <c:ptCount val="6"/>
                <c:pt idx="0">
                  <c:v>20263</c:v>
                </c:pt>
                <c:pt idx="1">
                  <c:v>21694</c:v>
                </c:pt>
                <c:pt idx="2">
                  <c:v>20476</c:v>
                </c:pt>
                <c:pt idx="3">
                  <c:v>21967</c:v>
                </c:pt>
                <c:pt idx="4">
                  <c:v>24407</c:v>
                </c:pt>
                <c:pt idx="5" formatCode="#,##0">
                  <c:v>24528</c:v>
                </c:pt>
              </c:numCache>
            </c:numRef>
          </c:val>
          <c:smooth val="0"/>
        </c:ser>
        <c:ser>
          <c:idx val="1"/>
          <c:order val="1"/>
          <c:tx>
            <c:strRef>
              <c:f>'Taksat grafiket'!$C$44</c:f>
              <c:strCache>
                <c:ptCount val="1"/>
                <c:pt idx="0">
                  <c:v>Plan</c:v>
                </c:pt>
              </c:strCache>
            </c:strRef>
          </c:tx>
          <c:dLbls>
            <c:dLbl>
              <c:idx val="0"/>
              <c:layout>
                <c:manualLayout>
                  <c:x val="-6.2582177227846508E-2"/>
                  <c:y val="-7.92397825271840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376795493155945E-2"/>
                  <c:y val="7.92397825271841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376789108258022E-2"/>
                  <c:y val="-8.15166652555527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10634015575639E-2"/>
                  <c:y val="-6.02946405892811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568222075688897E-2"/>
                  <c:y val="8.882623543024863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379318325949996E-2"/>
                  <c:y val="-7.45800524934383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grafiket'!$A$45:$A$50</c:f>
              <c:numCache>
                <c:formatCode>General</c:formatCode>
                <c:ptCount val="6"/>
                <c:pt idx="0">
                  <c:v>2012</c:v>
                </c:pt>
                <c:pt idx="1">
                  <c:v>2013</c:v>
                </c:pt>
                <c:pt idx="2">
                  <c:v>2014</c:v>
                </c:pt>
                <c:pt idx="3">
                  <c:v>2015</c:v>
                </c:pt>
                <c:pt idx="4">
                  <c:v>2016</c:v>
                </c:pt>
                <c:pt idx="5">
                  <c:v>2017</c:v>
                </c:pt>
              </c:numCache>
            </c:numRef>
          </c:cat>
          <c:val>
            <c:numRef>
              <c:f>'Taksat grafiket'!$C$45:$C$50</c:f>
              <c:numCache>
                <c:formatCode>_(* #,##0_);_(* \(#,##0\);_(* "-"??_);_(@_)</c:formatCode>
                <c:ptCount val="6"/>
                <c:pt idx="0">
                  <c:v>21650</c:v>
                </c:pt>
                <c:pt idx="1">
                  <c:v>21500</c:v>
                </c:pt>
                <c:pt idx="2">
                  <c:v>20488</c:v>
                </c:pt>
                <c:pt idx="3">
                  <c:v>22784</c:v>
                </c:pt>
                <c:pt idx="4">
                  <c:v>24030</c:v>
                </c:pt>
                <c:pt idx="5" formatCode="#,##0">
                  <c:v>25474</c:v>
                </c:pt>
              </c:numCache>
            </c:numRef>
          </c:val>
          <c:smooth val="0"/>
        </c:ser>
        <c:dLbls>
          <c:showLegendKey val="0"/>
          <c:showVal val="1"/>
          <c:showCatName val="0"/>
          <c:showSerName val="0"/>
          <c:showPercent val="0"/>
          <c:showBubbleSize val="0"/>
        </c:dLbls>
        <c:marker val="1"/>
        <c:smooth val="0"/>
        <c:axId val="-613448544"/>
        <c:axId val="-613449088"/>
      </c:lineChart>
      <c:catAx>
        <c:axId val="-613448544"/>
        <c:scaling>
          <c:orientation val="minMax"/>
        </c:scaling>
        <c:delete val="0"/>
        <c:axPos val="b"/>
        <c:numFmt formatCode="General" sourceLinked="1"/>
        <c:majorTickMark val="none"/>
        <c:minorTickMark val="none"/>
        <c:tickLblPos val="nextTo"/>
        <c:txPr>
          <a:bodyPr/>
          <a:lstStyle/>
          <a:p>
            <a:pPr>
              <a:defRPr sz="900" b="1"/>
            </a:pPr>
            <a:endParaRPr lang="en-US"/>
          </a:p>
        </c:txPr>
        <c:crossAx val="-613449088"/>
        <c:crosses val="autoZero"/>
        <c:auto val="1"/>
        <c:lblAlgn val="ctr"/>
        <c:lblOffset val="100"/>
        <c:noMultiLvlLbl val="0"/>
      </c:catAx>
      <c:valAx>
        <c:axId val="-613449088"/>
        <c:scaling>
          <c:orientation val="minMax"/>
        </c:scaling>
        <c:delete val="1"/>
        <c:axPos val="l"/>
        <c:numFmt formatCode="_(* #,##0_);_(* \(#,##0\);_(* &quot;-&quot;??_);_(@_)" sourceLinked="1"/>
        <c:majorTickMark val="out"/>
        <c:minorTickMark val="none"/>
        <c:tickLblPos val="nextTo"/>
        <c:crossAx val="-613448544"/>
        <c:crosses val="autoZero"/>
        <c:crossBetween val="between"/>
      </c:valAx>
    </c:plotArea>
    <c:legend>
      <c:legendPos val="t"/>
      <c:overlay val="0"/>
      <c:txPr>
        <a:bodyPr/>
        <a:lstStyle/>
        <a:p>
          <a:pPr>
            <a:defRPr sz="900" b="1"/>
          </a:pPr>
          <a:endParaRPr lang="en-U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171276079573023E-2"/>
          <c:y val="0.22299330121048302"/>
          <c:w val="0.95730228044638521"/>
          <c:h val="0.62860940993486925"/>
        </c:manualLayout>
      </c:layout>
      <c:lineChart>
        <c:grouping val="standard"/>
        <c:varyColors val="0"/>
        <c:ser>
          <c:idx val="0"/>
          <c:order val="0"/>
          <c:tx>
            <c:strRef>
              <c:f>'Taksat grafiket'!$B$54</c:f>
              <c:strCache>
                <c:ptCount val="1"/>
                <c:pt idx="0">
                  <c:v>Fakt </c:v>
                </c:pt>
              </c:strCache>
            </c:strRef>
          </c:tx>
          <c:dLbls>
            <c:dLbl>
              <c:idx val="0"/>
              <c:layout>
                <c:manualLayout>
                  <c:x val="-5.128205128205128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697719553614753E-2"/>
                  <c:y val="4.8048041555880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34551450299479E-2"/>
                  <c:y val="6.244288908330902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8754626825493E-2"/>
                  <c:y val="9.399873626907748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248906386701664E-2"/>
                  <c:y val="6.175221152911441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6186991049195774E-2"/>
                  <c:y val="-6.0622630504520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grafiket'!$A$55:$A$60</c:f>
              <c:numCache>
                <c:formatCode>General</c:formatCode>
                <c:ptCount val="6"/>
                <c:pt idx="0">
                  <c:v>2012</c:v>
                </c:pt>
                <c:pt idx="1">
                  <c:v>2013</c:v>
                </c:pt>
                <c:pt idx="2">
                  <c:v>2014</c:v>
                </c:pt>
                <c:pt idx="3">
                  <c:v>2015</c:v>
                </c:pt>
                <c:pt idx="4">
                  <c:v>2016</c:v>
                </c:pt>
                <c:pt idx="5">
                  <c:v>2017</c:v>
                </c:pt>
              </c:numCache>
            </c:numRef>
          </c:cat>
          <c:val>
            <c:numRef>
              <c:f>'Taksat grafiket'!$B$55:$B$60</c:f>
              <c:numCache>
                <c:formatCode>_(* #,##0_);_(* \(#,##0\);_(* "-"??_);_(@_)</c:formatCode>
                <c:ptCount val="6"/>
                <c:pt idx="0">
                  <c:v>17392</c:v>
                </c:pt>
                <c:pt idx="1">
                  <c:v>14272</c:v>
                </c:pt>
                <c:pt idx="2">
                  <c:v>19210</c:v>
                </c:pt>
                <c:pt idx="3">
                  <c:v>21721</c:v>
                </c:pt>
                <c:pt idx="4">
                  <c:v>24125</c:v>
                </c:pt>
                <c:pt idx="5" formatCode="#,##0">
                  <c:v>28261</c:v>
                </c:pt>
              </c:numCache>
            </c:numRef>
          </c:val>
          <c:smooth val="0"/>
        </c:ser>
        <c:ser>
          <c:idx val="1"/>
          <c:order val="1"/>
          <c:tx>
            <c:strRef>
              <c:f>'Taksat grafiket'!$C$54</c:f>
              <c:strCache>
                <c:ptCount val="1"/>
                <c:pt idx="0">
                  <c:v>Plan</c:v>
                </c:pt>
              </c:strCache>
            </c:strRef>
          </c:tx>
          <c:dLbls>
            <c:dLbl>
              <c:idx val="0"/>
              <c:layout>
                <c:manualLayout>
                  <c:x val="-3.2993692382338673E-2"/>
                  <c:y val="3.43200296827721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638524987869965E-2"/>
                  <c:y val="-4.461603858760376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816108685104316E-2"/>
                  <c:y val="-5.148004452415819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934497816593885E-2"/>
                  <c:y val="-4.461603858760373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4342552159146046E-2"/>
                  <c:y val="-5.148004452415822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297494326968409E-2"/>
                  <c:y val="3.4825870646766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grafiket'!$A$55:$A$60</c:f>
              <c:numCache>
                <c:formatCode>General</c:formatCode>
                <c:ptCount val="6"/>
                <c:pt idx="0">
                  <c:v>2012</c:v>
                </c:pt>
                <c:pt idx="1">
                  <c:v>2013</c:v>
                </c:pt>
                <c:pt idx="2">
                  <c:v>2014</c:v>
                </c:pt>
                <c:pt idx="3">
                  <c:v>2015</c:v>
                </c:pt>
                <c:pt idx="4">
                  <c:v>2016</c:v>
                </c:pt>
                <c:pt idx="5">
                  <c:v>2017</c:v>
                </c:pt>
              </c:numCache>
            </c:numRef>
          </c:cat>
          <c:val>
            <c:numRef>
              <c:f>'Taksat grafiket'!$C$55:$C$60</c:f>
              <c:numCache>
                <c:formatCode>_(* #,##0_);_(* \(#,##0\);_(* "-"??_);_(@_)</c:formatCode>
                <c:ptCount val="6"/>
                <c:pt idx="0">
                  <c:v>13180</c:v>
                </c:pt>
                <c:pt idx="1">
                  <c:v>17000</c:v>
                </c:pt>
                <c:pt idx="2">
                  <c:v>19513</c:v>
                </c:pt>
                <c:pt idx="3">
                  <c:v>22163</c:v>
                </c:pt>
                <c:pt idx="4">
                  <c:v>24625</c:v>
                </c:pt>
                <c:pt idx="5" formatCode="#,##0">
                  <c:v>27971</c:v>
                </c:pt>
              </c:numCache>
            </c:numRef>
          </c:val>
          <c:smooth val="0"/>
        </c:ser>
        <c:dLbls>
          <c:showLegendKey val="0"/>
          <c:showVal val="1"/>
          <c:showCatName val="0"/>
          <c:showSerName val="0"/>
          <c:showPercent val="0"/>
          <c:showBubbleSize val="0"/>
        </c:dLbls>
        <c:marker val="1"/>
        <c:smooth val="0"/>
        <c:axId val="-613442560"/>
        <c:axId val="-613448000"/>
      </c:lineChart>
      <c:catAx>
        <c:axId val="-613442560"/>
        <c:scaling>
          <c:orientation val="minMax"/>
        </c:scaling>
        <c:delete val="0"/>
        <c:axPos val="b"/>
        <c:numFmt formatCode="General" sourceLinked="1"/>
        <c:majorTickMark val="none"/>
        <c:minorTickMark val="none"/>
        <c:tickLblPos val="nextTo"/>
        <c:txPr>
          <a:bodyPr/>
          <a:lstStyle/>
          <a:p>
            <a:pPr>
              <a:defRPr b="1"/>
            </a:pPr>
            <a:endParaRPr lang="en-US"/>
          </a:p>
        </c:txPr>
        <c:crossAx val="-613448000"/>
        <c:crosses val="autoZero"/>
        <c:auto val="1"/>
        <c:lblAlgn val="ctr"/>
        <c:lblOffset val="100"/>
        <c:noMultiLvlLbl val="0"/>
      </c:catAx>
      <c:valAx>
        <c:axId val="-613448000"/>
        <c:scaling>
          <c:orientation val="minMax"/>
        </c:scaling>
        <c:delete val="1"/>
        <c:axPos val="l"/>
        <c:numFmt formatCode="_(* #,##0_);_(* \(#,##0\);_(* &quot;-&quot;??_);_(@_)" sourceLinked="1"/>
        <c:majorTickMark val="out"/>
        <c:minorTickMark val="none"/>
        <c:tickLblPos val="nextTo"/>
        <c:crossAx val="-613442560"/>
        <c:crosses val="autoZero"/>
        <c:crossBetween val="between"/>
      </c:valAx>
    </c:plotArea>
    <c:legend>
      <c:legendPos val="t"/>
      <c:overlay val="0"/>
      <c:txPr>
        <a:bodyPr/>
        <a:lstStyle/>
        <a:p>
          <a:pPr>
            <a:defRPr sz="900" b="1"/>
          </a:pPr>
          <a:endParaRPr lang="en-U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833336440189757E-2"/>
          <c:y val="0.21644962648899657"/>
          <c:w val="0.95833332711962049"/>
          <c:h val="0.6392769869283581"/>
        </c:manualLayout>
      </c:layout>
      <c:lineChart>
        <c:grouping val="standard"/>
        <c:varyColors val="0"/>
        <c:ser>
          <c:idx val="0"/>
          <c:order val="0"/>
          <c:tx>
            <c:strRef>
              <c:f>'Taksat grafiket'!$B$65</c:f>
              <c:strCache>
                <c:ptCount val="1"/>
                <c:pt idx="0">
                  <c:v>Fakt </c:v>
                </c:pt>
              </c:strCache>
            </c:strRef>
          </c:tx>
          <c:dLbls>
            <c:dLbl>
              <c:idx val="0"/>
              <c:layout>
                <c:manualLayout>
                  <c:x val="-4.5528467595396728E-2"/>
                  <c:y val="7.88611768356541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263593532924561E-2"/>
                  <c:y val="2.989535918097073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480045763510329E-2"/>
                  <c:y val="-4.90449038697748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659230096237971E-2"/>
                  <c:y val="-5.892039357149321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176054916212399E-2"/>
                  <c:y val="-5.5578914704627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136371262283951E-2"/>
                  <c:y val="-3.92156728198332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grafiket'!$A$66:$A$71</c:f>
              <c:numCache>
                <c:formatCode>General</c:formatCode>
                <c:ptCount val="6"/>
                <c:pt idx="0">
                  <c:v>2012</c:v>
                </c:pt>
                <c:pt idx="1">
                  <c:v>2013</c:v>
                </c:pt>
                <c:pt idx="2">
                  <c:v>2014</c:v>
                </c:pt>
                <c:pt idx="3">
                  <c:v>2015</c:v>
                </c:pt>
                <c:pt idx="4">
                  <c:v>2016</c:v>
                </c:pt>
                <c:pt idx="5">
                  <c:v>2017</c:v>
                </c:pt>
              </c:numCache>
            </c:numRef>
          </c:cat>
          <c:val>
            <c:numRef>
              <c:f>'Taksat grafiket'!$B$66:$B$71</c:f>
              <c:numCache>
                <c:formatCode>_(* #,##0_);_(* \(#,##0\);_(* "-"??_);_(@_)</c:formatCode>
                <c:ptCount val="6"/>
                <c:pt idx="0">
                  <c:v>39357</c:v>
                </c:pt>
                <c:pt idx="1">
                  <c:v>40572</c:v>
                </c:pt>
                <c:pt idx="2">
                  <c:v>44824</c:v>
                </c:pt>
                <c:pt idx="3">
                  <c:v>49124</c:v>
                </c:pt>
                <c:pt idx="4">
                  <c:v>55562</c:v>
                </c:pt>
                <c:pt idx="5">
                  <c:v>61150</c:v>
                </c:pt>
              </c:numCache>
            </c:numRef>
          </c:val>
          <c:smooth val="0"/>
        </c:ser>
        <c:ser>
          <c:idx val="1"/>
          <c:order val="1"/>
          <c:tx>
            <c:strRef>
              <c:f>'Taksat grafiket'!$C$65</c:f>
              <c:strCache>
                <c:ptCount val="1"/>
                <c:pt idx="0">
                  <c:v>Plan</c:v>
                </c:pt>
              </c:strCache>
            </c:strRef>
          </c:tx>
          <c:dLbls>
            <c:dLbl>
              <c:idx val="0"/>
              <c:layout>
                <c:manualLayout>
                  <c:x val="-5.7720066464429287E-2"/>
                  <c:y val="-3.58744310171648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789659567190402E-2"/>
                  <c:y val="-5.0822110607650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099973080288044E-2"/>
                  <c:y val="5.88241986993005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708037663176599E-2"/>
                  <c:y val="3.25998370008149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860061569443686E-2"/>
                  <c:y val="3.592093873331661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045457087427985E-2"/>
                  <c:y val="3.48583758398518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grafiket'!$A$66:$A$71</c:f>
              <c:numCache>
                <c:formatCode>General</c:formatCode>
                <c:ptCount val="6"/>
                <c:pt idx="0">
                  <c:v>2012</c:v>
                </c:pt>
                <c:pt idx="1">
                  <c:v>2013</c:v>
                </c:pt>
                <c:pt idx="2">
                  <c:v>2014</c:v>
                </c:pt>
                <c:pt idx="3">
                  <c:v>2015</c:v>
                </c:pt>
                <c:pt idx="4">
                  <c:v>2016</c:v>
                </c:pt>
                <c:pt idx="5">
                  <c:v>2017</c:v>
                </c:pt>
              </c:numCache>
            </c:numRef>
          </c:cat>
          <c:val>
            <c:numRef>
              <c:f>'Taksat grafiket'!$C$66:$C$71</c:f>
              <c:numCache>
                <c:formatCode>_(* #,##0_);_(* \(#,##0\);_(* "-"??_);_(@_)</c:formatCode>
                <c:ptCount val="6"/>
                <c:pt idx="0">
                  <c:v>40380</c:v>
                </c:pt>
                <c:pt idx="1">
                  <c:v>41600</c:v>
                </c:pt>
                <c:pt idx="2">
                  <c:v>44836</c:v>
                </c:pt>
                <c:pt idx="3">
                  <c:v>47525</c:v>
                </c:pt>
                <c:pt idx="4">
                  <c:v>54780</c:v>
                </c:pt>
                <c:pt idx="5">
                  <c:v>59420</c:v>
                </c:pt>
              </c:numCache>
            </c:numRef>
          </c:val>
          <c:smooth val="0"/>
        </c:ser>
        <c:dLbls>
          <c:showLegendKey val="0"/>
          <c:showVal val="1"/>
          <c:showCatName val="0"/>
          <c:showSerName val="0"/>
          <c:showPercent val="0"/>
          <c:showBubbleSize val="0"/>
        </c:dLbls>
        <c:marker val="1"/>
        <c:smooth val="0"/>
        <c:axId val="-613447456"/>
        <c:axId val="-613446912"/>
      </c:lineChart>
      <c:catAx>
        <c:axId val="-613447456"/>
        <c:scaling>
          <c:orientation val="minMax"/>
        </c:scaling>
        <c:delete val="0"/>
        <c:axPos val="b"/>
        <c:numFmt formatCode="General" sourceLinked="1"/>
        <c:majorTickMark val="none"/>
        <c:minorTickMark val="none"/>
        <c:tickLblPos val="nextTo"/>
        <c:txPr>
          <a:bodyPr/>
          <a:lstStyle/>
          <a:p>
            <a:pPr>
              <a:defRPr sz="900" b="1"/>
            </a:pPr>
            <a:endParaRPr lang="en-US"/>
          </a:p>
        </c:txPr>
        <c:crossAx val="-613446912"/>
        <c:crosses val="autoZero"/>
        <c:auto val="1"/>
        <c:lblAlgn val="ctr"/>
        <c:lblOffset val="100"/>
        <c:noMultiLvlLbl val="0"/>
      </c:catAx>
      <c:valAx>
        <c:axId val="-613446912"/>
        <c:scaling>
          <c:orientation val="minMax"/>
        </c:scaling>
        <c:delete val="1"/>
        <c:axPos val="l"/>
        <c:numFmt formatCode="_(* #,##0_);_(* \(#,##0\);_(* &quot;-&quot;??_);_(@_)" sourceLinked="1"/>
        <c:majorTickMark val="out"/>
        <c:minorTickMark val="none"/>
        <c:tickLblPos val="nextTo"/>
        <c:crossAx val="-613447456"/>
        <c:crosses val="autoZero"/>
        <c:crossBetween val="between"/>
      </c:valAx>
    </c:plotArea>
    <c:legend>
      <c:legendPos val="t"/>
      <c:overlay val="0"/>
      <c:txPr>
        <a:bodyPr/>
        <a:lstStyle/>
        <a:p>
          <a:pPr>
            <a:defRPr sz="900" b="1"/>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39436246939712E-2"/>
          <c:y val="3.72550867039056E-2"/>
          <c:w val="0.80324202121793609"/>
          <c:h val="0.69656773672521699"/>
        </c:manualLayout>
      </c:layout>
      <c:barChart>
        <c:barDir val="col"/>
        <c:grouping val="clustered"/>
        <c:varyColors val="0"/>
        <c:ser>
          <c:idx val="1"/>
          <c:order val="0"/>
          <c:tx>
            <c:strRef>
              <c:f>'Te ardhurat'!$C$4</c:f>
              <c:strCache>
                <c:ptCount val="1"/>
                <c:pt idx="0">
                  <c:v>Të ardhura nga Pushteti Vendor</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ardhurat'!$D$3:$P$3</c:f>
              <c:strCache>
                <c:ptCount val="13"/>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pt idx="12">
                  <c:v>9M-2017</c:v>
                </c:pt>
              </c:strCache>
            </c:strRef>
          </c:cat>
          <c:val>
            <c:numRef>
              <c:f>'Te ardhurat'!$D$4:$P$4</c:f>
              <c:numCache>
                <c:formatCode>#,##0</c:formatCode>
                <c:ptCount val="13"/>
                <c:pt idx="0">
                  <c:v>8576.2599999999984</c:v>
                </c:pt>
                <c:pt idx="1">
                  <c:v>8114.0754300000008</c:v>
                </c:pt>
                <c:pt idx="2">
                  <c:v>7310.2893700000004</c:v>
                </c:pt>
                <c:pt idx="3">
                  <c:v>8398.74071</c:v>
                </c:pt>
                <c:pt idx="4">
                  <c:v>9499.4576699999998</c:v>
                </c:pt>
                <c:pt idx="5">
                  <c:v>8663.2209999999995</c:v>
                </c:pt>
                <c:pt idx="6">
                  <c:v>9176</c:v>
                </c:pt>
                <c:pt idx="7">
                  <c:v>8770</c:v>
                </c:pt>
                <c:pt idx="8">
                  <c:v>8096</c:v>
                </c:pt>
                <c:pt idx="9">
                  <c:v>9693</c:v>
                </c:pt>
                <c:pt idx="10">
                  <c:v>9440</c:v>
                </c:pt>
                <c:pt idx="11">
                  <c:v>11624</c:v>
                </c:pt>
                <c:pt idx="12">
                  <c:v>15413</c:v>
                </c:pt>
              </c:numCache>
            </c:numRef>
          </c:val>
        </c:ser>
        <c:dLbls>
          <c:showLegendKey val="0"/>
          <c:showVal val="0"/>
          <c:showCatName val="0"/>
          <c:showSerName val="0"/>
          <c:showPercent val="0"/>
          <c:showBubbleSize val="0"/>
        </c:dLbls>
        <c:gapWidth val="40"/>
        <c:axId val="-613439296"/>
        <c:axId val="-613439840"/>
      </c:barChart>
      <c:lineChart>
        <c:grouping val="standard"/>
        <c:varyColors val="0"/>
        <c:ser>
          <c:idx val="0"/>
          <c:order val="1"/>
          <c:tx>
            <c:strRef>
              <c:f>'Te ardhurat'!$C$5</c:f>
              <c:strCache>
                <c:ptCount val="1"/>
                <c:pt idx="0">
                  <c:v>Ritmi i rritjes</c:v>
                </c:pt>
              </c:strCache>
            </c:strRef>
          </c:tx>
          <c:marker>
            <c:symbol val="none"/>
          </c:marker>
          <c:dLbls>
            <c:dLbl>
              <c:idx val="1"/>
              <c:layout>
                <c:manualLayout>
                  <c:x val="-6.1617012159194386E-2"/>
                  <c:y val="-7.74925044481799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ardhurat'!$D$3:$P$3</c:f>
              <c:strCache>
                <c:ptCount val="13"/>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pt idx="12">
                  <c:v>9M-2017</c:v>
                </c:pt>
              </c:strCache>
            </c:strRef>
          </c:cat>
          <c:val>
            <c:numRef>
              <c:f>'Te ardhurat'!$D$5:$P$5</c:f>
              <c:numCache>
                <c:formatCode>0%</c:formatCode>
                <c:ptCount val="13"/>
                <c:pt idx="0">
                  <c:v>9.4E-2</c:v>
                </c:pt>
                <c:pt idx="1">
                  <c:v>-5.3891156518109024E-2</c:v>
                </c:pt>
                <c:pt idx="2">
                  <c:v>-9.9060708386833451E-2</c:v>
                </c:pt>
                <c:pt idx="3">
                  <c:v>0.14889305811433284</c:v>
                </c:pt>
                <c:pt idx="4">
                  <c:v>0.13105738086299365</c:v>
                </c:pt>
                <c:pt idx="5">
                  <c:v>-8.8029938029083321E-2</c:v>
                </c:pt>
                <c:pt idx="6">
                  <c:v>5.9190340405722131E-2</c:v>
                </c:pt>
                <c:pt idx="7">
                  <c:v>-4.4245858761987791E-2</c:v>
                </c:pt>
                <c:pt idx="8">
                  <c:v>-7.6852907639680723E-2</c:v>
                </c:pt>
                <c:pt idx="9">
                  <c:v>0.19725790513833993</c:v>
                </c:pt>
                <c:pt idx="10">
                  <c:v>-2.6101310223872898E-2</c:v>
                </c:pt>
                <c:pt idx="11">
                  <c:v>0.23135593220338982</c:v>
                </c:pt>
                <c:pt idx="12">
                  <c:v>0.32596352374397797</c:v>
                </c:pt>
              </c:numCache>
            </c:numRef>
          </c:val>
          <c:smooth val="1"/>
        </c:ser>
        <c:dLbls>
          <c:showLegendKey val="0"/>
          <c:showVal val="0"/>
          <c:showCatName val="0"/>
          <c:showSerName val="0"/>
          <c:showPercent val="0"/>
          <c:showBubbleSize val="0"/>
        </c:dLbls>
        <c:marker val="1"/>
        <c:smooth val="0"/>
        <c:axId val="-613430048"/>
        <c:axId val="-613446368"/>
      </c:lineChart>
      <c:catAx>
        <c:axId val="-613439296"/>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en-US"/>
          </a:p>
        </c:txPr>
        <c:crossAx val="-613439840"/>
        <c:crosses val="autoZero"/>
        <c:auto val="0"/>
        <c:lblAlgn val="ctr"/>
        <c:lblOffset val="100"/>
        <c:tickLblSkip val="1"/>
        <c:tickMarkSkip val="1"/>
        <c:noMultiLvlLbl val="0"/>
      </c:catAx>
      <c:valAx>
        <c:axId val="-613439840"/>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2.3209979077158964E-3"/>
              <c:y val="2.8844471364156354E-3"/>
            </c:manualLayout>
          </c:layout>
          <c:overlay val="0"/>
        </c:title>
        <c:numFmt formatCode="#,##0.0" sourceLinked="0"/>
        <c:majorTickMark val="cross"/>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613439296"/>
        <c:crosses val="autoZero"/>
        <c:crossBetween val="between"/>
        <c:dispUnits>
          <c:builtInUnit val="thousands"/>
        </c:dispUnits>
      </c:valAx>
      <c:catAx>
        <c:axId val="-613430048"/>
        <c:scaling>
          <c:orientation val="minMax"/>
        </c:scaling>
        <c:delete val="1"/>
        <c:axPos val="b"/>
        <c:numFmt formatCode="General" sourceLinked="1"/>
        <c:majorTickMark val="out"/>
        <c:minorTickMark val="none"/>
        <c:tickLblPos val="nextTo"/>
        <c:crossAx val="-613446368"/>
        <c:crosses val="autoZero"/>
        <c:auto val="0"/>
        <c:lblAlgn val="ctr"/>
        <c:lblOffset val="100"/>
        <c:noMultiLvlLbl val="0"/>
      </c:catAx>
      <c:valAx>
        <c:axId val="-613446368"/>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sq-AL"/>
                  <a:t>Në përqindje</a:t>
                </a:r>
              </a:p>
            </c:rich>
          </c:tx>
          <c:layout>
            <c:manualLayout>
              <c:xMode val="edge"/>
              <c:yMode val="edge"/>
              <c:x val="0.94693972077019783"/>
              <c:y val="3.1356080489937691E-4"/>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3430048"/>
        <c:crosses val="max"/>
        <c:crossBetween val="between"/>
      </c:valAx>
    </c:plotArea>
    <c:legend>
      <c:legendPos val="b"/>
      <c:layout>
        <c:manualLayout>
          <c:xMode val="edge"/>
          <c:yMode val="edge"/>
          <c:x val="0.11429332270827451"/>
          <c:y val="0.90470466832671548"/>
          <c:w val="0.70631528201831917"/>
          <c:h val="9.0301689816862818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46791447741857E-2"/>
          <c:y val="4.8887837518164307E-2"/>
          <c:w val="0.84394137424134363"/>
          <c:h val="0.71342547846755211"/>
        </c:manualLayout>
      </c:layout>
      <c:barChart>
        <c:barDir val="col"/>
        <c:grouping val="clustered"/>
        <c:varyColors val="0"/>
        <c:ser>
          <c:idx val="1"/>
          <c:order val="0"/>
          <c:tx>
            <c:strRef>
              <c:f>'Te ardhurat'!$C$6</c:f>
              <c:strCache>
                <c:ptCount val="1"/>
                <c:pt idx="0">
                  <c:v>Taksë mbi Pasurinë (ndërtesat)</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ardhurat'!$D$3:$P$3</c:f>
              <c:strCache>
                <c:ptCount val="13"/>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pt idx="12">
                  <c:v>9M-2017</c:v>
                </c:pt>
              </c:strCache>
            </c:strRef>
          </c:cat>
          <c:val>
            <c:numRef>
              <c:f>'Te ardhurat'!$D$6:$P$6</c:f>
              <c:numCache>
                <c:formatCode>#,##0</c:formatCode>
                <c:ptCount val="13"/>
                <c:pt idx="0">
                  <c:v>748.96199999999999</c:v>
                </c:pt>
                <c:pt idx="1">
                  <c:v>816.226</c:v>
                </c:pt>
                <c:pt idx="2">
                  <c:v>781.01377999999988</c:v>
                </c:pt>
                <c:pt idx="3">
                  <c:v>1292.8259500000004</c:v>
                </c:pt>
                <c:pt idx="4">
                  <c:v>1219.3639999999998</c:v>
                </c:pt>
                <c:pt idx="5">
                  <c:v>1573.056</c:v>
                </c:pt>
                <c:pt idx="6">
                  <c:v>1499</c:v>
                </c:pt>
                <c:pt idx="7">
                  <c:v>2172</c:v>
                </c:pt>
                <c:pt idx="8">
                  <c:v>1981</c:v>
                </c:pt>
                <c:pt idx="9">
                  <c:v>2890</c:v>
                </c:pt>
                <c:pt idx="10">
                  <c:v>3150</c:v>
                </c:pt>
                <c:pt idx="11">
                  <c:v>3827</c:v>
                </c:pt>
                <c:pt idx="12">
                  <c:v>4009</c:v>
                </c:pt>
              </c:numCache>
            </c:numRef>
          </c:val>
        </c:ser>
        <c:dLbls>
          <c:showLegendKey val="0"/>
          <c:showVal val="0"/>
          <c:showCatName val="0"/>
          <c:showSerName val="0"/>
          <c:showPercent val="0"/>
          <c:showBubbleSize val="0"/>
        </c:dLbls>
        <c:gapWidth val="40"/>
        <c:axId val="-613436032"/>
        <c:axId val="-613438752"/>
      </c:barChart>
      <c:lineChart>
        <c:grouping val="standard"/>
        <c:varyColors val="0"/>
        <c:ser>
          <c:idx val="0"/>
          <c:order val="1"/>
          <c:tx>
            <c:strRef>
              <c:f>'Te ardhurat'!$C$7</c:f>
              <c:strCache>
                <c:ptCount val="1"/>
                <c:pt idx="0">
                  <c:v>Ritmi i rritjes</c:v>
                </c:pt>
              </c:strCache>
            </c:strRef>
          </c:tx>
          <c:marker>
            <c:symbol val="none"/>
          </c:marker>
          <c:dLbls>
            <c:dLbl>
              <c:idx val="0"/>
              <c:layout>
                <c:manualLayout>
                  <c:x val="-3.3047726177085006E-2"/>
                  <c:y val="-6.08711715913559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ardhurat'!$D$7:$P$7</c:f>
              <c:numCache>
                <c:formatCode>0%</c:formatCode>
                <c:ptCount val="13"/>
                <c:pt idx="0">
                  <c:v>9.9000000000000005E-2</c:v>
                </c:pt>
                <c:pt idx="1">
                  <c:v>8.9809629861061058E-2</c:v>
                </c:pt>
                <c:pt idx="2">
                  <c:v>-4.3140282225756242E-2</c:v>
                </c:pt>
                <c:pt idx="3">
                  <c:v>0.65531772051448389</c:v>
                </c:pt>
                <c:pt idx="4">
                  <c:v>-5.6822768757078666E-2</c:v>
                </c:pt>
                <c:pt idx="5">
                  <c:v>0.29006268841789679</c:v>
                </c:pt>
                <c:pt idx="6">
                  <c:v>-4.7077789983319115E-2</c:v>
                </c:pt>
                <c:pt idx="7">
                  <c:v>0.44896597731821214</c:v>
                </c:pt>
                <c:pt idx="8">
                  <c:v>-8.7937384898710863E-2</c:v>
                </c:pt>
                <c:pt idx="9">
                  <c:v>0.45885916203937405</c:v>
                </c:pt>
                <c:pt idx="10">
                  <c:v>8.9965397923875437E-2</c:v>
                </c:pt>
                <c:pt idx="11">
                  <c:v>0.21492063492063493</c:v>
                </c:pt>
                <c:pt idx="12">
                  <c:v>4.7556833028481842E-2</c:v>
                </c:pt>
              </c:numCache>
            </c:numRef>
          </c:val>
          <c:smooth val="1"/>
        </c:ser>
        <c:dLbls>
          <c:showLegendKey val="0"/>
          <c:showVal val="0"/>
          <c:showCatName val="0"/>
          <c:showSerName val="0"/>
          <c:showPercent val="0"/>
          <c:showBubbleSize val="0"/>
        </c:dLbls>
        <c:marker val="1"/>
        <c:smooth val="0"/>
        <c:axId val="-613444192"/>
        <c:axId val="-613434944"/>
      </c:lineChart>
      <c:catAx>
        <c:axId val="-613436032"/>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en-US"/>
          </a:p>
        </c:txPr>
        <c:crossAx val="-613438752"/>
        <c:crosses val="autoZero"/>
        <c:auto val="0"/>
        <c:lblAlgn val="ctr"/>
        <c:lblOffset val="100"/>
        <c:tickLblSkip val="1"/>
        <c:tickMarkSkip val="1"/>
        <c:noMultiLvlLbl val="0"/>
      </c:catAx>
      <c:valAx>
        <c:axId val="-613438752"/>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2.5654833811208005E-4"/>
              <c:y val="2.1848535027542158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3436032"/>
        <c:crosses val="autoZero"/>
        <c:crossBetween val="between"/>
        <c:dispUnits>
          <c:builtInUnit val="thousands"/>
        </c:dispUnits>
      </c:valAx>
      <c:valAx>
        <c:axId val="-613434944"/>
        <c:scaling>
          <c:orientation val="minMax"/>
        </c:scaling>
        <c:delete val="0"/>
        <c:axPos val="r"/>
        <c:numFmt formatCode="0%" sourceLinked="1"/>
        <c:majorTickMark val="out"/>
        <c:minorTickMark val="none"/>
        <c:tickLblPos val="nextTo"/>
        <c:crossAx val="-613444192"/>
        <c:crosses val="max"/>
        <c:crossBetween val="between"/>
      </c:valAx>
      <c:catAx>
        <c:axId val="-613444192"/>
        <c:scaling>
          <c:orientation val="minMax"/>
        </c:scaling>
        <c:delete val="1"/>
        <c:axPos val="b"/>
        <c:numFmt formatCode="General" sourceLinked="1"/>
        <c:majorTickMark val="out"/>
        <c:minorTickMark val="none"/>
        <c:tickLblPos val="nextTo"/>
        <c:crossAx val="-613434944"/>
        <c:crosses val="autoZero"/>
        <c:auto val="0"/>
        <c:lblAlgn val="ctr"/>
        <c:lblOffset val="100"/>
        <c:noMultiLvlLbl val="0"/>
      </c:catAx>
    </c:plotArea>
    <c:legend>
      <c:legendPos val="b"/>
      <c:layout>
        <c:manualLayout>
          <c:xMode val="edge"/>
          <c:yMode val="edge"/>
          <c:x val="0.1046654882425411"/>
          <c:y val="0.91614927962330894"/>
          <c:w val="0.79066902351491775"/>
          <c:h val="7.8856859630743584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19023048740066E-2"/>
          <c:y val="3.0474505293579875E-2"/>
          <c:w val="0.83835998315910165"/>
          <c:h val="0.73818003086692818"/>
        </c:manualLayout>
      </c:layout>
      <c:barChart>
        <c:barDir val="col"/>
        <c:grouping val="clustered"/>
        <c:varyColors val="0"/>
        <c:ser>
          <c:idx val="1"/>
          <c:order val="0"/>
          <c:tx>
            <c:strRef>
              <c:f>'Te ardhurat'!$C$8</c:f>
              <c:strCache>
                <c:ptCount val="1"/>
                <c:pt idx="0">
                  <c:v>Taksë mbi Biznesin e vogël</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ardhurat'!$D$3:$P$3</c:f>
              <c:strCache>
                <c:ptCount val="13"/>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pt idx="12">
                  <c:v>9M-2017</c:v>
                </c:pt>
              </c:strCache>
            </c:strRef>
          </c:cat>
          <c:val>
            <c:numRef>
              <c:f>'Te ardhurat'!$D$8:$P$8</c:f>
              <c:numCache>
                <c:formatCode>#,##0</c:formatCode>
                <c:ptCount val="13"/>
                <c:pt idx="0">
                  <c:v>2514.23</c:v>
                </c:pt>
                <c:pt idx="1">
                  <c:v>1894.279</c:v>
                </c:pt>
                <c:pt idx="2">
                  <c:v>1834.0714700000001</c:v>
                </c:pt>
                <c:pt idx="3">
                  <c:v>1984.7851599999999</c:v>
                </c:pt>
                <c:pt idx="4">
                  <c:v>1889.3696299999999</c:v>
                </c:pt>
                <c:pt idx="5">
                  <c:v>1810.76</c:v>
                </c:pt>
                <c:pt idx="6">
                  <c:v>2244</c:v>
                </c:pt>
                <c:pt idx="7">
                  <c:v>1639</c:v>
                </c:pt>
                <c:pt idx="8">
                  <c:v>1513</c:v>
                </c:pt>
                <c:pt idx="9">
                  <c:v>1540</c:v>
                </c:pt>
                <c:pt idx="10">
                  <c:v>1715</c:v>
                </c:pt>
                <c:pt idx="11">
                  <c:v>565</c:v>
                </c:pt>
                <c:pt idx="12">
                  <c:v>262</c:v>
                </c:pt>
              </c:numCache>
            </c:numRef>
          </c:val>
        </c:ser>
        <c:dLbls>
          <c:showLegendKey val="0"/>
          <c:showVal val="0"/>
          <c:showCatName val="0"/>
          <c:showSerName val="0"/>
          <c:showPercent val="0"/>
          <c:showBubbleSize val="0"/>
        </c:dLbls>
        <c:gapWidth val="40"/>
        <c:axId val="-613455072"/>
        <c:axId val="-613456160"/>
      </c:barChart>
      <c:lineChart>
        <c:grouping val="standard"/>
        <c:varyColors val="0"/>
        <c:ser>
          <c:idx val="0"/>
          <c:order val="1"/>
          <c:tx>
            <c:strRef>
              <c:f>'Te ardhurat'!$C$9</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ardhurat'!$D$9:$P$9</c:f>
              <c:numCache>
                <c:formatCode>0%</c:formatCode>
                <c:ptCount val="13"/>
                <c:pt idx="0">
                  <c:v>-0.28000000000000003</c:v>
                </c:pt>
                <c:pt idx="1">
                  <c:v>-0.24657688437414238</c:v>
                </c:pt>
                <c:pt idx="2">
                  <c:v>-3.1783876609517342E-2</c:v>
                </c:pt>
                <c:pt idx="3">
                  <c:v>8.217438222295656E-2</c:v>
                </c:pt>
                <c:pt idx="4">
                  <c:v>-4.807348015439615E-2</c:v>
                </c:pt>
                <c:pt idx="5">
                  <c:v>-4.1606273728449807E-2</c:v>
                </c:pt>
                <c:pt idx="6">
                  <c:v>0.23925865382491329</c:v>
                </c:pt>
                <c:pt idx="7">
                  <c:v>-0.26960784313725489</c:v>
                </c:pt>
                <c:pt idx="8">
                  <c:v>-7.6876143990237955E-2</c:v>
                </c:pt>
                <c:pt idx="9">
                  <c:v>1.7845340383344351E-2</c:v>
                </c:pt>
                <c:pt idx="10">
                  <c:v>0.11363636363636363</c:v>
                </c:pt>
                <c:pt idx="11">
                  <c:v>-0.67055393586005829</c:v>
                </c:pt>
                <c:pt idx="12">
                  <c:v>-0.536283185840708</c:v>
                </c:pt>
              </c:numCache>
            </c:numRef>
          </c:val>
          <c:smooth val="1"/>
        </c:ser>
        <c:dLbls>
          <c:showLegendKey val="0"/>
          <c:showVal val="0"/>
          <c:showCatName val="0"/>
          <c:showSerName val="0"/>
          <c:showPercent val="0"/>
          <c:showBubbleSize val="0"/>
        </c:dLbls>
        <c:marker val="1"/>
        <c:smooth val="0"/>
        <c:axId val="-613437664"/>
        <c:axId val="-613456704"/>
      </c:lineChart>
      <c:catAx>
        <c:axId val="-613455072"/>
        <c:scaling>
          <c:orientation val="minMax"/>
        </c:scaling>
        <c:delete val="0"/>
        <c:axPos val="b"/>
        <c:numFmt formatCode="General" sourceLinked="1"/>
        <c:majorTickMark val="cross"/>
        <c:minorTickMark val="none"/>
        <c:tickLblPos val="nextTo"/>
        <c:txPr>
          <a:bodyPr rot="-2700000" vert="horz"/>
          <a:lstStyle/>
          <a:p>
            <a:pPr>
              <a:defRPr sz="800" b="1" i="0" u="none" strike="noStrike" baseline="0">
                <a:solidFill>
                  <a:srgbClr val="000000"/>
                </a:solidFill>
                <a:latin typeface="Calibri"/>
                <a:ea typeface="Calibri"/>
                <a:cs typeface="Calibri"/>
              </a:defRPr>
            </a:pPr>
            <a:endParaRPr lang="en-US"/>
          </a:p>
        </c:txPr>
        <c:crossAx val="-613456160"/>
        <c:crosses val="autoZero"/>
        <c:auto val="0"/>
        <c:lblAlgn val="ctr"/>
        <c:lblOffset val="100"/>
        <c:tickLblSkip val="1"/>
        <c:tickMarkSkip val="1"/>
        <c:noMultiLvlLbl val="0"/>
      </c:catAx>
      <c:valAx>
        <c:axId val="-613456160"/>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1.623175942597618E-4"/>
              <c:y val="6.2673626470848487E-3"/>
            </c:manualLayout>
          </c:layout>
          <c:overlay val="0"/>
        </c:title>
        <c:numFmt formatCode="#,##0.0" sourceLinked="0"/>
        <c:majorTickMark val="cross"/>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613455072"/>
        <c:crosses val="autoZero"/>
        <c:crossBetween val="between"/>
        <c:dispUnits>
          <c:builtInUnit val="thousands"/>
        </c:dispUnits>
      </c:valAx>
      <c:catAx>
        <c:axId val="-613437664"/>
        <c:scaling>
          <c:orientation val="minMax"/>
        </c:scaling>
        <c:delete val="1"/>
        <c:axPos val="b"/>
        <c:numFmt formatCode="General" sourceLinked="1"/>
        <c:majorTickMark val="out"/>
        <c:minorTickMark val="none"/>
        <c:tickLblPos val="nextTo"/>
        <c:crossAx val="-613456704"/>
        <c:crosses val="autoZero"/>
        <c:auto val="0"/>
        <c:lblAlgn val="ctr"/>
        <c:lblOffset val="100"/>
        <c:noMultiLvlLbl val="0"/>
      </c:catAx>
      <c:valAx>
        <c:axId val="-613456704"/>
        <c:scaling>
          <c:orientation val="minMax"/>
        </c:scaling>
        <c:delete val="0"/>
        <c:axPos val="r"/>
        <c:numFmt formatCode="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13437664"/>
        <c:crosses val="max"/>
        <c:crossBetween val="between"/>
      </c:valAx>
    </c:plotArea>
    <c:legend>
      <c:legendPos val="b"/>
      <c:layout>
        <c:manualLayout>
          <c:xMode val="edge"/>
          <c:yMode val="edge"/>
          <c:x val="0.22983555626975197"/>
          <c:y val="0.9047045523803906"/>
          <c:w val="0.54032888746049612"/>
          <c:h val="9.0301689816862818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922545224408981E-2"/>
          <c:y val="3.1866943525009767E-2"/>
          <c:w val="0.88634662274287235"/>
          <c:h val="0.70838831427652771"/>
        </c:manualLayout>
      </c:layout>
      <c:barChart>
        <c:barDir val="col"/>
        <c:grouping val="clustered"/>
        <c:varyColors val="0"/>
        <c:ser>
          <c:idx val="1"/>
          <c:order val="0"/>
          <c:tx>
            <c:strRef>
              <c:f>Shpenzimet!$C$5</c:f>
              <c:strCache>
                <c:ptCount val="1"/>
                <c:pt idx="0">
                  <c:v>Buxheti lokal </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Shpenzimet!$E$4:$Q$4</c:f>
              <c:strCache>
                <c:ptCount val="13"/>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pt idx="12">
                  <c:v>9M-2017</c:v>
                </c:pt>
              </c:strCache>
            </c:strRef>
          </c:cat>
          <c:val>
            <c:numRef>
              <c:f>Shpenzimet!$E$5:$Q$5</c:f>
              <c:numCache>
                <c:formatCode>#,##0</c:formatCode>
                <c:ptCount val="13"/>
                <c:pt idx="0">
                  <c:v>12940.592999999999</c:v>
                </c:pt>
                <c:pt idx="1">
                  <c:v>12615</c:v>
                </c:pt>
                <c:pt idx="2">
                  <c:v>12508.159360000001</c:v>
                </c:pt>
                <c:pt idx="3">
                  <c:v>17195.514309999999</c:v>
                </c:pt>
                <c:pt idx="4">
                  <c:v>23614.906139999999</c:v>
                </c:pt>
                <c:pt idx="5">
                  <c:v>21667.095000000001</c:v>
                </c:pt>
                <c:pt idx="6">
                  <c:v>20757</c:v>
                </c:pt>
                <c:pt idx="7">
                  <c:v>19389</c:v>
                </c:pt>
                <c:pt idx="8">
                  <c:v>21201</c:v>
                </c:pt>
                <c:pt idx="9">
                  <c:v>19917</c:v>
                </c:pt>
                <c:pt idx="10">
                  <c:v>23246</c:v>
                </c:pt>
                <c:pt idx="11">
                  <c:v>26047</c:v>
                </c:pt>
                <c:pt idx="12">
                  <c:v>37788</c:v>
                </c:pt>
              </c:numCache>
            </c:numRef>
          </c:val>
        </c:ser>
        <c:dLbls>
          <c:showLegendKey val="0"/>
          <c:showVal val="0"/>
          <c:showCatName val="0"/>
          <c:showSerName val="0"/>
          <c:showPercent val="0"/>
          <c:showBubbleSize val="0"/>
        </c:dLbls>
        <c:gapWidth val="40"/>
        <c:axId val="-613453440"/>
        <c:axId val="-613437120"/>
      </c:barChart>
      <c:lineChart>
        <c:grouping val="standard"/>
        <c:varyColors val="0"/>
        <c:ser>
          <c:idx val="0"/>
          <c:order val="1"/>
          <c:tx>
            <c:strRef>
              <c:f>Shpenzimet!$C$6</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68E-2"/>
                  <c:y val="-3.54686563056022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81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Shpenzimet!$E$4:$P$4</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Shpenzimet!$E$6:$Q$6</c:f>
              <c:numCache>
                <c:formatCode>#,##0.0</c:formatCode>
                <c:ptCount val="13"/>
                <c:pt idx="0">
                  <c:v>24.406133714923701</c:v>
                </c:pt>
                <c:pt idx="1">
                  <c:v>-2.5160593490576431</c:v>
                </c:pt>
                <c:pt idx="2">
                  <c:v>-0.84693333333332155</c:v>
                </c:pt>
                <c:pt idx="3">
                  <c:v>37.474378244570083</c:v>
                </c:pt>
                <c:pt idx="4">
                  <c:v>37.331781499939339</c:v>
                </c:pt>
                <c:pt idx="5">
                  <c:v>-8.2482273207120951</c:v>
                </c:pt>
                <c:pt idx="6">
                  <c:v>-4.2003554237427823</c:v>
                </c:pt>
                <c:pt idx="7">
                  <c:v>-6.5905477670183554</c:v>
                </c:pt>
                <c:pt idx="8">
                  <c:v>9.3455051833513849</c:v>
                </c:pt>
                <c:pt idx="9">
                  <c:v>-6.0563180982029143</c:v>
                </c:pt>
                <c:pt idx="10">
                  <c:v>16.71436461314455</c:v>
                </c:pt>
                <c:pt idx="11">
                  <c:v>12.049384840402649</c:v>
                </c:pt>
                <c:pt idx="12">
                  <c:v>45.07620839252121</c:v>
                </c:pt>
              </c:numCache>
            </c:numRef>
          </c:val>
          <c:smooth val="1"/>
        </c:ser>
        <c:dLbls>
          <c:showLegendKey val="0"/>
          <c:showVal val="0"/>
          <c:showCatName val="0"/>
          <c:showSerName val="0"/>
          <c:showPercent val="0"/>
          <c:showBubbleSize val="0"/>
        </c:dLbls>
        <c:marker val="1"/>
        <c:smooth val="0"/>
        <c:axId val="-613436576"/>
        <c:axId val="-613425696"/>
      </c:lineChart>
      <c:catAx>
        <c:axId val="-613453440"/>
        <c:scaling>
          <c:orientation val="minMax"/>
        </c:scaling>
        <c:delete val="0"/>
        <c:axPos val="b"/>
        <c:numFmt formatCode="General" sourceLinked="1"/>
        <c:majorTickMark val="cross"/>
        <c:minorTickMark val="none"/>
        <c:tickLblPos val="nextTo"/>
        <c:txPr>
          <a:bodyPr rot="-2700000" vert="horz"/>
          <a:lstStyle/>
          <a:p>
            <a:pPr>
              <a:defRPr/>
            </a:pPr>
            <a:endParaRPr lang="en-US"/>
          </a:p>
        </c:txPr>
        <c:crossAx val="-613437120"/>
        <c:crosses val="autoZero"/>
        <c:auto val="0"/>
        <c:lblAlgn val="ctr"/>
        <c:lblOffset val="100"/>
        <c:tickLblSkip val="1"/>
        <c:tickMarkSkip val="1"/>
        <c:noMultiLvlLbl val="0"/>
      </c:catAx>
      <c:valAx>
        <c:axId val="-613437120"/>
        <c:scaling>
          <c:orientation val="minMax"/>
        </c:scaling>
        <c:delete val="0"/>
        <c:axPos val="l"/>
        <c:title>
          <c:tx>
            <c:rich>
              <a:bodyPr/>
              <a:lstStyle/>
              <a:p>
                <a:pPr>
                  <a:defRPr/>
                </a:pPr>
                <a:r>
                  <a:rPr lang="sq-AL"/>
                  <a:t>Në milion</a:t>
                </a:r>
              </a:p>
            </c:rich>
          </c:tx>
          <c:layout>
            <c:manualLayout>
              <c:xMode val="edge"/>
              <c:yMode val="edge"/>
              <c:x val="1.6254619999127194E-3"/>
              <c:y val="9.4218583667928901E-4"/>
            </c:manualLayout>
          </c:layout>
          <c:overlay val="0"/>
        </c:title>
        <c:numFmt formatCode="#,##0" sourceLinked="0"/>
        <c:majorTickMark val="cross"/>
        <c:minorTickMark val="none"/>
        <c:tickLblPos val="nextTo"/>
        <c:txPr>
          <a:bodyPr rot="0" vert="horz"/>
          <a:lstStyle/>
          <a:p>
            <a:pPr>
              <a:defRPr/>
            </a:pPr>
            <a:endParaRPr lang="en-US"/>
          </a:p>
        </c:txPr>
        <c:crossAx val="-613453440"/>
        <c:crosses val="autoZero"/>
        <c:crossBetween val="between"/>
        <c:dispUnits>
          <c:builtInUnit val="thousands"/>
        </c:dispUnits>
      </c:valAx>
      <c:catAx>
        <c:axId val="-613436576"/>
        <c:scaling>
          <c:orientation val="minMax"/>
        </c:scaling>
        <c:delete val="1"/>
        <c:axPos val="b"/>
        <c:numFmt formatCode="General" sourceLinked="1"/>
        <c:majorTickMark val="out"/>
        <c:minorTickMark val="none"/>
        <c:tickLblPos val="nextTo"/>
        <c:crossAx val="-613425696"/>
        <c:crosses val="autoZero"/>
        <c:auto val="0"/>
        <c:lblAlgn val="ctr"/>
        <c:lblOffset val="100"/>
        <c:noMultiLvlLbl val="0"/>
      </c:catAx>
      <c:valAx>
        <c:axId val="-613425696"/>
        <c:scaling>
          <c:orientation val="minMax"/>
        </c:scaling>
        <c:delete val="0"/>
        <c:axPos val="r"/>
        <c:title>
          <c:tx>
            <c:rich>
              <a:bodyPr/>
              <a:lstStyle/>
              <a:p>
                <a:pPr>
                  <a:defRPr/>
                </a:pPr>
                <a:r>
                  <a:rPr lang="sq-AL"/>
                  <a:t>Në përqindje</a:t>
                </a:r>
              </a:p>
            </c:rich>
          </c:tx>
          <c:layout>
            <c:manualLayout>
              <c:xMode val="edge"/>
              <c:yMode val="edge"/>
              <c:x val="0.96903733111390156"/>
              <c:y val="2.1423527696782945E-2"/>
            </c:manualLayout>
          </c:layout>
          <c:overlay val="0"/>
        </c:title>
        <c:numFmt formatCode="#,##0" sourceLinked="0"/>
        <c:majorTickMark val="cross"/>
        <c:minorTickMark val="none"/>
        <c:tickLblPos val="nextTo"/>
        <c:txPr>
          <a:bodyPr rot="0" vert="horz"/>
          <a:lstStyle/>
          <a:p>
            <a:pPr>
              <a:defRPr/>
            </a:pPr>
            <a:endParaRPr lang="en-US"/>
          </a:p>
        </c:txPr>
        <c:crossAx val="-613436576"/>
        <c:crosses val="max"/>
        <c:crossBetween val="between"/>
      </c:valAx>
    </c:plotArea>
    <c:legend>
      <c:legendPos val="b"/>
      <c:layout>
        <c:manualLayout>
          <c:xMode val="edge"/>
          <c:yMode val="edge"/>
          <c:x val="0.18773023898328497"/>
          <c:y val="0.9047045523803906"/>
          <c:w val="0.61611846940185111"/>
          <c:h val="9.0301689816862818E-2"/>
        </c:manualLayout>
      </c:layout>
      <c:overlay val="0"/>
    </c:legend>
    <c:plotVisOnly val="1"/>
    <c:dispBlanksAs val="gap"/>
    <c:showDLblsOverMax val="0"/>
  </c:chart>
  <c:txPr>
    <a:bodyPr/>
    <a:lstStyle/>
    <a:p>
      <a:pPr>
        <a:defRPr sz="10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98840769903755"/>
          <c:y val="5.6686421025508915E-2"/>
          <c:w val="0.80968738282714658"/>
          <c:h val="0.71041273151858364"/>
        </c:manualLayout>
      </c:layout>
      <c:barChart>
        <c:barDir val="col"/>
        <c:grouping val="clustered"/>
        <c:varyColors val="0"/>
        <c:ser>
          <c:idx val="0"/>
          <c:order val="0"/>
          <c:tx>
            <c:strRef>
              <c:f>'Sherbimi i Borxhit'!$A$94</c:f>
              <c:strCache>
                <c:ptCount val="1"/>
                <c:pt idx="0">
                  <c:v>Borxhi Shtetëror</c:v>
                </c:pt>
              </c:strCache>
            </c:strRef>
          </c:tx>
          <c:spPr>
            <a:solidFill>
              <a:schemeClr val="tx2">
                <a:lumMod val="40000"/>
                <a:lumOff val="60000"/>
              </a:schemeClr>
            </a:solidFill>
            <a:ln>
              <a:noFill/>
            </a:ln>
            <a:effectLst/>
          </c:spPr>
          <c:invertIfNegative val="0"/>
          <c:dLbls>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i Borxhit'!$B$93:$E$93</c:f>
              <c:strCache>
                <c:ptCount val="4"/>
                <c:pt idx="0">
                  <c:v>Sht-14</c:v>
                </c:pt>
                <c:pt idx="1">
                  <c:v>Sht-15</c:v>
                </c:pt>
                <c:pt idx="2">
                  <c:v>Sht-16</c:v>
                </c:pt>
                <c:pt idx="3">
                  <c:v>Sht-17</c:v>
                </c:pt>
              </c:strCache>
            </c:strRef>
          </c:cat>
          <c:val>
            <c:numRef>
              <c:f>'Sherbimi i Borxhit'!$B$94:$E$94</c:f>
              <c:numCache>
                <c:formatCode>_-* #,##0.00_L_e_k_-;\-* #,##0.00_L_e_k_-;_-* "-"??_L_e_k_-;_-@_-</c:formatCode>
                <c:ptCount val="4"/>
                <c:pt idx="0">
                  <c:v>910.08799999999997</c:v>
                </c:pt>
                <c:pt idx="1">
                  <c:v>1004.73</c:v>
                </c:pt>
                <c:pt idx="2">
                  <c:v>1012.032</c:v>
                </c:pt>
                <c:pt idx="3">
                  <c:v>1024.089209</c:v>
                </c:pt>
              </c:numCache>
            </c:numRef>
          </c:val>
        </c:ser>
        <c:ser>
          <c:idx val="1"/>
          <c:order val="1"/>
          <c:tx>
            <c:strRef>
              <c:f>'Sherbimi i Borxhit'!$A$95</c:f>
              <c:strCache>
                <c:ptCount val="1"/>
                <c:pt idx="0">
                  <c:v>Shpenzime për Interesa</c:v>
                </c:pt>
              </c:strCache>
            </c:strRef>
          </c:tx>
          <c:spPr>
            <a:solidFill>
              <a:srgbClr val="C0504D"/>
            </a:solidFill>
            <a:ln w="25401">
              <a:noFill/>
            </a:ln>
          </c:spPr>
          <c:invertIfNegative val="0"/>
          <c:dLbls>
            <c:numFmt formatCode="#,##0.0" sourceLinked="0"/>
            <c:spPr>
              <a:noFill/>
              <a:ln w="25401">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i Borxhit'!$B$93:$E$93</c:f>
              <c:strCache>
                <c:ptCount val="4"/>
                <c:pt idx="0">
                  <c:v>Sht-14</c:v>
                </c:pt>
                <c:pt idx="1">
                  <c:v>Sht-15</c:v>
                </c:pt>
                <c:pt idx="2">
                  <c:v>Sht-16</c:v>
                </c:pt>
                <c:pt idx="3">
                  <c:v>Sht-17</c:v>
                </c:pt>
              </c:strCache>
            </c:strRef>
          </c:cat>
          <c:val>
            <c:numRef>
              <c:f>'Sherbimi i Borxhit'!$B$95:$E$95</c:f>
              <c:numCache>
                <c:formatCode>_-* #,##0.00_L_e_k_-;\-* #,##0.00_L_e_k_-;_-* "-"??_L_e_k_-;_-@_-</c:formatCode>
                <c:ptCount val="4"/>
                <c:pt idx="0">
                  <c:v>28.61</c:v>
                </c:pt>
                <c:pt idx="1">
                  <c:v>27.244</c:v>
                </c:pt>
                <c:pt idx="2">
                  <c:v>25.745000000000001</c:v>
                </c:pt>
                <c:pt idx="3">
                  <c:v>21.611999999999998</c:v>
                </c:pt>
              </c:numCache>
            </c:numRef>
          </c:val>
        </c:ser>
        <c:dLbls>
          <c:showLegendKey val="0"/>
          <c:showVal val="0"/>
          <c:showCatName val="0"/>
          <c:showSerName val="0"/>
          <c:showPercent val="0"/>
          <c:showBubbleSize val="0"/>
        </c:dLbls>
        <c:gapWidth val="219"/>
        <c:overlap val="-27"/>
        <c:axId val="-613431136"/>
        <c:axId val="-613428960"/>
      </c:barChart>
      <c:lineChart>
        <c:grouping val="standard"/>
        <c:varyColors val="0"/>
        <c:ser>
          <c:idx val="2"/>
          <c:order val="2"/>
          <c:tx>
            <c:strRef>
              <c:f>'Sherbimi i Borxhit'!$A$96</c:f>
              <c:strCache>
                <c:ptCount val="1"/>
                <c:pt idx="0">
                  <c:v>Interesa/PBB</c:v>
                </c:pt>
              </c:strCache>
            </c:strRef>
          </c:tx>
          <c:spPr>
            <a:ln w="28576" cap="rnd">
              <a:solidFill>
                <a:srgbClr val="C00000"/>
              </a:solidFill>
              <a:round/>
            </a:ln>
            <a:effectLst/>
          </c:spPr>
          <c:marker>
            <c:symbol val="circle"/>
            <c:size val="5"/>
            <c:spPr>
              <a:solidFill>
                <a:srgbClr val="C00000"/>
              </a:solidFill>
              <a:ln w="9525">
                <a:noFill/>
              </a:ln>
            </c:spPr>
          </c:marker>
          <c:dLbls>
            <c:dLbl>
              <c:idx val="0"/>
              <c:layout>
                <c:manualLayout>
                  <c:x val="-3.0534012851761595E-2"/>
                  <c:y val="-4.37645951303240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102370928429083E-2"/>
                  <c:y val="-5.9224528137280963E-2"/>
                </c:manualLayout>
              </c:layout>
              <c:tx>
                <c:rich>
                  <a:bodyPr/>
                  <a:lstStyle/>
                  <a:p>
                    <a:r>
                      <a:rPr lang="en-US"/>
                      <a:t>1.91%</a:t>
                    </a:r>
                  </a:p>
                </c:rich>
              </c:tx>
              <c:dLblPos val="r"/>
              <c:showLegendKey val="0"/>
              <c:showVal val="0"/>
              <c:showCatName val="0"/>
              <c:showSerName val="0"/>
              <c:showPercent val="0"/>
              <c:showBubbleSize val="0"/>
              <c:extLst>
                <c:ext xmlns:c15="http://schemas.microsoft.com/office/drawing/2012/chart" uri="{CE6537A1-D6FC-4f65-9D91-7224C49458BB}"/>
              </c:extLst>
            </c:dLbl>
            <c:dLbl>
              <c:idx val="2"/>
              <c:layout>
                <c:manualLayout>
                  <c:x val="-2.6102370928428917E-2"/>
                  <c:y val="-4.8917906132642998E-2"/>
                </c:manualLayout>
              </c:layout>
              <c:tx>
                <c:rich>
                  <a:bodyPr/>
                  <a:lstStyle/>
                  <a:p>
                    <a:r>
                      <a:rPr lang="en-US"/>
                      <a:t>1.74%</a:t>
                    </a:r>
                  </a:p>
                </c:rich>
              </c:tx>
              <c:dLblPos val="r"/>
              <c:showLegendKey val="0"/>
              <c:showVal val="0"/>
              <c:showCatName val="0"/>
              <c:showSerName val="0"/>
              <c:showPercent val="0"/>
              <c:showBubbleSize val="0"/>
              <c:extLst>
                <c:ext xmlns:c15="http://schemas.microsoft.com/office/drawing/2012/chart" uri="{CE6537A1-D6FC-4f65-9D91-7224C49458BB}"/>
              </c:extLst>
            </c:dLbl>
            <c:dLbl>
              <c:idx val="3"/>
              <c:layout>
                <c:manualLayout>
                  <c:x val="-8.3758032350986153E-3"/>
                  <c:y val="-3.8611284128005005E-2"/>
                </c:manualLayout>
              </c:layout>
              <c:tx>
                <c:rich>
                  <a:bodyPr/>
                  <a:lstStyle/>
                  <a:p>
                    <a:r>
                      <a:rPr lang="en-US"/>
                      <a:t>1.39%</a:t>
                    </a:r>
                  </a:p>
                </c:rich>
              </c:tx>
              <c:dLblPos val="r"/>
              <c:showLegendKey val="0"/>
              <c:showVal val="0"/>
              <c:showCatName val="0"/>
              <c:showSerName val="0"/>
              <c:showPercent val="0"/>
              <c:showBubbleSize val="0"/>
              <c:extLst>
                <c:ext xmlns:c15="http://schemas.microsoft.com/office/drawing/2012/chart" uri="{CE6537A1-D6FC-4f65-9D91-7224C49458BB}"/>
              </c:extLst>
            </c:dLbl>
            <c:spPr>
              <a:noFill/>
              <a:ln w="25401">
                <a:noFill/>
              </a:ln>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Cambria" panose="020405030504060302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i Borxhit'!$B$93:$E$93</c:f>
              <c:strCache>
                <c:ptCount val="4"/>
                <c:pt idx="0">
                  <c:v>Sht-14</c:v>
                </c:pt>
                <c:pt idx="1">
                  <c:v>Sht-15</c:v>
                </c:pt>
                <c:pt idx="2">
                  <c:v>Sht-16</c:v>
                </c:pt>
                <c:pt idx="3">
                  <c:v>Sht-17</c:v>
                </c:pt>
              </c:strCache>
            </c:strRef>
          </c:cat>
          <c:val>
            <c:numRef>
              <c:f>'Sherbimi i Borxhit'!$B$96:$E$96</c:f>
              <c:numCache>
                <c:formatCode>0.00%</c:formatCode>
                <c:ptCount val="4"/>
                <c:pt idx="0">
                  <c:v>2.0517501868920984E-2</c:v>
                </c:pt>
                <c:pt idx="1">
                  <c:v>1.8988806334248712E-2</c:v>
                </c:pt>
                <c:pt idx="2">
                  <c:v>1.7141723757719267E-2</c:v>
                </c:pt>
                <c:pt idx="3">
                  <c:v>1.3538113058152747E-2</c:v>
                </c:pt>
              </c:numCache>
            </c:numRef>
          </c:val>
          <c:smooth val="0"/>
        </c:ser>
        <c:dLbls>
          <c:showLegendKey val="0"/>
          <c:showVal val="0"/>
          <c:showCatName val="0"/>
          <c:showSerName val="0"/>
          <c:showPercent val="0"/>
          <c:showBubbleSize val="0"/>
        </c:dLbls>
        <c:marker val="1"/>
        <c:smooth val="0"/>
        <c:axId val="-613428416"/>
        <c:axId val="-613427872"/>
      </c:lineChart>
      <c:catAx>
        <c:axId val="-613431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613428960"/>
        <c:crosses val="autoZero"/>
        <c:auto val="1"/>
        <c:lblAlgn val="ctr"/>
        <c:lblOffset val="100"/>
        <c:noMultiLvlLbl val="0"/>
      </c:catAx>
      <c:valAx>
        <c:axId val="-613428960"/>
        <c:scaling>
          <c:orientation val="minMax"/>
        </c:scaling>
        <c:delete val="0"/>
        <c:axPos val="l"/>
        <c:title>
          <c:tx>
            <c:rich>
              <a:bodyPr/>
              <a:lstStyle/>
              <a:p>
                <a:pPr>
                  <a:defRPr sz="900" b="1" i="0" u="none" strike="noStrike" baseline="0">
                    <a:solidFill>
                      <a:srgbClr val="000000"/>
                    </a:solidFill>
                    <a:latin typeface="Cambria"/>
                    <a:ea typeface="Cambria"/>
                    <a:cs typeface="Cambria"/>
                  </a:defRPr>
                </a:pPr>
                <a:r>
                  <a:rPr lang="en-US"/>
                  <a:t>në miliard Lek</a:t>
                </a:r>
              </a:p>
            </c:rich>
          </c:tx>
          <c:layout>
            <c:manualLayout>
              <c:xMode val="edge"/>
              <c:yMode val="edge"/>
              <c:x val="1.1079128704078154E-2"/>
              <c:y val="0.24760781679541241"/>
            </c:manualLayout>
          </c:layout>
          <c:overlay val="0"/>
          <c:spPr>
            <a:noFill/>
            <a:ln w="25401">
              <a:noFill/>
            </a:ln>
          </c:spPr>
        </c:title>
        <c:numFmt formatCode="_(* #,##0_);_(* \(#,##0\);_(* &quot;-&quot;_);_(@_)"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613431136"/>
        <c:crosses val="autoZero"/>
        <c:crossBetween val="between"/>
      </c:valAx>
      <c:catAx>
        <c:axId val="-613428416"/>
        <c:scaling>
          <c:orientation val="minMax"/>
        </c:scaling>
        <c:delete val="1"/>
        <c:axPos val="b"/>
        <c:numFmt formatCode="General" sourceLinked="1"/>
        <c:majorTickMark val="out"/>
        <c:minorTickMark val="none"/>
        <c:tickLblPos val="nextTo"/>
        <c:crossAx val="-613427872"/>
        <c:crosses val="autoZero"/>
        <c:auto val="1"/>
        <c:lblAlgn val="ctr"/>
        <c:lblOffset val="100"/>
        <c:noMultiLvlLbl val="0"/>
      </c:catAx>
      <c:valAx>
        <c:axId val="-613427872"/>
        <c:scaling>
          <c:orientation val="minMax"/>
        </c:scaling>
        <c:delete val="0"/>
        <c:axPos val="r"/>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613428416"/>
        <c:crosses val="max"/>
        <c:crossBetween val="between"/>
      </c:valAx>
      <c:spPr>
        <a:noFill/>
        <a:ln w="25401">
          <a:noFill/>
        </a:ln>
      </c:spPr>
    </c:plotArea>
    <c:legend>
      <c:legendPos val="b"/>
      <c:layout>
        <c:manualLayout>
          <c:xMode val="edge"/>
          <c:yMode val="edge"/>
          <c:x val="0.14805576040155102"/>
          <c:y val="0.88433680387108016"/>
          <c:w val="0.74377334253157934"/>
          <c:h val="8.4743317037976884E-2"/>
        </c:manualLayout>
      </c:layout>
      <c:overlay val="0"/>
      <c:spPr>
        <a:noFill/>
        <a:ln w="25401">
          <a:noFill/>
        </a:ln>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63306887398089"/>
          <c:y val="0.10954964470904552"/>
          <c:w val="0.80245683949192215"/>
          <c:h val="0.75418672665916764"/>
        </c:manualLayout>
      </c:layout>
      <c:barChart>
        <c:barDir val="col"/>
        <c:grouping val="clustered"/>
        <c:varyColors val="0"/>
        <c:ser>
          <c:idx val="0"/>
          <c:order val="0"/>
          <c:tx>
            <c:strRef>
              <c:f>Sheet3!$A$5</c:f>
              <c:strCache>
                <c:ptCount val="1"/>
                <c:pt idx="0">
                  <c:v>Shpenzimet për Pushtetin Vendor</c:v>
                </c:pt>
              </c:strCache>
            </c:strRef>
          </c:tx>
          <c:spPr>
            <a:solidFill>
              <a:srgbClr val="FF5050"/>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a:schemeClr val="accent1"/>
              </a:glow>
              <a:outerShdw blurRad="50800" dist="50800" dir="5400000" algn="ctr" rotWithShape="0">
                <a:schemeClr val="bg1">
                  <a:lumMod val="75000"/>
                </a:schemeClr>
              </a:outerShdw>
            </a:effectLst>
          </c:spPr>
          <c:invertIfNegative val="0"/>
          <c:dLbls>
            <c:dLbl>
              <c:idx val="1"/>
              <c:tx>
                <c:rich>
                  <a:bodyPr/>
                  <a:lstStyle/>
                  <a:p>
                    <a:r>
                      <a:rPr lang="en-US"/>
                      <a:t>46,108</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w="15861">
                <a:solidFill>
                  <a:schemeClr val="bg1">
                    <a:lumMod val="85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(Sheet3!$E$3,Sheet3!$I$3)</c:f>
              <c:strCache>
                <c:ptCount val="2"/>
                <c:pt idx="0">
                  <c:v>2014 </c:v>
                </c:pt>
                <c:pt idx="1">
                  <c:v>P/Buxhet  2018</c:v>
                </c:pt>
              </c:strCache>
            </c:strRef>
          </c:cat>
          <c:val>
            <c:numRef>
              <c:f>(Sheet3!$E$5,Sheet3!$I$5)</c:f>
              <c:numCache>
                <c:formatCode>#,##0</c:formatCode>
                <c:ptCount val="2"/>
                <c:pt idx="0">
                  <c:v>32892</c:v>
                </c:pt>
                <c:pt idx="1">
                  <c:v>46036.531271041931</c:v>
                </c:pt>
              </c:numCache>
            </c:numRef>
          </c:val>
        </c:ser>
        <c:ser>
          <c:idx val="1"/>
          <c:order val="1"/>
          <c:tx>
            <c:strRef>
              <c:f>Sheet3!$A$8</c:f>
              <c:strCache>
                <c:ptCount val="1"/>
                <c:pt idx="0">
                  <c:v>Te Ardhura nga taksat dhe tarifat vendore</c:v>
                </c:pt>
              </c:strCache>
            </c:strRef>
          </c:tx>
          <c:spPr>
            <a:solidFill>
              <a:schemeClr val="tx2">
                <a:lumMod val="60000"/>
                <a:lumOff val="40000"/>
              </a:schemeClr>
            </a:solidFill>
            <a:ln>
              <a:noFill/>
            </a:ln>
            <a:effectLst/>
          </c:spPr>
          <c:invertIfNegative val="0"/>
          <c:dLbls>
            <c:spPr>
              <a:noFill/>
              <a:ln>
                <a:solidFill>
                  <a:schemeClr val="bg1">
                    <a:lumMod val="65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(Sheet3!$E$3,Sheet3!$I$3)</c:f>
              <c:strCache>
                <c:ptCount val="2"/>
                <c:pt idx="0">
                  <c:v>2014 </c:v>
                </c:pt>
                <c:pt idx="1">
                  <c:v>P/Buxhet  2018</c:v>
                </c:pt>
              </c:strCache>
            </c:strRef>
          </c:cat>
          <c:val>
            <c:numRef>
              <c:f>(Sheet3!$E$8,Sheet3!$I$8)</c:f>
              <c:numCache>
                <c:formatCode>#,##0</c:formatCode>
                <c:ptCount val="2"/>
                <c:pt idx="0">
                  <c:v>12447</c:v>
                </c:pt>
                <c:pt idx="1">
                  <c:v>18786.531271041931</c:v>
                </c:pt>
              </c:numCache>
            </c:numRef>
          </c:val>
        </c:ser>
        <c:dLbls>
          <c:showLegendKey val="0"/>
          <c:showVal val="0"/>
          <c:showCatName val="0"/>
          <c:showSerName val="0"/>
          <c:showPercent val="0"/>
          <c:showBubbleSize val="0"/>
        </c:dLbls>
        <c:gapWidth val="75"/>
        <c:axId val="-613405024"/>
        <c:axId val="-613401760"/>
      </c:barChart>
      <c:catAx>
        <c:axId val="-613405024"/>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en-US"/>
          </a:p>
        </c:txPr>
        <c:crossAx val="-613401760"/>
        <c:crosses val="autoZero"/>
        <c:auto val="1"/>
        <c:lblAlgn val="ctr"/>
        <c:lblOffset val="100"/>
        <c:noMultiLvlLbl val="0"/>
      </c:catAx>
      <c:valAx>
        <c:axId val="-613401760"/>
        <c:scaling>
          <c:orientation val="minMax"/>
        </c:scaling>
        <c:delete val="0"/>
        <c:axPos val="l"/>
        <c:numFmt formatCode="#,##0" sourceLinked="1"/>
        <c:majorTickMark val="none"/>
        <c:minorTickMark val="none"/>
        <c:tickLblPos val="nextTo"/>
        <c:spPr>
          <a:ln w="9517">
            <a:noFill/>
          </a:ln>
        </c:spPr>
        <c:txPr>
          <a:bodyPr rot="-6000000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en-US"/>
          </a:p>
        </c:txPr>
        <c:crossAx val="-613405024"/>
        <c:crosses val="autoZero"/>
        <c:crossBetween val="between"/>
      </c:valAx>
      <c:spPr>
        <a:noFill/>
        <a:ln w="25378">
          <a:noFill/>
        </a:ln>
      </c:spPr>
    </c:plotArea>
    <c:legend>
      <c:legendPos val="b"/>
      <c:layout>
        <c:manualLayout>
          <c:xMode val="edge"/>
          <c:yMode val="edge"/>
          <c:x val="4.9999950006249218E-2"/>
          <c:y val="0.92649234883375431"/>
          <c:w val="0.89999990001249841"/>
          <c:h val="7.3507651166245691E-2"/>
        </c:manualLayout>
      </c:layout>
      <c:overlay val="0"/>
      <c:spPr>
        <a:noFill/>
        <a:ln w="25378">
          <a:noFill/>
        </a:ln>
      </c:spPr>
      <c:txPr>
        <a:bodyPr rot="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7"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q-AL" sz="1000" b="0" i="0" u="none" strike="noStrike" kern="1200" cap="none" spc="0" normalizeH="0" baseline="0">
                <a:solidFill>
                  <a:sysClr val="windowText" lastClr="000000"/>
                </a:solidFill>
                <a:latin typeface="Times New Roman" pitchFamily="18" charset="0"/>
                <a:ea typeface="+mj-ea"/>
                <a:cs typeface="Times New Roman" pitchFamily="18" charset="0"/>
              </a:defRPr>
            </a:pPr>
            <a:r>
              <a:rPr lang="en-US" sz="1000" b="1">
                <a:solidFill>
                  <a:sysClr val="windowText" lastClr="000000"/>
                </a:solidFill>
                <a:latin typeface="Times New Roman" pitchFamily="18" charset="0"/>
                <a:cs typeface="Times New Roman" pitchFamily="18" charset="0"/>
              </a:rPr>
              <a:t>Tendenca e buxhetit</a:t>
            </a:r>
            <a:r>
              <a:rPr lang="en-US" sz="1000" b="1" baseline="0">
                <a:solidFill>
                  <a:sysClr val="windowText" lastClr="000000"/>
                </a:solidFill>
                <a:latin typeface="Times New Roman" pitchFamily="18" charset="0"/>
                <a:cs typeface="Times New Roman" pitchFamily="18" charset="0"/>
              </a:rPr>
              <a:t> vendor 2014-P/Buxhet 2018</a:t>
            </a:r>
            <a:endParaRPr lang="en-US" sz="1000" b="1">
              <a:solidFill>
                <a:sysClr val="windowText" lastClr="000000"/>
              </a:solidFill>
              <a:latin typeface="Times New Roman" pitchFamily="18" charset="0"/>
              <a:cs typeface="Times New Roman" pitchFamily="18" charset="0"/>
            </a:endParaRPr>
          </a:p>
        </c:rich>
      </c:tx>
      <c:layout>
        <c:manualLayout>
          <c:xMode val="edge"/>
          <c:yMode val="edge"/>
          <c:x val="0.26325665849145907"/>
          <c:y val="3.3341962391687338E-2"/>
        </c:manualLayout>
      </c:layout>
      <c:overlay val="0"/>
      <c:spPr>
        <a:noFill/>
        <a:ln w="25393">
          <a:noFill/>
        </a:ln>
      </c:spPr>
    </c:title>
    <c:autoTitleDeleted val="0"/>
    <c:plotArea>
      <c:layout>
        <c:manualLayout>
          <c:layoutTarget val="inner"/>
          <c:xMode val="edge"/>
          <c:yMode val="edge"/>
          <c:x val="0.12274715660542432"/>
          <c:y val="0.12910749094959623"/>
          <c:w val="0.77360113458878244"/>
          <c:h val="0.52272644737837348"/>
        </c:manualLayout>
      </c:layout>
      <c:barChart>
        <c:barDir val="col"/>
        <c:grouping val="clustered"/>
        <c:varyColors val="0"/>
        <c:ser>
          <c:idx val="3"/>
          <c:order val="3"/>
          <c:tx>
            <c:strRef>
              <c:f>Sheet1!$B$48</c:f>
              <c:strCache>
                <c:ptCount val="1"/>
                <c:pt idx="0">
                  <c:v>Shpenzimet publike</c:v>
                </c:pt>
              </c:strCache>
            </c:strRef>
          </c:tx>
          <c:spPr>
            <a:solidFill>
              <a:srgbClr val="FF0000">
                <a:alpha val="69000"/>
              </a:srgbClr>
            </a:solidFill>
            <a:ln>
              <a:noFill/>
            </a:ln>
            <a:effectLst/>
          </c:spPr>
          <c:invertIfNegative val="0"/>
          <c:cat>
            <c:strRef>
              <c:f>Sheet1!$D$44:$H$44</c:f>
              <c:strCache>
                <c:ptCount val="5"/>
                <c:pt idx="0">
                  <c:v>2014</c:v>
                </c:pt>
                <c:pt idx="1">
                  <c:v>2015</c:v>
                </c:pt>
                <c:pt idx="2">
                  <c:v>2016</c:v>
                </c:pt>
                <c:pt idx="3">
                  <c:v>2017</c:v>
                </c:pt>
                <c:pt idx="4">
                  <c:v>P/Buxheti 2018</c:v>
                </c:pt>
              </c:strCache>
            </c:strRef>
          </c:cat>
          <c:val>
            <c:numRef>
              <c:f>Sheet1!$D$48:$H$48</c:f>
              <c:numCache>
                <c:formatCode>#,##0</c:formatCode>
                <c:ptCount val="5"/>
                <c:pt idx="0">
                  <c:v>438820</c:v>
                </c:pt>
                <c:pt idx="1">
                  <c:v>437408</c:v>
                </c:pt>
                <c:pt idx="2">
                  <c:v>433697</c:v>
                </c:pt>
                <c:pt idx="3">
                  <c:v>469600.60041839821</c:v>
                </c:pt>
                <c:pt idx="4">
                  <c:v>496658.23127104196</c:v>
                </c:pt>
              </c:numCache>
            </c:numRef>
          </c:val>
        </c:ser>
        <c:ser>
          <c:idx val="4"/>
          <c:order val="4"/>
          <c:tx>
            <c:strRef>
              <c:f>Sheet1!$B$49</c:f>
              <c:strCache>
                <c:ptCount val="1"/>
                <c:pt idx="0">
                  <c:v>Shpenzimet vendore</c:v>
                </c:pt>
              </c:strCache>
            </c:strRef>
          </c:tx>
          <c:spPr>
            <a:solidFill>
              <a:schemeClr val="accent3">
                <a:lumMod val="50000"/>
              </a:schemeClr>
            </a:solidFill>
            <a:ln>
              <a:noFill/>
            </a:ln>
            <a:effectLst/>
          </c:spPr>
          <c:invertIfNegative val="0"/>
          <c:cat>
            <c:strRef>
              <c:f>Sheet1!$D$44:$H$44</c:f>
              <c:strCache>
                <c:ptCount val="5"/>
                <c:pt idx="0">
                  <c:v>2014</c:v>
                </c:pt>
                <c:pt idx="1">
                  <c:v>2015</c:v>
                </c:pt>
                <c:pt idx="2">
                  <c:v>2016</c:v>
                </c:pt>
                <c:pt idx="3">
                  <c:v>2017</c:v>
                </c:pt>
                <c:pt idx="4">
                  <c:v>P/Buxheti 2018</c:v>
                </c:pt>
              </c:strCache>
            </c:strRef>
          </c:cat>
          <c:val>
            <c:numRef>
              <c:f>Sheet1!$D$49:$H$49</c:f>
              <c:numCache>
                <c:formatCode>#,##0</c:formatCode>
                <c:ptCount val="5"/>
                <c:pt idx="0">
                  <c:v>32892</c:v>
                </c:pt>
                <c:pt idx="1">
                  <c:v>34066</c:v>
                </c:pt>
                <c:pt idx="2">
                  <c:v>43580</c:v>
                </c:pt>
                <c:pt idx="3">
                  <c:v>42901</c:v>
                </c:pt>
                <c:pt idx="4">
                  <c:v>46036.531271041931</c:v>
                </c:pt>
              </c:numCache>
            </c:numRef>
          </c:val>
        </c:ser>
        <c:ser>
          <c:idx val="5"/>
          <c:order val="5"/>
          <c:tx>
            <c:strRef>
              <c:f>Sheet1!$B$50</c:f>
              <c:strCache>
                <c:ptCount val="1"/>
                <c:pt idx="0">
                  <c:v>PBB</c:v>
                </c:pt>
              </c:strCache>
            </c:strRef>
          </c:tx>
          <c:spPr>
            <a:solidFill>
              <a:srgbClr val="4181E9">
                <a:alpha val="87000"/>
              </a:srgbClr>
            </a:solidFill>
            <a:ln>
              <a:noFill/>
            </a:ln>
            <a:effectLst/>
          </c:spPr>
          <c:invertIfNegative val="0"/>
          <c:cat>
            <c:strRef>
              <c:f>Sheet1!$D$44:$H$44</c:f>
              <c:strCache>
                <c:ptCount val="5"/>
                <c:pt idx="0">
                  <c:v>2014</c:v>
                </c:pt>
                <c:pt idx="1">
                  <c:v>2015</c:v>
                </c:pt>
                <c:pt idx="2">
                  <c:v>2016</c:v>
                </c:pt>
                <c:pt idx="3">
                  <c:v>2017</c:v>
                </c:pt>
                <c:pt idx="4">
                  <c:v>P/Buxheti 2018</c:v>
                </c:pt>
              </c:strCache>
            </c:strRef>
          </c:cat>
          <c:val>
            <c:numRef>
              <c:f>Sheet1!$D$50:$H$50</c:f>
              <c:numCache>
                <c:formatCode>#,##0</c:formatCode>
                <c:ptCount val="5"/>
                <c:pt idx="0">
                  <c:v>1393540</c:v>
                </c:pt>
                <c:pt idx="1">
                  <c:v>1435751</c:v>
                </c:pt>
                <c:pt idx="2">
                  <c:v>1472791.264579861</c:v>
                </c:pt>
                <c:pt idx="3">
                  <c:v>1554011.4422306619</c:v>
                </c:pt>
                <c:pt idx="4">
                  <c:v>1649588.429566751</c:v>
                </c:pt>
              </c:numCache>
            </c:numRef>
          </c:val>
        </c:ser>
        <c:dLbls>
          <c:showLegendKey val="0"/>
          <c:showVal val="0"/>
          <c:showCatName val="0"/>
          <c:showSerName val="0"/>
          <c:showPercent val="0"/>
          <c:showBubbleSize val="0"/>
        </c:dLbls>
        <c:gapWidth val="247"/>
        <c:axId val="-613400672"/>
        <c:axId val="-613396864"/>
      </c:barChart>
      <c:lineChart>
        <c:grouping val="standard"/>
        <c:varyColors val="0"/>
        <c:ser>
          <c:idx val="1"/>
          <c:order val="0"/>
          <c:tx>
            <c:strRef>
              <c:f>Sheet1!$B$45</c:f>
              <c:strCache>
                <c:ptCount val="1"/>
                <c:pt idx="0">
                  <c:v>Shpenzimet publike si % ndaj PBB-së</c:v>
                </c:pt>
              </c:strCache>
            </c:strRef>
          </c:tx>
          <c:spPr>
            <a:ln w="12697">
              <a:solidFill>
                <a:srgbClr val="FF0000"/>
              </a:solidFill>
              <a:prstDash val="solid"/>
            </a:ln>
          </c:spPr>
          <c:marker>
            <c:symbol val="circle"/>
            <c:size val="5"/>
            <c:spPr>
              <a:solidFill>
                <a:schemeClr val="lt1"/>
              </a:solidFill>
              <a:ln w="15871">
                <a:solidFill>
                  <a:schemeClr val="accent2"/>
                </a:solidFill>
                <a:round/>
              </a:ln>
              <a:effectLst/>
            </c:spPr>
          </c:marker>
          <c:dLbls>
            <c:spPr>
              <a:noFill/>
              <a:ln w="25393">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Sheet1!$D$44:$H$44</c:f>
              <c:strCache>
                <c:ptCount val="5"/>
                <c:pt idx="0">
                  <c:v>2014</c:v>
                </c:pt>
                <c:pt idx="1">
                  <c:v>2015</c:v>
                </c:pt>
                <c:pt idx="2">
                  <c:v>2016</c:v>
                </c:pt>
                <c:pt idx="3">
                  <c:v>2017</c:v>
                </c:pt>
                <c:pt idx="4">
                  <c:v>P/Buxheti 2018</c:v>
                </c:pt>
              </c:strCache>
            </c:strRef>
          </c:cat>
          <c:val>
            <c:numRef>
              <c:f>Sheet1!$D$45:$H$45</c:f>
              <c:numCache>
                <c:formatCode>0.00%</c:formatCode>
                <c:ptCount val="5"/>
                <c:pt idx="0">
                  <c:v>0.31489587668814673</c:v>
                </c:pt>
                <c:pt idx="1">
                  <c:v>0.30465449788995447</c:v>
                </c:pt>
                <c:pt idx="2">
                  <c:v>0.29447282206940545</c:v>
                </c:pt>
                <c:pt idx="3">
                  <c:v>0.30218606353652278</c:v>
                </c:pt>
                <c:pt idx="4">
                  <c:v>0.30108008905074862</c:v>
                </c:pt>
              </c:numCache>
            </c:numRef>
          </c:val>
          <c:smooth val="0"/>
        </c:ser>
        <c:ser>
          <c:idx val="0"/>
          <c:order val="1"/>
          <c:tx>
            <c:strRef>
              <c:f>Sheet1!$B$46</c:f>
              <c:strCache>
                <c:ptCount val="1"/>
                <c:pt idx="0">
                  <c:v>Shpenzimet vendore si % ndaj PBB-së</c:v>
                </c:pt>
              </c:strCache>
            </c:strRef>
          </c:tx>
          <c:spPr>
            <a:ln w="22219" cap="rnd">
              <a:solidFill>
                <a:srgbClr val="2945D1"/>
              </a:solidFill>
              <a:round/>
            </a:ln>
            <a:effectLst/>
          </c:spPr>
          <c:marker>
            <c:symbol val="circle"/>
            <c:size val="5"/>
            <c:spPr>
              <a:solidFill>
                <a:schemeClr val="lt1"/>
              </a:solidFill>
              <a:ln w="15871">
                <a:solidFill>
                  <a:schemeClr val="accent1"/>
                </a:solidFill>
                <a:round/>
              </a:ln>
              <a:effectLst/>
            </c:spPr>
          </c:marker>
          <c:dLbls>
            <c:spPr>
              <a:noFill/>
              <a:ln w="25393">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Sheet1!$D$44:$H$44</c:f>
              <c:strCache>
                <c:ptCount val="5"/>
                <c:pt idx="0">
                  <c:v>2014</c:v>
                </c:pt>
                <c:pt idx="1">
                  <c:v>2015</c:v>
                </c:pt>
                <c:pt idx="2">
                  <c:v>2016</c:v>
                </c:pt>
                <c:pt idx="3">
                  <c:v>2017</c:v>
                </c:pt>
                <c:pt idx="4">
                  <c:v>P/Buxheti 2018</c:v>
                </c:pt>
              </c:strCache>
            </c:strRef>
          </c:cat>
          <c:val>
            <c:numRef>
              <c:f>Sheet1!$D$46:$H$46</c:f>
              <c:numCache>
                <c:formatCode>0.00%</c:formatCode>
                <c:ptCount val="5"/>
                <c:pt idx="0">
                  <c:v>2.3603197611837479E-2</c:v>
                </c:pt>
                <c:pt idx="1">
                  <c:v>2.3726955440044967E-2</c:v>
                </c:pt>
                <c:pt idx="2">
                  <c:v>2.9590072298827725E-2</c:v>
                </c:pt>
                <c:pt idx="3">
                  <c:v>2.760661783700831E-2</c:v>
                </c:pt>
                <c:pt idx="4">
                  <c:v>2.7907889292805597E-2</c:v>
                </c:pt>
              </c:numCache>
            </c:numRef>
          </c:val>
          <c:smooth val="0"/>
        </c:ser>
        <c:ser>
          <c:idx val="2"/>
          <c:order val="2"/>
          <c:tx>
            <c:strRef>
              <c:f>Sheet1!$B$47</c:f>
              <c:strCache>
                <c:ptCount val="1"/>
                <c:pt idx="0">
                  <c:v>Shpenzimet vendore si % ndaj shpenzimeve publike</c:v>
                </c:pt>
              </c:strCache>
            </c:strRef>
          </c:tx>
          <c:spPr>
            <a:ln w="22219" cap="rnd">
              <a:solidFill>
                <a:srgbClr val="00B050"/>
              </a:solidFill>
              <a:round/>
            </a:ln>
            <a:effectLst/>
          </c:spPr>
          <c:marker>
            <c:symbol val="circle"/>
            <c:size val="5"/>
            <c:spPr>
              <a:solidFill>
                <a:schemeClr val="lt1"/>
              </a:solidFill>
              <a:ln w="15871">
                <a:solidFill>
                  <a:schemeClr val="accent3"/>
                </a:solidFill>
                <a:round/>
              </a:ln>
              <a:effectLst/>
            </c:spPr>
          </c:marker>
          <c:dLbls>
            <c:spPr>
              <a:noFill/>
              <a:ln w="25393">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Sheet1!$D$44:$H$44</c:f>
              <c:strCache>
                <c:ptCount val="5"/>
                <c:pt idx="0">
                  <c:v>2014</c:v>
                </c:pt>
                <c:pt idx="1">
                  <c:v>2015</c:v>
                </c:pt>
                <c:pt idx="2">
                  <c:v>2016</c:v>
                </c:pt>
                <c:pt idx="3">
                  <c:v>2017</c:v>
                </c:pt>
                <c:pt idx="4">
                  <c:v>P/Buxheti 2018</c:v>
                </c:pt>
              </c:strCache>
            </c:strRef>
          </c:cat>
          <c:val>
            <c:numRef>
              <c:f>Sheet1!$D$47:$H$47</c:f>
              <c:numCache>
                <c:formatCode>0.00%</c:formatCode>
                <c:ptCount val="5"/>
                <c:pt idx="0">
                  <c:v>7.4955562645275961E-2</c:v>
                </c:pt>
                <c:pt idx="1">
                  <c:v>7.7881520228253717E-2</c:v>
                </c:pt>
                <c:pt idx="2">
                  <c:v>0.10048490074867938</c:v>
                </c:pt>
                <c:pt idx="3">
                  <c:v>9.1356356788676721E-2</c:v>
                </c:pt>
                <c:pt idx="4">
                  <c:v>9.2692576851541905E-2</c:v>
                </c:pt>
              </c:numCache>
            </c:numRef>
          </c:val>
          <c:smooth val="0"/>
        </c:ser>
        <c:dLbls>
          <c:showLegendKey val="0"/>
          <c:showVal val="0"/>
          <c:showCatName val="0"/>
          <c:showSerName val="0"/>
          <c:showPercent val="0"/>
          <c:showBubbleSize val="0"/>
        </c:dLbls>
        <c:marker val="1"/>
        <c:smooth val="0"/>
        <c:axId val="-613409920"/>
        <c:axId val="-613402304"/>
      </c:lineChart>
      <c:catAx>
        <c:axId val="-613400672"/>
        <c:scaling>
          <c:orientation val="minMax"/>
        </c:scaling>
        <c:delete val="0"/>
        <c:axPos val="b"/>
        <c:majorGridlines>
          <c:spPr>
            <a:ln w="9523" cap="flat" cmpd="sng" algn="ctr">
              <a:solidFill>
                <a:schemeClr val="bg1"/>
              </a:solidFill>
              <a:round/>
            </a:ln>
            <a:effectLst/>
          </c:spPr>
        </c:majorGridlines>
        <c:numFmt formatCode="General" sourceLinked="1"/>
        <c:majorTickMark val="out"/>
        <c:minorTickMark val="none"/>
        <c:tickLblPos val="nextTo"/>
        <c:spPr>
          <a:noFill/>
          <a:ln w="9523" cap="flat" cmpd="sng" algn="ctr">
            <a:solidFill>
              <a:schemeClr val="dk1">
                <a:lumMod val="15000"/>
                <a:lumOff val="85000"/>
              </a:schemeClr>
            </a:solidFill>
            <a:round/>
          </a:ln>
          <a:effectLst/>
        </c:spPr>
        <c:txPr>
          <a:bodyPr rot="-60000000" spcFirstLastPara="1" vertOverflow="ellipsis" vert="horz" wrap="square" anchor="ctr" anchorCtr="1"/>
          <a:lstStyle/>
          <a:p>
            <a:pPr>
              <a:defRPr lang="sq-AL" sz="1050" b="1" i="0" u="none" strike="noStrike" kern="1200" cap="none" spc="0" normalizeH="0" baseline="0">
                <a:solidFill>
                  <a:schemeClr val="dk1">
                    <a:lumMod val="65000"/>
                    <a:lumOff val="35000"/>
                  </a:schemeClr>
                </a:solidFill>
                <a:latin typeface="+mn-lt"/>
                <a:ea typeface="+mn-ea"/>
                <a:cs typeface="+mn-cs"/>
              </a:defRPr>
            </a:pPr>
            <a:endParaRPr lang="en-US"/>
          </a:p>
        </c:txPr>
        <c:crossAx val="-613396864"/>
        <c:crosses val="autoZero"/>
        <c:auto val="1"/>
        <c:lblAlgn val="ctr"/>
        <c:lblOffset val="100"/>
        <c:noMultiLvlLbl val="0"/>
      </c:catAx>
      <c:valAx>
        <c:axId val="-613396864"/>
        <c:scaling>
          <c:orientation val="minMax"/>
        </c:scaling>
        <c:delete val="0"/>
        <c:axPos val="l"/>
        <c:majorGridlines>
          <c:spPr>
            <a:ln w="9523" cap="flat" cmpd="sng" algn="ctr">
              <a:solidFill>
                <a:schemeClr val="bg1"/>
              </a:solidFill>
              <a:round/>
            </a:ln>
            <a:effectLst/>
          </c:spPr>
        </c:majorGridlines>
        <c:numFmt formatCode="#,##0" sourceLinked="1"/>
        <c:majorTickMark val="none"/>
        <c:minorTickMark val="none"/>
        <c:tickLblPos val="nextTo"/>
        <c:spPr>
          <a:ln w="9523">
            <a:noFill/>
          </a:ln>
        </c:spPr>
        <c:txPr>
          <a:bodyPr rot="0" spcFirstLastPara="1" vertOverflow="ellipsis" wrap="square" anchor="ctr" anchorCtr="1"/>
          <a:lstStyle/>
          <a:p>
            <a:pPr>
              <a:defRPr lang="sq-AL" sz="900" b="1" i="0" u="none" strike="noStrike" kern="1200" baseline="0">
                <a:solidFill>
                  <a:schemeClr val="dk1">
                    <a:lumMod val="65000"/>
                    <a:lumOff val="35000"/>
                  </a:schemeClr>
                </a:solidFill>
                <a:latin typeface="+mn-lt"/>
                <a:ea typeface="+mn-ea"/>
                <a:cs typeface="+mn-cs"/>
              </a:defRPr>
            </a:pPr>
            <a:endParaRPr lang="en-US"/>
          </a:p>
        </c:txPr>
        <c:crossAx val="-613400672"/>
        <c:crosses val="autoZero"/>
        <c:crossBetween val="between"/>
      </c:valAx>
      <c:catAx>
        <c:axId val="-613409920"/>
        <c:scaling>
          <c:orientation val="minMax"/>
        </c:scaling>
        <c:delete val="1"/>
        <c:axPos val="b"/>
        <c:numFmt formatCode="General" sourceLinked="1"/>
        <c:majorTickMark val="out"/>
        <c:minorTickMark val="none"/>
        <c:tickLblPos val="nextTo"/>
        <c:crossAx val="-613402304"/>
        <c:crosses val="autoZero"/>
        <c:auto val="1"/>
        <c:lblAlgn val="ctr"/>
        <c:lblOffset val="100"/>
        <c:noMultiLvlLbl val="0"/>
      </c:catAx>
      <c:valAx>
        <c:axId val="-613402304"/>
        <c:scaling>
          <c:orientation val="minMax"/>
        </c:scaling>
        <c:delete val="0"/>
        <c:axPos val="r"/>
        <c:numFmt formatCode="0%" sourceLinked="0"/>
        <c:majorTickMark val="none"/>
        <c:minorTickMark val="none"/>
        <c:tickLblPos val="nextTo"/>
        <c:spPr>
          <a:ln w="9523">
            <a:noFill/>
          </a:ln>
        </c:spPr>
        <c:txPr>
          <a:bodyPr rot="-60000000" spcFirstLastPara="1" vertOverflow="ellipsis" vert="horz" wrap="square" anchor="ctr" anchorCtr="1"/>
          <a:lstStyle/>
          <a:p>
            <a:pPr>
              <a:defRPr lang="sq-AL" sz="1000" b="1" i="0" u="none" strike="noStrike" kern="1200" baseline="0">
                <a:solidFill>
                  <a:schemeClr val="dk1">
                    <a:lumMod val="65000"/>
                    <a:lumOff val="35000"/>
                  </a:schemeClr>
                </a:solidFill>
                <a:latin typeface="+mn-lt"/>
                <a:ea typeface="+mn-ea"/>
                <a:cs typeface="+mn-cs"/>
              </a:defRPr>
            </a:pPr>
            <a:endParaRPr lang="en-US"/>
          </a:p>
        </c:txPr>
        <c:crossAx val="-613409920"/>
        <c:crosses val="max"/>
        <c:crossBetween val="between"/>
      </c:valAx>
      <c:spPr>
        <a:noFill/>
        <a:ln w="25393">
          <a:noFill/>
        </a:ln>
      </c:spPr>
    </c:plotArea>
    <c:legend>
      <c:legendPos val="b"/>
      <c:layout>
        <c:manualLayout>
          <c:xMode val="edge"/>
          <c:yMode val="edge"/>
          <c:x val="3.2365560862269264E-2"/>
          <c:y val="0.74703124438212343"/>
          <c:w val="0.93437425239877803"/>
          <c:h val="0.23216265774997302"/>
        </c:manualLayout>
      </c:layout>
      <c:overlay val="0"/>
      <c:spPr>
        <a:noFill/>
        <a:ln>
          <a:solidFill>
            <a:srgbClr val="00B050"/>
          </a:solidFill>
        </a:ln>
        <a:effectLst/>
      </c:spPr>
      <c:txPr>
        <a:bodyPr rot="0" spcFirstLastPara="1" vertOverflow="ellipsis" wrap="square" anchor="ctr" anchorCtr="1"/>
        <a:lstStyle/>
        <a:p>
          <a:pPr>
            <a:defRPr lang="sq-AL" sz="80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3"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sq-AL" sz="1599" b="1" i="0" u="none" strike="noStrike" kern="1200" cap="none" spc="0" normalizeH="0" baseline="0">
                <a:solidFill>
                  <a:schemeClr val="tx1">
                    <a:lumMod val="75000"/>
                    <a:lumOff val="25000"/>
                  </a:schemeClr>
                </a:solidFill>
                <a:latin typeface="Times New Roman" pitchFamily="18" charset="0"/>
                <a:ea typeface="+mj-ea"/>
                <a:cs typeface="Times New Roman" pitchFamily="18" charset="0"/>
              </a:defRPr>
            </a:pPr>
            <a:r>
              <a:rPr lang="en-US" sz="999" b="1">
                <a:solidFill>
                  <a:schemeClr val="tx1">
                    <a:lumMod val="95000"/>
                    <a:lumOff val="5000"/>
                  </a:schemeClr>
                </a:solidFill>
                <a:latin typeface="Times New Roman" pitchFamily="18" charset="0"/>
                <a:cs typeface="Times New Roman" pitchFamily="18" charset="0"/>
              </a:rPr>
              <a:t>Pesha specifike e të ardhurave të buxhetit vendor ndaj</a:t>
            </a:r>
            <a:r>
              <a:rPr lang="en-US" sz="999" b="1" baseline="0">
                <a:solidFill>
                  <a:schemeClr val="tx1">
                    <a:lumMod val="95000"/>
                    <a:lumOff val="5000"/>
                  </a:schemeClr>
                </a:solidFill>
                <a:latin typeface="Times New Roman" pitchFamily="18" charset="0"/>
                <a:cs typeface="Times New Roman" pitchFamily="18" charset="0"/>
              </a:rPr>
              <a:t> të ardhurave të buxhetit të shtetit dhe PBB-së</a:t>
            </a:r>
            <a:endParaRPr lang="en-US" sz="1000" b="1">
              <a:solidFill>
                <a:schemeClr val="tx1">
                  <a:lumMod val="95000"/>
                  <a:lumOff val="5000"/>
                </a:schemeClr>
              </a:solidFill>
              <a:latin typeface="Times New Roman" pitchFamily="18" charset="0"/>
              <a:cs typeface="Times New Roman" pitchFamily="18" charset="0"/>
            </a:endParaRPr>
          </a:p>
        </c:rich>
      </c:tx>
      <c:overlay val="0"/>
      <c:spPr>
        <a:noFill/>
        <a:ln w="25387">
          <a:noFill/>
        </a:ln>
      </c:spPr>
    </c:title>
    <c:autoTitleDeleted val="0"/>
    <c:plotArea>
      <c:layout/>
      <c:barChart>
        <c:barDir val="col"/>
        <c:grouping val="clustered"/>
        <c:varyColors val="0"/>
        <c:ser>
          <c:idx val="2"/>
          <c:order val="2"/>
          <c:tx>
            <c:strRef>
              <c:f>Sheet1!$B$18</c:f>
              <c:strCache>
                <c:ptCount val="1"/>
                <c:pt idx="0">
                  <c:v>Të ardhurat e buxhetit vendor</c:v>
                </c:pt>
              </c:strCache>
            </c:strRef>
          </c:tx>
          <c:spPr>
            <a:solidFill>
              <a:srgbClr val="4181E9">
                <a:alpha val="75000"/>
              </a:srgbClr>
            </a:solidFill>
            <a:ln>
              <a:noFill/>
            </a:ln>
            <a:effectLst/>
          </c:spPr>
          <c:invertIfNegative val="0"/>
          <c:cat>
            <c:strRef>
              <c:f>Sheet1!$D$15:$H$15</c:f>
              <c:strCache>
                <c:ptCount val="5"/>
                <c:pt idx="0">
                  <c:v>2014</c:v>
                </c:pt>
                <c:pt idx="1">
                  <c:v>2015</c:v>
                </c:pt>
                <c:pt idx="2">
                  <c:v>2016</c:v>
                </c:pt>
                <c:pt idx="3">
                  <c:v>2017</c:v>
                </c:pt>
                <c:pt idx="4">
                  <c:v>P/Buxhet 2018</c:v>
                </c:pt>
              </c:strCache>
            </c:strRef>
          </c:cat>
          <c:val>
            <c:numRef>
              <c:f>Sheet1!$D$18:$H$18</c:f>
              <c:numCache>
                <c:formatCode>#,##0</c:formatCode>
                <c:ptCount val="5"/>
                <c:pt idx="0">
                  <c:v>12447</c:v>
                </c:pt>
                <c:pt idx="1">
                  <c:v>11700</c:v>
                </c:pt>
                <c:pt idx="2">
                  <c:v>14951</c:v>
                </c:pt>
                <c:pt idx="3">
                  <c:v>17401</c:v>
                </c:pt>
                <c:pt idx="4">
                  <c:v>18786.531271041931</c:v>
                </c:pt>
              </c:numCache>
            </c:numRef>
          </c:val>
        </c:ser>
        <c:dLbls>
          <c:showLegendKey val="0"/>
          <c:showVal val="0"/>
          <c:showCatName val="0"/>
          <c:showSerName val="0"/>
          <c:showPercent val="0"/>
          <c:showBubbleSize val="0"/>
        </c:dLbls>
        <c:gapWidth val="247"/>
        <c:axId val="-613413728"/>
        <c:axId val="-613421888"/>
      </c:barChart>
      <c:lineChart>
        <c:grouping val="standard"/>
        <c:varyColors val="0"/>
        <c:ser>
          <c:idx val="0"/>
          <c:order val="0"/>
          <c:tx>
            <c:strRef>
              <c:f>Sheet1!$B$16</c:f>
              <c:strCache>
                <c:ptCount val="1"/>
                <c:pt idx="0">
                  <c:v>Në % ndaj totalit të të ardhurave</c:v>
                </c:pt>
              </c:strCache>
            </c:strRef>
          </c:tx>
          <c:spPr>
            <a:ln w="22213" cap="rnd">
              <a:solidFill>
                <a:srgbClr val="2945D1"/>
              </a:solidFill>
              <a:round/>
            </a:ln>
            <a:effectLst/>
          </c:spPr>
          <c:marker>
            <c:symbol val="circle"/>
            <c:size val="5"/>
            <c:spPr>
              <a:solidFill>
                <a:schemeClr val="lt1"/>
              </a:solidFill>
              <a:ln w="15867">
                <a:solidFill>
                  <a:schemeClr val="accent1"/>
                </a:solidFill>
                <a:round/>
              </a:ln>
              <a:effectLst/>
            </c:spPr>
          </c:marker>
          <c:dLbls>
            <c:spPr>
              <a:noFill/>
              <a:ln w="25387">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Sheet1!$D$15:$H$15</c:f>
              <c:strCache>
                <c:ptCount val="5"/>
                <c:pt idx="0">
                  <c:v>2014</c:v>
                </c:pt>
                <c:pt idx="1">
                  <c:v>2015</c:v>
                </c:pt>
                <c:pt idx="2">
                  <c:v>2016</c:v>
                </c:pt>
                <c:pt idx="3">
                  <c:v>2017</c:v>
                </c:pt>
                <c:pt idx="4">
                  <c:v>P/Buxhet 2018</c:v>
                </c:pt>
              </c:strCache>
            </c:strRef>
          </c:cat>
          <c:val>
            <c:numRef>
              <c:f>Sheet1!$D$16:$H$16</c:f>
              <c:numCache>
                <c:formatCode>0.00%</c:formatCode>
                <c:ptCount val="5"/>
                <c:pt idx="0">
                  <c:v>3.394457383156161E-2</c:v>
                </c:pt>
                <c:pt idx="1">
                  <c:v>3.0853942184459106E-2</c:v>
                </c:pt>
                <c:pt idx="2">
                  <c:v>3.6732748433127529E-2</c:v>
                </c:pt>
                <c:pt idx="3">
                  <c:v>3.9691937762451918E-2</c:v>
                </c:pt>
                <c:pt idx="4">
                  <c:v>4.0462797463244285E-2</c:v>
                </c:pt>
              </c:numCache>
            </c:numRef>
          </c:val>
          <c:smooth val="0"/>
        </c:ser>
        <c:ser>
          <c:idx val="1"/>
          <c:order val="1"/>
          <c:tx>
            <c:strRef>
              <c:f>Sheet1!$B$17</c:f>
              <c:strCache>
                <c:ptCount val="1"/>
                <c:pt idx="0">
                  <c:v>Në % ndaj PBB-së</c:v>
                </c:pt>
              </c:strCache>
            </c:strRef>
          </c:tx>
          <c:spPr>
            <a:ln w="12693">
              <a:solidFill>
                <a:srgbClr val="FF0000"/>
              </a:solidFill>
              <a:prstDash val="solid"/>
            </a:ln>
          </c:spPr>
          <c:marker>
            <c:symbol val="circle"/>
            <c:size val="5"/>
            <c:spPr>
              <a:solidFill>
                <a:schemeClr val="lt1"/>
              </a:solidFill>
              <a:ln w="15867">
                <a:solidFill>
                  <a:schemeClr val="accent2"/>
                </a:solidFill>
                <a:round/>
              </a:ln>
              <a:effectLst/>
            </c:spPr>
          </c:marker>
          <c:dLbls>
            <c:dLbl>
              <c:idx val="0"/>
              <c:layout>
                <c:manualLayout>
                  <c:x val="-5.1214029096449273E-2"/>
                  <c:y val="-5.513814048098850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87">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Sheet1!$D$15:$H$15</c:f>
              <c:strCache>
                <c:ptCount val="5"/>
                <c:pt idx="0">
                  <c:v>2014</c:v>
                </c:pt>
                <c:pt idx="1">
                  <c:v>2015</c:v>
                </c:pt>
                <c:pt idx="2">
                  <c:v>2016</c:v>
                </c:pt>
                <c:pt idx="3">
                  <c:v>2017</c:v>
                </c:pt>
                <c:pt idx="4">
                  <c:v>P/Buxhet 2018</c:v>
                </c:pt>
              </c:strCache>
            </c:strRef>
          </c:cat>
          <c:val>
            <c:numRef>
              <c:f>Sheet1!$D$17:$H$17</c:f>
              <c:numCache>
                <c:formatCode>0.00%</c:formatCode>
                <c:ptCount val="5"/>
                <c:pt idx="0">
                  <c:v>8.9319287569786295E-3</c:v>
                </c:pt>
                <c:pt idx="1">
                  <c:v>8.1490453428205867E-3</c:v>
                </c:pt>
                <c:pt idx="2">
                  <c:v>1.0151472485997553E-2</c:v>
                </c:pt>
                <c:pt idx="3">
                  <c:v>1.1197472249639439E-2</c:v>
                </c:pt>
                <c:pt idx="4">
                  <c:v>1.1388617266172289E-2</c:v>
                </c:pt>
              </c:numCache>
            </c:numRef>
          </c:val>
          <c:smooth val="0"/>
        </c:ser>
        <c:dLbls>
          <c:showLegendKey val="0"/>
          <c:showVal val="0"/>
          <c:showCatName val="0"/>
          <c:showSerName val="0"/>
          <c:showPercent val="0"/>
          <c:showBubbleSize val="0"/>
        </c:dLbls>
        <c:marker val="1"/>
        <c:smooth val="0"/>
        <c:axId val="-613406112"/>
        <c:axId val="-613397408"/>
      </c:lineChart>
      <c:catAx>
        <c:axId val="-613413728"/>
        <c:scaling>
          <c:orientation val="minMax"/>
        </c:scaling>
        <c:delete val="0"/>
        <c:axPos val="b"/>
        <c:majorGridlines>
          <c:spPr>
            <a:ln w="9520" cap="flat" cmpd="sng" algn="ctr">
              <a:solidFill>
                <a:schemeClr val="bg1"/>
              </a:solidFill>
              <a:round/>
            </a:ln>
            <a:effectLst/>
          </c:spPr>
        </c:majorGridlines>
        <c:numFmt formatCode="General" sourceLinked="1"/>
        <c:majorTickMark val="out"/>
        <c:minorTickMark val="none"/>
        <c:tickLblPos val="nextTo"/>
        <c:spPr>
          <a:noFill/>
          <a:ln w="9520" cap="flat" cmpd="sng" algn="ctr">
            <a:solidFill>
              <a:schemeClr val="dk1">
                <a:lumMod val="15000"/>
                <a:lumOff val="85000"/>
              </a:schemeClr>
            </a:solidFill>
            <a:round/>
          </a:ln>
          <a:effectLst/>
        </c:spPr>
        <c:txPr>
          <a:bodyPr rot="-60000000" spcFirstLastPara="1" vertOverflow="ellipsis" vert="horz" wrap="square" anchor="ctr" anchorCtr="1"/>
          <a:lstStyle/>
          <a:p>
            <a:pPr>
              <a:defRPr lang="sq-AL" sz="999" b="1" i="0" u="none" strike="noStrike" kern="1200" cap="none" spc="0" normalizeH="0" baseline="0">
                <a:solidFill>
                  <a:schemeClr val="dk1">
                    <a:lumMod val="65000"/>
                    <a:lumOff val="35000"/>
                  </a:schemeClr>
                </a:solidFill>
                <a:latin typeface="Times New Roman" pitchFamily="18" charset="0"/>
                <a:ea typeface="+mn-ea"/>
                <a:cs typeface="Times New Roman" pitchFamily="18" charset="0"/>
              </a:defRPr>
            </a:pPr>
            <a:endParaRPr lang="en-US"/>
          </a:p>
        </c:txPr>
        <c:crossAx val="-613421888"/>
        <c:crosses val="autoZero"/>
        <c:auto val="1"/>
        <c:lblAlgn val="ctr"/>
        <c:lblOffset val="100"/>
        <c:noMultiLvlLbl val="0"/>
      </c:catAx>
      <c:valAx>
        <c:axId val="-613421888"/>
        <c:scaling>
          <c:orientation val="minMax"/>
        </c:scaling>
        <c:delete val="0"/>
        <c:axPos val="l"/>
        <c:majorGridlines>
          <c:spPr>
            <a:ln w="9520" cap="flat" cmpd="sng" algn="ctr">
              <a:solidFill>
                <a:schemeClr val="bg1"/>
              </a:solidFill>
              <a:round/>
            </a:ln>
            <a:effectLst/>
          </c:spPr>
        </c:majorGridlines>
        <c:numFmt formatCode="#,##0" sourceLinked="1"/>
        <c:majorTickMark val="none"/>
        <c:minorTickMark val="none"/>
        <c:tickLblPos val="nextTo"/>
        <c:spPr>
          <a:ln w="9520">
            <a:noFill/>
          </a:ln>
        </c:spPr>
        <c:txPr>
          <a:bodyPr rot="-60000000" spcFirstLastPara="1" vertOverflow="ellipsis" vert="horz" wrap="square" anchor="ctr" anchorCtr="1"/>
          <a:lstStyle/>
          <a:p>
            <a:pPr>
              <a:defRPr lang="sq-AL" sz="999" b="1" i="0" u="none" strike="noStrike" kern="1200" baseline="0">
                <a:solidFill>
                  <a:sysClr val="windowText" lastClr="000000"/>
                </a:solidFill>
                <a:latin typeface="+mn-lt"/>
                <a:ea typeface="+mn-ea"/>
                <a:cs typeface="Times New Roman" pitchFamily="18" charset="0"/>
              </a:defRPr>
            </a:pPr>
            <a:endParaRPr lang="en-US"/>
          </a:p>
        </c:txPr>
        <c:crossAx val="-613413728"/>
        <c:crosses val="autoZero"/>
        <c:crossBetween val="between"/>
      </c:valAx>
      <c:catAx>
        <c:axId val="-613406112"/>
        <c:scaling>
          <c:orientation val="minMax"/>
        </c:scaling>
        <c:delete val="1"/>
        <c:axPos val="b"/>
        <c:numFmt formatCode="General" sourceLinked="1"/>
        <c:majorTickMark val="out"/>
        <c:minorTickMark val="none"/>
        <c:tickLblPos val="nextTo"/>
        <c:crossAx val="-613397408"/>
        <c:crosses val="autoZero"/>
        <c:auto val="1"/>
        <c:lblAlgn val="ctr"/>
        <c:lblOffset val="100"/>
        <c:noMultiLvlLbl val="0"/>
      </c:catAx>
      <c:valAx>
        <c:axId val="-613397408"/>
        <c:scaling>
          <c:orientation val="minMax"/>
        </c:scaling>
        <c:delete val="0"/>
        <c:axPos val="r"/>
        <c:numFmt formatCode="0%" sourceLinked="0"/>
        <c:majorTickMark val="none"/>
        <c:minorTickMark val="none"/>
        <c:tickLblPos val="nextTo"/>
        <c:spPr>
          <a:ln w="9520">
            <a:noFill/>
          </a:ln>
        </c:spPr>
        <c:txPr>
          <a:bodyPr rot="-60000000" spcFirstLastPara="1" vertOverflow="ellipsis" vert="horz" wrap="square" anchor="ctr" anchorCtr="1"/>
          <a:lstStyle/>
          <a:p>
            <a:pPr>
              <a:defRPr lang="sq-AL" sz="999" b="1" i="0" u="none" strike="noStrike" kern="1200" baseline="0">
                <a:solidFill>
                  <a:sysClr val="windowText" lastClr="000000"/>
                </a:solidFill>
                <a:latin typeface="+mn-lt"/>
                <a:ea typeface="+mn-ea"/>
                <a:cs typeface="+mn-cs"/>
              </a:defRPr>
            </a:pPr>
            <a:endParaRPr lang="en-US"/>
          </a:p>
        </c:txPr>
        <c:crossAx val="-613406112"/>
        <c:crosses val="max"/>
        <c:crossBetween val="between"/>
      </c:valAx>
      <c:spPr>
        <a:noFill/>
        <a:ln w="25387">
          <a:noFill/>
        </a:ln>
      </c:spPr>
    </c:plotArea>
    <c:legend>
      <c:legendPos val="b"/>
      <c:overlay val="0"/>
      <c:spPr>
        <a:noFill/>
        <a:ln w="25387">
          <a:noFill/>
        </a:ln>
      </c:spPr>
      <c:txPr>
        <a:bodyPr rot="0" spcFirstLastPara="1" vertOverflow="ellipsis" vert="horz" wrap="square" anchor="ctr" anchorCtr="1"/>
        <a:lstStyle/>
        <a:p>
          <a:pPr>
            <a:defRPr lang="sq-AL" sz="8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0"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Sheet1!$B$26</c:f>
              <c:strCache>
                <c:ptCount val="1"/>
                <c:pt idx="0">
                  <c:v>Shpenzimet e buxhetit vendor</c:v>
                </c:pt>
              </c:strCache>
            </c:strRef>
          </c:tx>
          <c:spPr>
            <a:solidFill>
              <a:srgbClr val="4181E9">
                <a:alpha val="88000"/>
              </a:srgbClr>
            </a:solidFill>
            <a:ln>
              <a:noFill/>
            </a:ln>
            <a:effectLst/>
          </c:spPr>
          <c:invertIfNegative val="0"/>
          <c:cat>
            <c:strRef>
              <c:f>Sheet1!$D$23:$H$23</c:f>
              <c:strCache>
                <c:ptCount val="5"/>
                <c:pt idx="0">
                  <c:v>2014</c:v>
                </c:pt>
                <c:pt idx="1">
                  <c:v>2015</c:v>
                </c:pt>
                <c:pt idx="2">
                  <c:v>2016</c:v>
                </c:pt>
                <c:pt idx="3">
                  <c:v>2017</c:v>
                </c:pt>
                <c:pt idx="4">
                  <c:v>P/Buxhet 2018</c:v>
                </c:pt>
              </c:strCache>
            </c:strRef>
          </c:cat>
          <c:val>
            <c:numRef>
              <c:f>Sheet1!$D$26:$H$26</c:f>
              <c:numCache>
                <c:formatCode>#,##0</c:formatCode>
                <c:ptCount val="5"/>
                <c:pt idx="0">
                  <c:v>32892</c:v>
                </c:pt>
                <c:pt idx="1">
                  <c:v>34066</c:v>
                </c:pt>
                <c:pt idx="2">
                  <c:v>43580</c:v>
                </c:pt>
                <c:pt idx="3">
                  <c:v>42901</c:v>
                </c:pt>
                <c:pt idx="4">
                  <c:v>46036.531271041931</c:v>
                </c:pt>
              </c:numCache>
            </c:numRef>
          </c:val>
        </c:ser>
        <c:dLbls>
          <c:showLegendKey val="0"/>
          <c:showVal val="0"/>
          <c:showCatName val="0"/>
          <c:showSerName val="0"/>
          <c:showPercent val="0"/>
          <c:showBubbleSize val="0"/>
        </c:dLbls>
        <c:gapWidth val="247"/>
        <c:axId val="-613403936"/>
        <c:axId val="-613395776"/>
      </c:barChart>
      <c:lineChart>
        <c:grouping val="standard"/>
        <c:varyColors val="0"/>
        <c:ser>
          <c:idx val="0"/>
          <c:order val="0"/>
          <c:tx>
            <c:strRef>
              <c:f>Sheet1!$B$24</c:f>
              <c:strCache>
                <c:ptCount val="1"/>
                <c:pt idx="0">
                  <c:v>Në % ndaj totalit të shpenzimeve</c:v>
                </c:pt>
              </c:strCache>
            </c:strRef>
          </c:tx>
          <c:spPr>
            <a:ln w="22225" cap="rnd">
              <a:solidFill>
                <a:srgbClr val="2945D1"/>
              </a:solidFill>
              <a:round/>
            </a:ln>
            <a:effectLst/>
          </c:spPr>
          <c:marker>
            <c:symbol val="circle"/>
            <c:size val="6"/>
            <c:spPr>
              <a:solidFill>
                <a:schemeClr val="lt1"/>
              </a:solidFill>
              <a:ln w="15875">
                <a:solidFill>
                  <a:schemeClr val="accent1"/>
                </a:solidFill>
                <a:round/>
              </a:ln>
              <a:effectLst/>
            </c:spPr>
          </c:marker>
          <c:dLbls>
            <c:spPr>
              <a:noFill/>
              <a:ln w="25400">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Sheet1!$D$23:$H$23</c:f>
              <c:strCache>
                <c:ptCount val="5"/>
                <c:pt idx="0">
                  <c:v>2014</c:v>
                </c:pt>
                <c:pt idx="1">
                  <c:v>2015</c:v>
                </c:pt>
                <c:pt idx="2">
                  <c:v>2016</c:v>
                </c:pt>
                <c:pt idx="3">
                  <c:v>2017</c:v>
                </c:pt>
                <c:pt idx="4">
                  <c:v>P/Buxhet 2018</c:v>
                </c:pt>
              </c:strCache>
            </c:strRef>
          </c:cat>
          <c:val>
            <c:numRef>
              <c:f>Sheet1!$D$24:$H$24</c:f>
              <c:numCache>
                <c:formatCode>0.00%</c:formatCode>
                <c:ptCount val="5"/>
                <c:pt idx="0">
                  <c:v>7.4955562645275961E-2</c:v>
                </c:pt>
                <c:pt idx="1">
                  <c:v>7.7881520228253717E-2</c:v>
                </c:pt>
                <c:pt idx="2">
                  <c:v>0.10048490074867938</c:v>
                </c:pt>
                <c:pt idx="3">
                  <c:v>9.1356356788676721E-2</c:v>
                </c:pt>
                <c:pt idx="4">
                  <c:v>9.2692576851541905E-2</c:v>
                </c:pt>
              </c:numCache>
            </c:numRef>
          </c:val>
          <c:smooth val="0"/>
        </c:ser>
        <c:ser>
          <c:idx val="1"/>
          <c:order val="1"/>
          <c:tx>
            <c:strRef>
              <c:f>Sheet1!$B$25</c:f>
              <c:strCache>
                <c:ptCount val="1"/>
                <c:pt idx="0">
                  <c:v>Në % ndaj PBB-së</c:v>
                </c:pt>
              </c:strCache>
            </c:strRef>
          </c:tx>
          <c:spPr>
            <a:ln w="12700">
              <a:solidFill>
                <a:srgbClr val="FF0000"/>
              </a:solidFill>
              <a:prstDash val="solid"/>
            </a:ln>
          </c:spPr>
          <c:marker>
            <c:symbol val="circle"/>
            <c:size val="6"/>
            <c:spPr>
              <a:solidFill>
                <a:schemeClr val="lt1"/>
              </a:solidFill>
              <a:ln w="15875">
                <a:solidFill>
                  <a:schemeClr val="accent2"/>
                </a:solidFill>
                <a:round/>
              </a:ln>
              <a:effectLst/>
            </c:spPr>
          </c:marker>
          <c:dLbls>
            <c:spPr>
              <a:noFill/>
              <a:ln w="25400">
                <a:noFill/>
              </a:ln>
            </c:spPr>
            <c:txPr>
              <a:bodyPr rot="0" spcFirstLastPara="1" vertOverflow="ellipsis" vert="horz" wrap="square" lIns="38100" tIns="19050" rIns="38100" bIns="19050" anchor="ctr" anchorCtr="1">
                <a:spAutoFit/>
              </a:bodyPr>
              <a:lstStyle/>
              <a:p>
                <a:pPr>
                  <a:defRPr lang="sq-AL" sz="900" b="1"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Sheet1!$D$23:$H$23</c:f>
              <c:strCache>
                <c:ptCount val="5"/>
                <c:pt idx="0">
                  <c:v>2014</c:v>
                </c:pt>
                <c:pt idx="1">
                  <c:v>2015</c:v>
                </c:pt>
                <c:pt idx="2">
                  <c:v>2016</c:v>
                </c:pt>
                <c:pt idx="3">
                  <c:v>2017</c:v>
                </c:pt>
                <c:pt idx="4">
                  <c:v>P/Buxhet 2018</c:v>
                </c:pt>
              </c:strCache>
            </c:strRef>
          </c:cat>
          <c:val>
            <c:numRef>
              <c:f>Sheet1!$D$25:$H$25</c:f>
              <c:numCache>
                <c:formatCode>0.00%</c:formatCode>
                <c:ptCount val="5"/>
                <c:pt idx="0">
                  <c:v>2.3603197611837479E-2</c:v>
                </c:pt>
                <c:pt idx="1">
                  <c:v>2.3726955440044967E-2</c:v>
                </c:pt>
                <c:pt idx="2">
                  <c:v>2.9590072298827725E-2</c:v>
                </c:pt>
                <c:pt idx="3">
                  <c:v>2.760661783700831E-2</c:v>
                </c:pt>
                <c:pt idx="4">
                  <c:v>2.7907889292805597E-2</c:v>
                </c:pt>
              </c:numCache>
            </c:numRef>
          </c:val>
          <c:smooth val="0"/>
        </c:ser>
        <c:dLbls>
          <c:showLegendKey val="0"/>
          <c:showVal val="0"/>
          <c:showCatName val="0"/>
          <c:showSerName val="0"/>
          <c:showPercent val="0"/>
          <c:showBubbleSize val="0"/>
        </c:dLbls>
        <c:marker val="1"/>
        <c:smooth val="0"/>
        <c:axId val="-613419168"/>
        <c:axId val="-613418624"/>
      </c:lineChart>
      <c:catAx>
        <c:axId val="-613403936"/>
        <c:scaling>
          <c:orientation val="minMax"/>
        </c:scaling>
        <c:delete val="0"/>
        <c:axPos val="b"/>
        <c:majorGridlines>
          <c:spPr>
            <a:ln>
              <a:solidFill>
                <a:sysClr val="window" lastClr="FFFFFF"/>
              </a:solidFill>
            </a:ln>
            <a:effectLst>
              <a:outerShdw blurRad="50800" dist="50800" dir="5400000" algn="ctr" rotWithShape="0">
                <a:schemeClr val="bg1"/>
              </a:outerShdw>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sq-AL" sz="1000" b="1" i="0" u="none" strike="noStrike" kern="1200" cap="none" spc="0" normalizeH="0" baseline="0">
                <a:solidFill>
                  <a:schemeClr val="dk1">
                    <a:lumMod val="65000"/>
                    <a:lumOff val="35000"/>
                  </a:schemeClr>
                </a:solidFill>
                <a:latin typeface="+mn-lt"/>
                <a:ea typeface="+mn-ea"/>
                <a:cs typeface="+mn-cs"/>
              </a:defRPr>
            </a:pPr>
            <a:endParaRPr lang="en-US"/>
          </a:p>
        </c:txPr>
        <c:crossAx val="-613395776"/>
        <c:crosses val="autoZero"/>
        <c:auto val="1"/>
        <c:lblAlgn val="ctr"/>
        <c:lblOffset val="100"/>
        <c:noMultiLvlLbl val="0"/>
      </c:catAx>
      <c:valAx>
        <c:axId val="-613395776"/>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lang="sq-AL" sz="1000" b="1" i="0" u="none" strike="noStrike" kern="1200" baseline="0">
                <a:solidFill>
                  <a:schemeClr val="dk1">
                    <a:lumMod val="65000"/>
                    <a:lumOff val="35000"/>
                  </a:schemeClr>
                </a:solidFill>
                <a:latin typeface="+mn-lt"/>
                <a:ea typeface="+mn-ea"/>
                <a:cs typeface="+mn-cs"/>
              </a:defRPr>
            </a:pPr>
            <a:endParaRPr lang="en-US"/>
          </a:p>
        </c:txPr>
        <c:crossAx val="-613403936"/>
        <c:crosses val="autoZero"/>
        <c:crossBetween val="between"/>
      </c:valAx>
      <c:catAx>
        <c:axId val="-613419168"/>
        <c:scaling>
          <c:orientation val="minMax"/>
        </c:scaling>
        <c:delete val="1"/>
        <c:axPos val="b"/>
        <c:numFmt formatCode="General" sourceLinked="1"/>
        <c:majorTickMark val="out"/>
        <c:minorTickMark val="none"/>
        <c:tickLblPos val="nextTo"/>
        <c:crossAx val="-613418624"/>
        <c:crosses val="autoZero"/>
        <c:auto val="1"/>
        <c:lblAlgn val="ctr"/>
        <c:lblOffset val="100"/>
        <c:noMultiLvlLbl val="0"/>
      </c:catAx>
      <c:valAx>
        <c:axId val="-613418624"/>
        <c:scaling>
          <c:orientation val="minMax"/>
        </c:scaling>
        <c:delete val="0"/>
        <c:axPos val="r"/>
        <c:numFmt formatCode="0%" sourceLinked="0"/>
        <c:majorTickMark val="none"/>
        <c:minorTickMark val="none"/>
        <c:tickLblPos val="nextTo"/>
        <c:spPr>
          <a:ln w="9525">
            <a:noFill/>
          </a:ln>
        </c:spPr>
        <c:txPr>
          <a:bodyPr rot="-60000000" spcFirstLastPara="1" vertOverflow="ellipsis" vert="horz" wrap="square" anchor="ctr" anchorCtr="1"/>
          <a:lstStyle/>
          <a:p>
            <a:pPr>
              <a:defRPr lang="sq-AL" sz="1000" b="1" i="0" u="none" strike="noStrike" kern="1200" baseline="0">
                <a:solidFill>
                  <a:schemeClr val="dk1">
                    <a:lumMod val="65000"/>
                    <a:lumOff val="35000"/>
                  </a:schemeClr>
                </a:solidFill>
                <a:latin typeface="+mn-lt"/>
                <a:ea typeface="+mn-ea"/>
                <a:cs typeface="+mn-cs"/>
              </a:defRPr>
            </a:pPr>
            <a:endParaRPr lang="en-US"/>
          </a:p>
        </c:txPr>
        <c:crossAx val="-613419168"/>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lang="sq-AL" sz="800" b="1"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9.0725080782467674E-2"/>
          <c:y val="9.9807603235115977E-2"/>
          <c:w val="0.91960000791363361"/>
          <c:h val="0.69766041633883025"/>
        </c:manualLayout>
      </c:layout>
      <c:lineChart>
        <c:grouping val="standard"/>
        <c:varyColors val="0"/>
        <c:ser>
          <c:idx val="0"/>
          <c:order val="0"/>
          <c:tx>
            <c:strRef>
              <c:f>Graf!$D$2</c:f>
              <c:strCache>
                <c:ptCount val="1"/>
                <c:pt idx="0">
                  <c:v>TNE</c:v>
                </c:pt>
              </c:strCache>
            </c:strRef>
          </c:tx>
          <c:spPr>
            <a:ln w="38100">
              <a:solidFill>
                <a:srgbClr val="1B0989"/>
              </a:solidFill>
            </a:ln>
          </c:spPr>
          <c:marker>
            <c:symbol val="circle"/>
            <c:size val="4"/>
            <c:spPr>
              <a:solidFill>
                <a:srgbClr val="1B0989"/>
              </a:solidFill>
            </c:spPr>
          </c:marker>
          <c:dLbls>
            <c:dLbl>
              <c:idx val="0"/>
              <c:layout>
                <c:manualLayout>
                  <c:x val="-3.4174128649257375E-2"/>
                  <c:y val="-5.05999611784861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096471322798277E-2"/>
                  <c:y val="-7.1046968346473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505415429526631E-2"/>
                  <c:y val="7.1891029698458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377638653138322E-2"/>
                  <c:y val="4.84246060882260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1912811065665146E-2"/>
                  <c:y val="-6.59403024438674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954100220233929E-2"/>
                  <c:y val="5.35868546978251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0383721360342276E-2"/>
                  <c:y val="-5.84945692077879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3341948544759274E-2"/>
                  <c:y val="5.11728316918584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4580114127087478E-2"/>
                  <c:y val="-7.1414031445426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7367027382163697E-3"/>
                  <c:y val="6.11118143994057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8.4914093503422106E-2"/>
                  <c:y val="-7.99956114810407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9961654284991273E-2"/>
                  <c:y val="-5.84729641913732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4.5852809054074448E-2"/>
                  <c:y val="4.45103847549602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3463492845088282E-2"/>
                  <c:y val="-5.4039937834895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991680312637059E-2"/>
                  <c:y val="5.79703099813487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5.0642869641294982E-2"/>
                  <c:y val="-0.10186279656219444"/>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1.8588509769612276E-2"/>
                  <c:y val="3.55135608048993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4620837734391187E-2"/>
                      <c:h val="8.3301178992497324E-2"/>
                    </c:manualLayout>
                  </c15:layout>
                </c:ext>
              </c:extLst>
            </c:dLbl>
            <c:dLbl>
              <c:idx val="17"/>
              <c:layout>
                <c:manualLayout>
                  <c:x val="-7.4620461968695193E-2"/>
                  <c:y val="-3.97002303972453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4.9305247496185527E-2"/>
                  <c:y val="-5.2919387824453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2.7806074369902577E-2"/>
                  <c:y val="-7.948553054662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5.4062839148197595E-3"/>
                  <c:y val="7.35704267558032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1.6486683086818405E-2"/>
                  <c:y val="5.51075739188515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1.0804905456315853E-2"/>
                  <c:y val="3.96690464774340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3.8333697444668059E-2"/>
                  <c:y val="-4.96078731991511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4"/>
              <c:layout>
                <c:manualLayout>
                  <c:x val="-1.7819706940186541E-3"/>
                  <c:y val="6.20098414989389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Graf!$C$29:$C$49</c:f>
              <c:strCache>
                <c:ptCount val="21"/>
                <c:pt idx="0">
                  <c:v>T3 '12</c:v>
                </c:pt>
                <c:pt idx="1">
                  <c:v>T4 '12</c:v>
                </c:pt>
                <c:pt idx="2">
                  <c:v>T1 '13</c:v>
                </c:pt>
                <c:pt idx="3">
                  <c:v>T2 '13</c:v>
                </c:pt>
                <c:pt idx="4">
                  <c:v>T3 '13</c:v>
                </c:pt>
                <c:pt idx="5">
                  <c:v>T4 '13</c:v>
                </c:pt>
                <c:pt idx="6">
                  <c:v>T1 '14</c:v>
                </c:pt>
                <c:pt idx="7">
                  <c:v>T2 '14</c:v>
                </c:pt>
                <c:pt idx="8">
                  <c:v>T3 '14</c:v>
                </c:pt>
                <c:pt idx="9">
                  <c:v>T4 '14</c:v>
                </c:pt>
                <c:pt idx="10">
                  <c:v>T1 '15</c:v>
                </c:pt>
                <c:pt idx="11">
                  <c:v>T2'15</c:v>
                </c:pt>
                <c:pt idx="12">
                  <c:v>T3 '15</c:v>
                </c:pt>
                <c:pt idx="13">
                  <c:v>T4 '15</c:v>
                </c:pt>
                <c:pt idx="14">
                  <c:v>T1 '16</c:v>
                </c:pt>
                <c:pt idx="15">
                  <c:v>T2 '16</c:v>
                </c:pt>
                <c:pt idx="16">
                  <c:v>T3 '16</c:v>
                </c:pt>
                <c:pt idx="17">
                  <c:v>T4'16</c:v>
                </c:pt>
                <c:pt idx="18">
                  <c:v>T1'17</c:v>
                </c:pt>
                <c:pt idx="19">
                  <c:v>T2'17</c:v>
                </c:pt>
                <c:pt idx="20">
                  <c:v>T3'17</c:v>
                </c:pt>
              </c:strCache>
            </c:strRef>
          </c:cat>
          <c:val>
            <c:numRef>
              <c:f>Graf!$D$29:$D$49</c:f>
              <c:numCache>
                <c:formatCode>0.0</c:formatCode>
                <c:ptCount val="21"/>
                <c:pt idx="0">
                  <c:v>87.352977138784624</c:v>
                </c:pt>
                <c:pt idx="1">
                  <c:v>85.515175118320002</c:v>
                </c:pt>
                <c:pt idx="2">
                  <c:v>89.343338675375321</c:v>
                </c:pt>
                <c:pt idx="3">
                  <c:v>81.160454437167431</c:v>
                </c:pt>
                <c:pt idx="4">
                  <c:v>80.232309944236988</c:v>
                </c:pt>
                <c:pt idx="5">
                  <c:v>81.760870590920703</c:v>
                </c:pt>
                <c:pt idx="6">
                  <c:v>93.359928978819227</c:v>
                </c:pt>
                <c:pt idx="7">
                  <c:v>100.40869188205232</c:v>
                </c:pt>
                <c:pt idx="8">
                  <c:v>102.70117452742188</c:v>
                </c:pt>
                <c:pt idx="9">
                  <c:v>100.16462411275704</c:v>
                </c:pt>
                <c:pt idx="10">
                  <c:v>98.071758127796556</c:v>
                </c:pt>
                <c:pt idx="11">
                  <c:v>106.03340597441102</c:v>
                </c:pt>
                <c:pt idx="12">
                  <c:v>99.208423409216323</c:v>
                </c:pt>
                <c:pt idx="13">
                  <c:v>97.541033746772072</c:v>
                </c:pt>
                <c:pt idx="14">
                  <c:v>93.201916793265667</c:v>
                </c:pt>
                <c:pt idx="15">
                  <c:v>92.092619196411206</c:v>
                </c:pt>
                <c:pt idx="16">
                  <c:v>105.31684406906527</c:v>
                </c:pt>
                <c:pt idx="17">
                  <c:v>113.09757495333372</c:v>
                </c:pt>
                <c:pt idx="18">
                  <c:v>121.19569318243941</c:v>
                </c:pt>
                <c:pt idx="19">
                  <c:v>111.97357061296033</c:v>
                </c:pt>
                <c:pt idx="20">
                  <c:v>113.76108370160094</c:v>
                </c:pt>
              </c:numCache>
            </c:numRef>
          </c:val>
          <c:smooth val="1"/>
        </c:ser>
        <c:dLbls>
          <c:showLegendKey val="0"/>
          <c:showVal val="0"/>
          <c:showCatName val="0"/>
          <c:showSerName val="0"/>
          <c:showPercent val="0"/>
          <c:showBubbleSize val="0"/>
        </c:dLbls>
        <c:marker val="1"/>
        <c:smooth val="0"/>
        <c:axId val="-613416992"/>
        <c:axId val="-613416448"/>
      </c:lineChart>
      <c:catAx>
        <c:axId val="-613416992"/>
        <c:scaling>
          <c:orientation val="minMax"/>
        </c:scaling>
        <c:delete val="0"/>
        <c:axPos val="b"/>
        <c:numFmt formatCode="General" sourceLinked="1"/>
        <c:majorTickMark val="out"/>
        <c:minorTickMark val="none"/>
        <c:tickLblPos val="nextTo"/>
        <c:txPr>
          <a:bodyPr rot="3780000" vert="horz"/>
          <a:lstStyle/>
          <a:p>
            <a:pPr>
              <a:defRPr sz="1050" b="1" i="0" u="none" strike="noStrike" baseline="0">
                <a:solidFill>
                  <a:srgbClr val="000000"/>
                </a:solidFill>
                <a:latin typeface="Calibri"/>
                <a:ea typeface="Calibri"/>
                <a:cs typeface="Calibri"/>
              </a:defRPr>
            </a:pPr>
            <a:endParaRPr lang="en-US"/>
          </a:p>
        </c:txPr>
        <c:crossAx val="-613416448"/>
        <c:crosses val="autoZero"/>
        <c:auto val="1"/>
        <c:lblAlgn val="ctr"/>
        <c:lblOffset val="100"/>
        <c:noMultiLvlLbl val="0"/>
      </c:catAx>
      <c:valAx>
        <c:axId val="-613416448"/>
        <c:scaling>
          <c:orientation val="minMax"/>
          <c:min val="60"/>
        </c:scaling>
        <c:delete val="0"/>
        <c:axPos val="l"/>
        <c:numFmt formatCode="0.0" sourceLinked="1"/>
        <c:majorTickMark val="out"/>
        <c:minorTickMark val="none"/>
        <c:tickLblPos val="nextTo"/>
        <c:txPr>
          <a:bodyPr rot="0" vert="horz"/>
          <a:lstStyle/>
          <a:p>
            <a:pPr>
              <a:defRPr sz="1050" b="1" i="0" u="none" strike="noStrike" baseline="0">
                <a:solidFill>
                  <a:srgbClr val="000000"/>
                </a:solidFill>
                <a:latin typeface="Calibri"/>
                <a:ea typeface="Calibri"/>
                <a:cs typeface="Calibri"/>
              </a:defRPr>
            </a:pPr>
            <a:endParaRPr lang="en-US"/>
          </a:p>
        </c:txPr>
        <c:crossAx val="-61341699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69433285125075E-2"/>
          <c:y val="0.15712035995500562"/>
          <c:w val="0.96464660667416591"/>
          <c:h val="0.72892797491222683"/>
        </c:manualLayout>
      </c:layout>
      <c:barChart>
        <c:barDir val="col"/>
        <c:grouping val="stacked"/>
        <c:varyColors val="0"/>
        <c:ser>
          <c:idx val="0"/>
          <c:order val="0"/>
          <c:tx>
            <c:strRef>
              <c:f>Doganat!$B$3</c:f>
              <c:strCache>
                <c:ptCount val="1"/>
                <c:pt idx="0">
                  <c:v>Realizimi Total</c:v>
                </c:pt>
              </c:strCache>
            </c:strRef>
          </c:tx>
          <c:spPr>
            <a:noFill/>
            <a:ln>
              <a:noFill/>
            </a:ln>
            <a:effectLst/>
          </c:spPr>
          <c:invertIfNegative val="0"/>
          <c:dPt>
            <c:idx val="0"/>
            <c:invertIfNegative val="0"/>
            <c:bubble3D val="0"/>
            <c:spPr>
              <a:solidFill>
                <a:srgbClr val="FF9999"/>
              </a:solidFill>
              <a:ln>
                <a:noFill/>
              </a:ln>
              <a:effectLst/>
            </c:spPr>
          </c:dPt>
          <c:dPt>
            <c:idx val="5"/>
            <c:invertIfNegative val="0"/>
            <c:bubble3D val="0"/>
            <c:spPr>
              <a:solidFill>
                <a:srgbClr val="FFCCCC"/>
              </a:solidFill>
              <a:ln>
                <a:noFill/>
              </a:ln>
              <a:effectLst/>
            </c:spPr>
          </c:dPt>
          <c:dPt>
            <c:idx val="6"/>
            <c:invertIfNegative val="0"/>
            <c:bubble3D val="0"/>
            <c:spPr>
              <a:solidFill>
                <a:srgbClr val="4F81BD">
                  <a:lumMod val="20000"/>
                  <a:lumOff val="80000"/>
                </a:srgbClr>
              </a:solidFill>
              <a:ln>
                <a:noFill/>
              </a:ln>
              <a:effectLst/>
            </c:spPr>
          </c:dPt>
          <c:dLbls>
            <c:dLbl>
              <c:idx val="0"/>
              <c:layout>
                <c:manualLayout>
                  <c:x val="-4.459308807134894E-3"/>
                  <c:y val="-2.6881720430107529E-3"/>
                </c:manualLayout>
              </c:layout>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Doganat!$A$4:$A$10</c:f>
              <c:strCache>
                <c:ptCount val="7"/>
                <c:pt idx="0">
                  <c:v>Fakt 2016</c:v>
                </c:pt>
                <c:pt idx="1">
                  <c:v>Takse Doganore</c:v>
                </c:pt>
                <c:pt idx="2">
                  <c:v>TVSH në import </c:v>
                </c:pt>
                <c:pt idx="3">
                  <c:v>Akcizë</c:v>
                </c:pt>
                <c:pt idx="4">
                  <c:v>Rentë</c:v>
                </c:pt>
                <c:pt idx="5">
                  <c:v>Fakt 2017</c:v>
                </c:pt>
                <c:pt idx="6">
                  <c:v>Plan 2017</c:v>
                </c:pt>
              </c:strCache>
            </c:strRef>
          </c:cat>
          <c:val>
            <c:numRef>
              <c:f>Doganat!$B$4:$B$10</c:f>
              <c:numCache>
                <c:formatCode>_(* #,##0_);_(* \(#,##0\);_(* "-"??_);_(@_)</c:formatCode>
                <c:ptCount val="7"/>
                <c:pt idx="0">
                  <c:v>108771</c:v>
                </c:pt>
                <c:pt idx="1">
                  <c:v>108771</c:v>
                </c:pt>
                <c:pt idx="2">
                  <c:v>109108</c:v>
                </c:pt>
                <c:pt idx="3">
                  <c:v>113364</c:v>
                </c:pt>
                <c:pt idx="4">
                  <c:v>116030</c:v>
                </c:pt>
                <c:pt idx="5">
                  <c:v>116030</c:v>
                </c:pt>
                <c:pt idx="6">
                  <c:v>115492</c:v>
                </c:pt>
              </c:numCache>
            </c:numRef>
          </c:val>
        </c:ser>
        <c:ser>
          <c:idx val="1"/>
          <c:order val="1"/>
          <c:tx>
            <c:strRef>
              <c:f>Doganat!$C$3</c:f>
              <c:strCache>
                <c:ptCount val="1"/>
                <c:pt idx="0">
                  <c:v>Rënie</c:v>
                </c:pt>
              </c:strCache>
            </c:strRef>
          </c:tx>
          <c:spPr>
            <a:solidFill>
              <a:srgbClr val="EB3415"/>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5844448015426639E-4"/>
                  <c:y val="-4.0675953967292559E-2"/>
                </c:manualLayout>
              </c:layout>
              <c:tx>
                <c:rich>
                  <a:bodyPr/>
                  <a:lstStyle/>
                  <a:p>
                    <a:r>
                      <a:rPr lang="en-US" b="1" i="1" dirty="0" smtClean="0"/>
                      <a:t>2,942</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1342156697700652E-3"/>
                  <c:y val="-2.2513945537274573E-2"/>
                </c:manualLayout>
              </c:layout>
              <c:tx>
                <c:rich>
                  <a:bodyPr/>
                  <a:lstStyle/>
                  <a:p>
                    <a:r>
                      <a:rPr lang="en-US" b="1" i="1" dirty="0" smtClean="0"/>
                      <a:t>276</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Doganat!$A$4:$A$10</c:f>
              <c:strCache>
                <c:ptCount val="7"/>
                <c:pt idx="0">
                  <c:v>Fakt 2016</c:v>
                </c:pt>
                <c:pt idx="1">
                  <c:v>Takse Doganore</c:v>
                </c:pt>
                <c:pt idx="2">
                  <c:v>TVSH në import </c:v>
                </c:pt>
                <c:pt idx="3">
                  <c:v>Akcizë</c:v>
                </c:pt>
                <c:pt idx="4">
                  <c:v>Rentë</c:v>
                </c:pt>
                <c:pt idx="5">
                  <c:v>Fakt 2017</c:v>
                </c:pt>
                <c:pt idx="6">
                  <c:v>Plan 2017</c:v>
                </c:pt>
              </c:strCache>
            </c:strRef>
          </c:cat>
          <c:val>
            <c:numRef>
              <c:f>Doganat!$C$4:$C$10</c:f>
              <c:numCache>
                <c:formatCode>_(* #,##0_);_(* \(#,##0\);_(* "-"??_);_(@_)</c:formatCode>
                <c:ptCount val="7"/>
                <c:pt idx="0">
                  <c:v>0</c:v>
                </c:pt>
                <c:pt idx="1">
                  <c:v>0</c:v>
                </c:pt>
                <c:pt idx="2">
                  <c:v>0</c:v>
                </c:pt>
                <c:pt idx="3">
                  <c:v>0</c:v>
                </c:pt>
                <c:pt idx="4">
                  <c:v>276</c:v>
                </c:pt>
              </c:numCache>
            </c:numRef>
          </c:val>
        </c:ser>
        <c:ser>
          <c:idx val="2"/>
          <c:order val="2"/>
          <c:tx>
            <c:strRef>
              <c:f>Doganat!$D$3</c:f>
              <c:strCache>
                <c:ptCount val="1"/>
                <c:pt idx="0">
                  <c:v>Rritje</c:v>
                </c:pt>
              </c:strCache>
            </c:strRef>
          </c:tx>
          <c:spPr>
            <a:solidFill>
              <a:srgbClr val="2E75B6"/>
            </a:solidFill>
            <a:ln>
              <a:noFill/>
            </a:ln>
            <a:effectLst/>
          </c:spPr>
          <c:invertIfNegative val="0"/>
          <c:dPt>
            <c:idx val="0"/>
            <c:invertIfNegative val="0"/>
            <c:bubble3D val="0"/>
            <c:spPr>
              <a:solidFill>
                <a:schemeClr val="bg2">
                  <a:lumMod val="50000"/>
                </a:schemeClr>
              </a:solidFill>
              <a:ln>
                <a:noFill/>
              </a:ln>
              <a:effectLst/>
            </c:spPr>
          </c:dPt>
          <c:dLbls>
            <c:dLbl>
              <c:idx val="0"/>
              <c:delete val="1"/>
              <c:extLst>
                <c:ext xmlns:c15="http://schemas.microsoft.com/office/drawing/2012/chart" uri="{CE6537A1-D6FC-4f65-9D91-7224C49458BB}"/>
              </c:extLst>
            </c:dLbl>
            <c:dLbl>
              <c:idx val="1"/>
              <c:layout>
                <c:manualLayout>
                  <c:x val="1.4659017968146992E-3"/>
                  <c:y val="-2.22222222222222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0299694681022015E-3"/>
                  <c:y val="-3.8258227336967494E-2"/>
                </c:manualLayout>
              </c:layout>
              <c:tx>
                <c:rich>
                  <a:bodyPr/>
                  <a:lstStyle/>
                  <a:p>
                    <a:r>
                      <a:rPr lang="en-US" b="1" dirty="0" smtClean="0"/>
                      <a:t>4,256</a:t>
                    </a:r>
                    <a:endParaRPr lang="en-US" dirty="0"/>
                  </a:p>
                </c:rich>
              </c:tx>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numFmt formatCode="#,##0" sourceLinked="0"/>
            <c:spPr>
              <a:noFill/>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Doganat!$A$4:$A$10</c:f>
              <c:strCache>
                <c:ptCount val="7"/>
                <c:pt idx="0">
                  <c:v>Fakt 2016</c:v>
                </c:pt>
                <c:pt idx="1">
                  <c:v>Takse Doganore</c:v>
                </c:pt>
                <c:pt idx="2">
                  <c:v>TVSH në import </c:v>
                </c:pt>
                <c:pt idx="3">
                  <c:v>Akcizë</c:v>
                </c:pt>
                <c:pt idx="4">
                  <c:v>Rentë</c:v>
                </c:pt>
                <c:pt idx="5">
                  <c:v>Fakt 2017</c:v>
                </c:pt>
                <c:pt idx="6">
                  <c:v>Plan 2017</c:v>
                </c:pt>
              </c:strCache>
            </c:strRef>
          </c:cat>
          <c:val>
            <c:numRef>
              <c:f>Doganat!$D$4:$D$10</c:f>
              <c:numCache>
                <c:formatCode>_(* #,##0_);_(* \(#,##0\);_(* "-"??_);_(@_)</c:formatCode>
                <c:ptCount val="7"/>
                <c:pt idx="0">
                  <c:v>0</c:v>
                </c:pt>
                <c:pt idx="1">
                  <c:v>337</c:v>
                </c:pt>
                <c:pt idx="2">
                  <c:v>4256</c:v>
                </c:pt>
                <c:pt idx="3">
                  <c:v>2942</c:v>
                </c:pt>
                <c:pt idx="4">
                  <c:v>0</c:v>
                </c:pt>
              </c:numCache>
            </c:numRef>
          </c:val>
        </c:ser>
        <c:dLbls>
          <c:showLegendKey val="0"/>
          <c:showVal val="0"/>
          <c:showCatName val="0"/>
          <c:showSerName val="0"/>
          <c:showPercent val="0"/>
          <c:showBubbleSize val="0"/>
        </c:dLbls>
        <c:gapWidth val="46"/>
        <c:overlap val="100"/>
        <c:axId val="-613441472"/>
        <c:axId val="-613457248"/>
      </c:barChart>
      <c:catAx>
        <c:axId val="-61344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1" i="1"/>
            </a:pPr>
            <a:endParaRPr lang="en-US"/>
          </a:p>
        </c:txPr>
        <c:crossAx val="-613457248"/>
        <c:crosses val="autoZero"/>
        <c:auto val="1"/>
        <c:lblAlgn val="ctr"/>
        <c:lblOffset val="100"/>
        <c:noMultiLvlLbl val="0"/>
      </c:catAx>
      <c:valAx>
        <c:axId val="-613457248"/>
        <c:scaling>
          <c:orientation val="minMax"/>
          <c:max val="120000"/>
          <c:min val="0"/>
        </c:scaling>
        <c:delete val="1"/>
        <c:axPos val="l"/>
        <c:majorGridlines>
          <c:spPr>
            <a:ln w="9525" cap="flat" cmpd="sng" algn="ctr">
              <a:noFill/>
              <a:round/>
            </a:ln>
            <a:effectLst/>
          </c:spPr>
        </c:majorGridlines>
        <c:numFmt formatCode="#,##0" sourceLinked="0"/>
        <c:majorTickMark val="none"/>
        <c:minorTickMark val="none"/>
        <c:tickLblPos val="nextTo"/>
        <c:crossAx val="-613441472"/>
        <c:crosses val="autoZero"/>
        <c:crossBetween val="between"/>
        <c:majorUnit val="10000"/>
        <c:minorUnit val="1000"/>
      </c:valAx>
      <c:spPr>
        <a:noFill/>
        <a:ln w="25400">
          <a:noFill/>
        </a:ln>
      </c:spPr>
    </c:plotArea>
    <c:legend>
      <c:legendPos val="t"/>
      <c:legendEntry>
        <c:idx val="0"/>
        <c:delete val="1"/>
      </c:legendEntry>
      <c:layout>
        <c:manualLayout>
          <c:xMode val="edge"/>
          <c:yMode val="edge"/>
          <c:x val="0.42800405281158221"/>
          <c:y val="2.1369000980016602E-2"/>
          <c:w val="0.17290334243933794"/>
          <c:h val="3.5049118860142482E-2"/>
        </c:manualLayout>
      </c:layout>
      <c:overlay val="0"/>
      <c:txPr>
        <a:bodyPr/>
        <a:lstStyle/>
        <a:p>
          <a:pPr>
            <a:defRPr i="1"/>
          </a:pPr>
          <a:endParaRPr lang="en-US"/>
        </a:p>
      </c:txPr>
    </c:legend>
    <c:plotVisOnly val="1"/>
    <c:dispBlanksAs val="gap"/>
    <c:showDLblsOverMax val="0"/>
  </c:chart>
  <c:spPr>
    <a:solidFill>
      <a:sysClr val="window" lastClr="FFFFFF"/>
    </a:solidFill>
    <a:ln w="9525" cap="flat" cmpd="sng" algn="ctr">
      <a:solidFill>
        <a:srgbClr val="C00000"/>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3416751776320848"/>
          <c:w val="1"/>
          <c:h val="0.70495261314093061"/>
        </c:manualLayout>
      </c:layout>
      <c:barChart>
        <c:barDir val="col"/>
        <c:grouping val="stacked"/>
        <c:varyColors val="0"/>
        <c:ser>
          <c:idx val="0"/>
          <c:order val="0"/>
          <c:tx>
            <c:strRef>
              <c:f>Tatimet!$B$3</c:f>
              <c:strCache>
                <c:ptCount val="1"/>
                <c:pt idx="0">
                  <c:v>Realizimi Total</c:v>
                </c:pt>
              </c:strCache>
            </c:strRef>
          </c:tx>
          <c:spPr>
            <a:noFill/>
            <a:ln>
              <a:noFill/>
            </a:ln>
            <a:effectLst/>
          </c:spPr>
          <c:invertIfNegative val="0"/>
          <c:dPt>
            <c:idx val="0"/>
            <c:invertIfNegative val="0"/>
            <c:bubble3D val="0"/>
            <c:spPr>
              <a:solidFill>
                <a:srgbClr val="FFA7A7"/>
              </a:solidFill>
              <a:ln>
                <a:noFill/>
              </a:ln>
              <a:effectLst/>
            </c:spPr>
          </c:dPt>
          <c:dPt>
            <c:idx val="5"/>
            <c:invertIfNegative val="0"/>
            <c:bubble3D val="0"/>
          </c:dPt>
          <c:dPt>
            <c:idx val="6"/>
            <c:invertIfNegative val="0"/>
            <c:bubble3D val="0"/>
            <c:spPr>
              <a:solidFill>
                <a:srgbClr val="FFCCCC"/>
              </a:solidFill>
              <a:ln>
                <a:noFill/>
              </a:ln>
              <a:effectLst/>
            </c:spPr>
          </c:dPt>
          <c:dPt>
            <c:idx val="7"/>
            <c:invertIfNegative val="0"/>
            <c:bubble3D val="0"/>
            <c:spPr>
              <a:solidFill>
                <a:srgbClr val="4F81BD">
                  <a:lumMod val="20000"/>
                  <a:lumOff val="80000"/>
                </a:srgbClr>
              </a:solidFill>
              <a:ln>
                <a:noFill/>
              </a:ln>
              <a:effectLst/>
            </c:spPr>
          </c:dPt>
          <c:dLbls>
            <c:dLbl>
              <c:idx val="0"/>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1000" b="1" i="1" dirty="0" smtClean="0"/>
                      <a:t>163,727</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i="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Tatimet!$A$4:$A$11</c:f>
              <c:strCache>
                <c:ptCount val="8"/>
                <c:pt idx="0">
                  <c:v>Fakt 2016</c:v>
                </c:pt>
                <c:pt idx="1">
                  <c:v>TVSH brenda vendit</c:v>
                </c:pt>
                <c:pt idx="2">
                  <c:v>Tatim Fitimi</c:v>
                </c:pt>
                <c:pt idx="3">
                  <c:v>Tatimi mbi të Ardhurat Personale</c:v>
                </c:pt>
                <c:pt idx="4">
                  <c:v>Taksat Nacionale</c:v>
                </c:pt>
                <c:pt idx="5">
                  <c:v>Kontributet e mbledhura nga DPT</c:v>
                </c:pt>
                <c:pt idx="6">
                  <c:v>Fakt 2017</c:v>
                </c:pt>
                <c:pt idx="7">
                  <c:v>Plan 2017</c:v>
                </c:pt>
              </c:strCache>
            </c:strRef>
          </c:cat>
          <c:val>
            <c:numRef>
              <c:f>Tatimet!$B$4:$B$11</c:f>
              <c:numCache>
                <c:formatCode>_(* #,##0_);_(* \(#,##0\);_(* "-"??_);_(@_)</c:formatCode>
                <c:ptCount val="8"/>
                <c:pt idx="0">
                  <c:v>150768</c:v>
                </c:pt>
                <c:pt idx="1">
                  <c:v>150768</c:v>
                </c:pt>
                <c:pt idx="2">
                  <c:v>152151</c:v>
                </c:pt>
                <c:pt idx="3">
                  <c:v>153883</c:v>
                </c:pt>
                <c:pt idx="4">
                  <c:v>154004</c:v>
                </c:pt>
                <c:pt idx="5">
                  <c:v>158140</c:v>
                </c:pt>
                <c:pt idx="6">
                  <c:v>163728</c:v>
                </c:pt>
                <c:pt idx="7">
                  <c:v>164065</c:v>
                </c:pt>
              </c:numCache>
            </c:numRef>
          </c:val>
        </c:ser>
        <c:ser>
          <c:idx val="1"/>
          <c:order val="1"/>
          <c:tx>
            <c:strRef>
              <c:f>Tatimet!$C$3</c:f>
              <c:strCache>
                <c:ptCount val="1"/>
                <c:pt idx="0">
                  <c:v>Rënie</c:v>
                </c:pt>
              </c:strCache>
            </c:strRef>
          </c:tx>
          <c:spPr>
            <a:solidFill>
              <a:srgbClr val="EB3415"/>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452784392840221E-3"/>
                  <c:y val="-3.9676914738004151E-2"/>
                </c:manualLayout>
              </c:layout>
              <c:tx>
                <c:rich>
                  <a:bodyPr/>
                  <a:lstStyle/>
                  <a:p>
                    <a:r>
                      <a:rPr lang="en-US" b="1" i="1" dirty="0" smtClean="0"/>
                      <a:t>4,136</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7.1660411795810286E-17"/>
                  <c:y val="-1.4778326269603683E-2"/>
                </c:manualLayout>
              </c:layout>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txPr>
              <a:bodyPr/>
              <a:lstStyle/>
              <a:p>
                <a:pPr>
                  <a:defRPr b="1" i="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Tatimet!$A$4:$A$11</c:f>
              <c:strCache>
                <c:ptCount val="8"/>
                <c:pt idx="0">
                  <c:v>Fakt 2016</c:v>
                </c:pt>
                <c:pt idx="1">
                  <c:v>TVSH brenda vendit</c:v>
                </c:pt>
                <c:pt idx="2">
                  <c:v>Tatim Fitimi</c:v>
                </c:pt>
                <c:pt idx="3">
                  <c:v>Tatimi mbi të Ardhurat Personale</c:v>
                </c:pt>
                <c:pt idx="4">
                  <c:v>Taksat Nacionale</c:v>
                </c:pt>
                <c:pt idx="5">
                  <c:v>Kontributet e mbledhura nga DPT</c:v>
                </c:pt>
                <c:pt idx="6">
                  <c:v>Fakt 2017</c:v>
                </c:pt>
                <c:pt idx="7">
                  <c:v>Plan 2017</c:v>
                </c:pt>
              </c:strCache>
            </c:strRef>
          </c:cat>
          <c:val>
            <c:numRef>
              <c:f>Tatimet!$C$4:$C$11</c:f>
              <c:numCache>
                <c:formatCode>_(* #,##0_);_(* \(#,##0\);_(* "-"??_);_(@_)</c:formatCode>
                <c:ptCount val="8"/>
                <c:pt idx="0">
                  <c:v>0</c:v>
                </c:pt>
                <c:pt idx="1">
                  <c:v>0</c:v>
                </c:pt>
                <c:pt idx="2">
                  <c:v>0</c:v>
                </c:pt>
                <c:pt idx="3">
                  <c:v>0</c:v>
                </c:pt>
                <c:pt idx="4">
                  <c:v>0</c:v>
                </c:pt>
                <c:pt idx="5">
                  <c:v>0</c:v>
                </c:pt>
              </c:numCache>
            </c:numRef>
          </c:val>
        </c:ser>
        <c:ser>
          <c:idx val="2"/>
          <c:order val="2"/>
          <c:tx>
            <c:strRef>
              <c:f>Tatimet!$D$3</c:f>
              <c:strCache>
                <c:ptCount val="1"/>
                <c:pt idx="0">
                  <c:v>Rritje</c:v>
                </c:pt>
              </c:strCache>
            </c:strRef>
          </c:tx>
          <c:spPr>
            <a:solidFill>
              <a:srgbClr val="2E75B6"/>
            </a:solidFill>
            <a:ln>
              <a:noFill/>
            </a:ln>
            <a:effectLst/>
          </c:spPr>
          <c:invertIfNegative val="0"/>
          <c:dPt>
            <c:idx val="0"/>
            <c:invertIfNegative val="0"/>
            <c:bubble3D val="0"/>
            <c:spPr>
              <a:solidFill>
                <a:schemeClr val="bg2">
                  <a:lumMod val="50000"/>
                </a:schemeClr>
              </a:solidFill>
              <a:ln>
                <a:noFill/>
              </a:ln>
              <a:effectLst/>
            </c:spPr>
          </c:dPt>
          <c:dLbls>
            <c:dLbl>
              <c:idx val="0"/>
              <c:delete val="1"/>
              <c:extLst>
                <c:ext xmlns:c15="http://schemas.microsoft.com/office/drawing/2012/chart" uri="{CE6537A1-D6FC-4f65-9D91-7224C49458BB}"/>
              </c:extLst>
            </c:dLbl>
            <c:dLbl>
              <c:idx val="1"/>
              <c:layout>
                <c:manualLayout>
                  <c:x val="1.4659017968146992E-3"/>
                  <c:y val="-3.2323232323232323E-2"/>
                </c:manualLayout>
              </c:layout>
              <c:tx>
                <c:rich>
                  <a:bodyPr/>
                  <a:lstStyle/>
                  <a:p>
                    <a:r>
                      <a:rPr lang="en-US" b="1" i="1" dirty="0" smtClean="0"/>
                      <a:t>1,382</a:t>
                    </a:r>
                    <a:endParaRPr lang="en-US" dirty="0"/>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3749111635548105E-17"/>
                  <c:y val="-3.030303030303030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6363636363636362E-2"/>
                </c:manualLayout>
              </c:layout>
              <c:tx>
                <c:rich>
                  <a:bodyPr/>
                  <a:lstStyle/>
                  <a:p>
                    <a:r>
                      <a:rPr lang="en-US" b="1" i="1" dirty="0" smtClean="0"/>
                      <a:t>121</a:t>
                    </a:r>
                    <a:endParaRPr lang="en-US" dirty="0"/>
                  </a:p>
                </c:rich>
              </c:tx>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
                  <c:y val="-2.95566525392073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330049364264331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
                  <c:y val="-1.330049364264331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954397444263701E-3"/>
                  <c:y val="-2.0689656777445154E-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 sourceLinked="0"/>
            <c:spPr>
              <a:noFill/>
            </c:spPr>
            <c:txPr>
              <a:bodyPr/>
              <a:lstStyle/>
              <a:p>
                <a:pPr>
                  <a:defRPr b="1" i="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Tatimet!$A$4:$A$11</c:f>
              <c:strCache>
                <c:ptCount val="8"/>
                <c:pt idx="0">
                  <c:v>Fakt 2016</c:v>
                </c:pt>
                <c:pt idx="1">
                  <c:v>TVSH brenda vendit</c:v>
                </c:pt>
                <c:pt idx="2">
                  <c:v>Tatim Fitimi</c:v>
                </c:pt>
                <c:pt idx="3">
                  <c:v>Tatimi mbi të Ardhurat Personale</c:v>
                </c:pt>
                <c:pt idx="4">
                  <c:v>Taksat Nacionale</c:v>
                </c:pt>
                <c:pt idx="5">
                  <c:v>Kontributet e mbledhura nga DPT</c:v>
                </c:pt>
                <c:pt idx="6">
                  <c:v>Fakt 2017</c:v>
                </c:pt>
                <c:pt idx="7">
                  <c:v>Plan 2017</c:v>
                </c:pt>
              </c:strCache>
            </c:strRef>
          </c:cat>
          <c:val>
            <c:numRef>
              <c:f>Tatimet!$D$4:$D$11</c:f>
              <c:numCache>
                <c:formatCode>_(* #,##0_);_(* \(#,##0\);_(* "-"??_);_(@_)</c:formatCode>
                <c:ptCount val="8"/>
                <c:pt idx="1">
                  <c:v>1383</c:v>
                </c:pt>
                <c:pt idx="2">
                  <c:v>1732</c:v>
                </c:pt>
                <c:pt idx="3">
                  <c:v>121</c:v>
                </c:pt>
                <c:pt idx="4">
                  <c:v>4136</c:v>
                </c:pt>
                <c:pt idx="5">
                  <c:v>5588</c:v>
                </c:pt>
              </c:numCache>
            </c:numRef>
          </c:val>
        </c:ser>
        <c:dLbls>
          <c:showLegendKey val="0"/>
          <c:showVal val="0"/>
          <c:showCatName val="0"/>
          <c:showSerName val="0"/>
          <c:showPercent val="0"/>
          <c:showBubbleSize val="0"/>
        </c:dLbls>
        <c:gapWidth val="46"/>
        <c:overlap val="100"/>
        <c:axId val="-613440928"/>
        <c:axId val="-613450720"/>
      </c:barChart>
      <c:catAx>
        <c:axId val="-6134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b="1" i="1"/>
            </a:pPr>
            <a:endParaRPr lang="en-US"/>
          </a:p>
        </c:txPr>
        <c:crossAx val="-613450720"/>
        <c:crossesAt val="50"/>
        <c:auto val="1"/>
        <c:lblAlgn val="ctr"/>
        <c:lblOffset val="100"/>
        <c:noMultiLvlLbl val="0"/>
      </c:catAx>
      <c:valAx>
        <c:axId val="-613450720"/>
        <c:scaling>
          <c:orientation val="minMax"/>
          <c:max val="170000"/>
          <c:min val="0"/>
        </c:scaling>
        <c:delete val="1"/>
        <c:axPos val="l"/>
        <c:numFmt formatCode="#,##0" sourceLinked="0"/>
        <c:majorTickMark val="none"/>
        <c:minorTickMark val="none"/>
        <c:tickLblPos val="nextTo"/>
        <c:crossAx val="-613440928"/>
        <c:crosses val="autoZero"/>
        <c:crossBetween val="between"/>
        <c:majorUnit val="10000"/>
        <c:minorUnit val="4000"/>
      </c:valAx>
      <c:spPr>
        <a:noFill/>
        <a:ln w="25400">
          <a:noFill/>
        </a:ln>
      </c:spPr>
    </c:plotArea>
    <c:legend>
      <c:legendPos val="t"/>
      <c:legendEntry>
        <c:idx val="0"/>
        <c:delete val="1"/>
      </c:legendEntry>
      <c:layout>
        <c:manualLayout>
          <c:xMode val="edge"/>
          <c:yMode val="edge"/>
          <c:x val="0.4273135044165991"/>
          <c:y val="5.1358789356351374E-2"/>
          <c:w val="0.14399172446494296"/>
          <c:h val="3.9811023622047241E-2"/>
        </c:manualLayout>
      </c:layout>
      <c:overlay val="0"/>
      <c:txPr>
        <a:bodyPr/>
        <a:lstStyle/>
        <a:p>
          <a:pPr>
            <a:defRPr sz="900" i="1"/>
          </a:pPr>
          <a:endParaRPr lang="en-US"/>
        </a:p>
      </c:txPr>
    </c:legend>
    <c:plotVisOnly val="1"/>
    <c:dispBlanksAs val="gap"/>
    <c:showDLblsOverMax val="0"/>
  </c:chart>
  <c:spPr>
    <a:noFill/>
    <a:ln w="9525" cap="flat" cmpd="sng" algn="ctr">
      <a:solidFill>
        <a:srgbClr val="C00000"/>
      </a:solidFill>
      <a:round/>
    </a:ln>
    <a:effectLst/>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28036880005383E-2"/>
          <c:y val="0.21617463670699696"/>
          <c:w val="0.95329087048832273"/>
          <c:h val="0.63662966519428976"/>
        </c:manualLayout>
      </c:layout>
      <c:lineChart>
        <c:grouping val="standard"/>
        <c:varyColors val="0"/>
        <c:ser>
          <c:idx val="0"/>
          <c:order val="0"/>
          <c:tx>
            <c:strRef>
              <c:f>'Taksat grafiket'!$B$1</c:f>
              <c:strCache>
                <c:ptCount val="1"/>
                <c:pt idx="0">
                  <c:v>TVSH Bruto</c:v>
                </c:pt>
              </c:strCache>
            </c:strRef>
          </c:tx>
          <c:dLbls>
            <c:dLbl>
              <c:idx val="0"/>
              <c:layout>
                <c:manualLayout>
                  <c:x val="-2.2296544035674472E-2"/>
                  <c:y val="-5.72245979859344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85507246376854E-2"/>
                  <c:y val="-5.34096247868721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674470457079152E-2"/>
                  <c:y val="-4.95946515878098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511705685618728E-2"/>
                  <c:y val="-4.577967838874757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971014492753624E-2"/>
                  <c:y val="-3.05197855924983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grafiket'!$A$2:$A$7</c:f>
              <c:numCache>
                <c:formatCode>General</c:formatCode>
                <c:ptCount val="6"/>
                <c:pt idx="0">
                  <c:v>2012</c:v>
                </c:pt>
                <c:pt idx="1">
                  <c:v>2013</c:v>
                </c:pt>
                <c:pt idx="2">
                  <c:v>2014</c:v>
                </c:pt>
                <c:pt idx="3">
                  <c:v>2015</c:v>
                </c:pt>
                <c:pt idx="4">
                  <c:v>2016</c:v>
                </c:pt>
                <c:pt idx="5">
                  <c:v>2017</c:v>
                </c:pt>
              </c:numCache>
            </c:numRef>
          </c:cat>
          <c:val>
            <c:numRef>
              <c:f>'Taksat grafiket'!$B$2:$B$7</c:f>
              <c:numCache>
                <c:formatCode>_(* #,##0_);_(* \(#,##0\);_(* "-"??_);_(@_)</c:formatCode>
                <c:ptCount val="6"/>
                <c:pt idx="0">
                  <c:v>24225</c:v>
                </c:pt>
                <c:pt idx="1">
                  <c:v>23250</c:v>
                </c:pt>
                <c:pt idx="2">
                  <c:v>26390</c:v>
                </c:pt>
                <c:pt idx="3">
                  <c:v>27411</c:v>
                </c:pt>
                <c:pt idx="4">
                  <c:v>31413</c:v>
                </c:pt>
                <c:pt idx="5">
                  <c:v>35366</c:v>
                </c:pt>
              </c:numCache>
            </c:numRef>
          </c:val>
          <c:smooth val="0"/>
        </c:ser>
        <c:ser>
          <c:idx val="1"/>
          <c:order val="1"/>
          <c:tx>
            <c:strRef>
              <c:f>'Taksat grafiket'!$C$1</c:f>
              <c:strCache>
                <c:ptCount val="1"/>
                <c:pt idx="0">
                  <c:v>TVSH Neto</c:v>
                </c:pt>
              </c:strCache>
            </c:strRef>
          </c:tx>
          <c:dLbls>
            <c:dLbl>
              <c:idx val="0"/>
              <c:layout>
                <c:manualLayout>
                  <c:x val="-3.121516164994426E-2"/>
                  <c:y val="4.9594651587809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755852842809406E-2"/>
                  <c:y val="4.19647051896852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21516164994426E-2"/>
                  <c:y val="4.19647051896852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444816053511704E-2"/>
                  <c:y val="4.57796783887476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21516164994426E-2"/>
                  <c:y val="5.34096247868721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grafiket'!$A$2:$A$7</c:f>
              <c:numCache>
                <c:formatCode>General</c:formatCode>
                <c:ptCount val="6"/>
                <c:pt idx="0">
                  <c:v>2012</c:v>
                </c:pt>
                <c:pt idx="1">
                  <c:v>2013</c:v>
                </c:pt>
                <c:pt idx="2">
                  <c:v>2014</c:v>
                </c:pt>
                <c:pt idx="3">
                  <c:v>2015</c:v>
                </c:pt>
                <c:pt idx="4">
                  <c:v>2016</c:v>
                </c:pt>
                <c:pt idx="5">
                  <c:v>2017</c:v>
                </c:pt>
              </c:numCache>
            </c:numRef>
          </c:cat>
          <c:val>
            <c:numRef>
              <c:f>'Taksat grafiket'!$C$2:$C$7</c:f>
              <c:numCache>
                <c:formatCode>_(* #,##0_);_(* \(#,##0\);_(* "-"??_);_(@_)</c:formatCode>
                <c:ptCount val="6"/>
                <c:pt idx="0">
                  <c:v>19006</c:v>
                </c:pt>
                <c:pt idx="1">
                  <c:v>16751</c:v>
                </c:pt>
                <c:pt idx="2">
                  <c:v>20448</c:v>
                </c:pt>
                <c:pt idx="3">
                  <c:v>22014</c:v>
                </c:pt>
                <c:pt idx="4">
                  <c:v>24941</c:v>
                </c:pt>
                <c:pt idx="5">
                  <c:v>26323</c:v>
                </c:pt>
              </c:numCache>
            </c:numRef>
          </c:val>
          <c:smooth val="0"/>
        </c:ser>
        <c:dLbls>
          <c:showLegendKey val="0"/>
          <c:showVal val="1"/>
          <c:showCatName val="0"/>
          <c:showSerName val="0"/>
          <c:showPercent val="0"/>
          <c:showBubbleSize val="0"/>
        </c:dLbls>
        <c:marker val="1"/>
        <c:smooth val="0"/>
        <c:axId val="-613426784"/>
        <c:axId val="-613443648"/>
      </c:lineChart>
      <c:catAx>
        <c:axId val="-613426784"/>
        <c:scaling>
          <c:orientation val="minMax"/>
        </c:scaling>
        <c:delete val="0"/>
        <c:axPos val="b"/>
        <c:numFmt formatCode="General" sourceLinked="1"/>
        <c:majorTickMark val="none"/>
        <c:minorTickMark val="none"/>
        <c:tickLblPos val="nextTo"/>
        <c:txPr>
          <a:bodyPr/>
          <a:lstStyle/>
          <a:p>
            <a:pPr>
              <a:defRPr sz="900" b="1"/>
            </a:pPr>
            <a:endParaRPr lang="en-US"/>
          </a:p>
        </c:txPr>
        <c:crossAx val="-613443648"/>
        <c:crosses val="autoZero"/>
        <c:auto val="1"/>
        <c:lblAlgn val="ctr"/>
        <c:lblOffset val="100"/>
        <c:noMultiLvlLbl val="0"/>
      </c:catAx>
      <c:valAx>
        <c:axId val="-613443648"/>
        <c:scaling>
          <c:orientation val="minMax"/>
        </c:scaling>
        <c:delete val="1"/>
        <c:axPos val="l"/>
        <c:numFmt formatCode="_(* #,##0_);_(* \(#,##0\);_(* &quot;-&quot;??_);_(@_)" sourceLinked="1"/>
        <c:majorTickMark val="out"/>
        <c:minorTickMark val="none"/>
        <c:tickLblPos val="nextTo"/>
        <c:crossAx val="-613426784"/>
        <c:crosses val="autoZero"/>
        <c:crossBetween val="between"/>
      </c:valAx>
    </c:plotArea>
    <c:legend>
      <c:legendPos val="t"/>
      <c:overlay val="0"/>
      <c:txPr>
        <a:bodyPr/>
        <a:lstStyle/>
        <a:p>
          <a:pPr>
            <a:defRPr sz="900" b="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2977-4CE8-4B7B-B9AB-BA759981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119</Pages>
  <Words>39551</Words>
  <Characters>225441</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dc:creator>
  <cp:lastModifiedBy>Ina Dhaskali</cp:lastModifiedBy>
  <cp:revision>27</cp:revision>
  <cp:lastPrinted>2017-10-17T11:10:00Z</cp:lastPrinted>
  <dcterms:created xsi:type="dcterms:W3CDTF">2017-10-19T16:55:00Z</dcterms:created>
  <dcterms:modified xsi:type="dcterms:W3CDTF">2017-10-23T09:13:00Z</dcterms:modified>
</cp:coreProperties>
</file>